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9"/>
        <w:ind w:firstLine="0"/>
        <w:rPr>
          <w:rFonts w:eastAsia="黑体"/>
          <w:b/>
          <w:bCs/>
          <w:color w:val="auto"/>
          <w:sz w:val="84"/>
          <w:highlight w:val="none"/>
        </w:rPr>
      </w:pPr>
      <w:bookmarkStart w:id="192" w:name="_GoBack"/>
    </w:p>
    <w:p>
      <w:pPr>
        <w:pStyle w:val="269"/>
        <w:ind w:firstLine="0"/>
        <w:jc w:val="center"/>
        <w:rPr>
          <w:rFonts w:eastAsia="黑体"/>
          <w:b/>
          <w:bCs/>
          <w:color w:val="auto"/>
          <w:sz w:val="84"/>
          <w:highlight w:val="none"/>
        </w:rPr>
      </w:pPr>
      <w:r>
        <w:rPr>
          <w:rFonts w:hint="eastAsia" w:eastAsia="黑体"/>
          <w:b/>
          <w:bCs/>
          <w:color w:val="auto"/>
          <w:sz w:val="84"/>
          <w:highlight w:val="none"/>
        </w:rPr>
        <w:t>招　标　文　件</w:t>
      </w:r>
    </w:p>
    <w:p>
      <w:pPr>
        <w:pStyle w:val="269"/>
        <w:ind w:firstLine="1372"/>
        <w:rPr>
          <w:b/>
          <w:bCs/>
          <w:color w:val="auto"/>
          <w:sz w:val="32"/>
          <w:highlight w:val="none"/>
        </w:rPr>
      </w:pPr>
    </w:p>
    <w:p>
      <w:pPr>
        <w:pStyle w:val="269"/>
        <w:ind w:firstLine="1372"/>
        <w:jc w:val="center"/>
        <w:rPr>
          <w:b/>
          <w:bCs/>
          <w:color w:val="auto"/>
          <w:sz w:val="32"/>
          <w:highlight w:val="none"/>
        </w:rPr>
      </w:pPr>
      <w:r>
        <w:rPr>
          <w:rFonts w:hint="eastAsia"/>
          <w:b/>
          <w:bCs/>
          <w:color w:val="auto"/>
          <w:sz w:val="32"/>
          <w:highlight w:val="none"/>
        </w:rPr>
        <w:t>项目名称：海安市东部片区重点区域排污口及污染源深度排查整治项目</w:t>
      </w:r>
    </w:p>
    <w:p>
      <w:pPr>
        <w:ind w:firstLine="1606" w:firstLineChars="500"/>
        <w:rPr>
          <w:b/>
          <w:bCs/>
          <w:color w:val="auto"/>
          <w:sz w:val="32"/>
          <w:highlight w:val="none"/>
          <w:u w:val="single"/>
        </w:rPr>
      </w:pPr>
      <w:r>
        <w:rPr>
          <w:rFonts w:hint="eastAsia"/>
          <w:b/>
          <w:bCs/>
          <w:color w:val="auto"/>
          <w:sz w:val="32"/>
          <w:highlight w:val="none"/>
        </w:rPr>
        <w:t>项目编号：JSZC-320685-WYKJ-G2026-0035</w:t>
      </w:r>
    </w:p>
    <w:p>
      <w:pPr>
        <w:pStyle w:val="269"/>
        <w:spacing w:before="0" w:after="0"/>
        <w:ind w:firstLine="0"/>
        <w:rPr>
          <w:rFonts w:hint="eastAsia" w:ascii="宋体" w:hAnsi="宋体"/>
          <w:color w:val="auto"/>
          <w:highlight w:val="none"/>
        </w:rPr>
      </w:pPr>
    </w:p>
    <w:p>
      <w:pPr>
        <w:pStyle w:val="269"/>
        <w:spacing w:before="0" w:after="0"/>
        <w:ind w:firstLine="0"/>
        <w:rPr>
          <w:rFonts w:hint="eastAsia" w:ascii="宋体" w:hAnsi="宋体"/>
          <w:color w:val="auto"/>
          <w:highlight w:val="none"/>
        </w:rPr>
      </w:pPr>
    </w:p>
    <w:p>
      <w:pPr>
        <w:pStyle w:val="269"/>
        <w:spacing w:before="0" w:after="0"/>
        <w:ind w:firstLine="0"/>
        <w:rPr>
          <w:rFonts w:hint="eastAsia" w:ascii="宋体" w:hAnsi="宋体"/>
          <w:color w:val="auto"/>
          <w:highlight w:val="none"/>
        </w:rPr>
      </w:pPr>
    </w:p>
    <w:p>
      <w:pPr>
        <w:pStyle w:val="269"/>
        <w:spacing w:before="0" w:after="0"/>
        <w:ind w:firstLine="0"/>
        <w:rPr>
          <w:rFonts w:hint="eastAsia" w:ascii="宋体" w:hAnsi="宋体"/>
          <w:color w:val="auto"/>
          <w:highlight w:val="none"/>
        </w:rPr>
      </w:pPr>
    </w:p>
    <w:p>
      <w:pPr>
        <w:pStyle w:val="269"/>
        <w:spacing w:before="0" w:after="0"/>
        <w:ind w:firstLine="0"/>
        <w:rPr>
          <w:rFonts w:hint="eastAsia" w:ascii="宋体" w:hAnsi="宋体"/>
          <w:color w:val="auto"/>
          <w:highlight w:val="none"/>
        </w:rPr>
      </w:pPr>
    </w:p>
    <w:p>
      <w:pPr>
        <w:pStyle w:val="269"/>
        <w:spacing w:before="0" w:after="0"/>
        <w:ind w:firstLine="0"/>
        <w:rPr>
          <w:rFonts w:hint="eastAsia" w:ascii="宋体" w:hAnsi="宋体"/>
          <w:color w:val="auto"/>
          <w:highlight w:val="none"/>
        </w:rPr>
      </w:pPr>
    </w:p>
    <w:p>
      <w:pPr>
        <w:pStyle w:val="269"/>
        <w:spacing w:before="0" w:after="0"/>
        <w:ind w:firstLine="0"/>
        <w:rPr>
          <w:rFonts w:hint="eastAsia" w:ascii="宋体" w:hAnsi="宋体"/>
          <w:color w:val="auto"/>
          <w:highlight w:val="none"/>
        </w:rPr>
      </w:pPr>
    </w:p>
    <w:p>
      <w:pPr>
        <w:pStyle w:val="269"/>
        <w:ind w:firstLine="0"/>
        <w:jc w:val="center"/>
        <w:rPr>
          <w:b/>
          <w:bCs/>
          <w:color w:val="auto"/>
          <w:sz w:val="32"/>
          <w:highlight w:val="none"/>
        </w:rPr>
      </w:pPr>
    </w:p>
    <w:p>
      <w:pPr>
        <w:pStyle w:val="269"/>
        <w:ind w:firstLine="0"/>
        <w:jc w:val="center"/>
        <w:rPr>
          <w:b/>
          <w:bCs/>
          <w:color w:val="auto"/>
          <w:sz w:val="32"/>
          <w:highlight w:val="none"/>
        </w:rPr>
      </w:pPr>
    </w:p>
    <w:p>
      <w:pPr>
        <w:pStyle w:val="269"/>
        <w:ind w:firstLine="0"/>
        <w:jc w:val="center"/>
        <w:rPr>
          <w:b/>
          <w:bCs/>
          <w:color w:val="auto"/>
          <w:sz w:val="32"/>
          <w:highlight w:val="none"/>
        </w:rPr>
      </w:pPr>
    </w:p>
    <w:p>
      <w:pPr>
        <w:pStyle w:val="269"/>
        <w:ind w:firstLine="0"/>
        <w:jc w:val="center"/>
        <w:rPr>
          <w:b/>
          <w:bCs/>
          <w:color w:val="auto"/>
          <w:sz w:val="32"/>
          <w:highlight w:val="none"/>
        </w:rPr>
      </w:pPr>
    </w:p>
    <w:p>
      <w:pPr>
        <w:pStyle w:val="269"/>
        <w:ind w:firstLine="0"/>
        <w:jc w:val="center"/>
        <w:rPr>
          <w:b/>
          <w:bCs/>
          <w:color w:val="auto"/>
          <w:sz w:val="32"/>
          <w:highlight w:val="none"/>
        </w:rPr>
      </w:pPr>
      <w:r>
        <w:rPr>
          <w:rFonts w:hint="eastAsia"/>
          <w:b/>
          <w:bCs/>
          <w:color w:val="auto"/>
          <w:sz w:val="32"/>
          <w:highlight w:val="none"/>
        </w:rPr>
        <w:t>采购人：南通市海安生态环境局</w:t>
      </w:r>
    </w:p>
    <w:p>
      <w:pPr>
        <w:pStyle w:val="269"/>
        <w:ind w:firstLine="0"/>
        <w:jc w:val="center"/>
        <w:rPr>
          <w:b/>
          <w:bCs/>
          <w:color w:val="auto"/>
          <w:sz w:val="32"/>
          <w:highlight w:val="none"/>
        </w:rPr>
      </w:pPr>
      <w:r>
        <w:rPr>
          <w:rFonts w:hint="eastAsia"/>
          <w:b/>
          <w:bCs/>
          <w:color w:val="auto"/>
          <w:sz w:val="32"/>
          <w:highlight w:val="none"/>
        </w:rPr>
        <w:t>2026年0</w:t>
      </w:r>
      <w:r>
        <w:rPr>
          <w:rFonts w:hint="eastAsia"/>
          <w:b/>
          <w:bCs/>
          <w:color w:val="auto"/>
          <w:sz w:val="32"/>
          <w:highlight w:val="none"/>
          <w:lang w:val="en-US" w:eastAsia="zh-CN"/>
        </w:rPr>
        <w:t>9</w:t>
      </w:r>
      <w:r>
        <w:rPr>
          <w:rFonts w:hint="eastAsia"/>
          <w:b/>
          <w:bCs/>
          <w:color w:val="auto"/>
          <w:sz w:val="32"/>
          <w:highlight w:val="none"/>
        </w:rPr>
        <w:t>月</w:t>
      </w:r>
      <w:r>
        <w:rPr>
          <w:rFonts w:hint="eastAsia"/>
          <w:b/>
          <w:bCs/>
          <w:color w:val="auto"/>
          <w:sz w:val="32"/>
          <w:highlight w:val="none"/>
          <w:lang w:val="en-US" w:eastAsia="zh-CN"/>
        </w:rPr>
        <w:t>21</w:t>
      </w:r>
      <w:r>
        <w:rPr>
          <w:rFonts w:hint="eastAsia"/>
          <w:b/>
          <w:bCs/>
          <w:color w:val="auto"/>
          <w:sz w:val="32"/>
          <w:highlight w:val="none"/>
        </w:rPr>
        <w:t>日</w:t>
      </w:r>
    </w:p>
    <w:p>
      <w:pPr>
        <w:pStyle w:val="269"/>
        <w:ind w:firstLine="0"/>
        <w:jc w:val="center"/>
        <w:rPr>
          <w:b/>
          <w:bCs/>
          <w:color w:val="auto"/>
          <w:sz w:val="32"/>
          <w:highlight w:val="none"/>
        </w:rPr>
      </w:pPr>
    </w:p>
    <w:p>
      <w:pPr>
        <w:spacing w:line="480" w:lineRule="auto"/>
        <w:jc w:val="center"/>
        <w:outlineLvl w:val="0"/>
        <w:rPr>
          <w:rFonts w:ascii="黑体" w:hAnsi="Arial" w:eastAsia="黑体"/>
          <w:b/>
          <w:color w:val="auto"/>
          <w:sz w:val="44"/>
          <w:highlight w:val="none"/>
        </w:rPr>
      </w:pPr>
      <w:bookmarkStart w:id="0" w:name="_Toc120614210"/>
      <w:bookmarkStart w:id="1" w:name="_Toc20823272"/>
      <w:bookmarkStart w:id="2" w:name="_Toc523127445"/>
      <w:bookmarkStart w:id="3" w:name="_Toc513029200"/>
      <w:bookmarkStart w:id="4" w:name="_Toc479757206"/>
      <w:bookmarkStart w:id="5" w:name="_Toc16938516"/>
      <w:r>
        <w:rPr>
          <w:rFonts w:hint="eastAsia" w:ascii="黑体" w:hAnsi="Arial" w:eastAsia="黑体"/>
          <w:b/>
          <w:color w:val="auto"/>
          <w:sz w:val="44"/>
          <w:highlight w:val="none"/>
        </w:rPr>
        <w:t>总  目  录</w:t>
      </w:r>
    </w:p>
    <w:p>
      <w:pPr>
        <w:spacing w:line="480" w:lineRule="auto"/>
        <w:rPr>
          <w:rFonts w:ascii="仿宋_GB2312" w:hAnsi="Arial" w:eastAsia="仿宋_GB2312"/>
          <w:b/>
          <w:color w:val="auto"/>
          <w:sz w:val="28"/>
          <w:highlight w:val="none"/>
        </w:rPr>
      </w:pPr>
    </w:p>
    <w:p>
      <w:pPr>
        <w:numPr>
          <w:ilvl w:val="0"/>
          <w:numId w:val="4"/>
        </w:numPr>
        <w:spacing w:line="480" w:lineRule="auto"/>
        <w:outlineLvl w:val="0"/>
        <w:rPr>
          <w:rFonts w:ascii="黑体" w:hAnsi="Showcard Gothic" w:eastAsia="黑体"/>
          <w:color w:val="auto"/>
          <w:sz w:val="32"/>
          <w:highlight w:val="none"/>
        </w:rPr>
      </w:pPr>
      <w:r>
        <w:rPr>
          <w:rFonts w:hint="eastAsia" w:ascii="黑体" w:hAnsi="宋体" w:eastAsia="黑体"/>
          <w:color w:val="auto"/>
          <w:sz w:val="36"/>
          <w:highlight w:val="none"/>
        </w:rPr>
        <w:t>投标邀请</w:t>
      </w:r>
    </w:p>
    <w:p>
      <w:pPr>
        <w:numPr>
          <w:ilvl w:val="0"/>
          <w:numId w:val="4"/>
        </w:numPr>
        <w:spacing w:line="480" w:lineRule="auto"/>
        <w:outlineLvl w:val="0"/>
        <w:rPr>
          <w:rFonts w:ascii="黑体" w:hAnsi="Showcard Gothic" w:eastAsia="黑体"/>
          <w:color w:val="auto"/>
          <w:sz w:val="36"/>
          <w:highlight w:val="none"/>
        </w:rPr>
      </w:pPr>
      <w:r>
        <w:rPr>
          <w:rFonts w:hint="eastAsia" w:ascii="黑体" w:hAnsi="宋体" w:eastAsia="黑体"/>
          <w:bCs/>
          <w:color w:val="auto"/>
          <w:sz w:val="36"/>
          <w:szCs w:val="36"/>
          <w:highlight w:val="none"/>
        </w:rPr>
        <w:t>投标人须知</w:t>
      </w:r>
      <w:r>
        <w:rPr>
          <w:rFonts w:hint="eastAsia" w:ascii="黑体" w:hAnsi="Showcard Gothic" w:eastAsia="黑体"/>
          <w:color w:val="auto"/>
          <w:sz w:val="36"/>
          <w:highlight w:val="none"/>
        </w:rPr>
        <w:t xml:space="preserve">  </w:t>
      </w:r>
    </w:p>
    <w:p>
      <w:pPr>
        <w:numPr>
          <w:ilvl w:val="0"/>
          <w:numId w:val="4"/>
        </w:numPr>
        <w:spacing w:line="480" w:lineRule="auto"/>
        <w:outlineLvl w:val="0"/>
        <w:rPr>
          <w:rFonts w:ascii="黑体" w:hAnsi="Showcard Gothic" w:eastAsia="黑体"/>
          <w:color w:val="auto"/>
          <w:sz w:val="36"/>
          <w:highlight w:val="none"/>
        </w:rPr>
      </w:pPr>
      <w:r>
        <w:rPr>
          <w:rFonts w:hint="eastAsia" w:ascii="黑体" w:hAnsi="Showcard Gothic" w:eastAsia="黑体"/>
          <w:color w:val="auto"/>
          <w:sz w:val="36"/>
          <w:highlight w:val="none"/>
        </w:rPr>
        <w:t>采购需求</w:t>
      </w:r>
    </w:p>
    <w:p>
      <w:pPr>
        <w:numPr>
          <w:ilvl w:val="0"/>
          <w:numId w:val="4"/>
        </w:numPr>
        <w:spacing w:line="480" w:lineRule="auto"/>
        <w:outlineLvl w:val="0"/>
        <w:rPr>
          <w:rFonts w:ascii="黑体" w:hAnsi="Showcard Gothic" w:eastAsia="黑体"/>
          <w:color w:val="auto"/>
          <w:sz w:val="36"/>
          <w:highlight w:val="none"/>
        </w:rPr>
      </w:pPr>
      <w:r>
        <w:rPr>
          <w:rFonts w:hint="eastAsia" w:ascii="黑体" w:hAnsi="宋体" w:eastAsia="黑体"/>
          <w:bCs/>
          <w:color w:val="auto"/>
          <w:sz w:val="36"/>
          <w:szCs w:val="36"/>
          <w:highlight w:val="none"/>
        </w:rPr>
        <w:t>评标方法与评标标准</w:t>
      </w:r>
    </w:p>
    <w:p>
      <w:pPr>
        <w:numPr>
          <w:ilvl w:val="0"/>
          <w:numId w:val="4"/>
        </w:numPr>
        <w:spacing w:line="480" w:lineRule="auto"/>
        <w:outlineLvl w:val="0"/>
        <w:rPr>
          <w:rFonts w:ascii="黑体" w:hAnsi="Showcard Gothic" w:eastAsia="黑体"/>
          <w:color w:val="auto"/>
          <w:sz w:val="36"/>
          <w:highlight w:val="none"/>
        </w:rPr>
      </w:pPr>
      <w:r>
        <w:rPr>
          <w:rFonts w:hint="eastAsia" w:ascii="黑体" w:hAnsi="宋体" w:eastAsia="黑体"/>
          <w:color w:val="auto"/>
          <w:sz w:val="36"/>
          <w:highlight w:val="none"/>
        </w:rPr>
        <w:t>投标文件格式</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185"/>
        <w:spacing w:line="560" w:lineRule="exact"/>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投标邀请</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受南通市海安生态环境局的委托，中通服网盈科技有限公司就海安市东部片区重点区域排污口及污染源深度排查整治项目(项目编号：</w:t>
      </w:r>
      <w:r>
        <w:rPr>
          <w:rFonts w:hint="eastAsia" w:ascii="宋体" w:hAnsi="宋体"/>
          <w:color w:val="auto"/>
          <w:sz w:val="24"/>
          <w:szCs w:val="24"/>
          <w:highlight w:val="none"/>
          <w:u w:val="single"/>
        </w:rPr>
        <w:t>JSZC-320685-WYKJ-G2026-0035</w:t>
      </w:r>
      <w:r>
        <w:rPr>
          <w:rFonts w:hint="eastAsia" w:ascii="宋体" w:hAnsi="宋体"/>
          <w:color w:val="auto"/>
          <w:sz w:val="24"/>
          <w:szCs w:val="24"/>
          <w:highlight w:val="none"/>
        </w:rPr>
        <w:t>)进行公开招标采购，欢迎符合条件的投标人投标。</w:t>
      </w:r>
    </w:p>
    <w:p>
      <w:pPr>
        <w:pBdr>
          <w:top w:val="single" w:color="000000" w:sz="4" w:space="1"/>
          <w:left w:val="single" w:color="000000" w:sz="4" w:space="4"/>
          <w:bottom w:val="single" w:color="000000" w:sz="4" w:space="1"/>
          <w:right w:val="single" w:color="000000" w:sz="4" w:space="4"/>
        </w:pBd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项目概况</w:t>
      </w:r>
    </w:p>
    <w:p>
      <w:pPr>
        <w:pBdr>
          <w:top w:val="single" w:color="000000" w:sz="4" w:space="1"/>
          <w:left w:val="single" w:color="000000" w:sz="4" w:space="4"/>
          <w:bottom w:val="single" w:color="000000" w:sz="4" w:space="1"/>
          <w:right w:val="single" w:color="000000" w:sz="4" w:space="4"/>
        </w:pBd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u w:val="single"/>
        </w:rPr>
        <w:t xml:space="preserve"> 海安市东部片区重点区域排污口及污染源深度排查整治项目</w:t>
      </w:r>
      <w:r>
        <w:rPr>
          <w:rFonts w:hint="eastAsia" w:ascii="宋体" w:hAnsi="宋体"/>
          <w:color w:val="auto"/>
          <w:sz w:val="24"/>
          <w:szCs w:val="24"/>
          <w:highlight w:val="none"/>
        </w:rPr>
        <w:t>的潜在投标人可在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招标文件，并于</w:t>
      </w:r>
      <w:r>
        <w:rPr>
          <w:rFonts w:hint="eastAsia" w:ascii="宋体" w:hAnsi="宋体"/>
          <w:color w:val="auto"/>
          <w:sz w:val="24"/>
          <w:szCs w:val="24"/>
          <w:highlight w:val="none"/>
          <w:u w:val="single"/>
        </w:rPr>
        <w:t>2026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10</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12</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点00分（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pPr>
        <w:pStyle w:val="188"/>
        <w:spacing w:before="0" w:after="0" w:line="560" w:lineRule="exact"/>
        <w:ind w:firstLine="498"/>
        <w:rPr>
          <w:color w:val="auto"/>
          <w:highlight w:val="none"/>
        </w:rPr>
      </w:pPr>
      <w:bookmarkStart w:id="6" w:name="_Toc28359002"/>
      <w:bookmarkStart w:id="7" w:name="_Toc38985263"/>
      <w:bookmarkStart w:id="8" w:name="_Toc35393790"/>
      <w:bookmarkStart w:id="9" w:name="_Toc28359079"/>
      <w:bookmarkStart w:id="10" w:name="_Toc35393621"/>
      <w:bookmarkStart w:id="11" w:name="_Hlk24379207"/>
      <w:r>
        <w:rPr>
          <w:rFonts w:hint="eastAsia"/>
          <w:color w:val="auto"/>
          <w:highlight w:val="none"/>
        </w:rPr>
        <w:t>一、项目基本情况</w:t>
      </w:r>
      <w:bookmarkEnd w:id="6"/>
      <w:bookmarkEnd w:id="7"/>
      <w:bookmarkEnd w:id="8"/>
      <w:bookmarkEnd w:id="9"/>
      <w:bookmarkEnd w:id="10"/>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1.项目编号：JSZC-320685-WYKJ-G2026-0035      </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2.项目名称：海安市东部片区重点区域排污口及污染源深度排查整治项目</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3.项目类型：服务</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4.项目行业：其他未列明行业。</w:t>
      </w:r>
    </w:p>
    <w:bookmarkEnd w:id="11"/>
    <w:p>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5.预算金额：450万元，共分二个标段，标段一320万元，标段二130万元。</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6.最高限价：本项目分二个标段，标段一限价315万元，标段二限价128万元，报价超过最高限价的为无效投标文件。投标人可以自主选择标段响应。</w:t>
      </w:r>
    </w:p>
    <w:p>
      <w:pPr>
        <w:spacing w:line="560" w:lineRule="exact"/>
        <w:ind w:firstLine="480"/>
        <w:rPr>
          <w:rFonts w:hint="eastAsia" w:ascii="宋体" w:hAnsi="宋体" w:cs="宋体"/>
          <w:color w:val="auto"/>
          <w:sz w:val="24"/>
          <w:szCs w:val="24"/>
          <w:highlight w:val="none"/>
        </w:rPr>
      </w:pPr>
      <w:r>
        <w:rPr>
          <w:rFonts w:hint="eastAsia" w:ascii="宋体" w:hAnsi="宋体"/>
          <w:color w:val="auto"/>
          <w:sz w:val="24"/>
          <w:szCs w:val="24"/>
          <w:highlight w:val="none"/>
        </w:rPr>
        <w:t>7.采购需求：</w:t>
      </w:r>
      <w:r>
        <w:rPr>
          <w:rFonts w:hint="eastAsia" w:ascii="宋体" w:hAnsi="宋体" w:cs="宋体"/>
          <w:color w:val="auto"/>
          <w:sz w:val="24"/>
          <w:szCs w:val="24"/>
          <w:highlight w:val="none"/>
        </w:rPr>
        <w:t>详细内容见本招标文件第三章，</w:t>
      </w:r>
      <w:r>
        <w:rPr>
          <w:rFonts w:ascii="宋体" w:hAnsi="宋体" w:cs="宋体"/>
          <w:color w:val="auto"/>
          <w:sz w:val="24"/>
          <w:szCs w:val="24"/>
          <w:highlight w:val="none"/>
        </w:rPr>
        <w:t>请仔细研究。</w:t>
      </w:r>
    </w:p>
    <w:p>
      <w:pPr>
        <w:spacing w:line="56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8.合同履行期限：详见文件。</w:t>
      </w:r>
    </w:p>
    <w:p>
      <w:pPr>
        <w:pStyle w:val="188"/>
        <w:spacing w:before="0" w:after="0" w:line="560" w:lineRule="exact"/>
        <w:ind w:firstLine="498"/>
        <w:rPr>
          <w:color w:val="auto"/>
          <w:highlight w:val="none"/>
        </w:rPr>
      </w:pPr>
      <w:bookmarkStart w:id="12" w:name="_Toc28359003"/>
      <w:bookmarkStart w:id="13" w:name="_Toc35393622"/>
      <w:bookmarkStart w:id="14" w:name="_Toc35393791"/>
      <w:bookmarkStart w:id="15" w:name="_Toc38985264"/>
      <w:bookmarkStart w:id="16" w:name="_Toc28359080"/>
      <w:r>
        <w:rPr>
          <w:rFonts w:hint="eastAsia"/>
          <w:color w:val="auto"/>
          <w:highlight w:val="none"/>
        </w:rPr>
        <w:t>二、申请人的资格要求：</w:t>
      </w:r>
      <w:bookmarkEnd w:id="12"/>
      <w:bookmarkEnd w:id="13"/>
      <w:bookmarkEnd w:id="14"/>
      <w:bookmarkEnd w:id="15"/>
      <w:bookmarkEnd w:id="16"/>
    </w:p>
    <w:p>
      <w:pPr>
        <w:spacing w:line="560" w:lineRule="exact"/>
        <w:ind w:firstLine="480"/>
        <w:rPr>
          <w:rFonts w:hint="eastAsia" w:ascii="宋体" w:hAnsi="宋体"/>
          <w:color w:val="auto"/>
          <w:sz w:val="24"/>
          <w:szCs w:val="24"/>
          <w:highlight w:val="none"/>
        </w:rPr>
      </w:pPr>
      <w:bookmarkStart w:id="17" w:name="_Toc38985265"/>
      <w:bookmarkStart w:id="18" w:name="_Toc28359081"/>
      <w:bookmarkStart w:id="19" w:name="_Toc35393623"/>
      <w:bookmarkStart w:id="20" w:name="_Toc28359004"/>
      <w:bookmarkStart w:id="21" w:name="_Toc35393792"/>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 满足《中华人民共和国政府采购法》第二十二条规定。</w:t>
      </w:r>
      <w:r>
        <w:rPr>
          <w:rFonts w:ascii="宋体" w:hAnsi="宋体"/>
          <w:color w:val="auto"/>
          <w:sz w:val="24"/>
          <w:highlight w:val="none"/>
        </w:rPr>
        <w:t>提供投标人符合《政府采购法》第二十二条规定条件的声明函（格式见附件1）</w:t>
      </w:r>
    </w:p>
    <w:p>
      <w:pPr>
        <w:spacing w:line="560" w:lineRule="exact"/>
        <w:ind w:firstLine="480"/>
        <w:rPr>
          <w:rFonts w:hint="eastAsia" w:ascii="华文新魏" w:hAnsi="宋体" w:eastAsia="华文新魏"/>
          <w:color w:val="auto"/>
          <w:sz w:val="36"/>
          <w:szCs w:val="36"/>
          <w:highlight w:val="none"/>
        </w:rPr>
      </w:pPr>
      <w:r>
        <w:rPr>
          <w:rFonts w:hint="eastAsia" w:ascii="宋体" w:hAnsi="宋体"/>
          <w:color w:val="auto"/>
          <w:sz w:val="24"/>
          <w:szCs w:val="24"/>
          <w:highlight w:val="none"/>
        </w:rPr>
        <w:t>2. 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响应文件中无需提供其他证明材料）</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3.落实政府采购政策需满足的资格要求：</w:t>
      </w:r>
      <w:r>
        <w:rPr>
          <w:rFonts w:hint="eastAsia" w:ascii="宋体" w:hAnsi="宋体" w:cs="宋体"/>
          <w:color w:val="auto"/>
          <w:sz w:val="24"/>
          <w:szCs w:val="24"/>
          <w:highlight w:val="none"/>
        </w:rPr>
        <w:t>本项目专门面向中小企业采购,投标人应为中小微企业或监狱企业或残疾人福利性单位，并按照采购文件要求提供《中小企业声明函》或《残疾人福利性单位声明函》或监狱和戒毒企业证明材料</w:t>
      </w:r>
      <w:r>
        <w:rPr>
          <w:rFonts w:hint="eastAsia" w:ascii="宋体" w:hAnsi="宋体"/>
          <w:color w:val="auto"/>
          <w:sz w:val="24"/>
          <w:szCs w:val="24"/>
          <w:highlight w:val="none"/>
        </w:rPr>
        <w:t>。</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4.本项目不接受联合体投标。</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5.本项目</w:t>
      </w:r>
      <w:r>
        <w:rPr>
          <w:rFonts w:hint="eastAsia" w:ascii="宋体" w:hAnsi="宋体"/>
          <w:color w:val="auto"/>
          <w:sz w:val="24"/>
          <w:szCs w:val="24"/>
          <w:highlight w:val="none"/>
        </w:rPr>
        <w:t>不接受分包。</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（二）本项目的特定资格要求：无</w:t>
      </w:r>
      <w:r>
        <w:rPr>
          <w:rFonts w:hint="eastAsia" w:ascii="宋体" w:hAnsi="宋体" w:cs="宋体"/>
          <w:color w:val="auto"/>
          <w:sz w:val="24"/>
          <w:highlight w:val="none"/>
        </w:rPr>
        <w:t>。</w:t>
      </w:r>
    </w:p>
    <w:p>
      <w:pPr>
        <w:pStyle w:val="188"/>
        <w:spacing w:before="0" w:after="0" w:line="560" w:lineRule="exact"/>
        <w:ind w:firstLine="498"/>
        <w:rPr>
          <w:color w:val="auto"/>
          <w:highlight w:val="none"/>
        </w:rPr>
      </w:pPr>
      <w:r>
        <w:rPr>
          <w:rFonts w:hint="eastAsia"/>
          <w:color w:val="auto"/>
          <w:highlight w:val="none"/>
        </w:rPr>
        <w:t>三、获取招标文件</w:t>
      </w:r>
      <w:bookmarkEnd w:id="17"/>
      <w:bookmarkEnd w:id="18"/>
      <w:bookmarkEnd w:id="19"/>
      <w:bookmarkEnd w:id="20"/>
      <w:bookmarkEnd w:id="21"/>
    </w:p>
    <w:p>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1.时间：自招标文件公告发布之日起5个工作日。</w:t>
      </w:r>
    </w:p>
    <w:p>
      <w:pPr>
        <w:spacing w:line="560" w:lineRule="exact"/>
        <w:ind w:firstLine="540"/>
        <w:rPr>
          <w:color w:val="auto"/>
          <w:highlight w:val="none"/>
        </w:rPr>
      </w:pPr>
      <w:r>
        <w:rPr>
          <w:rFonts w:hint="eastAsia" w:ascii="宋体" w:hAnsi="宋体" w:cs="宋体"/>
          <w:color w:val="auto"/>
          <w:sz w:val="24"/>
          <w:szCs w:val="24"/>
          <w:highlight w:val="none"/>
        </w:rPr>
        <w:t>2.方式：在“江苏政府采购网”自行免费下载招标文件。</w:t>
      </w:r>
    </w:p>
    <w:p>
      <w:pPr>
        <w:pStyle w:val="188"/>
        <w:spacing w:before="0" w:after="0" w:line="560" w:lineRule="exact"/>
        <w:ind w:firstLine="498"/>
        <w:rPr>
          <w:color w:val="auto"/>
          <w:highlight w:val="none"/>
        </w:rPr>
      </w:pPr>
      <w:bookmarkStart w:id="22" w:name="_Toc28359005"/>
      <w:bookmarkStart w:id="23" w:name="_Toc28359082"/>
      <w:bookmarkStart w:id="24" w:name="_Toc35393624"/>
      <w:bookmarkStart w:id="25" w:name="_Toc38985266"/>
      <w:bookmarkStart w:id="26" w:name="_Toc35393793"/>
      <w:r>
        <w:rPr>
          <w:rFonts w:hint="eastAsia"/>
          <w:color w:val="auto"/>
          <w:highlight w:val="none"/>
        </w:rPr>
        <w:t>四、提交投标文件</w:t>
      </w:r>
      <w:bookmarkEnd w:id="22"/>
      <w:bookmarkEnd w:id="23"/>
      <w:r>
        <w:rPr>
          <w:rFonts w:hint="eastAsia"/>
          <w:color w:val="auto"/>
          <w:highlight w:val="none"/>
        </w:rPr>
        <w:t>截止时间、开标时间和地点</w:t>
      </w:r>
      <w:bookmarkEnd w:id="24"/>
      <w:bookmarkEnd w:id="25"/>
      <w:bookmarkEnd w:id="26"/>
    </w:p>
    <w:p>
      <w:pPr>
        <w:spacing w:line="56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1.</w:t>
      </w:r>
      <w:r>
        <w:rPr>
          <w:rFonts w:hint="eastAsia" w:ascii="宋体" w:hAnsi="宋体"/>
          <w:bCs/>
          <w:color w:val="auto"/>
          <w:sz w:val="24"/>
          <w:szCs w:val="24"/>
          <w:highlight w:val="none"/>
          <w:u w:val="single"/>
        </w:rPr>
        <w:t>2026年</w:t>
      </w:r>
      <w:r>
        <w:rPr>
          <w:rFonts w:hint="eastAsia" w:ascii="宋体" w:hAnsi="宋体"/>
          <w:bCs/>
          <w:color w:val="auto"/>
          <w:sz w:val="24"/>
          <w:szCs w:val="24"/>
          <w:highlight w:val="none"/>
          <w:u w:val="single"/>
          <w:lang w:val="en-US" w:eastAsia="zh-CN"/>
        </w:rPr>
        <w:t>10</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12</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00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w:t>
      </w:r>
      <w:r>
        <w:rPr>
          <w:rFonts w:hint="eastAsia" w:ascii="宋体" w:hAnsi="宋体" w:cs="宋体"/>
          <w:color w:val="auto"/>
          <w:sz w:val="24"/>
          <w:szCs w:val="24"/>
          <w:highlight w:val="none"/>
        </w:rPr>
        <w:t>（自招标文件开始发出之日起至投标人提交投标文件截止之日止，不得少于</w:t>
      </w:r>
      <w:r>
        <w:rPr>
          <w:rFonts w:ascii="宋体" w:hAnsi="宋体" w:cs="宋体"/>
          <w:color w:val="auto"/>
          <w:sz w:val="24"/>
          <w:szCs w:val="24"/>
          <w:highlight w:val="none"/>
        </w:rPr>
        <w:t>2</w:t>
      </w:r>
      <w:r>
        <w:rPr>
          <w:rFonts w:hint="eastAsia" w:ascii="宋体" w:hAnsi="宋体" w:cs="宋体"/>
          <w:color w:val="auto"/>
          <w:sz w:val="24"/>
          <w:szCs w:val="24"/>
          <w:highlight w:val="none"/>
        </w:rPr>
        <w:t>0日。）</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2.地点：“苏采云”政府采购交易系统网上开标大厅。</w:t>
      </w:r>
    </w:p>
    <w:p>
      <w:pPr>
        <w:spacing w:line="560" w:lineRule="exact"/>
        <w:ind w:firstLine="480"/>
        <w:rPr>
          <w:rFonts w:hint="eastAsia" w:ascii="宋体" w:hAnsi="宋体"/>
          <w:b/>
          <w:bCs/>
          <w:color w:val="auto"/>
          <w:sz w:val="24"/>
          <w:szCs w:val="24"/>
          <w:highlight w:val="none"/>
          <w:u w:val="single"/>
        </w:rPr>
      </w:pPr>
      <w:r>
        <w:rPr>
          <w:rFonts w:hint="eastAsia" w:ascii="宋体" w:hAnsi="宋体" w:cs="宋体"/>
          <w:color w:val="auto"/>
          <w:sz w:val="24"/>
          <w:highlight w:val="none"/>
        </w:rPr>
        <w:t>3.响应文件的解密：开标当天各投标人及时登录不见面开标大厅，响应文件递交截止时间后，采购人将在系统内公布投标人名单，然后通过开标会议区发出响应文件解密的指令，投标人在开标室按规定时间自行实施远程解密，</w:t>
      </w:r>
      <w:r>
        <w:rPr>
          <w:rFonts w:hint="eastAsia" w:ascii="宋体" w:hAnsi="宋体" w:cs="宋体"/>
          <w:b/>
          <w:color w:val="auto"/>
          <w:sz w:val="24"/>
          <w:highlight w:val="none"/>
        </w:rPr>
        <w:t>投标人解密限定在开标后30分钟之内完成</w:t>
      </w:r>
      <w:r>
        <w:rPr>
          <w:rFonts w:hint="eastAsia" w:ascii="宋体" w:hAnsi="宋体" w:cs="宋体"/>
          <w:color w:val="auto"/>
          <w:sz w:val="24"/>
          <w:highlight w:val="none"/>
        </w:rPr>
        <w:t>。</w:t>
      </w:r>
      <w:r>
        <w:rPr>
          <w:rFonts w:hint="eastAsia" w:ascii="宋体" w:hAnsi="宋体" w:cs="宋体"/>
          <w:color w:val="auto"/>
          <w:sz w:val="24"/>
          <w:highlight w:val="none"/>
          <w:u w:val="single"/>
        </w:rPr>
        <w:t>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w:t>
      </w:r>
      <w:r>
        <w:rPr>
          <w:rFonts w:hint="eastAsia" w:ascii="宋体" w:hAnsi="宋体" w:cs="宋体"/>
          <w:color w:val="auto"/>
          <w:sz w:val="24"/>
          <w:highlight w:val="none"/>
        </w:rPr>
        <w:t>；因采购人原因或网上招投标平台发生故障，导致无法按时完成响应文件解密或开、评标工作无法进行的，可根据实际情况相应延迟解密时间或调整开、评标时间。</w:t>
      </w:r>
    </w:p>
    <w:p>
      <w:pPr>
        <w:pStyle w:val="188"/>
        <w:spacing w:before="0" w:after="0" w:line="560" w:lineRule="exact"/>
        <w:ind w:firstLine="498"/>
        <w:rPr>
          <w:color w:val="auto"/>
          <w:highlight w:val="none"/>
        </w:rPr>
      </w:pPr>
      <w:bookmarkStart w:id="27" w:name="_Toc28359007"/>
      <w:bookmarkStart w:id="28" w:name="_Toc28359084"/>
      <w:bookmarkStart w:id="29" w:name="_Toc35393794"/>
      <w:bookmarkStart w:id="30" w:name="_Toc35393625"/>
      <w:bookmarkStart w:id="31" w:name="_Toc38985267"/>
      <w:r>
        <w:rPr>
          <w:rFonts w:hint="eastAsia"/>
          <w:color w:val="auto"/>
          <w:highlight w:val="none"/>
        </w:rPr>
        <w:t>五、公告期限</w:t>
      </w:r>
      <w:bookmarkEnd w:id="27"/>
      <w:bookmarkEnd w:id="28"/>
      <w:bookmarkEnd w:id="29"/>
      <w:bookmarkEnd w:id="30"/>
      <w:bookmarkEnd w:id="31"/>
    </w:p>
    <w:p>
      <w:pPr>
        <w:spacing w:line="560" w:lineRule="exact"/>
        <w:ind w:firstLine="480"/>
        <w:rPr>
          <w:rFonts w:hint="eastAsia" w:ascii="宋体" w:hAnsi="宋体" w:cs="宋体"/>
          <w:color w:val="auto"/>
          <w:sz w:val="24"/>
          <w:szCs w:val="24"/>
          <w:highlight w:val="none"/>
        </w:rPr>
      </w:pPr>
      <w:bookmarkStart w:id="32" w:name="_Toc35393795"/>
      <w:bookmarkStart w:id="33" w:name="_Toc38985268"/>
      <w:bookmarkStart w:id="34" w:name="_Toc35393626"/>
      <w:r>
        <w:rPr>
          <w:rFonts w:hint="eastAsia" w:ascii="宋体" w:hAnsi="宋体" w:cs="宋体"/>
          <w:color w:val="auto"/>
          <w:sz w:val="24"/>
          <w:szCs w:val="24"/>
          <w:highlight w:val="none"/>
        </w:rPr>
        <w:t>招标公告及招标文件公告期限为自本公告发布之日起5个工作日。</w:t>
      </w:r>
    </w:p>
    <w:p>
      <w:pPr>
        <w:pStyle w:val="188"/>
        <w:spacing w:before="0" w:after="0" w:line="560" w:lineRule="exact"/>
        <w:ind w:firstLine="498"/>
        <w:rPr>
          <w:color w:val="auto"/>
          <w:highlight w:val="none"/>
        </w:rPr>
      </w:pPr>
      <w:r>
        <w:rPr>
          <w:rFonts w:hint="eastAsia"/>
          <w:color w:val="auto"/>
          <w:highlight w:val="none"/>
        </w:rPr>
        <w:t>六、其他补充事宜</w:t>
      </w:r>
      <w:bookmarkEnd w:id="32"/>
      <w:bookmarkEnd w:id="33"/>
      <w:bookmarkEnd w:id="34"/>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1.投标保证金：免收</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2.项目开标活动模式：不见面远程开标模式，投标人在各自地点通过“苏采云”政府采购交易系统参加开标会。</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3.项目演示、样品、答辩等（如有请描述）：无</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对项目需求部分（投标人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color w:val="auto"/>
          <w:sz w:val="24"/>
          <w:szCs w:val="24"/>
          <w:highlight w:val="none"/>
          <w:u w:val="single"/>
        </w:rPr>
        <w:t>http://www.ccgp-jiangsu.gov.cn/jiangsu/zlxz/ee/ee3a4bc5a3454aa2b0d9312230633ce9.html</w:t>
      </w:r>
      <w:r>
        <w:rPr>
          <w:rFonts w:hint="eastAsia" w:ascii="宋体" w:hAnsi="宋体" w:cs="宋体"/>
          <w:color w:val="auto"/>
          <w:sz w:val="24"/>
          <w:szCs w:val="24"/>
          <w:highlight w:val="none"/>
        </w:rPr>
        <w:t>。</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领取CA和办理电子签章：投标人可选择就近地市自行办理，具体联系方式见《苏采云系统投标人操作手册》（以下简称《操作手册》）），进行注册并按《操作手册》要求制作、上传电子投标文件；也可前往“江苏政务服务网”（www.jszwfw.gov.cn），“一企来办”专栏下“政府采购”模块详细了解关于CA办理、标书制作、开标投标指引等事宜。</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如果“江苏政府采购网”（www.ccgp-jiangsu.gov.cn）信息与“江苏政务服务网” （www.jszwfw.gov.cn），“一企来办”专栏下“政府采购”模块中信息不一致，以“江苏政府采购网”信息为准。</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7.有关本次招标的事项若存在变动或修改，敬请及时关注中通服网盈科技有限公司在“江苏政府采购网”发布的更正公告。</w:t>
      </w:r>
    </w:p>
    <w:p>
      <w:pPr>
        <w:pStyle w:val="188"/>
        <w:spacing w:before="0" w:after="0" w:line="560" w:lineRule="exact"/>
        <w:ind w:firstLine="498"/>
        <w:rPr>
          <w:color w:val="auto"/>
          <w:highlight w:val="none"/>
        </w:rPr>
      </w:pPr>
      <w:bookmarkStart w:id="35" w:name="_Toc28359008"/>
      <w:bookmarkStart w:id="36" w:name="_Toc35393627"/>
      <w:bookmarkStart w:id="37" w:name="_Toc35393796"/>
      <w:bookmarkStart w:id="38" w:name="_Toc28359085"/>
      <w:bookmarkStart w:id="39" w:name="_Toc38985269"/>
      <w:r>
        <w:rPr>
          <w:rFonts w:hint="eastAsia"/>
          <w:color w:val="auto"/>
          <w:highlight w:val="none"/>
        </w:rPr>
        <w:t>七、本次招标联系方式</w:t>
      </w:r>
      <w:bookmarkEnd w:id="35"/>
      <w:bookmarkEnd w:id="36"/>
      <w:bookmarkEnd w:id="37"/>
      <w:bookmarkEnd w:id="38"/>
      <w:bookmarkEnd w:id="39"/>
    </w:p>
    <w:p>
      <w:pPr>
        <w:widowControl/>
        <w:spacing w:line="560" w:lineRule="exact"/>
        <w:jc w:val="left"/>
        <w:rPr>
          <w:rFonts w:hint="eastAsia" w:ascii="宋体" w:hAnsi="宋体"/>
          <w:color w:val="auto"/>
          <w:sz w:val="24"/>
          <w:szCs w:val="24"/>
          <w:highlight w:val="none"/>
        </w:rPr>
      </w:pPr>
      <w:r>
        <w:rPr>
          <w:rFonts w:hint="eastAsia" w:ascii="仿宋" w:hAnsi="仿宋" w:eastAsia="仿宋" w:cs="宋体"/>
          <w:color w:val="auto"/>
          <w:sz w:val="28"/>
          <w:szCs w:val="28"/>
          <w:highlight w:val="none"/>
        </w:rPr>
        <w:t>　　　</w:t>
      </w:r>
      <w:r>
        <w:rPr>
          <w:rFonts w:hint="eastAsia" w:ascii="宋体" w:hAnsi="宋体" w:cs="宋体"/>
          <w:color w:val="auto"/>
          <w:sz w:val="24"/>
          <w:szCs w:val="24"/>
          <w:highlight w:val="none"/>
        </w:rPr>
        <w:t>1.采购人信息</w:t>
      </w:r>
    </w:p>
    <w:p>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名 称：南通市海安生态环境局</w:t>
      </w:r>
      <w:r>
        <w:rPr>
          <w:rFonts w:ascii="宋体" w:hAnsi="宋体"/>
          <w:color w:val="auto"/>
          <w:sz w:val="24"/>
          <w:szCs w:val="24"/>
          <w:highlight w:val="none"/>
        </w:rPr>
        <w:t xml:space="preserve"> </w:t>
      </w:r>
    </w:p>
    <w:p>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地址：海安科创园(镇南路428号)1号楼5层</w:t>
      </w:r>
      <w:r>
        <w:rPr>
          <w:rFonts w:ascii="宋体" w:hAnsi="宋体"/>
          <w:color w:val="auto"/>
          <w:sz w:val="24"/>
          <w:szCs w:val="24"/>
          <w:highlight w:val="none"/>
        </w:rPr>
        <w:t xml:space="preserve"> </w:t>
      </w:r>
    </w:p>
    <w:p>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 xml:space="preserve">联系人：张女士 </w:t>
      </w:r>
    </w:p>
    <w:p>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 xml:space="preserve">联系方式：0513-88817215 </w:t>
      </w:r>
      <w:bookmarkStart w:id="40" w:name="_Toc28359009"/>
      <w:bookmarkStart w:id="41" w:name="_Toc28359086"/>
    </w:p>
    <w:p>
      <w:pPr>
        <w:spacing w:line="560" w:lineRule="exact"/>
        <w:ind w:left="1079" w:hanging="3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40"/>
      <w:bookmarkEnd w:id="41"/>
      <w:r>
        <w:rPr>
          <w:rFonts w:hint="eastAsia"/>
          <w:color w:val="auto"/>
          <w:highlight w:val="none"/>
        </w:rPr>
        <w:t xml:space="preserve"> </w:t>
      </w:r>
      <w:r>
        <w:rPr>
          <w:rFonts w:hint="eastAsia" w:ascii="宋体" w:hAnsi="宋体" w:cs="宋体"/>
          <w:color w:val="auto"/>
          <w:sz w:val="24"/>
          <w:szCs w:val="24"/>
          <w:highlight w:val="none"/>
        </w:rPr>
        <w:t>中通服网盈科技有限公司</w:t>
      </w:r>
    </w:p>
    <w:p>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地　址：海安市海安开发区通榆中路89号春秋置业7楼</w:t>
      </w:r>
    </w:p>
    <w:p>
      <w:pPr>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联系人：张茹、朱益龙、顾蓉蓉、张镇宁、</w:t>
      </w:r>
      <w:r>
        <w:rPr>
          <w:rFonts w:hint="eastAsia" w:ascii="宋体" w:hAnsi="宋体" w:cs="宋体"/>
          <w:color w:val="auto"/>
          <w:sz w:val="24"/>
          <w:szCs w:val="24"/>
          <w:highlight w:val="none"/>
        </w:rPr>
        <w:t>刘雷</w:t>
      </w:r>
      <w:r>
        <w:rPr>
          <w:rFonts w:hint="eastAsia" w:ascii="宋体" w:hAnsi="宋体"/>
          <w:color w:val="auto"/>
          <w:sz w:val="24"/>
          <w:szCs w:val="24"/>
          <w:highlight w:val="none"/>
        </w:rPr>
        <w:t xml:space="preserve"> </w:t>
      </w:r>
    </w:p>
    <w:p>
      <w:pPr>
        <w:spacing w:line="560" w:lineRule="exact"/>
        <w:ind w:firstLine="720"/>
        <w:rPr>
          <w:rFonts w:hint="eastAsia" w:ascii="宋体" w:hAnsi="宋体"/>
          <w:color w:val="auto"/>
          <w:sz w:val="24"/>
          <w:szCs w:val="24"/>
          <w:highlight w:val="none"/>
          <w:u w:val="single"/>
        </w:rPr>
      </w:pPr>
      <w:r>
        <w:rPr>
          <w:rFonts w:hint="eastAsia" w:ascii="宋体" w:hAnsi="宋体"/>
          <w:color w:val="auto"/>
          <w:sz w:val="24"/>
          <w:szCs w:val="24"/>
          <w:highlight w:val="none"/>
        </w:rPr>
        <w:t>联系方式：</w:t>
      </w:r>
      <w:bookmarkStart w:id="42" w:name="_Toc28359087"/>
      <w:bookmarkStart w:id="43" w:name="_Toc28359010"/>
      <w:r>
        <w:rPr>
          <w:rFonts w:hint="eastAsia" w:ascii="宋体" w:hAnsi="宋体"/>
          <w:color w:val="auto"/>
          <w:sz w:val="24"/>
          <w:szCs w:val="24"/>
          <w:highlight w:val="none"/>
        </w:rPr>
        <w:t xml:space="preserve">15262723081 </w:t>
      </w:r>
    </w:p>
    <w:p>
      <w:pPr>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3.项目联系方式</w:t>
      </w:r>
    </w:p>
    <w:p>
      <w:pPr>
        <w:spacing w:line="560" w:lineRule="exact"/>
        <w:ind w:firstLine="720"/>
        <w:rPr>
          <w:rFonts w:hint="eastAsia" w:ascii="宋体" w:hAnsi="宋体"/>
          <w:color w:val="auto"/>
          <w:sz w:val="24"/>
          <w:szCs w:val="24"/>
          <w:highlight w:val="none"/>
        </w:rPr>
      </w:pPr>
      <w:r>
        <w:rPr>
          <w:rFonts w:ascii="宋体" w:hAnsi="宋体"/>
          <w:color w:val="auto"/>
          <w:sz w:val="24"/>
          <w:szCs w:val="24"/>
          <w:highlight w:val="none"/>
        </w:rPr>
        <w:t xml:space="preserve">招标文件制作人: </w:t>
      </w:r>
      <w:r>
        <w:rPr>
          <w:rFonts w:hint="eastAsia" w:ascii="宋体" w:hAnsi="宋体"/>
          <w:color w:val="auto"/>
          <w:sz w:val="24"/>
          <w:szCs w:val="24"/>
          <w:highlight w:val="none"/>
        </w:rPr>
        <w:t>15262723081</w:t>
      </w:r>
    </w:p>
    <w:p>
      <w:pPr>
        <w:spacing w:line="560" w:lineRule="exact"/>
        <w:ind w:firstLine="720"/>
        <w:rPr>
          <w:rFonts w:hint="eastAsia" w:ascii="宋体" w:hAnsi="宋体"/>
          <w:color w:val="auto"/>
          <w:sz w:val="24"/>
          <w:szCs w:val="24"/>
          <w:highlight w:val="none"/>
        </w:rPr>
      </w:pPr>
      <w:r>
        <w:rPr>
          <w:rFonts w:ascii="宋体" w:hAnsi="宋体"/>
          <w:color w:val="auto"/>
          <w:sz w:val="24"/>
          <w:szCs w:val="24"/>
          <w:highlight w:val="none"/>
        </w:rPr>
        <w:t>项目开标人：</w:t>
      </w:r>
      <w:r>
        <w:rPr>
          <w:rFonts w:hint="eastAsia" w:ascii="宋体" w:hAnsi="宋体"/>
          <w:color w:val="auto"/>
          <w:sz w:val="24"/>
          <w:szCs w:val="24"/>
          <w:highlight w:val="none"/>
        </w:rPr>
        <w:t>15262723081</w:t>
      </w:r>
    </w:p>
    <w:p>
      <w:pPr>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交易系统软件维护人员：</w:t>
      </w:r>
      <w:bookmarkEnd w:id="42"/>
      <w:bookmarkEnd w:id="43"/>
      <w:bookmarkStart w:id="44" w:name="_Toc120614211"/>
      <w:r>
        <w:rPr>
          <w:rFonts w:ascii="宋体" w:hAnsi="宋体"/>
          <w:color w:val="auto"/>
          <w:sz w:val="24"/>
          <w:szCs w:val="24"/>
          <w:highlight w:val="none"/>
        </w:rPr>
        <w:t xml:space="preserve"> 0519-86722801</w:t>
      </w:r>
      <w:r>
        <w:rPr>
          <w:rFonts w:hint="eastAsia" w:ascii="宋体" w:hAnsi="宋体"/>
          <w:color w:val="auto"/>
          <w:sz w:val="24"/>
          <w:szCs w:val="24"/>
          <w:highlight w:val="none"/>
        </w:rPr>
        <w:t>、</w:t>
      </w:r>
      <w:r>
        <w:rPr>
          <w:rFonts w:ascii="宋体" w:hAnsi="宋体"/>
          <w:color w:val="auto"/>
          <w:sz w:val="24"/>
          <w:szCs w:val="24"/>
          <w:highlight w:val="none"/>
        </w:rPr>
        <w:t>0513-59001950</w:t>
      </w:r>
    </w:p>
    <w:p>
      <w:pPr>
        <w:spacing w:line="560" w:lineRule="exact"/>
        <w:ind w:firstLine="720"/>
        <w:rPr>
          <w:rFonts w:hint="eastAsia" w:ascii="宋体" w:hAnsi="宋体"/>
          <w:color w:val="auto"/>
          <w:sz w:val="24"/>
          <w:szCs w:val="24"/>
          <w:highlight w:val="none"/>
        </w:rPr>
      </w:pPr>
    </w:p>
    <w:p>
      <w:pPr>
        <w:spacing w:line="560" w:lineRule="exact"/>
        <w:ind w:firstLine="720"/>
        <w:rPr>
          <w:rFonts w:hint="eastAsia" w:ascii="宋体" w:hAnsi="宋体"/>
          <w:color w:val="auto"/>
          <w:sz w:val="24"/>
          <w:szCs w:val="24"/>
          <w:highlight w:val="none"/>
        </w:rPr>
      </w:pPr>
    </w:p>
    <w:p>
      <w:pPr>
        <w:spacing w:line="560" w:lineRule="exact"/>
        <w:ind w:firstLine="720"/>
        <w:rPr>
          <w:rFonts w:hint="eastAsia" w:ascii="宋体" w:hAnsi="宋体"/>
          <w:color w:val="auto"/>
          <w:sz w:val="24"/>
          <w:szCs w:val="24"/>
          <w:highlight w:val="none"/>
        </w:rPr>
      </w:pPr>
    </w:p>
    <w:p>
      <w:pPr>
        <w:spacing w:line="560" w:lineRule="exact"/>
        <w:ind w:firstLine="720"/>
        <w:rPr>
          <w:rFonts w:hint="eastAsia" w:ascii="宋体" w:hAnsi="宋体"/>
          <w:color w:val="auto"/>
          <w:sz w:val="24"/>
          <w:szCs w:val="24"/>
          <w:highlight w:val="none"/>
        </w:rPr>
      </w:pPr>
    </w:p>
    <w:p>
      <w:pPr>
        <w:pStyle w:val="186"/>
        <w:spacing w:before="0" w:after="0" w:line="520" w:lineRule="exact"/>
        <w:ind w:firstLine="2429"/>
        <w:jc w:val="both"/>
        <w:rPr>
          <w:rFonts w:ascii="黑体" w:eastAsia="黑体"/>
          <w:b w:val="0"/>
          <w:bCs w:val="0"/>
          <w:color w:val="auto"/>
          <w:highlight w:val="none"/>
        </w:rPr>
      </w:pPr>
      <w:r>
        <w:rPr>
          <w:rFonts w:hint="eastAsia" w:ascii="黑体" w:eastAsia="黑体"/>
          <w:color w:val="auto"/>
          <w:highlight w:val="none"/>
        </w:rPr>
        <w:t xml:space="preserve">第二章  </w:t>
      </w:r>
      <w:bookmarkEnd w:id="1"/>
      <w:bookmarkEnd w:id="2"/>
      <w:bookmarkEnd w:id="3"/>
      <w:bookmarkEnd w:id="4"/>
      <w:bookmarkEnd w:id="5"/>
      <w:bookmarkEnd w:id="44"/>
      <w:bookmarkStart w:id="45" w:name="_Toc16938518"/>
      <w:bookmarkStart w:id="46" w:name="_Toc120614213"/>
      <w:bookmarkStart w:id="47" w:name="_Toc513029202"/>
      <w:bookmarkStart w:id="48" w:name="_Toc20823274"/>
      <w:r>
        <w:rPr>
          <w:rFonts w:hint="eastAsia" w:ascii="黑体" w:eastAsia="黑体"/>
          <w:color w:val="auto"/>
          <w:highlight w:val="none"/>
        </w:rPr>
        <w:t>投标人须知</w:t>
      </w:r>
      <w:bookmarkEnd w:id="45"/>
      <w:bookmarkEnd w:id="46"/>
      <w:bookmarkEnd w:id="47"/>
      <w:bookmarkEnd w:id="48"/>
    </w:p>
    <w:p>
      <w:pPr>
        <w:pStyle w:val="188"/>
        <w:spacing w:before="0" w:after="0" w:line="520" w:lineRule="exact"/>
        <w:ind w:firstLine="498"/>
        <w:rPr>
          <w:color w:val="auto"/>
          <w:highlight w:val="none"/>
        </w:rPr>
      </w:pPr>
      <w:bookmarkStart w:id="49" w:name="_Toc20823275"/>
      <w:bookmarkStart w:id="50" w:name="_Toc513029203"/>
      <w:bookmarkStart w:id="51" w:name="_Toc120614214"/>
      <w:bookmarkStart w:id="52" w:name="_Toc16938519"/>
      <w:r>
        <w:rPr>
          <w:rFonts w:hint="eastAsia"/>
          <w:color w:val="auto"/>
          <w:highlight w:val="none"/>
        </w:rPr>
        <w:t>一、总则</w:t>
      </w:r>
      <w:bookmarkEnd w:id="49"/>
      <w:bookmarkEnd w:id="50"/>
      <w:bookmarkEnd w:id="51"/>
      <w:bookmarkEnd w:id="52"/>
    </w:p>
    <w:p>
      <w:pPr>
        <w:pStyle w:val="36"/>
        <w:spacing w:before="0" w:after="0" w:line="520" w:lineRule="exact"/>
        <w:ind w:firstLine="420"/>
        <w:rPr>
          <w:b w:val="0"/>
          <w:bCs w:val="0"/>
          <w:color w:val="auto"/>
          <w:highlight w:val="none"/>
        </w:rPr>
      </w:pPr>
      <w:bookmarkStart w:id="53" w:name="_Hlt16619475"/>
      <w:bookmarkEnd w:id="53"/>
      <w:bookmarkStart w:id="54" w:name="_Toc458694821"/>
      <w:bookmarkStart w:id="55" w:name="_Toc20823276"/>
      <w:bookmarkStart w:id="56" w:name="_Toc16938520"/>
      <w:bookmarkStart w:id="57" w:name="_Toc513029204"/>
      <w:r>
        <w:rPr>
          <w:rFonts w:hint="eastAsia"/>
          <w:b w:val="0"/>
          <w:bCs w:val="0"/>
          <w:color w:val="auto"/>
          <w:highlight w:val="none"/>
        </w:rPr>
        <w:t>1</w:t>
      </w:r>
      <w:bookmarkEnd w:id="54"/>
      <w:r>
        <w:rPr>
          <w:rFonts w:hint="eastAsia"/>
          <w:b w:val="0"/>
          <w:bCs w:val="0"/>
          <w:color w:val="auto"/>
          <w:highlight w:val="none"/>
        </w:rPr>
        <w:t>、招标方式</w:t>
      </w:r>
      <w:bookmarkEnd w:id="55"/>
      <w:bookmarkEnd w:id="56"/>
      <w:bookmarkEnd w:id="57"/>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pPr>
        <w:pStyle w:val="36"/>
        <w:spacing w:before="0" w:after="0" w:line="520" w:lineRule="exact"/>
        <w:ind w:firstLine="420"/>
        <w:rPr>
          <w:b w:val="0"/>
          <w:bCs w:val="0"/>
          <w:color w:val="auto"/>
          <w:highlight w:val="none"/>
        </w:rPr>
      </w:pPr>
      <w:bookmarkStart w:id="58" w:name="_Toc16938521"/>
      <w:bookmarkStart w:id="59" w:name="_Toc20823277"/>
      <w:bookmarkStart w:id="60" w:name="_Toc513029205"/>
      <w:r>
        <w:rPr>
          <w:rFonts w:hint="eastAsia"/>
          <w:b w:val="0"/>
          <w:bCs w:val="0"/>
          <w:color w:val="auto"/>
          <w:highlight w:val="none"/>
        </w:rPr>
        <w:t>2、合格的投标人</w:t>
      </w:r>
      <w:bookmarkEnd w:id="58"/>
      <w:bookmarkEnd w:id="59"/>
      <w:bookmarkEnd w:id="60"/>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2.1满足招标公告中投标人的资格要求的规定。</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pPr>
        <w:pStyle w:val="36"/>
        <w:spacing w:before="0" w:after="0" w:line="520" w:lineRule="exact"/>
        <w:ind w:firstLine="420"/>
        <w:rPr>
          <w:b w:val="0"/>
          <w:bCs w:val="0"/>
          <w:color w:val="auto"/>
          <w:highlight w:val="none"/>
        </w:rPr>
      </w:pPr>
      <w:bookmarkStart w:id="61" w:name="_Toc513029206"/>
      <w:bookmarkStart w:id="62" w:name="_Toc16938522"/>
      <w:bookmarkStart w:id="63" w:name="_Toc20823278"/>
      <w:r>
        <w:rPr>
          <w:rFonts w:hint="eastAsia"/>
          <w:b w:val="0"/>
          <w:bCs w:val="0"/>
          <w:color w:val="auto"/>
          <w:highlight w:val="none"/>
        </w:rPr>
        <w:t>3、适用法律</w:t>
      </w:r>
      <w:bookmarkEnd w:id="61"/>
      <w:bookmarkEnd w:id="62"/>
      <w:bookmarkEnd w:id="63"/>
    </w:p>
    <w:p>
      <w:pPr>
        <w:spacing w:line="520" w:lineRule="exact"/>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pPr>
        <w:spacing w:line="520" w:lineRule="exact"/>
        <w:ind w:firstLine="420"/>
        <w:rPr>
          <w:rFonts w:hint="eastAsia" w:ascii="宋体" w:hAnsi="宋体"/>
          <w:color w:val="auto"/>
          <w:sz w:val="24"/>
          <w:highlight w:val="none"/>
        </w:rPr>
      </w:pPr>
      <w:r>
        <w:rPr>
          <w:rFonts w:hint="eastAsia" w:ascii="宋体" w:hAnsi="宋体"/>
          <w:color w:val="auto"/>
          <w:sz w:val="24"/>
          <w:highlight w:val="none"/>
        </w:rPr>
        <w:t>3.2 在本项目政府采购活动过程中，如果所执行的标准有更新的，按照最新标准执行。</w:t>
      </w:r>
    </w:p>
    <w:p>
      <w:pPr>
        <w:pStyle w:val="36"/>
        <w:spacing w:before="0" w:after="0" w:line="520" w:lineRule="exact"/>
        <w:ind w:firstLine="420"/>
        <w:rPr>
          <w:b w:val="0"/>
          <w:bCs w:val="0"/>
          <w:color w:val="auto"/>
          <w:highlight w:val="none"/>
        </w:rPr>
      </w:pPr>
      <w:bookmarkStart w:id="64" w:name="_Toc20823279"/>
      <w:bookmarkStart w:id="65" w:name="_Toc462564067"/>
      <w:bookmarkStart w:id="66" w:name="_Toc513029207"/>
      <w:bookmarkStart w:id="67" w:name="_Toc16938523"/>
      <w:r>
        <w:rPr>
          <w:rFonts w:hint="eastAsia"/>
          <w:b w:val="0"/>
          <w:bCs w:val="0"/>
          <w:color w:val="auto"/>
          <w:highlight w:val="none"/>
        </w:rPr>
        <w:t>4、投标费用</w:t>
      </w:r>
      <w:bookmarkEnd w:id="64"/>
      <w:bookmarkEnd w:id="65"/>
      <w:bookmarkEnd w:id="66"/>
      <w:bookmarkEnd w:id="67"/>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s="宋体"/>
          <w:color w:val="auto"/>
          <w:sz w:val="24"/>
          <w:szCs w:val="24"/>
          <w:highlight w:val="none"/>
        </w:rPr>
        <w:t>采购人和采购代理机构在任何情况下均无义务和责任承担这些费用</w:t>
      </w:r>
      <w:r>
        <w:rPr>
          <w:rFonts w:hint="eastAsia" w:ascii="宋体" w:hAnsi="宋体"/>
          <w:color w:val="auto"/>
          <w:sz w:val="24"/>
          <w:highlight w:val="none"/>
        </w:rPr>
        <w:t>。</w:t>
      </w:r>
    </w:p>
    <w:p>
      <w:pPr>
        <w:pStyle w:val="36"/>
        <w:spacing w:before="0" w:after="0" w:line="520" w:lineRule="exact"/>
        <w:ind w:firstLine="602"/>
        <w:rPr>
          <w:rFonts w:hint="eastAsia"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投标人一旦参加本项目采购活动，即被认为接受了本招标文件的规定和约束。</w:t>
      </w:r>
    </w:p>
    <w:p>
      <w:pPr>
        <w:pStyle w:val="188"/>
        <w:spacing w:before="0" w:after="0" w:line="520" w:lineRule="exact"/>
        <w:ind w:firstLine="321"/>
        <w:rPr>
          <w:color w:val="auto"/>
          <w:highlight w:val="none"/>
        </w:rPr>
      </w:pPr>
      <w:bookmarkStart w:id="68" w:name="_Toc20823281"/>
      <w:bookmarkStart w:id="69" w:name="_Toc120614215"/>
      <w:bookmarkStart w:id="70" w:name="_Toc16938525"/>
      <w:bookmarkStart w:id="71" w:name="_Toc513029209"/>
      <w:r>
        <w:rPr>
          <w:rFonts w:hint="eastAsia"/>
          <w:color w:val="auto"/>
          <w:highlight w:val="none"/>
        </w:rPr>
        <w:t>二、招标文件</w:t>
      </w:r>
      <w:bookmarkEnd w:id="68"/>
      <w:bookmarkEnd w:id="69"/>
      <w:bookmarkEnd w:id="70"/>
      <w:bookmarkEnd w:id="71"/>
    </w:p>
    <w:p>
      <w:pPr>
        <w:pStyle w:val="36"/>
        <w:spacing w:before="0" w:after="0" w:line="520" w:lineRule="exact"/>
        <w:ind w:firstLine="420"/>
        <w:rPr>
          <w:b w:val="0"/>
          <w:bCs w:val="0"/>
          <w:color w:val="auto"/>
          <w:highlight w:val="none"/>
        </w:rPr>
      </w:pPr>
      <w:bookmarkStart w:id="72" w:name="_Toc20823282"/>
      <w:bookmarkStart w:id="73" w:name="_Toc16938526"/>
      <w:bookmarkStart w:id="74" w:name="_Toc513029210"/>
      <w:r>
        <w:rPr>
          <w:rFonts w:hint="eastAsia"/>
          <w:b w:val="0"/>
          <w:bCs w:val="0"/>
          <w:color w:val="auto"/>
          <w:highlight w:val="none"/>
        </w:rPr>
        <w:t>6、招标文件构成</w:t>
      </w:r>
      <w:bookmarkEnd w:id="72"/>
      <w:bookmarkEnd w:id="73"/>
      <w:bookmarkEnd w:id="74"/>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（3）采购需求</w:t>
      </w:r>
    </w:p>
    <w:p>
      <w:pPr>
        <w:spacing w:line="520" w:lineRule="exact"/>
        <w:ind w:firstLine="360"/>
        <w:rPr>
          <w:color w:val="auto"/>
          <w:sz w:val="24"/>
          <w:szCs w:val="24"/>
          <w:highlight w:val="none"/>
        </w:rPr>
      </w:pPr>
      <w:r>
        <w:rPr>
          <w:rFonts w:hint="eastAsia" w:ascii="宋体" w:hAnsi="宋体"/>
          <w:color w:val="auto"/>
          <w:sz w:val="24"/>
          <w:szCs w:val="24"/>
          <w:highlight w:val="none"/>
        </w:rPr>
        <w:t>（4）</w:t>
      </w:r>
      <w:r>
        <w:rPr>
          <w:rFonts w:hint="eastAsia" w:hAnsi="宋体"/>
          <w:color w:val="auto"/>
          <w:sz w:val="24"/>
          <w:szCs w:val="24"/>
          <w:highlight w:val="none"/>
        </w:rPr>
        <w:t>评标方法与评标标准</w:t>
      </w:r>
    </w:p>
    <w:p>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（5）投标文件格式</w:t>
      </w:r>
    </w:p>
    <w:p>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（6）附件（如有）</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请仔细检查招标文件是否齐全，如有缺漏请立即与代理单位联系解决。</w:t>
      </w:r>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spacing w:line="520" w:lineRule="exact"/>
        <w:ind w:firstLine="560"/>
        <w:outlineLvl w:val="3"/>
        <w:rPr>
          <w:rFonts w:ascii="Arial" w:hAnsi="Arial" w:eastAsia="黑体" w:cs="Arial"/>
          <w:color w:val="auto"/>
          <w:sz w:val="28"/>
          <w:szCs w:val="28"/>
          <w:highlight w:val="none"/>
        </w:rPr>
      </w:pPr>
      <w:bookmarkStart w:id="75" w:name="_Toc513029212"/>
      <w:bookmarkStart w:id="76" w:name="_Toc16938528"/>
      <w:bookmarkStart w:id="77" w:name="_Toc462564071"/>
      <w:bookmarkStart w:id="78" w:name="_Toc20823284"/>
      <w:r>
        <w:rPr>
          <w:rFonts w:hint="eastAsia" w:ascii="Arial" w:hAnsi="Arial" w:eastAsia="黑体" w:cs="Arial"/>
          <w:color w:val="auto"/>
          <w:sz w:val="28"/>
          <w:szCs w:val="28"/>
          <w:highlight w:val="none"/>
        </w:rPr>
        <w:t>7、招标文件的修改</w:t>
      </w:r>
      <w:bookmarkEnd w:id="75"/>
      <w:bookmarkEnd w:id="76"/>
      <w:bookmarkEnd w:id="77"/>
      <w:bookmarkEnd w:id="78"/>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7.1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前</w:t>
      </w:r>
      <w:r>
        <w:rPr>
          <w:rFonts w:hint="eastAsia" w:ascii="宋体" w:hAnsi="宋体"/>
          <w:color w:val="auto"/>
          <w:sz w:val="24"/>
          <w:highlight w:val="none"/>
        </w:rPr>
        <w:t>，代理单位可以对招标文件进行修改。</w:t>
      </w:r>
    </w:p>
    <w:p>
      <w:pPr>
        <w:spacing w:line="520" w:lineRule="exact"/>
        <w:ind w:firstLine="480"/>
        <w:rPr>
          <w:rFonts w:ascii="宋体" w:hAnsi="Arial"/>
          <w:color w:val="auto"/>
          <w:sz w:val="28"/>
          <w:highlight w:val="none"/>
        </w:rPr>
      </w:pPr>
      <w:r>
        <w:rPr>
          <w:rFonts w:hint="eastAsia" w:ascii="宋体" w:hAnsi="宋体"/>
          <w:bCs/>
          <w:color w:val="auto"/>
          <w:sz w:val="24"/>
          <w:highlight w:val="none"/>
        </w:rPr>
        <w:t xml:space="preserve">7.2 </w:t>
      </w:r>
      <w:r>
        <w:rPr>
          <w:rFonts w:hint="eastAsia" w:ascii="宋体" w:hAnsi="宋体"/>
          <w:color w:val="auto"/>
          <w:sz w:val="24"/>
          <w:highlight w:val="none"/>
        </w:rPr>
        <w:t>代理单位</w:t>
      </w:r>
      <w:r>
        <w:rPr>
          <w:rFonts w:hint="eastAsia" w:ascii="宋体" w:hAnsi="宋体"/>
          <w:color w:val="auto"/>
          <w:sz w:val="24"/>
          <w:szCs w:val="24"/>
          <w:highlight w:val="none"/>
        </w:rPr>
        <w:t>有权按照法定的要求</w:t>
      </w:r>
      <w:r>
        <w:rPr>
          <w:rFonts w:hint="eastAsia" w:ascii="宋体" w:hAnsi="宋体"/>
          <w:color w:val="auto"/>
          <w:sz w:val="24"/>
          <w:highlight w:val="none"/>
        </w:rPr>
        <w:t>推迟投标截止日期和开标日期。</w:t>
      </w:r>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 xml:space="preserve">7.3 </w:t>
      </w:r>
      <w:r>
        <w:rPr>
          <w:rFonts w:hint="eastAsia" w:ascii="宋体" w:hAnsi="宋体"/>
          <w:color w:val="auto"/>
          <w:sz w:val="24"/>
          <w:highlight w:val="none"/>
        </w:rPr>
        <w:t>招标文件的修改将在江苏政府采购网公布，</w:t>
      </w:r>
      <w:r>
        <w:rPr>
          <w:rFonts w:hint="eastAsia" w:ascii="宋体" w:hAnsi="宋体"/>
          <w:color w:val="auto"/>
          <w:sz w:val="24"/>
          <w:szCs w:val="24"/>
          <w:highlight w:val="none"/>
        </w:rPr>
        <w:t>补充文件将作为招标文件的组成部分，</w:t>
      </w:r>
      <w:r>
        <w:rPr>
          <w:rFonts w:hint="eastAsia" w:ascii="宋体" w:hAnsi="宋体"/>
          <w:color w:val="auto"/>
          <w:sz w:val="24"/>
          <w:highlight w:val="none"/>
        </w:rPr>
        <w:t>并对投标人具有约束力。</w:t>
      </w:r>
    </w:p>
    <w:p>
      <w:pPr>
        <w:pStyle w:val="188"/>
        <w:spacing w:before="0" w:after="0" w:line="520" w:lineRule="exact"/>
        <w:ind w:firstLine="482"/>
        <w:rPr>
          <w:color w:val="auto"/>
          <w:highlight w:val="none"/>
        </w:rPr>
      </w:pPr>
      <w:bookmarkStart w:id="79" w:name="_Toc20823285"/>
      <w:bookmarkStart w:id="80" w:name="_Toc462564072"/>
      <w:bookmarkStart w:id="81" w:name="_Toc16938529"/>
      <w:bookmarkStart w:id="82" w:name="_Toc120614216"/>
      <w:bookmarkStart w:id="83" w:name="_Toc513029213"/>
      <w:r>
        <w:rPr>
          <w:rFonts w:hint="eastAsia"/>
          <w:color w:val="auto"/>
          <w:highlight w:val="none"/>
        </w:rPr>
        <w:t>三、投标文件的编制</w:t>
      </w:r>
      <w:bookmarkEnd w:id="79"/>
      <w:bookmarkEnd w:id="80"/>
      <w:bookmarkEnd w:id="81"/>
      <w:bookmarkEnd w:id="82"/>
      <w:bookmarkEnd w:id="83"/>
    </w:p>
    <w:p>
      <w:pPr>
        <w:pStyle w:val="36"/>
        <w:spacing w:before="0" w:after="0" w:line="520" w:lineRule="exact"/>
        <w:ind w:firstLine="560"/>
        <w:rPr>
          <w:bCs w:val="0"/>
          <w:color w:val="auto"/>
          <w:highlight w:val="none"/>
        </w:rPr>
      </w:pPr>
      <w:bookmarkStart w:id="84" w:name="_Toc16938530"/>
      <w:bookmarkStart w:id="85" w:name="_Toc513029214"/>
      <w:bookmarkStart w:id="86" w:name="_Toc20823286"/>
      <w:bookmarkStart w:id="87" w:name="_Toc462564073"/>
      <w:r>
        <w:rPr>
          <w:rFonts w:hint="eastAsia"/>
          <w:b w:val="0"/>
          <w:bCs w:val="0"/>
          <w:color w:val="auto"/>
          <w:highlight w:val="none"/>
        </w:rPr>
        <w:t>8、投标文件的语言及度量衡单位</w:t>
      </w:r>
      <w:bookmarkEnd w:id="84"/>
      <w:bookmarkEnd w:id="85"/>
      <w:bookmarkEnd w:id="86"/>
      <w:bookmarkEnd w:id="87"/>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投标人提交的投标文件以及投标人与代理单位就有关投标的所有来往通知、函件和文件均应使用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8.2</w:t>
      </w:r>
      <w:r>
        <w:rPr>
          <w:rFonts w:hint="eastAsia" w:ascii="宋体" w:hAnsi="宋体"/>
          <w:color w:val="auto"/>
          <w:sz w:val="24"/>
          <w:highlight w:val="none"/>
        </w:rPr>
        <w:t xml:space="preserve"> 除技术性能另有规定外，投标文件所使用的度量衡单位，均须采用国家法定计量单位。</w:t>
      </w:r>
    </w:p>
    <w:p>
      <w:pPr>
        <w:pStyle w:val="36"/>
        <w:spacing w:before="0" w:after="0" w:line="520" w:lineRule="exact"/>
        <w:ind w:firstLine="420"/>
        <w:rPr>
          <w:b w:val="0"/>
          <w:bCs w:val="0"/>
          <w:color w:val="auto"/>
          <w:highlight w:val="none"/>
        </w:rPr>
      </w:pPr>
      <w:bookmarkStart w:id="88" w:name="_Toc16938531"/>
      <w:bookmarkStart w:id="89" w:name="_Toc462564074"/>
      <w:bookmarkStart w:id="90" w:name="_Toc20823287"/>
      <w:bookmarkStart w:id="91" w:name="_Toc513029215"/>
      <w:r>
        <w:rPr>
          <w:rFonts w:hint="eastAsia"/>
          <w:b w:val="0"/>
          <w:bCs w:val="0"/>
          <w:color w:val="auto"/>
          <w:highlight w:val="none"/>
        </w:rPr>
        <w:t>9、投标文件构成</w:t>
      </w:r>
      <w:bookmarkEnd w:id="88"/>
      <w:bookmarkEnd w:id="89"/>
      <w:bookmarkEnd w:id="90"/>
      <w:bookmarkEnd w:id="91"/>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9.2 如标书制作工具中格式和内容与“江苏政府采购网”发布的招标文件不一致，请以“江苏政府采购网”发布的招标文件为准。</w:t>
      </w:r>
    </w:p>
    <w:p>
      <w:pPr>
        <w:pStyle w:val="36"/>
        <w:spacing w:before="0" w:after="0" w:line="520" w:lineRule="exact"/>
        <w:ind w:firstLine="420"/>
        <w:rPr>
          <w:b w:val="0"/>
          <w:bCs w:val="0"/>
          <w:color w:val="auto"/>
          <w:highlight w:val="none"/>
        </w:rPr>
      </w:pPr>
      <w:bookmarkStart w:id="92" w:name="_Hlt26954838"/>
      <w:bookmarkEnd w:id="92"/>
      <w:bookmarkStart w:id="93" w:name="_Hlt26668975"/>
      <w:bookmarkEnd w:id="93"/>
      <w:bookmarkStart w:id="94" w:name="_Hlt26670360"/>
      <w:bookmarkEnd w:id="94"/>
      <w:bookmarkStart w:id="95" w:name="_Toc49090509"/>
      <w:bookmarkStart w:id="96" w:name="_Toc14577357"/>
      <w:bookmarkStart w:id="97" w:name="_Toc513029219"/>
      <w:bookmarkStart w:id="98" w:name="_Toc49090507"/>
      <w:bookmarkStart w:id="99" w:name="_Toc513029216"/>
      <w:bookmarkStart w:id="100" w:name="_Toc14577354"/>
      <w:r>
        <w:rPr>
          <w:rFonts w:hint="eastAsia"/>
          <w:b w:val="0"/>
          <w:bCs w:val="0"/>
          <w:color w:val="auto"/>
          <w:highlight w:val="none"/>
        </w:rPr>
        <w:t>10、证明投标人及投标标的符合招标文件规定的文件</w:t>
      </w:r>
      <w:bookmarkEnd w:id="95"/>
      <w:bookmarkEnd w:id="96"/>
      <w:bookmarkEnd w:id="97"/>
    </w:p>
    <w:bookmarkEnd w:id="98"/>
    <w:bookmarkEnd w:id="99"/>
    <w:bookmarkEnd w:id="100"/>
    <w:p>
      <w:pPr>
        <w:spacing w:line="520" w:lineRule="exact"/>
        <w:rPr>
          <w:rFonts w:hint="eastAsia" w:ascii="宋体" w:hAnsi="宋体"/>
          <w:color w:val="auto"/>
          <w:sz w:val="24"/>
          <w:szCs w:val="24"/>
          <w:highlight w:val="none"/>
        </w:rPr>
      </w:pPr>
      <w:bookmarkStart w:id="101" w:name="_Toc14577355"/>
      <w:bookmarkStart w:id="102" w:name="_Toc49090508"/>
      <w:r>
        <w:rPr>
          <w:rFonts w:hint="eastAsia" w:ascii="宋体" w:hAnsi="宋体"/>
          <w:color w:val="auto"/>
          <w:sz w:val="24"/>
          <w:szCs w:val="24"/>
          <w:highlight w:val="none"/>
        </w:rPr>
        <w:t xml:space="preserve">    10.1 投标人应按照法律、法规、规章和规范性文件以及招标文件要求提交证明文件，证明其及投标标的符合招标文件规定。</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10.2招标文件对证明文件无明确形式要求的，证明文件可以以文字资料、图纸和数据等形式提交。</w:t>
      </w:r>
    </w:p>
    <w:p>
      <w:pPr>
        <w:pStyle w:val="36"/>
        <w:spacing w:before="0" w:after="0" w:line="520" w:lineRule="exact"/>
        <w:ind w:firstLine="420"/>
        <w:rPr>
          <w:b w:val="0"/>
          <w:bCs w:val="0"/>
          <w:color w:val="auto"/>
          <w:highlight w:val="none"/>
        </w:rPr>
      </w:pPr>
      <w:r>
        <w:rPr>
          <w:rFonts w:hint="eastAsia"/>
          <w:b w:val="0"/>
          <w:bCs w:val="0"/>
          <w:color w:val="auto"/>
          <w:highlight w:val="none"/>
        </w:rPr>
        <w:t>11、投标分项报价</w:t>
      </w:r>
      <w:bookmarkEnd w:id="101"/>
      <w:bookmarkStart w:id="103" w:name="_Hlt26670373"/>
      <w:bookmarkEnd w:id="103"/>
      <w:r>
        <w:rPr>
          <w:rFonts w:hint="eastAsia"/>
          <w:b w:val="0"/>
          <w:bCs w:val="0"/>
          <w:color w:val="auto"/>
          <w:highlight w:val="none"/>
        </w:rPr>
        <w:t>表</w:t>
      </w:r>
      <w:bookmarkEnd w:id="102"/>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11.1</w:t>
      </w:r>
      <w:r>
        <w:rPr>
          <w:rFonts w:hint="eastAsia" w:ascii="宋体" w:hAnsi="宋体"/>
          <w:color w:val="auto"/>
          <w:sz w:val="24"/>
          <w:highlight w:val="none"/>
        </w:rPr>
        <w:t xml:space="preserve"> 投</w:t>
      </w:r>
      <w:bookmarkStart w:id="104" w:name="_Hlt26954840"/>
      <w:bookmarkEnd w:id="104"/>
      <w:r>
        <w:rPr>
          <w:rFonts w:hint="eastAsia" w:ascii="宋体" w:hAnsi="宋体"/>
          <w:color w:val="auto"/>
          <w:sz w:val="24"/>
          <w:highlight w:val="none"/>
        </w:rPr>
        <w:t>标人应按照招标文件规定格式填报投标分项报价表</w:t>
      </w:r>
      <w:bookmarkStart w:id="105" w:name="_Hlt26670399"/>
      <w:bookmarkEnd w:id="105"/>
      <w:r>
        <w:rPr>
          <w:rFonts w:hint="eastAsia" w:ascii="宋体" w:hAnsi="宋体"/>
          <w:color w:val="auto"/>
          <w:sz w:val="24"/>
          <w:highlight w:val="none"/>
        </w:rPr>
        <w:t>。</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11.2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pPr>
        <w:pStyle w:val="36"/>
        <w:spacing w:before="0" w:after="0" w:line="520" w:lineRule="exact"/>
        <w:ind w:firstLine="420"/>
        <w:rPr>
          <w:b w:val="0"/>
          <w:bCs w:val="0"/>
          <w:color w:val="auto"/>
          <w:highlight w:val="none"/>
        </w:rPr>
      </w:pPr>
      <w:bookmarkStart w:id="106" w:name="_Hlt26670425"/>
      <w:bookmarkEnd w:id="106"/>
      <w:bookmarkStart w:id="107" w:name="_Hlt26670486"/>
      <w:bookmarkEnd w:id="107"/>
      <w:bookmarkStart w:id="108" w:name="_Hlt26954731"/>
      <w:bookmarkEnd w:id="108"/>
      <w:bookmarkStart w:id="109" w:name="_Hlt26954842"/>
      <w:bookmarkEnd w:id="109"/>
      <w:bookmarkStart w:id="110" w:name="_Hlt26954848"/>
      <w:bookmarkEnd w:id="110"/>
      <w:bookmarkStart w:id="111" w:name="_Hlt26954846"/>
      <w:bookmarkEnd w:id="111"/>
      <w:bookmarkStart w:id="112" w:name="_Hlt26670403"/>
      <w:bookmarkEnd w:id="112"/>
      <w:bookmarkStart w:id="113" w:name="_Hlt26670482"/>
      <w:bookmarkEnd w:id="113"/>
      <w:bookmarkStart w:id="114" w:name="_Hlt26668983"/>
      <w:bookmarkEnd w:id="114"/>
      <w:bookmarkStart w:id="115" w:name="_Hlt26954844"/>
      <w:bookmarkEnd w:id="115"/>
      <w:r>
        <w:rPr>
          <w:rFonts w:hint="eastAsia"/>
          <w:b w:val="0"/>
          <w:bCs w:val="0"/>
          <w:color w:val="auto"/>
          <w:highlight w:val="none"/>
        </w:rPr>
        <w:t>12、技术要求响应及偏离表、商务要求响应及偏离表</w:t>
      </w:r>
    </w:p>
    <w:p>
      <w:pPr>
        <w:spacing w:line="520" w:lineRule="exact"/>
        <w:ind w:firstLine="480"/>
        <w:rPr>
          <w:rFonts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rPr>
        <w:t>2</w:t>
      </w:r>
      <w:r>
        <w:rPr>
          <w:rFonts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pPr>
        <w:tabs>
          <w:tab w:val="left" w:pos="1035"/>
        </w:tabs>
        <w:spacing w:line="520" w:lineRule="exact"/>
        <w:ind w:firstLine="480"/>
        <w:rPr>
          <w:rFonts w:ascii="宋体" w:hAnsi="Arial" w:cs="宋体"/>
          <w:color w:val="auto"/>
          <w:sz w:val="24"/>
          <w:highlight w:val="none"/>
          <w:lang w:val="zh-CN"/>
        </w:rPr>
      </w:pPr>
      <w:r>
        <w:rPr>
          <w:rFonts w:hint="eastAsia" w:ascii="宋体" w:hAnsi="Arial" w:cs="宋体"/>
          <w:color w:val="auto"/>
          <w:sz w:val="24"/>
          <w:highlight w:val="none"/>
          <w:lang w:val="zh-CN"/>
        </w:rPr>
        <w:t>1</w:t>
      </w:r>
      <w:r>
        <w:rPr>
          <w:rFonts w:hint="eastAsia" w:ascii="宋体" w:hAnsi="Arial" w:cs="宋体"/>
          <w:color w:val="auto"/>
          <w:sz w:val="24"/>
          <w:highlight w:val="none"/>
        </w:rPr>
        <w:t>2</w:t>
      </w:r>
      <w:r>
        <w:rPr>
          <w:rFonts w:hint="eastAsia" w:ascii="宋体" w:hAnsi="Arial" w:cs="宋体"/>
          <w:color w:val="auto"/>
          <w:sz w:val="24"/>
          <w:highlight w:val="none"/>
          <w:lang w:val="zh-CN"/>
        </w:rPr>
        <w:t>.2 投标人可在投标文件中提供认为需要的其他技术文件或说明。</w:t>
      </w:r>
    </w:p>
    <w:p>
      <w:pPr>
        <w:pStyle w:val="36"/>
        <w:spacing w:before="0" w:after="0" w:line="520" w:lineRule="exact"/>
        <w:ind w:firstLine="420"/>
        <w:rPr>
          <w:b w:val="0"/>
          <w:bCs w:val="0"/>
          <w:color w:val="auto"/>
          <w:highlight w:val="none"/>
        </w:rPr>
      </w:pPr>
      <w:bookmarkStart w:id="116" w:name="_Toc49090510"/>
      <w:bookmarkStart w:id="117" w:name="_Toc14577359"/>
      <w:r>
        <w:rPr>
          <w:rFonts w:hint="eastAsia"/>
          <w:b w:val="0"/>
          <w:bCs w:val="0"/>
          <w:color w:val="auto"/>
          <w:highlight w:val="none"/>
        </w:rPr>
        <w:t>13、投标函和开标一览表</w:t>
      </w:r>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 xml:space="preserve"> 投标人应按照招标文件中提供的格式完整、正确填写投标函、开标一览表。</w:t>
      </w:r>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13.2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p>
    <w:bookmarkEnd w:id="116"/>
    <w:bookmarkEnd w:id="117"/>
    <w:p>
      <w:pPr>
        <w:pStyle w:val="36"/>
        <w:spacing w:before="0" w:after="0" w:line="520" w:lineRule="exact"/>
        <w:ind w:firstLine="420"/>
        <w:rPr>
          <w:b w:val="0"/>
          <w:bCs w:val="0"/>
          <w:color w:val="auto"/>
          <w:highlight w:val="none"/>
        </w:rPr>
      </w:pPr>
      <w:bookmarkStart w:id="118" w:name="_Hlt26670489"/>
      <w:bookmarkEnd w:id="118"/>
      <w:bookmarkStart w:id="119" w:name="_Hlt26954850"/>
      <w:bookmarkEnd w:id="119"/>
      <w:bookmarkStart w:id="120" w:name="_Hlt26954734"/>
      <w:bookmarkEnd w:id="120"/>
      <w:bookmarkStart w:id="121" w:name="_Toc49090511"/>
      <w:bookmarkStart w:id="122" w:name="_Toc14577360"/>
      <w:r>
        <w:rPr>
          <w:rFonts w:hint="eastAsia"/>
          <w:b w:val="0"/>
          <w:bCs w:val="0"/>
          <w:color w:val="auto"/>
          <w:highlight w:val="none"/>
        </w:rPr>
        <w:t>14、投标有效期</w:t>
      </w:r>
      <w:bookmarkEnd w:id="121"/>
      <w:bookmarkEnd w:id="122"/>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14.1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六十（60）天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pPr>
        <w:pStyle w:val="36"/>
        <w:spacing w:before="0" w:after="0" w:line="520" w:lineRule="exact"/>
        <w:ind w:firstLine="420"/>
        <w:rPr>
          <w:b w:val="0"/>
          <w:bCs w:val="0"/>
          <w:color w:val="auto"/>
          <w:highlight w:val="none"/>
        </w:rPr>
      </w:pPr>
      <w:r>
        <w:rPr>
          <w:rFonts w:hint="eastAsia"/>
          <w:b w:val="0"/>
          <w:bCs w:val="0"/>
          <w:color w:val="auto"/>
          <w:highlight w:val="none"/>
        </w:rPr>
        <w:t>15、投标有效期的延长</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 xml:space="preserve"> 在特殊情况下，代理单位于原投标有效期满之前，可向投标人提出延长投标有效期的要求。这种要求与答复均应采用书面形式。投标人可以拒绝代理单位的这一要求而放弃投标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pPr>
        <w:pStyle w:val="188"/>
        <w:spacing w:before="0" w:after="0" w:line="520" w:lineRule="exact"/>
        <w:rPr>
          <w:color w:val="auto"/>
          <w:highlight w:val="none"/>
        </w:rPr>
      </w:pPr>
      <w:bookmarkStart w:id="123" w:name="_Hlt26954739"/>
      <w:bookmarkEnd w:id="123"/>
      <w:bookmarkStart w:id="124" w:name="_Hlt26954852"/>
      <w:bookmarkEnd w:id="124"/>
      <w:bookmarkStart w:id="125" w:name="_Toc20823296"/>
      <w:bookmarkStart w:id="126" w:name="_Toc513029224"/>
      <w:bookmarkStart w:id="127" w:name="_Toc120614217"/>
      <w:bookmarkStart w:id="128" w:name="_Toc16938540"/>
      <w:r>
        <w:rPr>
          <w:rFonts w:hint="eastAsia"/>
          <w:color w:val="auto"/>
          <w:highlight w:val="none"/>
        </w:rPr>
        <w:t>四、投标文件的递交</w:t>
      </w:r>
      <w:bookmarkEnd w:id="125"/>
      <w:bookmarkEnd w:id="126"/>
      <w:bookmarkEnd w:id="127"/>
      <w:bookmarkEnd w:id="128"/>
    </w:p>
    <w:p>
      <w:pPr>
        <w:pStyle w:val="36"/>
        <w:spacing w:before="0" w:after="0" w:line="520" w:lineRule="exact"/>
        <w:ind w:firstLine="560"/>
        <w:rPr>
          <w:rFonts w:ascii="黑体"/>
          <w:b w:val="0"/>
          <w:bCs w:val="0"/>
          <w:color w:val="auto"/>
          <w:highlight w:val="none"/>
        </w:rPr>
      </w:pPr>
      <w:bookmarkStart w:id="129" w:name="_Toc16938541"/>
      <w:bookmarkStart w:id="130" w:name="_Toc462564084"/>
      <w:bookmarkStart w:id="131" w:name="_Toc513029225"/>
      <w:bookmarkStart w:id="132" w:name="_Toc20823297"/>
      <w:r>
        <w:rPr>
          <w:rFonts w:hint="eastAsia"/>
          <w:b w:val="0"/>
          <w:bCs w:val="0"/>
          <w:color w:val="auto"/>
          <w:highlight w:val="none"/>
        </w:rPr>
        <w:t>16、</w:t>
      </w:r>
      <w:r>
        <w:rPr>
          <w:rFonts w:hint="eastAsia" w:ascii="黑体"/>
          <w:b w:val="0"/>
          <w:bCs w:val="0"/>
          <w:color w:val="auto"/>
          <w:highlight w:val="none"/>
        </w:rPr>
        <w:t>投标文件</w:t>
      </w:r>
      <w:bookmarkEnd w:id="129"/>
      <w:bookmarkEnd w:id="130"/>
      <w:bookmarkEnd w:id="131"/>
      <w:bookmarkEnd w:id="132"/>
      <w:r>
        <w:rPr>
          <w:rFonts w:hint="eastAsia" w:ascii="黑体"/>
          <w:b w:val="0"/>
          <w:bCs w:val="0"/>
          <w:color w:val="auto"/>
          <w:highlight w:val="none"/>
        </w:rPr>
        <w:t>的递交</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 xml:space="preserve"> 电子投标文件的递交</w:t>
      </w:r>
    </w:p>
    <w:p>
      <w:pPr>
        <w:pStyle w:val="294"/>
        <w:spacing w:line="520" w:lineRule="exact"/>
        <w:ind w:left="525"/>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3" w:name="_Toc16938542"/>
      <w:bookmarkStart w:id="134" w:name="_Toc20823298"/>
      <w:bookmarkStart w:id="135" w:name="_Toc513029226"/>
    </w:p>
    <w:p>
      <w:pPr>
        <w:pStyle w:val="36"/>
        <w:spacing w:before="0" w:after="0" w:line="520" w:lineRule="exact"/>
        <w:ind w:firstLine="420"/>
        <w:rPr>
          <w:b w:val="0"/>
          <w:color w:val="auto"/>
          <w:highlight w:val="none"/>
        </w:rPr>
      </w:pPr>
      <w:r>
        <w:rPr>
          <w:rFonts w:hint="eastAsia"/>
          <w:b w:val="0"/>
          <w:color w:val="auto"/>
          <w:highlight w:val="none"/>
        </w:rPr>
        <w:t>17、投标截止</w:t>
      </w:r>
      <w:bookmarkEnd w:id="133"/>
      <w:bookmarkEnd w:id="134"/>
      <w:bookmarkEnd w:id="135"/>
      <w:r>
        <w:rPr>
          <w:rFonts w:hint="eastAsia"/>
          <w:b w:val="0"/>
          <w:color w:val="auto"/>
          <w:highlight w:val="none"/>
        </w:rPr>
        <w:t>时间</w:t>
      </w:r>
    </w:p>
    <w:p>
      <w:pPr>
        <w:spacing w:line="520" w:lineRule="exact"/>
        <w:ind w:firstLine="482"/>
        <w:rPr>
          <w:rFonts w:hint="eastAsia" w:ascii="宋体" w:hAnsi="宋体"/>
          <w:b/>
          <w:bCs/>
          <w:color w:val="auto"/>
          <w:sz w:val="24"/>
          <w:highlight w:val="none"/>
          <w:u w:val="single"/>
        </w:rPr>
      </w:pPr>
      <w:r>
        <w:rPr>
          <w:rFonts w:hint="eastAsia" w:ascii="宋体" w:hAnsi="宋体"/>
          <w:b/>
          <w:color w:val="auto"/>
          <w:sz w:val="24"/>
          <w:highlight w:val="none"/>
          <w:u w:val="single"/>
        </w:rPr>
        <w:t>17.1</w:t>
      </w:r>
      <w:r>
        <w:rPr>
          <w:rFonts w:hint="eastAsia" w:ascii="宋体" w:hAnsi="宋体"/>
          <w:b/>
          <w:bCs/>
          <w:color w:val="auto"/>
          <w:sz w:val="24"/>
          <w:highlight w:val="none"/>
          <w:u w:val="single"/>
        </w:rPr>
        <w:t xml:space="preserve"> 投标人上传电子投标文件的时间不得迟于招标公告中规定的投标截止时间。</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投标人应充分考虑到网络环境、网络带宽等风险因素，如因投标人自身原因造成的电子投标文件上传不成功的按照本招标文件第二章第26.1.2条 规定做无效投标处理。</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17.2</w:t>
      </w:r>
      <w:r>
        <w:rPr>
          <w:rFonts w:hint="eastAsia" w:ascii="宋体" w:hAnsi="宋体"/>
          <w:bCs/>
          <w:color w:val="auto"/>
          <w:sz w:val="24"/>
          <w:highlight w:val="none"/>
        </w:rPr>
        <w:t xml:space="preserve"> 代理单位可以按照规定，通过修改招标文件酌情延长投标截止时间，在此情况下，投标人的所有权利和义务以及投标人受制的截止时间均应以延长后新的截止时间为准。</w:t>
      </w:r>
    </w:p>
    <w:p>
      <w:pPr>
        <w:pStyle w:val="36"/>
        <w:spacing w:before="0" w:after="0" w:line="520" w:lineRule="exact"/>
        <w:ind w:firstLine="420"/>
        <w:rPr>
          <w:b w:val="0"/>
          <w:bCs w:val="0"/>
          <w:color w:val="auto"/>
          <w:highlight w:val="none"/>
        </w:rPr>
      </w:pPr>
      <w:bookmarkStart w:id="136" w:name="_Toc513029227"/>
      <w:bookmarkStart w:id="137" w:name="_Toc16938543"/>
      <w:bookmarkStart w:id="138" w:name="_Toc20823299"/>
      <w:r>
        <w:rPr>
          <w:rFonts w:hint="eastAsia"/>
          <w:b w:val="0"/>
          <w:bCs w:val="0"/>
          <w:color w:val="auto"/>
          <w:highlight w:val="none"/>
        </w:rPr>
        <w:t>18、投标文件</w:t>
      </w:r>
      <w:bookmarkEnd w:id="136"/>
      <w:bookmarkEnd w:id="137"/>
      <w:bookmarkEnd w:id="138"/>
      <w:r>
        <w:rPr>
          <w:rFonts w:hint="eastAsia"/>
          <w:b w:val="0"/>
          <w:bCs w:val="0"/>
          <w:color w:val="auto"/>
          <w:highlight w:val="none"/>
        </w:rPr>
        <w:t>的拒收</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代理单位拒绝接收在其规定的投标截止时间后上传的任何投标文件。</w:t>
      </w:r>
    </w:p>
    <w:p>
      <w:pPr>
        <w:pStyle w:val="36"/>
        <w:spacing w:before="0" w:after="0" w:line="520" w:lineRule="exact"/>
        <w:ind w:firstLine="420"/>
        <w:rPr>
          <w:b w:val="0"/>
          <w:bCs w:val="0"/>
          <w:color w:val="auto"/>
          <w:highlight w:val="none"/>
        </w:rPr>
      </w:pPr>
      <w:bookmarkStart w:id="139" w:name="_Toc513029228"/>
      <w:bookmarkStart w:id="140" w:name="_Toc16938544"/>
      <w:bookmarkStart w:id="141" w:name="_Toc20823300"/>
      <w:r>
        <w:rPr>
          <w:rFonts w:hint="eastAsia"/>
          <w:b w:val="0"/>
          <w:bCs w:val="0"/>
          <w:color w:val="auto"/>
          <w:highlight w:val="none"/>
        </w:rPr>
        <w:t>19、投标文件的撤回和修改</w:t>
      </w:r>
      <w:bookmarkEnd w:id="139"/>
      <w:bookmarkEnd w:id="140"/>
      <w:bookmarkEnd w:id="141"/>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19.1 投标文件的撤回</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19.1.1 电子投标文件的撤回</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19.1.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19.2 投标文件的修改</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19.2.1投标人可在投标截止时间前，对其电子投标文件进行修改，具体操作方法见《操作手册》。</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19.2.2</w:t>
      </w:r>
      <w:r>
        <w:rPr>
          <w:rFonts w:hint="eastAsia" w:ascii="宋体" w:hAnsi="宋体"/>
          <w:bCs/>
          <w:color w:val="auto"/>
          <w:sz w:val="24"/>
          <w:highlight w:val="none"/>
        </w:rPr>
        <w:t xml:space="preserve"> 在投标截止时间之后，投标人不得对其电子投标文件作任何修改。</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19.3</w:t>
      </w:r>
      <w:r>
        <w:rPr>
          <w:rFonts w:hint="eastAsia" w:ascii="宋体" w:hAnsi="宋体"/>
          <w:bCs/>
          <w:color w:val="auto"/>
          <w:sz w:val="24"/>
          <w:highlight w:val="none"/>
        </w:rPr>
        <w:t xml:space="preserve"> 在投标截止时间至招标文件中规定的投标有效期满之间的这段时间内，投标人不得撤回其投标。</w:t>
      </w:r>
    </w:p>
    <w:p>
      <w:pPr>
        <w:pStyle w:val="188"/>
        <w:spacing w:before="0" w:after="0" w:line="520" w:lineRule="exact"/>
        <w:ind w:firstLine="482"/>
        <w:rPr>
          <w:color w:val="auto"/>
          <w:highlight w:val="none"/>
        </w:rPr>
      </w:pPr>
      <w:bookmarkStart w:id="142" w:name="_Toc513029229"/>
      <w:bookmarkStart w:id="143" w:name="_Toc20823301"/>
      <w:bookmarkStart w:id="144" w:name="_Toc16938545"/>
      <w:bookmarkStart w:id="145" w:name="_Toc120614218"/>
      <w:r>
        <w:rPr>
          <w:rFonts w:hint="eastAsia"/>
          <w:color w:val="auto"/>
          <w:highlight w:val="none"/>
        </w:rPr>
        <w:t>五、开标与评标</w:t>
      </w:r>
      <w:bookmarkEnd w:id="142"/>
      <w:bookmarkEnd w:id="143"/>
      <w:bookmarkEnd w:id="144"/>
      <w:bookmarkEnd w:id="145"/>
    </w:p>
    <w:p>
      <w:pPr>
        <w:pStyle w:val="36"/>
        <w:spacing w:before="0" w:after="0" w:line="520" w:lineRule="exact"/>
        <w:ind w:firstLine="420"/>
        <w:rPr>
          <w:b w:val="0"/>
          <w:bCs w:val="0"/>
          <w:color w:val="auto"/>
          <w:highlight w:val="none"/>
        </w:rPr>
      </w:pPr>
      <w:bookmarkStart w:id="146" w:name="_Toc513029230"/>
      <w:bookmarkStart w:id="147" w:name="_Toc20823302"/>
      <w:bookmarkStart w:id="148" w:name="_Toc16938546"/>
      <w:r>
        <w:rPr>
          <w:rFonts w:hint="eastAsia"/>
          <w:b w:val="0"/>
          <w:bCs w:val="0"/>
          <w:color w:val="auto"/>
          <w:highlight w:val="none"/>
        </w:rPr>
        <w:t>20、开标</w:t>
      </w:r>
      <w:bookmarkEnd w:id="146"/>
      <w:bookmarkEnd w:id="147"/>
      <w:bookmarkEnd w:id="148"/>
    </w:p>
    <w:p>
      <w:pPr>
        <w:spacing w:line="520" w:lineRule="exact"/>
        <w:ind w:firstLine="360"/>
        <w:rPr>
          <w:color w:val="auto"/>
          <w:highlight w:val="none"/>
        </w:rPr>
      </w:pPr>
      <w:r>
        <w:rPr>
          <w:rFonts w:hint="eastAsia" w:ascii="宋体" w:hAnsi="宋体"/>
          <w:color w:val="auto"/>
          <w:sz w:val="24"/>
          <w:highlight w:val="none"/>
        </w:rPr>
        <w:t>20.1</w:t>
      </w:r>
      <w:r>
        <w:rPr>
          <w:rFonts w:hint="eastAsia" w:ascii="宋体" w:hAnsi="宋体"/>
          <w:bCs/>
          <w:color w:val="auto"/>
          <w:sz w:val="24"/>
          <w:highlight w:val="none"/>
        </w:rPr>
        <w:t xml:space="preserve"> 代理单位将在招标公告中规定的时间和地点组织公开开标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20.2</w:t>
      </w:r>
      <w:r>
        <w:rPr>
          <w:rFonts w:hint="eastAsia" w:ascii="宋体" w:hAnsi="宋体"/>
          <w:color w:val="auto"/>
          <w:sz w:val="24"/>
          <w:szCs w:val="24"/>
          <w:highlight w:val="none"/>
        </w:rPr>
        <w:t>开标仪式由代理单位组织。苏采云系统将自动对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pPr>
        <w:spacing w:line="520" w:lineRule="exact"/>
        <w:ind w:firstLine="480"/>
        <w:rPr>
          <w:rFonts w:hint="eastAsia" w:ascii="宋体" w:hAnsi="宋体"/>
          <w:color w:val="auto"/>
          <w:sz w:val="24"/>
          <w:szCs w:val="24"/>
          <w:highlight w:val="none"/>
        </w:rPr>
      </w:pPr>
      <w:r>
        <w:rPr>
          <w:rFonts w:hint="eastAsia" w:ascii="宋体" w:hAnsi="宋体"/>
          <w:bCs/>
          <w:color w:val="auto"/>
          <w:sz w:val="24"/>
          <w:highlight w:val="none"/>
        </w:rPr>
        <w:t>20.3投标人在开标过程中涉及到的投标文件解密、开标结果确认等工作，应按照《操作手册》规定执行。</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20.4投标人如果对开标过程和开标记录有疑义，应当根据《操作手册》规定提出，如 苏采云系统中《开标记录表》宣布后5分钟内未提出的，视同认可开标结果。</w:t>
      </w:r>
    </w:p>
    <w:p>
      <w:pPr>
        <w:pStyle w:val="36"/>
        <w:spacing w:before="0" w:after="0" w:line="520" w:lineRule="exact"/>
        <w:ind w:firstLine="420"/>
        <w:rPr>
          <w:b w:val="0"/>
          <w:bCs w:val="0"/>
          <w:color w:val="auto"/>
          <w:highlight w:val="none"/>
        </w:rPr>
      </w:pPr>
      <w:bookmarkStart w:id="149" w:name="_Toc20823303"/>
      <w:bookmarkStart w:id="150" w:name="_Toc16938547"/>
      <w:bookmarkStart w:id="151" w:name="_Toc513029231"/>
      <w:r>
        <w:rPr>
          <w:rFonts w:hint="eastAsia"/>
          <w:b w:val="0"/>
          <w:bCs w:val="0"/>
          <w:color w:val="auto"/>
          <w:highlight w:val="none"/>
        </w:rPr>
        <w:t>21、评标委员会</w:t>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21.1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开标后，代理单位将立即组织评标委员会（以下简称评委会）进行评标。</w:t>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21.2 评委会由采购人代表和有关技术、经济等方面的专家组成，且人员构成符合政府采购有关规定。</w:t>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21.3评委会独立工作，负责评审所有投标文件并确定中标侯选人。</w:t>
      </w:r>
    </w:p>
    <w:p>
      <w:pPr>
        <w:pStyle w:val="36"/>
        <w:spacing w:before="0" w:after="0" w:line="520" w:lineRule="exact"/>
        <w:ind w:firstLine="420"/>
        <w:rPr>
          <w:rFonts w:ascii="黑体"/>
          <w:b w:val="0"/>
          <w:bCs w:val="0"/>
          <w:color w:val="auto"/>
          <w:highlight w:val="none"/>
        </w:rPr>
      </w:pPr>
      <w:r>
        <w:rPr>
          <w:rFonts w:hint="eastAsia" w:ascii="黑体"/>
          <w:b w:val="0"/>
          <w:bCs w:val="0"/>
          <w:color w:val="auto"/>
          <w:highlight w:val="none"/>
        </w:rPr>
        <w:t>22、评标过程的保密与公正</w:t>
      </w:r>
    </w:p>
    <w:bookmarkEnd w:id="149"/>
    <w:bookmarkEnd w:id="150"/>
    <w:bookmarkEnd w:id="151"/>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22.1</w:t>
      </w:r>
      <w:r>
        <w:rPr>
          <w:rFonts w:hint="eastAsia" w:ascii="宋体" w:hAnsi="宋体"/>
          <w:bCs/>
          <w:color w:val="auto"/>
          <w:sz w:val="24"/>
          <w:highlight w:val="none"/>
        </w:rPr>
        <w:t>凡是与审查、澄清、评价和比较投标的有关资料以及授标建议等，采购人、评委、代理单位均不得向投标人或与评标无关的其他人员透露。</w:t>
      </w:r>
    </w:p>
    <w:p>
      <w:pPr>
        <w:spacing w:line="520" w:lineRule="exact"/>
        <w:ind w:firstLine="480"/>
        <w:rPr>
          <w:rFonts w:hint="eastAsia" w:ascii="宋体" w:hAnsi="宋体"/>
          <w:color w:val="auto"/>
          <w:sz w:val="24"/>
          <w:szCs w:val="24"/>
          <w:highlight w:val="none"/>
        </w:rPr>
      </w:pPr>
      <w:r>
        <w:rPr>
          <w:rFonts w:hint="eastAsia" w:ascii="宋体" w:hAnsi="宋体"/>
          <w:color w:val="auto"/>
          <w:sz w:val="24"/>
          <w:highlight w:val="none"/>
        </w:rPr>
        <w:t>22.2</w:t>
      </w:r>
      <w:r>
        <w:rPr>
          <w:rFonts w:hint="eastAsia" w:ascii="宋体" w:hAnsi="宋体"/>
          <w:color w:val="auto"/>
          <w:sz w:val="24"/>
          <w:szCs w:val="24"/>
          <w:highlight w:val="none"/>
        </w:rPr>
        <w:t>在评标过程中，投标人不得以任何行为影响评标过程，否则其投标文件将被作为无效投标文件。</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3</w:t>
      </w:r>
      <w:r>
        <w:rPr>
          <w:rFonts w:hint="eastAsia" w:ascii="宋体" w:hAnsi="宋体"/>
          <w:color w:val="auto"/>
          <w:sz w:val="24"/>
          <w:szCs w:val="24"/>
          <w:highlight w:val="none"/>
        </w:rPr>
        <w:t xml:space="preserve"> 代理单位和评标委员会不向未中标的投标人解释未中标原因，也不公布评标过程中的相关细节。</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22.4 采用综合评分法的项目，未中标的投标人可于中标结果公告期限届满之日起通过苏采云系统查看自己的评审得分及排序情况。</w:t>
      </w:r>
    </w:p>
    <w:p>
      <w:pPr>
        <w:pStyle w:val="36"/>
        <w:spacing w:before="0" w:after="0" w:line="520" w:lineRule="exact"/>
        <w:ind w:firstLine="420"/>
        <w:rPr>
          <w:b w:val="0"/>
          <w:bCs w:val="0"/>
          <w:color w:val="auto"/>
          <w:highlight w:val="none"/>
        </w:rPr>
      </w:pPr>
      <w:bookmarkStart w:id="152" w:name="_Toc20823304"/>
      <w:bookmarkStart w:id="153" w:name="_Toc16938548"/>
      <w:bookmarkStart w:id="154" w:name="_Toc513029232"/>
      <w:r>
        <w:rPr>
          <w:rFonts w:hint="eastAsia"/>
          <w:b w:val="0"/>
          <w:bCs w:val="0"/>
          <w:color w:val="auto"/>
          <w:highlight w:val="none"/>
        </w:rPr>
        <w:t>23、投标文件的澄清</w:t>
      </w:r>
      <w:bookmarkEnd w:id="152"/>
      <w:bookmarkEnd w:id="153"/>
      <w:bookmarkEnd w:id="154"/>
    </w:p>
    <w:p>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，有权要求投标人作出必要的澄清、说明或者补正。</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23.3 接到评委会澄清、说明和补正要求的投标人如未按规定做出澄清、说明和补正，其风险由投标人自行承担。</w:t>
      </w:r>
    </w:p>
    <w:p>
      <w:pPr>
        <w:pStyle w:val="36"/>
        <w:spacing w:before="0" w:after="0" w:line="520" w:lineRule="exact"/>
        <w:ind w:firstLine="420"/>
        <w:rPr>
          <w:b w:val="0"/>
          <w:bCs w:val="0"/>
          <w:color w:val="auto"/>
          <w:highlight w:val="none"/>
        </w:rPr>
      </w:pPr>
      <w:bookmarkStart w:id="155" w:name="_Toc513029233"/>
      <w:bookmarkStart w:id="156" w:name="_Toc20823305"/>
      <w:bookmarkStart w:id="157" w:name="_Toc16938549"/>
      <w:r>
        <w:rPr>
          <w:rFonts w:hint="eastAsia"/>
          <w:b w:val="0"/>
          <w:bCs w:val="0"/>
          <w:color w:val="auto"/>
          <w:highlight w:val="none"/>
        </w:rPr>
        <w:t>24、对投标文件的初审</w:t>
      </w:r>
      <w:bookmarkEnd w:id="155"/>
      <w:bookmarkEnd w:id="156"/>
      <w:bookmarkEnd w:id="157"/>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24.1</w:t>
      </w:r>
      <w:r>
        <w:rPr>
          <w:rFonts w:hint="eastAsia" w:ascii="宋体" w:hAnsi="宋体"/>
          <w:bCs/>
          <w:color w:val="auto"/>
          <w:sz w:val="24"/>
          <w:highlight w:val="none"/>
        </w:rPr>
        <w:t>投标文件初审分为资格审查和符合性审查。</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24.1.1 资格审查：依据法律法规和招标文件的规定，由采购人对投标文件中的资格证明文件进行审查。资格审查的结论，采购人以书面形式向评委会进行反馈。</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采购人在进行资格性审查的同时，将在“信用中国”网站（www.creditchina.gov.cn）查询投标人的信用记录，以确定投标人是否具备投标资格,查询结果留存并归档。</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24.1.2 符合性审查：依据招标文件的规定，由评委会从投标文件的有效性、完整性和对招标文件的响应程度进行审查，以确定是否对招标文件的实质性要求作出响应。</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24.</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未通过资格审查或符合性审查的投标人，代理单位将在</w:t>
      </w:r>
      <w:r>
        <w:rPr>
          <w:rFonts w:hint="eastAsia" w:ascii="宋体" w:hAnsi="宋体"/>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w:t>
      </w:r>
      <w:r>
        <w:rPr>
          <w:rFonts w:hint="eastAsia" w:ascii="宋体" w:hAnsi="宋体"/>
          <w:bCs/>
          <w:color w:val="auto"/>
          <w:sz w:val="24"/>
          <w:highlight w:val="none"/>
        </w:rPr>
        <w:t>代理单位</w:t>
      </w:r>
      <w:r>
        <w:rPr>
          <w:rFonts w:ascii="宋体" w:hAnsi="宋体"/>
          <w:bCs/>
          <w:color w:val="auto"/>
          <w:sz w:val="24"/>
          <w:highlight w:val="none"/>
        </w:rPr>
        <w:t>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24.2在详细评标之前，评委会将首先审查每份投标文件是否实质性响应了招标文件的要求。实质性响应的投标应该是与招标文件要求的全部条款、条件和规格相符，没有重大偏离或保留的投标。</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代理单位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20" w:lineRule="exact"/>
        <w:ind w:firstLine="480"/>
        <w:rPr>
          <w:rFonts w:hint="eastAsia" w:ascii="宋体" w:hAnsi="宋体"/>
          <w:color w:val="auto"/>
          <w:sz w:val="24"/>
          <w:highlight w:val="none"/>
        </w:rPr>
      </w:pPr>
      <w:r>
        <w:rPr>
          <w:rFonts w:hint="eastAsia" w:ascii="宋体" w:hAnsi="宋体"/>
          <w:color w:val="auto"/>
          <w:sz w:val="24"/>
          <w:highlight w:val="none"/>
        </w:rPr>
        <w:t>24.3如果投标文件实质上没有响应招标文件的要求，评委会将予以拒绝，投标人不得通过修改或撤销不合要求的偏离或保留而使其投标成为实质性响应的投标。</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24.</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（2）大写金额和小写金额不一致的，以大写金额为准。</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pPr>
        <w:spacing w:line="520" w:lineRule="exact"/>
        <w:ind w:firstLine="480"/>
        <w:rPr>
          <w:rFonts w:hint="eastAsia" w:ascii="宋体" w:hAnsi="宋体"/>
          <w:bCs/>
          <w:color w:val="auto"/>
          <w:sz w:val="24"/>
          <w:highlight w:val="none"/>
        </w:rPr>
      </w:pPr>
      <w:r>
        <w:rPr>
          <w:rFonts w:hint="eastAsia" w:ascii="宋体" w:hAnsi="宋体"/>
          <w:color w:val="auto"/>
          <w:sz w:val="24"/>
          <w:highlight w:val="none"/>
        </w:rPr>
        <w:t>24.</w:t>
      </w:r>
      <w:r>
        <w:rPr>
          <w:rFonts w:ascii="宋体" w:hAnsi="宋体"/>
          <w:color w:val="auto"/>
          <w:sz w:val="24"/>
          <w:highlight w:val="none"/>
        </w:rPr>
        <w:t>5</w:t>
      </w:r>
      <w:r>
        <w:rPr>
          <w:rFonts w:hint="eastAsia" w:ascii="宋体" w:hAnsi="宋体"/>
          <w:color w:val="auto"/>
          <w:sz w:val="24"/>
          <w:highlight w:val="none"/>
        </w:rPr>
        <w:t xml:space="preserve"> </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调整后的价格应对投标人具有约束力。如果投标人不接受修正后的价格，则其投标将被拒绝。</w:t>
      </w:r>
    </w:p>
    <w:p>
      <w:pPr>
        <w:spacing w:line="520" w:lineRule="exact"/>
        <w:ind w:firstLine="420"/>
        <w:rPr>
          <w:rFonts w:hint="eastAsia" w:ascii="宋体" w:hAnsi="宋体"/>
          <w:color w:val="auto"/>
          <w:sz w:val="24"/>
          <w:highlight w:val="none"/>
        </w:rPr>
      </w:pPr>
      <w:bookmarkStart w:id="158" w:name="_Toc513029234"/>
      <w:bookmarkStart w:id="159" w:name="_Toc16938550"/>
      <w:bookmarkStart w:id="160" w:name="_Toc20823306"/>
      <w:r>
        <w:rPr>
          <w:rFonts w:hint="eastAsia" w:ascii="宋体" w:hAnsi="宋体"/>
          <w:color w:val="auto"/>
          <w:sz w:val="24"/>
          <w:highlight w:val="none"/>
        </w:rPr>
        <w:t>24.6投标人在开、评标全过程中应保持通讯畅通，及时登录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并安排专人与代理单位及评标委员会联系。</w:t>
      </w:r>
    </w:p>
    <w:p>
      <w:pPr>
        <w:keepNext/>
        <w:keepLines/>
        <w:spacing w:line="520" w:lineRule="exact"/>
        <w:ind w:firstLine="42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25、异常低价投标审查</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25.1 评标过程中出现下列情形之一的，评标委员会应当启动异常低价投标审查程序：</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（1）投标（响应）报价低于全部通过符合性审查投标人投标（响应）报价平均值50%的，即投标（响应）报价&lt;全部通过符合性审查投标人投标（响应）报价平均值×50%；</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（2）投标（响应）报价低于通过符合性审查的次低报价投标人投标（响应）报价50%的，即投标（响应）报价&lt;通过符合性审查的次低报价投标人投标（响应）报价×50%；</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（3）投标（响应）报价低于采购项目最高限价45%的，即投标（响应）报价&lt;采购项目最高限价×45%；</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（4）评审委员会基于专业判断，认为投标人报价过低，有可能影响产品质量或者不能诚信履约的其他情形。</w:t>
      </w:r>
    </w:p>
    <w:p>
      <w:pPr>
        <w:spacing w:line="520" w:lineRule="exact"/>
        <w:ind w:firstLine="480"/>
        <w:rPr>
          <w:rFonts w:hint="eastAsia" w:ascii="宋体" w:hAnsi="宋体"/>
          <w:color w:val="auto"/>
          <w:sz w:val="24"/>
          <w:highlight w:val="none"/>
        </w:rPr>
      </w:pPr>
      <w:r>
        <w:rPr>
          <w:rFonts w:hint="eastAsia" w:ascii="宋体" w:hAnsi="宋体"/>
          <w:bCs/>
          <w:color w:val="auto"/>
          <w:sz w:val="24"/>
          <w:highlight w:val="none"/>
        </w:rPr>
        <w:t>25.2 启动异常低价投标审查后，评标委员会应当要求相关投标人在评标现场合理的时间内（一般不少于30分钟），提供项目具体成本测算等与报价合理性相关的书面说明材料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p>
    <w:p>
      <w:pPr>
        <w:pStyle w:val="36"/>
        <w:spacing w:before="0" w:after="0" w:line="520" w:lineRule="exact"/>
        <w:ind w:firstLine="420"/>
        <w:rPr>
          <w:b w:val="0"/>
          <w:bCs w:val="0"/>
          <w:color w:val="auto"/>
          <w:highlight w:val="none"/>
        </w:rPr>
      </w:pPr>
      <w:r>
        <w:rPr>
          <w:rFonts w:hint="eastAsia"/>
          <w:b w:val="0"/>
          <w:bCs w:val="0"/>
          <w:color w:val="auto"/>
          <w:highlight w:val="none"/>
        </w:rPr>
        <w:t>26、</w:t>
      </w:r>
      <w:bookmarkEnd w:id="158"/>
      <w:bookmarkEnd w:id="159"/>
      <w:bookmarkEnd w:id="160"/>
      <w:r>
        <w:rPr>
          <w:rFonts w:hint="eastAsia"/>
          <w:b w:val="0"/>
          <w:bCs w:val="0"/>
          <w:color w:val="auto"/>
          <w:highlight w:val="none"/>
        </w:rPr>
        <w:t>无效投标条款和废标条款</w:t>
      </w:r>
    </w:p>
    <w:p>
      <w:pPr>
        <w:spacing w:line="520" w:lineRule="exact"/>
        <w:ind w:left="479"/>
        <w:rPr>
          <w:rFonts w:hint="eastAsia" w:ascii="宋体" w:hAnsi="宋体"/>
          <w:bCs/>
          <w:color w:val="auto"/>
          <w:sz w:val="24"/>
          <w:highlight w:val="none"/>
        </w:rPr>
      </w:pPr>
      <w:bookmarkStart w:id="161" w:name="_Toc20823307"/>
      <w:bookmarkStart w:id="162" w:name="_Toc16938551"/>
      <w:bookmarkStart w:id="163" w:name="_Toc513029235"/>
      <w:r>
        <w:rPr>
          <w:rFonts w:hint="eastAsia" w:ascii="宋体" w:hAnsi="宋体"/>
          <w:bCs/>
          <w:color w:val="auto"/>
          <w:sz w:val="24"/>
          <w:highlight w:val="none"/>
        </w:rPr>
        <w:t>26.1无效投标条款</w:t>
      </w:r>
    </w:p>
    <w:p>
      <w:pPr>
        <w:spacing w:line="52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26.1.2 投标人未按照招标文件要求上传电子投标文件的。</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26.1.3同一投标人提交两个（含两个）以上不同的投标报价的。</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26.1.4投标人不具备招标文件中规定资格要求的。</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26.1.5投标人的报价超过了采购预算或最高限价的。</w:t>
      </w:r>
    </w:p>
    <w:p>
      <w:pPr>
        <w:spacing w:line="520" w:lineRule="exact"/>
        <w:ind w:firstLine="480"/>
        <w:rPr>
          <w:rFonts w:hint="eastAsia" w:ascii="宋体" w:hAnsi="宋体"/>
          <w:bCs/>
          <w:i/>
          <w:color w:val="auto"/>
          <w:sz w:val="24"/>
          <w:highlight w:val="none"/>
          <w:u w:val="single"/>
        </w:rPr>
      </w:pPr>
      <w:r>
        <w:rPr>
          <w:rFonts w:hint="eastAsia" w:ascii="宋体" w:hAnsi="宋体"/>
          <w:bCs/>
          <w:color w:val="auto"/>
          <w:sz w:val="24"/>
          <w:highlight w:val="none"/>
        </w:rPr>
        <w:t>26.1.6未通过符合性审查的。</w:t>
      </w:r>
    </w:p>
    <w:p>
      <w:pPr>
        <w:spacing w:line="520" w:lineRule="exact"/>
        <w:ind w:firstLine="360"/>
        <w:rPr>
          <w:rFonts w:hint="eastAsia" w:ascii="宋体" w:hAnsi="宋体"/>
          <w:bCs/>
          <w:i/>
          <w:color w:val="auto"/>
          <w:sz w:val="24"/>
          <w:highlight w:val="none"/>
          <w:u w:val="single"/>
        </w:rPr>
      </w:pPr>
      <w:r>
        <w:rPr>
          <w:rFonts w:hint="eastAsia" w:ascii="宋体" w:hAnsi="宋体"/>
          <w:bCs/>
          <w:color w:val="auto"/>
          <w:sz w:val="24"/>
          <w:highlight w:val="none"/>
        </w:rPr>
        <w:t xml:space="preserve"> 26.1.7不符合招标文件中规定的实质性要求和条件的。</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26.1.9 投标文件含有采购人不能接受的附加条件的。</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26.1.10评标委员会认为投标人的报价明显低于其他通过符合性审查投标人的报价，有可能影响产品质量或者不能诚信履约的，将通过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要求其在合理的时间内提供说明，必要时提交相关证明材料；投标人不能证明其报价合理性的，评标委员会应当将其作为无效投标处理。</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26.1.11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26.1.12其他法律、法规及本招标文件规定的属无效投标的情形。</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26.2.1符合专业条件的投标人或者对招标文件作实质响应的投标人不足三家的。26.2.2出现影响采购公正的违法、违规行为的。</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26.2.5 因苏采云系统系统故障原因造成开标不成功的。</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投标截止时间结束后参加投标的投标人不足三家的处理：</w:t>
      </w:r>
    </w:p>
    <w:p>
      <w:pPr>
        <w:spacing w:line="520" w:lineRule="exact"/>
        <w:ind w:left="479"/>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26.3.1如出现投标截止时间结束后参加投标的投标人或者在评标期间对招标文件做出实质响应的投标人不足三家情况，按政府采购相关规定执行。</w:t>
      </w:r>
    </w:p>
    <w:p>
      <w:pPr>
        <w:pStyle w:val="188"/>
        <w:spacing w:before="0" w:after="0" w:line="520" w:lineRule="exact"/>
        <w:ind w:firstLine="482"/>
        <w:rPr>
          <w:color w:val="auto"/>
          <w:highlight w:val="none"/>
        </w:rPr>
      </w:pPr>
      <w:bookmarkStart w:id="164" w:name="_Toc120614219"/>
      <w:r>
        <w:rPr>
          <w:rFonts w:hint="eastAsia"/>
          <w:color w:val="auto"/>
          <w:highlight w:val="none"/>
        </w:rPr>
        <w:t>六、</w:t>
      </w:r>
      <w:bookmarkEnd w:id="161"/>
      <w:bookmarkEnd w:id="162"/>
      <w:bookmarkEnd w:id="163"/>
      <w:r>
        <w:rPr>
          <w:rFonts w:hint="eastAsia"/>
          <w:color w:val="auto"/>
          <w:highlight w:val="none"/>
        </w:rPr>
        <w:t>定标</w:t>
      </w:r>
      <w:bookmarkEnd w:id="164"/>
    </w:p>
    <w:p>
      <w:pPr>
        <w:pStyle w:val="36"/>
        <w:spacing w:before="0" w:after="0" w:line="520" w:lineRule="exact"/>
        <w:ind w:firstLine="600"/>
        <w:rPr>
          <w:rFonts w:hint="eastAsia" w:ascii="黑体" w:hAnsi="宋体"/>
          <w:b w:val="0"/>
          <w:color w:val="auto"/>
          <w:sz w:val="30"/>
          <w:szCs w:val="30"/>
          <w:highlight w:val="none"/>
        </w:rPr>
      </w:pPr>
      <w:bookmarkStart w:id="165" w:name="_Toc513029238"/>
      <w:bookmarkStart w:id="166" w:name="_Toc16938554"/>
      <w:bookmarkStart w:id="167" w:name="_Toc20823310"/>
      <w:r>
        <w:rPr>
          <w:rFonts w:hint="eastAsia" w:ascii="黑体" w:hAnsi="宋体"/>
          <w:b w:val="0"/>
          <w:color w:val="auto"/>
          <w:sz w:val="30"/>
          <w:szCs w:val="30"/>
          <w:highlight w:val="none"/>
        </w:rPr>
        <w:t>27、</w:t>
      </w:r>
      <w:bookmarkEnd w:id="165"/>
      <w:r>
        <w:rPr>
          <w:rFonts w:hint="eastAsia" w:ascii="黑体" w:hAnsi="宋体"/>
          <w:b w:val="0"/>
          <w:color w:val="auto"/>
          <w:sz w:val="30"/>
          <w:szCs w:val="30"/>
          <w:highlight w:val="none"/>
        </w:rPr>
        <w:t>确定</w:t>
      </w:r>
      <w:bookmarkEnd w:id="166"/>
      <w:bookmarkEnd w:id="167"/>
      <w:r>
        <w:rPr>
          <w:rFonts w:hint="eastAsia" w:ascii="黑体" w:hAnsi="宋体"/>
          <w:b w:val="0"/>
          <w:color w:val="auto"/>
          <w:sz w:val="30"/>
          <w:szCs w:val="30"/>
          <w:highlight w:val="none"/>
        </w:rPr>
        <w:t>中标单位</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27.1中标候选人的选取原则和数量见招标文件第四章规定。 </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27.2采购人应根据评委会推荐的中标候选人确定中标人</w:t>
      </w:r>
      <w:r>
        <w:rPr>
          <w:rFonts w:ascii="宋体" w:hAnsi="宋体"/>
          <w:bCs/>
          <w:color w:val="auto"/>
          <w:sz w:val="24"/>
          <w:highlight w:val="none"/>
        </w:rPr>
        <w:t>。</w:t>
      </w:r>
    </w:p>
    <w:p>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代理单位将在“江苏政府采购网”发布中标公告，公告期限为1个工作日。</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若有充分证据证明，中标人出现下列情况之一的，一经查实，将被取消中标资格：</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27.4.2向采购人、代理单位行贿或者提供其他不正当利益的。</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27.4.3属于本文件规定的无效条件，但在评标过程中又未被评委会发现的。</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27.4.4与采购人或者其他投标人恶意串通的。</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27.4.5采取不正当手段诋毁、排挤其他投标人的。</w:t>
      </w:r>
    </w:p>
    <w:p>
      <w:pPr>
        <w:spacing w:line="520" w:lineRule="exact"/>
        <w:ind w:firstLine="480"/>
        <w:rPr>
          <w:rFonts w:hint="eastAsia" w:ascii="宋体" w:hAnsi="宋体"/>
          <w:color w:val="auto"/>
          <w:sz w:val="24"/>
          <w:szCs w:val="24"/>
          <w:highlight w:val="none"/>
        </w:rPr>
      </w:pPr>
      <w:bookmarkStart w:id="168" w:name="_Toc200451960"/>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27.5.5不同投标人的投标文件相互混装。</w:t>
      </w:r>
    </w:p>
    <w:p>
      <w:pPr>
        <w:pStyle w:val="36"/>
        <w:spacing w:before="0" w:after="0" w:line="520" w:lineRule="exact"/>
        <w:ind w:firstLine="600"/>
        <w:rPr>
          <w:rFonts w:hint="eastAsia" w:ascii="黑体" w:hAnsi="宋体"/>
          <w:b w:val="0"/>
          <w:color w:val="auto"/>
          <w:sz w:val="30"/>
          <w:szCs w:val="30"/>
          <w:highlight w:val="none"/>
        </w:rPr>
      </w:pPr>
      <w:r>
        <w:rPr>
          <w:rFonts w:hint="eastAsia" w:ascii="黑体" w:hAnsi="宋体"/>
          <w:b w:val="0"/>
          <w:color w:val="auto"/>
          <w:sz w:val="30"/>
          <w:szCs w:val="30"/>
          <w:highlight w:val="none"/>
        </w:rPr>
        <w:t>28、质疑处理</w:t>
      </w:r>
      <w:bookmarkEnd w:id="168"/>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提出质疑的投标人应当是参与所质疑项目采购活动的投标人。潜在投标人依法获取其可质疑的采购文件的，可以对采购文件提出质疑。</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投标人认为采购文件、采购过程和采购结果使自己的权益受到损害的，可以在知道或应知其权益受到损害之日起七个工作日内，以书面形式根据下述28.4条款的规定向采购人提出质疑。上述应知其权益受到损害之日，是指：</w:t>
      </w:r>
    </w:p>
    <w:p>
      <w:pPr>
        <w:spacing w:line="52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28.2.1</w:t>
      </w:r>
      <w:r>
        <w:rPr>
          <w:rFonts w:hAnsi="宋体" w:cs="宋体"/>
          <w:color w:val="auto"/>
          <w:sz w:val="24"/>
          <w:szCs w:val="24"/>
          <w:highlight w:val="none"/>
        </w:rPr>
        <w:t>对可以质疑的采购文件提出质疑的，为收到采购文件之日或者采购文件公告期限届满之日；</w:t>
      </w:r>
    </w:p>
    <w:p>
      <w:pPr>
        <w:spacing w:line="52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28.2.2</w:t>
      </w:r>
      <w:r>
        <w:rPr>
          <w:rFonts w:hAnsi="宋体" w:cs="宋体"/>
          <w:color w:val="auto"/>
          <w:sz w:val="24"/>
          <w:szCs w:val="24"/>
          <w:highlight w:val="none"/>
        </w:rPr>
        <w:t>对采购过程提出质疑的，为各采购程序环节结束之日；</w:t>
      </w:r>
    </w:p>
    <w:p>
      <w:pPr>
        <w:spacing w:line="52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28.2.3</w:t>
      </w:r>
      <w:r>
        <w:rPr>
          <w:rFonts w:hAnsi="宋体" w:cs="宋体"/>
          <w:color w:val="auto"/>
          <w:sz w:val="24"/>
          <w:szCs w:val="24"/>
          <w:highlight w:val="none"/>
        </w:rPr>
        <w:t>对中标或者成交结果提出质疑的，为中标或者成交结果公告期限届满之日。</w:t>
      </w:r>
    </w:p>
    <w:p>
      <w:pPr>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投标人应当在法定质疑期内一次性提出针对同一采购程序环节的质疑。投标人如在法定期限内对同一采购程序环节提出多次质疑的，</w:t>
      </w:r>
      <w:r>
        <w:rPr>
          <w:rFonts w:hAnsi="宋体" w:cs="宋体"/>
          <w:color w:val="auto"/>
          <w:sz w:val="24"/>
          <w:szCs w:val="24"/>
          <w:highlight w:val="none"/>
        </w:rPr>
        <w:t>采购人</w:t>
      </w:r>
      <w:r>
        <w:rPr>
          <w:rFonts w:hint="eastAsia" w:hAnsi="宋体" w:cs="宋体"/>
          <w:color w:val="auto"/>
          <w:sz w:val="24"/>
          <w:szCs w:val="24"/>
          <w:highlight w:val="none"/>
        </w:rPr>
        <w:t>将只对投标人第一次质疑作出答复。</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质疑函必须按照本招标文件中《质疑函范本》要求的格式和内容进行填写。投标人如组成联合体参加投标，则《质疑函范本》中要求签字、盖章、加盖公章之处，联合体各方均须按要求签字、盖章、加盖公章。</w:t>
      </w:r>
    </w:p>
    <w:p>
      <w:pPr>
        <w:spacing w:line="52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28.4采购人负责投标人质疑答复。投标人（含潜在投标人）对采购人</w:t>
      </w:r>
      <w:r>
        <w:rPr>
          <w:rFonts w:ascii="宋体" w:hAnsi="宋体"/>
          <w:color w:val="auto"/>
          <w:sz w:val="24"/>
          <w:szCs w:val="24"/>
          <w:highlight w:val="none"/>
        </w:rPr>
        <w:t>式、</w:t>
      </w:r>
      <w:r>
        <w:rPr>
          <w:rFonts w:hint="eastAsia" w:ascii="宋体" w:hAnsi="宋体"/>
          <w:color w:val="auto"/>
          <w:sz w:val="24"/>
          <w:szCs w:val="24"/>
          <w:highlight w:val="none"/>
        </w:rPr>
        <w:t>招标文件中采购</w:t>
      </w:r>
      <w:r>
        <w:rPr>
          <w:rFonts w:ascii="宋体" w:hAnsi="宋体"/>
          <w:color w:val="auto"/>
          <w:sz w:val="24"/>
          <w:szCs w:val="24"/>
          <w:highlight w:val="none"/>
        </w:rPr>
        <w:t>需求、</w:t>
      </w:r>
      <w:r>
        <w:rPr>
          <w:rFonts w:hint="eastAsia" w:ascii="宋体" w:hAnsi="宋体"/>
          <w:color w:val="auto"/>
          <w:sz w:val="24"/>
          <w:szCs w:val="24"/>
          <w:highlight w:val="none"/>
        </w:rPr>
        <w:t>投标人</w:t>
      </w:r>
      <w:r>
        <w:rPr>
          <w:rFonts w:ascii="宋体" w:hAnsi="宋体"/>
          <w:color w:val="auto"/>
          <w:sz w:val="24"/>
          <w:szCs w:val="24"/>
          <w:highlight w:val="none"/>
        </w:rPr>
        <w:t>资格条件、</w:t>
      </w:r>
      <w:r>
        <w:rPr>
          <w:rFonts w:hint="eastAsia" w:ascii="宋体" w:hAnsi="宋体"/>
          <w:color w:val="auto"/>
          <w:sz w:val="24"/>
          <w:szCs w:val="24"/>
          <w:highlight w:val="none"/>
        </w:rPr>
        <w:t>评标方法</w:t>
      </w:r>
      <w:r>
        <w:rPr>
          <w:rFonts w:ascii="宋体" w:hAnsi="宋体"/>
          <w:color w:val="auto"/>
          <w:sz w:val="24"/>
          <w:szCs w:val="24"/>
          <w:highlight w:val="none"/>
        </w:rPr>
        <w:t>和评标标准、合同文本</w:t>
      </w:r>
      <w:r>
        <w:rPr>
          <w:rFonts w:hint="eastAsia" w:ascii="宋体" w:hAnsi="宋体"/>
          <w:color w:val="auto"/>
          <w:sz w:val="24"/>
          <w:szCs w:val="24"/>
          <w:highlight w:val="none"/>
        </w:rPr>
        <w:t>及</w:t>
      </w:r>
      <w:r>
        <w:rPr>
          <w:rFonts w:ascii="宋体" w:hAnsi="宋体"/>
          <w:color w:val="auto"/>
          <w:sz w:val="24"/>
          <w:szCs w:val="24"/>
          <w:highlight w:val="none"/>
        </w:rPr>
        <w:t>资格</w:t>
      </w:r>
      <w:r>
        <w:rPr>
          <w:rFonts w:hint="eastAsia" w:ascii="宋体" w:hAnsi="宋体"/>
          <w:color w:val="auto"/>
          <w:sz w:val="24"/>
          <w:szCs w:val="24"/>
          <w:highlight w:val="none"/>
        </w:rPr>
        <w:t>审查结果的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rPr>
        <w:t>关于评审方面的质疑，采购人可以组织原评审委员会协助答复质疑。</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采购人只接收以纸质原件形式送达的质疑,建议投标人尽量通过邮寄方式提交质疑（采购人不接受未填写快递运单的快件）。</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采购人质疑接收联系人为</w:t>
      </w:r>
      <w:r>
        <w:rPr>
          <w:rFonts w:hint="eastAsia" w:ascii="宋体" w:hAnsi="宋体"/>
          <w:color w:val="auto"/>
          <w:sz w:val="24"/>
          <w:szCs w:val="24"/>
          <w:highlight w:val="none"/>
          <w:u w:val="single"/>
        </w:rPr>
        <w:t xml:space="preserve">  张女士 </w:t>
      </w:r>
      <w:r>
        <w:rPr>
          <w:rFonts w:hint="eastAsia" w:ascii="宋体" w:hAnsi="宋体"/>
          <w:color w:val="auto"/>
          <w:sz w:val="24"/>
          <w:szCs w:val="24"/>
          <w:highlight w:val="none"/>
        </w:rPr>
        <w:t>，联系地址：</w:t>
      </w:r>
      <w:r>
        <w:rPr>
          <w:rFonts w:hint="eastAsia" w:ascii="宋体" w:hAnsi="宋体"/>
          <w:color w:val="auto"/>
          <w:sz w:val="24"/>
          <w:szCs w:val="24"/>
          <w:highlight w:val="none"/>
          <w:u w:val="single"/>
        </w:rPr>
        <w:t xml:space="preserve"> 海安市高新区镇南路428号1号楼5楼  </w:t>
      </w:r>
      <w:r>
        <w:rPr>
          <w:rFonts w:hint="eastAsia" w:ascii="宋体" w:hAnsi="宋体"/>
          <w:color w:val="auto"/>
          <w:sz w:val="24"/>
          <w:szCs w:val="24"/>
          <w:highlight w:val="none"/>
        </w:rPr>
        <w:t>，联系电话：</w:t>
      </w:r>
      <w:r>
        <w:rPr>
          <w:rFonts w:hint="eastAsia" w:ascii="宋体" w:hAnsi="宋体"/>
          <w:color w:val="auto"/>
          <w:sz w:val="24"/>
          <w:szCs w:val="24"/>
          <w:highlight w:val="none"/>
          <w:u w:val="single"/>
        </w:rPr>
        <w:t xml:space="preserve">  0513-88817215 </w:t>
      </w:r>
      <w:r>
        <w:rPr>
          <w:rFonts w:hint="eastAsia" w:ascii="宋体" w:hAnsi="宋体"/>
          <w:color w:val="auto"/>
          <w:sz w:val="24"/>
          <w:szCs w:val="24"/>
          <w:highlight w:val="none"/>
        </w:rPr>
        <w:t>。</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 未参加投标活动的投标人或在投标活动中自身权益未受到损害的投标人所提出的质疑。</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28.5.5投标人组成联合体参加投标，联合体中任何一方或多方未按要求签字、盖章、加盖公章的质疑。</w:t>
      </w:r>
    </w:p>
    <w:p>
      <w:pPr>
        <w:spacing w:line="52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pPr>
        <w:pStyle w:val="36"/>
        <w:spacing w:before="0" w:after="0" w:line="520" w:lineRule="exact"/>
        <w:ind w:firstLine="600"/>
        <w:rPr>
          <w:rFonts w:hint="eastAsia" w:ascii="黑体" w:hAnsi="宋体"/>
          <w:b w:val="0"/>
          <w:color w:val="auto"/>
          <w:sz w:val="30"/>
          <w:szCs w:val="30"/>
          <w:highlight w:val="none"/>
        </w:rPr>
      </w:pPr>
      <w:r>
        <w:rPr>
          <w:rFonts w:hint="eastAsia" w:ascii="黑体" w:hAnsi="宋体"/>
          <w:b w:val="0"/>
          <w:color w:val="auto"/>
          <w:sz w:val="30"/>
          <w:szCs w:val="30"/>
          <w:highlight w:val="none"/>
        </w:rPr>
        <w:t>29、中标通知书</w:t>
      </w:r>
    </w:p>
    <w:p>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pPr>
        <w:pStyle w:val="188"/>
        <w:spacing w:before="0" w:after="0" w:line="520" w:lineRule="exact"/>
        <w:rPr>
          <w:color w:val="auto"/>
          <w:highlight w:val="none"/>
        </w:rPr>
      </w:pPr>
      <w:bookmarkStart w:id="169" w:name="_Toc120614220"/>
      <w:bookmarkStart w:id="170" w:name="_Toc16938552"/>
      <w:bookmarkStart w:id="171" w:name="_Toc513029236"/>
      <w:bookmarkStart w:id="172" w:name="_Toc20823308"/>
      <w:r>
        <w:rPr>
          <w:rFonts w:hint="eastAsia"/>
          <w:color w:val="auto"/>
          <w:highlight w:val="none"/>
        </w:rPr>
        <w:t>七、授予合同</w:t>
      </w:r>
      <w:bookmarkEnd w:id="169"/>
    </w:p>
    <w:bookmarkEnd w:id="170"/>
    <w:bookmarkEnd w:id="171"/>
    <w:bookmarkEnd w:id="172"/>
    <w:p>
      <w:pPr>
        <w:pStyle w:val="36"/>
        <w:spacing w:before="0" w:after="0" w:line="520" w:lineRule="exact"/>
        <w:ind w:firstLine="600"/>
        <w:rPr>
          <w:rFonts w:hint="eastAsia" w:ascii="黑体" w:hAnsi="宋体"/>
          <w:b w:val="0"/>
          <w:color w:val="auto"/>
          <w:sz w:val="30"/>
          <w:szCs w:val="30"/>
          <w:highlight w:val="none"/>
        </w:rPr>
      </w:pPr>
      <w:bookmarkStart w:id="173" w:name="_Toc513029237"/>
      <w:bookmarkStart w:id="174" w:name="_Toc16938553"/>
      <w:bookmarkStart w:id="175" w:name="_Toc20823309"/>
      <w:r>
        <w:rPr>
          <w:rFonts w:hint="eastAsia" w:ascii="黑体" w:hAnsi="宋体"/>
          <w:b w:val="0"/>
          <w:color w:val="auto"/>
          <w:sz w:val="30"/>
          <w:szCs w:val="30"/>
          <w:highlight w:val="none"/>
        </w:rPr>
        <w:t>30. 签订合同</w:t>
      </w:r>
    </w:p>
    <w:p>
      <w:pPr>
        <w:spacing w:line="520" w:lineRule="exact"/>
        <w:ind w:firstLine="600"/>
        <w:rPr>
          <w:rFonts w:hint="eastAsia" w:ascii="宋体" w:hAnsi="宋体"/>
          <w:color w:val="auto"/>
          <w:sz w:val="24"/>
          <w:szCs w:val="24"/>
          <w:highlight w:val="none"/>
        </w:rPr>
      </w:pPr>
      <w:r>
        <w:rPr>
          <w:rFonts w:hint="eastAsia" w:ascii="宋体" w:hAnsi="宋体"/>
          <w:bCs/>
          <w:color w:val="auto"/>
          <w:sz w:val="24"/>
          <w:szCs w:val="24"/>
          <w:highlight w:val="none"/>
        </w:rPr>
        <w:t>30</w:t>
      </w:r>
      <w:r>
        <w:rPr>
          <w:rFonts w:hint="eastAsia" w:ascii="宋体" w:hAnsi="宋体"/>
          <w:color w:val="auto"/>
          <w:sz w:val="24"/>
          <w:szCs w:val="24"/>
          <w:highlight w:val="none"/>
        </w:rPr>
        <w:t>.l中标人应当在中标通知书发出之日起三十日内，按照招标文件确定的事项与采购人签订政府采购合同。</w:t>
      </w:r>
    </w:p>
    <w:p>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招标文件、中标人的投标文件及招标过程中有关澄清、承诺文件均应作为合同附件。</w:t>
      </w:r>
    </w:p>
    <w:p>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30.3 签订合同后，</w:t>
      </w:r>
      <w:r>
        <w:rPr>
          <w:rFonts w:hint="eastAsia" w:ascii="宋体" w:hAnsi="宋体"/>
          <w:b/>
          <w:color w:val="auto"/>
          <w:sz w:val="24"/>
          <w:szCs w:val="24"/>
          <w:highlight w:val="none"/>
          <w:u w:val="single"/>
        </w:rPr>
        <w:t>中标人不得将合同标的进行转包</w:t>
      </w:r>
      <w:r>
        <w:rPr>
          <w:rFonts w:hint="eastAsia" w:ascii="宋体" w:hAnsi="宋体"/>
          <w:color w:val="auto"/>
          <w:sz w:val="24"/>
          <w:szCs w:val="24"/>
          <w:highlight w:val="none"/>
        </w:rPr>
        <w:t>。未经采购人同意，中标人也不得采用分包的形式履行合同，否则采购人有权终止合同。转包或分包造成采购人损失的，中标人应承担相应赔偿责任。</w:t>
      </w:r>
    </w:p>
    <w:p>
      <w:pPr>
        <w:pStyle w:val="36"/>
        <w:spacing w:before="0" w:after="0" w:line="520" w:lineRule="exact"/>
        <w:ind w:firstLine="600"/>
        <w:rPr>
          <w:rFonts w:hint="eastAsia" w:ascii="黑体" w:hAnsi="宋体"/>
          <w:b w:val="0"/>
          <w:color w:val="auto"/>
          <w:sz w:val="30"/>
          <w:szCs w:val="30"/>
          <w:highlight w:val="none"/>
        </w:rPr>
      </w:pPr>
      <w:r>
        <w:rPr>
          <w:rFonts w:hint="eastAsia" w:ascii="黑体" w:hAnsi="宋体"/>
          <w:b w:val="0"/>
          <w:color w:val="auto"/>
          <w:sz w:val="30"/>
          <w:szCs w:val="30"/>
          <w:highlight w:val="none"/>
        </w:rPr>
        <w:t>31、服务（包含与服务相关的货物）的追加</w:t>
      </w:r>
    </w:p>
    <w:p>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bookmarkEnd w:id="173"/>
    <w:bookmarkEnd w:id="174"/>
    <w:bookmarkEnd w:id="175"/>
    <w:p>
      <w:pPr>
        <w:pStyle w:val="36"/>
        <w:spacing w:before="0" w:after="0" w:line="520" w:lineRule="exact"/>
        <w:ind w:firstLine="600"/>
        <w:rPr>
          <w:rFonts w:hint="eastAsia" w:ascii="黑体" w:hAnsi="宋体"/>
          <w:b w:val="0"/>
          <w:color w:val="auto"/>
          <w:sz w:val="30"/>
          <w:szCs w:val="30"/>
          <w:highlight w:val="none"/>
        </w:rPr>
      </w:pPr>
      <w:bookmarkStart w:id="176" w:name="_Toc20823314"/>
      <w:bookmarkStart w:id="177" w:name="_Toc16938558"/>
      <w:bookmarkStart w:id="178" w:name="_Toc120614221"/>
      <w:bookmarkStart w:id="179" w:name="_Toc479757207"/>
      <w:bookmarkStart w:id="180" w:name="_Toc513029242"/>
      <w:r>
        <w:rPr>
          <w:rFonts w:hint="eastAsia" w:ascii="黑体" w:hAnsi="宋体"/>
          <w:b w:val="0"/>
          <w:color w:val="auto"/>
          <w:sz w:val="30"/>
          <w:szCs w:val="30"/>
          <w:highlight w:val="none"/>
        </w:rPr>
        <w:t>32、政府采购履约资金扶持政策</w:t>
      </w:r>
    </w:p>
    <w:p>
      <w:pPr>
        <w:pStyle w:val="187"/>
        <w:spacing w:line="520" w:lineRule="exact"/>
        <w:rPr>
          <w:rFonts w:hint="eastAsia" w:ascii="宋体" w:hAnsi="宋体"/>
          <w:bCs/>
          <w:color w:val="auto"/>
          <w:sz w:val="24"/>
          <w:highlight w:val="none"/>
        </w:rPr>
      </w:pPr>
      <w:r>
        <w:rPr>
          <w:rFonts w:hint="eastAsia" w:ascii="宋体" w:hAnsi="宋体"/>
          <w:bCs/>
          <w:color w:val="auto"/>
          <w:sz w:val="24"/>
          <w:highlight w:val="none"/>
        </w:rPr>
        <w:t>中标人可凭政府采购合同办理融资贷款，详情请见江苏政府采购网“政采贷”专栏。</w:t>
      </w:r>
    </w:p>
    <w:bookmarkEnd w:id="176"/>
    <w:bookmarkEnd w:id="177"/>
    <w:bookmarkEnd w:id="178"/>
    <w:bookmarkEnd w:id="179"/>
    <w:bookmarkEnd w:id="180"/>
    <w:p>
      <w:pPr>
        <w:pStyle w:val="221"/>
        <w:spacing w:line="560" w:lineRule="exact"/>
        <w:jc w:val="center"/>
        <w:rPr>
          <w:rFonts w:ascii="黑体" w:eastAsia="黑体"/>
          <w:bCs/>
          <w:color w:val="auto"/>
          <w:sz w:val="44"/>
          <w:highlight w:val="none"/>
        </w:rPr>
      </w:pPr>
      <w:bookmarkStart w:id="181" w:name="_Toc120614244"/>
      <w:bookmarkStart w:id="182" w:name="_Toc20823346"/>
      <w:bookmarkStart w:id="183" w:name="_Hlt16619350"/>
      <w:bookmarkStart w:id="184" w:name="_Toc16938590"/>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pStyle w:val="221"/>
        <w:spacing w:line="560" w:lineRule="exact"/>
        <w:jc w:val="center"/>
        <w:rPr>
          <w:rFonts w:ascii="黑体" w:eastAsia="黑体"/>
          <w:bCs/>
          <w:color w:val="auto"/>
          <w:sz w:val="44"/>
          <w:highlight w:val="none"/>
        </w:rPr>
      </w:pPr>
    </w:p>
    <w:p>
      <w:pPr>
        <w:spacing w:line="560" w:lineRule="exact"/>
        <w:jc w:val="center"/>
        <w:rPr>
          <w:rFonts w:ascii="黑体" w:hAnsi="Courier New" w:eastAsia="黑体" w:cs="Courier New"/>
          <w:bCs/>
          <w:color w:val="auto"/>
          <w:sz w:val="44"/>
          <w:highlight w:val="none"/>
        </w:rPr>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1701" w:num="1"/>
          <w:titlePg/>
          <w:docGrid w:linePitch="360" w:charSpace="0"/>
        </w:sectPr>
      </w:pPr>
    </w:p>
    <w:p>
      <w:pPr>
        <w:spacing w:line="560" w:lineRule="exact"/>
        <w:jc w:val="center"/>
        <w:rPr>
          <w:rFonts w:hint="eastAsia" w:ascii="宋体" w:hAnsi="宋体" w:cs="Courier New"/>
          <w:color w:val="auto"/>
          <w:sz w:val="24"/>
          <w:szCs w:val="24"/>
          <w:highlight w:val="none"/>
        </w:rPr>
      </w:pPr>
      <w:r>
        <w:rPr>
          <w:rFonts w:hint="eastAsia" w:ascii="黑体" w:hAnsi="Courier New" w:eastAsia="黑体" w:cs="Courier New"/>
          <w:bCs/>
          <w:color w:val="auto"/>
          <w:sz w:val="44"/>
          <w:highlight w:val="none"/>
        </w:rPr>
        <w:t>第三章 采购需求</w:t>
      </w:r>
    </w:p>
    <w:p>
      <w:pPr>
        <w:spacing w:after="145"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一、采购标的清单</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01"/>
        <w:gridCol w:w="3102"/>
        <w:gridCol w:w="3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101" w:type="dxa"/>
            <w:vAlign w:val="center"/>
          </w:tcPr>
          <w:p>
            <w:pPr>
              <w:spacing w:line="240" w:lineRule="atLeast"/>
              <w:jc w:val="center"/>
              <w:rPr>
                <w:rFonts w:hint="eastAsia" w:ascii="宋体" w:hAnsi="宋体"/>
                <w:bCs/>
                <w:color w:val="auto"/>
                <w:sz w:val="24"/>
                <w:szCs w:val="24"/>
                <w:highlight w:val="none"/>
              </w:rPr>
            </w:pPr>
            <w:r>
              <w:rPr>
                <w:rFonts w:hint="eastAsia" w:ascii="宋体" w:hAnsi="宋体"/>
                <w:bCs/>
                <w:color w:val="auto"/>
                <w:sz w:val="24"/>
                <w:szCs w:val="24"/>
                <w:highlight w:val="none"/>
              </w:rPr>
              <w:t>序号</w:t>
            </w:r>
          </w:p>
        </w:tc>
        <w:tc>
          <w:tcPr>
            <w:tcW w:w="3102" w:type="dxa"/>
            <w:vAlign w:val="center"/>
          </w:tcPr>
          <w:p>
            <w:pPr>
              <w:spacing w:line="240" w:lineRule="atLeast"/>
              <w:jc w:val="center"/>
              <w:rPr>
                <w:rFonts w:hint="eastAsia" w:ascii="宋体" w:hAnsi="宋体"/>
                <w:bCs/>
                <w:color w:val="auto"/>
                <w:sz w:val="24"/>
                <w:szCs w:val="24"/>
                <w:highlight w:val="none"/>
              </w:rPr>
            </w:pPr>
            <w:r>
              <w:rPr>
                <w:rFonts w:hint="eastAsia" w:ascii="宋体" w:hAnsi="宋体"/>
                <w:bCs/>
                <w:color w:val="auto"/>
                <w:sz w:val="24"/>
                <w:szCs w:val="24"/>
                <w:highlight w:val="none"/>
              </w:rPr>
              <w:t>采购标的</w:t>
            </w:r>
          </w:p>
        </w:tc>
        <w:tc>
          <w:tcPr>
            <w:tcW w:w="3854" w:type="dxa"/>
            <w:vAlign w:val="center"/>
          </w:tcPr>
          <w:p>
            <w:pPr>
              <w:spacing w:line="240" w:lineRule="atLeast"/>
              <w:jc w:val="center"/>
              <w:rPr>
                <w:rFonts w:hint="eastAsia" w:ascii="宋体" w:hAnsi="宋体"/>
                <w:bCs/>
                <w:color w:val="auto"/>
                <w:sz w:val="24"/>
                <w:szCs w:val="24"/>
                <w:highlight w:val="none"/>
              </w:rPr>
            </w:pPr>
            <w:r>
              <w:rPr>
                <w:rFonts w:hint="eastAsia" w:ascii="宋体" w:hAnsi="宋体"/>
                <w:color w:val="auto"/>
                <w:sz w:val="24"/>
                <w:szCs w:val="24"/>
                <w:highlight w:val="none"/>
              </w:rPr>
              <w:t>对应中</w:t>
            </w:r>
            <w:r>
              <w:rPr>
                <w:rFonts w:ascii="宋体" w:hAnsi="宋体"/>
                <w:color w:val="auto"/>
                <w:sz w:val="24"/>
                <w:szCs w:val="24"/>
                <w:highlight w:val="none"/>
              </w:rPr>
              <w:t>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101" w:type="dxa"/>
            <w:vAlign w:val="center"/>
          </w:tcPr>
          <w:p>
            <w:pPr>
              <w:spacing w:line="240" w:lineRule="atLeast"/>
              <w:jc w:val="center"/>
              <w:rPr>
                <w:rFonts w:hint="eastAsia" w:ascii="宋体" w:hAnsi="宋体"/>
                <w:bCs/>
                <w:color w:val="auto"/>
                <w:sz w:val="24"/>
                <w:szCs w:val="24"/>
                <w:highlight w:val="none"/>
              </w:rPr>
            </w:pPr>
            <w:r>
              <w:rPr>
                <w:rFonts w:hint="eastAsia" w:ascii="宋体" w:hAnsi="宋体"/>
                <w:bCs/>
                <w:color w:val="auto"/>
                <w:sz w:val="24"/>
                <w:szCs w:val="24"/>
                <w:highlight w:val="none"/>
              </w:rPr>
              <w:t>1</w:t>
            </w:r>
          </w:p>
        </w:tc>
        <w:tc>
          <w:tcPr>
            <w:tcW w:w="3102" w:type="dxa"/>
            <w:vAlign w:val="center"/>
          </w:tcPr>
          <w:p>
            <w:pPr>
              <w:spacing w:line="240" w:lineRule="atLeast"/>
              <w:jc w:val="center"/>
              <w:rPr>
                <w:rFonts w:hint="eastAsia" w:ascii="宋体" w:hAnsi="宋体"/>
                <w:bCs/>
                <w:color w:val="auto"/>
                <w:sz w:val="24"/>
                <w:szCs w:val="24"/>
                <w:highlight w:val="none"/>
              </w:rPr>
            </w:pPr>
            <w:r>
              <w:rPr>
                <w:rFonts w:hint="eastAsia" w:ascii="宋体" w:hAnsi="宋体"/>
                <w:bCs/>
                <w:color w:val="auto"/>
                <w:sz w:val="24"/>
                <w:szCs w:val="24"/>
                <w:highlight w:val="none"/>
              </w:rPr>
              <w:t>深度排查与整治方案服务</w:t>
            </w:r>
          </w:p>
        </w:tc>
        <w:tc>
          <w:tcPr>
            <w:tcW w:w="3854" w:type="dxa"/>
            <w:vAlign w:val="center"/>
          </w:tcPr>
          <w:p>
            <w:pPr>
              <w:spacing w:line="240" w:lineRule="atLeast"/>
              <w:jc w:val="center"/>
              <w:rPr>
                <w:rFonts w:hint="eastAsia" w:ascii="宋体" w:hAnsi="宋体"/>
                <w:bCs/>
                <w:color w:val="auto"/>
                <w:sz w:val="24"/>
                <w:szCs w:val="24"/>
                <w:highlight w:val="none"/>
              </w:rPr>
            </w:pPr>
            <w:r>
              <w:rPr>
                <w:rFonts w:hint="eastAsia" w:ascii="宋体" w:hAnsi="宋体"/>
                <w:bCs/>
                <w:color w:val="auto"/>
                <w:sz w:val="24"/>
                <w:szCs w:val="24"/>
                <w:highlight w:val="none"/>
              </w:rPr>
              <w:t>其他未列明行业</w:t>
            </w:r>
          </w:p>
        </w:tc>
      </w:tr>
    </w:tbl>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二、采购需求</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其内容包含但不限于以下内容：</w:t>
      </w:r>
    </w:p>
    <w:p>
      <w:pPr>
        <w:spacing w:line="560" w:lineRule="exact"/>
        <w:ind w:firstLine="482"/>
        <w:rPr>
          <w:rFonts w:hint="eastAsia" w:ascii="宋体" w:hAnsi="宋体"/>
          <w:bCs/>
          <w:color w:val="auto"/>
          <w:sz w:val="24"/>
          <w:szCs w:val="24"/>
          <w:highlight w:val="none"/>
        </w:rPr>
      </w:pPr>
      <w:r>
        <w:rPr>
          <w:rFonts w:hint="eastAsia" w:ascii="宋体" w:hAnsi="宋体"/>
          <w:b/>
          <w:color w:val="auto"/>
          <w:sz w:val="24"/>
          <w:szCs w:val="24"/>
          <w:highlight w:val="none"/>
        </w:rPr>
        <w:t>1.采购标的需实现的功能或者目标，以及为落实政府采购政策需满足的要求：</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项目涉及海安市东部片区及海安高新区等重点区域，对排污口和污染源进行深度排查与系统整治。工作内容为通过入河排污口排查监测与溯源、污染源全覆盖调研排查、排水源-管网-排口整合建图等，摸清水环境问题症结，针对性提出整治措施，着力解决“口—源—责”不清问题，为区域水环境质量改善提供科学依据，推动区域排污口和污染源规范管理。</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2.采购标的需执行的国家相关标准、行业标准、地方标准或者其他标准、规范：</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所有工作须符合以下现行有效标准（包括但不限于）：</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《入河（海）排污口三级排查技术指南》（HJ 1232-2021）</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《入河排污口排查整治无人机遥感航测技术规范》（HJ 1233-2021）</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《入河排污口监督管理技术指南 溯源总则》（HJ 1313-2023）</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《城镇排水管道检测与评估技术规程》（CJJ 81-2012）</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《城镇排水管道混接调查及治理技术规程》（T/CECS 758-2020）</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《地表水环境质量标准》（GB 3838-2002）</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国家、省、市关于入河排污口排查整治及水环境监测的相关文件要求。</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3.采购标的需满足的质量、安全、技术规格、物理特性等要求：</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1、排污口与污染源深度排查与整治：系统开展项目范围内入河排污口及各类污染源的全覆盖排查、监测与溯源，建立排污口和污染源的问题台账与分类整治工作建议，实现排污口与污染源的协同管控。</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2、构建“源头-排水管网-排口”信息管理一张图；</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3、成果标准化与数字化：输出标准化成果报告、图纸、问题清单，并搭建或升级数字化管理平台（含“一张图”和在线预警模块），为后续整治、监管、执法提供有效支撑。</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4.采购标的数量、采购项目交付或者实施的时间和地点：</w:t>
      </w:r>
    </w:p>
    <w:p>
      <w:pPr>
        <w:spacing w:line="480" w:lineRule="exact"/>
        <w:ind w:firstLine="480" w:firstLineChars="200"/>
        <w:rPr>
          <w:rFonts w:ascii="宋体"/>
          <w:color w:val="auto"/>
          <w:sz w:val="24"/>
          <w:highlight w:val="none"/>
        </w:rPr>
      </w:pPr>
      <w:r>
        <w:rPr>
          <w:rFonts w:hint="eastAsia" w:ascii="宋体" w:hAnsi="宋体"/>
          <w:bCs/>
          <w:color w:val="auto"/>
          <w:sz w:val="24"/>
          <w:szCs w:val="24"/>
          <w:highlight w:val="none"/>
        </w:rPr>
        <w:t>4.1</w:t>
      </w:r>
      <w:r>
        <w:rPr>
          <w:rFonts w:ascii="宋体"/>
          <w:color w:val="auto"/>
          <w:sz w:val="24"/>
          <w:highlight w:val="none"/>
        </w:rPr>
        <w:t>服务内容</w:t>
      </w:r>
    </w:p>
    <w:p>
      <w:pPr>
        <w:spacing w:line="480" w:lineRule="exact"/>
        <w:ind w:firstLine="482" w:firstLineChars="200"/>
        <w:rPr>
          <w:rFonts w:ascii="宋体"/>
          <w:b/>
          <w:bCs/>
          <w:color w:val="auto"/>
          <w:sz w:val="24"/>
          <w:highlight w:val="none"/>
        </w:rPr>
      </w:pPr>
      <w:r>
        <w:rPr>
          <w:rFonts w:hint="eastAsia" w:ascii="宋体"/>
          <w:b/>
          <w:bCs/>
          <w:color w:val="auto"/>
          <w:sz w:val="24"/>
          <w:highlight w:val="none"/>
        </w:rPr>
        <w:t>标段一：</w:t>
      </w:r>
    </w:p>
    <w:p>
      <w:pPr>
        <w:spacing w:line="480" w:lineRule="exact"/>
        <w:ind w:firstLine="480" w:firstLineChars="200"/>
        <w:rPr>
          <w:rFonts w:ascii="宋体"/>
          <w:color w:val="auto"/>
          <w:sz w:val="24"/>
          <w:highlight w:val="none"/>
        </w:rPr>
      </w:pPr>
      <w:r>
        <w:rPr>
          <w:rFonts w:hint="eastAsia" w:ascii="宋体"/>
          <w:color w:val="auto"/>
          <w:sz w:val="24"/>
          <w:highlight w:val="none"/>
        </w:rPr>
        <w:t>1、排查范围</w:t>
      </w:r>
    </w:p>
    <w:p>
      <w:pPr>
        <w:spacing w:line="480" w:lineRule="exact"/>
        <w:ind w:firstLine="480" w:firstLineChars="200"/>
        <w:rPr>
          <w:rFonts w:ascii="宋体"/>
          <w:color w:val="auto"/>
          <w:sz w:val="24"/>
          <w:highlight w:val="none"/>
        </w:rPr>
      </w:pPr>
      <w:r>
        <w:rPr>
          <w:rFonts w:hint="eastAsia" w:ascii="宋体"/>
          <w:color w:val="auto"/>
          <w:sz w:val="24"/>
          <w:highlight w:val="none"/>
        </w:rPr>
        <w:t>锁定东部片区北凌河、栟茶运河干流两岸500米缓冲范围以及38条支浜河道，大公镇、城东镇、李堡镇、角斜镇等重点集镇区。</w:t>
      </w:r>
    </w:p>
    <w:p>
      <w:pPr>
        <w:spacing w:line="480" w:lineRule="exact"/>
        <w:ind w:firstLine="480" w:firstLineChars="200"/>
        <w:rPr>
          <w:rFonts w:ascii="宋体"/>
          <w:color w:val="auto"/>
          <w:sz w:val="24"/>
          <w:highlight w:val="none"/>
        </w:rPr>
      </w:pPr>
      <w:r>
        <w:rPr>
          <w:rFonts w:hint="eastAsia" w:ascii="宋体"/>
          <w:color w:val="auto"/>
          <w:sz w:val="24"/>
          <w:highlight w:val="none"/>
        </w:rPr>
        <w:t>2、深度排查与精准定位</w:t>
      </w:r>
    </w:p>
    <w:p>
      <w:pPr>
        <w:spacing w:line="480" w:lineRule="exact"/>
        <w:ind w:firstLine="480" w:firstLineChars="200"/>
        <w:rPr>
          <w:rFonts w:ascii="宋体"/>
          <w:color w:val="auto"/>
          <w:sz w:val="24"/>
          <w:highlight w:val="none"/>
        </w:rPr>
      </w:pPr>
      <w:r>
        <w:rPr>
          <w:rFonts w:hint="eastAsia" w:ascii="宋体"/>
          <w:color w:val="auto"/>
          <w:sz w:val="24"/>
          <w:highlight w:val="none"/>
        </w:rPr>
        <w:t>综合运用无人机遥感、智能机器人探测及人工实地勘测等多元化手段，对重点区域不少于30平方公里的河道开展全覆盖航拍与正射影像拍摄。针对重点河道、异常排口及疑难排水通道，深入查清入河排污口的数量、类别及暗管、雨污混接等隐蔽问题。构建“源头-排水管网-排口”信息管理“一张图”，精准识别水体异色异味、直排漏排、岸线垃圾及农业面源污染等突出问题，利用无人机挂载高光谱云台完成违规点位精准定位与水质反演，彻底摸清污染底数并建立精准的污染源问题清单。</w:t>
      </w:r>
    </w:p>
    <w:p>
      <w:pPr>
        <w:spacing w:line="480" w:lineRule="exact"/>
        <w:ind w:firstLine="480" w:firstLineChars="200"/>
        <w:rPr>
          <w:rFonts w:ascii="宋体"/>
          <w:color w:val="auto"/>
          <w:sz w:val="24"/>
          <w:highlight w:val="none"/>
        </w:rPr>
      </w:pPr>
      <w:r>
        <w:rPr>
          <w:rFonts w:hint="eastAsia" w:ascii="宋体"/>
          <w:color w:val="auto"/>
          <w:sz w:val="24"/>
          <w:highlight w:val="none"/>
        </w:rPr>
        <w:t>3、分类施策与系统整治</w:t>
      </w:r>
    </w:p>
    <w:p>
      <w:pPr>
        <w:spacing w:line="480" w:lineRule="exact"/>
        <w:ind w:firstLine="480" w:firstLineChars="200"/>
        <w:rPr>
          <w:rFonts w:ascii="宋体"/>
          <w:color w:val="auto"/>
          <w:sz w:val="24"/>
          <w:highlight w:val="none"/>
        </w:rPr>
      </w:pPr>
      <w:r>
        <w:rPr>
          <w:rFonts w:hint="eastAsia" w:ascii="宋体"/>
          <w:color w:val="auto"/>
          <w:sz w:val="24"/>
          <w:highlight w:val="none"/>
        </w:rPr>
        <w:t>依据溯源分析结果，分类制定排污口及污染源的专项整治方案，搭建或升级数字化管理平台，实现排污口“一口一档、一口一码”精细化管理。针对排查出的隐蔽排污口、水面漂浮物及涉水黑臭水体等各类水环境问题，同步跟进整改管控，并部署2套无人机自动巡检系统（搭载高光谱相机）开展每日自动化巡查，实现排污口监管的常态化与长效化。</w:t>
      </w:r>
    </w:p>
    <w:p>
      <w:pPr>
        <w:spacing w:line="480" w:lineRule="exact"/>
        <w:ind w:firstLine="482" w:firstLineChars="200"/>
        <w:rPr>
          <w:rFonts w:ascii="宋体"/>
          <w:b/>
          <w:bCs/>
          <w:color w:val="auto"/>
          <w:sz w:val="24"/>
          <w:highlight w:val="none"/>
        </w:rPr>
      </w:pPr>
      <w:r>
        <w:rPr>
          <w:rFonts w:hint="eastAsia" w:ascii="宋体"/>
          <w:b/>
          <w:bCs/>
          <w:color w:val="auto"/>
          <w:sz w:val="24"/>
          <w:highlight w:val="none"/>
        </w:rPr>
        <w:t>标段二：</w:t>
      </w:r>
    </w:p>
    <w:p>
      <w:pPr>
        <w:spacing w:line="480" w:lineRule="exact"/>
        <w:ind w:firstLine="480" w:firstLineChars="200"/>
        <w:rPr>
          <w:rFonts w:ascii="宋体"/>
          <w:color w:val="auto"/>
          <w:sz w:val="24"/>
          <w:highlight w:val="none"/>
        </w:rPr>
      </w:pPr>
      <w:r>
        <w:rPr>
          <w:rFonts w:hint="eastAsia" w:ascii="宋体"/>
          <w:color w:val="auto"/>
          <w:sz w:val="24"/>
          <w:highlight w:val="none"/>
        </w:rPr>
        <w:t>1、排查范围</w:t>
      </w:r>
    </w:p>
    <w:p>
      <w:pPr>
        <w:spacing w:line="480" w:lineRule="exact"/>
        <w:ind w:firstLine="480" w:firstLineChars="200"/>
        <w:rPr>
          <w:rFonts w:ascii="宋体"/>
          <w:color w:val="auto"/>
          <w:sz w:val="24"/>
          <w:highlight w:val="none"/>
        </w:rPr>
      </w:pPr>
      <w:r>
        <w:rPr>
          <w:rFonts w:hint="eastAsia" w:ascii="宋体"/>
          <w:color w:val="auto"/>
          <w:sz w:val="24"/>
          <w:highlight w:val="none"/>
        </w:rPr>
        <w:t>排查范围包括高新区主要工业区域和汽车产业组团区域。其中，主要工业区域西起G204国道、东至如海运河、北临老通扬运河、南至栟茶运河，覆盖面积约30.1平方公里；汽车产业组团区域西起胡孙线、东至G204国道、北至328国道、南至启扬高速，覆盖面积约2.2平方公里。两个区域总面积约32.3平方公里，涉及河道总长约57.90公里。</w:t>
      </w:r>
    </w:p>
    <w:p>
      <w:pPr>
        <w:spacing w:line="480" w:lineRule="exact"/>
        <w:ind w:firstLine="480" w:firstLineChars="200"/>
        <w:rPr>
          <w:rFonts w:ascii="宋体"/>
          <w:color w:val="auto"/>
          <w:sz w:val="24"/>
          <w:highlight w:val="none"/>
        </w:rPr>
      </w:pPr>
      <w:r>
        <w:rPr>
          <w:rFonts w:hint="eastAsia" w:ascii="宋体"/>
          <w:color w:val="auto"/>
          <w:sz w:val="24"/>
          <w:highlight w:val="none"/>
        </w:rPr>
        <w:t>2、深度排查与精准溯源</w:t>
      </w:r>
    </w:p>
    <w:p>
      <w:pPr>
        <w:spacing w:line="480" w:lineRule="exact"/>
        <w:ind w:firstLine="480" w:firstLineChars="200"/>
        <w:rPr>
          <w:rFonts w:ascii="宋体"/>
          <w:color w:val="auto"/>
          <w:sz w:val="24"/>
          <w:highlight w:val="none"/>
        </w:rPr>
      </w:pPr>
      <w:r>
        <w:rPr>
          <w:rFonts w:hint="eastAsia" w:ascii="宋体"/>
          <w:color w:val="auto"/>
          <w:sz w:val="24"/>
          <w:highlight w:val="none"/>
        </w:rPr>
        <w:t>结合现有排污口排查溯源资料、河道水系及管网资料、重点企业和居民区分布情况，对主河道断面、晴天旱流排口、重点企业和居民区雨水排口、问题沟渠及其他重点风险点位开展水质快速检测和实验室监测，查明暗管、雨污混接、异常排水等隐蔽问题。在调研、排查和监测基础上，重点分析工业企业排水、生活污水、雨污混接、农业种植退水、畜禽养殖粪污还田及河道内源污染等对区域水质的影响，基本查清污染来源、排放路径及影响规律，形成污染源分布图、排污口名录、重点污染源名录和水环境问题清单。</w:t>
      </w:r>
    </w:p>
    <w:p>
      <w:pPr>
        <w:spacing w:line="480" w:lineRule="exact"/>
        <w:ind w:firstLine="480" w:firstLineChars="200"/>
        <w:rPr>
          <w:rFonts w:ascii="宋体"/>
          <w:color w:val="auto"/>
          <w:sz w:val="24"/>
          <w:highlight w:val="none"/>
        </w:rPr>
      </w:pPr>
      <w:r>
        <w:rPr>
          <w:rFonts w:hint="eastAsia" w:ascii="宋体"/>
          <w:color w:val="auto"/>
          <w:sz w:val="24"/>
          <w:highlight w:val="none"/>
        </w:rPr>
        <w:t>3、分类施策与成果应用</w:t>
      </w:r>
    </w:p>
    <w:p>
      <w:pPr>
        <w:spacing w:line="480" w:lineRule="exact"/>
        <w:ind w:firstLine="480" w:firstLineChars="200"/>
        <w:rPr>
          <w:rFonts w:ascii="宋体"/>
          <w:color w:val="auto"/>
          <w:sz w:val="24"/>
          <w:highlight w:val="none"/>
        </w:rPr>
      </w:pPr>
      <w:r>
        <w:rPr>
          <w:rFonts w:hint="eastAsia" w:ascii="宋体"/>
          <w:color w:val="auto"/>
          <w:sz w:val="24"/>
          <w:highlight w:val="none"/>
        </w:rPr>
        <w:t>依据排查监测和污染溯源结果，提出整治措施及后续管理建议，建立污染源档案、水质监测档案和问题整改清单，并为问题整改、跟踪管理和长效管控提供技术服务。</w:t>
      </w:r>
    </w:p>
    <w:p>
      <w:pPr>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4.2服务时间：一年（自合同签订之日起算）。</w:t>
      </w:r>
    </w:p>
    <w:p>
      <w:pPr>
        <w:spacing w:line="480" w:lineRule="exact"/>
        <w:ind w:firstLine="480" w:firstLineChars="200"/>
        <w:rPr>
          <w:rFonts w:hint="eastAsia" w:ascii="宋体" w:hAnsi="宋体"/>
          <w:bCs/>
          <w:color w:val="auto"/>
          <w:sz w:val="24"/>
          <w:szCs w:val="24"/>
          <w:highlight w:val="none"/>
        </w:rPr>
      </w:pPr>
      <w:r>
        <w:rPr>
          <w:rFonts w:hint="eastAsia" w:ascii="宋体" w:hAnsi="宋体" w:cs="宋体"/>
          <w:color w:val="auto"/>
          <w:sz w:val="24"/>
          <w:szCs w:val="24"/>
          <w:highlight w:val="none"/>
        </w:rPr>
        <w:t>4.3服务地点：采购人指定地点</w:t>
      </w:r>
      <w:r>
        <w:rPr>
          <w:rFonts w:hint="eastAsia" w:ascii="宋体" w:hAnsi="宋体"/>
          <w:bCs/>
          <w:color w:val="auto"/>
          <w:sz w:val="24"/>
          <w:szCs w:val="24"/>
          <w:highlight w:val="none"/>
        </w:rPr>
        <w:t>。</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5.采购标的需满足的服务标准、期限、效率等要求： </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标段一：</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成果：建立排污口名录、编制排污口排查报告、污染源分布图、问题清单、高光谱水质反演结果、热力图报告等成果文件，纸质版、电子版（PDF+可编辑版）各1套。</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图件成果：各类污染源分布图、排污口分布图、排水管网“一张图”。</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数字化平台：完成平台部署交付，提供操作手册及人员培训。</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配合服务：配合采购方完成项目的验收、答疑、整改及后续技术支撑。</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标段二：</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成果文件：编制高新区新增区块水环境污染源排查溯源报告，形成排污口名录、重点污染源名录、水质监测成果、污染源及排污口问题清单、问题整治建议、专项分析报告以及现场排查、监测和污染源档案等成果文件，纸质版、电子版（PDF及可编辑版）各1套。</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图件成果：形成各类污染源分布图、排污口分布图及重点水环境问题点位分布图等图件。</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档案成果：建立污染源档案、水质监测档案和问题整改清单，系统记录现场排查、采样监测、污染溯源及问题研判情况。</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配合服务：配合采购人开展涉水环境质量提升、入河排污口规范化整治、污染源问题整改及项目验收、答疑等工作；服务期内发生水质污染、异常排水或其他突发涉水环境问题时，及时开展现场应急排查和污染溯源，研判污染来源、排放路径及影响程度，并提供后续技术支撑。</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6.采购标的验收标准：</w:t>
      </w:r>
    </w:p>
    <w:p>
      <w:pPr>
        <w:spacing w:line="560" w:lineRule="exact"/>
        <w:ind w:firstLine="480"/>
        <w:rPr>
          <w:color w:val="auto"/>
          <w:highlight w:val="none"/>
        </w:rPr>
      </w:pPr>
      <w:r>
        <w:rPr>
          <w:rFonts w:hint="eastAsia" w:ascii="宋体" w:hAnsi="宋体"/>
          <w:bCs/>
          <w:color w:val="auto"/>
          <w:sz w:val="24"/>
          <w:szCs w:val="24"/>
          <w:highlight w:val="none"/>
        </w:rPr>
        <w:t>服务成果真实完整、符合南通市海安生态环境局验收要求；严格落实安全生产与作业安全责任，满足排污口与污染源深度排查及系统整治要求。</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7.采购标的其他技术、服务等要求：</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7.1资料收集、调研</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全面收集现有区块污染源清单资料，包括居民生活区、工业集中区、工业企业、污水处理厂、农村污水处理设施、农田退水等，对污染源进行分类分析，对重点污染源进行实地走访调研，建立污染源负面清单。</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整理入河排污口排查溯源资料，对疑似问题排口进行二次排查、溯源，重点针对农田排口、工业企业排口、生活排口，向上排查溯源；同时对生活污水管网进行梳理，重点梳理排查雨污混流管网和溢流井等易外溢点，建立负面问题清单。</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收集新增区块范围内河道水系、入河排污口、重点污染源、管网、泵站闸站、历史水质及相关排查成果资料，结合现场调查分析确定区域水环境风险指标和风险点位，形成负面问题清单。</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通过以上资料收集调研形成的负面问题清单，为下一步开展实地监测奠定基础。</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7.2实地排查、监测</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结合资料、负面清单与实地勘察，确定监测断面、点位、监测频率，对于重点污染源和特殊时期，采取加密监测（实验室送检或水质快检）。样点布设位置包括主河道断面、晴天旱流排口、上游关键排污口、面源污染较重河道以及河闸、泵站等区域，兼顾晴雨天气。监测指标包括pH、化学需氧量、总氮、氨氮、总磷等，可根据实际情况适当增加特征污染因子。通过监测和排查相结合的方式，精确定位污染源。同时通过增加排查人员和频次的方式，针对重点污染源开展强化排查监测。全面摸排问题支流、泵站、排口、养殖场、工业企业和居住小区等区域水环境问题，发现问题及时反馈生态环境部门。</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7.3风险因子溯源分析</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基于水质监测数据、重点点位加密监测结果和现场排查情况，明确常规指标中的超标项目，识别关键风险污染物指标；通过比对风险污染物类型特征与疑似风险源生产排放特征，判断其来源类型，包括工业废水、农业面源、生活污水排放及其他污染源等。结合统计分析方法，对污染贡献较大的重点点位登记造册，形成点位管理档案，实现污染物精准溯源。</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7.4分类整治</w:t>
      </w:r>
    </w:p>
    <w:p>
      <w:pPr>
        <w:spacing w:line="560" w:lineRule="exact"/>
        <w:ind w:firstLine="480"/>
        <w:rPr>
          <w:rFonts w:hint="eastAsia"/>
          <w:color w:val="auto"/>
          <w:highlight w:val="none"/>
        </w:rPr>
      </w:pPr>
      <w:r>
        <w:rPr>
          <w:rFonts w:hint="eastAsia" w:ascii="宋体" w:hAnsi="宋体"/>
          <w:bCs/>
          <w:color w:val="auto"/>
          <w:sz w:val="24"/>
          <w:szCs w:val="24"/>
          <w:highlight w:val="none"/>
        </w:rPr>
        <w:t>在排查、监测和溯源的基础上，分类推进污染问题规范整治，协助开展问题整治回头看，建立整治清单销号制度，整治完成一个，销号一个，逐步改善海安市水环境。</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8、付款方式</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1）合同签订生效后，成交</w:t>
      </w:r>
      <w:r>
        <w:rPr>
          <w:rFonts w:hint="eastAsia" w:ascii="宋体" w:hAnsi="宋体"/>
          <w:bCs/>
          <w:color w:val="auto"/>
          <w:sz w:val="24"/>
          <w:szCs w:val="24"/>
          <w:highlight w:val="none"/>
          <w:lang w:val="en-US" w:eastAsia="zh-CN"/>
        </w:rPr>
        <w:t>人</w:t>
      </w:r>
      <w:r>
        <w:rPr>
          <w:rFonts w:hint="eastAsia" w:ascii="宋体" w:hAnsi="宋体"/>
          <w:bCs/>
          <w:color w:val="auto"/>
          <w:sz w:val="24"/>
          <w:szCs w:val="24"/>
          <w:highlight w:val="none"/>
        </w:rPr>
        <w:t>完成基础资料收集与整理，提交项目实施方案、人员及设备配置计划、工作进度计划、现场调查</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排查</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计划和监测方案，经采购人审核确认后，支付合同总额的30%。</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2）完成主要现场排查和监测工作，提交入河排污口初步名录、重点污染源初步名录</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阶段性监测成果、现场调查记录、河道断面及底泥检测报告、四类污染源初步分布专题图、污染源初步问题清单及相关突出污染源初步专题图，提交中期成果并通过初步审核后，支付合同总额的30%。</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3）完成</w:t>
      </w:r>
      <w:r>
        <w:rPr>
          <w:rFonts w:hint="eastAsia" w:ascii="宋体" w:hAnsi="宋体"/>
          <w:bCs/>
          <w:color w:val="auto"/>
          <w:sz w:val="24"/>
          <w:szCs w:val="24"/>
          <w:highlight w:val="none"/>
          <w:lang w:val="en-US" w:eastAsia="zh-CN"/>
        </w:rPr>
        <w:t>开发区</w:t>
      </w:r>
      <w:r>
        <w:rPr>
          <w:rFonts w:hint="eastAsia" w:ascii="宋体" w:hAnsi="宋体"/>
          <w:bCs/>
          <w:color w:val="auto"/>
          <w:sz w:val="24"/>
          <w:szCs w:val="24"/>
          <w:highlight w:val="none"/>
        </w:rPr>
        <w:t>全部排污口及污染源排查、监测、</w:t>
      </w:r>
      <w:r>
        <w:rPr>
          <w:rFonts w:hint="eastAsia" w:ascii="宋体" w:hAnsi="宋体"/>
          <w:bCs/>
          <w:color w:val="auto"/>
          <w:sz w:val="24"/>
          <w:szCs w:val="24"/>
          <w:highlight w:val="none"/>
          <w:lang w:val="en-US" w:eastAsia="zh-CN"/>
        </w:rPr>
        <w:t>污染</w:t>
      </w:r>
      <w:r>
        <w:rPr>
          <w:rFonts w:hint="eastAsia" w:ascii="宋体" w:hAnsi="宋体"/>
          <w:bCs/>
          <w:color w:val="auto"/>
          <w:sz w:val="24"/>
          <w:szCs w:val="24"/>
          <w:highlight w:val="none"/>
        </w:rPr>
        <w:t>溯源分析和整治方案编制工作、数字化平台搭建等</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完成</w:t>
      </w:r>
      <w:r>
        <w:rPr>
          <w:rFonts w:hint="eastAsia" w:ascii="宋体" w:hAnsi="宋体"/>
          <w:bCs/>
          <w:color w:val="auto"/>
          <w:sz w:val="24"/>
          <w:szCs w:val="24"/>
          <w:highlight w:val="none"/>
          <w:lang w:val="en-US" w:eastAsia="zh-CN"/>
        </w:rPr>
        <w:t>高新区</w:t>
      </w:r>
      <w:r>
        <w:rPr>
          <w:rFonts w:hint="eastAsia" w:ascii="宋体" w:hAnsi="宋体"/>
          <w:bCs/>
          <w:color w:val="auto"/>
          <w:sz w:val="24"/>
          <w:szCs w:val="24"/>
          <w:highlight w:val="none"/>
        </w:rPr>
        <w:t>全部排污口及污染源排查、水质监测、污染溯源分析和问题整治建议编制工作，提交高新区新增区块水环境污染源排查溯源报告、污染源分布图、排污口名录、重点污染源名录、水质监测成果、污染源及排污口问题清单、问题整治建议、现场排查及监测档案等</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，并提交全部最终成果，经采购人组织验收合格后，支付合同总额的40%。</w:t>
      </w:r>
    </w:p>
    <w:p>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每次付款前成交人提供对应金额合法有效发票。</w:t>
      </w:r>
    </w:p>
    <w:p>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9、履约保证金：</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本项目免收履约保证金。</w:t>
      </w:r>
      <w:bookmarkStart w:id="185" w:name="OLE_LINK8"/>
      <w:bookmarkStart w:id="186" w:name="OLE_LINK9"/>
    </w:p>
    <w:bookmarkEnd w:id="185"/>
    <w:bookmarkEnd w:id="186"/>
    <w:p>
      <w:pPr>
        <w:numPr>
          <w:ilvl w:val="0"/>
          <w:numId w:val="5"/>
        </w:num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其他要求</w:t>
      </w:r>
      <w:r>
        <w:rPr>
          <w:rFonts w:hint="eastAsia" w:ascii="宋体" w:hAnsi="宋体"/>
          <w:b/>
          <w:color w:val="auto"/>
          <w:sz w:val="24"/>
          <w:szCs w:val="24"/>
          <w:highlight w:val="none"/>
        </w:rPr>
        <w:t>：</w:t>
      </w:r>
    </w:p>
    <w:p>
      <w:pPr>
        <w:spacing w:line="56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10.1</w:t>
      </w:r>
      <w:r>
        <w:rPr>
          <w:rFonts w:hint="eastAsia" w:ascii="宋体" w:hAnsi="宋体" w:eastAsia="宋体" w:cs="Times New Roman"/>
          <w:bCs/>
          <w:color w:val="auto"/>
          <w:sz w:val="24"/>
          <w:szCs w:val="24"/>
          <w:highlight w:val="none"/>
        </w:rPr>
        <w:t>报价应包括但不限于完成本项目可能发生的所有费用，包括</w:t>
      </w:r>
      <w:r>
        <w:rPr>
          <w:rFonts w:ascii="宋体" w:hAnsi="宋体" w:cs="宋体"/>
          <w:color w:val="auto"/>
          <w:sz w:val="24"/>
          <w:szCs w:val="24"/>
          <w:highlight w:val="none"/>
        </w:rPr>
        <w:t>设备（自有或租用）、车辆、分析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方案）报告</w:t>
      </w:r>
      <w:r>
        <w:rPr>
          <w:rFonts w:ascii="宋体" w:hAnsi="宋体" w:cs="宋体"/>
          <w:color w:val="auto"/>
          <w:sz w:val="24"/>
          <w:szCs w:val="24"/>
          <w:highlight w:val="none"/>
        </w:rPr>
        <w:t>费用、人工费、交通费、税金等一切费用</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采购</w:t>
      </w:r>
      <w:r>
        <w:rPr>
          <w:rFonts w:hint="eastAsia" w:ascii="宋体" w:hAnsi="宋体" w:eastAsia="宋体" w:cs="Times New Roman"/>
          <w:bCs/>
          <w:color w:val="auto"/>
          <w:sz w:val="24"/>
          <w:szCs w:val="24"/>
          <w:highlight w:val="none"/>
        </w:rPr>
        <w:t>文件未列明，而</w:t>
      </w:r>
      <w:r>
        <w:rPr>
          <w:rFonts w:hint="eastAsia" w:ascii="宋体" w:hAnsi="宋体" w:eastAsia="宋体" w:cs="Times New Roman"/>
          <w:bCs/>
          <w:color w:val="auto"/>
          <w:sz w:val="24"/>
          <w:szCs w:val="24"/>
          <w:highlight w:val="none"/>
          <w:lang w:val="en-US" w:eastAsia="zh-CN"/>
        </w:rPr>
        <w:t>投标</w:t>
      </w:r>
      <w:r>
        <w:rPr>
          <w:rFonts w:hint="eastAsia" w:ascii="宋体" w:hAnsi="宋体" w:eastAsia="宋体" w:cs="Times New Roman"/>
          <w:bCs/>
          <w:color w:val="auto"/>
          <w:sz w:val="24"/>
          <w:szCs w:val="24"/>
          <w:highlight w:val="none"/>
        </w:rPr>
        <w:t>人认为其他必需的费用也需列入报价。在合同实施时，采购人将不予支付</w:t>
      </w:r>
      <w:r>
        <w:rPr>
          <w:rFonts w:hint="eastAsia" w:ascii="宋体" w:hAnsi="宋体" w:eastAsia="宋体" w:cs="Times New Roman"/>
          <w:bCs/>
          <w:color w:val="auto"/>
          <w:sz w:val="24"/>
          <w:szCs w:val="24"/>
          <w:highlight w:val="none"/>
          <w:lang w:val="en-US" w:eastAsia="zh-CN"/>
        </w:rPr>
        <w:t>投标</w:t>
      </w:r>
      <w:r>
        <w:rPr>
          <w:rFonts w:hint="eastAsia" w:ascii="宋体" w:hAnsi="宋体" w:eastAsia="宋体" w:cs="Times New Roman"/>
          <w:bCs/>
          <w:color w:val="auto"/>
          <w:sz w:val="24"/>
          <w:szCs w:val="24"/>
          <w:highlight w:val="none"/>
        </w:rPr>
        <w:t>人没有填列的项目费用，并认为此项目的费用已包括在报价中。</w:t>
      </w:r>
    </w:p>
    <w:p>
      <w:pPr>
        <w:spacing w:line="560" w:lineRule="exact"/>
        <w:ind w:firstLine="480"/>
        <w:rPr>
          <w:rFonts w:hint="eastAsia"/>
          <w:color w:val="auto"/>
          <w:highlight w:val="none"/>
        </w:rPr>
      </w:pPr>
      <w:r>
        <w:rPr>
          <w:rFonts w:hint="eastAsia" w:ascii="宋体" w:hAnsi="宋体" w:eastAsia="宋体" w:cs="Times New Roman"/>
          <w:bCs/>
          <w:color w:val="auto"/>
          <w:sz w:val="24"/>
          <w:szCs w:val="24"/>
          <w:highlight w:val="none"/>
          <w:lang w:val="en-US" w:eastAsia="zh-CN"/>
        </w:rPr>
        <w:t>10.2成交人不能按时按要求完成设备及人员配备的，采购人有权终止合同，终止合同的通知自到达成交人时生效，成交人在收到终止合同的通知一个月内，须按照该项目成交总价的5%向采购人支付违约金。</w:t>
      </w:r>
    </w:p>
    <w:p>
      <w:pPr>
        <w:numPr>
          <w:ilvl w:val="0"/>
          <w:numId w:val="6"/>
        </w:num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合同条款（详见附件）</w:t>
      </w: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rPr>
          <w:color w:val="auto"/>
          <w:highlight w:val="none"/>
        </w:rPr>
      </w:pPr>
    </w:p>
    <w:p>
      <w:pPr>
        <w:rPr>
          <w:color w:val="auto"/>
          <w:highlight w:val="none"/>
        </w:rPr>
      </w:pPr>
    </w:p>
    <w:bookmarkEnd w:id="181"/>
    <w:bookmarkEnd w:id="182"/>
    <w:bookmarkEnd w:id="183"/>
    <w:bookmarkEnd w:id="184"/>
    <w:p>
      <w:pPr>
        <w:pStyle w:val="185"/>
        <w:spacing w:line="560" w:lineRule="exact"/>
        <w:rPr>
          <w:rFonts w:ascii="黑体" w:eastAsia="黑体"/>
          <w:bCs/>
          <w:color w:val="auto"/>
          <w:sz w:val="44"/>
          <w:highlight w:val="none"/>
        </w:rPr>
      </w:pPr>
      <w:bookmarkStart w:id="187" w:name="_Toc26554093"/>
      <w:bookmarkStart w:id="188" w:name="_Toc120614281"/>
      <w:bookmarkStart w:id="189" w:name="_Toc49090575"/>
      <w:r>
        <w:rPr>
          <w:rFonts w:hint="eastAsia" w:ascii="黑体" w:eastAsia="黑体"/>
          <w:bCs/>
          <w:color w:val="auto"/>
          <w:sz w:val="44"/>
          <w:highlight w:val="none"/>
        </w:rPr>
        <w:t xml:space="preserve">第四章  </w:t>
      </w:r>
      <w:r>
        <w:rPr>
          <w:rFonts w:hint="eastAsia" w:ascii="黑体" w:eastAsia="黑体"/>
          <w:b/>
          <w:bCs/>
          <w:color w:val="auto"/>
          <w:sz w:val="44"/>
          <w:highlight w:val="none"/>
        </w:rPr>
        <w:t>评标方法与评标标准</w:t>
      </w:r>
    </w:p>
    <w:p>
      <w:pPr>
        <w:pStyle w:val="269"/>
        <w:spacing w:before="0" w:after="0" w:line="560" w:lineRule="exact"/>
        <w:ind w:firstLine="439"/>
        <w:rPr>
          <w:rFonts w:cs="Arial"/>
          <w:color w:val="auto"/>
          <w:highlight w:val="none"/>
        </w:rPr>
      </w:pPr>
      <w:r>
        <w:rPr>
          <w:rFonts w:cs="Arial"/>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auto"/>
          <w:highlight w:val="none"/>
        </w:rPr>
        <w:t>排名第一的中标候选人。</w:t>
      </w:r>
    </w:p>
    <w:p>
      <w:pPr>
        <w:pStyle w:val="269"/>
        <w:spacing w:before="0" w:after="0" w:line="560" w:lineRule="exact"/>
        <w:ind w:firstLine="439"/>
        <w:rPr>
          <w:rFonts w:cs="Arial"/>
          <w:color w:val="auto"/>
          <w:highlight w:val="none"/>
        </w:rPr>
      </w:pPr>
      <w:r>
        <w:rPr>
          <w:rFonts w:hint="eastAsia" w:cs="Arial"/>
          <w:color w:val="auto"/>
          <w:highlight w:val="none"/>
        </w:rPr>
        <w:t>评委在认真审阅投标文件的基础上，根据各投标文件的响应程度独立评判，不得统一打分。</w:t>
      </w:r>
    </w:p>
    <w:p>
      <w:pPr>
        <w:pStyle w:val="269"/>
        <w:spacing w:before="0" w:after="0" w:line="560" w:lineRule="exact"/>
        <w:ind w:firstLine="441"/>
        <w:rPr>
          <w:rFonts w:cs="Arial"/>
          <w:b/>
          <w:color w:val="auto"/>
          <w:highlight w:val="none"/>
        </w:rPr>
      </w:pPr>
      <w:r>
        <w:rPr>
          <w:rFonts w:hint="eastAsia" w:cs="Arial"/>
          <w:b/>
          <w:color w:val="auto"/>
          <w:highlight w:val="none"/>
        </w:rPr>
        <w:t>（一）采购人（代表）对投标人资格进行审查。</w:t>
      </w:r>
    </w:p>
    <w:p>
      <w:pPr>
        <w:pStyle w:val="269"/>
        <w:spacing w:before="0" w:after="0" w:line="560" w:lineRule="exact"/>
        <w:ind w:firstLine="439"/>
        <w:rPr>
          <w:rFonts w:cs="Arial"/>
          <w:color w:val="auto"/>
          <w:highlight w:val="none"/>
        </w:rPr>
      </w:pPr>
      <w:r>
        <w:rPr>
          <w:rFonts w:hint="eastAsia" w:cs="Arial"/>
          <w:color w:val="auto"/>
          <w:highlight w:val="none"/>
        </w:rPr>
        <w:t>投标人资格不合格的，其投标文件判定为无效投标文件。</w:t>
      </w:r>
    </w:p>
    <w:p>
      <w:pPr>
        <w:pStyle w:val="269"/>
        <w:spacing w:before="0" w:after="0" w:line="560" w:lineRule="exact"/>
        <w:ind w:firstLine="441"/>
        <w:rPr>
          <w:rFonts w:cs="Arial"/>
          <w:b/>
          <w:color w:val="auto"/>
          <w:highlight w:val="none"/>
        </w:rPr>
      </w:pPr>
      <w:r>
        <w:rPr>
          <w:rFonts w:hint="eastAsia" w:cs="Arial"/>
          <w:b/>
          <w:color w:val="auto"/>
          <w:highlight w:val="none"/>
        </w:rPr>
        <w:t>（二）评标委员会对符合资格投标人的投标文件进行符合性审查。</w:t>
      </w:r>
    </w:p>
    <w:p>
      <w:pPr>
        <w:pStyle w:val="269"/>
        <w:spacing w:before="0" w:after="0" w:line="560" w:lineRule="exact"/>
        <w:ind w:firstLine="439"/>
        <w:rPr>
          <w:rFonts w:cs="Arial"/>
          <w:color w:val="auto"/>
          <w:highlight w:val="none"/>
        </w:rPr>
      </w:pPr>
      <w:r>
        <w:rPr>
          <w:rFonts w:hint="eastAsia" w:cs="Arial"/>
          <w:color w:val="auto"/>
          <w:highlight w:val="none"/>
        </w:rPr>
        <w:t xml:space="preserve">未通过符合性审查的投标文件，将被判为不满足招标文件实质性要求。 </w:t>
      </w:r>
    </w:p>
    <w:p>
      <w:pPr>
        <w:pStyle w:val="269"/>
        <w:spacing w:before="0" w:after="0" w:line="560" w:lineRule="exact"/>
        <w:ind w:firstLine="441"/>
        <w:rPr>
          <w:rFonts w:cs="Arial"/>
          <w:b/>
          <w:color w:val="auto"/>
          <w:highlight w:val="none"/>
        </w:rPr>
      </w:pPr>
      <w:r>
        <w:rPr>
          <w:rFonts w:hint="eastAsia" w:cs="Arial"/>
          <w:b/>
          <w:color w:val="auto"/>
          <w:highlight w:val="none"/>
        </w:rPr>
        <w:t>（三）商务技术分：8</w:t>
      </w:r>
      <w:r>
        <w:rPr>
          <w:rFonts w:hint="eastAsia" w:cs="Arial"/>
          <w:b/>
          <w:color w:val="auto"/>
          <w:highlight w:val="none"/>
          <w:lang w:val="en-US" w:eastAsia="zh-CN"/>
        </w:rPr>
        <w:t>0</w:t>
      </w:r>
      <w:r>
        <w:rPr>
          <w:rFonts w:hint="eastAsia" w:cs="Arial"/>
          <w:b/>
          <w:color w:val="auto"/>
          <w:highlight w:val="none"/>
        </w:rPr>
        <w:t>分</w:t>
      </w:r>
    </w:p>
    <w:p>
      <w:pPr>
        <w:pStyle w:val="269"/>
        <w:spacing w:before="0" w:after="0" w:line="560" w:lineRule="exact"/>
        <w:ind w:firstLine="439"/>
        <w:rPr>
          <w:rFonts w:cs="Arial"/>
          <w:color w:val="auto"/>
          <w:highlight w:val="none"/>
        </w:rPr>
      </w:pPr>
      <w:r>
        <w:rPr>
          <w:rFonts w:hint="eastAsia" w:cs="Arial"/>
          <w:color w:val="auto"/>
          <w:highlight w:val="none"/>
        </w:rPr>
        <w:t>各投标人得分为评委会成员评分的算术平均分，分值保留小数点后两位。</w:t>
      </w:r>
    </w:p>
    <w:tbl>
      <w:tblPr>
        <w:tblStyle w:val="30"/>
        <w:tblpPr w:leftFromText="180" w:rightFromText="180" w:vertAnchor="text" w:horzAnchor="page" w:tblpX="1323" w:tblpY="572"/>
        <w:tblW w:w="5000" w:type="pct"/>
        <w:tblInd w:w="0" w:type="dxa"/>
        <w:tblLayout w:type="fixed"/>
        <w:tblCellMar>
          <w:top w:w="0" w:type="dxa"/>
          <w:left w:w="108" w:type="dxa"/>
          <w:bottom w:w="0" w:type="dxa"/>
          <w:right w:w="108" w:type="dxa"/>
        </w:tblCellMar>
      </w:tblPr>
      <w:tblGrid>
        <w:gridCol w:w="638"/>
        <w:gridCol w:w="1106"/>
        <w:gridCol w:w="776"/>
        <w:gridCol w:w="6649"/>
      </w:tblGrid>
      <w:tr>
        <w:tblPrEx>
          <w:tblCellMar>
            <w:top w:w="0" w:type="dxa"/>
            <w:left w:w="108" w:type="dxa"/>
            <w:bottom w:w="0" w:type="dxa"/>
            <w:right w:w="108" w:type="dxa"/>
          </w:tblCellMar>
        </w:tblPrEx>
        <w:trPr>
          <w:trHeight w:val="860" w:hRule="atLeast"/>
        </w:trPr>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序号</w:t>
            </w:r>
          </w:p>
        </w:tc>
        <w:tc>
          <w:tcPr>
            <w:tcW w:w="11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评分点名称</w:t>
            </w:r>
          </w:p>
        </w:tc>
        <w:tc>
          <w:tcPr>
            <w:tcW w:w="77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分值</w:t>
            </w:r>
          </w:p>
        </w:tc>
        <w:tc>
          <w:tcPr>
            <w:tcW w:w="666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评审标准</w:t>
            </w:r>
          </w:p>
        </w:tc>
      </w:tr>
      <w:tr>
        <w:tblPrEx>
          <w:tblCellMar>
            <w:top w:w="0" w:type="dxa"/>
            <w:left w:w="108" w:type="dxa"/>
            <w:bottom w:w="0" w:type="dxa"/>
            <w:right w:w="108" w:type="dxa"/>
          </w:tblCellMar>
        </w:tblPrEx>
        <w:trPr>
          <w:trHeight w:val="2585" w:hRule="atLeast"/>
        </w:trPr>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lang w:bidi="ar"/>
              </w:rPr>
              <w:t>1</w:t>
            </w:r>
          </w:p>
        </w:tc>
        <w:tc>
          <w:tcPr>
            <w:tcW w:w="1103" w:type="dxa"/>
            <w:tcBorders>
              <w:top w:val="single" w:color="000000" w:sz="4" w:space="0"/>
              <w:left w:val="single" w:color="000000" w:sz="4" w:space="0"/>
              <w:bottom w:val="single" w:color="000000" w:sz="4" w:space="0"/>
              <w:right w:val="single" w:color="000000" w:sz="4" w:space="0"/>
            </w:tcBorders>
            <w:vAlign w:val="center"/>
          </w:tcPr>
          <w:p>
            <w:pPr>
              <w:adjustRightInd w:val="0"/>
              <w:spacing w:line="440" w:lineRule="exact"/>
              <w:jc w:val="center"/>
              <w:textAlignment w:val="baseline"/>
              <w:rPr>
                <w:rFonts w:hint="eastAsia" w:ascii="宋体" w:hAnsi="宋体" w:cs="宋体"/>
                <w:color w:val="auto"/>
                <w:sz w:val="24"/>
                <w:szCs w:val="24"/>
                <w:highlight w:val="none"/>
              </w:rPr>
            </w:pPr>
            <w:r>
              <w:rPr>
                <w:rFonts w:eastAsia="新宋体_GB2312"/>
                <w:color w:val="auto"/>
                <w:sz w:val="24"/>
                <w:highlight w:val="none"/>
              </w:rPr>
              <w:t>项目理解与重难点分析</w:t>
            </w:r>
          </w:p>
        </w:tc>
        <w:tc>
          <w:tcPr>
            <w:tcW w:w="77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等线" w:hAnsi="等线" w:eastAsia="等线" w:cs="等线"/>
                <w:color w:val="auto"/>
                <w:sz w:val="24"/>
                <w:szCs w:val="24"/>
                <w:highlight w:val="none"/>
                <w:lang w:eastAsia="zh-CN"/>
              </w:rPr>
            </w:pPr>
            <w:r>
              <w:rPr>
                <w:rFonts w:hint="eastAsia" w:ascii="等线" w:hAnsi="等线" w:eastAsia="等线" w:cs="等线"/>
                <w:color w:val="auto"/>
                <w:sz w:val="24"/>
                <w:szCs w:val="24"/>
                <w:highlight w:val="none"/>
                <w:lang w:val="en-US" w:eastAsia="zh-CN" w:bidi="ar"/>
              </w:rPr>
              <w:t>7</w:t>
            </w:r>
          </w:p>
        </w:tc>
        <w:tc>
          <w:tcPr>
            <w:tcW w:w="6662" w:type="dxa"/>
            <w:tcBorders>
              <w:top w:val="single" w:color="000000" w:sz="4" w:space="0"/>
              <w:left w:val="single" w:color="000000" w:sz="4" w:space="0"/>
              <w:bottom w:val="single" w:color="000000" w:sz="4" w:space="0"/>
              <w:right w:val="single" w:color="000000" w:sz="4" w:space="0"/>
            </w:tcBorders>
            <w:vAlign w:val="center"/>
          </w:tcPr>
          <w:p>
            <w:pPr>
              <w:pStyle w:val="16"/>
              <w:rPr>
                <w:rFonts w:hAnsi="Times New Roman"/>
                <w:color w:val="auto"/>
                <w:highlight w:val="none"/>
              </w:rPr>
            </w:pPr>
            <w:r>
              <w:rPr>
                <w:rFonts w:hint="eastAsia" w:hAnsi="Times New Roman"/>
                <w:color w:val="auto"/>
                <w:highlight w:val="none"/>
              </w:rPr>
              <w:t>对本项目的项目理解与分析内容包括：①整体认识；②需求理解；③关键工作技术；④针对项目实施过程中的重点和难点进行分析等。上述4个方面内容中每缺少一项内容扣</w:t>
            </w:r>
            <w:r>
              <w:rPr>
                <w:rFonts w:hint="eastAsia" w:hAnsi="Times New Roman"/>
                <w:color w:val="auto"/>
                <w:highlight w:val="none"/>
                <w:lang w:val="en-US" w:eastAsia="zh-CN"/>
              </w:rPr>
              <w:t>1.75</w:t>
            </w:r>
            <w:r>
              <w:rPr>
                <w:rFonts w:hint="eastAsia" w:hAnsi="Times New Roman"/>
                <w:color w:val="auto"/>
                <w:highlight w:val="none"/>
              </w:rPr>
              <w:t>分，每有一处内容存在缺陷或不足的扣</w:t>
            </w:r>
            <w:r>
              <w:rPr>
                <w:rFonts w:hint="eastAsia" w:hAnsi="Times New Roman"/>
                <w:color w:val="auto"/>
                <w:highlight w:val="none"/>
                <w:lang w:val="en-US" w:eastAsia="zh-CN"/>
              </w:rPr>
              <w:t>1</w:t>
            </w:r>
            <w:r>
              <w:rPr>
                <w:rFonts w:hint="eastAsia" w:hAnsi="Times New Roman"/>
                <w:color w:val="auto"/>
                <w:highlight w:val="none"/>
              </w:rPr>
              <w:t>分，扣完为止。最高得</w:t>
            </w:r>
            <w:r>
              <w:rPr>
                <w:rFonts w:hint="eastAsia" w:hAnsi="Times New Roman"/>
                <w:color w:val="auto"/>
                <w:highlight w:val="none"/>
                <w:lang w:val="en-US" w:eastAsia="zh-CN"/>
              </w:rPr>
              <w:t>7</w:t>
            </w:r>
            <w:r>
              <w:rPr>
                <w:rFonts w:hint="eastAsia" w:hAnsi="Times New Roman"/>
                <w:color w:val="auto"/>
                <w:highlight w:val="none"/>
              </w:rPr>
              <w:t>分。</w:t>
            </w:r>
          </w:p>
          <w:p>
            <w:pPr>
              <w:pStyle w:val="16"/>
              <w:rPr>
                <w:rFonts w:hAnsi="Times New Roman"/>
                <w:color w:val="auto"/>
                <w:highlight w:val="none"/>
              </w:rPr>
            </w:pPr>
            <w:r>
              <w:rPr>
                <w:rFonts w:hint="eastAsia" w:hAnsi="Times New Roman"/>
                <w:color w:val="auto"/>
                <w:highlight w:val="none"/>
              </w:rPr>
              <w:t>注：实施方案内容存在缺陷或不足是指以下任意一种情形：</w:t>
            </w:r>
          </w:p>
          <w:p>
            <w:pPr>
              <w:pStyle w:val="16"/>
              <w:rPr>
                <w:rFonts w:hint="eastAsia" w:hAnsi="宋体" w:cs="宋体"/>
                <w:color w:val="auto"/>
                <w:sz w:val="24"/>
                <w:szCs w:val="24"/>
                <w:highlight w:val="none"/>
              </w:rPr>
            </w:pPr>
            <w:r>
              <w:rPr>
                <w:rFonts w:hint="eastAsia" w:hAnsi="Times New Roman"/>
                <w:color w:val="auto"/>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tblPrEx>
          <w:tblCellMar>
            <w:top w:w="0" w:type="dxa"/>
            <w:left w:w="108" w:type="dxa"/>
            <w:bottom w:w="0" w:type="dxa"/>
            <w:right w:w="108" w:type="dxa"/>
          </w:tblCellMar>
        </w:tblPrEx>
        <w:trPr>
          <w:trHeight w:val="530"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lang w:bidi="ar"/>
              </w:rPr>
              <w:t>2</w:t>
            </w:r>
          </w:p>
        </w:tc>
        <w:tc>
          <w:tcPr>
            <w:tcW w:w="1103" w:type="dxa"/>
            <w:tcBorders>
              <w:top w:val="single" w:color="000000" w:sz="4" w:space="0"/>
              <w:left w:val="single" w:color="000000" w:sz="4" w:space="0"/>
              <w:bottom w:val="single" w:color="000000" w:sz="4" w:space="0"/>
              <w:right w:val="single" w:color="000000" w:sz="4" w:space="0"/>
            </w:tcBorders>
            <w:vAlign w:val="center"/>
          </w:tcPr>
          <w:p>
            <w:pPr>
              <w:adjustRightInd w:val="0"/>
              <w:spacing w:line="440" w:lineRule="exact"/>
              <w:jc w:val="center"/>
              <w:textAlignment w:val="baseline"/>
              <w:rPr>
                <w:rFonts w:hint="eastAsia" w:ascii="宋体" w:hAnsi="宋体" w:cs="宋体"/>
                <w:color w:val="auto"/>
                <w:sz w:val="24"/>
                <w:szCs w:val="24"/>
                <w:highlight w:val="none"/>
              </w:rPr>
            </w:pPr>
            <w:r>
              <w:rPr>
                <w:rFonts w:eastAsia="新宋体_GB2312"/>
                <w:color w:val="auto"/>
                <w:sz w:val="24"/>
                <w:highlight w:val="none"/>
              </w:rPr>
              <w:t>排查与溯源技术方案</w:t>
            </w:r>
          </w:p>
        </w:tc>
        <w:tc>
          <w:tcPr>
            <w:tcW w:w="77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等线" w:hAnsi="等线" w:eastAsia="等线" w:cs="等线"/>
                <w:color w:val="auto"/>
                <w:sz w:val="24"/>
                <w:szCs w:val="24"/>
                <w:highlight w:val="none"/>
                <w:lang w:eastAsia="zh-CN"/>
              </w:rPr>
            </w:pPr>
            <w:r>
              <w:rPr>
                <w:rFonts w:hint="eastAsia" w:ascii="等线" w:hAnsi="等线" w:eastAsia="等线" w:cs="等线"/>
                <w:color w:val="auto"/>
                <w:sz w:val="24"/>
                <w:szCs w:val="24"/>
                <w:highlight w:val="none"/>
                <w:lang w:val="en-US" w:eastAsia="zh-CN" w:bidi="ar"/>
              </w:rPr>
              <w:t>7</w:t>
            </w:r>
          </w:p>
        </w:tc>
        <w:tc>
          <w:tcPr>
            <w:tcW w:w="6662" w:type="dxa"/>
            <w:tcBorders>
              <w:top w:val="single" w:color="000000" w:sz="4" w:space="0"/>
              <w:left w:val="nil"/>
              <w:bottom w:val="single" w:color="000000" w:sz="4" w:space="0"/>
              <w:right w:val="single" w:color="000000" w:sz="4" w:space="0"/>
            </w:tcBorders>
            <w:noWrap/>
            <w:vAlign w:val="center"/>
          </w:tcPr>
          <w:p>
            <w:pPr>
              <w:pStyle w:val="16"/>
              <w:rPr>
                <w:rFonts w:hAnsi="Times New Roman"/>
                <w:color w:val="auto"/>
                <w:highlight w:val="none"/>
              </w:rPr>
            </w:pPr>
            <w:r>
              <w:rPr>
                <w:rFonts w:hint="eastAsia" w:hAnsi="Times New Roman"/>
                <w:color w:val="auto"/>
                <w:highlight w:val="none"/>
              </w:rPr>
              <w:t>对本项目服务方案排查及溯源技术的理解与综合考量，包括但不限于①三级排查和现场核查；②水质监测及管网检测；③技术攻坚等流程及方法；④溯源逻辑清晰、技术路线合理等。上述4个方面内容中每缺少一项内容扣</w:t>
            </w:r>
            <w:r>
              <w:rPr>
                <w:rFonts w:hint="eastAsia" w:hAnsi="Times New Roman"/>
                <w:color w:val="auto"/>
                <w:highlight w:val="none"/>
                <w:lang w:val="en-US" w:eastAsia="zh-CN"/>
              </w:rPr>
              <w:t>1.75</w:t>
            </w:r>
            <w:r>
              <w:rPr>
                <w:rFonts w:hint="eastAsia" w:hAnsi="Times New Roman"/>
                <w:color w:val="auto"/>
                <w:highlight w:val="none"/>
              </w:rPr>
              <w:t>分，每有一处内容存在缺陷或不足的扣1分，扣完为止。最高得</w:t>
            </w:r>
            <w:r>
              <w:rPr>
                <w:rFonts w:hint="eastAsia" w:hAnsi="Times New Roman"/>
                <w:color w:val="auto"/>
                <w:highlight w:val="none"/>
                <w:lang w:val="en-US" w:eastAsia="zh-CN"/>
              </w:rPr>
              <w:t>7</w:t>
            </w:r>
            <w:r>
              <w:rPr>
                <w:rFonts w:hint="eastAsia" w:hAnsi="Times New Roman"/>
                <w:color w:val="auto"/>
                <w:highlight w:val="none"/>
              </w:rPr>
              <w:t>分。</w:t>
            </w:r>
          </w:p>
          <w:p>
            <w:pPr>
              <w:pStyle w:val="16"/>
              <w:rPr>
                <w:rFonts w:hAnsi="Times New Roman"/>
                <w:color w:val="auto"/>
                <w:highlight w:val="none"/>
              </w:rPr>
            </w:pPr>
            <w:r>
              <w:rPr>
                <w:rFonts w:hint="eastAsia" w:hAnsi="Times New Roman"/>
                <w:color w:val="auto"/>
                <w:highlight w:val="none"/>
              </w:rPr>
              <w:t>注：实施方案内容存在缺陷或不足是指以下任意一种情形：</w:t>
            </w:r>
          </w:p>
          <w:p>
            <w:pPr>
              <w:widowControl/>
              <w:jc w:val="left"/>
              <w:rPr>
                <w:rFonts w:hint="eastAsia" w:ascii="宋体" w:hAnsi="宋体" w:cs="宋体"/>
                <w:b/>
                <w:bCs/>
                <w:color w:val="auto"/>
                <w:sz w:val="24"/>
                <w:szCs w:val="24"/>
                <w:highlight w:val="none"/>
              </w:rPr>
            </w:pPr>
            <w:r>
              <w:rPr>
                <w:rFonts w:hint="eastAsia"/>
                <w:color w:val="auto"/>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tblPrEx>
          <w:tblCellMar>
            <w:top w:w="0" w:type="dxa"/>
            <w:left w:w="108" w:type="dxa"/>
            <w:bottom w:w="0" w:type="dxa"/>
            <w:right w:w="108" w:type="dxa"/>
          </w:tblCellMar>
        </w:tblPrEx>
        <w:trPr>
          <w:trHeight w:val="780"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lang w:bidi="ar"/>
              </w:rPr>
            </w:pPr>
            <w:r>
              <w:rPr>
                <w:rFonts w:hint="eastAsia" w:ascii="等线" w:hAnsi="等线" w:eastAsia="等线" w:cs="等线"/>
                <w:color w:val="auto"/>
                <w:sz w:val="24"/>
                <w:szCs w:val="24"/>
                <w:highlight w:val="none"/>
                <w:lang w:bidi="ar"/>
              </w:rPr>
              <w:t>3</w:t>
            </w:r>
          </w:p>
        </w:tc>
        <w:tc>
          <w:tcPr>
            <w:tcW w:w="1103" w:type="dxa"/>
            <w:tcBorders>
              <w:top w:val="single" w:color="000000" w:sz="4" w:space="0"/>
              <w:left w:val="single" w:color="000000" w:sz="4" w:space="0"/>
              <w:bottom w:val="single" w:color="000000" w:sz="4" w:space="0"/>
              <w:right w:val="single" w:color="000000" w:sz="4" w:space="0"/>
            </w:tcBorders>
            <w:vAlign w:val="center"/>
          </w:tcPr>
          <w:p>
            <w:pPr>
              <w:adjustRightInd w:val="0"/>
              <w:spacing w:line="440" w:lineRule="exact"/>
              <w:jc w:val="center"/>
              <w:textAlignment w:val="baseline"/>
              <w:rPr>
                <w:rFonts w:hint="eastAsia" w:ascii="宋体" w:hAnsi="宋体"/>
                <w:color w:val="auto"/>
                <w:sz w:val="24"/>
                <w:szCs w:val="24"/>
                <w:highlight w:val="none"/>
              </w:rPr>
            </w:pPr>
            <w:r>
              <w:rPr>
                <w:rFonts w:eastAsia="新宋体_GB2312"/>
                <w:color w:val="auto"/>
                <w:sz w:val="24"/>
                <w:highlight w:val="none"/>
              </w:rPr>
              <w:t>工作进度与保障</w:t>
            </w:r>
          </w:p>
        </w:tc>
        <w:tc>
          <w:tcPr>
            <w:tcW w:w="77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等线" w:hAnsi="等线" w:eastAsia="等线" w:cs="等线"/>
                <w:color w:val="auto"/>
                <w:sz w:val="24"/>
                <w:szCs w:val="24"/>
                <w:highlight w:val="none"/>
                <w:lang w:eastAsia="zh-CN" w:bidi="ar"/>
              </w:rPr>
            </w:pPr>
            <w:r>
              <w:rPr>
                <w:rFonts w:hint="eastAsia" w:ascii="等线" w:hAnsi="等线" w:eastAsia="等线" w:cs="等线"/>
                <w:color w:val="auto"/>
                <w:sz w:val="24"/>
                <w:szCs w:val="24"/>
                <w:highlight w:val="none"/>
                <w:lang w:val="en-US" w:eastAsia="zh-CN" w:bidi="ar"/>
              </w:rPr>
              <w:t>7</w:t>
            </w:r>
          </w:p>
        </w:tc>
        <w:tc>
          <w:tcPr>
            <w:tcW w:w="6662" w:type="dxa"/>
            <w:tcBorders>
              <w:top w:val="single" w:color="000000" w:sz="4" w:space="0"/>
              <w:left w:val="nil"/>
              <w:bottom w:val="single" w:color="000000" w:sz="4" w:space="0"/>
              <w:right w:val="single" w:color="000000" w:sz="4" w:space="0"/>
            </w:tcBorders>
            <w:noWrap/>
            <w:vAlign w:val="center"/>
          </w:tcPr>
          <w:p>
            <w:pPr>
              <w:pStyle w:val="16"/>
              <w:rPr>
                <w:rFonts w:hAnsi="Times New Roman"/>
                <w:color w:val="auto"/>
                <w:highlight w:val="none"/>
              </w:rPr>
            </w:pPr>
            <w:r>
              <w:rPr>
                <w:rFonts w:hint="eastAsia" w:hAnsi="Times New Roman"/>
                <w:color w:val="auto"/>
                <w:highlight w:val="none"/>
              </w:rPr>
              <w:t>对工作进度与保障的服务思路，内容包括：①进度计划；②明确阶段节点、工期要求；③人员、设备、质量保障措施；④安全及保密保障措施等。上述4个方面内容中每缺少一项内容扣</w:t>
            </w:r>
            <w:r>
              <w:rPr>
                <w:rFonts w:hint="eastAsia" w:hAnsi="Times New Roman"/>
                <w:color w:val="auto"/>
                <w:highlight w:val="none"/>
                <w:lang w:val="en-US" w:eastAsia="zh-CN"/>
              </w:rPr>
              <w:t>1.75</w:t>
            </w:r>
            <w:r>
              <w:rPr>
                <w:rFonts w:hint="eastAsia" w:hAnsi="Times New Roman"/>
                <w:color w:val="auto"/>
                <w:highlight w:val="none"/>
              </w:rPr>
              <w:t>分，每有一处内容存在缺陷或不足的扣1分，扣完为止。最高得</w:t>
            </w:r>
            <w:r>
              <w:rPr>
                <w:rFonts w:hint="eastAsia" w:hAnsi="Times New Roman"/>
                <w:color w:val="auto"/>
                <w:highlight w:val="none"/>
                <w:lang w:val="en-US" w:eastAsia="zh-CN"/>
              </w:rPr>
              <w:t>7</w:t>
            </w:r>
            <w:r>
              <w:rPr>
                <w:rFonts w:hint="eastAsia" w:hAnsi="Times New Roman"/>
                <w:color w:val="auto"/>
                <w:highlight w:val="none"/>
              </w:rPr>
              <w:t>分。</w:t>
            </w:r>
          </w:p>
          <w:p>
            <w:pPr>
              <w:pStyle w:val="16"/>
              <w:rPr>
                <w:rFonts w:hAnsi="Times New Roman"/>
                <w:color w:val="auto"/>
                <w:highlight w:val="none"/>
              </w:rPr>
            </w:pPr>
            <w:r>
              <w:rPr>
                <w:rFonts w:hint="eastAsia" w:hAnsi="Times New Roman"/>
                <w:color w:val="auto"/>
                <w:highlight w:val="none"/>
              </w:rPr>
              <w:t>注：实施方案内容存在缺陷或不足是指以下任意一种情形：</w:t>
            </w:r>
          </w:p>
          <w:p>
            <w:pPr>
              <w:widowControl/>
              <w:jc w:val="left"/>
              <w:rPr>
                <w:rFonts w:hint="eastAsia" w:ascii="宋体" w:hAnsi="宋体" w:cs="宋体"/>
                <w:color w:val="auto"/>
                <w:sz w:val="24"/>
                <w:szCs w:val="24"/>
                <w:highlight w:val="none"/>
              </w:rPr>
            </w:pPr>
            <w:r>
              <w:rPr>
                <w:rFonts w:hint="eastAsia"/>
                <w:color w:val="auto"/>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tblPrEx>
          <w:tblCellMar>
            <w:top w:w="0" w:type="dxa"/>
            <w:left w:w="108" w:type="dxa"/>
            <w:bottom w:w="0" w:type="dxa"/>
            <w:right w:w="108" w:type="dxa"/>
          </w:tblCellMar>
        </w:tblPrEx>
        <w:trPr>
          <w:trHeight w:val="780"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lang w:bidi="ar"/>
              </w:rPr>
            </w:pPr>
            <w:r>
              <w:rPr>
                <w:rFonts w:hint="eastAsia" w:ascii="等线" w:hAnsi="等线" w:eastAsia="等线" w:cs="等线"/>
                <w:color w:val="auto"/>
                <w:sz w:val="24"/>
                <w:szCs w:val="24"/>
                <w:highlight w:val="none"/>
                <w:lang w:bidi="ar"/>
              </w:rPr>
              <w:t>4</w:t>
            </w:r>
          </w:p>
        </w:tc>
        <w:tc>
          <w:tcPr>
            <w:tcW w:w="1103" w:type="dxa"/>
            <w:tcBorders>
              <w:top w:val="single" w:color="000000" w:sz="4" w:space="0"/>
              <w:left w:val="single" w:color="000000" w:sz="4" w:space="0"/>
              <w:bottom w:val="single" w:color="000000" w:sz="4" w:space="0"/>
              <w:right w:val="single" w:color="000000" w:sz="4" w:space="0"/>
            </w:tcBorders>
            <w:vAlign w:val="center"/>
          </w:tcPr>
          <w:p>
            <w:pPr>
              <w:adjustRightInd w:val="0"/>
              <w:spacing w:line="440" w:lineRule="exact"/>
              <w:jc w:val="center"/>
              <w:textAlignment w:val="baseline"/>
              <w:rPr>
                <w:rFonts w:hint="eastAsia" w:ascii="宋体" w:hAnsi="宋体"/>
                <w:color w:val="auto"/>
                <w:sz w:val="24"/>
                <w:szCs w:val="24"/>
                <w:highlight w:val="none"/>
              </w:rPr>
            </w:pPr>
            <w:r>
              <w:rPr>
                <w:rFonts w:hint="eastAsia" w:eastAsia="新宋体_GB2312"/>
                <w:color w:val="auto"/>
                <w:sz w:val="24"/>
                <w:highlight w:val="none"/>
                <w:lang w:val="en-US" w:eastAsia="zh-CN"/>
              </w:rPr>
              <w:t>污</w:t>
            </w:r>
            <w:r>
              <w:rPr>
                <w:rFonts w:hint="eastAsia" w:eastAsia="新宋体_GB2312"/>
                <w:color w:val="auto"/>
                <w:sz w:val="24"/>
                <w:highlight w:val="none"/>
              </w:rPr>
              <w:t>染问题研判与整治建议方案</w:t>
            </w:r>
          </w:p>
        </w:tc>
        <w:tc>
          <w:tcPr>
            <w:tcW w:w="77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等线" w:hAnsi="等线" w:eastAsia="等线" w:cs="等线"/>
                <w:color w:val="auto"/>
                <w:sz w:val="24"/>
                <w:szCs w:val="24"/>
                <w:highlight w:val="none"/>
                <w:lang w:eastAsia="zh-CN" w:bidi="ar"/>
              </w:rPr>
            </w:pPr>
            <w:r>
              <w:rPr>
                <w:rFonts w:hint="eastAsia" w:ascii="等线" w:hAnsi="等线" w:eastAsia="等线" w:cs="等线"/>
                <w:color w:val="auto"/>
                <w:sz w:val="24"/>
                <w:szCs w:val="24"/>
                <w:highlight w:val="none"/>
                <w:lang w:val="en-US" w:eastAsia="zh-CN" w:bidi="ar"/>
              </w:rPr>
              <w:t>7</w:t>
            </w:r>
          </w:p>
        </w:tc>
        <w:tc>
          <w:tcPr>
            <w:tcW w:w="6662" w:type="dxa"/>
            <w:tcBorders>
              <w:top w:val="single" w:color="000000" w:sz="4" w:space="0"/>
              <w:left w:val="nil"/>
              <w:bottom w:val="single" w:color="000000" w:sz="4" w:space="0"/>
              <w:right w:val="single" w:color="000000" w:sz="4" w:space="0"/>
            </w:tcBorders>
            <w:noWrap/>
            <w:vAlign w:val="center"/>
          </w:tcPr>
          <w:p>
            <w:pPr>
              <w:pStyle w:val="16"/>
              <w:rPr>
                <w:rFonts w:hint="eastAsia" w:hAnsi="Times New Roman"/>
                <w:color w:val="auto"/>
                <w:highlight w:val="none"/>
              </w:rPr>
            </w:pPr>
            <w:r>
              <w:rPr>
                <w:rFonts w:hint="eastAsia" w:hAnsi="Times New Roman"/>
                <w:color w:val="auto"/>
                <w:highlight w:val="none"/>
              </w:rPr>
              <w:t>对本项目污染问题研判与整治建议方案进行综合评审，内容包括：①排污口及污染源问题分类；②污染成因和影响分析；③针对不同问题提出整治措施；④长效管理及后续监管建议等。上述4个方面内容中，每缺少一项内容扣</w:t>
            </w:r>
            <w:r>
              <w:rPr>
                <w:rFonts w:hint="eastAsia" w:hAnsi="Times New Roman"/>
                <w:color w:val="auto"/>
                <w:highlight w:val="none"/>
                <w:lang w:val="en-US" w:eastAsia="zh-CN"/>
              </w:rPr>
              <w:t>1.75</w:t>
            </w:r>
            <w:r>
              <w:rPr>
                <w:rFonts w:hint="eastAsia" w:hAnsi="Times New Roman"/>
                <w:color w:val="auto"/>
                <w:highlight w:val="none"/>
              </w:rPr>
              <w:t>分，每有一处内容存在缺陷或不足的扣1分，扣完为止，最高得</w:t>
            </w:r>
            <w:r>
              <w:rPr>
                <w:rFonts w:hint="eastAsia" w:hAnsi="Times New Roman"/>
                <w:color w:val="auto"/>
                <w:highlight w:val="none"/>
                <w:lang w:val="en-US" w:eastAsia="zh-CN"/>
              </w:rPr>
              <w:t>7</w:t>
            </w:r>
            <w:r>
              <w:rPr>
                <w:rFonts w:hint="eastAsia" w:hAnsi="Times New Roman"/>
                <w:color w:val="auto"/>
                <w:highlight w:val="none"/>
              </w:rPr>
              <w:t>分。</w:t>
            </w:r>
          </w:p>
          <w:p>
            <w:pPr>
              <w:pStyle w:val="16"/>
              <w:rPr>
                <w:rFonts w:hint="eastAsia" w:hAnsi="Times New Roman"/>
                <w:color w:val="auto"/>
                <w:highlight w:val="none"/>
              </w:rPr>
            </w:pPr>
            <w:r>
              <w:rPr>
                <w:rFonts w:hint="eastAsia" w:hAnsi="Times New Roman"/>
                <w:color w:val="auto"/>
                <w:highlight w:val="none"/>
              </w:rPr>
              <w:t>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tblPrEx>
          <w:tblCellMar>
            <w:top w:w="0" w:type="dxa"/>
            <w:left w:w="108" w:type="dxa"/>
            <w:bottom w:w="0" w:type="dxa"/>
            <w:right w:w="108" w:type="dxa"/>
          </w:tblCellMar>
        </w:tblPrEx>
        <w:trPr>
          <w:trHeight w:val="90"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lang w:bidi="ar"/>
              </w:rPr>
            </w:pPr>
            <w:r>
              <w:rPr>
                <w:rFonts w:hint="eastAsia" w:ascii="等线" w:hAnsi="等线" w:eastAsia="等线" w:cs="等线"/>
                <w:color w:val="auto"/>
                <w:sz w:val="24"/>
                <w:szCs w:val="24"/>
                <w:highlight w:val="none"/>
                <w:lang w:bidi="ar"/>
              </w:rPr>
              <w:t>5</w:t>
            </w:r>
          </w:p>
        </w:tc>
        <w:tc>
          <w:tcPr>
            <w:tcW w:w="1103" w:type="dxa"/>
            <w:tcBorders>
              <w:top w:val="single" w:color="000000" w:sz="4" w:space="0"/>
              <w:left w:val="single" w:color="000000" w:sz="4" w:space="0"/>
              <w:bottom w:val="single" w:color="000000" w:sz="4" w:space="0"/>
              <w:right w:val="single" w:color="000000" w:sz="4" w:space="0"/>
            </w:tcBorders>
            <w:vAlign w:val="center"/>
          </w:tcPr>
          <w:p>
            <w:pPr>
              <w:adjustRightInd w:val="0"/>
              <w:spacing w:line="440" w:lineRule="exact"/>
              <w:jc w:val="center"/>
              <w:textAlignment w:val="baseline"/>
              <w:rPr>
                <w:rFonts w:hint="eastAsia" w:ascii="宋体" w:hAnsi="宋体"/>
                <w:color w:val="auto"/>
                <w:sz w:val="24"/>
                <w:szCs w:val="24"/>
                <w:highlight w:val="none"/>
              </w:rPr>
            </w:pPr>
            <w:r>
              <w:rPr>
                <w:rFonts w:eastAsia="新宋体_GB2312"/>
                <w:color w:val="auto"/>
                <w:sz w:val="24"/>
                <w:highlight w:val="none"/>
              </w:rPr>
              <w:t>质量控制与验收方案</w:t>
            </w:r>
          </w:p>
        </w:tc>
        <w:tc>
          <w:tcPr>
            <w:tcW w:w="77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default" w:ascii="等线" w:hAnsi="等线" w:eastAsia="等线" w:cs="等线"/>
                <w:color w:val="auto"/>
                <w:sz w:val="24"/>
                <w:szCs w:val="24"/>
                <w:highlight w:val="none"/>
                <w:lang w:val="en-US" w:eastAsia="zh-CN" w:bidi="ar"/>
              </w:rPr>
            </w:pPr>
            <w:r>
              <w:rPr>
                <w:rFonts w:hint="eastAsia" w:ascii="等线" w:hAnsi="等线" w:eastAsia="等线" w:cs="等线"/>
                <w:color w:val="auto"/>
                <w:sz w:val="24"/>
                <w:szCs w:val="24"/>
                <w:highlight w:val="none"/>
                <w:lang w:val="en-US" w:eastAsia="zh-CN" w:bidi="ar"/>
              </w:rPr>
              <w:t>7</w:t>
            </w:r>
          </w:p>
        </w:tc>
        <w:tc>
          <w:tcPr>
            <w:tcW w:w="6662" w:type="dxa"/>
            <w:tcBorders>
              <w:top w:val="single" w:color="000000" w:sz="4" w:space="0"/>
              <w:left w:val="nil"/>
              <w:bottom w:val="single" w:color="000000" w:sz="4" w:space="0"/>
              <w:right w:val="single" w:color="000000" w:sz="4" w:space="0"/>
            </w:tcBorders>
            <w:noWrap/>
            <w:vAlign w:val="center"/>
          </w:tcPr>
          <w:p>
            <w:pPr>
              <w:pStyle w:val="16"/>
              <w:rPr>
                <w:rFonts w:hAnsi="Times New Roman"/>
                <w:color w:val="auto"/>
                <w:highlight w:val="none"/>
              </w:rPr>
            </w:pPr>
            <w:r>
              <w:rPr>
                <w:rFonts w:hint="eastAsia" w:hAnsi="Times New Roman"/>
                <w:color w:val="auto"/>
                <w:highlight w:val="none"/>
              </w:rPr>
              <w:t>对本项目质量控制与验收方案综合考量，内容包括：①服务数据质量；②服务现场质控；③服务成果复核；④服务验收资料准备；⑤整改、售后服务、技术支撑等。注：上述5个方面内容中每缺少一项内容扣</w:t>
            </w:r>
            <w:r>
              <w:rPr>
                <w:rFonts w:hint="eastAsia" w:hAnsi="Times New Roman"/>
                <w:color w:val="auto"/>
                <w:highlight w:val="none"/>
                <w:lang w:val="en-US" w:eastAsia="zh-CN"/>
              </w:rPr>
              <w:t>1.4</w:t>
            </w:r>
            <w:r>
              <w:rPr>
                <w:rFonts w:hint="eastAsia" w:hAnsi="Times New Roman"/>
                <w:color w:val="auto"/>
                <w:highlight w:val="none"/>
              </w:rPr>
              <w:t>分，每有一处内容存在缺陷或不足的扣1分，扣完为止。最高得</w:t>
            </w:r>
            <w:r>
              <w:rPr>
                <w:rFonts w:hint="eastAsia" w:hAnsi="Times New Roman"/>
                <w:color w:val="auto"/>
                <w:highlight w:val="none"/>
                <w:lang w:val="en-US" w:eastAsia="zh-CN"/>
              </w:rPr>
              <w:t>7</w:t>
            </w:r>
            <w:r>
              <w:rPr>
                <w:rFonts w:hint="eastAsia" w:hAnsi="Times New Roman"/>
                <w:color w:val="auto"/>
                <w:highlight w:val="none"/>
              </w:rPr>
              <w:t>分。</w:t>
            </w:r>
          </w:p>
          <w:p>
            <w:pPr>
              <w:pStyle w:val="16"/>
              <w:rPr>
                <w:rFonts w:hAnsi="Times New Roman"/>
                <w:color w:val="auto"/>
                <w:highlight w:val="none"/>
              </w:rPr>
            </w:pPr>
            <w:r>
              <w:rPr>
                <w:rFonts w:hint="eastAsia" w:hAnsi="Times New Roman"/>
                <w:color w:val="auto"/>
                <w:highlight w:val="none"/>
              </w:rPr>
              <w:t>注：实施方案内容存在缺陷或不足是指以下任意一种情形：</w:t>
            </w:r>
          </w:p>
          <w:p>
            <w:pPr>
              <w:pStyle w:val="16"/>
              <w:rPr>
                <w:rFonts w:hint="eastAsia" w:hAnsi="Times New Roman"/>
                <w:color w:val="auto"/>
                <w:highlight w:val="none"/>
              </w:rPr>
            </w:pPr>
            <w:r>
              <w:rPr>
                <w:rFonts w:hint="eastAsia" w:hAnsi="Times New Roman"/>
                <w:color w:val="auto"/>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tblPrEx>
          <w:tblCellMar>
            <w:top w:w="0" w:type="dxa"/>
            <w:left w:w="108" w:type="dxa"/>
            <w:bottom w:w="0" w:type="dxa"/>
            <w:right w:w="108" w:type="dxa"/>
          </w:tblCellMar>
        </w:tblPrEx>
        <w:trPr>
          <w:trHeight w:val="780"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lang w:bidi="ar"/>
              </w:rPr>
            </w:pPr>
            <w:r>
              <w:rPr>
                <w:rFonts w:hint="eastAsia" w:ascii="等线" w:hAnsi="等线" w:eastAsia="等线" w:cs="等线"/>
                <w:color w:val="auto"/>
                <w:sz w:val="24"/>
                <w:szCs w:val="24"/>
                <w:highlight w:val="none"/>
                <w:lang w:bidi="ar"/>
              </w:rPr>
              <w:t>6</w:t>
            </w:r>
          </w:p>
        </w:tc>
        <w:tc>
          <w:tcPr>
            <w:tcW w:w="1103" w:type="dxa"/>
            <w:tcBorders>
              <w:top w:val="single" w:color="000000" w:sz="4" w:space="0"/>
              <w:left w:val="single" w:color="000000" w:sz="4" w:space="0"/>
              <w:bottom w:val="single" w:color="000000" w:sz="4" w:space="0"/>
              <w:right w:val="single" w:color="000000" w:sz="4" w:space="0"/>
            </w:tcBorders>
            <w:vAlign w:val="center"/>
          </w:tcPr>
          <w:p>
            <w:pPr>
              <w:adjustRightInd w:val="0"/>
              <w:spacing w:line="440" w:lineRule="exact"/>
              <w:jc w:val="center"/>
              <w:textAlignment w:val="baseline"/>
              <w:rPr>
                <w:rFonts w:eastAsia="新宋体_GB2312"/>
                <w:color w:val="auto"/>
                <w:sz w:val="24"/>
                <w:highlight w:val="none"/>
              </w:rPr>
            </w:pPr>
            <w:r>
              <w:rPr>
                <w:rFonts w:eastAsia="新宋体_GB2312"/>
                <w:color w:val="auto"/>
                <w:sz w:val="24"/>
                <w:highlight w:val="none"/>
              </w:rPr>
              <w:t>安全与应急方案</w:t>
            </w:r>
          </w:p>
        </w:tc>
        <w:tc>
          <w:tcPr>
            <w:tcW w:w="77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等线" w:hAnsi="等线" w:eastAsia="等线" w:cs="等线"/>
                <w:color w:val="auto"/>
                <w:sz w:val="24"/>
                <w:szCs w:val="24"/>
                <w:highlight w:val="none"/>
                <w:lang w:val="en-US" w:eastAsia="zh-CN" w:bidi="ar"/>
              </w:rPr>
            </w:pPr>
            <w:r>
              <w:rPr>
                <w:rFonts w:hint="eastAsia" w:ascii="等线" w:hAnsi="等线" w:eastAsia="等线" w:cs="等线"/>
                <w:color w:val="auto"/>
                <w:sz w:val="24"/>
                <w:szCs w:val="24"/>
                <w:highlight w:val="none"/>
                <w:lang w:val="en-US" w:eastAsia="zh-CN" w:bidi="ar"/>
              </w:rPr>
              <w:t>7</w:t>
            </w:r>
          </w:p>
        </w:tc>
        <w:tc>
          <w:tcPr>
            <w:tcW w:w="6662" w:type="dxa"/>
            <w:tcBorders>
              <w:top w:val="single" w:color="000000" w:sz="4" w:space="0"/>
              <w:left w:val="nil"/>
              <w:bottom w:val="single" w:color="000000" w:sz="4" w:space="0"/>
              <w:right w:val="single" w:color="000000" w:sz="4" w:space="0"/>
            </w:tcBorders>
            <w:noWrap/>
            <w:vAlign w:val="center"/>
          </w:tcPr>
          <w:p>
            <w:pPr>
              <w:pStyle w:val="16"/>
              <w:rPr>
                <w:rFonts w:hAnsi="Times New Roman"/>
                <w:color w:val="auto"/>
                <w:highlight w:val="none"/>
              </w:rPr>
            </w:pPr>
            <w:r>
              <w:rPr>
                <w:rFonts w:hint="eastAsia" w:hAnsi="Times New Roman"/>
                <w:color w:val="auto"/>
                <w:highlight w:val="none"/>
              </w:rPr>
              <w:t>对本项目安全与应急方案进行综合评审，内容包括：①现场作业安全措施；②涉水安全、井下/管道作业安全措施；③恶劣天气方案；④设备故障方案；⑤人员变动等应急方案等。上述5个方面内容中每缺少一项内容扣</w:t>
            </w:r>
            <w:r>
              <w:rPr>
                <w:rFonts w:hint="eastAsia" w:hAnsi="Times New Roman"/>
                <w:color w:val="auto"/>
                <w:highlight w:val="none"/>
                <w:lang w:val="en-US" w:eastAsia="zh-CN"/>
              </w:rPr>
              <w:t>1.4</w:t>
            </w:r>
            <w:r>
              <w:rPr>
                <w:rFonts w:hint="eastAsia" w:hAnsi="Times New Roman"/>
                <w:color w:val="auto"/>
                <w:highlight w:val="none"/>
              </w:rPr>
              <w:t>分，每有一处内容存在缺陷或不足的扣</w:t>
            </w:r>
            <w:r>
              <w:rPr>
                <w:rFonts w:hint="eastAsia" w:hAnsi="Times New Roman"/>
                <w:color w:val="auto"/>
                <w:highlight w:val="none"/>
                <w:lang w:val="en-US" w:eastAsia="zh-CN"/>
              </w:rPr>
              <w:t>1</w:t>
            </w:r>
            <w:r>
              <w:rPr>
                <w:rFonts w:hint="eastAsia" w:hAnsi="Times New Roman"/>
                <w:color w:val="auto"/>
                <w:highlight w:val="none"/>
              </w:rPr>
              <w:t>分，扣完为止。最高得</w:t>
            </w:r>
            <w:r>
              <w:rPr>
                <w:rFonts w:hint="eastAsia" w:hAnsi="Times New Roman"/>
                <w:color w:val="auto"/>
                <w:highlight w:val="none"/>
                <w:lang w:val="en-US" w:eastAsia="zh-CN"/>
              </w:rPr>
              <w:t>7</w:t>
            </w:r>
            <w:r>
              <w:rPr>
                <w:rFonts w:hint="eastAsia" w:hAnsi="Times New Roman"/>
                <w:color w:val="auto"/>
                <w:highlight w:val="none"/>
              </w:rPr>
              <w:t>分。</w:t>
            </w:r>
          </w:p>
          <w:p>
            <w:pPr>
              <w:pStyle w:val="16"/>
              <w:rPr>
                <w:rFonts w:hAnsi="Times New Roman"/>
                <w:color w:val="auto"/>
                <w:highlight w:val="none"/>
              </w:rPr>
            </w:pPr>
            <w:r>
              <w:rPr>
                <w:rFonts w:hint="eastAsia" w:hAnsi="Times New Roman"/>
                <w:color w:val="auto"/>
                <w:highlight w:val="none"/>
              </w:rPr>
              <w:t>注：实施方案内容存在缺陷或不足是指以下任意一种情形：</w:t>
            </w:r>
          </w:p>
          <w:p>
            <w:pPr>
              <w:pStyle w:val="16"/>
              <w:rPr>
                <w:rFonts w:hAnsi="Times New Roman"/>
                <w:color w:val="auto"/>
                <w:highlight w:val="none"/>
              </w:rPr>
            </w:pPr>
            <w:r>
              <w:rPr>
                <w:rFonts w:hint="eastAsia" w:hAnsi="Times New Roman"/>
                <w:color w:val="auto"/>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tblPrEx>
          <w:tblCellMar>
            <w:top w:w="0" w:type="dxa"/>
            <w:left w:w="108" w:type="dxa"/>
            <w:bottom w:w="0" w:type="dxa"/>
            <w:right w:w="108" w:type="dxa"/>
          </w:tblCellMar>
        </w:tblPrEx>
        <w:trPr>
          <w:trHeight w:val="380" w:hRule="atLeast"/>
        </w:trPr>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lang w:bidi="ar"/>
              </w:rPr>
              <w:t>7</w:t>
            </w:r>
          </w:p>
        </w:tc>
        <w:tc>
          <w:tcPr>
            <w:tcW w:w="11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sz w:val="24"/>
                <w:szCs w:val="24"/>
                <w:highlight w:val="none"/>
              </w:rPr>
            </w:pPr>
            <w:r>
              <w:rPr>
                <w:rFonts w:hint="eastAsia"/>
                <w:color w:val="auto"/>
                <w:sz w:val="24"/>
                <w:highlight w:val="none"/>
              </w:rPr>
              <w:t>综合实力</w:t>
            </w:r>
          </w:p>
        </w:tc>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15</w:t>
            </w:r>
          </w:p>
        </w:tc>
        <w:tc>
          <w:tcPr>
            <w:tcW w:w="6662" w:type="dxa"/>
            <w:tcBorders>
              <w:top w:val="single" w:color="000000" w:sz="4" w:space="0"/>
              <w:left w:val="single" w:color="000000" w:sz="4" w:space="0"/>
              <w:bottom w:val="single" w:color="000000" w:sz="4" w:space="0"/>
              <w:right w:val="single" w:color="000000" w:sz="4" w:space="0"/>
            </w:tcBorders>
            <w:vAlign w:val="center"/>
          </w:tcPr>
          <w:p>
            <w:pPr>
              <w:pStyle w:val="16"/>
              <w:rPr>
                <w:rFonts w:hAnsi="Times New Roman"/>
                <w:color w:val="auto"/>
                <w:highlight w:val="none"/>
              </w:rPr>
            </w:pPr>
            <w:r>
              <w:rPr>
                <w:rFonts w:hint="eastAsia" w:hAnsi="Times New Roman"/>
                <w:color w:val="auto"/>
                <w:highlight w:val="none"/>
              </w:rPr>
              <w:t>1、投标人具有有效期内的质量管理体系、环境管理体系、职业健康安全体系认证证书的，每有一项得1分，最高</w:t>
            </w:r>
            <w:r>
              <w:rPr>
                <w:rFonts w:hint="eastAsia" w:hAnsi="Times New Roman"/>
                <w:color w:val="auto"/>
                <w:highlight w:val="none"/>
                <w:lang w:val="en-US" w:eastAsia="zh-CN"/>
              </w:rPr>
              <w:t>3</w:t>
            </w:r>
            <w:r>
              <w:rPr>
                <w:rFonts w:hint="eastAsia" w:hAnsi="Times New Roman"/>
                <w:color w:val="auto"/>
                <w:highlight w:val="none"/>
              </w:rPr>
              <w:t>分。（须提供证书扫描件及国家认证认可监督管理委员会网上查询截图，否则不得分。）</w:t>
            </w:r>
          </w:p>
          <w:p>
            <w:pPr>
              <w:pStyle w:val="16"/>
              <w:rPr>
                <w:rFonts w:hAnsi="Times New Roman"/>
                <w:color w:val="auto"/>
                <w:highlight w:val="none"/>
              </w:rPr>
            </w:pPr>
            <w:r>
              <w:rPr>
                <w:rFonts w:hint="eastAsia" w:hAnsi="Times New Roman"/>
                <w:color w:val="auto"/>
                <w:highlight w:val="none"/>
              </w:rPr>
              <w:t>2、投标人自有检测的实验室具备检验检测机构计量认证（CMA）资质，</w:t>
            </w:r>
            <w:r>
              <w:rPr>
                <w:rFonts w:hint="eastAsia" w:hAnsi="Times New Roman"/>
                <w:color w:val="auto"/>
                <w:highlight w:val="none"/>
              </w:rPr>
              <w:t>得</w:t>
            </w:r>
            <w:r>
              <w:rPr>
                <w:rFonts w:hint="eastAsia" w:hAnsi="Times New Roman"/>
                <w:color w:val="auto"/>
                <w:highlight w:val="none"/>
                <w:lang w:val="en-US" w:eastAsia="zh-CN"/>
              </w:rPr>
              <w:t>3</w:t>
            </w:r>
            <w:r>
              <w:rPr>
                <w:rFonts w:hint="eastAsia" w:hAnsi="Times New Roman"/>
                <w:color w:val="auto"/>
                <w:highlight w:val="none"/>
              </w:rPr>
              <w:t>分（</w:t>
            </w:r>
            <w:r>
              <w:rPr>
                <w:rFonts w:hint="eastAsia" w:hAnsi="Times New Roman"/>
                <w:color w:val="auto"/>
                <w:highlight w:val="none"/>
              </w:rPr>
              <w:t>提供认证证书扫描件并加盖公章）。</w:t>
            </w:r>
          </w:p>
          <w:p>
            <w:pPr>
              <w:pStyle w:val="16"/>
              <w:rPr>
                <w:rFonts w:hint="eastAsia" w:hAnsi="Times New Roman"/>
                <w:color w:val="auto"/>
                <w:highlight w:val="none"/>
              </w:rPr>
            </w:pPr>
            <w:r>
              <w:rPr>
                <w:rFonts w:hint="eastAsia" w:hAnsi="Times New Roman"/>
                <w:color w:val="auto"/>
                <w:highlight w:val="none"/>
              </w:rPr>
              <w:t>3、投标人具有测绘资质（工程测量、地理信息系统工程）、水文水资源调查评价资质、市政排水管道检测与评估作业能力评价证书</w:t>
            </w:r>
            <w:r>
              <w:rPr>
                <w:rFonts w:hint="eastAsia" w:hAnsi="Times New Roman"/>
                <w:highlight w:val="none"/>
              </w:rPr>
              <w:t>或</w:t>
            </w:r>
            <w:r>
              <w:rPr>
                <w:rFonts w:hAnsi="Times New Roman"/>
                <w:highlight w:val="none"/>
              </w:rPr>
              <w:t>设计能力评价证书</w:t>
            </w:r>
            <w:r>
              <w:rPr>
                <w:rFonts w:hint="eastAsia" w:hAnsi="Times New Roman"/>
                <w:highlight w:val="none"/>
              </w:rPr>
              <w:t>（类别含水污染治理）</w:t>
            </w:r>
            <w:r>
              <w:rPr>
                <w:rFonts w:hint="eastAsia" w:hAnsi="Times New Roman"/>
                <w:color w:val="auto"/>
                <w:highlight w:val="none"/>
              </w:rPr>
              <w:t>的，每有1个得</w:t>
            </w:r>
            <w:r>
              <w:rPr>
                <w:rFonts w:hint="eastAsia" w:hAnsi="Times New Roman"/>
                <w:color w:val="auto"/>
                <w:highlight w:val="none"/>
                <w:lang w:val="en-US" w:eastAsia="zh-CN"/>
              </w:rPr>
              <w:t>2</w:t>
            </w:r>
            <w:r>
              <w:rPr>
                <w:rFonts w:hint="eastAsia" w:hAnsi="Times New Roman"/>
                <w:color w:val="auto"/>
                <w:highlight w:val="none"/>
              </w:rPr>
              <w:t>分，最高得</w:t>
            </w:r>
            <w:r>
              <w:rPr>
                <w:rFonts w:hint="eastAsia" w:hAnsi="Times New Roman"/>
                <w:color w:val="auto"/>
                <w:highlight w:val="none"/>
                <w:lang w:val="en-US" w:eastAsia="zh-CN"/>
              </w:rPr>
              <w:t>6</w:t>
            </w:r>
            <w:r>
              <w:rPr>
                <w:rFonts w:hint="eastAsia" w:hAnsi="Times New Roman"/>
                <w:color w:val="auto"/>
                <w:highlight w:val="none"/>
              </w:rPr>
              <w:t>分。（提供相关证书扫描件并加盖公章）</w:t>
            </w:r>
          </w:p>
          <w:p>
            <w:pPr>
              <w:pStyle w:val="16"/>
              <w:rPr>
                <w:rFonts w:hint="eastAsia" w:hAnsi="Times New Roman" w:eastAsia="宋体"/>
                <w:color w:val="auto"/>
                <w:highlight w:val="none"/>
                <w:lang w:val="en-US" w:eastAsia="zh-CN"/>
              </w:rPr>
            </w:pPr>
            <w:r>
              <w:rPr>
                <w:rFonts w:hint="eastAsia" w:hAnsi="Times New Roman"/>
                <w:color w:val="auto"/>
                <w:highlight w:val="none"/>
                <w:lang w:val="en-US" w:eastAsia="zh-CN"/>
              </w:rPr>
              <w:t>4、</w:t>
            </w:r>
            <w:r>
              <w:rPr>
                <w:rFonts w:hint="eastAsia" w:hAnsi="Times New Roman"/>
                <w:color w:val="auto"/>
                <w:highlight w:val="none"/>
                <w:lang w:val="en-US" w:eastAsia="zh-CN"/>
              </w:rPr>
              <w:t>投标人具有环境治理领域工程技术研究中心并通过验收，纳入相关建设名录的，得3分。(提供相关证明材料扫描件并加盖公章)</w:t>
            </w:r>
          </w:p>
        </w:tc>
      </w:tr>
      <w:tr>
        <w:tblPrEx>
          <w:tblCellMar>
            <w:top w:w="0" w:type="dxa"/>
            <w:left w:w="108" w:type="dxa"/>
            <w:bottom w:w="0" w:type="dxa"/>
            <w:right w:w="108" w:type="dxa"/>
          </w:tblCellMar>
        </w:tblPrEx>
        <w:trPr>
          <w:trHeight w:val="876"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lang w:bidi="ar"/>
              </w:rPr>
              <w:t>8</w:t>
            </w:r>
          </w:p>
        </w:tc>
        <w:tc>
          <w:tcPr>
            <w:tcW w:w="11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企业业绩</w:t>
            </w:r>
          </w:p>
        </w:tc>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6662" w:type="dxa"/>
            <w:tcBorders>
              <w:top w:val="single" w:color="000000" w:sz="4" w:space="0"/>
              <w:left w:val="single" w:color="000000" w:sz="4" w:space="0"/>
              <w:bottom w:val="single" w:color="000000" w:sz="4" w:space="0"/>
              <w:right w:val="single" w:color="000000" w:sz="4" w:space="0"/>
            </w:tcBorders>
            <w:vAlign w:val="center"/>
          </w:tcPr>
          <w:p>
            <w:pPr>
              <w:pStyle w:val="16"/>
              <w:rPr>
                <w:rFonts w:hAnsi="Times New Roman"/>
                <w:color w:val="auto"/>
                <w:highlight w:val="none"/>
              </w:rPr>
            </w:pPr>
            <w:r>
              <w:rPr>
                <w:rFonts w:hint="eastAsia" w:hAnsi="Times New Roman"/>
                <w:color w:val="auto"/>
                <w:highlight w:val="none"/>
              </w:rPr>
              <w:t>投标人承担过类似区域排污口排查溯源整治、污染源调查或监测溯源整治项目业绩的，有1个得2分，本小项最高得4分，未提供不得分。（提供符合要求的业绩合同关键页扫描件，并加盖公章）</w:t>
            </w:r>
          </w:p>
        </w:tc>
      </w:tr>
      <w:tr>
        <w:tblPrEx>
          <w:tblCellMar>
            <w:top w:w="0" w:type="dxa"/>
            <w:left w:w="108" w:type="dxa"/>
            <w:bottom w:w="0" w:type="dxa"/>
            <w:right w:w="108" w:type="dxa"/>
          </w:tblCellMar>
        </w:tblPrEx>
        <w:trPr>
          <w:trHeight w:val="2551"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lang w:bidi="ar"/>
              </w:rPr>
            </w:pPr>
            <w:r>
              <w:rPr>
                <w:rFonts w:hint="eastAsia" w:ascii="等线" w:hAnsi="等线" w:eastAsia="等线" w:cs="等线"/>
                <w:color w:val="auto"/>
                <w:sz w:val="24"/>
                <w:szCs w:val="24"/>
                <w:highlight w:val="none"/>
                <w:lang w:bidi="ar"/>
              </w:rPr>
              <w:t>9</w:t>
            </w:r>
          </w:p>
        </w:tc>
        <w:tc>
          <w:tcPr>
            <w:tcW w:w="11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人员配置</w:t>
            </w:r>
          </w:p>
        </w:tc>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lang w:val="en-US" w:eastAsia="zh-CN" w:bidi="ar"/>
              </w:rPr>
              <w:t>6</w:t>
            </w:r>
          </w:p>
        </w:tc>
        <w:tc>
          <w:tcPr>
            <w:tcW w:w="6662"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color w:val="auto"/>
                <w:highlight w:val="none"/>
              </w:rPr>
            </w:pPr>
            <w:r>
              <w:rPr>
                <w:rFonts w:hint="eastAsia" w:ascii="宋体"/>
                <w:color w:val="auto"/>
                <w:highlight w:val="none"/>
              </w:rPr>
              <w:t>①拟派项目负责人：</w:t>
            </w:r>
          </w:p>
          <w:p>
            <w:pPr>
              <w:snapToGrid w:val="0"/>
              <w:rPr>
                <w:rFonts w:ascii="宋体"/>
                <w:color w:val="auto"/>
                <w:highlight w:val="none"/>
              </w:rPr>
            </w:pPr>
            <w:r>
              <w:rPr>
                <w:rFonts w:hint="eastAsia" w:ascii="宋体"/>
                <w:color w:val="auto"/>
                <w:highlight w:val="none"/>
                <w:lang w:val="zh-CN"/>
              </w:rPr>
              <w:t>具有环保类正高级职称</w:t>
            </w:r>
            <w:r>
              <w:rPr>
                <w:rFonts w:hint="eastAsia" w:ascii="宋体"/>
                <w:color w:val="auto"/>
                <w:highlight w:val="none"/>
              </w:rPr>
              <w:t>得</w:t>
            </w:r>
            <w:r>
              <w:rPr>
                <w:rFonts w:hint="eastAsia" w:ascii="宋体"/>
                <w:color w:val="auto"/>
                <w:highlight w:val="none"/>
                <w:lang w:val="en-US" w:eastAsia="zh-CN"/>
              </w:rPr>
              <w:t>4</w:t>
            </w:r>
            <w:r>
              <w:rPr>
                <w:rFonts w:hint="eastAsia" w:ascii="宋体"/>
                <w:color w:val="auto"/>
                <w:highlight w:val="none"/>
              </w:rPr>
              <w:t>分，具有</w:t>
            </w:r>
            <w:r>
              <w:rPr>
                <w:rFonts w:hint="eastAsia" w:ascii="宋体"/>
                <w:color w:val="auto"/>
                <w:highlight w:val="none"/>
                <w:lang w:val="zh-CN"/>
              </w:rPr>
              <w:t>环保类</w:t>
            </w:r>
            <w:r>
              <w:rPr>
                <w:rFonts w:hint="eastAsia" w:ascii="宋体"/>
                <w:color w:val="auto"/>
                <w:highlight w:val="none"/>
              </w:rPr>
              <w:t>高级职称的得2分；</w:t>
            </w:r>
            <w:r>
              <w:rPr>
                <w:rFonts w:ascii="宋体" w:hAnsi="Times New Roman" w:eastAsia="宋体" w:cs="Times New Roman"/>
                <w:sz w:val="21"/>
                <w:highlight w:val="none"/>
                <w:lang w:val="zh-CN"/>
              </w:rPr>
              <w:t>具有注册环保工程师执业资格得2分</w:t>
            </w:r>
            <w:r>
              <w:rPr>
                <w:rFonts w:hint="eastAsia" w:ascii="宋体" w:hAnsi="Times New Roman" w:eastAsia="宋体" w:cs="Times New Roman"/>
                <w:sz w:val="21"/>
                <w:highlight w:val="none"/>
                <w:lang w:val="zh-CN"/>
              </w:rPr>
              <w:t>；</w:t>
            </w:r>
            <w:r>
              <w:rPr>
                <w:rFonts w:hint="eastAsia" w:ascii="宋体"/>
                <w:color w:val="auto"/>
                <w:highlight w:val="none"/>
              </w:rPr>
              <w:t>本小项最高得</w:t>
            </w:r>
            <w:r>
              <w:rPr>
                <w:rFonts w:hint="eastAsia" w:ascii="宋体"/>
                <w:color w:val="auto"/>
                <w:highlight w:val="none"/>
                <w:lang w:val="en-US" w:eastAsia="zh-CN"/>
              </w:rPr>
              <w:t>6</w:t>
            </w:r>
            <w:r>
              <w:rPr>
                <w:rFonts w:hint="eastAsia" w:ascii="宋体"/>
                <w:color w:val="auto"/>
                <w:highlight w:val="none"/>
              </w:rPr>
              <w:t>分。</w:t>
            </w:r>
          </w:p>
          <w:p>
            <w:pPr>
              <w:pStyle w:val="16"/>
              <w:rPr>
                <w:rFonts w:hAnsi="Times New Roman"/>
                <w:color w:val="auto"/>
                <w:highlight w:val="none"/>
              </w:rPr>
            </w:pPr>
            <w:r>
              <w:rPr>
                <w:rFonts w:hint="eastAsia" w:hAnsi="Times New Roman"/>
                <w:color w:val="auto"/>
                <w:highlight w:val="none"/>
              </w:rPr>
              <w:t>②拟派项目技术负责人（非</w:t>
            </w:r>
            <w:r>
              <w:rPr>
                <w:rFonts w:hint="eastAsia" w:hAnsi="Times New Roman"/>
                <w:color w:val="auto"/>
                <w:highlight w:val="none"/>
                <w:lang w:val="en-US" w:eastAsia="zh-CN"/>
              </w:rPr>
              <w:t>项目</w:t>
            </w:r>
            <w:r>
              <w:rPr>
                <w:rFonts w:hint="eastAsia" w:hAnsi="Times New Roman"/>
                <w:color w:val="auto"/>
                <w:highlight w:val="none"/>
              </w:rPr>
              <w:t>负责人）：</w:t>
            </w:r>
            <w:r>
              <w:rPr>
                <w:rFonts w:hint="eastAsia" w:ascii="宋体"/>
                <w:color w:val="auto"/>
                <w:highlight w:val="none"/>
              </w:rPr>
              <w:t>具有高级</w:t>
            </w:r>
            <w:r>
              <w:rPr>
                <w:rFonts w:hint="eastAsia"/>
                <w:color w:val="auto"/>
                <w:highlight w:val="none"/>
                <w:lang w:val="en-US" w:eastAsia="zh-CN"/>
              </w:rPr>
              <w:t>及以上</w:t>
            </w:r>
            <w:r>
              <w:rPr>
                <w:rFonts w:hint="eastAsia" w:ascii="宋体"/>
                <w:color w:val="auto"/>
                <w:highlight w:val="none"/>
              </w:rPr>
              <w:t>职称的得2分</w:t>
            </w:r>
            <w:r>
              <w:rPr>
                <w:rFonts w:hint="eastAsia"/>
                <w:color w:val="auto"/>
                <w:highlight w:val="none"/>
                <w:lang w:eastAsia="zh-CN"/>
              </w:rPr>
              <w:t>；</w:t>
            </w:r>
            <w:r>
              <w:rPr>
                <w:rFonts w:hint="eastAsia" w:hAnsi="Times New Roman"/>
                <w:color w:val="auto"/>
                <w:highlight w:val="none"/>
              </w:rPr>
              <w:t>具有注册环保工程师或</w:t>
            </w:r>
            <w:r>
              <w:rPr>
                <w:rFonts w:hAnsi="Times New Roman"/>
                <w:highlight w:val="none"/>
              </w:rPr>
              <w:t>注册公用设备工程师（给水排水）</w:t>
            </w:r>
            <w:r>
              <w:rPr>
                <w:rFonts w:hint="eastAsia"/>
                <w:color w:val="auto"/>
                <w:highlight w:val="none"/>
              </w:rPr>
              <w:t>的</w:t>
            </w:r>
            <w:r>
              <w:rPr>
                <w:rFonts w:hint="eastAsia" w:hAnsi="Times New Roman"/>
                <w:color w:val="auto"/>
                <w:highlight w:val="none"/>
              </w:rPr>
              <w:t>得2分；本小项最高得</w:t>
            </w:r>
            <w:r>
              <w:rPr>
                <w:rFonts w:hint="eastAsia" w:hAnsi="Times New Roman"/>
                <w:color w:val="auto"/>
                <w:highlight w:val="none"/>
                <w:lang w:val="en-US" w:eastAsia="zh-CN"/>
              </w:rPr>
              <w:t>4</w:t>
            </w:r>
            <w:r>
              <w:rPr>
                <w:rFonts w:hint="eastAsia" w:hAnsi="Times New Roman"/>
                <w:color w:val="auto"/>
                <w:highlight w:val="none"/>
              </w:rPr>
              <w:t>分。</w:t>
            </w:r>
          </w:p>
          <w:p>
            <w:pPr>
              <w:pStyle w:val="16"/>
              <w:rPr>
                <w:rFonts w:hAnsi="Times New Roman"/>
                <w:color w:val="auto"/>
                <w:highlight w:val="none"/>
              </w:rPr>
            </w:pPr>
            <w:r>
              <w:rPr>
                <w:rFonts w:hint="eastAsia" w:hAnsi="Times New Roman"/>
                <w:color w:val="auto"/>
                <w:highlight w:val="none"/>
              </w:rPr>
              <w:t>③项目团队成员（不含负责人和技术负责人）：每有1人具有注册环保工程师执业资格或注册公用设备工程师（给水排水）或注册咨询工程师执业资格的得2分，本小项最高得6分。</w:t>
            </w:r>
          </w:p>
          <w:p>
            <w:pPr>
              <w:pStyle w:val="16"/>
              <w:rPr>
                <w:rFonts w:hAnsi="Times New Roman"/>
                <w:color w:val="auto"/>
                <w:highlight w:val="none"/>
              </w:rPr>
            </w:pPr>
            <w:r>
              <w:rPr>
                <w:rFonts w:hint="eastAsia" w:hAnsi="Times New Roman"/>
                <w:color w:val="auto"/>
                <w:highlight w:val="none"/>
              </w:rPr>
              <w:t>注：以上人员不可重复计算，提供相关人员有效期内</w:t>
            </w:r>
            <w:r>
              <w:rPr>
                <w:rFonts w:hint="eastAsia" w:hAnsi="Times New Roman"/>
                <w:color w:val="auto"/>
                <w:highlight w:val="none"/>
                <w:lang w:val="en-US" w:eastAsia="zh-CN"/>
              </w:rPr>
              <w:t>的</w:t>
            </w:r>
            <w:r>
              <w:rPr>
                <w:rFonts w:hint="eastAsia" w:hAnsi="Times New Roman"/>
                <w:color w:val="auto"/>
                <w:highlight w:val="none"/>
              </w:rPr>
              <w:t>身份证复印件、证书复印件，响应投标人须保证以上人员为本单位的正式职工，并提供为其缴纳的社保证明材料。（以上内容均需加盖公章）</w:t>
            </w:r>
          </w:p>
        </w:tc>
      </w:tr>
      <w:tr>
        <w:tblPrEx>
          <w:tblCellMar>
            <w:top w:w="0" w:type="dxa"/>
            <w:left w:w="108" w:type="dxa"/>
            <w:bottom w:w="0" w:type="dxa"/>
            <w:right w:w="108" w:type="dxa"/>
          </w:tblCellMar>
        </w:tblPrEx>
        <w:trPr>
          <w:trHeight w:val="1516" w:hRule="atLeast"/>
        </w:trPr>
        <w:tc>
          <w:tcPr>
            <w:tcW w:w="63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等线" w:hAnsi="等线" w:eastAsia="等线" w:cs="等线"/>
                <w:color w:val="auto"/>
                <w:sz w:val="24"/>
                <w:szCs w:val="24"/>
                <w:highlight w:val="none"/>
                <w:lang w:bidi="ar"/>
              </w:rPr>
            </w:pPr>
            <w:r>
              <w:rPr>
                <w:rFonts w:hint="eastAsia" w:ascii="等线" w:hAnsi="等线" w:eastAsia="等线" w:cs="等线"/>
                <w:color w:val="auto"/>
                <w:sz w:val="24"/>
                <w:szCs w:val="24"/>
                <w:highlight w:val="none"/>
                <w:lang w:bidi="ar"/>
              </w:rPr>
              <w:t>10</w:t>
            </w:r>
          </w:p>
        </w:tc>
        <w:tc>
          <w:tcPr>
            <w:tcW w:w="11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sz w:val="24"/>
                <w:szCs w:val="24"/>
                <w:highlight w:val="none"/>
                <w:lang w:bidi="ar"/>
              </w:rPr>
            </w:pPr>
            <w:r>
              <w:rPr>
                <w:rFonts w:hint="eastAsia" w:ascii="宋体" w:hAnsi="宋体" w:cs="宋体"/>
                <w:color w:val="auto"/>
                <w:highlight w:val="none"/>
              </w:rPr>
              <w:t>设备保障</w:t>
            </w:r>
          </w:p>
        </w:tc>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3</w:t>
            </w:r>
          </w:p>
        </w:tc>
        <w:tc>
          <w:tcPr>
            <w:tcW w:w="6662"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color w:val="auto"/>
                <w:highlight w:val="none"/>
              </w:rPr>
            </w:pPr>
            <w:r>
              <w:rPr>
                <w:rFonts w:hint="eastAsia" w:ascii="宋体"/>
                <w:color w:val="auto"/>
                <w:highlight w:val="none"/>
              </w:rPr>
              <w:t>投标人承诺</w:t>
            </w:r>
            <w:r>
              <w:rPr>
                <w:rFonts w:hint="eastAsia" w:ascii="宋体"/>
                <w:color w:val="auto"/>
                <w:highlight w:val="none"/>
                <w:lang w:val="en-US" w:eastAsia="zh-CN"/>
              </w:rPr>
              <w:t>在满足</w:t>
            </w:r>
            <w:r>
              <w:rPr>
                <w:rFonts w:hint="eastAsia" w:hAnsi="Times New Roman"/>
                <w:color w:val="auto"/>
                <w:szCs w:val="21"/>
                <w:highlight w:val="none"/>
              </w:rPr>
              <w:t>目需求中要求的基础上，</w:t>
            </w:r>
            <w:r>
              <w:rPr>
                <w:rFonts w:hint="eastAsia" w:hAnsi="Times New Roman"/>
                <w:color w:val="auto"/>
                <w:szCs w:val="21"/>
                <w:highlight w:val="none"/>
                <w:lang w:val="en-US" w:eastAsia="zh-CN"/>
              </w:rPr>
              <w:t>每增加1台</w:t>
            </w:r>
            <w:r>
              <w:rPr>
                <w:rFonts w:hint="eastAsia" w:ascii="宋体"/>
                <w:color w:val="auto"/>
                <w:highlight w:val="none"/>
              </w:rPr>
              <w:t>管道检测潜望镜的得</w:t>
            </w:r>
            <w:r>
              <w:rPr>
                <w:rFonts w:hint="eastAsia" w:ascii="宋体"/>
                <w:color w:val="auto"/>
                <w:highlight w:val="none"/>
                <w:lang w:val="en-US" w:eastAsia="zh-CN"/>
              </w:rPr>
              <w:t>1</w:t>
            </w:r>
            <w:r>
              <w:rPr>
                <w:rFonts w:hint="eastAsia" w:ascii="宋体"/>
                <w:color w:val="auto"/>
                <w:highlight w:val="none"/>
              </w:rPr>
              <w:t>分、</w:t>
            </w:r>
            <w:r>
              <w:rPr>
                <w:rFonts w:hint="eastAsia" w:ascii="宋体"/>
                <w:color w:val="auto"/>
                <w:highlight w:val="none"/>
                <w:lang w:val="en-US" w:eastAsia="zh-CN"/>
              </w:rPr>
              <w:t>1台</w:t>
            </w:r>
            <w:r>
              <w:rPr>
                <w:rFonts w:hint="eastAsia" w:ascii="宋体"/>
                <w:color w:val="auto"/>
                <w:highlight w:val="none"/>
              </w:rPr>
              <w:t>便携式水质测定仪的得</w:t>
            </w:r>
            <w:r>
              <w:rPr>
                <w:rFonts w:hint="eastAsia" w:ascii="宋体"/>
                <w:color w:val="auto"/>
                <w:highlight w:val="none"/>
                <w:lang w:val="en-US" w:eastAsia="zh-CN"/>
              </w:rPr>
              <w:t>1</w:t>
            </w:r>
            <w:r>
              <w:rPr>
                <w:rFonts w:hint="eastAsia" w:ascii="宋体"/>
                <w:color w:val="auto"/>
                <w:highlight w:val="none"/>
              </w:rPr>
              <w:t>分、</w:t>
            </w:r>
            <w:r>
              <w:rPr>
                <w:rFonts w:hint="eastAsia" w:ascii="宋体"/>
                <w:color w:val="auto"/>
                <w:highlight w:val="none"/>
                <w:lang w:val="en-US" w:eastAsia="zh-CN"/>
              </w:rPr>
              <w:t>1台</w:t>
            </w:r>
            <w:r>
              <w:rPr>
                <w:rFonts w:hint="eastAsia" w:ascii="宋体"/>
                <w:color w:val="auto"/>
                <w:highlight w:val="none"/>
              </w:rPr>
              <w:t>无人机或无人船得</w:t>
            </w:r>
            <w:r>
              <w:rPr>
                <w:rFonts w:hint="eastAsia" w:ascii="宋体"/>
                <w:color w:val="auto"/>
                <w:highlight w:val="none"/>
                <w:lang w:val="en-US" w:eastAsia="zh-CN"/>
              </w:rPr>
              <w:t>1</w:t>
            </w:r>
            <w:r>
              <w:rPr>
                <w:rFonts w:hint="eastAsia" w:ascii="宋体"/>
                <w:color w:val="auto"/>
                <w:highlight w:val="none"/>
              </w:rPr>
              <w:t>分；本项最高得</w:t>
            </w:r>
            <w:r>
              <w:rPr>
                <w:rFonts w:hint="eastAsia" w:ascii="宋体"/>
                <w:color w:val="auto"/>
                <w:highlight w:val="none"/>
                <w:lang w:val="en-US" w:eastAsia="zh-CN"/>
              </w:rPr>
              <w:t>3</w:t>
            </w:r>
            <w:r>
              <w:rPr>
                <w:rFonts w:hint="eastAsia" w:ascii="宋体"/>
                <w:color w:val="auto"/>
                <w:highlight w:val="none"/>
              </w:rPr>
              <w:t>分。【须提供以下材料：①如投标人为设备制造商的须提供库存设备清单；②如投标人为非设备制造商的需提供以下证明材料：已经购买设备的须提供购置发票或采购合同扫描件；已经租赁的，提供租赁合同扫描件；暂未购买或租赁的须提供承诺书，承诺成交后提供上述设备服务于本项目。】</w:t>
            </w:r>
          </w:p>
        </w:tc>
      </w:tr>
    </w:tbl>
    <w:p>
      <w:pPr>
        <w:pStyle w:val="269"/>
        <w:spacing w:before="0" w:after="0" w:line="560" w:lineRule="exact"/>
        <w:ind w:firstLine="439"/>
        <w:rPr>
          <w:rFonts w:cs="Arial"/>
          <w:b/>
          <w:color w:val="auto"/>
          <w:highlight w:val="none"/>
        </w:rPr>
      </w:pPr>
      <w:r>
        <w:rPr>
          <w:rFonts w:hint="eastAsia" w:cs="Arial"/>
          <w:color w:val="auto"/>
          <w:highlight w:val="none"/>
        </w:rPr>
        <w:t xml:space="preserve"> </w:t>
      </w:r>
      <w:r>
        <w:rPr>
          <w:rFonts w:hint="eastAsia" w:cs="Arial"/>
          <w:b/>
          <w:color w:val="auto"/>
          <w:highlight w:val="none"/>
        </w:rPr>
        <w:t>（四）价格分：</w:t>
      </w:r>
      <w:r>
        <w:rPr>
          <w:rFonts w:hint="eastAsia" w:cs="Arial"/>
          <w:b/>
          <w:color w:val="auto"/>
          <w:highlight w:val="none"/>
          <w:lang w:val="en-US" w:eastAsia="zh-CN"/>
        </w:rPr>
        <w:t>20</w:t>
      </w:r>
      <w:r>
        <w:rPr>
          <w:rFonts w:hint="eastAsia" w:cs="Arial"/>
          <w:b/>
          <w:color w:val="auto"/>
          <w:highlight w:val="none"/>
        </w:rPr>
        <w:t>分</w:t>
      </w:r>
    </w:p>
    <w:p>
      <w:pPr>
        <w:pStyle w:val="269"/>
        <w:spacing w:before="0" w:after="0" w:line="560" w:lineRule="exact"/>
        <w:ind w:firstLine="439"/>
        <w:rPr>
          <w:rFonts w:cs="Arial"/>
          <w:color w:val="auto"/>
          <w:highlight w:val="none"/>
        </w:rPr>
      </w:pPr>
      <w:r>
        <w:rPr>
          <w:rFonts w:hint="eastAsia" w:cs="Arial"/>
          <w:color w:val="auto"/>
          <w:highlight w:val="none"/>
        </w:rPr>
        <w:t>价格分统一采用低价优先法计算，即满足招标文件要求且投标价格最低的投标报价为评标基准价，其价格分为满分。其他投标人的价格分统一按照下列公式计算：</w:t>
      </w:r>
    </w:p>
    <w:p>
      <w:pPr>
        <w:pStyle w:val="269"/>
        <w:spacing w:before="0" w:after="0" w:line="560" w:lineRule="exact"/>
        <w:ind w:firstLine="439"/>
        <w:rPr>
          <w:rFonts w:cs="Arial"/>
          <w:color w:val="auto"/>
          <w:highlight w:val="none"/>
        </w:rPr>
      </w:pPr>
      <w:r>
        <w:rPr>
          <w:rFonts w:hint="eastAsia" w:cs="Arial"/>
          <w:color w:val="auto"/>
          <w:highlight w:val="none"/>
        </w:rPr>
        <w:t>投标报价得分=（评标基准价/投标报价）×价格权值×100</w:t>
      </w:r>
      <w:r>
        <w:rPr>
          <w:rFonts w:cs="Arial"/>
          <w:color w:val="auto"/>
          <w:highlight w:val="none"/>
        </w:rPr>
        <w:t xml:space="preserve"> </w:t>
      </w:r>
    </w:p>
    <w:p>
      <w:pPr>
        <w:pStyle w:val="269"/>
        <w:spacing w:before="0" w:after="0" w:line="560" w:lineRule="exact"/>
        <w:ind w:firstLine="439"/>
        <w:rPr>
          <w:rFonts w:cs="Arial"/>
          <w:color w:val="auto"/>
          <w:highlight w:val="none"/>
        </w:rPr>
      </w:pPr>
      <w:r>
        <w:rPr>
          <w:rFonts w:cs="Arial"/>
          <w:color w:val="auto"/>
          <w:highlight w:val="none"/>
        </w:rPr>
        <w:t>出现下列情形之一的，评</w:t>
      </w:r>
      <w:r>
        <w:rPr>
          <w:rFonts w:hint="eastAsia" w:cs="Arial"/>
          <w:color w:val="auto"/>
          <w:highlight w:val="none"/>
        </w:rPr>
        <w:t>标</w:t>
      </w:r>
      <w:r>
        <w:rPr>
          <w:rFonts w:cs="Arial"/>
          <w:color w:val="auto"/>
          <w:highlight w:val="none"/>
        </w:rPr>
        <w:t>委员会应当启动异常低价投标审查程序：</w:t>
      </w:r>
    </w:p>
    <w:p>
      <w:pPr>
        <w:pStyle w:val="269"/>
        <w:spacing w:line="560" w:lineRule="exact"/>
        <w:ind w:firstLine="439"/>
        <w:rPr>
          <w:rFonts w:cs="Arial"/>
          <w:color w:val="auto"/>
          <w:highlight w:val="none"/>
        </w:rPr>
      </w:pPr>
      <w:r>
        <w:rPr>
          <w:rFonts w:hint="eastAsia" w:cs="Arial"/>
          <w:color w:val="auto"/>
          <w:highlight w:val="none"/>
        </w:rPr>
        <w:t>1、投标（响应）报价低于全部通过符合性审查投标人投标（响应）报价平均值50%的，即投标（响应）报价&lt;全部通过符合性审查投标人投标（响应）报价平均值×50%；</w:t>
      </w:r>
    </w:p>
    <w:p>
      <w:pPr>
        <w:pStyle w:val="269"/>
        <w:spacing w:line="560" w:lineRule="exact"/>
        <w:ind w:firstLine="439"/>
        <w:rPr>
          <w:rFonts w:cs="Arial"/>
          <w:color w:val="auto"/>
          <w:highlight w:val="none"/>
        </w:rPr>
      </w:pPr>
      <w:r>
        <w:rPr>
          <w:rFonts w:hint="eastAsia" w:cs="Arial"/>
          <w:color w:val="auto"/>
          <w:highlight w:val="none"/>
        </w:rPr>
        <w:t>2、投标（响应）报价低于通过符合性审查的次低报价投标人投标（响应）报价50%的，即投标（响应）报价&lt;通过符合性审查的次低报价投标人投标（响应）报价×50%；</w:t>
      </w:r>
    </w:p>
    <w:p>
      <w:pPr>
        <w:pStyle w:val="269"/>
        <w:spacing w:line="560" w:lineRule="exact"/>
        <w:ind w:firstLine="439"/>
        <w:rPr>
          <w:rFonts w:cs="Arial"/>
          <w:color w:val="auto"/>
          <w:highlight w:val="none"/>
        </w:rPr>
      </w:pPr>
      <w:r>
        <w:rPr>
          <w:rFonts w:hint="eastAsia" w:cs="Arial"/>
          <w:color w:val="auto"/>
          <w:highlight w:val="none"/>
        </w:rPr>
        <w:t>3、投标（响应）报价低于采购项目最高限价45%的，即投标（响应）报价&lt;采购项目最高限价×45%；</w:t>
      </w:r>
    </w:p>
    <w:p>
      <w:pPr>
        <w:pStyle w:val="269"/>
        <w:spacing w:before="0" w:after="0" w:line="560" w:lineRule="exact"/>
        <w:ind w:firstLine="439"/>
        <w:rPr>
          <w:rFonts w:cs="Arial"/>
          <w:color w:val="auto"/>
          <w:highlight w:val="none"/>
        </w:rPr>
      </w:pPr>
      <w:r>
        <w:rPr>
          <w:rFonts w:hint="eastAsia" w:cs="Arial"/>
          <w:color w:val="auto"/>
          <w:highlight w:val="none"/>
        </w:rPr>
        <w:t>4、评审委员会基于专业判断，认为投标人报价过低，有可能影响产品质量或者不能诚信履约的其他情形。</w:t>
      </w:r>
    </w:p>
    <w:p>
      <w:pPr>
        <w:pStyle w:val="269"/>
        <w:spacing w:before="0" w:after="0" w:line="560" w:lineRule="exact"/>
        <w:ind w:firstLine="439"/>
        <w:rPr>
          <w:rFonts w:cs="Arial"/>
          <w:color w:val="auto"/>
          <w:highlight w:val="none"/>
        </w:rPr>
      </w:pPr>
      <w:r>
        <w:rPr>
          <w:rFonts w:cs="Arial"/>
          <w:color w:val="auto"/>
          <w:highlight w:val="none"/>
        </w:rPr>
        <w:t>启动异常低价投标审查后，评</w:t>
      </w:r>
      <w:r>
        <w:rPr>
          <w:rFonts w:hint="eastAsia" w:cs="Arial"/>
          <w:color w:val="auto"/>
          <w:highlight w:val="none"/>
        </w:rPr>
        <w:t>标</w:t>
      </w:r>
      <w:r>
        <w:rPr>
          <w:rFonts w:cs="Arial"/>
          <w:color w:val="auto"/>
          <w:highlight w:val="none"/>
        </w:rPr>
        <w:t>委员会</w:t>
      </w:r>
      <w:r>
        <w:rPr>
          <w:rFonts w:hint="eastAsia" w:cs="Arial"/>
          <w:color w:val="auto"/>
          <w:highlight w:val="none"/>
        </w:rPr>
        <w:t>将通过苏采云系统要求相关投标人在合理的时间内（一般不少于30分钟），提供</w:t>
      </w:r>
      <w:r>
        <w:rPr>
          <w:rFonts w:cs="Arial"/>
          <w:color w:val="auto"/>
          <w:highlight w:val="none"/>
        </w:rPr>
        <w:t>项目具体成本测算等与报价合理性相关的书面说明及相关证明材料，对投标价格作出解释，由评</w:t>
      </w:r>
      <w:r>
        <w:rPr>
          <w:rFonts w:hint="eastAsia" w:cs="Arial"/>
          <w:color w:val="auto"/>
          <w:highlight w:val="none"/>
        </w:rPr>
        <w:t>标</w:t>
      </w:r>
      <w:r>
        <w:rPr>
          <w:rFonts w:cs="Arial"/>
          <w:color w:val="auto"/>
          <w:highlight w:val="none"/>
        </w:rPr>
        <w:t>委员会结合同类产品在主要电商平台的价格、该行业当地薪资水平等情况，依据专业经验对</w:t>
      </w:r>
      <w:r>
        <w:rPr>
          <w:rFonts w:hint="eastAsia" w:cs="Arial"/>
          <w:color w:val="auto"/>
          <w:highlight w:val="none"/>
        </w:rPr>
        <w:t>投标人</w:t>
      </w:r>
      <w:r>
        <w:rPr>
          <w:rFonts w:cs="Arial"/>
          <w:color w:val="auto"/>
          <w:highlight w:val="none"/>
        </w:rPr>
        <w:t>报价合理性进行判断。</w:t>
      </w:r>
    </w:p>
    <w:p>
      <w:pPr>
        <w:pStyle w:val="269"/>
        <w:spacing w:before="0" w:after="0" w:line="560" w:lineRule="exact"/>
        <w:ind w:firstLine="439"/>
        <w:rPr>
          <w:rFonts w:cs="Arial"/>
          <w:color w:val="auto"/>
          <w:highlight w:val="none"/>
        </w:rPr>
      </w:pPr>
      <w:r>
        <w:rPr>
          <w:rFonts w:hint="eastAsia" w:cs="Arial"/>
          <w:color w:val="auto"/>
          <w:highlight w:val="none"/>
        </w:rPr>
        <w:t>投标人</w:t>
      </w:r>
      <w:r>
        <w:rPr>
          <w:rFonts w:cs="Arial"/>
          <w:color w:val="auto"/>
          <w:highlight w:val="none"/>
        </w:rPr>
        <w:t>不提供书面说明、证明材料，或者提供的书面说明、证明材料不能证明其报价合理性的，评</w:t>
      </w:r>
      <w:r>
        <w:rPr>
          <w:rFonts w:hint="eastAsia" w:cs="Arial"/>
          <w:color w:val="auto"/>
          <w:highlight w:val="none"/>
        </w:rPr>
        <w:t>标</w:t>
      </w:r>
      <w:r>
        <w:rPr>
          <w:rFonts w:cs="Arial"/>
          <w:color w:val="auto"/>
          <w:highlight w:val="none"/>
        </w:rPr>
        <w:t>委员会应当将其作为无效投标处理。</w:t>
      </w:r>
      <w:r>
        <w:rPr>
          <w:rFonts w:hint="eastAsia" w:cs="Arial"/>
          <w:color w:val="auto"/>
          <w:highlight w:val="none"/>
        </w:rPr>
        <w:t>审查相关情况应当</w:t>
      </w:r>
      <w:r>
        <w:rPr>
          <w:rFonts w:cs="Arial"/>
          <w:color w:val="auto"/>
          <w:highlight w:val="none"/>
        </w:rPr>
        <w:t>在评审报告中进行记录。</w:t>
      </w:r>
    </w:p>
    <w:p>
      <w:pPr>
        <w:pStyle w:val="269"/>
        <w:spacing w:before="0" w:after="0" w:line="560" w:lineRule="exact"/>
        <w:ind w:firstLine="441"/>
        <w:rPr>
          <w:rFonts w:hint="eastAsia" w:ascii="宋体" w:hAnsi="宋体"/>
          <w:b/>
          <w:color w:val="auto"/>
          <w:highlight w:val="none"/>
        </w:rPr>
      </w:pPr>
      <w:r>
        <w:rPr>
          <w:rFonts w:hint="eastAsia" w:cs="Arial"/>
          <w:b/>
          <w:color w:val="auto"/>
          <w:highlight w:val="none"/>
        </w:rPr>
        <w:t>（五）</w:t>
      </w:r>
      <w:r>
        <w:rPr>
          <w:rFonts w:hint="eastAsia" w:ascii="宋体" w:hAnsi="宋体"/>
          <w:b/>
          <w:color w:val="auto"/>
          <w:highlight w:val="none"/>
        </w:rPr>
        <w:t>政府采购政策功能落实</w:t>
      </w:r>
    </w:p>
    <w:p>
      <w:pPr>
        <w:pStyle w:val="269"/>
        <w:spacing w:before="0" w:after="0" w:line="560" w:lineRule="exact"/>
        <w:ind w:firstLine="441"/>
        <w:rPr>
          <w:rFonts w:hint="eastAsia" w:ascii="宋体" w:hAnsi="宋体"/>
          <w:b/>
          <w:color w:val="auto"/>
          <w:highlight w:val="none"/>
          <w:u w:val="single"/>
        </w:rPr>
      </w:pPr>
      <w:r>
        <w:rPr>
          <w:rFonts w:hint="eastAsia" w:ascii="宋体" w:hAnsi="宋体"/>
          <w:b/>
          <w:color w:val="auto"/>
          <w:highlight w:val="none"/>
          <w:u w:val="single"/>
        </w:rPr>
        <w:t>本项目为专门面向中小微企业采购项目，不再执行价格评审优惠的扶持政策。</w:t>
      </w:r>
    </w:p>
    <w:p>
      <w:pPr>
        <w:rPr>
          <w:color w:val="auto"/>
          <w:highlight w:val="none"/>
        </w:rPr>
      </w:pPr>
    </w:p>
    <w:p>
      <w:pPr>
        <w:pStyle w:val="36"/>
        <w:rPr>
          <w:color w:val="auto"/>
          <w:highlight w:val="none"/>
        </w:rPr>
      </w:pPr>
    </w:p>
    <w:p>
      <w:pPr>
        <w:rPr>
          <w:color w:val="auto"/>
          <w:highlight w:val="none"/>
        </w:rPr>
      </w:pPr>
    </w:p>
    <w:p>
      <w:pPr>
        <w:pStyle w:val="36"/>
        <w:rPr>
          <w:color w:val="auto"/>
          <w:highlight w:val="none"/>
        </w:rPr>
      </w:pPr>
    </w:p>
    <w:p>
      <w:pPr>
        <w:rPr>
          <w:color w:val="auto"/>
          <w:highlight w:val="none"/>
        </w:rPr>
      </w:pPr>
    </w:p>
    <w:p>
      <w:pPr>
        <w:pStyle w:val="36"/>
        <w:rPr>
          <w:color w:val="auto"/>
          <w:highlight w:val="none"/>
        </w:rPr>
      </w:pPr>
    </w:p>
    <w:p>
      <w:pPr>
        <w:rPr>
          <w:color w:val="auto"/>
          <w:highlight w:val="none"/>
        </w:rPr>
      </w:pPr>
    </w:p>
    <w:p>
      <w:pPr>
        <w:rPr>
          <w:color w:val="auto"/>
          <w:highlight w:val="none"/>
        </w:rPr>
      </w:pPr>
    </w:p>
    <w:p>
      <w:pPr>
        <w:pStyle w:val="2"/>
        <w:rPr>
          <w:highlight w:val="none"/>
        </w:rPr>
      </w:pPr>
    </w:p>
    <w:p>
      <w:pPr>
        <w:rPr>
          <w:color w:val="auto"/>
          <w:highlight w:val="none"/>
        </w:rPr>
      </w:pPr>
    </w:p>
    <w:p>
      <w:pPr>
        <w:pStyle w:val="185"/>
        <w:rPr>
          <w:rFonts w:ascii="黑体" w:eastAsia="黑体"/>
          <w:bCs/>
          <w:color w:val="auto"/>
          <w:sz w:val="44"/>
          <w:highlight w:val="none"/>
        </w:rPr>
      </w:pPr>
      <w:r>
        <w:rPr>
          <w:rFonts w:hint="eastAsia" w:ascii="黑体" w:eastAsia="黑体"/>
          <w:bCs/>
          <w:color w:val="auto"/>
          <w:sz w:val="44"/>
          <w:highlight w:val="none"/>
        </w:rPr>
        <w:t>第五章  投标</w:t>
      </w:r>
      <w:bookmarkEnd w:id="187"/>
      <w:bookmarkEnd w:id="188"/>
      <w:bookmarkEnd w:id="189"/>
      <w:r>
        <w:rPr>
          <w:rFonts w:hint="eastAsia" w:ascii="黑体" w:eastAsia="黑体"/>
          <w:bCs/>
          <w:color w:val="auto"/>
          <w:sz w:val="44"/>
          <w:highlight w:val="none"/>
        </w:rPr>
        <w:t xml:space="preserve">文件格式 </w:t>
      </w:r>
    </w:p>
    <w:p>
      <w:pPr>
        <w:jc w:val="center"/>
        <w:rPr>
          <w:rFonts w:hint="eastAsia" w:ascii="宋体" w:hAnsi="宋体"/>
          <w:b/>
          <w:color w:val="auto"/>
          <w:sz w:val="72"/>
          <w:highlight w:val="none"/>
        </w:rPr>
      </w:pPr>
      <w:bookmarkStart w:id="190" w:name="_Hlt26671244"/>
      <w:bookmarkEnd w:id="190"/>
      <w:bookmarkStart w:id="191" w:name="_Hlt26955039"/>
      <w:bookmarkEnd w:id="191"/>
    </w:p>
    <w:p>
      <w:pPr>
        <w:jc w:val="center"/>
        <w:rPr>
          <w:rFonts w:hint="eastAsia" w:ascii="宋体" w:hAnsi="宋体"/>
          <w:b/>
          <w:color w:val="auto"/>
          <w:sz w:val="72"/>
          <w:highlight w:val="none"/>
        </w:rPr>
      </w:pPr>
      <w:r>
        <w:rPr>
          <w:rFonts w:hint="eastAsia" w:ascii="宋体" w:hAnsi="宋体"/>
          <w:b/>
          <w:color w:val="auto"/>
          <w:sz w:val="72"/>
          <w:highlight w:val="none"/>
        </w:rPr>
        <w:t>投  标  文  件</w:t>
      </w:r>
    </w:p>
    <w:p>
      <w:pPr>
        <w:jc w:val="center"/>
        <w:rPr>
          <w:rFonts w:hint="eastAsia" w:ascii="宋体" w:hAnsi="宋体"/>
          <w:b/>
          <w:color w:val="auto"/>
          <w:sz w:val="72"/>
          <w:highlight w:val="none"/>
        </w:rPr>
      </w:pPr>
    </w:p>
    <w:p>
      <w:pPr>
        <w:jc w:val="center"/>
        <w:rPr>
          <w:rFonts w:hint="eastAsia" w:ascii="宋体" w:hAnsi="宋体"/>
          <w:b/>
          <w:color w:val="auto"/>
          <w:sz w:val="72"/>
          <w:highlight w:val="none"/>
        </w:rPr>
      </w:pPr>
    </w:p>
    <w:p>
      <w:pPr>
        <w:jc w:val="center"/>
        <w:rPr>
          <w:rFonts w:hint="eastAsia" w:ascii="宋体" w:hAnsi="宋体"/>
          <w:b/>
          <w:color w:val="auto"/>
          <w:sz w:val="36"/>
          <w:highlight w:val="none"/>
        </w:rPr>
      </w:pPr>
    </w:p>
    <w:p>
      <w:pPr>
        <w:jc w:val="center"/>
        <w:rPr>
          <w:rFonts w:hint="eastAsia" w:ascii="宋体" w:hAnsi="宋体"/>
          <w:b/>
          <w:color w:val="auto"/>
          <w:sz w:val="36"/>
          <w:highlight w:val="none"/>
        </w:rPr>
      </w:pPr>
    </w:p>
    <w:p>
      <w:pPr>
        <w:jc w:val="center"/>
        <w:rPr>
          <w:rFonts w:hint="eastAsia" w:ascii="宋体" w:hAnsi="宋体"/>
          <w:b/>
          <w:color w:val="auto"/>
          <w:sz w:val="36"/>
          <w:highlight w:val="none"/>
        </w:rPr>
      </w:pPr>
    </w:p>
    <w:p>
      <w:pPr>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pPr>
        <w:spacing w:line="440" w:lineRule="exact"/>
        <w:jc w:val="center"/>
        <w:rPr>
          <w:rFonts w:hint="eastAsia" w:ascii="宋体" w:hAnsi="宋体"/>
          <w:b/>
          <w:bCs/>
          <w:color w:val="auto"/>
          <w:sz w:val="32"/>
          <w:szCs w:val="32"/>
          <w:highlight w:val="none"/>
        </w:rPr>
      </w:pPr>
    </w:p>
    <w:p>
      <w:pPr>
        <w:spacing w:line="440" w:lineRule="exact"/>
        <w:rPr>
          <w:rFonts w:hint="eastAsia" w:ascii="宋体" w:hAnsi="宋体"/>
          <w:color w:val="auto"/>
          <w:highlight w:val="none"/>
        </w:rPr>
      </w:pPr>
    </w:p>
    <w:p>
      <w:pPr>
        <w:spacing w:line="560" w:lineRule="exact"/>
        <w:jc w:val="center"/>
        <w:rPr>
          <w:rFonts w:hint="eastAsia" w:ascii="宋体" w:hAnsi="宋体"/>
          <w:b/>
          <w:bCs/>
          <w:color w:val="auto"/>
          <w:sz w:val="44"/>
          <w:szCs w:val="44"/>
          <w:highlight w:val="none"/>
        </w:rPr>
      </w:pPr>
      <w:r>
        <w:rPr>
          <w:rFonts w:ascii="宋体" w:hAnsi="宋体"/>
          <w:b/>
          <w:color w:val="auto"/>
          <w:sz w:val="36"/>
          <w:highlight w:val="none"/>
          <w:u w:val="single"/>
        </w:rPr>
        <w:br w:type="page" w:clear="all"/>
      </w:r>
      <w:r>
        <w:rPr>
          <w:rFonts w:hint="eastAsia" w:ascii="宋体" w:hAnsi="宋体"/>
          <w:b/>
          <w:bCs/>
          <w:color w:val="auto"/>
          <w:sz w:val="44"/>
          <w:szCs w:val="44"/>
          <w:highlight w:val="none"/>
        </w:rPr>
        <w:t>投标文件目录</w:t>
      </w:r>
    </w:p>
    <w:p>
      <w:pPr>
        <w:spacing w:line="560" w:lineRule="exact"/>
        <w:jc w:val="center"/>
        <w:rPr>
          <w:rFonts w:hint="eastAsia" w:ascii="宋体" w:hAnsi="宋体"/>
          <w:b/>
          <w:bCs/>
          <w:color w:val="auto"/>
          <w:sz w:val="32"/>
          <w:szCs w:val="32"/>
          <w:highlight w:val="none"/>
        </w:rPr>
      </w:pPr>
    </w:p>
    <w:p>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一、资格审查证明材料</w:t>
      </w:r>
    </w:p>
    <w:p>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二、商务、技术标</w:t>
      </w:r>
    </w:p>
    <w:p>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三、价格标</w:t>
      </w:r>
    </w:p>
    <w:p>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四、其他资料（如有）</w:t>
      </w:r>
    </w:p>
    <w:p>
      <w:pPr>
        <w:spacing w:line="520" w:lineRule="exact"/>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20" w:lineRule="exact"/>
        <w:ind w:firstLine="640"/>
        <w:rPr>
          <w:rFonts w:hint="eastAsia" w:ascii="黑体" w:hAnsi="黑体" w:eastAsia="黑体"/>
          <w:color w:val="auto"/>
          <w:sz w:val="32"/>
          <w:szCs w:val="32"/>
          <w:highlight w:val="none"/>
          <w:u w:val="single"/>
        </w:rPr>
      </w:pPr>
    </w:p>
    <w:p>
      <w:pPr>
        <w:spacing w:line="560" w:lineRule="exact"/>
        <w:ind w:firstLine="640"/>
        <w:rPr>
          <w:rFonts w:hint="eastAsia" w:ascii="黑体" w:hAnsi="黑体" w:eastAsia="黑体"/>
          <w:color w:val="auto"/>
          <w:sz w:val="32"/>
          <w:szCs w:val="32"/>
          <w:highlight w:val="none"/>
        </w:rPr>
      </w:pPr>
    </w:p>
    <w:p>
      <w:pPr>
        <w:spacing w:line="560" w:lineRule="exact"/>
        <w:ind w:firstLine="64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一、基本目录</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1.目录。</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2.响应报价一览表（格式参见附件）。</w:t>
      </w:r>
    </w:p>
    <w:p>
      <w:pPr>
        <w:spacing w:line="560" w:lineRule="exact"/>
        <w:ind w:firstLine="64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二、资格审查内容</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1.投标人符合《政府采购法》第二十二条规定条件的承诺函（格式见附件1并提供营业执照）；</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2.法定代表人身份证明书（格式见附件2）；</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3.法人授权书（格式见附件3）；</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4.本项目为专门面向中小企业采购项目。须按照财库【2020】46号文要求提供中小企业声明函或残疾人福利性单位声明函或监狱和戒毒企业证明材料（格式参见附件）；</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5.其它需要提交的资格审查证明材料。</w:t>
      </w:r>
    </w:p>
    <w:p>
      <w:pPr>
        <w:spacing w:line="560" w:lineRule="exact"/>
        <w:ind w:firstLine="64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三、符合性审查内容</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1.报价总表（格式参见附件）；</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2.分项报价明细表（格式参见附件）；</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3.投标函（格式参见附件）</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4.商务部分正负偏离表（格式参见附件）；</w:t>
      </w:r>
    </w:p>
    <w:p>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5.技术部分正负偏离表（格式参见附件）。</w:t>
      </w:r>
    </w:p>
    <w:p>
      <w:pPr>
        <w:spacing w:line="560" w:lineRule="exact"/>
        <w:ind w:firstLine="64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三、商务技术标文件</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1.项目需求及评审办法中所涉及的事项需提供的所有资料。</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2.采购文件中未涉及的事项，投标人认为需要提交的其他资料。</w:t>
      </w:r>
    </w:p>
    <w:p>
      <w:pPr>
        <w:spacing w:line="520" w:lineRule="exact"/>
        <w:ind w:firstLine="480"/>
        <w:rPr>
          <w:rFonts w:hint="eastAsia" w:ascii="宋体" w:hAnsi="宋体"/>
          <w:bCs/>
          <w:color w:val="auto"/>
          <w:sz w:val="24"/>
          <w:highlight w:val="none"/>
        </w:rPr>
      </w:pPr>
      <w:r>
        <w:rPr>
          <w:rFonts w:hint="eastAsia" w:ascii="宋体" w:hAnsi="宋体"/>
          <w:bCs/>
          <w:color w:val="auto"/>
          <w:sz w:val="24"/>
          <w:highlight w:val="none"/>
        </w:rPr>
        <w:t>注：为方便评委评审，请投标人按评审办法中所涉及的事项顺序进行编制，可以补充相关材料。</w:t>
      </w:r>
    </w:p>
    <w:p>
      <w:pPr>
        <w:spacing w:line="520" w:lineRule="exact"/>
        <w:ind w:firstLine="480"/>
        <w:rPr>
          <w:rFonts w:hint="eastAsia" w:ascii="宋体" w:hAnsi="宋体"/>
          <w:bCs/>
          <w:color w:val="auto"/>
          <w:sz w:val="24"/>
          <w:highlight w:val="none"/>
        </w:rPr>
      </w:pPr>
    </w:p>
    <w:p>
      <w:pPr>
        <w:spacing w:line="520" w:lineRule="exact"/>
        <w:ind w:firstLine="480"/>
        <w:rPr>
          <w:rFonts w:hint="eastAsia" w:ascii="宋体" w:hAnsi="宋体"/>
          <w:bCs/>
          <w:color w:val="auto"/>
          <w:sz w:val="24"/>
          <w:highlight w:val="none"/>
        </w:rPr>
      </w:pPr>
    </w:p>
    <w:p>
      <w:pPr>
        <w:spacing w:line="400" w:lineRule="exact"/>
        <w:contextualSpacing/>
        <w:rPr>
          <w:rFonts w:eastAsia="方正黑体_GBK"/>
          <w:color w:val="auto"/>
          <w:sz w:val="32"/>
          <w:szCs w:val="32"/>
          <w:highlight w:val="none"/>
          <w:lang w:val="zh-CN"/>
        </w:rPr>
      </w:pPr>
      <w:r>
        <w:rPr>
          <w:rFonts w:eastAsia="方正黑体_GBK"/>
          <w:color w:val="auto"/>
          <w:sz w:val="32"/>
          <w:szCs w:val="32"/>
          <w:highlight w:val="none"/>
          <w:lang w:val="zh-CN"/>
        </w:rPr>
        <w:t>附件1</w:t>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投标人符合《政府采购法》第二十二条规定条件的声明函</w:t>
      </w:r>
    </w:p>
    <w:p>
      <w:pPr>
        <w:spacing w:line="460" w:lineRule="exact"/>
        <w:rPr>
          <w:rFonts w:hint="eastAsia"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p>
    <w:p>
      <w:pPr>
        <w:spacing w:line="520" w:lineRule="exact"/>
        <w:ind w:firstLine="480"/>
        <w:rPr>
          <w:rFonts w:hint="eastAsia" w:ascii="宋体" w:hAnsi="宋体"/>
          <w:b/>
          <w:bCs/>
          <w:color w:val="auto"/>
          <w:sz w:val="24"/>
          <w:szCs w:val="24"/>
          <w:highlight w:val="none"/>
        </w:rPr>
      </w:pPr>
      <w:r>
        <w:rPr>
          <w:rFonts w:hint="eastAsia" w:ascii="宋体" w:hAnsi="宋体"/>
          <w:bCs/>
          <w:color w:val="auto"/>
          <w:sz w:val="24"/>
          <w:szCs w:val="24"/>
          <w:highlight w:val="none"/>
        </w:rPr>
        <w:t>我单位参加</w:t>
      </w:r>
      <w:r>
        <w:rPr>
          <w:rFonts w:hint="eastAsia" w:ascii="宋体" w:hAnsi="宋体"/>
          <w:bCs/>
          <w:color w:val="auto"/>
          <w:sz w:val="24"/>
          <w:highlight w:val="none"/>
          <w:u w:val="single"/>
        </w:rPr>
        <w:t>________________ _</w:t>
      </w:r>
      <w:r>
        <w:rPr>
          <w:rFonts w:hint="eastAsia" w:ascii="宋体" w:hAnsi="宋体"/>
          <w:bCs/>
          <w:color w:val="auto"/>
          <w:sz w:val="24"/>
          <w:highlight w:val="none"/>
        </w:rPr>
        <w:t>（项目名称），</w:t>
      </w:r>
      <w:r>
        <w:rPr>
          <w:rFonts w:hint="eastAsia" w:ascii="宋体" w:hAnsi="宋体"/>
          <w:bCs/>
          <w:color w:val="auto"/>
          <w:sz w:val="24"/>
          <w:highlight w:val="none"/>
          <w:u w:val="single"/>
        </w:rPr>
        <w:t>_______ __________</w:t>
      </w:r>
      <w:r>
        <w:rPr>
          <w:rFonts w:hint="eastAsia" w:ascii="宋体" w:hAnsi="宋体"/>
          <w:bCs/>
          <w:color w:val="auto"/>
          <w:sz w:val="24"/>
          <w:highlight w:val="none"/>
        </w:rPr>
        <w:t>（项目编号）投标活动。针对《中华人民共和国政府采购法》第二十二条规定做出如下声明：</w:t>
      </w:r>
    </w:p>
    <w:p>
      <w:pPr>
        <w:spacing w:line="520" w:lineRule="exact"/>
        <w:ind w:firstLine="482"/>
        <w:rPr>
          <w:rFonts w:hint="eastAsia" w:ascii="宋体" w:hAnsi="宋体"/>
          <w:color w:val="auto"/>
          <w:sz w:val="24"/>
          <w:szCs w:val="24"/>
          <w:highlight w:val="none"/>
        </w:rPr>
      </w:pPr>
      <w:r>
        <w:rPr>
          <w:rFonts w:hint="eastAsia" w:ascii="宋体" w:hAnsi="宋体"/>
          <w:bCs/>
          <w:color w:val="auto"/>
          <w:sz w:val="24"/>
          <w:highlight w:val="none"/>
        </w:rPr>
        <w:t>1.我单位具有独立承担民事责任的能力；</w:t>
      </w:r>
    </w:p>
    <w:p>
      <w:pPr>
        <w:spacing w:line="52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2.我单位具有良好的商业信誉和健全的财务会计制度；</w:t>
      </w:r>
    </w:p>
    <w:p>
      <w:pPr>
        <w:spacing w:line="52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3.我单位具有履行合同所必需的设备和专业技术能力；</w:t>
      </w:r>
    </w:p>
    <w:p>
      <w:pPr>
        <w:spacing w:line="52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4.我单位有依法缴纳税收和社会保障资金的良好记录；</w:t>
      </w:r>
    </w:p>
    <w:p>
      <w:pPr>
        <w:spacing w:line="52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52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6.我单位满足法律、行政法规规定的其他条件。</w:t>
      </w:r>
    </w:p>
    <w:p>
      <w:pPr>
        <w:spacing w:line="500" w:lineRule="exact"/>
        <w:ind w:firstLine="482"/>
        <w:rPr>
          <w:rFonts w:hint="eastAsia" w:ascii="宋体" w:hAnsi="宋体"/>
          <w:color w:val="auto"/>
          <w:sz w:val="24"/>
          <w:szCs w:val="24"/>
          <w:highlight w:val="none"/>
        </w:rPr>
      </w:pPr>
    </w:p>
    <w:p>
      <w:pPr>
        <w:spacing w:line="500" w:lineRule="exact"/>
        <w:rPr>
          <w:rFonts w:hint="eastAsia" w:ascii="宋体" w:hAnsi="宋体"/>
          <w:color w:val="auto"/>
          <w:sz w:val="24"/>
          <w:szCs w:val="24"/>
          <w:highlight w:val="none"/>
        </w:rPr>
      </w:pPr>
    </w:p>
    <w:p>
      <w:pPr>
        <w:spacing w:line="500" w:lineRule="exact"/>
        <w:rPr>
          <w:rFonts w:hint="eastAsia" w:ascii="宋体" w:hAnsi="宋体"/>
          <w:bCs/>
          <w:color w:val="auto"/>
          <w:sz w:val="24"/>
          <w:highlight w:val="none"/>
        </w:rPr>
      </w:pPr>
    </w:p>
    <w:p>
      <w:pPr>
        <w:spacing w:line="500" w:lineRule="exact"/>
        <w:rPr>
          <w:rFonts w:hint="eastAsia" w:ascii="宋体" w:hAnsi="宋体"/>
          <w:bCs/>
          <w:color w:val="auto"/>
          <w:sz w:val="24"/>
          <w:highlight w:val="none"/>
        </w:rPr>
      </w:pPr>
    </w:p>
    <w:p>
      <w:pPr>
        <w:spacing w:line="500" w:lineRule="exact"/>
        <w:rPr>
          <w:rFonts w:hint="eastAsia" w:ascii="宋体" w:hAnsi="宋体"/>
          <w:bCs/>
          <w:color w:val="auto"/>
          <w:sz w:val="24"/>
          <w:highlight w:val="none"/>
        </w:rPr>
      </w:pPr>
    </w:p>
    <w:p>
      <w:pPr>
        <w:spacing w:line="460" w:lineRule="exact"/>
        <w:jc w:val="center"/>
        <w:rPr>
          <w:rFonts w:hint="eastAsia" w:ascii="宋体" w:hAnsi="宋体"/>
          <w:bCs/>
          <w:color w:val="auto"/>
          <w:sz w:val="24"/>
          <w:highlight w:val="none"/>
        </w:rPr>
      </w:pPr>
      <w:r>
        <w:rPr>
          <w:rFonts w:hint="eastAsia" w:ascii="宋体" w:hAnsi="宋体"/>
          <w:bCs/>
          <w:color w:val="auto"/>
          <w:sz w:val="24"/>
          <w:highlight w:val="none"/>
        </w:rPr>
        <w:t xml:space="preserve">                                             承诺人名称（公章）：</w:t>
      </w:r>
    </w:p>
    <w:p>
      <w:pPr>
        <w:spacing w:line="460" w:lineRule="exact"/>
        <w:jc w:val="right"/>
        <w:rPr>
          <w:rFonts w:hint="eastAsia" w:ascii="宋体" w:hAnsi="宋体"/>
          <w:bCs/>
          <w:color w:val="auto"/>
          <w:sz w:val="24"/>
          <w:highlight w:val="none"/>
        </w:rPr>
      </w:pPr>
      <w:r>
        <w:rPr>
          <w:rFonts w:hint="eastAsia" w:ascii="宋体" w:hAnsi="宋体"/>
          <w:bCs/>
          <w:color w:val="auto"/>
          <w:sz w:val="24"/>
          <w:highlight w:val="none"/>
        </w:rPr>
        <w:t xml:space="preserve">    </w:t>
      </w:r>
    </w:p>
    <w:p>
      <w:pPr>
        <w:spacing w:line="460" w:lineRule="exact"/>
        <w:jc w:val="righ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______</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pPr>
        <w:rPr>
          <w:rFonts w:ascii="Calibri" w:hAnsi="Calibri"/>
          <w:color w:val="auto"/>
          <w:highlight w:val="none"/>
        </w:rPr>
      </w:pPr>
    </w:p>
    <w:p>
      <w:pPr>
        <w:spacing w:line="400" w:lineRule="exact"/>
        <w:contextualSpacing/>
        <w:rPr>
          <w:rFonts w:eastAsia="方正黑体_GBK"/>
          <w:color w:val="auto"/>
          <w:sz w:val="32"/>
          <w:szCs w:val="32"/>
          <w:highlight w:val="none"/>
          <w:lang w:val="zh-CN"/>
        </w:rPr>
      </w:pPr>
      <w:r>
        <w:rPr>
          <w:rFonts w:eastAsia="方正黑体_GBK"/>
          <w:color w:val="auto"/>
          <w:sz w:val="32"/>
          <w:szCs w:val="32"/>
          <w:highlight w:val="none"/>
        </w:rPr>
        <w:br w:type="page" w:clear="all"/>
      </w:r>
      <w:r>
        <w:rPr>
          <w:rFonts w:eastAsia="方正黑体_GBK"/>
          <w:color w:val="auto"/>
          <w:sz w:val="32"/>
          <w:szCs w:val="32"/>
          <w:highlight w:val="none"/>
          <w:lang w:val="zh-CN"/>
        </w:rPr>
        <w:t>附件2</w:t>
      </w:r>
    </w:p>
    <w:p>
      <w:pPr>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法定代表人身份证明</w:t>
      </w:r>
    </w:p>
    <w:p>
      <w:pPr>
        <w:spacing w:line="480" w:lineRule="exact"/>
        <w:rPr>
          <w:rFonts w:hint="eastAsia" w:ascii="宋体" w:hAnsi="宋体"/>
          <w:color w:val="auto"/>
          <w:sz w:val="24"/>
          <w:szCs w:val="24"/>
          <w:highlight w:val="none"/>
        </w:rPr>
      </w:pPr>
    </w:p>
    <w:p>
      <w:pPr>
        <w:spacing w:line="480" w:lineRule="exact"/>
        <w:ind w:firstLine="480"/>
        <w:rPr>
          <w:rFonts w:hint="eastAsia"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先生/女士：</w:t>
      </w:r>
      <w:r>
        <w:rPr>
          <w:rFonts w:ascii="宋体" w:hAnsi="宋体"/>
          <w:color w:val="auto"/>
          <w:sz w:val="24"/>
          <w:szCs w:val="24"/>
          <w:highlight w:val="none"/>
        </w:rPr>
        <w:t xml:space="preserve"> </w:t>
      </w:r>
      <w:r>
        <w:rPr>
          <w:rFonts w:hint="eastAsia" w:ascii="宋体" w:hAnsi="宋体"/>
          <w:color w:val="auto"/>
          <w:sz w:val="24"/>
          <w:szCs w:val="24"/>
          <w:highlight w:val="none"/>
        </w:rPr>
        <w:t>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职务，为法定代表人，特此证明。</w:t>
      </w:r>
    </w:p>
    <w:p>
      <w:pPr>
        <w:spacing w:line="48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身份证号码：</w:t>
      </w:r>
      <w:r>
        <w:rPr>
          <w:rFonts w:ascii="宋体" w:hAnsi="宋体"/>
          <w:color w:val="auto"/>
          <w:sz w:val="24"/>
          <w:szCs w:val="24"/>
          <w:highlight w:val="none"/>
          <w:u w:val="single"/>
        </w:rPr>
        <w:t xml:space="preserve">                                               </w:t>
      </w:r>
    </w:p>
    <w:p>
      <w:pPr>
        <w:spacing w:line="480" w:lineRule="exact"/>
        <w:ind w:firstLine="480"/>
        <w:rPr>
          <w:rFonts w:hint="eastAsia" w:ascii="宋体" w:hAnsi="宋体"/>
          <w:color w:val="auto"/>
          <w:sz w:val="24"/>
          <w:szCs w:val="24"/>
          <w:highlight w:val="none"/>
        </w:rPr>
      </w:pPr>
    </w:p>
    <w:p>
      <w:pPr>
        <w:spacing w:line="600" w:lineRule="exact"/>
        <w:rPr>
          <w:rFonts w:hint="eastAsia" w:ascii="宋体" w:hAnsi="宋体"/>
          <w:b/>
          <w:color w:val="auto"/>
          <w:sz w:val="24"/>
          <w:szCs w:val="24"/>
          <w:highlight w:val="none"/>
        </w:rPr>
      </w:pPr>
      <w:r>
        <w:rPr>
          <w:rFonts w:hint="eastAsia" w:ascii="宋体" w:hAnsi="宋体"/>
          <w:b/>
          <w:color w:val="auto"/>
          <w:sz w:val="24"/>
          <w:szCs w:val="24"/>
          <w:highlight w:val="none"/>
        </w:rPr>
        <w:t>注：提供法定代表人的身份证复印件盖电子公章</w:t>
      </w:r>
    </w:p>
    <w:p>
      <w:pPr>
        <w:spacing w:line="480" w:lineRule="exact"/>
        <w:ind w:firstLine="480"/>
        <w:rPr>
          <w:rFonts w:eastAsia="仿宋_GB2312"/>
          <w:color w:val="auto"/>
          <w:sz w:val="24"/>
          <w:szCs w:val="24"/>
          <w:highlight w:val="none"/>
        </w:rPr>
      </w:pPr>
    </w:p>
    <w:p>
      <w:pPr>
        <w:rPr>
          <w:color w:val="auto"/>
          <w:szCs w:val="24"/>
          <w:highlight w:val="none"/>
        </w:rPr>
      </w:pPr>
      <w:r>
        <w:rPr>
          <w:rFonts w:hint="eastAsia"/>
          <w:color w:val="auto"/>
          <w:szCs w:val="24"/>
          <w:highlight w:val="none"/>
        </w:rPr>
        <w:t xml:space="preserve">     </w:t>
      </w: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ind w:firstLine="540"/>
        <w:contextualSpacing/>
        <w:rPr>
          <w:rFonts w:hint="eastAsia" w:ascii="宋体" w:hAnsi="宋体" w:cs="宋体"/>
          <w:b/>
          <w:color w:val="auto"/>
          <w:sz w:val="28"/>
          <w:szCs w:val="28"/>
          <w:highlight w:val="none"/>
          <w:lang w:val="zh-CN"/>
        </w:rPr>
      </w:pPr>
    </w:p>
    <w:p>
      <w:pPr>
        <w:spacing w:line="400" w:lineRule="exact"/>
        <w:contextualSpacing/>
        <w:rPr>
          <w:rFonts w:hint="eastAsia" w:ascii="宋体" w:hAnsi="宋体" w:cs="宋体"/>
          <w:b/>
          <w:color w:val="auto"/>
          <w:sz w:val="28"/>
          <w:szCs w:val="28"/>
          <w:highlight w:val="none"/>
          <w:lang w:val="zh-CN"/>
        </w:rPr>
      </w:pPr>
    </w:p>
    <w:p>
      <w:pPr>
        <w:spacing w:line="400" w:lineRule="exact"/>
        <w:contextualSpacing/>
        <w:rPr>
          <w:rFonts w:eastAsia="方正黑体_GBK"/>
          <w:color w:val="auto"/>
          <w:sz w:val="32"/>
          <w:szCs w:val="32"/>
          <w:highlight w:val="none"/>
          <w:lang w:val="zh-CN"/>
        </w:rPr>
      </w:pPr>
      <w:r>
        <w:rPr>
          <w:rFonts w:eastAsia="方正黑体_GBK"/>
          <w:color w:val="auto"/>
          <w:sz w:val="32"/>
          <w:szCs w:val="32"/>
          <w:highlight w:val="none"/>
          <w:lang w:val="zh-CN"/>
        </w:rPr>
        <w:t>附件3</w:t>
      </w:r>
    </w:p>
    <w:p>
      <w:pPr>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法人授权书</w:t>
      </w:r>
    </w:p>
    <w:p>
      <w:pPr>
        <w:tabs>
          <w:tab w:val="left" w:pos="360"/>
        </w:tabs>
        <w:ind w:firstLine="480"/>
        <w:rPr>
          <w:color w:val="auto"/>
          <w:sz w:val="24"/>
          <w:szCs w:val="24"/>
          <w:highlight w:val="none"/>
        </w:rPr>
      </w:pPr>
      <w:r>
        <w:rPr>
          <w:rFonts w:hint="eastAsia"/>
          <w:color w:val="auto"/>
          <w:sz w:val="24"/>
          <w:szCs w:val="24"/>
          <w:highlight w:val="none"/>
        </w:rPr>
        <w:t>本授权书声明：____________（投标人名称）授权________________（被授权人的姓名）为我方就JSZC-</w:t>
      </w:r>
      <w:r>
        <w:rPr>
          <w:rFonts w:hint="eastAsia"/>
          <w:color w:val="auto"/>
          <w:sz w:val="24"/>
          <w:szCs w:val="24"/>
          <w:highlight w:val="none"/>
          <w:u w:val="single"/>
        </w:rPr>
        <w:t xml:space="preserve">        </w:t>
      </w:r>
      <w:r>
        <w:rPr>
          <w:rFonts w:hint="eastAsia"/>
          <w:color w:val="auto"/>
          <w:sz w:val="24"/>
          <w:szCs w:val="24"/>
          <w:highlight w:val="none"/>
        </w:rPr>
        <w:t>号项目采购活动的合法代理人，以本单位名义全权处理一切与该项目采购有关的事务。</w:t>
      </w:r>
    </w:p>
    <w:p>
      <w:pPr>
        <w:tabs>
          <w:tab w:val="left" w:pos="360"/>
        </w:tabs>
        <w:ind w:firstLine="480"/>
        <w:rPr>
          <w:color w:val="auto"/>
          <w:sz w:val="24"/>
          <w:szCs w:val="24"/>
          <w:highlight w:val="none"/>
        </w:rPr>
      </w:pPr>
      <w:r>
        <w:rPr>
          <w:rFonts w:hint="eastAsia"/>
          <w:color w:val="auto"/>
          <w:sz w:val="24"/>
          <w:szCs w:val="24"/>
          <w:highlight w:val="none"/>
        </w:rPr>
        <w:t>本授权书于______年____月____日起生效，特此声明。</w:t>
      </w:r>
    </w:p>
    <w:p>
      <w:pPr>
        <w:tabs>
          <w:tab w:val="left" w:pos="360"/>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p>
    <w:p>
      <w:pPr>
        <w:tabs>
          <w:tab w:val="left" w:pos="360"/>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p>
    <w:p>
      <w:pPr>
        <w:tabs>
          <w:tab w:val="left" w:pos="360"/>
        </w:tabs>
        <w:ind w:firstLine="1200"/>
        <w:rPr>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pPr>
        <w:tabs>
          <w:tab w:val="left" w:pos="360"/>
        </w:tabs>
        <w:ind w:firstLine="480"/>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p>
    <w:p>
      <w:pPr>
        <w:tabs>
          <w:tab w:val="left" w:pos="360"/>
        </w:tabs>
        <w:ind w:firstLine="480"/>
        <w:rPr>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p>
    <w:p>
      <w:pPr>
        <w:ind w:firstLine="420"/>
        <w:rPr>
          <w:i/>
          <w:color w:val="auto"/>
          <w:sz w:val="24"/>
          <w:szCs w:val="24"/>
          <w:highlight w:val="none"/>
          <w:u w:val="single"/>
        </w:rPr>
      </w:pPr>
    </w:p>
    <w:p>
      <w:pPr>
        <w:rPr>
          <w:color w:val="auto"/>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pStyle w:val="36"/>
        <w:rPr>
          <w:rFonts w:hint="eastAsia" w:ascii="宋体" w:hAnsi="宋体" w:cs="宋体"/>
          <w:color w:val="auto"/>
          <w:highlight w:val="none"/>
        </w:rPr>
      </w:pPr>
    </w:p>
    <w:p>
      <w:pPr>
        <w:rPr>
          <w:rFonts w:hint="eastAsia" w:ascii="宋体" w:hAnsi="宋体" w:cs="宋体"/>
          <w:b/>
          <w:color w:val="auto"/>
          <w:sz w:val="28"/>
          <w:szCs w:val="28"/>
          <w:highlight w:val="none"/>
        </w:rPr>
      </w:pPr>
    </w:p>
    <w:p>
      <w:pPr>
        <w:pStyle w:val="36"/>
        <w:rPr>
          <w:color w:val="auto"/>
          <w:highlight w:val="none"/>
        </w:rPr>
      </w:pPr>
    </w:p>
    <w:p>
      <w:pPr>
        <w:spacing w:line="400" w:lineRule="exact"/>
        <w:contextualSpacing/>
        <w:rPr>
          <w:rFonts w:eastAsia="方正黑体_GBK"/>
          <w:color w:val="auto"/>
          <w:sz w:val="32"/>
          <w:szCs w:val="32"/>
          <w:highlight w:val="none"/>
        </w:rPr>
      </w:pPr>
      <w:r>
        <w:rPr>
          <w:rFonts w:eastAsia="方正黑体_GBK"/>
          <w:color w:val="auto"/>
          <w:sz w:val="32"/>
          <w:szCs w:val="32"/>
          <w:highlight w:val="none"/>
        </w:rPr>
        <w:t>附件4</w:t>
      </w:r>
    </w:p>
    <w:p>
      <w:pPr>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投标函</w:t>
      </w:r>
    </w:p>
    <w:p>
      <w:pPr>
        <w:spacing w:line="440" w:lineRule="exact"/>
        <w:jc w:val="left"/>
        <w:rPr>
          <w:rFonts w:hint="eastAsia" w:ascii="宋体" w:hAnsi="宋体"/>
          <w:color w:val="auto"/>
          <w:sz w:val="24"/>
          <w:highlight w:val="none"/>
        </w:rPr>
      </w:pPr>
      <w:r>
        <w:rPr>
          <w:rFonts w:hint="eastAsia" w:ascii="宋体" w:hAnsi="宋体"/>
          <w:color w:val="auto"/>
          <w:sz w:val="24"/>
          <w:highlight w:val="none"/>
        </w:rPr>
        <w:t>致：南通市海安生态环境局</w:t>
      </w:r>
    </w:p>
    <w:p>
      <w:pPr>
        <w:spacing w:line="440" w:lineRule="exact"/>
        <w:ind w:firstLine="480"/>
        <w:jc w:val="left"/>
        <w:rPr>
          <w:rFonts w:hint="eastAsia" w:ascii="宋体" w:hAnsi="宋体"/>
          <w:color w:val="auto"/>
          <w:sz w:val="24"/>
          <w:highlight w:val="none"/>
        </w:rPr>
      </w:pPr>
      <w:r>
        <w:rPr>
          <w:rFonts w:hint="eastAsia" w:ascii="宋体" w:hAnsi="宋体"/>
          <w:color w:val="auto"/>
          <w:sz w:val="24"/>
          <w:highlight w:val="none"/>
        </w:rPr>
        <w:t>根据贵方的JSZC-</w:t>
      </w:r>
      <w:r>
        <w:rPr>
          <w:rFonts w:ascii="宋体" w:hAnsi="宋体"/>
          <w:color w:val="auto"/>
          <w:sz w:val="24"/>
          <w:highlight w:val="none"/>
        </w:rPr>
        <w:t>***</w:t>
      </w:r>
      <w:r>
        <w:rPr>
          <w:rFonts w:hint="eastAsia" w:ascii="宋体" w:hAnsi="宋体"/>
          <w:b/>
          <w:color w:val="auto"/>
          <w:sz w:val="36"/>
          <w:szCs w:val="24"/>
          <w:highlight w:val="none"/>
          <w:u w:val="single"/>
        </w:rPr>
        <w:t xml:space="preserve">            </w:t>
      </w:r>
      <w:r>
        <w:rPr>
          <w:rFonts w:hint="eastAsia" w:ascii="宋体" w:hAnsi="宋体"/>
          <w:color w:val="auto"/>
          <w:sz w:val="24"/>
          <w:highlight w:val="none"/>
        </w:rPr>
        <w:t>号招标文件，正式授权下述签字人_________________(姓名)代表我方______________（投标人的名称），全权处理本次项目投标的有关事宜。</w:t>
      </w:r>
    </w:p>
    <w:p>
      <w:pPr>
        <w:spacing w:line="440" w:lineRule="exact"/>
        <w:ind w:firstLine="480"/>
        <w:jc w:val="left"/>
        <w:rPr>
          <w:rFonts w:hint="eastAsia" w:ascii="宋体" w:hAnsi="宋体"/>
          <w:color w:val="auto"/>
          <w:sz w:val="24"/>
          <w:highlight w:val="none"/>
        </w:rPr>
      </w:pPr>
      <w:r>
        <w:rPr>
          <w:rFonts w:hint="eastAsia" w:ascii="宋体" w:hAnsi="宋体"/>
          <w:color w:val="auto"/>
          <w:sz w:val="24"/>
          <w:highlight w:val="none"/>
        </w:rPr>
        <w:t>据此函，__________签字人兹宣布同意如下：</w:t>
      </w:r>
    </w:p>
    <w:p>
      <w:pPr>
        <w:spacing w:line="440" w:lineRule="exact"/>
        <w:ind w:firstLine="480"/>
        <w:jc w:val="left"/>
        <w:rPr>
          <w:rFonts w:hint="eastAsia" w:ascii="宋体" w:hAnsi="宋体"/>
          <w:color w:val="auto"/>
          <w:sz w:val="24"/>
          <w:highlight w:val="none"/>
        </w:rPr>
      </w:pPr>
      <w:r>
        <w:rPr>
          <w:rFonts w:hint="eastAsia" w:ascii="宋体" w:hAnsi="宋体"/>
          <w:color w:val="auto"/>
          <w:sz w:val="24"/>
          <w:highlight w:val="none"/>
        </w:rPr>
        <w:t>1.按招标文件规定的各项要求，向买方提供所需货物（包含与货物相关的服务）。</w:t>
      </w:r>
    </w:p>
    <w:p>
      <w:pPr>
        <w:spacing w:line="440" w:lineRule="exact"/>
        <w:ind w:firstLine="480"/>
        <w:jc w:val="left"/>
        <w:rPr>
          <w:rFonts w:hint="eastAsia" w:ascii="宋体" w:hAnsi="宋体"/>
          <w:color w:val="auto"/>
          <w:sz w:val="24"/>
          <w:highlight w:val="none"/>
        </w:rPr>
      </w:pPr>
      <w:r>
        <w:rPr>
          <w:rFonts w:hint="eastAsia" w:ascii="宋体" w:hAnsi="宋体"/>
          <w:color w:val="auto"/>
          <w:sz w:val="24"/>
          <w:highlight w:val="none"/>
        </w:rPr>
        <w:t>2.我们完全理解贵方不一定将合同授予最低报价的投标人。</w:t>
      </w:r>
    </w:p>
    <w:p>
      <w:pPr>
        <w:spacing w:line="440" w:lineRule="exact"/>
        <w:ind w:firstLine="480"/>
        <w:jc w:val="left"/>
        <w:rPr>
          <w:rFonts w:hint="eastAsia" w:ascii="宋体" w:hAnsi="宋体"/>
          <w:color w:val="auto"/>
          <w:sz w:val="24"/>
          <w:highlight w:val="none"/>
        </w:rPr>
      </w:pPr>
      <w:r>
        <w:rPr>
          <w:rFonts w:hint="eastAsia" w:ascii="宋体" w:hAnsi="宋体"/>
          <w:color w:val="auto"/>
          <w:sz w:val="24"/>
          <w:highlight w:val="none"/>
        </w:rPr>
        <w:t>3.我们已详细审核全部招标文件及其有效补充文件，我们知道必须放弃提出含糊不清或误解问题的权利。</w:t>
      </w:r>
    </w:p>
    <w:p>
      <w:pPr>
        <w:spacing w:line="440" w:lineRule="exact"/>
        <w:ind w:firstLine="480"/>
        <w:jc w:val="left"/>
        <w:rPr>
          <w:rFonts w:hint="eastAsia" w:ascii="宋体" w:hAnsi="宋体"/>
          <w:color w:val="auto"/>
          <w:sz w:val="24"/>
          <w:highlight w:val="none"/>
        </w:rPr>
      </w:pPr>
      <w:r>
        <w:rPr>
          <w:rFonts w:hint="eastAsia" w:ascii="宋体" w:hAnsi="宋体"/>
          <w:color w:val="auto"/>
          <w:sz w:val="24"/>
          <w:highlight w:val="none"/>
        </w:rPr>
        <w:t>4.我们同意从规定的开标日期起遵循本投标文件，并在规定的投标有效期期满之前均具有约束力。</w:t>
      </w:r>
    </w:p>
    <w:p>
      <w:pPr>
        <w:spacing w:line="440" w:lineRule="exact"/>
        <w:ind w:firstLine="480"/>
        <w:jc w:val="left"/>
        <w:rPr>
          <w:rFonts w:hint="eastAsia"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.同意向贵方提供贵方可能另外要求的与投标有关的任何证据或资料，并保证我方已提供和将要提供的文件是真实的、准确的。</w:t>
      </w:r>
    </w:p>
    <w:p>
      <w:pPr>
        <w:spacing w:line="440" w:lineRule="exact"/>
        <w:ind w:firstLine="480"/>
        <w:jc w:val="left"/>
        <w:rPr>
          <w:rFonts w:hint="eastAsia"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.一旦我方中标,我方将根据招标文件的规定，严格履行合同的责任和义务,并保证在招标文件规定的时间完成项目，交付买方验收、使用。</w:t>
      </w:r>
    </w:p>
    <w:p>
      <w:pPr>
        <w:spacing w:line="440" w:lineRule="exact"/>
        <w:ind w:left="425"/>
        <w:jc w:val="left"/>
        <w:rPr>
          <w:rFonts w:hint="eastAsia"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.与本投标有关的正式通讯地址为：</w:t>
      </w:r>
    </w:p>
    <w:p>
      <w:pPr>
        <w:spacing w:line="440" w:lineRule="exact"/>
        <w:ind w:left="420" w:firstLine="480"/>
        <w:jc w:val="left"/>
        <w:rPr>
          <w:rFonts w:hint="eastAsia" w:ascii="宋体" w:hAnsi="宋体"/>
          <w:color w:val="auto"/>
          <w:sz w:val="24"/>
          <w:highlight w:val="none"/>
        </w:rPr>
      </w:pPr>
      <w:r>
        <w:rPr>
          <w:rFonts w:hint="eastAsia" w:ascii="宋体" w:hAnsi="宋体"/>
          <w:color w:val="auto"/>
          <w:sz w:val="24"/>
          <w:highlight w:val="none"/>
        </w:rPr>
        <w:t>地          址：</w:t>
      </w:r>
    </w:p>
    <w:p>
      <w:pPr>
        <w:spacing w:line="440" w:lineRule="exact"/>
        <w:ind w:left="420" w:firstLine="480"/>
        <w:jc w:val="left"/>
        <w:rPr>
          <w:rFonts w:hint="eastAsia" w:ascii="宋体" w:hAnsi="宋体"/>
          <w:color w:val="auto"/>
          <w:sz w:val="24"/>
          <w:highlight w:val="none"/>
        </w:rPr>
      </w:pPr>
      <w:r>
        <w:rPr>
          <w:rFonts w:hint="eastAsia" w:ascii="宋体" w:hAnsi="宋体"/>
          <w:color w:val="auto"/>
          <w:sz w:val="24"/>
          <w:highlight w:val="none"/>
        </w:rPr>
        <w:t>邮          编：</w:t>
      </w:r>
    </w:p>
    <w:p>
      <w:pPr>
        <w:spacing w:line="440" w:lineRule="exact"/>
        <w:ind w:left="420" w:firstLine="480"/>
        <w:jc w:val="left"/>
        <w:rPr>
          <w:rFonts w:hint="eastAsia" w:ascii="宋体" w:hAnsi="宋体"/>
          <w:color w:val="auto"/>
          <w:sz w:val="24"/>
          <w:highlight w:val="none"/>
        </w:rPr>
      </w:pPr>
      <w:r>
        <w:rPr>
          <w:rFonts w:hint="eastAsia" w:ascii="宋体" w:hAnsi="宋体"/>
          <w:color w:val="auto"/>
          <w:sz w:val="24"/>
          <w:highlight w:val="none"/>
        </w:rPr>
        <w:t>电          话：</w:t>
      </w:r>
    </w:p>
    <w:p>
      <w:pPr>
        <w:spacing w:line="440" w:lineRule="exact"/>
        <w:ind w:left="420" w:firstLine="480"/>
        <w:jc w:val="left"/>
        <w:rPr>
          <w:rFonts w:hint="eastAsia" w:ascii="宋体" w:hAnsi="宋体"/>
          <w:color w:val="auto"/>
          <w:sz w:val="24"/>
          <w:highlight w:val="none"/>
        </w:rPr>
      </w:pPr>
      <w:r>
        <w:rPr>
          <w:rFonts w:hint="eastAsia" w:ascii="宋体" w:hAnsi="宋体"/>
          <w:color w:val="auto"/>
          <w:sz w:val="24"/>
          <w:highlight w:val="none"/>
        </w:rPr>
        <w:t>传          真：</w:t>
      </w:r>
    </w:p>
    <w:p>
      <w:pPr>
        <w:spacing w:line="440" w:lineRule="exact"/>
        <w:ind w:left="420" w:firstLine="480"/>
        <w:jc w:val="left"/>
        <w:rPr>
          <w:rFonts w:hint="eastAsia" w:ascii="宋体" w:hAnsi="宋体"/>
          <w:color w:val="auto"/>
          <w:sz w:val="24"/>
          <w:highlight w:val="none"/>
        </w:rPr>
      </w:pPr>
      <w:r>
        <w:rPr>
          <w:rFonts w:hint="eastAsia" w:ascii="宋体" w:hAnsi="宋体"/>
          <w:color w:val="auto"/>
          <w:sz w:val="24"/>
          <w:highlight w:val="none"/>
        </w:rPr>
        <w:t>投标人开户行：</w:t>
      </w:r>
    </w:p>
    <w:p>
      <w:pPr>
        <w:spacing w:line="440" w:lineRule="exact"/>
        <w:ind w:left="420" w:firstLine="480"/>
        <w:jc w:val="left"/>
        <w:rPr>
          <w:rFonts w:hint="eastAsia" w:ascii="宋体" w:hAnsi="宋体"/>
          <w:color w:val="auto"/>
          <w:sz w:val="24"/>
          <w:highlight w:val="none"/>
        </w:rPr>
      </w:pPr>
      <w:r>
        <w:rPr>
          <w:rFonts w:hint="eastAsia" w:ascii="宋体" w:hAnsi="宋体"/>
          <w:color w:val="auto"/>
          <w:sz w:val="24"/>
          <w:highlight w:val="none"/>
        </w:rPr>
        <w:t xml:space="preserve">账          号： </w:t>
      </w:r>
    </w:p>
    <w:p>
      <w:pPr>
        <w:spacing w:line="440" w:lineRule="exact"/>
        <w:ind w:left="420" w:firstLine="480"/>
        <w:jc w:val="left"/>
        <w:rPr>
          <w:rFonts w:hint="eastAsia" w:ascii="宋体" w:hAnsi="宋体"/>
          <w:color w:val="auto"/>
          <w:sz w:val="24"/>
          <w:highlight w:val="none"/>
        </w:rPr>
      </w:pPr>
      <w:r>
        <w:rPr>
          <w:rFonts w:hint="eastAsia" w:ascii="宋体" w:hAnsi="宋体"/>
          <w:color w:val="auto"/>
          <w:sz w:val="24"/>
          <w:highlight w:val="none"/>
        </w:rPr>
        <w:t>日           期：________年____月____日</w:t>
      </w:r>
    </w:p>
    <w:p>
      <w:pPr>
        <w:spacing w:line="440" w:lineRule="exact"/>
        <w:ind w:left="420" w:firstLine="480"/>
        <w:jc w:val="left"/>
        <w:rPr>
          <w:rFonts w:hint="eastAsia" w:ascii="宋体" w:hAnsi="宋体"/>
          <w:color w:val="auto"/>
          <w:sz w:val="24"/>
          <w:highlight w:val="none"/>
        </w:rPr>
      </w:pPr>
    </w:p>
    <w:p>
      <w:pPr>
        <w:spacing w:line="440" w:lineRule="exact"/>
        <w:ind w:left="420" w:firstLine="2400"/>
        <w:jc w:val="left"/>
        <w:rPr>
          <w:rFonts w:hint="eastAsia" w:ascii="宋体" w:hAnsi="宋体"/>
          <w:color w:val="auto"/>
          <w:sz w:val="24"/>
          <w:highlight w:val="none"/>
        </w:rPr>
      </w:pPr>
      <w:r>
        <w:rPr>
          <w:rFonts w:hint="eastAsia" w:ascii="宋体" w:hAnsi="宋体"/>
          <w:color w:val="auto"/>
          <w:sz w:val="24"/>
          <w:highlight w:val="none"/>
        </w:rPr>
        <w:t>投标人全称(盖公章)：</w:t>
      </w:r>
    </w:p>
    <w:p>
      <w:pPr>
        <w:spacing w:line="440" w:lineRule="exact"/>
        <w:ind w:left="420" w:firstLine="2400"/>
        <w:jc w:val="left"/>
        <w:rPr>
          <w:rFonts w:hint="eastAsia" w:ascii="宋体" w:hAnsi="宋体"/>
          <w:color w:val="auto"/>
          <w:sz w:val="24"/>
          <w:highlight w:val="none"/>
        </w:rPr>
      </w:pPr>
      <w:r>
        <w:rPr>
          <w:rFonts w:hint="eastAsia" w:ascii="宋体" w:hAnsi="宋体"/>
          <w:color w:val="auto"/>
          <w:sz w:val="24"/>
          <w:highlight w:val="none"/>
        </w:rPr>
        <w:t>法定代表人（签字或盖章）：</w:t>
      </w:r>
    </w:p>
    <w:p>
      <w:pPr>
        <w:spacing w:line="300" w:lineRule="auto"/>
        <w:contextualSpacing/>
        <w:rPr>
          <w:rFonts w:hint="eastAsia" w:ascii="仿宋_GB2312" w:hAnsi="宋体" w:eastAsia="仿宋_GB2312"/>
          <w:color w:val="auto"/>
          <w:sz w:val="28"/>
          <w:szCs w:val="28"/>
          <w:highlight w:val="none"/>
        </w:rPr>
      </w:pPr>
    </w:p>
    <w:p>
      <w:pPr>
        <w:spacing w:line="400" w:lineRule="exact"/>
        <w:contextualSpacing/>
        <w:rPr>
          <w:rFonts w:eastAsia="方正黑体_GBK"/>
          <w:color w:val="auto"/>
          <w:sz w:val="32"/>
          <w:szCs w:val="32"/>
          <w:highlight w:val="none"/>
        </w:rPr>
      </w:pPr>
    </w:p>
    <w:p>
      <w:pPr>
        <w:spacing w:line="400" w:lineRule="exact"/>
        <w:contextualSpacing/>
        <w:rPr>
          <w:rFonts w:eastAsia="方正黑体_GBK"/>
          <w:color w:val="auto"/>
          <w:sz w:val="32"/>
          <w:szCs w:val="32"/>
          <w:highlight w:val="none"/>
        </w:rPr>
      </w:pPr>
    </w:p>
    <w:p>
      <w:pPr>
        <w:spacing w:line="400" w:lineRule="exact"/>
        <w:contextualSpacing/>
        <w:rPr>
          <w:rFonts w:eastAsia="方正黑体_GBK"/>
          <w:color w:val="auto"/>
          <w:sz w:val="32"/>
          <w:szCs w:val="32"/>
          <w:highlight w:val="none"/>
        </w:rPr>
      </w:pPr>
      <w:r>
        <w:rPr>
          <w:rFonts w:eastAsia="方正黑体_GBK"/>
          <w:color w:val="auto"/>
          <w:sz w:val="32"/>
          <w:szCs w:val="32"/>
          <w:highlight w:val="none"/>
        </w:rPr>
        <w:t>附件5</w:t>
      </w:r>
    </w:p>
    <w:p>
      <w:pPr>
        <w:spacing w:line="30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商务部分正负偏离表</w:t>
      </w:r>
    </w:p>
    <w:p>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（由投标人据实填写，表格不够自行添加）</w:t>
      </w:r>
    </w:p>
    <w:tbl>
      <w:tblPr>
        <w:tblStyle w:val="3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3"/>
        <w:gridCol w:w="2300"/>
        <w:gridCol w:w="2008"/>
        <w:gridCol w:w="2591"/>
        <w:gridCol w:w="142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54"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货物或服务名称</w:t>
            </w:r>
          </w:p>
        </w:tc>
        <w:tc>
          <w:tcPr>
            <w:tcW w:w="1095"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招标文件要求的商务条款</w:t>
            </w:r>
          </w:p>
        </w:tc>
        <w:tc>
          <w:tcPr>
            <w:tcW w:w="1413"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投标文件响应情况</w:t>
            </w:r>
          </w:p>
        </w:tc>
        <w:tc>
          <w:tcPr>
            <w:tcW w:w="778" w:type="dxa"/>
          </w:tcPr>
          <w:p>
            <w:pPr>
              <w:spacing w:line="340" w:lineRule="exact"/>
              <w:jc w:val="center"/>
              <w:rPr>
                <w:rFonts w:hint="eastAsia" w:ascii="宋体" w:hAnsi="宋体"/>
                <w:color w:val="auto"/>
                <w:sz w:val="24"/>
                <w:szCs w:val="24"/>
                <w:highlight w:val="none"/>
              </w:rPr>
            </w:pPr>
          </w:p>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偏离说明</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rFonts w:hint="eastAsia" w:ascii="宋体" w:hAnsi="宋体"/>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rFonts w:hint="eastAsia" w:ascii="宋体" w:hAnsi="宋体"/>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rFonts w:hint="eastAsia" w:ascii="宋体" w:hAnsi="宋体"/>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bl>
    <w:p>
      <w:pPr>
        <w:spacing w:line="48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pPr>
        <w:spacing w:line="48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1.投标人提交的投标文件中与招标文件第三部分“项目需求”中的商务部分的要求，应逐条填列在偏离表中。</w:t>
      </w:r>
    </w:p>
    <w:p>
      <w:pPr>
        <w:spacing w:line="48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color w:val="auto"/>
          <w:szCs w:val="24"/>
          <w:highlight w:val="none"/>
        </w:rPr>
        <w:t xml:space="preserve"> </w:t>
      </w:r>
      <w:r>
        <w:rPr>
          <w:rFonts w:hint="eastAsia" w:ascii="宋体" w:hAnsi="宋体"/>
          <w:color w:val="auto"/>
          <w:sz w:val="24"/>
          <w:szCs w:val="24"/>
          <w:highlight w:val="none"/>
        </w:rPr>
        <w:t>“偏离说明”一栏选择“正偏离”、“无偏离”、“负偏离”进行填写。正偏离、无偏离的确认和负偏离的是否响应招标文件，由评委认定。</w:t>
      </w:r>
    </w:p>
    <w:p>
      <w:pPr>
        <w:spacing w:line="48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3.投标人如果虚假响应，将被暂停参加采购人组织政府采购活动。</w:t>
      </w:r>
    </w:p>
    <w:p>
      <w:pPr>
        <w:spacing w:line="480" w:lineRule="exact"/>
        <w:ind w:firstLine="480"/>
        <w:contextualSpacing/>
        <w:rPr>
          <w:rFonts w:hint="eastAsia" w:ascii="宋体" w:hAnsi="宋体"/>
          <w:bCs/>
          <w:color w:val="auto"/>
          <w:sz w:val="24"/>
          <w:szCs w:val="24"/>
          <w:highlight w:val="none"/>
        </w:rPr>
      </w:pPr>
      <w:r>
        <w:rPr>
          <w:rFonts w:hint="eastAsia" w:ascii="宋体" w:hAnsi="宋体"/>
          <w:bCs/>
          <w:color w:val="auto"/>
          <w:sz w:val="24"/>
          <w:szCs w:val="24"/>
          <w:highlight w:val="none"/>
        </w:rPr>
        <w:t>4.投标人若提供其他增值服务，可以在表中自行据实填写。</w:t>
      </w: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pStyle w:val="36"/>
        <w:rPr>
          <w:color w:val="auto"/>
          <w:highlight w:val="none"/>
        </w:rPr>
      </w:pPr>
    </w:p>
    <w:p>
      <w:pPr>
        <w:spacing w:line="400" w:lineRule="exact"/>
        <w:contextualSpacing/>
        <w:rPr>
          <w:rFonts w:eastAsia="方正黑体_GBK"/>
          <w:color w:val="auto"/>
          <w:sz w:val="32"/>
          <w:szCs w:val="32"/>
          <w:highlight w:val="none"/>
        </w:rPr>
      </w:pPr>
      <w:r>
        <w:rPr>
          <w:rFonts w:eastAsia="方正黑体_GBK"/>
          <w:color w:val="auto"/>
          <w:sz w:val="32"/>
          <w:szCs w:val="32"/>
          <w:highlight w:val="none"/>
        </w:rPr>
        <w:t>附件6</w:t>
      </w:r>
    </w:p>
    <w:p>
      <w:pPr>
        <w:spacing w:line="30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技术部分正负偏离表</w:t>
      </w:r>
    </w:p>
    <w:p>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（由投标人据实填写，表格不够自行添加）</w:t>
      </w:r>
    </w:p>
    <w:tbl>
      <w:tblPr>
        <w:tblStyle w:val="3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3"/>
        <w:gridCol w:w="2300"/>
        <w:gridCol w:w="2008"/>
        <w:gridCol w:w="2591"/>
        <w:gridCol w:w="142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54"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货物或服务名称</w:t>
            </w:r>
          </w:p>
        </w:tc>
        <w:tc>
          <w:tcPr>
            <w:tcW w:w="1095"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招标文件要求的技术要求</w:t>
            </w:r>
          </w:p>
        </w:tc>
        <w:tc>
          <w:tcPr>
            <w:tcW w:w="1413"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投标文件响应情况</w:t>
            </w:r>
          </w:p>
        </w:tc>
        <w:tc>
          <w:tcPr>
            <w:tcW w:w="778" w:type="dxa"/>
          </w:tcPr>
          <w:p>
            <w:pPr>
              <w:spacing w:line="340" w:lineRule="exact"/>
              <w:jc w:val="center"/>
              <w:rPr>
                <w:rFonts w:hint="eastAsia" w:ascii="宋体" w:hAnsi="宋体"/>
                <w:color w:val="auto"/>
                <w:sz w:val="24"/>
                <w:szCs w:val="24"/>
                <w:highlight w:val="none"/>
              </w:rPr>
            </w:pPr>
          </w:p>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偏离说明</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rFonts w:hint="eastAsia" w:ascii="宋体" w:hAnsi="宋体"/>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rFonts w:hint="eastAsia" w:ascii="宋体" w:hAnsi="宋体"/>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vAlign w:val="center"/>
          </w:tcPr>
          <w:p>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254" w:type="dxa"/>
            <w:vAlign w:val="center"/>
          </w:tcPr>
          <w:p>
            <w:pPr>
              <w:spacing w:line="340" w:lineRule="exact"/>
              <w:jc w:val="center"/>
              <w:rPr>
                <w:rFonts w:hint="eastAsia" w:ascii="宋体" w:hAnsi="宋体"/>
                <w:color w:val="auto"/>
                <w:sz w:val="24"/>
                <w:szCs w:val="24"/>
                <w:highlight w:val="none"/>
              </w:rPr>
            </w:pPr>
          </w:p>
        </w:tc>
        <w:tc>
          <w:tcPr>
            <w:tcW w:w="1095" w:type="dxa"/>
            <w:vAlign w:val="center"/>
          </w:tcPr>
          <w:p>
            <w:pPr>
              <w:spacing w:line="340" w:lineRule="exact"/>
              <w:jc w:val="center"/>
              <w:rPr>
                <w:rFonts w:hint="eastAsia" w:ascii="宋体" w:hAnsi="宋体"/>
                <w:color w:val="auto"/>
                <w:sz w:val="24"/>
                <w:szCs w:val="24"/>
                <w:highlight w:val="none"/>
              </w:rPr>
            </w:pPr>
          </w:p>
        </w:tc>
        <w:tc>
          <w:tcPr>
            <w:tcW w:w="1413" w:type="dxa"/>
            <w:vAlign w:val="center"/>
          </w:tcPr>
          <w:p>
            <w:pPr>
              <w:spacing w:line="340" w:lineRule="exact"/>
              <w:jc w:val="center"/>
              <w:rPr>
                <w:color w:val="auto"/>
                <w:sz w:val="24"/>
                <w:szCs w:val="24"/>
                <w:highlight w:val="none"/>
              </w:rPr>
            </w:pPr>
          </w:p>
        </w:tc>
        <w:tc>
          <w:tcPr>
            <w:tcW w:w="778" w:type="dxa"/>
            <w:vAlign w:val="center"/>
          </w:tcPr>
          <w:p>
            <w:pPr>
              <w:spacing w:line="340" w:lineRule="exact"/>
              <w:jc w:val="center"/>
              <w:rPr>
                <w:color w:val="auto"/>
                <w:sz w:val="24"/>
                <w:szCs w:val="24"/>
                <w:highlight w:val="none"/>
              </w:rPr>
            </w:pPr>
          </w:p>
        </w:tc>
      </w:tr>
    </w:tbl>
    <w:p>
      <w:pPr>
        <w:spacing w:line="48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pPr>
        <w:spacing w:line="48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1.投标人提交的投标文件中与招标文件第三部分“项目需求”中的技术部分的要求，应逐条填列在偏离表中。</w:t>
      </w:r>
    </w:p>
    <w:p>
      <w:pPr>
        <w:spacing w:line="48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color w:val="auto"/>
          <w:szCs w:val="24"/>
          <w:highlight w:val="none"/>
        </w:rPr>
        <w:t xml:space="preserve"> </w:t>
      </w:r>
      <w:r>
        <w:rPr>
          <w:rFonts w:hint="eastAsia" w:ascii="宋体" w:hAnsi="宋体"/>
          <w:color w:val="auto"/>
          <w:sz w:val="24"/>
          <w:szCs w:val="24"/>
          <w:highlight w:val="none"/>
        </w:rPr>
        <w:t>“偏离说明”一栏选择“正偏离”、“无偏离”、“负偏离”进行填写。正偏离、无偏离的确认和负偏离的是否响应招标文件，由评委认定。</w:t>
      </w:r>
    </w:p>
    <w:p>
      <w:pPr>
        <w:spacing w:line="48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3.投标人如果虚假响应，将被暂停参加采购人组织政府采购活动。</w:t>
      </w:r>
    </w:p>
    <w:p>
      <w:pPr>
        <w:spacing w:line="480" w:lineRule="exact"/>
        <w:ind w:firstLine="480"/>
        <w:contextualSpacing/>
        <w:rPr>
          <w:rFonts w:hint="eastAsia" w:ascii="宋体" w:hAnsi="宋体"/>
          <w:bCs/>
          <w:color w:val="auto"/>
          <w:sz w:val="24"/>
          <w:szCs w:val="24"/>
          <w:highlight w:val="none"/>
        </w:rPr>
      </w:pPr>
      <w:r>
        <w:rPr>
          <w:rFonts w:hint="eastAsia" w:ascii="宋体" w:hAnsi="宋体"/>
          <w:bCs/>
          <w:color w:val="auto"/>
          <w:sz w:val="24"/>
          <w:szCs w:val="24"/>
          <w:highlight w:val="none"/>
        </w:rPr>
        <w:t>4.投标人若提供其他增值服务，可以在表中自行据实填写。</w:t>
      </w: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contextualSpacing/>
        <w:rPr>
          <w:rFonts w:hint="eastAsia" w:ascii="宋体" w:hAnsi="宋体" w:cs="宋体"/>
          <w:b/>
          <w:color w:val="auto"/>
          <w:sz w:val="28"/>
          <w:szCs w:val="28"/>
          <w:highlight w:val="none"/>
        </w:rPr>
      </w:pPr>
    </w:p>
    <w:p>
      <w:pPr>
        <w:spacing w:line="400" w:lineRule="exact"/>
        <w:ind w:firstLine="540"/>
        <w:contextualSpacing/>
        <w:rPr>
          <w:rFonts w:hint="eastAsia" w:ascii="宋体" w:hAnsi="宋体" w:cs="宋体"/>
          <w:b/>
          <w:color w:val="auto"/>
          <w:sz w:val="28"/>
          <w:szCs w:val="28"/>
          <w:highlight w:val="none"/>
        </w:rPr>
      </w:pPr>
    </w:p>
    <w:p>
      <w:pPr>
        <w:spacing w:line="400" w:lineRule="exact"/>
        <w:contextualSpacing/>
        <w:rPr>
          <w:rFonts w:eastAsia="方正黑体_GBK"/>
          <w:color w:val="auto"/>
          <w:sz w:val="32"/>
          <w:szCs w:val="32"/>
          <w:highlight w:val="none"/>
        </w:rPr>
      </w:pPr>
    </w:p>
    <w:p>
      <w:pPr>
        <w:spacing w:line="400" w:lineRule="exact"/>
        <w:contextualSpacing/>
        <w:rPr>
          <w:rFonts w:eastAsia="方正黑体_GBK"/>
          <w:color w:val="auto"/>
          <w:sz w:val="32"/>
          <w:szCs w:val="32"/>
          <w:highlight w:val="none"/>
        </w:rPr>
      </w:pPr>
      <w:r>
        <w:rPr>
          <w:rFonts w:eastAsia="方正黑体_GBK"/>
          <w:color w:val="auto"/>
          <w:sz w:val="32"/>
          <w:szCs w:val="32"/>
          <w:highlight w:val="none"/>
        </w:rPr>
        <w:t>附件7</w:t>
      </w:r>
    </w:p>
    <w:p>
      <w:pPr>
        <w:widowControl/>
        <w:spacing w:before="100" w:beforeAutospacing="1" w:after="100" w:afterAutospacing="1" w:line="520" w:lineRule="exact"/>
        <w:jc w:val="center"/>
        <w:rPr>
          <w:rFonts w:hint="eastAsia" w:ascii="宋体" w:hAnsi="宋体" w:cs="宋体"/>
          <w:b/>
          <w:bCs/>
          <w:color w:val="auto"/>
          <w:sz w:val="32"/>
          <w:szCs w:val="32"/>
          <w:highlight w:val="none"/>
        </w:rPr>
      </w:pPr>
      <w:r>
        <w:rPr>
          <w:rFonts w:ascii="宋体" w:hAnsi="宋体" w:cs="宋体"/>
          <w:b/>
          <w:bCs/>
          <w:color w:val="auto"/>
          <w:sz w:val="32"/>
          <w:szCs w:val="32"/>
          <w:highlight w:val="none"/>
        </w:rPr>
        <w:t>开  标 一 览  表</w:t>
      </w:r>
    </w:p>
    <w:p>
      <w:pPr>
        <w:spacing w:line="560" w:lineRule="exact"/>
        <w:rPr>
          <w:rFonts w:hint="eastAsia" w:ascii="宋体" w:hAnsi="宋体" w:cs="宋体"/>
          <w:color w:val="auto"/>
          <w:sz w:val="28"/>
          <w:szCs w:val="28"/>
          <w:highlight w:val="none"/>
          <w:u w:val="single"/>
        </w:rPr>
      </w:pPr>
      <w:r>
        <w:rPr>
          <w:rFonts w:ascii="宋体" w:hAnsi="宋体" w:cs="宋体"/>
          <w:color w:val="auto"/>
          <w:sz w:val="28"/>
          <w:szCs w:val="28"/>
          <w:highlight w:val="none"/>
        </w:rPr>
        <w:t>投标人全称（加盖公章）：</w:t>
      </w:r>
    </w:p>
    <w:p>
      <w:pPr>
        <w:spacing w:line="560" w:lineRule="exact"/>
        <w:rPr>
          <w:rFonts w:hint="eastAsia" w:ascii="宋体" w:hAnsi="宋体" w:cs="宋体"/>
          <w:color w:val="auto"/>
          <w:sz w:val="28"/>
          <w:szCs w:val="28"/>
          <w:highlight w:val="none"/>
          <w:u w:val="single"/>
        </w:rPr>
      </w:pPr>
      <w:r>
        <w:rPr>
          <w:rFonts w:ascii="宋体" w:hAnsi="宋体" w:cs="宋体"/>
          <w:color w:val="auto"/>
          <w:sz w:val="28"/>
          <w:szCs w:val="28"/>
          <w:highlight w:val="none"/>
        </w:rPr>
        <w:t>项目名称：</w:t>
      </w:r>
    </w:p>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项目编号：</w:t>
      </w:r>
    </w:p>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分包号：</w:t>
      </w:r>
    </w:p>
    <w:tbl>
      <w:tblPr>
        <w:tblStyle w:val="30"/>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48"/>
        <w:gridCol w:w="46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tcPr>
          <w:p>
            <w:pPr>
              <w:spacing w:line="560" w:lineRule="exact"/>
              <w:jc w:val="center"/>
              <w:rPr>
                <w:rFonts w:hint="eastAsia" w:ascii="等线" w:hAnsi="等线" w:eastAsia="等线"/>
                <w:color w:val="auto"/>
                <w:szCs w:val="22"/>
                <w:highlight w:val="none"/>
              </w:rPr>
            </w:pPr>
            <w:r>
              <w:rPr>
                <w:rFonts w:ascii="宋体" w:hAnsi="宋体" w:cs="宋体"/>
                <w:color w:val="auto"/>
                <w:sz w:val="28"/>
                <w:szCs w:val="28"/>
                <w:highlight w:val="none"/>
              </w:rPr>
              <w:t>投标货物、服务名称</w:t>
            </w:r>
          </w:p>
        </w:tc>
        <w:tc>
          <w:tcPr>
            <w:tcW w:w="4607" w:type="dxa"/>
          </w:tcPr>
          <w:p>
            <w:pPr>
              <w:spacing w:line="560" w:lineRule="exact"/>
              <w:jc w:val="center"/>
              <w:rPr>
                <w:rFonts w:hint="eastAsia" w:ascii="等线" w:hAnsi="等线" w:eastAsia="等线"/>
                <w:color w:val="auto"/>
                <w:szCs w:val="22"/>
                <w:highlight w:val="none"/>
              </w:rPr>
            </w:pPr>
            <w:r>
              <w:rPr>
                <w:rFonts w:ascii="宋体" w:hAnsi="宋体" w:cs="宋体"/>
                <w:color w:val="auto"/>
                <w:sz w:val="28"/>
                <w:szCs w:val="28"/>
                <w:highlight w:val="none"/>
              </w:rPr>
              <w:t>投标总报价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148" w:type="dxa"/>
          </w:tcPr>
          <w:p>
            <w:pPr>
              <w:spacing w:line="560" w:lineRule="exact"/>
              <w:rPr>
                <w:rFonts w:hint="eastAsia" w:ascii="等线" w:hAnsi="等线" w:eastAsia="等线"/>
                <w:color w:val="auto"/>
                <w:szCs w:val="22"/>
                <w:highlight w:val="none"/>
              </w:rPr>
            </w:pPr>
          </w:p>
        </w:tc>
        <w:tc>
          <w:tcPr>
            <w:tcW w:w="4607" w:type="dxa"/>
          </w:tcPr>
          <w:p>
            <w:pPr>
              <w:spacing w:line="560" w:lineRule="exact"/>
              <w:rPr>
                <w:rFonts w:hint="eastAsia" w:ascii="等线" w:hAnsi="等线"/>
                <w:color w:val="auto"/>
                <w:szCs w:val="22"/>
                <w:highlight w:val="none"/>
                <w:u w:val="single"/>
              </w:rPr>
            </w:pPr>
            <w:r>
              <w:rPr>
                <w:rFonts w:ascii="宋体" w:hAnsi="宋体" w:cs="宋体"/>
                <w:color w:val="auto"/>
                <w:sz w:val="28"/>
                <w:szCs w:val="28"/>
                <w:highlight w:val="none"/>
              </w:rPr>
              <w:t>大写：</w:t>
            </w:r>
            <w:r>
              <w:rPr>
                <w:rFonts w:ascii="宋体" w:hAnsi="宋体" w:cs="宋体"/>
                <w:color w:val="auto"/>
                <w:sz w:val="28"/>
                <w:szCs w:val="28"/>
                <w:highlight w:val="none"/>
              </w:rPr>
              <w:br w:type="textWrapping" w:clear="all"/>
            </w:r>
            <w:r>
              <w:rPr>
                <w:rFonts w:ascii="宋体" w:hAnsi="宋体" w:cs="宋体"/>
                <w:color w:val="auto"/>
                <w:sz w:val="28"/>
                <w:szCs w:val="28"/>
                <w:highlight w:val="none"/>
              </w:rPr>
              <w:t>小写：</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元（人民币）</w:t>
            </w:r>
          </w:p>
        </w:tc>
      </w:tr>
    </w:tbl>
    <w:p>
      <w:pPr>
        <w:spacing w:line="560" w:lineRule="exact"/>
        <w:rPr>
          <w:rFonts w:hint="eastAsia" w:ascii="宋体" w:hAnsi="宋体" w:cs="宋体"/>
          <w:color w:val="auto"/>
          <w:sz w:val="28"/>
          <w:szCs w:val="28"/>
          <w:highlight w:val="none"/>
        </w:rPr>
      </w:pPr>
    </w:p>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日期：</w:t>
      </w:r>
    </w:p>
    <w:p>
      <w:pPr>
        <w:spacing w:line="520" w:lineRule="exact"/>
        <w:rPr>
          <w:rFonts w:hint="eastAsia" w:ascii="宋体" w:hAnsi="宋体" w:cs="宋体"/>
          <w:color w:val="auto"/>
          <w:sz w:val="24"/>
          <w:szCs w:val="24"/>
          <w:highlight w:val="none"/>
        </w:rPr>
      </w:pPr>
      <w:r>
        <w:rPr>
          <w:rFonts w:ascii="宋体" w:hAnsi="宋体" w:cs="宋体"/>
          <w:color w:val="auto"/>
          <w:sz w:val="24"/>
          <w:szCs w:val="24"/>
          <w:highlight w:val="none"/>
        </w:rPr>
        <w:t>填写说明：</w:t>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、开标一览表必须加盖</w:t>
      </w:r>
      <w:r>
        <w:rPr>
          <w:rFonts w:hint="eastAsia" w:ascii="宋体" w:hAnsi="宋体" w:cs="宋体"/>
          <w:color w:val="auto"/>
          <w:sz w:val="24"/>
          <w:szCs w:val="24"/>
          <w:highlight w:val="none"/>
        </w:rPr>
        <w:t>投标人</w:t>
      </w:r>
      <w:r>
        <w:rPr>
          <w:rFonts w:ascii="宋体" w:hAnsi="宋体" w:cs="宋体"/>
          <w:color w:val="auto"/>
          <w:sz w:val="24"/>
          <w:szCs w:val="24"/>
          <w:highlight w:val="none"/>
        </w:rPr>
        <w:t>公章（复印件无效）。</w:t>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、如有分包，投标人投任何一个包的标的，都需单独填写开标一览表。</w:t>
      </w: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spacing w:line="520" w:lineRule="exact"/>
        <w:rPr>
          <w:rFonts w:eastAsia="方正黑体_GBK"/>
          <w:color w:val="auto"/>
          <w:sz w:val="32"/>
          <w:szCs w:val="32"/>
          <w:highlight w:val="none"/>
        </w:rPr>
      </w:pPr>
    </w:p>
    <w:p>
      <w:pPr>
        <w:rPr>
          <w:color w:val="auto"/>
          <w:highlight w:val="none"/>
        </w:rPr>
      </w:pPr>
    </w:p>
    <w:p>
      <w:pPr>
        <w:pStyle w:val="2"/>
        <w:rPr>
          <w:color w:val="auto"/>
          <w:highlight w:val="none"/>
        </w:rPr>
      </w:pPr>
    </w:p>
    <w:p>
      <w:pPr>
        <w:spacing w:line="520" w:lineRule="exact"/>
        <w:rPr>
          <w:rFonts w:eastAsia="方正黑体_GBK"/>
          <w:color w:val="auto"/>
          <w:sz w:val="32"/>
          <w:szCs w:val="32"/>
          <w:highlight w:val="none"/>
        </w:rPr>
      </w:pPr>
      <w:r>
        <w:rPr>
          <w:rFonts w:eastAsia="方正黑体_GBK"/>
          <w:color w:val="auto"/>
          <w:sz w:val="32"/>
          <w:szCs w:val="32"/>
          <w:highlight w:val="none"/>
        </w:rPr>
        <w:t>附件8</w:t>
      </w:r>
    </w:p>
    <w:p>
      <w:pPr>
        <w:spacing w:line="400" w:lineRule="exact"/>
        <w:ind w:left="984" w:hanging="984"/>
        <w:rPr>
          <w:rFonts w:ascii="仿宋_GB2312" w:eastAsia="仿宋_GB2312"/>
          <w:b/>
          <w:bCs/>
          <w:color w:val="auto"/>
          <w:sz w:val="28"/>
          <w:szCs w:val="28"/>
          <w:highlight w:val="none"/>
        </w:rPr>
      </w:pPr>
    </w:p>
    <w:p>
      <w:pPr>
        <w:spacing w:line="400" w:lineRule="exact"/>
        <w:jc w:val="center"/>
        <w:rPr>
          <w:b/>
          <w:bCs/>
          <w:color w:val="auto"/>
          <w:sz w:val="32"/>
          <w:szCs w:val="32"/>
          <w:highlight w:val="none"/>
        </w:rPr>
      </w:pPr>
      <w:r>
        <w:rPr>
          <w:rFonts w:hint="eastAsia"/>
          <w:b/>
          <w:bCs/>
          <w:color w:val="auto"/>
          <w:sz w:val="32"/>
          <w:szCs w:val="32"/>
          <w:highlight w:val="none"/>
        </w:rPr>
        <w:t>分项报价明细表（服务类）</w:t>
      </w:r>
    </w:p>
    <w:p>
      <w:pPr>
        <w:spacing w:line="40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投标人（盖章）：</w:t>
      </w:r>
    </w:p>
    <w:tbl>
      <w:tblPr>
        <w:tblStyle w:val="30"/>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971" w:type="dxa"/>
            <w:vAlign w:val="center"/>
          </w:tcPr>
          <w:p>
            <w:pPr>
              <w:spacing w:line="240" w:lineRule="atLeast"/>
              <w:jc w:val="center"/>
              <w:rPr>
                <w:rFonts w:hint="eastAsia" w:ascii="宋体" w:hAnsi="宋体"/>
                <w:b/>
                <w:color w:val="auto"/>
                <w:highlight w:val="none"/>
              </w:rPr>
            </w:pPr>
            <w:r>
              <w:rPr>
                <w:rFonts w:hint="eastAsia" w:ascii="宋体" w:hAnsi="宋体"/>
                <w:b/>
                <w:color w:val="auto"/>
                <w:highlight w:val="none"/>
              </w:rPr>
              <w:t>序号</w:t>
            </w:r>
          </w:p>
        </w:tc>
        <w:tc>
          <w:tcPr>
            <w:tcW w:w="1321" w:type="dxa"/>
            <w:vAlign w:val="center"/>
          </w:tcPr>
          <w:p>
            <w:pPr>
              <w:spacing w:line="240" w:lineRule="atLeast"/>
              <w:jc w:val="center"/>
              <w:rPr>
                <w:rFonts w:hint="eastAsia" w:ascii="宋体" w:hAnsi="宋体"/>
                <w:b/>
                <w:color w:val="auto"/>
                <w:highlight w:val="none"/>
              </w:rPr>
            </w:pPr>
            <w:r>
              <w:rPr>
                <w:rFonts w:hint="eastAsia" w:ascii="宋体" w:hAnsi="宋体"/>
                <w:b/>
                <w:color w:val="auto"/>
                <w:highlight w:val="none"/>
              </w:rPr>
              <w:t>名称</w:t>
            </w:r>
          </w:p>
        </w:tc>
        <w:tc>
          <w:tcPr>
            <w:tcW w:w="1417" w:type="dxa"/>
            <w:vAlign w:val="center"/>
          </w:tcPr>
          <w:p>
            <w:pPr>
              <w:spacing w:line="240" w:lineRule="atLeast"/>
              <w:jc w:val="center"/>
              <w:rPr>
                <w:rFonts w:hint="eastAsia" w:ascii="宋体" w:hAnsi="宋体"/>
                <w:b/>
                <w:color w:val="auto"/>
                <w:highlight w:val="none"/>
              </w:rPr>
            </w:pPr>
            <w:r>
              <w:rPr>
                <w:rFonts w:hint="eastAsia" w:ascii="宋体" w:hAnsi="宋体"/>
                <w:b/>
                <w:color w:val="auto"/>
                <w:highlight w:val="none"/>
              </w:rPr>
              <w:t>服务范围</w:t>
            </w:r>
          </w:p>
        </w:tc>
        <w:tc>
          <w:tcPr>
            <w:tcW w:w="1418" w:type="dxa"/>
            <w:vAlign w:val="center"/>
          </w:tcPr>
          <w:p>
            <w:pPr>
              <w:spacing w:line="240" w:lineRule="atLeast"/>
              <w:jc w:val="center"/>
              <w:rPr>
                <w:rFonts w:hint="eastAsia" w:ascii="宋体" w:hAnsi="宋体"/>
                <w:b/>
                <w:color w:val="auto"/>
                <w:highlight w:val="none"/>
              </w:rPr>
            </w:pPr>
            <w:r>
              <w:rPr>
                <w:rFonts w:hint="eastAsia" w:ascii="宋体" w:hAnsi="宋体"/>
                <w:b/>
                <w:color w:val="auto"/>
                <w:highlight w:val="none"/>
              </w:rPr>
              <w:t>服务要求</w:t>
            </w:r>
          </w:p>
        </w:tc>
        <w:tc>
          <w:tcPr>
            <w:tcW w:w="1275" w:type="dxa"/>
            <w:vAlign w:val="center"/>
          </w:tcPr>
          <w:p>
            <w:pPr>
              <w:spacing w:line="240" w:lineRule="atLeast"/>
              <w:jc w:val="center"/>
              <w:rPr>
                <w:rFonts w:hint="eastAsia" w:ascii="宋体" w:hAnsi="宋体"/>
                <w:b/>
                <w:color w:val="auto"/>
                <w:highlight w:val="none"/>
              </w:rPr>
            </w:pPr>
            <w:r>
              <w:rPr>
                <w:rFonts w:hint="eastAsia" w:ascii="宋体" w:hAnsi="宋体"/>
                <w:b/>
                <w:color w:val="auto"/>
                <w:highlight w:val="none"/>
              </w:rPr>
              <w:t>服务时间</w:t>
            </w:r>
          </w:p>
        </w:tc>
        <w:tc>
          <w:tcPr>
            <w:tcW w:w="1276" w:type="dxa"/>
            <w:vAlign w:val="center"/>
          </w:tcPr>
          <w:p>
            <w:pPr>
              <w:spacing w:line="240" w:lineRule="atLeast"/>
              <w:jc w:val="center"/>
              <w:rPr>
                <w:rFonts w:hint="eastAsia" w:ascii="宋体" w:hAnsi="宋体"/>
                <w:b/>
                <w:color w:val="auto"/>
                <w:highlight w:val="none"/>
              </w:rPr>
            </w:pPr>
            <w:r>
              <w:rPr>
                <w:rFonts w:hint="eastAsia" w:ascii="宋体" w:hAnsi="宋体"/>
                <w:b/>
                <w:color w:val="auto"/>
                <w:highlight w:val="none"/>
              </w:rPr>
              <w:t>服务标准</w:t>
            </w:r>
          </w:p>
        </w:tc>
        <w:tc>
          <w:tcPr>
            <w:tcW w:w="851" w:type="dxa"/>
            <w:vAlign w:val="center"/>
          </w:tcPr>
          <w:p>
            <w:pPr>
              <w:spacing w:line="240" w:lineRule="atLeast"/>
              <w:jc w:val="center"/>
              <w:rPr>
                <w:rFonts w:hint="eastAsia" w:ascii="宋体" w:hAnsi="宋体"/>
                <w:b/>
                <w:color w:val="auto"/>
                <w:highlight w:val="none"/>
              </w:rPr>
            </w:pPr>
            <w:r>
              <w:rPr>
                <w:rFonts w:hint="eastAsia" w:ascii="宋体" w:hAnsi="宋体"/>
                <w:b/>
                <w:color w:val="auto"/>
                <w:highlight w:val="none"/>
              </w:rPr>
              <w:t>金额</w:t>
            </w:r>
          </w:p>
        </w:tc>
        <w:tc>
          <w:tcPr>
            <w:tcW w:w="1151" w:type="dxa"/>
            <w:vAlign w:val="center"/>
          </w:tcPr>
          <w:p>
            <w:pPr>
              <w:spacing w:line="240" w:lineRule="atLeast"/>
              <w:ind w:firstLine="105"/>
              <w:jc w:val="center"/>
              <w:rPr>
                <w:rFonts w:hint="eastAsia" w:ascii="宋体" w:hAnsi="宋体"/>
                <w:b/>
                <w:color w:val="auto"/>
                <w:highlight w:val="none"/>
              </w:rPr>
            </w:pPr>
            <w:r>
              <w:rPr>
                <w:rFonts w:hint="eastAsia" w:ascii="宋体" w:hAnsi="宋体"/>
                <w:b/>
                <w:color w:val="auto"/>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vAlign w:val="center"/>
          </w:tcPr>
          <w:p>
            <w:pPr>
              <w:spacing w:line="240" w:lineRule="atLeast"/>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21" w:type="dxa"/>
            <w:vAlign w:val="center"/>
          </w:tcPr>
          <w:p>
            <w:pPr>
              <w:spacing w:line="240" w:lineRule="atLeast"/>
              <w:jc w:val="center"/>
              <w:rPr>
                <w:rFonts w:hint="eastAsia" w:ascii="仿宋_GB2312" w:hAnsi="宋体" w:eastAsia="仿宋_GB2312"/>
                <w:color w:val="auto"/>
                <w:sz w:val="24"/>
                <w:szCs w:val="24"/>
                <w:highlight w:val="none"/>
              </w:rPr>
            </w:pPr>
          </w:p>
        </w:tc>
        <w:tc>
          <w:tcPr>
            <w:tcW w:w="1417" w:type="dxa"/>
            <w:vAlign w:val="center"/>
          </w:tcPr>
          <w:p>
            <w:pPr>
              <w:spacing w:line="240" w:lineRule="atLeast"/>
              <w:jc w:val="center"/>
              <w:rPr>
                <w:rFonts w:hint="eastAsia" w:ascii="仿宋_GB2312" w:hAnsi="宋体" w:eastAsia="仿宋_GB2312"/>
                <w:color w:val="auto"/>
                <w:sz w:val="24"/>
                <w:szCs w:val="24"/>
                <w:highlight w:val="none"/>
              </w:rPr>
            </w:pPr>
          </w:p>
        </w:tc>
        <w:tc>
          <w:tcPr>
            <w:tcW w:w="1418" w:type="dxa"/>
            <w:vAlign w:val="center"/>
          </w:tcPr>
          <w:p>
            <w:pPr>
              <w:spacing w:line="240" w:lineRule="atLeast"/>
              <w:jc w:val="center"/>
              <w:rPr>
                <w:rFonts w:hint="eastAsia" w:ascii="仿宋_GB2312" w:hAnsi="宋体" w:eastAsia="仿宋_GB2312"/>
                <w:color w:val="auto"/>
                <w:sz w:val="24"/>
                <w:szCs w:val="24"/>
                <w:highlight w:val="none"/>
              </w:rPr>
            </w:pPr>
          </w:p>
        </w:tc>
        <w:tc>
          <w:tcPr>
            <w:tcW w:w="1275" w:type="dxa"/>
            <w:vAlign w:val="center"/>
          </w:tcPr>
          <w:p>
            <w:pPr>
              <w:spacing w:line="240" w:lineRule="atLeast"/>
              <w:jc w:val="center"/>
              <w:rPr>
                <w:rFonts w:hint="eastAsia" w:ascii="仿宋_GB2312" w:hAnsi="宋体" w:eastAsia="仿宋_GB2312"/>
                <w:color w:val="auto"/>
                <w:sz w:val="24"/>
                <w:szCs w:val="24"/>
                <w:highlight w:val="none"/>
              </w:rPr>
            </w:pPr>
          </w:p>
        </w:tc>
        <w:tc>
          <w:tcPr>
            <w:tcW w:w="1276" w:type="dxa"/>
            <w:vAlign w:val="center"/>
          </w:tcPr>
          <w:p>
            <w:pPr>
              <w:spacing w:line="240" w:lineRule="atLeast"/>
              <w:jc w:val="center"/>
              <w:rPr>
                <w:rFonts w:hint="eastAsia" w:ascii="仿宋_GB2312" w:hAnsi="宋体" w:eastAsia="仿宋_GB2312"/>
                <w:color w:val="auto"/>
                <w:sz w:val="24"/>
                <w:szCs w:val="24"/>
                <w:highlight w:val="none"/>
              </w:rPr>
            </w:pPr>
          </w:p>
        </w:tc>
        <w:tc>
          <w:tcPr>
            <w:tcW w:w="851" w:type="dxa"/>
            <w:vAlign w:val="center"/>
          </w:tcPr>
          <w:p>
            <w:pPr>
              <w:spacing w:line="240" w:lineRule="atLeast"/>
              <w:jc w:val="center"/>
              <w:rPr>
                <w:rFonts w:hint="eastAsia" w:ascii="仿宋_GB2312" w:hAnsi="宋体" w:eastAsia="仿宋_GB2312"/>
                <w:color w:val="auto"/>
                <w:sz w:val="24"/>
                <w:szCs w:val="24"/>
                <w:highlight w:val="none"/>
              </w:rPr>
            </w:pPr>
          </w:p>
        </w:tc>
        <w:tc>
          <w:tcPr>
            <w:tcW w:w="1151" w:type="dxa"/>
            <w:vAlign w:val="center"/>
          </w:tcPr>
          <w:p>
            <w:pPr>
              <w:spacing w:line="240" w:lineRule="atLeast"/>
              <w:jc w:val="center"/>
              <w:rPr>
                <w:rFonts w:hint="eastAsia" w:ascii="仿宋_GB2312" w:hAnsi="宋体"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971" w:type="dxa"/>
            <w:vAlign w:val="center"/>
          </w:tcPr>
          <w:p>
            <w:pPr>
              <w:spacing w:line="240" w:lineRule="atLeast"/>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1321" w:type="dxa"/>
            <w:vAlign w:val="center"/>
          </w:tcPr>
          <w:p>
            <w:pPr>
              <w:spacing w:line="240" w:lineRule="atLeast"/>
              <w:jc w:val="center"/>
              <w:rPr>
                <w:rFonts w:hint="eastAsia" w:ascii="仿宋_GB2312" w:hAnsi="宋体" w:eastAsia="仿宋_GB2312"/>
                <w:color w:val="auto"/>
                <w:sz w:val="24"/>
                <w:szCs w:val="24"/>
                <w:highlight w:val="none"/>
              </w:rPr>
            </w:pPr>
          </w:p>
        </w:tc>
        <w:tc>
          <w:tcPr>
            <w:tcW w:w="1417" w:type="dxa"/>
            <w:vAlign w:val="center"/>
          </w:tcPr>
          <w:p>
            <w:pPr>
              <w:spacing w:line="240" w:lineRule="atLeast"/>
              <w:jc w:val="center"/>
              <w:rPr>
                <w:rFonts w:hint="eastAsia" w:ascii="仿宋_GB2312" w:hAnsi="宋体" w:eastAsia="仿宋_GB2312"/>
                <w:color w:val="auto"/>
                <w:sz w:val="24"/>
                <w:szCs w:val="24"/>
                <w:highlight w:val="none"/>
              </w:rPr>
            </w:pPr>
          </w:p>
        </w:tc>
        <w:tc>
          <w:tcPr>
            <w:tcW w:w="1418" w:type="dxa"/>
            <w:vAlign w:val="center"/>
          </w:tcPr>
          <w:p>
            <w:pPr>
              <w:spacing w:line="240" w:lineRule="atLeast"/>
              <w:jc w:val="center"/>
              <w:rPr>
                <w:rFonts w:hint="eastAsia" w:ascii="仿宋_GB2312" w:hAnsi="宋体" w:eastAsia="仿宋_GB2312"/>
                <w:color w:val="auto"/>
                <w:sz w:val="24"/>
                <w:szCs w:val="24"/>
                <w:highlight w:val="none"/>
              </w:rPr>
            </w:pPr>
          </w:p>
        </w:tc>
        <w:tc>
          <w:tcPr>
            <w:tcW w:w="1275" w:type="dxa"/>
            <w:vAlign w:val="center"/>
          </w:tcPr>
          <w:p>
            <w:pPr>
              <w:spacing w:line="240" w:lineRule="atLeast"/>
              <w:jc w:val="center"/>
              <w:rPr>
                <w:rFonts w:hint="eastAsia" w:ascii="仿宋_GB2312" w:hAnsi="宋体" w:eastAsia="仿宋_GB2312"/>
                <w:color w:val="auto"/>
                <w:sz w:val="24"/>
                <w:szCs w:val="24"/>
                <w:highlight w:val="none"/>
              </w:rPr>
            </w:pPr>
          </w:p>
        </w:tc>
        <w:tc>
          <w:tcPr>
            <w:tcW w:w="1276" w:type="dxa"/>
            <w:vAlign w:val="center"/>
          </w:tcPr>
          <w:p>
            <w:pPr>
              <w:spacing w:line="240" w:lineRule="atLeast"/>
              <w:jc w:val="center"/>
              <w:rPr>
                <w:rFonts w:hint="eastAsia" w:ascii="仿宋_GB2312" w:hAnsi="宋体" w:eastAsia="仿宋_GB2312"/>
                <w:color w:val="auto"/>
                <w:sz w:val="24"/>
                <w:szCs w:val="24"/>
                <w:highlight w:val="none"/>
              </w:rPr>
            </w:pPr>
          </w:p>
        </w:tc>
        <w:tc>
          <w:tcPr>
            <w:tcW w:w="851" w:type="dxa"/>
            <w:vAlign w:val="center"/>
          </w:tcPr>
          <w:p>
            <w:pPr>
              <w:spacing w:line="240" w:lineRule="atLeast"/>
              <w:jc w:val="center"/>
              <w:rPr>
                <w:rFonts w:hint="eastAsia" w:ascii="仿宋_GB2312" w:hAnsi="宋体" w:eastAsia="仿宋_GB2312"/>
                <w:color w:val="auto"/>
                <w:sz w:val="24"/>
                <w:szCs w:val="24"/>
                <w:highlight w:val="none"/>
              </w:rPr>
            </w:pPr>
          </w:p>
        </w:tc>
        <w:tc>
          <w:tcPr>
            <w:tcW w:w="1151" w:type="dxa"/>
            <w:vAlign w:val="center"/>
          </w:tcPr>
          <w:p>
            <w:pPr>
              <w:spacing w:line="240" w:lineRule="atLeast"/>
              <w:jc w:val="center"/>
              <w:rPr>
                <w:rFonts w:hint="eastAsia" w:ascii="仿宋_GB2312" w:hAnsi="宋体"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vAlign w:val="center"/>
          </w:tcPr>
          <w:p>
            <w:pPr>
              <w:spacing w:line="240" w:lineRule="atLeast"/>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1321" w:type="dxa"/>
            <w:vAlign w:val="center"/>
          </w:tcPr>
          <w:p>
            <w:pPr>
              <w:spacing w:line="240" w:lineRule="atLeast"/>
              <w:jc w:val="center"/>
              <w:rPr>
                <w:rFonts w:hint="eastAsia" w:ascii="仿宋_GB2312" w:hAnsi="宋体" w:eastAsia="仿宋_GB2312"/>
                <w:color w:val="auto"/>
                <w:sz w:val="24"/>
                <w:szCs w:val="24"/>
                <w:highlight w:val="none"/>
              </w:rPr>
            </w:pPr>
          </w:p>
        </w:tc>
        <w:tc>
          <w:tcPr>
            <w:tcW w:w="1417" w:type="dxa"/>
            <w:vAlign w:val="center"/>
          </w:tcPr>
          <w:p>
            <w:pPr>
              <w:spacing w:line="240" w:lineRule="atLeast"/>
              <w:jc w:val="center"/>
              <w:rPr>
                <w:rFonts w:hint="eastAsia" w:ascii="仿宋_GB2312" w:hAnsi="宋体" w:eastAsia="仿宋_GB2312"/>
                <w:color w:val="auto"/>
                <w:sz w:val="24"/>
                <w:szCs w:val="24"/>
                <w:highlight w:val="none"/>
              </w:rPr>
            </w:pPr>
          </w:p>
        </w:tc>
        <w:tc>
          <w:tcPr>
            <w:tcW w:w="1418" w:type="dxa"/>
            <w:vAlign w:val="center"/>
          </w:tcPr>
          <w:p>
            <w:pPr>
              <w:spacing w:line="240" w:lineRule="atLeast"/>
              <w:jc w:val="center"/>
              <w:rPr>
                <w:rFonts w:hint="eastAsia" w:ascii="仿宋_GB2312" w:hAnsi="宋体" w:eastAsia="仿宋_GB2312"/>
                <w:color w:val="auto"/>
                <w:sz w:val="24"/>
                <w:szCs w:val="24"/>
                <w:highlight w:val="none"/>
              </w:rPr>
            </w:pPr>
          </w:p>
        </w:tc>
        <w:tc>
          <w:tcPr>
            <w:tcW w:w="1275" w:type="dxa"/>
            <w:vAlign w:val="center"/>
          </w:tcPr>
          <w:p>
            <w:pPr>
              <w:spacing w:line="240" w:lineRule="atLeast"/>
              <w:jc w:val="center"/>
              <w:rPr>
                <w:rFonts w:hint="eastAsia" w:ascii="仿宋_GB2312" w:hAnsi="宋体" w:eastAsia="仿宋_GB2312"/>
                <w:color w:val="auto"/>
                <w:sz w:val="24"/>
                <w:szCs w:val="24"/>
                <w:highlight w:val="none"/>
              </w:rPr>
            </w:pPr>
          </w:p>
        </w:tc>
        <w:tc>
          <w:tcPr>
            <w:tcW w:w="1276" w:type="dxa"/>
            <w:vAlign w:val="center"/>
          </w:tcPr>
          <w:p>
            <w:pPr>
              <w:spacing w:line="240" w:lineRule="atLeast"/>
              <w:jc w:val="center"/>
              <w:rPr>
                <w:rFonts w:hint="eastAsia" w:ascii="仿宋_GB2312" w:hAnsi="宋体" w:eastAsia="仿宋_GB2312"/>
                <w:color w:val="auto"/>
                <w:sz w:val="24"/>
                <w:szCs w:val="24"/>
                <w:highlight w:val="none"/>
              </w:rPr>
            </w:pPr>
          </w:p>
        </w:tc>
        <w:tc>
          <w:tcPr>
            <w:tcW w:w="851" w:type="dxa"/>
            <w:vAlign w:val="center"/>
          </w:tcPr>
          <w:p>
            <w:pPr>
              <w:spacing w:line="240" w:lineRule="atLeast"/>
              <w:jc w:val="center"/>
              <w:rPr>
                <w:rFonts w:hint="eastAsia" w:ascii="仿宋_GB2312" w:hAnsi="宋体" w:eastAsia="仿宋_GB2312"/>
                <w:color w:val="auto"/>
                <w:sz w:val="24"/>
                <w:szCs w:val="24"/>
                <w:highlight w:val="none"/>
              </w:rPr>
            </w:pPr>
          </w:p>
        </w:tc>
        <w:tc>
          <w:tcPr>
            <w:tcW w:w="1151" w:type="dxa"/>
            <w:vAlign w:val="center"/>
          </w:tcPr>
          <w:p>
            <w:pPr>
              <w:spacing w:line="240" w:lineRule="atLeast"/>
              <w:jc w:val="center"/>
              <w:rPr>
                <w:rFonts w:hint="eastAsia" w:ascii="仿宋_GB2312" w:hAnsi="宋体"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vAlign w:val="center"/>
          </w:tcPr>
          <w:p>
            <w:pPr>
              <w:spacing w:line="240" w:lineRule="atLeast"/>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1321" w:type="dxa"/>
            <w:vAlign w:val="center"/>
          </w:tcPr>
          <w:p>
            <w:pPr>
              <w:spacing w:line="240" w:lineRule="atLeast"/>
              <w:jc w:val="center"/>
              <w:rPr>
                <w:rFonts w:hint="eastAsia" w:ascii="仿宋_GB2312" w:hAnsi="宋体" w:eastAsia="仿宋_GB2312"/>
                <w:color w:val="auto"/>
                <w:sz w:val="24"/>
                <w:szCs w:val="24"/>
                <w:highlight w:val="none"/>
              </w:rPr>
            </w:pPr>
          </w:p>
        </w:tc>
        <w:tc>
          <w:tcPr>
            <w:tcW w:w="1417" w:type="dxa"/>
            <w:vAlign w:val="center"/>
          </w:tcPr>
          <w:p>
            <w:pPr>
              <w:spacing w:line="240" w:lineRule="atLeast"/>
              <w:jc w:val="center"/>
              <w:rPr>
                <w:rFonts w:hint="eastAsia" w:ascii="仿宋_GB2312" w:hAnsi="宋体" w:eastAsia="仿宋_GB2312"/>
                <w:color w:val="auto"/>
                <w:sz w:val="24"/>
                <w:szCs w:val="24"/>
                <w:highlight w:val="none"/>
              </w:rPr>
            </w:pPr>
          </w:p>
        </w:tc>
        <w:tc>
          <w:tcPr>
            <w:tcW w:w="1418" w:type="dxa"/>
            <w:vAlign w:val="center"/>
          </w:tcPr>
          <w:p>
            <w:pPr>
              <w:spacing w:line="240" w:lineRule="atLeast"/>
              <w:jc w:val="center"/>
              <w:rPr>
                <w:rFonts w:hint="eastAsia" w:ascii="仿宋_GB2312" w:hAnsi="宋体" w:eastAsia="仿宋_GB2312"/>
                <w:color w:val="auto"/>
                <w:sz w:val="24"/>
                <w:szCs w:val="24"/>
                <w:highlight w:val="none"/>
              </w:rPr>
            </w:pPr>
          </w:p>
        </w:tc>
        <w:tc>
          <w:tcPr>
            <w:tcW w:w="1275" w:type="dxa"/>
            <w:vAlign w:val="center"/>
          </w:tcPr>
          <w:p>
            <w:pPr>
              <w:spacing w:line="240" w:lineRule="atLeast"/>
              <w:jc w:val="center"/>
              <w:rPr>
                <w:rFonts w:hint="eastAsia" w:ascii="仿宋_GB2312" w:hAnsi="宋体" w:eastAsia="仿宋_GB2312"/>
                <w:color w:val="auto"/>
                <w:sz w:val="24"/>
                <w:szCs w:val="24"/>
                <w:highlight w:val="none"/>
              </w:rPr>
            </w:pPr>
          </w:p>
        </w:tc>
        <w:tc>
          <w:tcPr>
            <w:tcW w:w="1276" w:type="dxa"/>
            <w:vAlign w:val="center"/>
          </w:tcPr>
          <w:p>
            <w:pPr>
              <w:spacing w:line="240" w:lineRule="atLeast"/>
              <w:jc w:val="center"/>
              <w:rPr>
                <w:rFonts w:hint="eastAsia" w:ascii="仿宋_GB2312" w:hAnsi="宋体" w:eastAsia="仿宋_GB2312"/>
                <w:color w:val="auto"/>
                <w:sz w:val="24"/>
                <w:szCs w:val="24"/>
                <w:highlight w:val="none"/>
              </w:rPr>
            </w:pPr>
          </w:p>
        </w:tc>
        <w:tc>
          <w:tcPr>
            <w:tcW w:w="851" w:type="dxa"/>
            <w:vAlign w:val="center"/>
          </w:tcPr>
          <w:p>
            <w:pPr>
              <w:spacing w:line="240" w:lineRule="atLeast"/>
              <w:jc w:val="center"/>
              <w:rPr>
                <w:rFonts w:hint="eastAsia" w:ascii="仿宋_GB2312" w:hAnsi="宋体" w:eastAsia="仿宋_GB2312"/>
                <w:color w:val="auto"/>
                <w:sz w:val="24"/>
                <w:szCs w:val="24"/>
                <w:highlight w:val="none"/>
              </w:rPr>
            </w:pPr>
          </w:p>
        </w:tc>
        <w:tc>
          <w:tcPr>
            <w:tcW w:w="1151" w:type="dxa"/>
            <w:vAlign w:val="center"/>
          </w:tcPr>
          <w:p>
            <w:pPr>
              <w:spacing w:line="240" w:lineRule="atLeast"/>
              <w:jc w:val="center"/>
              <w:rPr>
                <w:rFonts w:hint="eastAsia" w:ascii="仿宋_GB2312" w:hAnsi="宋体"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vAlign w:val="center"/>
          </w:tcPr>
          <w:p>
            <w:pPr>
              <w:spacing w:line="240" w:lineRule="atLeast"/>
              <w:jc w:val="center"/>
              <w:rPr>
                <w:rFonts w:hint="eastAsia" w:ascii="仿宋_GB2312" w:hAnsi="宋体" w:eastAsia="仿宋_GB2312"/>
                <w:color w:val="auto"/>
                <w:sz w:val="24"/>
                <w:szCs w:val="24"/>
                <w:highlight w:val="none"/>
              </w:rPr>
            </w:pPr>
          </w:p>
        </w:tc>
        <w:tc>
          <w:tcPr>
            <w:tcW w:w="1321" w:type="dxa"/>
            <w:vAlign w:val="center"/>
          </w:tcPr>
          <w:p>
            <w:pPr>
              <w:spacing w:line="240" w:lineRule="atLeast"/>
              <w:jc w:val="center"/>
              <w:rPr>
                <w:rFonts w:hint="eastAsia" w:ascii="仿宋_GB2312" w:hAnsi="宋体" w:eastAsia="仿宋_GB2312"/>
                <w:color w:val="auto"/>
                <w:sz w:val="24"/>
                <w:szCs w:val="24"/>
                <w:highlight w:val="none"/>
              </w:rPr>
            </w:pPr>
          </w:p>
        </w:tc>
        <w:tc>
          <w:tcPr>
            <w:tcW w:w="1417" w:type="dxa"/>
            <w:vAlign w:val="center"/>
          </w:tcPr>
          <w:p>
            <w:pPr>
              <w:spacing w:line="240" w:lineRule="atLeast"/>
              <w:jc w:val="center"/>
              <w:rPr>
                <w:rFonts w:hint="eastAsia" w:ascii="仿宋_GB2312" w:hAnsi="宋体" w:eastAsia="仿宋_GB2312"/>
                <w:color w:val="auto"/>
                <w:sz w:val="24"/>
                <w:szCs w:val="24"/>
                <w:highlight w:val="none"/>
              </w:rPr>
            </w:pPr>
          </w:p>
        </w:tc>
        <w:tc>
          <w:tcPr>
            <w:tcW w:w="1418" w:type="dxa"/>
            <w:vAlign w:val="center"/>
          </w:tcPr>
          <w:p>
            <w:pPr>
              <w:spacing w:line="240" w:lineRule="atLeast"/>
              <w:jc w:val="center"/>
              <w:rPr>
                <w:rFonts w:hint="eastAsia" w:ascii="仿宋_GB2312" w:hAnsi="宋体" w:eastAsia="仿宋_GB2312"/>
                <w:color w:val="auto"/>
                <w:sz w:val="24"/>
                <w:szCs w:val="24"/>
                <w:highlight w:val="none"/>
              </w:rPr>
            </w:pPr>
          </w:p>
        </w:tc>
        <w:tc>
          <w:tcPr>
            <w:tcW w:w="1275" w:type="dxa"/>
            <w:vAlign w:val="center"/>
          </w:tcPr>
          <w:p>
            <w:pPr>
              <w:spacing w:line="240" w:lineRule="atLeast"/>
              <w:jc w:val="center"/>
              <w:rPr>
                <w:rFonts w:hint="eastAsia" w:ascii="仿宋_GB2312" w:hAnsi="宋体" w:eastAsia="仿宋_GB2312"/>
                <w:color w:val="auto"/>
                <w:sz w:val="24"/>
                <w:szCs w:val="24"/>
                <w:highlight w:val="none"/>
              </w:rPr>
            </w:pPr>
          </w:p>
        </w:tc>
        <w:tc>
          <w:tcPr>
            <w:tcW w:w="1276" w:type="dxa"/>
            <w:vAlign w:val="center"/>
          </w:tcPr>
          <w:p>
            <w:pPr>
              <w:spacing w:line="240" w:lineRule="atLeast"/>
              <w:jc w:val="center"/>
              <w:rPr>
                <w:rFonts w:hint="eastAsia" w:ascii="仿宋_GB2312" w:hAnsi="宋体" w:eastAsia="仿宋_GB2312"/>
                <w:color w:val="auto"/>
                <w:sz w:val="24"/>
                <w:szCs w:val="24"/>
                <w:highlight w:val="none"/>
              </w:rPr>
            </w:pPr>
          </w:p>
        </w:tc>
        <w:tc>
          <w:tcPr>
            <w:tcW w:w="851" w:type="dxa"/>
            <w:vAlign w:val="center"/>
          </w:tcPr>
          <w:p>
            <w:pPr>
              <w:spacing w:line="240" w:lineRule="atLeast"/>
              <w:jc w:val="center"/>
              <w:rPr>
                <w:rFonts w:hint="eastAsia" w:ascii="仿宋_GB2312" w:hAnsi="宋体" w:eastAsia="仿宋_GB2312"/>
                <w:color w:val="auto"/>
                <w:sz w:val="24"/>
                <w:szCs w:val="24"/>
                <w:highlight w:val="none"/>
              </w:rPr>
            </w:pPr>
          </w:p>
        </w:tc>
        <w:tc>
          <w:tcPr>
            <w:tcW w:w="1151" w:type="dxa"/>
            <w:vAlign w:val="center"/>
          </w:tcPr>
          <w:p>
            <w:pPr>
              <w:spacing w:line="240" w:lineRule="atLeast"/>
              <w:jc w:val="center"/>
              <w:rPr>
                <w:rFonts w:hint="eastAsia" w:ascii="仿宋_GB2312" w:hAnsi="宋体"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9" w:hRule="atLeast"/>
          <w:jc w:val="center"/>
        </w:trPr>
        <w:tc>
          <w:tcPr>
            <w:tcW w:w="971" w:type="dxa"/>
            <w:vAlign w:val="center"/>
          </w:tcPr>
          <w:p>
            <w:pPr>
              <w:spacing w:line="240" w:lineRule="atLeast"/>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合计</w:t>
            </w:r>
          </w:p>
        </w:tc>
        <w:tc>
          <w:tcPr>
            <w:tcW w:w="8709" w:type="dxa"/>
            <w:gridSpan w:val="7"/>
            <w:vAlign w:val="center"/>
          </w:tcPr>
          <w:p>
            <w:pPr>
              <w:spacing w:line="240" w:lineRule="atLeast"/>
              <w:jc w:val="center"/>
              <w:rPr>
                <w:rFonts w:hint="eastAsia" w:ascii="仿宋_GB2312" w:hAnsi="宋体" w:eastAsia="仿宋_GB2312"/>
                <w:color w:val="auto"/>
                <w:sz w:val="24"/>
                <w:szCs w:val="24"/>
                <w:highlight w:val="none"/>
              </w:rPr>
            </w:pPr>
          </w:p>
        </w:tc>
      </w:tr>
    </w:tbl>
    <w:p>
      <w:pPr>
        <w:spacing w:line="300" w:lineRule="auto"/>
        <w:outlineLvl w:val="0"/>
        <w:rPr>
          <w:rFonts w:hint="eastAsia" w:ascii="宋体" w:hAnsi="宋体" w:cs="宋体"/>
          <w:b/>
          <w:color w:val="auto"/>
          <w:sz w:val="28"/>
          <w:szCs w:val="28"/>
          <w:highlight w:val="none"/>
          <w:lang w:val="zh-CN"/>
        </w:rPr>
      </w:pPr>
    </w:p>
    <w:p>
      <w:pPr>
        <w:spacing w:line="520" w:lineRule="exact"/>
        <w:outlineLvl w:val="0"/>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备注：本表各分项报价合计应当与“开标一览表”中“投标总报价”数额一致。</w:t>
      </w:r>
    </w:p>
    <w:p>
      <w:pPr>
        <w:rPr>
          <w:rFonts w:hint="eastAsia" w:ascii="宋体" w:hAnsi="宋体" w:cs="宋体"/>
          <w:b/>
          <w:color w:val="auto"/>
          <w:sz w:val="28"/>
          <w:szCs w:val="28"/>
          <w:highlight w:val="none"/>
          <w:lang w:val="zh-CN"/>
        </w:rPr>
      </w:pPr>
    </w:p>
    <w:p>
      <w:pPr>
        <w:pStyle w:val="36"/>
        <w:rPr>
          <w:rFonts w:hint="eastAsia" w:ascii="宋体" w:hAnsi="宋体" w:cs="宋体"/>
          <w:b w:val="0"/>
          <w:color w:val="auto"/>
          <w:highlight w:val="none"/>
          <w:lang w:val="zh-CN"/>
        </w:rPr>
      </w:pPr>
    </w:p>
    <w:p>
      <w:pPr>
        <w:rPr>
          <w:rFonts w:hint="eastAsia" w:ascii="宋体" w:hAnsi="宋体" w:cs="宋体"/>
          <w:b/>
          <w:color w:val="auto"/>
          <w:sz w:val="28"/>
          <w:szCs w:val="28"/>
          <w:highlight w:val="none"/>
          <w:lang w:val="zh-CN"/>
        </w:rPr>
      </w:pPr>
    </w:p>
    <w:p>
      <w:pPr>
        <w:pStyle w:val="36"/>
        <w:rPr>
          <w:color w:val="auto"/>
          <w:highlight w:val="none"/>
          <w:lang w:val="zh-CN"/>
        </w:rPr>
      </w:pPr>
    </w:p>
    <w:p>
      <w:pPr>
        <w:rPr>
          <w:color w:val="auto"/>
          <w:highlight w:val="none"/>
          <w:lang w:val="zh-CN"/>
        </w:rPr>
      </w:pPr>
    </w:p>
    <w:p>
      <w:pPr>
        <w:pStyle w:val="36"/>
        <w:rPr>
          <w:color w:val="auto"/>
          <w:highlight w:val="none"/>
          <w:lang w:val="zh-CN"/>
        </w:rPr>
      </w:pPr>
    </w:p>
    <w:p>
      <w:pPr>
        <w:rPr>
          <w:color w:val="auto"/>
          <w:highlight w:val="none"/>
          <w:lang w:val="zh-CN"/>
        </w:rPr>
      </w:pPr>
    </w:p>
    <w:p>
      <w:pPr>
        <w:pStyle w:val="36"/>
        <w:rPr>
          <w:color w:val="auto"/>
          <w:highlight w:val="none"/>
          <w:lang w:val="zh-CN"/>
        </w:rPr>
      </w:pPr>
    </w:p>
    <w:p>
      <w:pPr>
        <w:rPr>
          <w:color w:val="auto"/>
          <w:highlight w:val="none"/>
          <w:lang w:val="zh-CN"/>
        </w:rPr>
      </w:pPr>
    </w:p>
    <w:p>
      <w:pPr>
        <w:rPr>
          <w:color w:val="auto"/>
          <w:highlight w:val="none"/>
          <w:lang w:val="zh-CN"/>
        </w:rPr>
      </w:pPr>
    </w:p>
    <w:p>
      <w:pPr>
        <w:spacing w:line="300" w:lineRule="auto"/>
        <w:outlineLvl w:val="0"/>
        <w:rPr>
          <w:rFonts w:eastAsia="方正黑体_GBK"/>
          <w:color w:val="auto"/>
          <w:sz w:val="32"/>
          <w:szCs w:val="32"/>
          <w:highlight w:val="none"/>
        </w:rPr>
      </w:pPr>
    </w:p>
    <w:p>
      <w:pPr>
        <w:spacing w:line="300" w:lineRule="auto"/>
        <w:outlineLvl w:val="0"/>
        <w:rPr>
          <w:rFonts w:eastAsia="方正黑体_GBK"/>
          <w:color w:val="auto"/>
          <w:sz w:val="32"/>
          <w:szCs w:val="32"/>
          <w:highlight w:val="none"/>
        </w:rPr>
      </w:pPr>
    </w:p>
    <w:p>
      <w:pPr>
        <w:spacing w:line="300" w:lineRule="auto"/>
        <w:outlineLvl w:val="0"/>
        <w:rPr>
          <w:rFonts w:eastAsia="方正黑体_GBK"/>
          <w:color w:val="auto"/>
          <w:sz w:val="32"/>
          <w:szCs w:val="32"/>
          <w:highlight w:val="none"/>
        </w:rPr>
      </w:pPr>
      <w:r>
        <w:rPr>
          <w:rFonts w:eastAsia="方正黑体_GBK"/>
          <w:color w:val="auto"/>
          <w:sz w:val="32"/>
          <w:szCs w:val="32"/>
          <w:highlight w:val="none"/>
        </w:rPr>
        <w:t>附件9</w:t>
      </w:r>
    </w:p>
    <w:p>
      <w:pPr>
        <w:spacing w:line="300" w:lineRule="auto"/>
        <w:jc w:val="center"/>
        <w:outlineLvl w:val="0"/>
        <w:rPr>
          <w:b/>
          <w:bCs/>
          <w:color w:val="auto"/>
          <w:sz w:val="28"/>
          <w:szCs w:val="28"/>
          <w:highlight w:val="none"/>
          <w:lang w:bidi="zh-CN"/>
        </w:rPr>
      </w:pPr>
      <w:r>
        <w:rPr>
          <w:b/>
          <w:bCs/>
          <w:color w:val="auto"/>
          <w:sz w:val="28"/>
          <w:szCs w:val="28"/>
          <w:highlight w:val="none"/>
          <w:lang w:bidi="zh-CN"/>
        </w:rPr>
        <w:t>中小企业声明函（服务）</w:t>
      </w:r>
    </w:p>
    <w:p>
      <w:pPr>
        <w:spacing w:line="360" w:lineRule="auto"/>
        <w:ind w:firstLine="560"/>
        <w:outlineLvl w:val="0"/>
        <w:rPr>
          <w:color w:val="auto"/>
          <w:sz w:val="28"/>
          <w:szCs w:val="28"/>
          <w:highlight w:val="none"/>
          <w:lang w:bidi="zh-CN"/>
        </w:rPr>
      </w:pPr>
      <w:r>
        <w:rPr>
          <w:color w:val="auto"/>
          <w:sz w:val="28"/>
          <w:szCs w:val="28"/>
          <w:highlight w:val="none"/>
          <w:lang w:bidi="zh-CN"/>
        </w:rPr>
        <w:t>本公司（联合体）郑重声明，根据《政府采购促进中小企业发展管理办法》（财库</w:t>
      </w:r>
      <w:r>
        <w:rPr>
          <w:rFonts w:hint="eastAsia"/>
          <w:color w:val="auto"/>
          <w:sz w:val="28"/>
          <w:szCs w:val="28"/>
          <w:highlight w:val="none"/>
          <w:lang w:bidi="zh-CN"/>
        </w:rPr>
        <w:t>﹝</w:t>
      </w:r>
      <w:r>
        <w:rPr>
          <w:color w:val="auto"/>
          <w:sz w:val="28"/>
          <w:szCs w:val="28"/>
          <w:highlight w:val="none"/>
          <w:lang w:bidi="zh-CN"/>
        </w:rPr>
        <w:t>2020</w:t>
      </w:r>
      <w:r>
        <w:rPr>
          <w:rFonts w:hint="eastAsia"/>
          <w:color w:val="auto"/>
          <w:sz w:val="28"/>
          <w:szCs w:val="28"/>
          <w:highlight w:val="none"/>
          <w:lang w:bidi="zh-CN"/>
        </w:rPr>
        <w:t>﹞</w:t>
      </w:r>
      <w:r>
        <w:rPr>
          <w:color w:val="auto"/>
          <w:sz w:val="28"/>
          <w:szCs w:val="28"/>
          <w:highlight w:val="none"/>
          <w:lang w:bidi="zh-CN"/>
        </w:rPr>
        <w:t>46 号）的规定，本公司参加</w:t>
      </w:r>
      <w:r>
        <w:rPr>
          <w:color w:val="auto"/>
          <w:sz w:val="28"/>
          <w:szCs w:val="28"/>
          <w:highlight w:val="none"/>
          <w:u w:val="single"/>
          <w:lang w:bidi="zh-CN"/>
        </w:rPr>
        <w:t>（单位名称）</w:t>
      </w:r>
      <w:r>
        <w:rPr>
          <w:color w:val="auto"/>
          <w:sz w:val="28"/>
          <w:szCs w:val="28"/>
          <w:highlight w:val="none"/>
          <w:lang w:bidi="zh-CN"/>
        </w:rPr>
        <w:t>的</w:t>
      </w:r>
      <w:r>
        <w:rPr>
          <w:color w:val="auto"/>
          <w:sz w:val="28"/>
          <w:szCs w:val="28"/>
          <w:highlight w:val="none"/>
          <w:u w:val="single"/>
          <w:lang w:bidi="zh-CN"/>
        </w:rPr>
        <w:t>（项目名称）</w:t>
      </w:r>
      <w:r>
        <w:rPr>
          <w:color w:val="auto"/>
          <w:sz w:val="28"/>
          <w:szCs w:val="28"/>
          <w:highlight w:val="none"/>
          <w:lang w:bidi="zh-CN"/>
        </w:rPr>
        <w:t>采购活动，服务全部由符合政策要求的中小企业承接。相关企业的具体情况如下：</w:t>
      </w:r>
    </w:p>
    <w:p>
      <w:pPr>
        <w:spacing w:line="360" w:lineRule="auto"/>
        <w:jc w:val="left"/>
        <w:outlineLvl w:val="0"/>
        <w:rPr>
          <w:color w:val="auto"/>
          <w:sz w:val="28"/>
          <w:szCs w:val="28"/>
          <w:highlight w:val="none"/>
          <w:lang w:bidi="zh-CN"/>
        </w:rPr>
      </w:pPr>
      <w:r>
        <w:rPr>
          <w:rFonts w:hint="eastAsia"/>
          <w:color w:val="auto"/>
          <w:sz w:val="28"/>
          <w:szCs w:val="28"/>
          <w:highlight w:val="none"/>
          <w:lang w:bidi="zh-CN"/>
        </w:rPr>
        <w:t>1.</w:t>
      </w:r>
      <w:r>
        <w:rPr>
          <w:color w:val="auto"/>
          <w:sz w:val="28"/>
          <w:szCs w:val="28"/>
          <w:highlight w:val="none"/>
          <w:u w:val="single"/>
          <w:lang w:bidi="zh-CN"/>
        </w:rPr>
        <w:t>（标的名称）</w:t>
      </w:r>
      <w:r>
        <w:rPr>
          <w:color w:val="auto"/>
          <w:sz w:val="28"/>
          <w:szCs w:val="28"/>
          <w:highlight w:val="none"/>
          <w:lang w:bidi="zh-CN"/>
        </w:rPr>
        <w:t>，属于（</w:t>
      </w:r>
      <w:r>
        <w:rPr>
          <w:color w:val="auto"/>
          <w:sz w:val="28"/>
          <w:szCs w:val="28"/>
          <w:highlight w:val="none"/>
          <w:u w:val="single"/>
          <w:lang w:bidi="zh-CN"/>
        </w:rPr>
        <w:t>采购文件中明确的所属行业）</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万元，属于</w:t>
      </w:r>
      <w:r>
        <w:rPr>
          <w:rFonts w:hint="eastAsia"/>
          <w:color w:val="auto"/>
          <w:sz w:val="28"/>
          <w:szCs w:val="28"/>
          <w:highlight w:val="none"/>
          <w:u w:val="single"/>
          <w:lang w:val="en-US" w:bidi="zh-CN"/>
        </w:rPr>
        <w:t xml:space="preserve"> </w:t>
      </w:r>
      <w:r>
        <w:rPr>
          <w:rFonts w:ascii="宋体" w:hAnsi="宋体"/>
          <w:color w:val="auto"/>
          <w:sz w:val="28"/>
          <w:szCs w:val="28"/>
          <w:highlight w:val="none"/>
          <w:u w:val="single"/>
          <w:lang w:bidi="zh-CN"/>
        </w:rPr>
        <w:t>（</w:t>
      </w:r>
      <w:r>
        <w:rPr>
          <w:rFonts w:hint="eastAsia" w:ascii="宋体" w:hAnsi="宋体"/>
          <w:color w:val="auto"/>
          <w:sz w:val="28"/>
          <w:szCs w:val="28"/>
          <w:highlight w:val="none"/>
          <w:u w:val="single"/>
        </w:rPr>
        <w:t>□中型企业 □小型企业 □微型企业</w:t>
      </w:r>
      <w:r>
        <w:rPr>
          <w:rFonts w:ascii="宋体" w:hAnsi="宋体"/>
          <w:color w:val="auto"/>
          <w:sz w:val="28"/>
          <w:szCs w:val="28"/>
          <w:highlight w:val="none"/>
          <w:u w:val="single"/>
          <w:lang w:bidi="zh-CN"/>
        </w:rPr>
        <w:t>）</w:t>
      </w:r>
      <w:r>
        <w:rPr>
          <w:color w:val="auto"/>
          <w:sz w:val="28"/>
          <w:szCs w:val="28"/>
          <w:highlight w:val="none"/>
          <w:lang w:bidi="zh-CN"/>
        </w:rPr>
        <w:t>；</w:t>
      </w:r>
    </w:p>
    <w:p>
      <w:pPr>
        <w:spacing w:line="360" w:lineRule="auto"/>
        <w:jc w:val="left"/>
        <w:outlineLvl w:val="0"/>
        <w:rPr>
          <w:color w:val="auto"/>
          <w:sz w:val="28"/>
          <w:szCs w:val="28"/>
          <w:highlight w:val="none"/>
          <w:lang w:bidi="zh-CN"/>
        </w:rPr>
      </w:pPr>
      <w:r>
        <w:rPr>
          <w:rFonts w:hint="eastAsia"/>
          <w:color w:val="auto"/>
          <w:sz w:val="28"/>
          <w:szCs w:val="28"/>
          <w:highlight w:val="none"/>
          <w:lang w:bidi="zh-CN"/>
        </w:rPr>
        <w:t>2.</w:t>
      </w:r>
      <w:r>
        <w:rPr>
          <w:color w:val="auto"/>
          <w:sz w:val="28"/>
          <w:szCs w:val="28"/>
          <w:highlight w:val="none"/>
          <w:u w:val="single"/>
          <w:lang w:bidi="zh-CN"/>
        </w:rPr>
        <w:t>（标的名称）</w:t>
      </w:r>
      <w:r>
        <w:rPr>
          <w:color w:val="auto"/>
          <w:sz w:val="28"/>
          <w:szCs w:val="28"/>
          <w:highlight w:val="none"/>
          <w:lang w:bidi="zh-CN"/>
        </w:rPr>
        <w:t>，属于（</w:t>
      </w:r>
      <w:r>
        <w:rPr>
          <w:color w:val="auto"/>
          <w:sz w:val="28"/>
          <w:szCs w:val="28"/>
          <w:highlight w:val="none"/>
          <w:u w:val="single"/>
          <w:lang w:bidi="zh-CN"/>
        </w:rPr>
        <w:t>采购文件中明确的所属行业）</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万元，属于</w:t>
      </w:r>
      <w:r>
        <w:rPr>
          <w:rFonts w:ascii="宋体" w:hAnsi="宋体"/>
          <w:color w:val="auto"/>
          <w:sz w:val="28"/>
          <w:szCs w:val="28"/>
          <w:highlight w:val="none"/>
          <w:u w:val="single"/>
          <w:lang w:bidi="zh-CN"/>
        </w:rPr>
        <w:t>（</w:t>
      </w:r>
      <w:r>
        <w:rPr>
          <w:rFonts w:hint="eastAsia" w:ascii="宋体" w:hAnsi="宋体"/>
          <w:color w:val="auto"/>
          <w:sz w:val="28"/>
          <w:szCs w:val="28"/>
          <w:highlight w:val="none"/>
          <w:u w:val="single"/>
        </w:rPr>
        <w:t>□中型企业 □小型企业 □微型企业</w:t>
      </w:r>
      <w:r>
        <w:rPr>
          <w:rFonts w:ascii="宋体" w:hAnsi="宋体"/>
          <w:color w:val="auto"/>
          <w:sz w:val="28"/>
          <w:szCs w:val="28"/>
          <w:highlight w:val="none"/>
          <w:u w:val="single"/>
          <w:lang w:bidi="zh-CN"/>
        </w:rPr>
        <w:t>）</w:t>
      </w:r>
      <w:r>
        <w:rPr>
          <w:color w:val="auto"/>
          <w:sz w:val="28"/>
          <w:szCs w:val="28"/>
          <w:highlight w:val="none"/>
          <w:lang w:bidi="zh-CN"/>
        </w:rPr>
        <w:t>；</w:t>
      </w:r>
    </w:p>
    <w:p>
      <w:pPr>
        <w:spacing w:line="360" w:lineRule="auto"/>
        <w:jc w:val="left"/>
        <w:outlineLvl w:val="0"/>
        <w:rPr>
          <w:color w:val="auto"/>
          <w:sz w:val="28"/>
          <w:szCs w:val="28"/>
          <w:highlight w:val="none"/>
          <w:lang w:bidi="zh-CN"/>
        </w:rPr>
      </w:pPr>
      <w:r>
        <w:rPr>
          <w:color w:val="auto"/>
          <w:sz w:val="28"/>
          <w:szCs w:val="28"/>
          <w:highlight w:val="none"/>
          <w:lang w:bidi="zh-CN"/>
        </w:rPr>
        <w:t>……</w:t>
      </w:r>
    </w:p>
    <w:p>
      <w:pPr>
        <w:spacing w:line="360" w:lineRule="auto"/>
        <w:ind w:firstLine="560"/>
        <w:outlineLvl w:val="0"/>
        <w:rPr>
          <w:color w:val="auto"/>
          <w:sz w:val="28"/>
          <w:szCs w:val="28"/>
          <w:highlight w:val="none"/>
          <w:lang w:bidi="zh-CN"/>
        </w:rPr>
      </w:pPr>
      <w:r>
        <w:rPr>
          <w:color w:val="auto"/>
          <w:sz w:val="28"/>
          <w:szCs w:val="28"/>
          <w:highlight w:val="none"/>
          <w:lang w:bidi="zh-CN"/>
        </w:rPr>
        <w:t>以上企业，不属于大企业的分支机构，不存在控股股东为大企业的情形，也不存在与大企业的负责人为同一人的情形。</w:t>
      </w:r>
    </w:p>
    <w:p>
      <w:pPr>
        <w:spacing w:line="360" w:lineRule="auto"/>
        <w:ind w:firstLine="560"/>
        <w:outlineLvl w:val="0"/>
        <w:rPr>
          <w:color w:val="auto"/>
          <w:sz w:val="28"/>
          <w:szCs w:val="28"/>
          <w:highlight w:val="none"/>
          <w:lang w:bidi="zh-CN"/>
        </w:rPr>
      </w:pPr>
      <w:r>
        <w:rPr>
          <w:color w:val="auto"/>
          <w:sz w:val="28"/>
          <w:szCs w:val="28"/>
          <w:highlight w:val="none"/>
          <w:lang w:bidi="zh-CN"/>
        </w:rPr>
        <w:t>本企业对上述声明内容的真实性负责。如有虚假，将依法承担相应责任。</w:t>
      </w:r>
    </w:p>
    <w:p>
      <w:pPr>
        <w:spacing w:line="360" w:lineRule="auto"/>
        <w:ind w:firstLine="560"/>
        <w:outlineLvl w:val="0"/>
        <w:rPr>
          <w:color w:val="auto"/>
          <w:sz w:val="28"/>
          <w:szCs w:val="28"/>
          <w:highlight w:val="none"/>
          <w:lang w:bidi="zh-CN"/>
        </w:rPr>
      </w:pPr>
    </w:p>
    <w:p>
      <w:pPr>
        <w:spacing w:line="300" w:lineRule="auto"/>
        <w:outlineLvl w:val="0"/>
        <w:rPr>
          <w:rFonts w:hint="eastAsia" w:ascii="宋体" w:hAnsi="宋体" w:cs="宋体"/>
          <w:color w:val="auto"/>
          <w:highlight w:val="none"/>
          <w:lang w:bidi="zh-CN"/>
        </w:rPr>
      </w:pPr>
      <w:r>
        <w:rPr>
          <w:rFonts w:hint="eastAsia" w:ascii="宋体" w:hAnsi="宋体" w:cs="宋体"/>
          <w:color w:val="auto"/>
          <w:highlight w:val="none"/>
          <w:lang w:bidi="zh-CN"/>
        </w:rPr>
        <w:t>注：1.如项目属性为“服务”或“工程”，请按本表填写。</w:t>
      </w:r>
    </w:p>
    <w:p>
      <w:pPr>
        <w:spacing w:line="300" w:lineRule="auto"/>
        <w:ind w:firstLine="420"/>
        <w:outlineLvl w:val="0"/>
        <w:rPr>
          <w:rFonts w:hint="eastAsia" w:ascii="宋体" w:hAnsi="宋体" w:cs="宋体"/>
          <w:color w:val="auto"/>
          <w:highlight w:val="none"/>
          <w:lang w:bidi="zh-CN"/>
        </w:rPr>
      </w:pPr>
      <w:r>
        <w:rPr>
          <w:rFonts w:hint="eastAsia" w:ascii="宋体" w:hAnsi="宋体" w:cs="宋体"/>
          <w:color w:val="auto"/>
          <w:highlight w:val="none"/>
          <w:lang w:bidi="zh-CN"/>
        </w:rPr>
        <w:t>2.从业人员、营业收入、资产总额填报上一年度数据，无上一年度数据的新成立企业可不填报。</w:t>
      </w:r>
    </w:p>
    <w:p>
      <w:pPr>
        <w:spacing w:line="300" w:lineRule="auto"/>
        <w:ind w:firstLine="420"/>
        <w:outlineLvl w:val="0"/>
        <w:rPr>
          <w:color w:val="auto"/>
          <w:sz w:val="28"/>
          <w:szCs w:val="28"/>
          <w:highlight w:val="none"/>
          <w:lang w:bidi="zh-CN"/>
        </w:rPr>
      </w:pPr>
      <w:r>
        <w:rPr>
          <w:rFonts w:hint="eastAsia" w:ascii="宋体" w:hAnsi="宋体" w:cs="宋体"/>
          <w:color w:val="auto"/>
          <w:highlight w:val="none"/>
          <w:lang w:bidi="zh-CN"/>
        </w:rPr>
        <w:t>3.中标投标人的《中小企业声明函》将随中标公告进行公示。投标人按照本办法规定提供声明函内容不实的，属于提供虚假材料谋取中标、成交，依照《中华人民共和国政府采购法》等国家有关规定追究相应责任。</w:t>
      </w:r>
    </w:p>
    <w:p>
      <w:pPr>
        <w:spacing w:line="300" w:lineRule="auto"/>
        <w:ind w:firstLine="4900"/>
        <w:outlineLvl w:val="0"/>
        <w:rPr>
          <w:color w:val="auto"/>
          <w:sz w:val="28"/>
          <w:szCs w:val="28"/>
          <w:highlight w:val="none"/>
          <w:lang w:bidi="zh-CN"/>
        </w:rPr>
      </w:pPr>
    </w:p>
    <w:p>
      <w:pPr>
        <w:spacing w:line="300" w:lineRule="auto"/>
        <w:ind w:firstLine="4900"/>
        <w:outlineLvl w:val="0"/>
        <w:rPr>
          <w:color w:val="auto"/>
          <w:sz w:val="28"/>
          <w:szCs w:val="28"/>
          <w:highlight w:val="none"/>
          <w:lang w:bidi="zh-CN"/>
        </w:rPr>
      </w:pPr>
      <w:r>
        <w:rPr>
          <w:color w:val="auto"/>
          <w:sz w:val="28"/>
          <w:szCs w:val="28"/>
          <w:highlight w:val="none"/>
          <w:lang w:bidi="zh-CN"/>
        </w:rPr>
        <w:t>企业名称（盖章）：</w:t>
      </w:r>
    </w:p>
    <w:p>
      <w:pPr>
        <w:spacing w:line="300" w:lineRule="auto"/>
        <w:ind w:firstLine="4900"/>
        <w:outlineLvl w:val="0"/>
        <w:rPr>
          <w:color w:val="auto"/>
          <w:sz w:val="28"/>
          <w:szCs w:val="28"/>
          <w:highlight w:val="none"/>
          <w:lang w:bidi="zh-CN"/>
        </w:rPr>
      </w:pPr>
      <w:r>
        <w:rPr>
          <w:color w:val="auto"/>
          <w:sz w:val="28"/>
          <w:szCs w:val="28"/>
          <w:highlight w:val="none"/>
          <w:lang w:bidi="zh-CN"/>
        </w:rPr>
        <w:t>日期：</w:t>
      </w:r>
    </w:p>
    <w:p>
      <w:pPr>
        <w:spacing w:line="300" w:lineRule="auto"/>
        <w:jc w:val="center"/>
        <w:outlineLvl w:val="0"/>
        <w:rPr>
          <w:color w:val="auto"/>
          <w:sz w:val="28"/>
          <w:szCs w:val="28"/>
          <w:highlight w:val="none"/>
          <w:lang w:bidi="zh-CN"/>
        </w:rPr>
      </w:pPr>
    </w:p>
    <w:p>
      <w:pPr>
        <w:spacing w:line="300" w:lineRule="auto"/>
        <w:outlineLvl w:val="0"/>
        <w:rPr>
          <w:rFonts w:eastAsia="方正黑体_GBK"/>
          <w:color w:val="auto"/>
          <w:sz w:val="32"/>
          <w:szCs w:val="32"/>
          <w:highlight w:val="none"/>
        </w:rPr>
      </w:pPr>
    </w:p>
    <w:p>
      <w:pPr>
        <w:spacing w:line="300" w:lineRule="auto"/>
        <w:outlineLvl w:val="0"/>
        <w:rPr>
          <w:rFonts w:eastAsia="方正黑体_GBK"/>
          <w:color w:val="auto"/>
          <w:sz w:val="32"/>
          <w:szCs w:val="32"/>
          <w:highlight w:val="none"/>
        </w:rPr>
      </w:pPr>
    </w:p>
    <w:p>
      <w:pPr>
        <w:spacing w:line="300" w:lineRule="auto"/>
        <w:outlineLvl w:val="0"/>
        <w:rPr>
          <w:rFonts w:eastAsia="方正黑体_GBK"/>
          <w:color w:val="auto"/>
          <w:sz w:val="32"/>
          <w:szCs w:val="32"/>
          <w:highlight w:val="none"/>
        </w:rPr>
      </w:pPr>
      <w:r>
        <w:rPr>
          <w:rFonts w:eastAsia="方正黑体_GBK"/>
          <w:color w:val="auto"/>
          <w:sz w:val="32"/>
          <w:szCs w:val="32"/>
          <w:highlight w:val="none"/>
        </w:rPr>
        <w:t>附件10</w:t>
      </w:r>
    </w:p>
    <w:p>
      <w:pPr>
        <w:spacing w:line="46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残疾人福利性单位声明函</w:t>
      </w:r>
    </w:p>
    <w:p>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本单位对上述声明的真实性负责。如有虚假，将依法承担相应责任。</w:t>
      </w:r>
    </w:p>
    <w:p>
      <w:pPr>
        <w:spacing w:line="588" w:lineRule="exact"/>
        <w:ind w:firstLine="560"/>
        <w:rPr>
          <w:rFonts w:hint="eastAsia" w:ascii="宋体" w:hAnsi="宋体"/>
          <w:color w:val="auto"/>
          <w:sz w:val="28"/>
          <w:szCs w:val="28"/>
          <w:highlight w:val="none"/>
        </w:rPr>
      </w:pPr>
    </w:p>
    <w:p>
      <w:pPr>
        <w:spacing w:line="588" w:lineRule="exact"/>
        <w:ind w:firstLine="560"/>
        <w:rPr>
          <w:rFonts w:hint="eastAsia" w:ascii="宋体" w:hAnsi="宋体"/>
          <w:color w:val="auto"/>
          <w:sz w:val="28"/>
          <w:szCs w:val="28"/>
          <w:highlight w:val="none"/>
        </w:rPr>
      </w:pPr>
    </w:p>
    <w:p>
      <w:pPr>
        <w:spacing w:line="588" w:lineRule="exact"/>
        <w:ind w:firstLine="560"/>
        <w:rPr>
          <w:rFonts w:hint="eastAsia" w:ascii="宋体" w:hAnsi="宋体"/>
          <w:color w:val="auto"/>
          <w:sz w:val="28"/>
          <w:szCs w:val="28"/>
          <w:highlight w:val="none"/>
        </w:rPr>
      </w:pPr>
    </w:p>
    <w:p>
      <w:pPr>
        <w:spacing w:line="588" w:lineRule="exact"/>
        <w:ind w:firstLine="560"/>
        <w:rPr>
          <w:rFonts w:hint="eastAsia" w:ascii="宋体" w:hAnsi="宋体"/>
          <w:color w:val="auto"/>
          <w:sz w:val="28"/>
          <w:szCs w:val="28"/>
          <w:highlight w:val="none"/>
        </w:rPr>
      </w:pPr>
    </w:p>
    <w:p>
      <w:pPr>
        <w:spacing w:line="300" w:lineRule="auto"/>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注：1、投标人如不提供此声明函，价格将不做相应扣除。</w:t>
      </w:r>
    </w:p>
    <w:p>
      <w:pPr>
        <w:spacing w:line="588" w:lineRule="exact"/>
        <w:ind w:firstLine="560"/>
        <w:rPr>
          <w:rFonts w:ascii="仿宋_GB2312" w:eastAsia="仿宋_GB2312"/>
          <w:color w:val="auto"/>
          <w:spacing w:val="6"/>
          <w:sz w:val="28"/>
          <w:szCs w:val="28"/>
          <w:highlight w:val="none"/>
        </w:rPr>
      </w:pPr>
      <w:r>
        <w:rPr>
          <w:rFonts w:hint="eastAsia" w:ascii="宋体" w:hAnsi="宋体" w:cs="宋体"/>
          <w:color w:val="auto"/>
          <w:sz w:val="28"/>
          <w:szCs w:val="28"/>
          <w:highlight w:val="none"/>
          <w:lang w:bidi="zh-CN"/>
        </w:rPr>
        <w:t>2、中标投标人为残疾人福利单位的，此声明函将随中标结果同时公告，接受社会监督。投标人按照本办法规定提供声明函内容不实的，属于提供虚假材料谋取中标、成交，依照《中华人民共和国政府采购法》等国家有关规定追究相应责任。</w:t>
      </w:r>
    </w:p>
    <w:p>
      <w:pPr>
        <w:spacing w:line="588" w:lineRule="exact"/>
        <w:ind w:firstLine="584"/>
        <w:rPr>
          <w:rFonts w:ascii="仿宋_GB2312" w:eastAsia="仿宋_GB2312"/>
          <w:color w:val="auto"/>
          <w:spacing w:val="6"/>
          <w:sz w:val="28"/>
          <w:szCs w:val="28"/>
          <w:highlight w:val="none"/>
        </w:rPr>
      </w:pPr>
    </w:p>
    <w:p>
      <w:pPr>
        <w:tabs>
          <w:tab w:val="left" w:pos="4860"/>
        </w:tabs>
        <w:spacing w:line="588" w:lineRule="exact"/>
        <w:ind w:right="1560" w:firstLine="584"/>
        <w:jc w:val="center"/>
        <w:rPr>
          <w:rFonts w:hint="eastAsia"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投标人全称（盖章）：</w:t>
      </w:r>
    </w:p>
    <w:p>
      <w:pPr>
        <w:tabs>
          <w:tab w:val="left" w:pos="4860"/>
        </w:tabs>
        <w:spacing w:line="588" w:lineRule="exact"/>
        <w:ind w:right="1560" w:firstLine="560"/>
        <w:jc w:val="center"/>
        <w:rPr>
          <w:rFonts w:hint="eastAsia" w:ascii="宋体" w:hAnsi="宋体"/>
          <w:color w:val="auto"/>
          <w:sz w:val="28"/>
          <w:szCs w:val="28"/>
          <w:highlight w:val="none"/>
        </w:rPr>
      </w:pPr>
      <w:r>
        <w:rPr>
          <w:rFonts w:hint="eastAsia" w:ascii="宋体" w:hAnsi="宋体"/>
          <w:color w:val="auto"/>
          <w:sz w:val="28"/>
          <w:szCs w:val="28"/>
          <w:highlight w:val="none"/>
        </w:rPr>
        <w:t xml:space="preserve">              日  期：</w:t>
      </w:r>
    </w:p>
    <w:p>
      <w:pPr>
        <w:spacing w:line="300" w:lineRule="auto"/>
        <w:outlineLvl w:val="0"/>
        <w:rPr>
          <w:rFonts w:eastAsia="方正黑体_GBK"/>
          <w:color w:val="auto"/>
          <w:sz w:val="32"/>
          <w:szCs w:val="32"/>
          <w:highlight w:val="none"/>
        </w:rPr>
      </w:pPr>
      <w:r>
        <w:rPr>
          <w:color w:val="auto"/>
          <w:sz w:val="28"/>
          <w:szCs w:val="28"/>
          <w:highlight w:val="none"/>
        </w:rPr>
        <w:br w:type="page" w:clear="all"/>
      </w:r>
      <w:r>
        <w:rPr>
          <w:rFonts w:eastAsia="方正黑体_GBK"/>
          <w:color w:val="auto"/>
          <w:sz w:val="32"/>
          <w:szCs w:val="32"/>
          <w:highlight w:val="none"/>
        </w:rPr>
        <w:t>附件11</w:t>
      </w:r>
    </w:p>
    <w:p>
      <w:pPr>
        <w:spacing w:line="420" w:lineRule="exact"/>
        <w:jc w:val="center"/>
        <w:outlineLvl w:val="3"/>
        <w:rPr>
          <w:rFonts w:ascii="Calibri" w:hAnsi="Calibri"/>
          <w:b/>
          <w:bCs/>
          <w:color w:val="auto"/>
          <w:sz w:val="32"/>
          <w:szCs w:val="32"/>
          <w:highlight w:val="none"/>
        </w:rPr>
      </w:pPr>
      <w:r>
        <w:rPr>
          <w:rFonts w:hint="eastAsia" w:ascii="Calibri" w:hAnsi="Calibri"/>
          <w:b/>
          <w:bCs/>
          <w:color w:val="auto"/>
          <w:sz w:val="32"/>
          <w:szCs w:val="32"/>
          <w:highlight w:val="none"/>
        </w:rPr>
        <w:t>监狱和戒毒企业证明材料</w:t>
      </w:r>
    </w:p>
    <w:p>
      <w:pPr>
        <w:spacing w:line="420" w:lineRule="exact"/>
        <w:ind w:firstLine="495"/>
        <w:rPr>
          <w:rFonts w:hint="eastAsia" w:ascii="宋体" w:hAnsi="宋体" w:cs="宋体"/>
          <w:color w:val="auto"/>
          <w:sz w:val="28"/>
          <w:szCs w:val="28"/>
          <w:highlight w:val="none"/>
        </w:rPr>
      </w:pPr>
    </w:p>
    <w:p>
      <w:pPr>
        <w:spacing w:line="420" w:lineRule="exact"/>
        <w:ind w:firstLine="498"/>
        <w:rPr>
          <w:rFonts w:hint="eastAsia" w:ascii="宋体" w:hAnsi="宋体" w:cs="宋体"/>
          <w:b/>
          <w:color w:val="auto"/>
          <w:sz w:val="28"/>
          <w:szCs w:val="28"/>
          <w:highlight w:val="none"/>
        </w:rPr>
      </w:pPr>
      <w:r>
        <w:rPr>
          <w:rFonts w:hint="eastAsia" w:ascii="宋体" w:hAnsi="宋体" w:cs="宋体"/>
          <w:b/>
          <w:color w:val="auto"/>
          <w:sz w:val="28"/>
          <w:szCs w:val="28"/>
          <w:highlight w:val="none"/>
        </w:rPr>
        <w:t>（格式自拟）</w:t>
      </w:r>
    </w:p>
    <w:p>
      <w:pPr>
        <w:spacing w:line="420" w:lineRule="exact"/>
        <w:ind w:firstLine="495"/>
        <w:rPr>
          <w:rFonts w:hint="eastAsia" w:ascii="宋体" w:hAnsi="宋体" w:cs="宋体"/>
          <w:color w:val="auto"/>
          <w:sz w:val="28"/>
          <w:szCs w:val="28"/>
          <w:highlight w:val="none"/>
        </w:rPr>
      </w:pPr>
    </w:p>
    <w:p>
      <w:pPr>
        <w:spacing w:line="420" w:lineRule="exact"/>
        <w:ind w:firstLine="660"/>
        <w:rPr>
          <w:rFonts w:hint="eastAsia"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r>
        <w:rPr>
          <w:rFonts w:hint="eastAsia"/>
          <w:color w:val="auto"/>
          <w:sz w:val="28"/>
          <w:szCs w:val="28"/>
          <w:highlight w:val="none"/>
        </w:rPr>
        <w:t>注：1、投标人如不提供此声明函，价格将不做相应扣除。</w:t>
      </w:r>
    </w:p>
    <w:p>
      <w:pPr>
        <w:spacing w:line="300" w:lineRule="auto"/>
        <w:ind w:firstLine="560"/>
        <w:outlineLvl w:val="0"/>
        <w:rPr>
          <w:color w:val="auto"/>
          <w:sz w:val="28"/>
          <w:szCs w:val="28"/>
          <w:highlight w:val="none"/>
        </w:rPr>
      </w:pPr>
      <w:r>
        <w:rPr>
          <w:rFonts w:hint="eastAsia"/>
          <w:color w:val="auto"/>
          <w:sz w:val="28"/>
          <w:szCs w:val="28"/>
          <w:highlight w:val="none"/>
        </w:rPr>
        <w:t>2、中标投标人为监狱企业的，此声明函将随中标结果同时公告，</w:t>
      </w:r>
    </w:p>
    <w:p>
      <w:pPr>
        <w:spacing w:line="300" w:lineRule="auto"/>
        <w:outlineLvl w:val="0"/>
        <w:rPr>
          <w:color w:val="auto"/>
          <w:sz w:val="28"/>
          <w:szCs w:val="28"/>
          <w:highlight w:val="none"/>
        </w:rPr>
      </w:pPr>
      <w:r>
        <w:rPr>
          <w:rFonts w:hint="eastAsia"/>
          <w:color w:val="auto"/>
          <w:sz w:val="28"/>
          <w:szCs w:val="28"/>
          <w:highlight w:val="none"/>
        </w:rPr>
        <w:t>接受社会监督。投标人按照本办法规定提供声明函内容不实的，属于</w:t>
      </w:r>
    </w:p>
    <w:p>
      <w:pPr>
        <w:spacing w:line="300" w:lineRule="auto"/>
        <w:outlineLvl w:val="0"/>
        <w:rPr>
          <w:color w:val="auto"/>
          <w:sz w:val="28"/>
          <w:szCs w:val="28"/>
          <w:highlight w:val="none"/>
        </w:rPr>
      </w:pPr>
      <w:r>
        <w:rPr>
          <w:rFonts w:hint="eastAsia"/>
          <w:color w:val="auto"/>
          <w:sz w:val="28"/>
          <w:szCs w:val="28"/>
          <w:highlight w:val="none"/>
        </w:rPr>
        <w:t>提供虚假材料谋取中标、成交，依照《中华人民共和国政府采购法》</w:t>
      </w:r>
    </w:p>
    <w:p>
      <w:pPr>
        <w:spacing w:line="300" w:lineRule="auto"/>
        <w:outlineLvl w:val="0"/>
        <w:rPr>
          <w:color w:val="auto"/>
          <w:sz w:val="28"/>
          <w:szCs w:val="28"/>
          <w:highlight w:val="none"/>
        </w:rPr>
      </w:pPr>
      <w:r>
        <w:rPr>
          <w:rFonts w:hint="eastAsia"/>
          <w:color w:val="auto"/>
          <w:sz w:val="28"/>
          <w:szCs w:val="28"/>
          <w:highlight w:val="none"/>
        </w:rPr>
        <w:t>等国家有关规定追究相应责任。</w:t>
      </w: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spacing w:line="300" w:lineRule="auto"/>
        <w:outlineLvl w:val="0"/>
        <w:rPr>
          <w:color w:val="auto"/>
          <w:sz w:val="28"/>
          <w:szCs w:val="28"/>
          <w:highlight w:val="none"/>
        </w:rPr>
      </w:pPr>
    </w:p>
    <w:p>
      <w:pPr>
        <w:rPr>
          <w:rFonts w:eastAsia="方正黑体_GBK"/>
          <w:bCs/>
          <w:color w:val="auto"/>
          <w:sz w:val="32"/>
          <w:szCs w:val="32"/>
          <w:highlight w:val="none"/>
          <w:lang w:bidi="ar"/>
        </w:rPr>
      </w:pPr>
      <w:r>
        <w:rPr>
          <w:rFonts w:eastAsia="方正黑体_GBK"/>
          <w:bCs/>
          <w:color w:val="auto"/>
          <w:sz w:val="32"/>
          <w:szCs w:val="32"/>
          <w:highlight w:val="none"/>
          <w:lang w:bidi="ar"/>
        </w:rPr>
        <w:br w:type="page" w:clear="all"/>
      </w:r>
      <w:r>
        <w:rPr>
          <w:rFonts w:eastAsia="方正黑体_GBK"/>
          <w:bCs/>
          <w:color w:val="auto"/>
          <w:sz w:val="32"/>
          <w:szCs w:val="32"/>
          <w:highlight w:val="none"/>
          <w:lang w:bidi="ar"/>
        </w:rPr>
        <w:t>附件12</w:t>
      </w:r>
    </w:p>
    <w:p>
      <w:pPr>
        <w:spacing w:line="520" w:lineRule="exact"/>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一、质疑投标人基本信息</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质疑投标人：</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w:t>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质疑函制作说明：</w:t>
      </w:r>
    </w:p>
    <w:p>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1.投标人提出质疑时，应提交质疑函和必要的证明材料。</w:t>
      </w:r>
    </w:p>
    <w:p>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2.质疑投标人若委托代理人进行质疑的，质疑函应按要求列明“授权代表”的有关内容，并在附件中提交由质疑</w:t>
      </w:r>
      <w:r>
        <w:rPr>
          <w:rFonts w:hint="eastAsia" w:ascii="宋体" w:hAnsi="宋体" w:cs="宋体"/>
          <w:color w:val="auto"/>
          <w:sz w:val="24"/>
          <w:szCs w:val="24"/>
          <w:highlight w:val="none"/>
        </w:rPr>
        <w:t>投标人签署的授权委托书。授权委托书应载明代理人的姓名或者名称、代理事项、具体权限、期限和相关事项。</w:t>
      </w:r>
    </w:p>
    <w:p>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3.质疑投标人若对项目的某一分包进行质疑，质疑函中应列明具体分包号。</w:t>
      </w:r>
    </w:p>
    <w:p>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6.质疑投标人为自然人的，质疑函应由本人签字；质疑投标人为法人或者其他组织的，质疑函应由法定代表人、主要负责人，或者其授权代表签字或者盖章，并加盖公章。</w:t>
      </w:r>
    </w:p>
    <w:p>
      <w:pPr>
        <w:spacing w:line="300" w:lineRule="auto"/>
        <w:outlineLvl w:val="0"/>
        <w:rPr>
          <w:rFonts w:ascii="仿宋_GB2312" w:hAnsi="Calibri" w:eastAsia="方正黑体_GBK"/>
          <w:b/>
          <w:color w:val="auto"/>
          <w:sz w:val="32"/>
          <w:szCs w:val="32"/>
          <w:highlight w:val="none"/>
        </w:rPr>
      </w:pPr>
      <w:r>
        <w:rPr>
          <w:rFonts w:ascii="仿宋_GB2312" w:hAnsi="Calibri" w:eastAsia="仿宋_GB2312"/>
          <w:color w:val="auto"/>
          <w:sz w:val="32"/>
          <w:szCs w:val="32"/>
          <w:highlight w:val="none"/>
        </w:rPr>
        <w:br w:type="page" w:clear="all"/>
      </w:r>
      <w:r>
        <w:rPr>
          <w:rFonts w:eastAsia="方正黑体_GBK"/>
          <w:bCs/>
          <w:color w:val="auto"/>
          <w:sz w:val="32"/>
          <w:szCs w:val="32"/>
          <w:highlight w:val="none"/>
          <w:lang w:bidi="ar"/>
        </w:rPr>
        <w:t>附件</w:t>
      </w:r>
      <w:r>
        <w:rPr>
          <w:rFonts w:hint="eastAsia" w:eastAsia="方正黑体_GBK"/>
          <w:bCs/>
          <w:color w:val="auto"/>
          <w:sz w:val="32"/>
          <w:szCs w:val="32"/>
          <w:highlight w:val="none"/>
          <w:lang w:bidi="ar"/>
        </w:rPr>
        <w:t>13</w:t>
      </w:r>
    </w:p>
    <w:p>
      <w:pPr>
        <w:spacing w:line="500" w:lineRule="exact"/>
        <w:ind w:firstLine="560"/>
        <w:rPr>
          <w:rFonts w:eastAsia="仿宋"/>
          <w:color w:val="auto"/>
          <w:sz w:val="28"/>
          <w:szCs w:val="28"/>
          <w:highlight w:val="none"/>
        </w:rPr>
      </w:pPr>
      <w:r>
        <w:rPr>
          <w:rFonts w:eastAsia="仿宋"/>
          <w:color w:val="auto"/>
          <w:sz w:val="28"/>
          <w:szCs w:val="28"/>
          <w:highlight w:val="none"/>
        </w:rPr>
        <w:t>《中小企业划型标准规定》（工信部联企业〔2011〕300号）</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02"/>
        <w:gridCol w:w="1557"/>
        <w:gridCol w:w="735"/>
        <w:gridCol w:w="1969"/>
        <w:gridCol w:w="1691"/>
        <w:gridCol w:w="11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54" w:type="dxa"/>
            <w:vAlign w:val="center"/>
          </w:tcPr>
          <w:p>
            <w:pPr>
              <w:spacing w:line="500" w:lineRule="exact"/>
              <w:jc w:val="center"/>
              <w:rPr>
                <w:rFonts w:eastAsia="仿宋"/>
                <w:b/>
                <w:color w:val="auto"/>
                <w:highlight w:val="none"/>
              </w:rPr>
            </w:pPr>
            <w:r>
              <w:rPr>
                <w:rFonts w:eastAsia="仿宋"/>
                <w:b/>
                <w:color w:val="auto"/>
                <w:highlight w:val="none"/>
              </w:rPr>
              <w:t>行业名称</w:t>
            </w:r>
          </w:p>
        </w:tc>
        <w:tc>
          <w:tcPr>
            <w:tcW w:w="1447" w:type="dxa"/>
            <w:vAlign w:val="center"/>
          </w:tcPr>
          <w:p>
            <w:pPr>
              <w:spacing w:line="500" w:lineRule="exact"/>
              <w:jc w:val="center"/>
              <w:rPr>
                <w:rFonts w:eastAsia="仿宋"/>
                <w:b/>
                <w:color w:val="auto"/>
                <w:highlight w:val="none"/>
              </w:rPr>
            </w:pPr>
            <w:r>
              <w:rPr>
                <w:rFonts w:eastAsia="仿宋"/>
                <w:b/>
                <w:color w:val="auto"/>
                <w:highlight w:val="none"/>
              </w:rPr>
              <w:t>指标名称</w:t>
            </w:r>
          </w:p>
        </w:tc>
        <w:tc>
          <w:tcPr>
            <w:tcW w:w="683" w:type="dxa"/>
            <w:vAlign w:val="center"/>
          </w:tcPr>
          <w:p>
            <w:pPr>
              <w:spacing w:line="500" w:lineRule="exact"/>
              <w:jc w:val="center"/>
              <w:rPr>
                <w:rFonts w:eastAsia="仿宋"/>
                <w:b/>
                <w:color w:val="auto"/>
                <w:highlight w:val="none"/>
              </w:rPr>
            </w:pPr>
            <w:r>
              <w:rPr>
                <w:rFonts w:eastAsia="仿宋"/>
                <w:b/>
                <w:color w:val="auto"/>
                <w:highlight w:val="none"/>
              </w:rPr>
              <w:t>计量</w:t>
            </w:r>
          </w:p>
          <w:p>
            <w:pPr>
              <w:spacing w:line="500" w:lineRule="exact"/>
              <w:jc w:val="center"/>
              <w:rPr>
                <w:rFonts w:eastAsia="仿宋"/>
                <w:b/>
                <w:color w:val="auto"/>
                <w:highlight w:val="none"/>
              </w:rPr>
            </w:pPr>
            <w:r>
              <w:rPr>
                <w:rFonts w:eastAsia="仿宋"/>
                <w:b/>
                <w:color w:val="auto"/>
                <w:highlight w:val="none"/>
              </w:rPr>
              <w:t>单位</w:t>
            </w:r>
          </w:p>
        </w:tc>
        <w:tc>
          <w:tcPr>
            <w:tcW w:w="1830" w:type="dxa"/>
            <w:vAlign w:val="center"/>
          </w:tcPr>
          <w:p>
            <w:pPr>
              <w:spacing w:line="500" w:lineRule="exact"/>
              <w:jc w:val="center"/>
              <w:rPr>
                <w:rFonts w:eastAsia="仿宋"/>
                <w:b/>
                <w:color w:val="auto"/>
                <w:highlight w:val="none"/>
              </w:rPr>
            </w:pPr>
            <w:r>
              <w:rPr>
                <w:rFonts w:eastAsia="仿宋"/>
                <w:b/>
                <w:color w:val="auto"/>
                <w:highlight w:val="none"/>
              </w:rPr>
              <w:t>中型</w:t>
            </w:r>
          </w:p>
        </w:tc>
        <w:tc>
          <w:tcPr>
            <w:tcW w:w="1572" w:type="dxa"/>
            <w:vAlign w:val="center"/>
          </w:tcPr>
          <w:p>
            <w:pPr>
              <w:spacing w:line="500" w:lineRule="exact"/>
              <w:jc w:val="center"/>
              <w:rPr>
                <w:rFonts w:eastAsia="仿宋"/>
                <w:b/>
                <w:color w:val="auto"/>
                <w:highlight w:val="none"/>
              </w:rPr>
            </w:pPr>
            <w:r>
              <w:rPr>
                <w:rFonts w:eastAsia="仿宋"/>
                <w:b/>
                <w:color w:val="auto"/>
                <w:highlight w:val="none"/>
              </w:rPr>
              <w:t>小型</w:t>
            </w:r>
          </w:p>
        </w:tc>
        <w:tc>
          <w:tcPr>
            <w:tcW w:w="1036" w:type="dxa"/>
            <w:vAlign w:val="center"/>
          </w:tcPr>
          <w:p>
            <w:pPr>
              <w:spacing w:line="500" w:lineRule="exact"/>
              <w:jc w:val="center"/>
              <w:rPr>
                <w:rFonts w:eastAsia="仿宋"/>
                <w:b/>
                <w:color w:val="auto"/>
                <w:highlight w:val="none"/>
              </w:rPr>
            </w:pPr>
            <w:r>
              <w:rPr>
                <w:rFonts w:eastAsia="仿宋"/>
                <w:b/>
                <w:color w:val="auto"/>
                <w:highlight w:val="none"/>
              </w:rPr>
              <w:t>微型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Align w:val="center"/>
          </w:tcPr>
          <w:p>
            <w:pPr>
              <w:spacing w:line="500" w:lineRule="exact"/>
              <w:jc w:val="center"/>
              <w:rPr>
                <w:rFonts w:eastAsia="仿宋"/>
                <w:color w:val="auto"/>
                <w:highlight w:val="none"/>
              </w:rPr>
            </w:pPr>
            <w:r>
              <w:rPr>
                <w:rFonts w:eastAsia="仿宋"/>
                <w:color w:val="auto"/>
                <w:highlight w:val="none"/>
              </w:rPr>
              <w:t>农、林、牧、渔</w:t>
            </w: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pPr>
              <w:spacing w:line="500" w:lineRule="exact"/>
              <w:jc w:val="center"/>
              <w:rPr>
                <w:rFonts w:eastAsia="仿宋"/>
                <w:color w:val="auto"/>
                <w:highlight w:val="none"/>
              </w:rPr>
            </w:pPr>
            <w:r>
              <w:rPr>
                <w:rFonts w:eastAsia="仿宋"/>
                <w:color w:val="auto"/>
                <w:highlight w:val="none"/>
              </w:rPr>
              <w:t>50≤Y&lt;500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工业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2000≤Y&lt;40000</w:t>
            </w:r>
          </w:p>
        </w:tc>
        <w:tc>
          <w:tcPr>
            <w:tcW w:w="1572" w:type="dxa"/>
            <w:vAlign w:val="center"/>
          </w:tcPr>
          <w:p>
            <w:pPr>
              <w:spacing w:line="500" w:lineRule="exact"/>
              <w:jc w:val="center"/>
              <w:rPr>
                <w:rFonts w:eastAsia="仿宋"/>
                <w:color w:val="auto"/>
                <w:highlight w:val="none"/>
              </w:rPr>
            </w:pPr>
            <w:r>
              <w:rPr>
                <w:rFonts w:eastAsia="仿宋"/>
                <w:color w:val="auto"/>
                <w:highlight w:val="none"/>
              </w:rPr>
              <w:t>300≤Y&lt;2000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建筑业</w:t>
            </w: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6000≤Y&lt;80000</w:t>
            </w:r>
          </w:p>
        </w:tc>
        <w:tc>
          <w:tcPr>
            <w:tcW w:w="1572" w:type="dxa"/>
            <w:vAlign w:val="center"/>
          </w:tcPr>
          <w:p>
            <w:pPr>
              <w:spacing w:line="500" w:lineRule="exact"/>
              <w:jc w:val="center"/>
              <w:rPr>
                <w:rFonts w:eastAsia="仿宋"/>
                <w:color w:val="auto"/>
                <w:highlight w:val="none"/>
              </w:rPr>
            </w:pPr>
            <w:r>
              <w:rPr>
                <w:rFonts w:eastAsia="仿宋"/>
                <w:color w:val="auto"/>
                <w:highlight w:val="none"/>
              </w:rPr>
              <w:t>300≤Y&lt;6000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资产总额（Z）</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5000≤Z &lt;80000</w:t>
            </w:r>
          </w:p>
        </w:tc>
        <w:tc>
          <w:tcPr>
            <w:tcW w:w="1572" w:type="dxa"/>
            <w:vAlign w:val="center"/>
          </w:tcPr>
          <w:p>
            <w:pPr>
              <w:spacing w:line="500" w:lineRule="exact"/>
              <w:jc w:val="center"/>
              <w:rPr>
                <w:rFonts w:eastAsia="仿宋"/>
                <w:color w:val="auto"/>
                <w:highlight w:val="none"/>
              </w:rPr>
            </w:pPr>
            <w:r>
              <w:rPr>
                <w:rFonts w:eastAsia="仿宋"/>
                <w:color w:val="auto"/>
                <w:highlight w:val="none"/>
              </w:rPr>
              <w:t>300≤Z &lt;5000</w:t>
            </w:r>
          </w:p>
        </w:tc>
        <w:tc>
          <w:tcPr>
            <w:tcW w:w="1036" w:type="dxa"/>
            <w:vAlign w:val="center"/>
          </w:tcPr>
          <w:p>
            <w:pPr>
              <w:spacing w:line="500" w:lineRule="exact"/>
              <w:jc w:val="center"/>
              <w:rPr>
                <w:rFonts w:eastAsia="仿宋"/>
                <w:color w:val="auto"/>
                <w:highlight w:val="none"/>
              </w:rPr>
            </w:pPr>
            <w:r>
              <w:rPr>
                <w:rFonts w:eastAsia="仿宋"/>
                <w:color w:val="auto"/>
                <w:highlight w:val="none"/>
              </w:rPr>
              <w:t>Z&lt;300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批发业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20≤X&lt;200</w:t>
            </w:r>
          </w:p>
        </w:tc>
        <w:tc>
          <w:tcPr>
            <w:tcW w:w="1572" w:type="dxa"/>
            <w:vAlign w:val="center"/>
          </w:tcPr>
          <w:p>
            <w:pPr>
              <w:spacing w:line="500" w:lineRule="exact"/>
              <w:jc w:val="center"/>
              <w:rPr>
                <w:rFonts w:eastAsia="仿宋"/>
                <w:color w:val="auto"/>
                <w:highlight w:val="none"/>
              </w:rPr>
            </w:pPr>
            <w:r>
              <w:rPr>
                <w:rFonts w:eastAsia="仿宋"/>
                <w:color w:val="auto"/>
                <w:highlight w:val="none"/>
              </w:rPr>
              <w:t>5≤X&lt;20</w:t>
            </w:r>
          </w:p>
        </w:tc>
        <w:tc>
          <w:tcPr>
            <w:tcW w:w="1036" w:type="dxa"/>
            <w:vAlign w:val="center"/>
          </w:tcPr>
          <w:p>
            <w:pPr>
              <w:spacing w:line="500" w:lineRule="exact"/>
              <w:jc w:val="center"/>
              <w:rPr>
                <w:rFonts w:eastAsia="仿宋"/>
                <w:color w:val="auto"/>
                <w:highlight w:val="none"/>
              </w:rPr>
            </w:pPr>
            <w:r>
              <w:rPr>
                <w:rFonts w:eastAsia="仿宋"/>
                <w:color w:val="auto"/>
                <w:highlight w:val="none"/>
              </w:rPr>
              <w:t>X&lt;5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5000≤Y&lt;50000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1000≤Y&lt;5000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零售业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50≤X&lt;300</w:t>
            </w:r>
          </w:p>
        </w:tc>
        <w:tc>
          <w:tcPr>
            <w:tcW w:w="1572" w:type="dxa"/>
            <w:vAlign w:val="center"/>
          </w:tcPr>
          <w:p>
            <w:pPr>
              <w:spacing w:line="500" w:lineRule="exact"/>
              <w:jc w:val="center"/>
              <w:rPr>
                <w:rFonts w:eastAsia="仿宋"/>
                <w:color w:val="auto"/>
                <w:highlight w:val="none"/>
              </w:rPr>
            </w:pPr>
            <w:r>
              <w:rPr>
                <w:rFonts w:eastAsia="仿宋"/>
                <w:color w:val="auto"/>
                <w:highlight w:val="none"/>
              </w:rPr>
              <w:t>10≤X&lt;50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100≤Y&lt;500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交通运输业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3000≤Y&lt;30000</w:t>
            </w:r>
          </w:p>
        </w:tc>
        <w:tc>
          <w:tcPr>
            <w:tcW w:w="1572" w:type="dxa"/>
            <w:vAlign w:val="center"/>
          </w:tcPr>
          <w:p>
            <w:pPr>
              <w:spacing w:line="500" w:lineRule="exact"/>
              <w:jc w:val="center"/>
              <w:rPr>
                <w:rFonts w:eastAsia="仿宋"/>
                <w:color w:val="auto"/>
                <w:highlight w:val="none"/>
              </w:rPr>
            </w:pPr>
            <w:r>
              <w:rPr>
                <w:rFonts w:eastAsia="仿宋"/>
                <w:color w:val="auto"/>
                <w:highlight w:val="none"/>
              </w:rPr>
              <w:t>200≤Y&lt;3000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仓储业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100≤X&lt;200</w:t>
            </w:r>
          </w:p>
        </w:tc>
        <w:tc>
          <w:tcPr>
            <w:tcW w:w="1572" w:type="dxa"/>
            <w:vAlign w:val="center"/>
          </w:tcPr>
          <w:p>
            <w:pPr>
              <w:spacing w:line="500" w:lineRule="exact"/>
              <w:jc w:val="center"/>
              <w:rPr>
                <w:rFonts w:eastAsia="仿宋"/>
                <w:color w:val="auto"/>
                <w:highlight w:val="none"/>
              </w:rPr>
            </w:pPr>
            <w:r>
              <w:rPr>
                <w:rFonts w:eastAsia="仿宋"/>
                <w:color w:val="auto"/>
                <w:highlight w:val="none"/>
              </w:rPr>
              <w:t>20≤X&lt;100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1000≤Y&lt;30000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邮政业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2000≤Y&lt;30000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住宿业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餐饮业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信息传输业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100≤X&lt;2000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1000≤Y&lt;100000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软件和信息技术服务业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1000≤Y&lt;10000</w:t>
            </w:r>
          </w:p>
        </w:tc>
        <w:tc>
          <w:tcPr>
            <w:tcW w:w="1572" w:type="dxa"/>
            <w:vAlign w:val="center"/>
          </w:tcPr>
          <w:p>
            <w:pPr>
              <w:spacing w:line="500" w:lineRule="exact"/>
              <w:jc w:val="center"/>
              <w:rPr>
                <w:rFonts w:eastAsia="仿宋"/>
                <w:color w:val="auto"/>
                <w:highlight w:val="none"/>
              </w:rPr>
            </w:pPr>
            <w:r>
              <w:rPr>
                <w:rFonts w:eastAsia="仿宋"/>
                <w:color w:val="auto"/>
                <w:highlight w:val="none"/>
              </w:rPr>
              <w:t>50≤Y&lt;1000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房地产开发经营</w:t>
            </w: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1000≤Y&lt;200000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资产总额（Z）</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5000≤Z &lt;10000</w:t>
            </w:r>
          </w:p>
        </w:tc>
        <w:tc>
          <w:tcPr>
            <w:tcW w:w="1572" w:type="dxa"/>
            <w:vAlign w:val="center"/>
          </w:tcPr>
          <w:p>
            <w:pPr>
              <w:spacing w:line="500" w:lineRule="exact"/>
              <w:jc w:val="center"/>
              <w:rPr>
                <w:rFonts w:eastAsia="仿宋"/>
                <w:color w:val="auto"/>
                <w:highlight w:val="none"/>
              </w:rPr>
            </w:pPr>
            <w:r>
              <w:rPr>
                <w:rFonts w:eastAsia="仿宋"/>
                <w:color w:val="auto"/>
                <w:highlight w:val="none"/>
              </w:rPr>
              <w:t>2000≤Z &lt;5000</w:t>
            </w:r>
          </w:p>
        </w:tc>
        <w:tc>
          <w:tcPr>
            <w:tcW w:w="1036" w:type="dxa"/>
            <w:vAlign w:val="center"/>
          </w:tcPr>
          <w:p>
            <w:pPr>
              <w:spacing w:line="500" w:lineRule="exact"/>
              <w:jc w:val="center"/>
              <w:rPr>
                <w:rFonts w:eastAsia="仿宋"/>
                <w:color w:val="auto"/>
                <w:highlight w:val="none"/>
              </w:rPr>
            </w:pPr>
            <w:r>
              <w:rPr>
                <w:rFonts w:eastAsia="仿宋"/>
                <w:color w:val="auto"/>
                <w:highlight w:val="none"/>
              </w:rPr>
              <w:t>Z&lt;2000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物业管理</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100≤X&lt;300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营业收入（Y）</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1000≤Y&lt;5000</w:t>
            </w:r>
          </w:p>
        </w:tc>
        <w:tc>
          <w:tcPr>
            <w:tcW w:w="1572" w:type="dxa"/>
            <w:vAlign w:val="center"/>
          </w:tcPr>
          <w:p>
            <w:pPr>
              <w:spacing w:line="500" w:lineRule="exact"/>
              <w:jc w:val="center"/>
              <w:rPr>
                <w:rFonts w:eastAsia="仿宋"/>
                <w:color w:val="auto"/>
                <w:highlight w:val="none"/>
              </w:rPr>
            </w:pPr>
            <w:r>
              <w:rPr>
                <w:rFonts w:eastAsia="仿宋"/>
                <w:color w:val="auto"/>
                <w:highlight w:val="none"/>
              </w:rPr>
              <w:t>500≤Y&lt;1000</w:t>
            </w:r>
          </w:p>
        </w:tc>
        <w:tc>
          <w:tcPr>
            <w:tcW w:w="1036" w:type="dxa"/>
            <w:vAlign w:val="center"/>
          </w:tcPr>
          <w:p>
            <w:pPr>
              <w:spacing w:line="500" w:lineRule="exact"/>
              <w:jc w:val="center"/>
              <w:rPr>
                <w:rFonts w:eastAsia="仿宋"/>
                <w:color w:val="auto"/>
                <w:highlight w:val="none"/>
              </w:rPr>
            </w:pPr>
            <w:r>
              <w:rPr>
                <w:rFonts w:eastAsia="仿宋"/>
                <w:color w:val="auto"/>
                <w:highlight w:val="none"/>
              </w:rPr>
              <w:t>Y&lt;500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vAlign w:val="center"/>
          </w:tcPr>
          <w:p>
            <w:pPr>
              <w:spacing w:line="500" w:lineRule="exact"/>
              <w:jc w:val="center"/>
              <w:rPr>
                <w:rFonts w:eastAsia="仿宋"/>
                <w:color w:val="auto"/>
                <w:highlight w:val="none"/>
              </w:rPr>
            </w:pPr>
            <w:r>
              <w:rPr>
                <w:rFonts w:eastAsia="仿宋"/>
                <w:color w:val="auto"/>
                <w:highlight w:val="none"/>
              </w:rPr>
              <w:t>租赁和商务服务业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vAlign w:val="center"/>
          </w:tcPr>
          <w:p>
            <w:pPr>
              <w:spacing w:line="500" w:lineRule="exact"/>
              <w:jc w:val="center"/>
              <w:rPr>
                <w:rFonts w:eastAsia="仿宋"/>
                <w:color w:val="auto"/>
                <w:highlight w:val="none"/>
              </w:rPr>
            </w:pPr>
          </w:p>
        </w:tc>
        <w:tc>
          <w:tcPr>
            <w:tcW w:w="1447" w:type="dxa"/>
            <w:vAlign w:val="center"/>
          </w:tcPr>
          <w:p>
            <w:pPr>
              <w:spacing w:line="500" w:lineRule="exact"/>
              <w:jc w:val="center"/>
              <w:rPr>
                <w:rFonts w:eastAsia="仿宋"/>
                <w:color w:val="auto"/>
                <w:highlight w:val="none"/>
              </w:rPr>
            </w:pPr>
            <w:r>
              <w:rPr>
                <w:rFonts w:eastAsia="仿宋"/>
                <w:color w:val="auto"/>
                <w:highlight w:val="none"/>
              </w:rPr>
              <w:t>资产总额（Z）</w:t>
            </w:r>
          </w:p>
        </w:tc>
        <w:tc>
          <w:tcPr>
            <w:tcW w:w="683" w:type="dxa"/>
            <w:vAlign w:val="center"/>
          </w:tcPr>
          <w:p>
            <w:pPr>
              <w:spacing w:line="500" w:lineRule="exact"/>
              <w:jc w:val="center"/>
              <w:rPr>
                <w:rFonts w:eastAsia="仿宋"/>
                <w:color w:val="auto"/>
                <w:highlight w:val="none"/>
              </w:rPr>
            </w:pPr>
            <w:r>
              <w:rPr>
                <w:rFonts w:eastAsia="仿宋"/>
                <w:color w:val="auto"/>
                <w:highlight w:val="none"/>
              </w:rPr>
              <w:t>万元</w:t>
            </w:r>
          </w:p>
        </w:tc>
        <w:tc>
          <w:tcPr>
            <w:tcW w:w="1830" w:type="dxa"/>
            <w:vAlign w:val="center"/>
          </w:tcPr>
          <w:p>
            <w:pPr>
              <w:spacing w:line="500" w:lineRule="exact"/>
              <w:jc w:val="center"/>
              <w:rPr>
                <w:rFonts w:eastAsia="仿宋"/>
                <w:color w:val="auto"/>
                <w:highlight w:val="none"/>
              </w:rPr>
            </w:pPr>
            <w:r>
              <w:rPr>
                <w:rFonts w:eastAsia="仿宋"/>
                <w:color w:val="auto"/>
                <w:highlight w:val="none"/>
              </w:rPr>
              <w:t>8000≤Z &lt;120000</w:t>
            </w:r>
          </w:p>
        </w:tc>
        <w:tc>
          <w:tcPr>
            <w:tcW w:w="1572" w:type="dxa"/>
            <w:vAlign w:val="center"/>
          </w:tcPr>
          <w:p>
            <w:pPr>
              <w:spacing w:line="500" w:lineRule="exact"/>
              <w:jc w:val="center"/>
              <w:rPr>
                <w:rFonts w:eastAsia="仿宋"/>
                <w:color w:val="auto"/>
                <w:highlight w:val="none"/>
              </w:rPr>
            </w:pPr>
            <w:r>
              <w:rPr>
                <w:rFonts w:eastAsia="仿宋"/>
                <w:color w:val="auto"/>
                <w:highlight w:val="none"/>
              </w:rPr>
              <w:t>100≤Z &lt;8000</w:t>
            </w:r>
          </w:p>
        </w:tc>
        <w:tc>
          <w:tcPr>
            <w:tcW w:w="1036" w:type="dxa"/>
            <w:vAlign w:val="center"/>
          </w:tcPr>
          <w:p>
            <w:pPr>
              <w:spacing w:line="500" w:lineRule="exact"/>
              <w:jc w:val="center"/>
              <w:rPr>
                <w:rFonts w:eastAsia="仿宋"/>
                <w:color w:val="auto"/>
                <w:highlight w:val="none"/>
              </w:rPr>
            </w:pPr>
            <w:r>
              <w:rPr>
                <w:rFonts w:eastAsia="仿宋"/>
                <w:color w:val="auto"/>
                <w:highlight w:val="none"/>
              </w:rPr>
              <w:t>Z&lt;100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Align w:val="center"/>
          </w:tcPr>
          <w:p>
            <w:pPr>
              <w:spacing w:line="500" w:lineRule="exact"/>
              <w:jc w:val="center"/>
              <w:rPr>
                <w:rFonts w:eastAsia="仿宋"/>
                <w:color w:val="auto"/>
                <w:highlight w:val="none"/>
              </w:rPr>
            </w:pPr>
            <w:r>
              <w:rPr>
                <w:rFonts w:eastAsia="仿宋"/>
                <w:color w:val="auto"/>
                <w:highlight w:val="none"/>
              </w:rPr>
              <w:t>其他未列明行业</w:t>
            </w:r>
          </w:p>
        </w:tc>
        <w:tc>
          <w:tcPr>
            <w:tcW w:w="1447" w:type="dxa"/>
            <w:vAlign w:val="center"/>
          </w:tcPr>
          <w:p>
            <w:pPr>
              <w:spacing w:line="500" w:lineRule="exact"/>
              <w:jc w:val="center"/>
              <w:rPr>
                <w:rFonts w:eastAsia="仿宋"/>
                <w:color w:val="auto"/>
                <w:highlight w:val="none"/>
              </w:rPr>
            </w:pPr>
            <w:r>
              <w:rPr>
                <w:rFonts w:eastAsia="仿宋"/>
                <w:color w:val="auto"/>
                <w:highlight w:val="none"/>
              </w:rPr>
              <w:t>从业人员（X）</w:t>
            </w:r>
          </w:p>
        </w:tc>
        <w:tc>
          <w:tcPr>
            <w:tcW w:w="683" w:type="dxa"/>
            <w:vAlign w:val="center"/>
          </w:tcPr>
          <w:p>
            <w:pPr>
              <w:spacing w:line="500" w:lineRule="exact"/>
              <w:jc w:val="center"/>
              <w:rPr>
                <w:rFonts w:eastAsia="仿宋"/>
                <w:color w:val="auto"/>
                <w:highlight w:val="none"/>
              </w:rPr>
            </w:pPr>
            <w:r>
              <w:rPr>
                <w:rFonts w:eastAsia="仿宋"/>
                <w:color w:val="auto"/>
                <w:highlight w:val="none"/>
              </w:rPr>
              <w:t>人</w:t>
            </w:r>
          </w:p>
        </w:tc>
        <w:tc>
          <w:tcPr>
            <w:tcW w:w="1830" w:type="dxa"/>
            <w:vAlign w:val="center"/>
          </w:tcPr>
          <w:p>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pPr>
              <w:spacing w:line="500" w:lineRule="exact"/>
              <w:jc w:val="center"/>
              <w:rPr>
                <w:rFonts w:eastAsia="仿宋"/>
                <w:color w:val="auto"/>
                <w:highlight w:val="none"/>
              </w:rPr>
            </w:pPr>
            <w:r>
              <w:rPr>
                <w:rFonts w:eastAsia="仿宋"/>
                <w:color w:val="auto"/>
                <w:highlight w:val="none"/>
              </w:rPr>
              <w:t>X&lt;10</w:t>
            </w:r>
          </w:p>
        </w:tc>
      </w:tr>
    </w:tbl>
    <w:p>
      <w:pPr>
        <w:spacing w:line="500" w:lineRule="exact"/>
        <w:ind w:firstLine="420"/>
        <w:rPr>
          <w:rFonts w:eastAsia="仿宋"/>
          <w:color w:val="auto"/>
          <w:sz w:val="28"/>
          <w:szCs w:val="28"/>
          <w:highlight w:val="none"/>
        </w:rPr>
      </w:pPr>
      <w:r>
        <w:rPr>
          <w:rFonts w:eastAsia="仿宋"/>
          <w:color w:val="auto"/>
          <w:highlight w:val="none"/>
        </w:rPr>
        <w:t>说明：大型、中型和小型企业须同时满足所列指标的下限，否则下划一档；微型企业只须满足所列指标中的一项即可。</w:t>
      </w:r>
    </w:p>
    <w:p>
      <w:pPr>
        <w:pStyle w:val="297"/>
        <w:ind w:left="0"/>
        <w:jc w:val="left"/>
        <w:rPr>
          <w:rFonts w:hint="eastAsia" w:ascii="宋体" w:hAnsi="宋体" w:cs="宋体"/>
          <w:color w:val="auto"/>
          <w:sz w:val="32"/>
          <w:szCs w:val="32"/>
          <w:highlight w:val="none"/>
        </w:rPr>
      </w:pPr>
    </w:p>
    <w:bookmarkEnd w:id="192"/>
    <w:sectPr>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3000509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3000509000000000000"/>
    <w:charset w:val="86"/>
    <w:family w:val="auto"/>
    <w:pitch w:val="default"/>
    <w:sig w:usb0="00000000" w:usb1="00000000" w:usb2="00000000" w:usb3="00000000" w:csb0="00040000" w:csb1="00000000"/>
  </w:font>
  <w:font w:name="Showcard Gothic">
    <w:panose1 w:val="04020904020102020604"/>
    <w:charset w:val="00"/>
    <w:family w:val="decorative"/>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新宋体_GB2312">
    <w:altName w:val="宋体"/>
    <w:panose1 w:val="00000000000000000000"/>
    <w:charset w:val="86"/>
    <w:family w:val="modern"/>
    <w:pitch w:val="default"/>
    <w:sig w:usb0="00000000" w:usb1="00000000" w:usb2="00000016" w:usb3="00000000" w:csb0="6016019D" w:csb1="D3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30"/>
                            <w:tabs>
                              <w:tab w:val="clear" w:pos="4153"/>
                              <w:tab w:val="clear" w:pos="8306"/>
                            </w:tabs>
                          </w:pPr>
                          <w:r>
                            <w:fldChar w:fldCharType="begin"/>
                          </w:r>
                          <w:r>
                            <w:instrText xml:space="preserve"> PAGE  \* MERGEFORMAT </w:instrText>
                          </w:r>
                          <w:r>
                            <w:fldChar w:fldCharType="separate"/>
                          </w:r>
                          <w:r>
                            <w:t>１</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230"/>
                      <w:tabs>
                        <w:tab w:val="clear" w:pos="4153"/>
                        <w:tab w:val="clear" w:pos="8306"/>
                      </w:tabs>
                    </w:pPr>
                    <w:r>
                      <w:fldChar w:fldCharType="begin"/>
                    </w:r>
                    <w:r>
                      <w:instrText xml:space="preserve"> PAGE  \* MERGEFORMAT </w:instrText>
                    </w:r>
                    <w:r>
                      <w:fldChar w:fldCharType="separate"/>
                    </w:r>
                    <w:r>
                      <w:t>１</w:t>
                    </w:r>
                    <w:r>
                      <w:fldChar w:fldCharType="end"/>
                    </w:r>
                  </w:p>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pPr>
      <w:pStyle w:val="2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30"/>
                            <w:tabs>
                              <w:tab w:val="clear" w:pos="4153"/>
                              <w:tab w:val="clear" w:pos="8306"/>
                            </w:tabs>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230"/>
                      <w:tabs>
                        <w:tab w:val="clear" w:pos="4153"/>
                        <w:tab w:val="clear" w:pos="8306"/>
                      </w:tabs>
                    </w:pPr>
                    <w:r>
                      <w:fldChar w:fldCharType="begin"/>
                    </w:r>
                    <w:r>
                      <w:instrText xml:space="preserve"> PAGE  \* MERGEFORMAT </w:instrText>
                    </w:r>
                    <w:r>
                      <w:fldChar w:fldCharType="separate"/>
                    </w:r>
                    <w:r>
                      <w:t>1</w:t>
                    </w:r>
                    <w: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3">
    <w:nsid w:val="2ED6C7F9"/>
    <w:multiLevelType w:val="singleLevel"/>
    <w:tmpl w:val="2ED6C7F9"/>
    <w:lvl w:ilvl="0" w:tentative="0">
      <w:start w:val="10"/>
      <w:numFmt w:val="decimal"/>
      <w:suff w:val="nothing"/>
      <w:lvlText w:val="%1、"/>
      <w:lvlJc w:val="left"/>
    </w:lvl>
  </w:abstractNum>
  <w:abstractNum w:abstractNumId="4">
    <w:nsid w:val="59ADCABA"/>
    <w:multiLevelType w:val="multilevel"/>
    <w:tmpl w:val="59ADCABA"/>
    <w:lvl w:ilvl="0" w:tentative="0">
      <w:start w:val="1"/>
      <w:numFmt w:val="decimal"/>
      <w:pStyle w:val="27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45AE095"/>
    <w:multiLevelType w:val="singleLevel"/>
    <w:tmpl w:val="745AE095"/>
    <w:lvl w:ilvl="0" w:tentative="0">
      <w:start w:val="8"/>
      <w:numFmt w:val="chineseCounting"/>
      <w:suff w:val="nothing"/>
      <w:lvlText w:val="%1、"/>
      <w:lvlJc w:val="left"/>
      <w:rPr>
        <w:rFonts w:hint="eastAsia"/>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mYWM5YzMzYTc0YmZmMTA0MTFiODhkNDg3ZGUzMzIifQ=="/>
  </w:docVars>
  <w:rsids>
    <w:rsidRoot w:val="00401058"/>
    <w:rsid w:val="00093206"/>
    <w:rsid w:val="00157E82"/>
    <w:rsid w:val="00162532"/>
    <w:rsid w:val="001705F2"/>
    <w:rsid w:val="0019631D"/>
    <w:rsid w:val="001B0D45"/>
    <w:rsid w:val="001B6E55"/>
    <w:rsid w:val="001C4DF7"/>
    <w:rsid w:val="002A5FB3"/>
    <w:rsid w:val="00337B80"/>
    <w:rsid w:val="0035392E"/>
    <w:rsid w:val="003C1A35"/>
    <w:rsid w:val="00401058"/>
    <w:rsid w:val="004B0317"/>
    <w:rsid w:val="00730567"/>
    <w:rsid w:val="00761B8C"/>
    <w:rsid w:val="00A539E6"/>
    <w:rsid w:val="00AA0FC0"/>
    <w:rsid w:val="00AB17C1"/>
    <w:rsid w:val="00B240EE"/>
    <w:rsid w:val="00BD192C"/>
    <w:rsid w:val="00BE24AD"/>
    <w:rsid w:val="00EB506E"/>
    <w:rsid w:val="00F178E6"/>
    <w:rsid w:val="030B007C"/>
    <w:rsid w:val="04E562A8"/>
    <w:rsid w:val="0A947799"/>
    <w:rsid w:val="10EA58BC"/>
    <w:rsid w:val="14C33AA6"/>
    <w:rsid w:val="15655904"/>
    <w:rsid w:val="16F77107"/>
    <w:rsid w:val="179247BC"/>
    <w:rsid w:val="18A26244"/>
    <w:rsid w:val="1B684CA3"/>
    <w:rsid w:val="207E482E"/>
    <w:rsid w:val="261252B7"/>
    <w:rsid w:val="2A151926"/>
    <w:rsid w:val="2CEA295E"/>
    <w:rsid w:val="2D7164E2"/>
    <w:rsid w:val="2EB536D8"/>
    <w:rsid w:val="354E0053"/>
    <w:rsid w:val="362D6669"/>
    <w:rsid w:val="3B4A1530"/>
    <w:rsid w:val="433A6A00"/>
    <w:rsid w:val="477C27D5"/>
    <w:rsid w:val="47925F0D"/>
    <w:rsid w:val="4AE95A6C"/>
    <w:rsid w:val="53297A28"/>
    <w:rsid w:val="57060A6B"/>
    <w:rsid w:val="5A754D32"/>
    <w:rsid w:val="5AB81F69"/>
    <w:rsid w:val="6057668F"/>
    <w:rsid w:val="60716BAF"/>
    <w:rsid w:val="628B0089"/>
    <w:rsid w:val="670C7632"/>
    <w:rsid w:val="6D8505F6"/>
    <w:rsid w:val="6D8E2AD4"/>
    <w:rsid w:val="7059723C"/>
    <w:rsid w:val="71157284"/>
    <w:rsid w:val="740D2C3B"/>
    <w:rsid w:val="768C3B82"/>
    <w:rsid w:val="76A21419"/>
    <w:rsid w:val="786170B2"/>
    <w:rsid w:val="7AAF4792"/>
    <w:rsid w:val="7C4926D9"/>
    <w:rsid w:val="7E1D61D6"/>
    <w:rsid w:val="7E3E41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Plain Text"/>
    <w:basedOn w:val="1"/>
    <w:unhideWhenUsed/>
    <w:qFormat/>
    <w:uiPriority w:val="99"/>
    <w:rPr>
      <w:rFonts w:ascii="宋体" w:hAnsi="Courier New"/>
    </w:rPr>
  </w:style>
  <w:style w:type="paragraph" w:styleId="17">
    <w:name w:val="toc 8"/>
    <w:basedOn w:val="1"/>
    <w:next w:val="1"/>
    <w:unhideWhenUsed/>
    <w:qFormat/>
    <w:uiPriority w:val="39"/>
    <w:pPr>
      <w:spacing w:after="57"/>
      <w:ind w:left="1984"/>
    </w:pPr>
  </w:style>
  <w:style w:type="paragraph" w:styleId="18">
    <w:name w:val="endnote text"/>
    <w:basedOn w:val="1"/>
    <w:link w:val="183"/>
    <w:semiHidden/>
    <w:unhideWhenUsed/>
    <w:qFormat/>
    <w:uiPriority w:val="99"/>
    <w:rPr>
      <w:sz w:val="20"/>
    </w:rPr>
  </w:style>
  <w:style w:type="paragraph" w:styleId="19">
    <w:name w:val="footer"/>
    <w:basedOn w:val="1"/>
    <w:link w:val="56"/>
    <w:unhideWhenUsed/>
    <w:qFormat/>
    <w:uiPriority w:val="99"/>
    <w:pPr>
      <w:tabs>
        <w:tab w:val="center" w:pos="7143"/>
        <w:tab w:val="right" w:pos="14287"/>
      </w:tabs>
    </w:pPr>
  </w:style>
  <w:style w:type="paragraph" w:styleId="20">
    <w:name w:val="header"/>
    <w:basedOn w:val="1"/>
    <w:link w:val="54"/>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标题 41"/>
    <w:basedOn w:val="1"/>
    <w:next w:val="1"/>
    <w:link w:val="196"/>
    <w:qFormat/>
    <w:uiPriority w:val="0"/>
    <w:pPr>
      <w:keepNext/>
      <w:keepLines/>
      <w:spacing w:before="280" w:after="290" w:line="376" w:lineRule="auto"/>
      <w:outlineLvl w:val="3"/>
    </w:pPr>
    <w:rPr>
      <w:rFonts w:ascii="Arial" w:hAnsi="Arial" w:eastAsia="黑体"/>
      <w:b/>
      <w:bCs/>
      <w:sz w:val="28"/>
      <w:szCs w:val="28"/>
    </w:rPr>
  </w:style>
  <w:style w:type="character" w:customStyle="1" w:styleId="37">
    <w:name w:val="标题 1 字符1"/>
    <w:link w:val="3"/>
    <w:qFormat/>
    <w:uiPriority w:val="9"/>
    <w:rPr>
      <w:rFonts w:ascii="Arial" w:hAnsi="Arial" w:eastAsia="Arial" w:cs="Arial"/>
      <w:sz w:val="40"/>
      <w:szCs w:val="40"/>
    </w:rPr>
  </w:style>
  <w:style w:type="character" w:customStyle="1" w:styleId="38">
    <w:name w:val="标题 2 字符1"/>
    <w:link w:val="2"/>
    <w:qFormat/>
    <w:uiPriority w:val="9"/>
    <w:rPr>
      <w:rFonts w:ascii="Arial" w:hAnsi="Arial" w:eastAsia="Arial" w:cs="Arial"/>
      <w:sz w:val="34"/>
    </w:rPr>
  </w:style>
  <w:style w:type="character" w:customStyle="1" w:styleId="39">
    <w:name w:val="标题 3 字符1"/>
    <w:link w:val="4"/>
    <w:qFormat/>
    <w:uiPriority w:val="9"/>
    <w:rPr>
      <w:rFonts w:ascii="Arial" w:hAnsi="Arial" w:eastAsia="Arial" w:cs="Arial"/>
      <w:sz w:val="30"/>
      <w:szCs w:val="30"/>
    </w:rPr>
  </w:style>
  <w:style w:type="character" w:customStyle="1" w:styleId="40">
    <w:name w:val="标题 4 字符1"/>
    <w:link w:val="5"/>
    <w:qFormat/>
    <w:uiPriority w:val="9"/>
    <w:rPr>
      <w:rFonts w:ascii="Arial" w:hAnsi="Arial" w:eastAsia="Arial" w:cs="Arial"/>
      <w:b/>
      <w:bCs/>
      <w:sz w:val="26"/>
      <w:szCs w:val="26"/>
    </w:rPr>
  </w:style>
  <w:style w:type="character" w:customStyle="1" w:styleId="41">
    <w:name w:val="标题 5 字符1"/>
    <w:link w:val="6"/>
    <w:qFormat/>
    <w:uiPriority w:val="9"/>
    <w:rPr>
      <w:rFonts w:ascii="Arial" w:hAnsi="Arial" w:eastAsia="Arial" w:cs="Arial"/>
      <w:b/>
      <w:bCs/>
      <w:sz w:val="24"/>
      <w:szCs w:val="24"/>
    </w:rPr>
  </w:style>
  <w:style w:type="character" w:customStyle="1" w:styleId="42">
    <w:name w:val="标题 6 字符1"/>
    <w:link w:val="7"/>
    <w:qFormat/>
    <w:uiPriority w:val="9"/>
    <w:rPr>
      <w:rFonts w:ascii="Arial" w:hAnsi="Arial" w:eastAsia="Arial" w:cs="Arial"/>
      <w:b/>
      <w:bCs/>
      <w:sz w:val="22"/>
      <w:szCs w:val="22"/>
    </w:rPr>
  </w:style>
  <w:style w:type="character" w:customStyle="1" w:styleId="43">
    <w:name w:val="标题 7 字符1"/>
    <w:link w:val="8"/>
    <w:qFormat/>
    <w:uiPriority w:val="9"/>
    <w:rPr>
      <w:rFonts w:ascii="Arial" w:hAnsi="Arial" w:eastAsia="Arial" w:cs="Arial"/>
      <w:b/>
      <w:bCs/>
      <w:i/>
      <w:iCs/>
      <w:sz w:val="22"/>
      <w:szCs w:val="22"/>
    </w:rPr>
  </w:style>
  <w:style w:type="character" w:customStyle="1" w:styleId="44">
    <w:name w:val="标题 8 字符1"/>
    <w:link w:val="9"/>
    <w:qFormat/>
    <w:uiPriority w:val="9"/>
    <w:rPr>
      <w:rFonts w:ascii="Arial" w:hAnsi="Arial" w:eastAsia="Arial" w:cs="Arial"/>
      <w:i/>
      <w:iCs/>
      <w:sz w:val="22"/>
      <w:szCs w:val="22"/>
    </w:rPr>
  </w:style>
  <w:style w:type="character" w:customStyle="1" w:styleId="45">
    <w:name w:val="标题 9 字符1"/>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rPr>
      <w:rFonts w:ascii="Times New Roman" w:hAnsi="Times New Roman" w:eastAsia="宋体" w:cs="Times New Roman"/>
      <w:lang w:val="en-US" w:eastAsia="zh-CN" w:bidi="ar-SA"/>
    </w:rPr>
  </w:style>
  <w:style w:type="character" w:customStyle="1" w:styleId="48">
    <w:name w:val="标题 字符"/>
    <w:link w:val="29"/>
    <w:qFormat/>
    <w:uiPriority w:val="10"/>
    <w:rPr>
      <w:sz w:val="48"/>
      <w:szCs w:val="48"/>
    </w:rPr>
  </w:style>
  <w:style w:type="character" w:customStyle="1" w:styleId="49">
    <w:name w:val="副标题 字符"/>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字符"/>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字符"/>
    <w:link w:val="52"/>
    <w:qFormat/>
    <w:uiPriority w:val="30"/>
    <w:rPr>
      <w:i/>
    </w:rPr>
  </w:style>
  <w:style w:type="character" w:customStyle="1" w:styleId="54">
    <w:name w:val="页眉 字符1"/>
    <w:link w:val="20"/>
    <w:qFormat/>
    <w:uiPriority w:val="99"/>
  </w:style>
  <w:style w:type="character" w:customStyle="1" w:styleId="55">
    <w:name w:val="Footer Char"/>
    <w:qFormat/>
    <w:uiPriority w:val="99"/>
  </w:style>
  <w:style w:type="character" w:customStyle="1" w:styleId="56">
    <w:name w:val="页脚 字符1"/>
    <w:link w:val="19"/>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字符"/>
    <w:link w:val="24"/>
    <w:qFormat/>
    <w:uiPriority w:val="99"/>
    <w:rPr>
      <w:sz w:val="18"/>
    </w:rPr>
  </w:style>
  <w:style w:type="character" w:customStyle="1" w:styleId="183">
    <w:name w:val="尾注文本 字符"/>
    <w:link w:val="18"/>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
    <w:basedOn w:val="1"/>
    <w:next w:val="1"/>
    <w:link w:val="197"/>
    <w:qFormat/>
    <w:uiPriority w:val="0"/>
    <w:pPr>
      <w:keepNext/>
      <w:jc w:val="center"/>
      <w:outlineLvl w:val="0"/>
    </w:pPr>
    <w:rPr>
      <w:rFonts w:ascii="楷体_GB2312" w:eastAsia="楷体_GB2312"/>
      <w:sz w:val="28"/>
      <w:szCs w:val="28"/>
    </w:rPr>
  </w:style>
  <w:style w:type="paragraph" w:customStyle="1" w:styleId="186">
    <w:name w:val="标题 21"/>
    <w:basedOn w:val="1"/>
    <w:next w:val="187"/>
    <w:link w:val="198"/>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7">
    <w:name w:val="正文缩进1"/>
    <w:basedOn w:val="1"/>
    <w:link w:val="199"/>
    <w:qFormat/>
    <w:uiPriority w:val="0"/>
    <w:pPr>
      <w:ind w:firstLine="420"/>
    </w:pPr>
    <w:rPr>
      <w:sz w:val="20"/>
    </w:rPr>
  </w:style>
  <w:style w:type="paragraph" w:customStyle="1" w:styleId="188">
    <w:name w:val="标题 31"/>
    <w:basedOn w:val="1"/>
    <w:next w:val="187"/>
    <w:link w:val="200"/>
    <w:qFormat/>
    <w:uiPriority w:val="0"/>
    <w:pPr>
      <w:keepNext/>
      <w:keepLines/>
      <w:spacing w:before="260" w:after="260" w:line="416" w:lineRule="auto"/>
      <w:outlineLvl w:val="2"/>
    </w:pPr>
    <w:rPr>
      <w:b/>
      <w:bCs/>
      <w:sz w:val="32"/>
      <w:szCs w:val="32"/>
    </w:rPr>
  </w:style>
  <w:style w:type="paragraph" w:customStyle="1" w:styleId="189">
    <w:name w:val="标题 51"/>
    <w:basedOn w:val="1"/>
    <w:next w:val="187"/>
    <w:link w:val="201"/>
    <w:qFormat/>
    <w:uiPriority w:val="0"/>
    <w:pPr>
      <w:keepNext/>
      <w:outlineLvl w:val="4"/>
    </w:pPr>
    <w:rPr>
      <w:rFonts w:ascii="宋体"/>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4">
    <w:name w:val="默认段落字体1"/>
    <w:unhideWhenUsed/>
    <w:qFormat/>
    <w:uiPriority w:val="1"/>
  </w:style>
  <w:style w:type="table" w:customStyle="1" w:styleId="195">
    <w:name w:val="普通表格1"/>
    <w:unhideWhenUsed/>
    <w:qFormat/>
    <w:uiPriority w:val="99"/>
    <w:tblPr>
      <w:tblCellMar>
        <w:top w:w="0" w:type="dxa"/>
        <w:left w:w="0" w:type="dxa"/>
        <w:bottom w:w="0" w:type="dxa"/>
        <w:right w:w="0" w:type="dxa"/>
      </w:tblCellMar>
    </w:tblPr>
  </w:style>
  <w:style w:type="character" w:customStyle="1" w:styleId="196">
    <w:name w:val="标题 4 字符"/>
    <w:link w:val="36"/>
    <w:qFormat/>
    <w:uiPriority w:val="0"/>
    <w:rPr>
      <w:rFonts w:ascii="Arial" w:hAnsi="Arial" w:eastAsia="黑体" w:cs="Arial"/>
      <w:b/>
      <w:bCs/>
      <w:sz w:val="28"/>
      <w:szCs w:val="28"/>
    </w:rPr>
  </w:style>
  <w:style w:type="character" w:customStyle="1" w:styleId="197">
    <w:name w:val="标题 1 字符"/>
    <w:link w:val="185"/>
    <w:qFormat/>
    <w:uiPriority w:val="0"/>
    <w:rPr>
      <w:rFonts w:ascii="楷体_GB2312" w:hAnsi="Times New Roman" w:eastAsia="楷体_GB2312" w:cs="Times New Roman"/>
      <w:sz w:val="28"/>
      <w:szCs w:val="28"/>
    </w:rPr>
  </w:style>
  <w:style w:type="character" w:customStyle="1" w:styleId="198">
    <w:name w:val="标题 2 字符"/>
    <w:link w:val="186"/>
    <w:qFormat/>
    <w:uiPriority w:val="0"/>
    <w:rPr>
      <w:rFonts w:ascii="Arial" w:hAnsi="Arial" w:eastAsia="幼圆" w:cs="Arial"/>
      <w:b/>
      <w:bCs/>
      <w:sz w:val="44"/>
      <w:szCs w:val="44"/>
    </w:rPr>
  </w:style>
  <w:style w:type="character" w:customStyle="1" w:styleId="199">
    <w:name w:val="正文缩进 字符"/>
    <w:link w:val="187"/>
    <w:qFormat/>
    <w:uiPriority w:val="0"/>
    <w:rPr>
      <w:rFonts w:ascii="Times New Roman" w:hAnsi="Times New Roman" w:eastAsia="宋体" w:cs="Times New Roman"/>
      <w:szCs w:val="21"/>
    </w:rPr>
  </w:style>
  <w:style w:type="character" w:customStyle="1" w:styleId="200">
    <w:name w:val="标题 3 字符"/>
    <w:link w:val="188"/>
    <w:qFormat/>
    <w:uiPriority w:val="0"/>
    <w:rPr>
      <w:rFonts w:ascii="Times New Roman" w:hAnsi="Times New Roman" w:eastAsia="宋体" w:cs="Times New Roman"/>
      <w:b/>
      <w:bCs/>
      <w:sz w:val="32"/>
      <w:szCs w:val="32"/>
    </w:rPr>
  </w:style>
  <w:style w:type="character" w:customStyle="1" w:styleId="201">
    <w:name w:val="标题 5 字符"/>
    <w:link w:val="189"/>
    <w:qFormat/>
    <w:uiPriority w:val="0"/>
    <w:rPr>
      <w:rFonts w:ascii="宋体" w:hAnsi="Times New Roman" w:eastAsia="宋体" w:cs="Times New Roman"/>
      <w:color w:val="000000"/>
      <w:sz w:val="28"/>
      <w:szCs w:val="28"/>
    </w:rPr>
  </w:style>
  <w:style w:type="character" w:customStyle="1" w:styleId="202">
    <w:name w:val="标题 6 字符"/>
    <w:link w:val="190"/>
    <w:qFormat/>
    <w:uiPriority w:val="0"/>
    <w:rPr>
      <w:rFonts w:ascii="Arial" w:hAnsi="Arial" w:eastAsia="黑体" w:cs="Times New Roman"/>
      <w:b/>
      <w:bCs/>
      <w:sz w:val="24"/>
      <w:szCs w:val="24"/>
    </w:rPr>
  </w:style>
  <w:style w:type="character" w:customStyle="1" w:styleId="203">
    <w:name w:val="标题 7 字符"/>
    <w:link w:val="191"/>
    <w:qFormat/>
    <w:uiPriority w:val="0"/>
    <w:rPr>
      <w:rFonts w:ascii="Times New Roman" w:hAnsi="Times New Roman" w:eastAsia="宋体" w:cs="Times New Roman"/>
      <w:b/>
      <w:bCs/>
      <w:sz w:val="24"/>
      <w:szCs w:val="24"/>
    </w:rPr>
  </w:style>
  <w:style w:type="character" w:customStyle="1" w:styleId="204">
    <w:name w:val="标题 8 字符"/>
    <w:link w:val="192"/>
    <w:qFormat/>
    <w:uiPriority w:val="0"/>
    <w:rPr>
      <w:rFonts w:ascii="Arial" w:hAnsi="Arial" w:eastAsia="黑体" w:cs="Times New Roman"/>
      <w:sz w:val="24"/>
      <w:szCs w:val="24"/>
    </w:rPr>
  </w:style>
  <w:style w:type="character" w:customStyle="1" w:styleId="205">
    <w:name w:val="标题 9 字符"/>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style>
  <w:style w:type="paragraph" w:customStyle="1" w:styleId="207">
    <w:name w:val="目录 71"/>
    <w:basedOn w:val="1"/>
    <w:next w:val="1"/>
    <w:semiHidden/>
    <w:qFormat/>
    <w:uiPriority w:val="0"/>
    <w:pPr>
      <w:ind w:left="1260"/>
      <w:jc w:val="left"/>
    </w:pPr>
  </w:style>
  <w:style w:type="paragraph" w:customStyle="1" w:styleId="208">
    <w:name w:val="文档结构图1"/>
    <w:basedOn w:val="1"/>
    <w:link w:val="209"/>
    <w:semiHidden/>
    <w:qFormat/>
    <w:uiPriority w:val="0"/>
    <w:pPr>
      <w:shd w:val="clear" w:color="auto" w:fill="000080"/>
    </w:pPr>
    <w:rPr>
      <w:sz w:val="20"/>
    </w:rPr>
  </w:style>
  <w:style w:type="character" w:customStyle="1" w:styleId="209">
    <w:name w:val="文档结构图 字符"/>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
    <w:basedOn w:val="1"/>
    <w:link w:val="211"/>
    <w:semiHidden/>
    <w:qFormat/>
    <w:uiPriority w:val="0"/>
    <w:pPr>
      <w:jc w:val="left"/>
    </w:pPr>
    <w:rPr>
      <w:sz w:val="20"/>
    </w:rPr>
  </w:style>
  <w:style w:type="character" w:customStyle="1" w:styleId="211">
    <w:name w:val="批注文字 字符"/>
    <w:link w:val="210"/>
    <w:semiHidden/>
    <w:qFormat/>
    <w:uiPriority w:val="0"/>
    <w:rPr>
      <w:rFonts w:ascii="Times New Roman" w:hAnsi="Times New Roman" w:eastAsia="宋体" w:cs="Times New Roman"/>
      <w:szCs w:val="21"/>
    </w:rPr>
  </w:style>
  <w:style w:type="paragraph" w:customStyle="1" w:styleId="212">
    <w:name w:val="正文文本 31"/>
    <w:basedOn w:val="1"/>
    <w:link w:val="213"/>
    <w:qFormat/>
    <w:uiPriority w:val="0"/>
    <w:rPr>
      <w:rFonts w:ascii="仿宋_GB2312" w:hAnsi="Arial" w:eastAsia="仿宋_GB2312"/>
      <w:sz w:val="32"/>
      <w:szCs w:val="32"/>
    </w:rPr>
  </w:style>
  <w:style w:type="character" w:customStyle="1" w:styleId="213">
    <w:name w:val="正文文本 3 字符"/>
    <w:link w:val="212"/>
    <w:qFormat/>
    <w:uiPriority w:val="0"/>
    <w:rPr>
      <w:rFonts w:ascii="仿宋_GB2312" w:hAnsi="Arial" w:eastAsia="仿宋_GB2312" w:cs="Times New Roman"/>
      <w:sz w:val="32"/>
      <w:szCs w:val="32"/>
    </w:rPr>
  </w:style>
  <w:style w:type="paragraph" w:customStyle="1" w:styleId="214">
    <w:name w:val="正文文本1"/>
    <w:basedOn w:val="1"/>
    <w:link w:val="215"/>
    <w:qFormat/>
    <w:uiPriority w:val="0"/>
    <w:rPr>
      <w:rFonts w:ascii="楷体_GB2312" w:hAnsi="Arial" w:eastAsia="楷体_GB2312"/>
      <w:sz w:val="28"/>
      <w:szCs w:val="28"/>
    </w:rPr>
  </w:style>
  <w:style w:type="character" w:customStyle="1" w:styleId="215">
    <w:name w:val="正文文本 字符"/>
    <w:link w:val="214"/>
    <w:qFormat/>
    <w:uiPriority w:val="0"/>
    <w:rPr>
      <w:rFonts w:ascii="楷体_GB2312" w:hAnsi="Arial" w:eastAsia="楷体_GB2312" w:cs="Times New Roman"/>
      <w:sz w:val="28"/>
      <w:szCs w:val="28"/>
    </w:rPr>
  </w:style>
  <w:style w:type="paragraph" w:customStyle="1" w:styleId="216">
    <w:name w:val="正文文本缩进1"/>
    <w:basedOn w:val="1"/>
    <w:link w:val="217"/>
    <w:qFormat/>
    <w:uiPriority w:val="0"/>
    <w:pPr>
      <w:ind w:firstLine="645"/>
    </w:pPr>
    <w:rPr>
      <w:rFonts w:ascii="楷体_GB2312" w:eastAsia="楷体_GB2312"/>
      <w:sz w:val="32"/>
      <w:szCs w:val="32"/>
    </w:rPr>
  </w:style>
  <w:style w:type="character" w:customStyle="1" w:styleId="217">
    <w:name w:val="正文文本缩进 字符"/>
    <w:link w:val="216"/>
    <w:qFormat/>
    <w:uiPriority w:val="0"/>
    <w:rPr>
      <w:rFonts w:ascii="楷体_GB2312" w:hAnsi="Times New Roman" w:eastAsia="楷体_GB2312" w:cs="Times New Roman"/>
      <w:sz w:val="32"/>
      <w:szCs w:val="32"/>
    </w:rPr>
  </w:style>
  <w:style w:type="paragraph" w:customStyle="1" w:styleId="218">
    <w:name w:val="列表 21"/>
    <w:basedOn w:val="1"/>
    <w:qFormat/>
    <w:uiPriority w:val="0"/>
    <w:pPr>
      <w:ind w:left="100" w:hanging="200"/>
    </w:pPr>
  </w:style>
  <w:style w:type="paragraph" w:customStyle="1" w:styleId="219">
    <w:name w:val="目录 51"/>
    <w:basedOn w:val="1"/>
    <w:next w:val="1"/>
    <w:semiHidden/>
    <w:qFormat/>
    <w:uiPriority w:val="0"/>
    <w:pPr>
      <w:ind w:left="840"/>
      <w:jc w:val="left"/>
    </w:pPr>
  </w:style>
  <w:style w:type="paragraph" w:customStyle="1" w:styleId="220">
    <w:name w:val="目录 31"/>
    <w:basedOn w:val="1"/>
    <w:next w:val="1"/>
    <w:semiHidden/>
    <w:qFormat/>
    <w:uiPriority w:val="0"/>
    <w:pPr>
      <w:ind w:left="420"/>
      <w:jc w:val="left"/>
    </w:pPr>
    <w:rPr>
      <w:i/>
      <w:iCs/>
      <w:szCs w:val="24"/>
    </w:rPr>
  </w:style>
  <w:style w:type="paragraph" w:customStyle="1" w:styleId="221">
    <w:name w:val="纯文本1"/>
    <w:basedOn w:val="1"/>
    <w:link w:val="222"/>
    <w:qFormat/>
    <w:uiPriority w:val="0"/>
    <w:rPr>
      <w:rFonts w:ascii="宋体" w:hAnsi="Courier New"/>
      <w:sz w:val="20"/>
    </w:rPr>
  </w:style>
  <w:style w:type="character" w:customStyle="1" w:styleId="222">
    <w:name w:val="纯文本 字符"/>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style>
  <w:style w:type="paragraph" w:customStyle="1" w:styleId="224">
    <w:name w:val="日期1"/>
    <w:basedOn w:val="1"/>
    <w:next w:val="1"/>
    <w:link w:val="225"/>
    <w:qFormat/>
    <w:uiPriority w:val="0"/>
    <w:rPr>
      <w:sz w:val="24"/>
      <w:szCs w:val="24"/>
    </w:rPr>
  </w:style>
  <w:style w:type="character" w:customStyle="1" w:styleId="225">
    <w:name w:val="日期 字符"/>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sz w:val="32"/>
      <w:szCs w:val="32"/>
    </w:rPr>
  </w:style>
  <w:style w:type="character" w:customStyle="1" w:styleId="227">
    <w:name w:val="正文文本缩进 2 字符"/>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sz w:val="18"/>
      <w:szCs w:val="18"/>
    </w:rPr>
  </w:style>
  <w:style w:type="character" w:customStyle="1" w:styleId="229">
    <w:name w:val="批注框文本 字符"/>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0"/>
    <w:pPr>
      <w:tabs>
        <w:tab w:val="center" w:pos="4153"/>
        <w:tab w:val="right" w:pos="8306"/>
      </w:tabs>
      <w:jc w:val="left"/>
    </w:pPr>
    <w:rPr>
      <w:sz w:val="18"/>
      <w:szCs w:val="18"/>
    </w:rPr>
  </w:style>
  <w:style w:type="character" w:customStyle="1" w:styleId="231">
    <w:name w:val="页脚 字符"/>
    <w:link w:val="230"/>
    <w:qFormat/>
    <w:uiPriority w:val="0"/>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字符"/>
    <w:link w:val="232"/>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5">
    <w:name w:val="目录 41"/>
    <w:basedOn w:val="1"/>
    <w:next w:val="1"/>
    <w:semiHidden/>
    <w:qFormat/>
    <w:uiPriority w:val="0"/>
    <w:pPr>
      <w:ind w:left="630"/>
      <w:jc w:val="left"/>
    </w:pPr>
  </w:style>
  <w:style w:type="paragraph" w:customStyle="1" w:styleId="236">
    <w:name w:val="列表1"/>
    <w:basedOn w:val="1"/>
    <w:qFormat/>
    <w:uiPriority w:val="0"/>
    <w:pPr>
      <w:ind w:left="200" w:hanging="200"/>
    </w:pPr>
  </w:style>
  <w:style w:type="paragraph" w:customStyle="1" w:styleId="237">
    <w:name w:val="目录 61"/>
    <w:basedOn w:val="1"/>
    <w:next w:val="1"/>
    <w:semiHidden/>
    <w:qFormat/>
    <w:uiPriority w:val="0"/>
    <w:pPr>
      <w:ind w:left="1050"/>
      <w:jc w:val="left"/>
    </w:pPr>
  </w:style>
  <w:style w:type="paragraph" w:customStyle="1" w:styleId="238">
    <w:name w:val="正文文本缩进 31"/>
    <w:basedOn w:val="1"/>
    <w:link w:val="239"/>
    <w:qFormat/>
    <w:uiPriority w:val="0"/>
    <w:pPr>
      <w:ind w:left="645" w:firstLine="645"/>
    </w:pPr>
    <w:rPr>
      <w:rFonts w:ascii="Arial" w:hAnsi="Arial" w:eastAsia="仿宋_GB2312"/>
      <w:color w:val="FFFF00"/>
      <w:sz w:val="32"/>
      <w:szCs w:val="32"/>
    </w:rPr>
  </w:style>
  <w:style w:type="character" w:customStyle="1" w:styleId="239">
    <w:name w:val="正文文本缩进 3 字符"/>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style>
  <w:style w:type="paragraph" w:customStyle="1" w:styleId="241">
    <w:name w:val="目录 21"/>
    <w:basedOn w:val="1"/>
    <w:next w:val="1"/>
    <w:semiHidden/>
    <w:qFormat/>
    <w:uiPriority w:val="0"/>
    <w:pPr>
      <w:ind w:left="210"/>
      <w:jc w:val="left"/>
    </w:pPr>
    <w:rPr>
      <w:smallCaps/>
      <w:szCs w:val="24"/>
    </w:rPr>
  </w:style>
  <w:style w:type="paragraph" w:customStyle="1" w:styleId="242">
    <w:name w:val="目录 91"/>
    <w:basedOn w:val="1"/>
    <w:next w:val="1"/>
    <w:semiHidden/>
    <w:qFormat/>
    <w:uiPriority w:val="0"/>
    <w:pPr>
      <w:ind w:left="1680"/>
      <w:jc w:val="left"/>
    </w:pPr>
  </w:style>
  <w:style w:type="paragraph" w:customStyle="1" w:styleId="243">
    <w:name w:val="正文文本 21"/>
    <w:basedOn w:val="1"/>
    <w:link w:val="244"/>
    <w:qFormat/>
    <w:uiPriority w:val="0"/>
    <w:pPr>
      <w:widowControl/>
      <w:jc w:val="center"/>
    </w:pPr>
    <w:rPr>
      <w:rFonts w:ascii="楷体_GB2312" w:eastAsia="楷体_GB2312"/>
      <w:sz w:val="28"/>
      <w:szCs w:val="28"/>
    </w:rPr>
  </w:style>
  <w:style w:type="character" w:customStyle="1" w:styleId="244">
    <w:name w:val="正文文本 2 字符"/>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semiHidden/>
    <w:qFormat/>
    <w:uiPriority w:val="0"/>
    <w:pPr>
      <w:spacing w:line="240" w:lineRule="atLeast"/>
    </w:pPr>
    <w:rPr>
      <w:b/>
      <w:bCs/>
    </w:rPr>
  </w:style>
  <w:style w:type="paragraph" w:customStyle="1" w:styleId="247">
    <w:name w:val="批注主题1"/>
    <w:basedOn w:val="210"/>
    <w:next w:val="210"/>
    <w:link w:val="248"/>
    <w:semiHidden/>
    <w:qFormat/>
    <w:uiPriority w:val="0"/>
    <w:rPr>
      <w:b/>
      <w:bCs/>
    </w:rPr>
  </w:style>
  <w:style w:type="character" w:customStyle="1" w:styleId="248">
    <w:name w:val="批注主题 字符"/>
    <w:link w:val="247"/>
    <w:semiHidden/>
    <w:qFormat/>
    <w:uiPriority w:val="0"/>
    <w:rPr>
      <w:rFonts w:ascii="Times New Roman" w:hAnsi="Times New Roman" w:eastAsia="宋体" w:cs="Times New Roman"/>
      <w:b/>
      <w:bCs/>
      <w:szCs w:val="21"/>
    </w:rPr>
  </w:style>
  <w:style w:type="paragraph" w:customStyle="1" w:styleId="249">
    <w:name w:val="正文首行缩进1"/>
    <w:basedOn w:val="1"/>
    <w:link w:val="250"/>
    <w:qFormat/>
    <w:uiPriority w:val="0"/>
    <w:pPr>
      <w:spacing w:line="360" w:lineRule="auto"/>
      <w:ind w:firstLine="200"/>
    </w:pPr>
    <w:rPr>
      <w:rFonts w:ascii="仿宋_GB2312" w:eastAsia="仿宋_GB2312"/>
      <w:sz w:val="30"/>
      <w:szCs w:val="30"/>
    </w:rPr>
  </w:style>
  <w:style w:type="character" w:customStyle="1" w:styleId="250">
    <w:name w:val="正文首行缩进 字符"/>
    <w:link w:val="249"/>
    <w:qFormat/>
    <w:uiPriority w:val="0"/>
    <w:rPr>
      <w:rFonts w:ascii="仿宋_GB2312" w:hAnsi="Times New Roman" w:eastAsia="仿宋_GB2312" w:cs="Times New Roman"/>
      <w:sz w:val="30"/>
      <w:szCs w:val="30"/>
    </w:rPr>
  </w:style>
  <w:style w:type="paragraph" w:customStyle="1" w:styleId="251">
    <w:name w:val="正文首行缩进 21"/>
    <w:basedOn w:val="216"/>
    <w:link w:val="252"/>
    <w:qFormat/>
    <w:uiPriority w:val="0"/>
    <w:pPr>
      <w:spacing w:line="360" w:lineRule="auto"/>
      <w:ind w:firstLine="420"/>
    </w:pPr>
    <w:rPr>
      <w:rFonts w:ascii="宋体" w:hAnsi="宋体" w:eastAsia="宋体"/>
      <w:szCs w:val="20"/>
    </w:rPr>
  </w:style>
  <w:style w:type="character" w:customStyle="1" w:styleId="252">
    <w:name w:val="正文首行缩进 2 字符"/>
    <w:link w:val="251"/>
    <w:qFormat/>
    <w:uiPriority w:val="0"/>
    <w:rPr>
      <w:rFonts w:ascii="宋体" w:hAnsi="宋体" w:eastAsia="宋体" w:cs="Times New Roman"/>
      <w:sz w:val="32"/>
      <w:szCs w:val="20"/>
    </w:rPr>
  </w:style>
  <w:style w:type="table" w:customStyle="1" w:styleId="253">
    <w:name w:val="网格型1"/>
    <w:basedOn w:val="195"/>
    <w:qFormat/>
    <w:uiPriority w:val="0"/>
    <w:pPr>
      <w:widowControl w:val="0"/>
      <w:jc w:val="both"/>
    </w:pPr>
  </w:style>
  <w:style w:type="character" w:customStyle="1" w:styleId="254">
    <w:name w:val="要点1"/>
    <w:qFormat/>
    <w:uiPriority w:val="0"/>
    <w:rPr>
      <w:b/>
      <w:bCs/>
    </w:rPr>
  </w:style>
  <w:style w:type="character" w:customStyle="1" w:styleId="255">
    <w:name w:val="页码1"/>
    <w:qFormat/>
    <w:uiPriority w:val="0"/>
  </w:style>
  <w:style w:type="character" w:customStyle="1" w:styleId="256">
    <w:name w:val="已访问的超链接1"/>
    <w:qFormat/>
    <w:uiPriority w:val="0"/>
    <w:rPr>
      <w:color w:val="800080"/>
      <w:u w:val="single"/>
    </w:rPr>
  </w:style>
  <w:style w:type="character" w:customStyle="1" w:styleId="257">
    <w:name w:val="超链接1"/>
    <w:qFormat/>
    <w:uiPriority w:val="0"/>
    <w:rPr>
      <w:color w:val="0000FF"/>
      <w:u w:val="single"/>
    </w:rPr>
  </w:style>
  <w:style w:type="character" w:customStyle="1" w:styleId="258">
    <w:name w:val="批注引用1"/>
    <w:semiHidden/>
    <w:qFormat/>
    <w:uiPriority w:val="0"/>
    <w:rPr>
      <w:sz w:val="21"/>
      <w:szCs w:val="21"/>
    </w:rPr>
  </w:style>
  <w:style w:type="character" w:customStyle="1" w:styleId="259">
    <w:name w:val="font5 Char"/>
    <w:qFormat/>
    <w:uiPriority w:val="0"/>
    <w:rPr>
      <w:rFonts w:ascii="宋体" w:hAnsi="宋体" w:eastAsia="宋体"/>
      <w:sz w:val="28"/>
      <w:szCs w:val="28"/>
      <w:lang w:val="en-US" w:eastAsia="zh-CN" w:bidi="ar-SA"/>
    </w:rPr>
  </w:style>
  <w:style w:type="character" w:customStyle="1" w:styleId="260">
    <w:name w:val="二级目录 Char"/>
    <w:link w:val="261"/>
    <w:qFormat/>
    <w:uiPriority w:val="0"/>
    <w:rPr>
      <w:b/>
      <w:sz w:val="30"/>
      <w:szCs w:val="28"/>
    </w:rPr>
  </w:style>
  <w:style w:type="paragraph" w:customStyle="1" w:styleId="261">
    <w:name w:val="二级目录"/>
    <w:next w:val="1"/>
    <w:link w:val="26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2">
    <w:name w:val="列出段落 Char"/>
    <w:link w:val="263"/>
    <w:qFormat/>
    <w:uiPriority w:val="0"/>
    <w:rPr>
      <w:rFonts w:ascii="Calibri" w:hAnsi="Calibri"/>
      <w:sz w:val="24"/>
      <w:szCs w:val="24"/>
      <w:lang w:eastAsia="en-US" w:bidi="en-US"/>
    </w:rPr>
  </w:style>
  <w:style w:type="paragraph" w:customStyle="1" w:styleId="263">
    <w:name w:val="列出段落1"/>
    <w:basedOn w:val="1"/>
    <w:link w:val="262"/>
    <w:qFormat/>
    <w:uiPriority w:val="0"/>
    <w:pPr>
      <w:widowControl/>
      <w:ind w:left="720"/>
      <w:contextualSpacing/>
      <w:jc w:val="left"/>
    </w:pPr>
    <w:rPr>
      <w:rFonts w:ascii="Calibri" w:hAnsi="Calibri"/>
      <w:sz w:val="24"/>
      <w:szCs w:val="24"/>
      <w:lang w:eastAsia="en-US" w:bidi="en-US"/>
    </w:rPr>
  </w:style>
  <w:style w:type="paragraph" w:customStyle="1" w:styleId="264">
    <w:name w:val="Body Text(ch)"/>
    <w:basedOn w:val="1"/>
    <w:next w:val="214"/>
    <w:qFormat/>
    <w:uiPriority w:val="0"/>
    <w:pPr>
      <w:spacing w:after="120"/>
    </w:pPr>
    <w:rPr>
      <w:rFonts w:ascii="宋体" w:hAnsi="Arial"/>
      <w:bCs/>
      <w:iCs/>
      <w:szCs w:val="24"/>
    </w:rPr>
  </w:style>
  <w:style w:type="paragraph" w:customStyle="1" w:styleId="26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7">
    <w:name w:val="Char"/>
    <w:basedOn w:val="1"/>
    <w:qFormat/>
    <w:uiPriority w:val="0"/>
    <w:pPr>
      <w:tabs>
        <w:tab w:val="left" w:pos="360"/>
      </w:tabs>
      <w:ind w:firstLine="200"/>
    </w:pPr>
    <w:rPr>
      <w:sz w:val="28"/>
      <w:szCs w:val="30"/>
    </w:rPr>
  </w:style>
  <w:style w:type="paragraph" w:customStyle="1" w:styleId="268">
    <w:name w:val="Char1"/>
    <w:basedOn w:val="208"/>
    <w:qFormat/>
    <w:uiPriority w:val="0"/>
    <w:rPr>
      <w:rFonts w:ascii="Tahoma" w:hAnsi="Tahoma"/>
      <w:sz w:val="24"/>
      <w:szCs w:val="24"/>
    </w:rPr>
  </w:style>
  <w:style w:type="paragraph" w:customStyle="1" w:styleId="26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0">
    <w:name w:val="table_lines"/>
    <w:basedOn w:val="1"/>
    <w:qFormat/>
    <w:uiPriority w:val="0"/>
    <w:pPr>
      <w:widowControl/>
      <w:jc w:val="left"/>
    </w:pPr>
    <w:rPr>
      <w:sz w:val="20"/>
      <w:szCs w:val="20"/>
      <w:lang w:val="de-DE" w:eastAsia="de-DE"/>
    </w:rPr>
  </w:style>
  <w:style w:type="paragraph" w:customStyle="1" w:styleId="271">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3">
    <w:name w:val="Char Char Char Char"/>
    <w:basedOn w:val="208"/>
    <w:qFormat/>
    <w:uiPriority w:val="0"/>
    <w:pPr>
      <w:spacing w:line="360" w:lineRule="auto"/>
    </w:pPr>
    <w:rPr>
      <w:rFonts w:ascii="Tahoma" w:hAnsi="Tahoma"/>
      <w:sz w:val="24"/>
      <w:szCs w:val="24"/>
    </w:rPr>
  </w:style>
  <w:style w:type="paragraph" w:customStyle="1" w:styleId="274">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5">
    <w:name w:val="4"/>
    <w:basedOn w:val="1"/>
    <w:next w:val="238"/>
    <w:qFormat/>
    <w:uiPriority w:val="0"/>
    <w:pPr>
      <w:spacing w:line="360" w:lineRule="auto"/>
      <w:ind w:firstLine="420"/>
    </w:pPr>
    <w:rPr>
      <w:color w:val="FF0000"/>
      <w:sz w:val="24"/>
      <w:szCs w:val="24"/>
    </w:rPr>
  </w:style>
  <w:style w:type="paragraph" w:customStyle="1" w:styleId="27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7">
    <w:name w:val="Char Char Char Char Char Char Char Char Char Char"/>
    <w:basedOn w:val="1"/>
    <w:qFormat/>
    <w:uiPriority w:val="0"/>
    <w:pPr>
      <w:spacing w:line="360" w:lineRule="auto"/>
    </w:pPr>
    <w:rPr>
      <w:sz w:val="24"/>
      <w:szCs w:val="20"/>
    </w:rPr>
  </w:style>
  <w:style w:type="paragraph" w:customStyle="1" w:styleId="278">
    <w:name w:val="样式1"/>
    <w:basedOn w:val="1"/>
    <w:qFormat/>
    <w:uiPriority w:val="0"/>
    <w:pPr>
      <w:numPr>
        <w:ilvl w:val="0"/>
        <w:numId w:val="3"/>
      </w:numPr>
    </w:pPr>
    <w:rPr>
      <w:rFonts w:ascii="宋体" w:hAnsi="宋体"/>
    </w:rPr>
  </w:style>
  <w:style w:type="paragraph" w:customStyle="1" w:styleId="27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9">
    <w:name w:val="Char Char Char Char1"/>
    <w:basedOn w:val="208"/>
    <w:qFormat/>
    <w:uiPriority w:val="0"/>
    <w:pPr>
      <w:spacing w:line="360" w:lineRule="auto"/>
    </w:pPr>
    <w:rPr>
      <w:rFonts w:ascii="Tahoma" w:hAnsi="Tahoma"/>
      <w:sz w:val="24"/>
      <w:szCs w:val="24"/>
    </w:rPr>
  </w:style>
  <w:style w:type="paragraph" w:customStyle="1" w:styleId="290">
    <w:name w:val="table_1stline"/>
    <w:basedOn w:val="1"/>
    <w:qFormat/>
    <w:uiPriority w:val="0"/>
    <w:pPr>
      <w:widowControl/>
      <w:spacing w:before="120"/>
      <w:jc w:val="left"/>
    </w:pPr>
    <w:rPr>
      <w:bCs/>
      <w:sz w:val="20"/>
      <w:szCs w:val="20"/>
      <w:lang w:val="de-DE" w:eastAsia="de-DE"/>
    </w:rPr>
  </w:style>
  <w:style w:type="paragraph" w:customStyle="1" w:styleId="29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3">
    <w:name w:val="修订1"/>
    <w:semiHidden/>
    <w:qFormat/>
    <w:uiPriority w:val="99"/>
    <w:rPr>
      <w:rFonts w:ascii="Times New Roman" w:hAnsi="Times New Roman" w:eastAsia="宋体" w:cs="Times New Roman"/>
      <w:sz w:val="21"/>
      <w:szCs w:val="21"/>
      <w:lang w:val="en-US" w:eastAsia="zh-CN" w:bidi="ar-SA"/>
    </w:rPr>
  </w:style>
  <w:style w:type="paragraph" w:customStyle="1" w:styleId="294">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95">
    <w:name w:val="正文首行缩进11"/>
    <w:basedOn w:val="296"/>
    <w:qFormat/>
    <w:uiPriority w:val="0"/>
    <w:pPr>
      <w:spacing w:line="360" w:lineRule="auto"/>
      <w:ind w:firstLine="200"/>
    </w:pPr>
    <w:rPr>
      <w:rFonts w:ascii="仿宋_GB2312" w:eastAsia="仿宋_GB2312"/>
      <w:sz w:val="30"/>
      <w:szCs w:val="30"/>
    </w:rPr>
  </w:style>
  <w:style w:type="paragraph" w:customStyle="1" w:styleId="296">
    <w:name w:val="正文文本11"/>
    <w:basedOn w:val="1"/>
    <w:next w:val="1"/>
    <w:qFormat/>
    <w:uiPriority w:val="0"/>
    <w:rPr>
      <w:rFonts w:ascii="楷体_GB2312" w:hAnsi="Arial" w:eastAsia="楷体_GB2312"/>
      <w:sz w:val="28"/>
      <w:szCs w:val="28"/>
    </w:rPr>
  </w:style>
  <w:style w:type="paragraph" w:customStyle="1" w:styleId="297">
    <w:name w:val="文本块1"/>
    <w:basedOn w:val="1"/>
    <w:unhideWhenUsed/>
    <w:qFormat/>
    <w:uiPriority w:val="99"/>
    <w:pPr>
      <w:spacing w:after="120"/>
      <w:ind w:left="1440" w:right="144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47</Pages>
  <Words>20824</Words>
  <Characters>22754</Characters>
  <Lines>185</Lines>
  <Paragraphs>52</Paragraphs>
  <TotalTime>22</TotalTime>
  <ScaleCrop>false</ScaleCrop>
  <LinksUpToDate>false</LinksUpToDate>
  <CharactersWithSpaces>24570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2026-08-21T06:30:00Z</dcterms:created>
  <dc:creator>Adminis</dc:creator>
  <cp:lastModifiedBy>晴$羲</cp:lastModifiedBy>
  <dcterms:modified xsi:type="dcterms:W3CDTF">2026-09-21T00:33:51Z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2E2D6135D850432B87BEAB6F8D7D95D2_13</vt:lpwstr>
  </property>
  <property fmtid="{D5CDD505-2E9C-101B-9397-08002B2CF9AE}" pid="4" name="KSOTemplateDocerSaveRecord">
    <vt:lpwstr>eyJoZGlkIjoiNTgwNDZiZWVkZDZlOTFmZjI1ZDQwMTA2ZGNkN2IxNjQiLCJ1c2VySWQiOiIxOTYzNjQwNzEifQ==</vt:lpwstr>
  </property>
</Properties>
</file>