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CBC166">
      <w:pPr>
        <w:pStyle w:val="33"/>
        <w:spacing w:before="120" w:beforeAutospacing="0" w:after="120" w:afterAutospacing="0" w:line="360" w:lineRule="auto"/>
        <w:jc w:val="center"/>
        <w:rPr>
          <w:rFonts w:hint="eastAsia" w:asciiTheme="minorEastAsia" w:hAnsiTheme="minorEastAsia" w:eastAsiaTheme="minorEastAsia" w:cstheme="minorEastAsia"/>
          <w:b/>
          <w:color w:val="auto"/>
          <w:sz w:val="84"/>
          <w:szCs w:val="84"/>
          <w:highlight w:val="none"/>
        </w:rPr>
      </w:pPr>
    </w:p>
    <w:p w14:paraId="15AE135A">
      <w:pPr>
        <w:pStyle w:val="33"/>
        <w:spacing w:before="120" w:beforeAutospacing="0" w:after="120" w:afterAutospacing="0" w:line="360" w:lineRule="auto"/>
        <w:jc w:val="center"/>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竞争性谈判文件</w:t>
      </w:r>
    </w:p>
    <w:p w14:paraId="12956960">
      <w:pPr>
        <w:pStyle w:val="33"/>
        <w:spacing w:before="120" w:beforeAutospacing="0" w:after="120" w:afterAutospacing="0" w:line="360" w:lineRule="auto"/>
        <w:ind w:firstLine="2249"/>
        <w:rPr>
          <w:rFonts w:hint="eastAsia" w:asciiTheme="minorEastAsia" w:hAnsiTheme="minorEastAsia" w:eastAsiaTheme="minorEastAsia" w:cstheme="minorEastAsia"/>
          <w:b/>
          <w:color w:val="auto"/>
          <w:sz w:val="32"/>
          <w:szCs w:val="32"/>
          <w:highlight w:val="none"/>
        </w:rPr>
      </w:pPr>
    </w:p>
    <w:p w14:paraId="1786CDFE">
      <w:pPr>
        <w:pStyle w:val="33"/>
        <w:spacing w:before="120" w:beforeAutospacing="0" w:after="120" w:afterAutospacing="0" w:line="360" w:lineRule="auto"/>
        <w:ind w:firstLine="2249"/>
        <w:rPr>
          <w:rFonts w:hint="eastAsia" w:asciiTheme="minorEastAsia" w:hAnsiTheme="minorEastAsia" w:eastAsiaTheme="minorEastAsia" w:cstheme="minorEastAsia"/>
          <w:b/>
          <w:color w:val="auto"/>
          <w:sz w:val="32"/>
          <w:szCs w:val="32"/>
          <w:highlight w:val="none"/>
        </w:rPr>
      </w:pPr>
    </w:p>
    <w:p w14:paraId="4EDD269D">
      <w:pPr>
        <w:pStyle w:val="33"/>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rPr>
      </w:pPr>
    </w:p>
    <w:p w14:paraId="765B5D7D">
      <w:pPr>
        <w:pStyle w:val="33"/>
        <w:spacing w:before="120" w:beforeAutospacing="0" w:after="120" w:afterAutospacing="0" w:line="360" w:lineRule="auto"/>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color w:val="auto"/>
          <w:sz w:val="32"/>
          <w:szCs w:val="32"/>
          <w:highlight w:val="none"/>
        </w:rPr>
        <w:t>项目名称：</w:t>
      </w:r>
      <w:r>
        <w:rPr>
          <w:rFonts w:hint="eastAsia" w:asciiTheme="minorEastAsia" w:hAnsiTheme="minorEastAsia" w:cstheme="minorEastAsia"/>
          <w:b/>
          <w:color w:val="auto"/>
          <w:sz w:val="32"/>
          <w:szCs w:val="32"/>
          <w:highlight w:val="none"/>
          <w:lang w:eastAsia="zh-CN"/>
        </w:rPr>
        <w:t>盐城市公安局亭湖分局2026年度DNA专业耗材采购项目</w:t>
      </w:r>
    </w:p>
    <w:p w14:paraId="2C46F7D2">
      <w:pPr>
        <w:pStyle w:val="33"/>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rPr>
        <w:t>项目编号：</w:t>
      </w:r>
      <w:r>
        <w:rPr>
          <w:rFonts w:hint="eastAsia" w:asciiTheme="minorEastAsia" w:hAnsiTheme="minorEastAsia" w:cstheme="minorEastAsia"/>
          <w:b/>
          <w:color w:val="auto"/>
          <w:sz w:val="32"/>
          <w:szCs w:val="32"/>
          <w:highlight w:val="none"/>
          <w:lang w:eastAsia="zh-CN"/>
        </w:rPr>
        <w:t>JSZC-320900-JCJS-T2026-0014</w:t>
      </w:r>
    </w:p>
    <w:p w14:paraId="1EB4BF46">
      <w:pPr>
        <w:pStyle w:val="33"/>
        <w:spacing w:before="120" w:beforeAutospacing="0" w:after="120" w:afterAutospacing="0" w:line="360" w:lineRule="auto"/>
        <w:ind w:firstLine="224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0"/>
          <w:szCs w:val="30"/>
          <w:highlight w:val="none"/>
        </w:rPr>
        <w:t> </w:t>
      </w:r>
      <w:r>
        <w:rPr>
          <w:rFonts w:hint="eastAsia" w:asciiTheme="minorEastAsia" w:hAnsiTheme="minorEastAsia" w:eastAsiaTheme="minorEastAsia" w:cstheme="minorEastAsia"/>
          <w:color w:val="auto"/>
          <w:highlight w:val="none"/>
        </w:rPr>
        <w:t>  </w:t>
      </w:r>
    </w:p>
    <w:p w14:paraId="75F57967">
      <w:pPr>
        <w:pStyle w:val="33"/>
        <w:spacing w:beforeAutospacing="0" w:afterAutospacing="0" w:line="360" w:lineRule="auto"/>
        <w:rPr>
          <w:rFonts w:hint="eastAsia" w:asciiTheme="minorEastAsia" w:hAnsiTheme="minorEastAsia" w:eastAsiaTheme="minorEastAsia" w:cstheme="minorEastAsia"/>
          <w:color w:val="auto"/>
          <w:highlight w:val="none"/>
        </w:rPr>
      </w:pPr>
    </w:p>
    <w:p w14:paraId="6E775D8F">
      <w:pPr>
        <w:pStyle w:val="33"/>
        <w:spacing w:beforeAutospacing="0" w:afterAutospacing="0" w:line="360" w:lineRule="auto"/>
        <w:rPr>
          <w:rFonts w:hint="eastAsia" w:asciiTheme="minorEastAsia" w:hAnsiTheme="minorEastAsia" w:eastAsiaTheme="minorEastAsia" w:cstheme="minorEastAsia"/>
          <w:color w:val="auto"/>
          <w:highlight w:val="none"/>
        </w:rPr>
      </w:pPr>
    </w:p>
    <w:p w14:paraId="63530B41">
      <w:pPr>
        <w:pStyle w:val="33"/>
        <w:spacing w:beforeAutospacing="0" w:afterAutospacing="0" w:line="360" w:lineRule="auto"/>
        <w:rPr>
          <w:rFonts w:hint="eastAsia" w:asciiTheme="minorEastAsia" w:hAnsiTheme="minorEastAsia" w:eastAsiaTheme="minorEastAsia" w:cstheme="minorEastAsia"/>
          <w:color w:val="auto"/>
          <w:highlight w:val="none"/>
        </w:rPr>
      </w:pPr>
    </w:p>
    <w:p w14:paraId="2D90EA5D">
      <w:pPr>
        <w:pStyle w:val="33"/>
        <w:spacing w:beforeAutospacing="0" w:afterAutospacing="0" w:line="360" w:lineRule="auto"/>
        <w:rPr>
          <w:rFonts w:hint="eastAsia" w:asciiTheme="minorEastAsia" w:hAnsiTheme="minorEastAsia" w:eastAsiaTheme="minorEastAsia" w:cstheme="minorEastAsia"/>
          <w:color w:val="auto"/>
          <w:highlight w:val="none"/>
        </w:rPr>
      </w:pPr>
    </w:p>
    <w:p w14:paraId="62B975D6">
      <w:pPr>
        <w:pStyle w:val="33"/>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lang w:eastAsia="zh-CN"/>
        </w:rPr>
      </w:pPr>
    </w:p>
    <w:p w14:paraId="5EB33896">
      <w:pPr>
        <w:pStyle w:val="33"/>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lang w:eastAsia="zh-CN"/>
        </w:rPr>
        <w:t>盐城市公安局亭湖分局</w:t>
      </w:r>
    </w:p>
    <w:p w14:paraId="3B7B5E56">
      <w:pPr>
        <w:pStyle w:val="33"/>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lang w:val="en-US" w:eastAsia="zh-CN"/>
        </w:rPr>
        <w:t>江苏捷诚建设项目管理咨询有限公司</w:t>
      </w:r>
    </w:p>
    <w:p w14:paraId="08F70AB9">
      <w:pPr>
        <w:pStyle w:val="33"/>
        <w:spacing w:before="120" w:beforeAutospacing="0" w:after="120" w:afterAutospacing="0"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202</w:t>
      </w:r>
      <w:r>
        <w:rPr>
          <w:rFonts w:hint="eastAsia" w:asciiTheme="minorEastAsia" w:hAnsiTheme="minorEastAsia" w:eastAsiaTheme="minorEastAsia" w:cstheme="minorEastAsia"/>
          <w:b/>
          <w:color w:val="auto"/>
          <w:sz w:val="32"/>
          <w:szCs w:val="32"/>
          <w:highlight w:val="none"/>
          <w:lang w:val="en-US" w:eastAsia="zh-CN"/>
        </w:rPr>
        <w:t>6</w:t>
      </w:r>
      <w:r>
        <w:rPr>
          <w:rFonts w:hint="eastAsia" w:asciiTheme="minorEastAsia" w:hAnsiTheme="minorEastAsia" w:eastAsiaTheme="minorEastAsia" w:cstheme="minorEastAsia"/>
          <w:b/>
          <w:color w:val="auto"/>
          <w:sz w:val="32"/>
          <w:szCs w:val="32"/>
          <w:highlight w:val="none"/>
        </w:rPr>
        <w:t>年</w:t>
      </w:r>
      <w:r>
        <w:rPr>
          <w:rFonts w:hint="eastAsia" w:asciiTheme="minorEastAsia" w:hAnsiTheme="minorEastAsia" w:cstheme="minorEastAsia"/>
          <w:b/>
          <w:color w:val="auto"/>
          <w:sz w:val="32"/>
          <w:szCs w:val="32"/>
          <w:highlight w:val="none"/>
          <w:lang w:val="en-US" w:eastAsia="zh-CN"/>
        </w:rPr>
        <w:t>9</w:t>
      </w:r>
      <w:r>
        <w:rPr>
          <w:rFonts w:hint="eastAsia" w:asciiTheme="minorEastAsia" w:hAnsiTheme="minorEastAsia" w:eastAsiaTheme="minorEastAsia" w:cstheme="minorEastAsia"/>
          <w:b/>
          <w:color w:val="auto"/>
          <w:sz w:val="32"/>
          <w:szCs w:val="32"/>
          <w:highlight w:val="none"/>
        </w:rPr>
        <w:t>月</w:t>
      </w:r>
    </w:p>
    <w:p w14:paraId="363AFCA6">
      <w:pPr>
        <w:rPr>
          <w:rFonts w:hint="eastAsia" w:asciiTheme="minorEastAsia" w:hAnsiTheme="minorEastAsia" w:eastAsiaTheme="minorEastAsia" w:cstheme="minorEastAsia"/>
          <w:b/>
          <w:color w:val="auto"/>
          <w:sz w:val="32"/>
          <w:highlight w:val="none"/>
        </w:rPr>
      </w:pPr>
    </w:p>
    <w:p w14:paraId="14A5A56C">
      <w:pPr>
        <w:spacing w:after="240"/>
        <w:jc w:val="center"/>
        <w:rPr>
          <w:rFonts w:hint="eastAsia" w:asciiTheme="minorEastAsia" w:hAnsiTheme="minorEastAsia" w:eastAsiaTheme="minorEastAsia" w:cstheme="minorEastAsia"/>
          <w:b/>
          <w:color w:val="auto"/>
          <w:sz w:val="40"/>
          <w:szCs w:val="40"/>
          <w:highlight w:val="none"/>
          <w:lang w:eastAsia="zh-CN"/>
        </w:rPr>
      </w:pPr>
    </w:p>
    <w:p w14:paraId="4B31842B">
      <w:pPr>
        <w:spacing w:after="240"/>
        <w:jc w:val="center"/>
        <w:rPr>
          <w:rFonts w:hint="eastAsia" w:asciiTheme="minorEastAsia" w:hAnsiTheme="minorEastAsia" w:eastAsiaTheme="minorEastAsia" w:cstheme="minorEastAsia"/>
          <w:b/>
          <w:color w:val="auto"/>
          <w:sz w:val="40"/>
          <w:szCs w:val="40"/>
          <w:highlight w:val="none"/>
          <w:lang w:eastAsia="zh-CN"/>
        </w:rPr>
      </w:pPr>
      <w:r>
        <w:rPr>
          <w:rFonts w:hint="eastAsia" w:asciiTheme="minorEastAsia" w:hAnsiTheme="minorEastAsia" w:eastAsiaTheme="minorEastAsia" w:cstheme="minorEastAsia"/>
          <w:b/>
          <w:color w:val="auto"/>
          <w:sz w:val="40"/>
          <w:szCs w:val="40"/>
          <w:highlight w:val="none"/>
          <w:lang w:eastAsia="zh-CN"/>
        </w:rPr>
        <w:t>目  录</w:t>
      </w:r>
    </w:p>
    <w:p w14:paraId="4139014C">
      <w:pPr>
        <w:spacing w:line="360" w:lineRule="auto"/>
        <w:rPr>
          <w:rFonts w:hint="eastAsia" w:asciiTheme="minorEastAsia" w:hAnsiTheme="minorEastAsia" w:eastAsiaTheme="minorEastAsia" w:cstheme="minorEastAsia"/>
          <w:b/>
          <w:color w:val="auto"/>
          <w:sz w:val="32"/>
          <w:szCs w:val="32"/>
          <w:highlight w:val="none"/>
          <w:lang w:eastAsia="zh-CN"/>
        </w:rPr>
      </w:pPr>
    </w:p>
    <w:p w14:paraId="42D90139">
      <w:pPr>
        <w:spacing w:line="360" w:lineRule="auto"/>
        <w:ind w:firstLine="640" w:firstLineChars="200"/>
        <w:rPr>
          <w:rFonts w:hint="eastAsia" w:asciiTheme="minorEastAsia" w:hAnsiTheme="minorEastAsia" w:eastAsiaTheme="minorEastAsia" w:cstheme="minorEastAsia"/>
          <w:b w:val="0"/>
          <w:bCs/>
          <w:color w:val="auto"/>
          <w:sz w:val="32"/>
          <w:szCs w:val="32"/>
          <w:highlight w:val="none"/>
          <w:lang w:eastAsia="zh-CN"/>
        </w:rPr>
      </w:pPr>
      <w:r>
        <w:rPr>
          <w:rFonts w:hint="eastAsia" w:asciiTheme="minorEastAsia" w:hAnsiTheme="minorEastAsia" w:eastAsiaTheme="minorEastAsia" w:cstheme="minorEastAsia"/>
          <w:b w:val="0"/>
          <w:bCs/>
          <w:color w:val="auto"/>
          <w:sz w:val="32"/>
          <w:szCs w:val="32"/>
          <w:highlight w:val="none"/>
          <w:lang w:eastAsia="zh-CN"/>
        </w:rPr>
        <w:t>第一章                竞争性谈判公告</w:t>
      </w:r>
    </w:p>
    <w:p w14:paraId="057012DF">
      <w:pPr>
        <w:spacing w:line="360" w:lineRule="auto"/>
        <w:ind w:firstLine="640" w:firstLineChars="200"/>
        <w:rPr>
          <w:rFonts w:hint="eastAsia" w:asciiTheme="minorEastAsia" w:hAnsiTheme="minorEastAsia" w:eastAsiaTheme="minorEastAsia" w:cstheme="minorEastAsia"/>
          <w:b w:val="0"/>
          <w:bCs/>
          <w:color w:val="auto"/>
          <w:sz w:val="32"/>
          <w:szCs w:val="32"/>
          <w:highlight w:val="none"/>
          <w:lang w:eastAsia="zh-CN"/>
        </w:rPr>
      </w:pPr>
      <w:r>
        <w:rPr>
          <w:rFonts w:hint="eastAsia" w:asciiTheme="minorEastAsia" w:hAnsiTheme="minorEastAsia" w:eastAsiaTheme="minorEastAsia" w:cstheme="minorEastAsia"/>
          <w:b w:val="0"/>
          <w:bCs/>
          <w:color w:val="auto"/>
          <w:sz w:val="32"/>
          <w:szCs w:val="32"/>
          <w:highlight w:val="none"/>
          <w:lang w:eastAsia="zh-CN"/>
        </w:rPr>
        <w:t>第二章                供应商须知</w:t>
      </w:r>
    </w:p>
    <w:p w14:paraId="328073F6">
      <w:pPr>
        <w:spacing w:line="360" w:lineRule="auto"/>
        <w:ind w:firstLine="640" w:firstLineChars="200"/>
        <w:rPr>
          <w:rFonts w:hint="eastAsia" w:asciiTheme="minorEastAsia" w:hAnsiTheme="minorEastAsia" w:eastAsiaTheme="minorEastAsia" w:cstheme="minorEastAsia"/>
          <w:b w:val="0"/>
          <w:bCs/>
          <w:color w:val="auto"/>
          <w:sz w:val="32"/>
          <w:szCs w:val="32"/>
          <w:highlight w:val="none"/>
          <w:lang w:eastAsia="zh-CN"/>
        </w:rPr>
      </w:pPr>
      <w:r>
        <w:rPr>
          <w:rFonts w:hint="eastAsia" w:asciiTheme="minorEastAsia" w:hAnsiTheme="minorEastAsia" w:eastAsiaTheme="minorEastAsia" w:cstheme="minorEastAsia"/>
          <w:b w:val="0"/>
          <w:bCs/>
          <w:color w:val="auto"/>
          <w:sz w:val="32"/>
          <w:szCs w:val="32"/>
          <w:highlight w:val="none"/>
          <w:lang w:eastAsia="zh-CN"/>
        </w:rPr>
        <w:t>第三章                合同文本</w:t>
      </w:r>
    </w:p>
    <w:p w14:paraId="1933A60C">
      <w:pPr>
        <w:spacing w:line="360" w:lineRule="auto"/>
        <w:ind w:firstLine="640" w:firstLineChars="200"/>
        <w:rPr>
          <w:rFonts w:hint="eastAsia" w:asciiTheme="minorEastAsia" w:hAnsiTheme="minorEastAsia" w:eastAsiaTheme="minorEastAsia" w:cstheme="minorEastAsia"/>
          <w:b w:val="0"/>
          <w:bCs/>
          <w:color w:val="auto"/>
          <w:sz w:val="32"/>
          <w:szCs w:val="32"/>
          <w:highlight w:val="none"/>
          <w:lang w:eastAsia="zh-CN"/>
        </w:rPr>
      </w:pPr>
      <w:r>
        <w:rPr>
          <w:rFonts w:hint="eastAsia" w:asciiTheme="minorEastAsia" w:hAnsiTheme="minorEastAsia" w:eastAsiaTheme="minorEastAsia" w:cstheme="minorEastAsia"/>
          <w:b w:val="0"/>
          <w:bCs/>
          <w:color w:val="auto"/>
          <w:sz w:val="32"/>
          <w:szCs w:val="32"/>
          <w:highlight w:val="none"/>
          <w:lang w:eastAsia="zh-CN"/>
        </w:rPr>
        <w:t>第四章                采购需求</w:t>
      </w:r>
    </w:p>
    <w:p w14:paraId="3F3A88C3">
      <w:pPr>
        <w:spacing w:line="360" w:lineRule="auto"/>
        <w:ind w:firstLine="640" w:firstLineChars="200"/>
        <w:rPr>
          <w:rFonts w:hint="eastAsia" w:asciiTheme="minorEastAsia" w:hAnsiTheme="minorEastAsia" w:eastAsiaTheme="minorEastAsia" w:cstheme="minorEastAsia"/>
          <w:b w:val="0"/>
          <w:bCs/>
          <w:color w:val="auto"/>
          <w:sz w:val="32"/>
          <w:szCs w:val="32"/>
          <w:highlight w:val="none"/>
          <w:lang w:eastAsia="zh-CN"/>
        </w:rPr>
      </w:pPr>
      <w:r>
        <w:rPr>
          <w:rFonts w:hint="eastAsia" w:asciiTheme="minorEastAsia" w:hAnsiTheme="minorEastAsia" w:eastAsiaTheme="minorEastAsia" w:cstheme="minorEastAsia"/>
          <w:b w:val="0"/>
          <w:bCs/>
          <w:color w:val="auto"/>
          <w:sz w:val="32"/>
          <w:szCs w:val="32"/>
          <w:highlight w:val="none"/>
          <w:lang w:eastAsia="zh-CN"/>
        </w:rPr>
        <w:t>第五章                响应文件格式</w:t>
      </w:r>
    </w:p>
    <w:p w14:paraId="435487BE">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1D430C94">
      <w:pPr>
        <w:spacing w:before="360" w:after="240"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highlight w:val="none"/>
        </w:rPr>
        <w:t>第一章  竞争性谈判公告</w:t>
      </w:r>
    </w:p>
    <w:p w14:paraId="68ED4D78">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项目概况</w:t>
      </w:r>
    </w:p>
    <w:p w14:paraId="21627CA1">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color w:val="auto"/>
          <w:sz w:val="24"/>
          <w:szCs w:val="24"/>
          <w:highlight w:val="none"/>
          <w:u w:val="single"/>
          <w:lang w:eastAsia="zh-CN"/>
        </w:rPr>
        <w:t>盐城市公安局亭湖分局2026年度DNA专业耗材采购项目</w:t>
      </w:r>
      <w:r>
        <w:rPr>
          <w:rFonts w:hint="eastAsia" w:asciiTheme="minorEastAsia" w:hAnsiTheme="minorEastAsia" w:eastAsiaTheme="minorEastAsia" w:cstheme="minorEastAsia"/>
          <w:b w:val="0"/>
          <w:color w:val="auto"/>
          <w:sz w:val="24"/>
          <w:szCs w:val="24"/>
          <w:highlight w:val="none"/>
        </w:rPr>
        <w:t>的潜在供应商应在“苏采云”系统内免费下载（供应商必须在苏采云系统中获取采购文件，方能参与政府采购项目），并于</w:t>
      </w:r>
      <w:r>
        <w:rPr>
          <w:rFonts w:hint="eastAsia" w:asciiTheme="minorEastAsia" w:hAnsiTheme="minorEastAsia" w:eastAsiaTheme="minorEastAsia" w:cstheme="minorEastAsia"/>
          <w:b w:val="0"/>
          <w:color w:val="auto"/>
          <w:sz w:val="24"/>
          <w:szCs w:val="24"/>
          <w:highlight w:val="none"/>
          <w:u w:val="single"/>
        </w:rPr>
        <w:t>2026年</w:t>
      </w:r>
      <w:r>
        <w:rPr>
          <w:rFonts w:hint="eastAsia" w:asciiTheme="minorEastAsia" w:hAnsiTheme="minorEastAsia" w:cstheme="minorEastAsia"/>
          <w:b w:val="0"/>
          <w:color w:val="auto"/>
          <w:sz w:val="24"/>
          <w:szCs w:val="24"/>
          <w:highlight w:val="none"/>
          <w:u w:val="single"/>
          <w:lang w:val="en-US" w:eastAsia="zh-CN"/>
        </w:rPr>
        <w:t>10</w:t>
      </w:r>
      <w:r>
        <w:rPr>
          <w:rFonts w:hint="eastAsia" w:asciiTheme="minorEastAsia" w:hAnsiTheme="minorEastAsia" w:eastAsiaTheme="minorEastAsia" w:cstheme="minorEastAsia"/>
          <w:b w:val="0"/>
          <w:color w:val="auto"/>
          <w:sz w:val="24"/>
          <w:szCs w:val="24"/>
          <w:highlight w:val="none"/>
          <w:u w:val="single"/>
        </w:rPr>
        <w:t>月</w:t>
      </w:r>
      <w:r>
        <w:rPr>
          <w:rFonts w:hint="eastAsia" w:asciiTheme="minorEastAsia" w:hAnsiTheme="minorEastAsia" w:cstheme="minorEastAsia"/>
          <w:b w:val="0"/>
          <w:color w:val="auto"/>
          <w:sz w:val="24"/>
          <w:szCs w:val="24"/>
          <w:highlight w:val="none"/>
          <w:u w:val="single"/>
          <w:lang w:val="en-US" w:eastAsia="zh-CN"/>
        </w:rPr>
        <w:t>9</w:t>
      </w:r>
      <w:r>
        <w:rPr>
          <w:rFonts w:hint="eastAsia" w:asciiTheme="minorEastAsia" w:hAnsiTheme="minorEastAsia" w:eastAsiaTheme="minorEastAsia" w:cstheme="minorEastAsia"/>
          <w:b w:val="0"/>
          <w:color w:val="auto"/>
          <w:sz w:val="24"/>
          <w:szCs w:val="24"/>
          <w:highlight w:val="none"/>
          <w:u w:val="single"/>
        </w:rPr>
        <w:t>日</w:t>
      </w:r>
      <w:r>
        <w:rPr>
          <w:rFonts w:hint="eastAsia" w:asciiTheme="minorEastAsia" w:hAnsiTheme="minorEastAsia" w:cstheme="minorEastAsia"/>
          <w:b w:val="0"/>
          <w:color w:val="auto"/>
          <w:sz w:val="24"/>
          <w:szCs w:val="24"/>
          <w:highlight w:val="none"/>
          <w:u w:val="single"/>
          <w:lang w:val="en-US" w:eastAsia="zh-CN"/>
        </w:rPr>
        <w:t>09</w:t>
      </w:r>
      <w:r>
        <w:rPr>
          <w:rFonts w:hint="eastAsia" w:asciiTheme="minorEastAsia" w:hAnsiTheme="minorEastAsia" w:eastAsiaTheme="minorEastAsia" w:cstheme="minorEastAsia"/>
          <w:b w:val="0"/>
          <w:color w:val="auto"/>
          <w:sz w:val="24"/>
          <w:szCs w:val="24"/>
          <w:highlight w:val="none"/>
          <w:u w:val="single"/>
        </w:rPr>
        <w:t>点00分</w:t>
      </w:r>
      <w:r>
        <w:rPr>
          <w:rFonts w:hint="eastAsia" w:asciiTheme="minorEastAsia" w:hAnsiTheme="minorEastAsia" w:eastAsiaTheme="minorEastAsia" w:cstheme="minorEastAsia"/>
          <w:b w:val="0"/>
          <w:color w:val="auto"/>
          <w:sz w:val="24"/>
          <w:szCs w:val="24"/>
          <w:highlight w:val="none"/>
        </w:rPr>
        <w:t>（北京时间）前提交响应文件</w:t>
      </w:r>
      <w:r>
        <w:rPr>
          <w:rFonts w:hint="eastAsia" w:asciiTheme="minorEastAsia" w:hAnsiTheme="minorEastAsia" w:eastAsiaTheme="minorEastAsia" w:cstheme="minorEastAsia"/>
          <w:color w:val="auto"/>
          <w:sz w:val="24"/>
          <w:szCs w:val="24"/>
          <w:highlight w:val="none"/>
        </w:rPr>
        <w:t>。</w:t>
      </w:r>
    </w:p>
    <w:p w14:paraId="09460AC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一、项目基本情况</w:t>
      </w:r>
    </w:p>
    <w:p w14:paraId="1EB4714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1.项目编号：</w:t>
      </w:r>
      <w:r>
        <w:rPr>
          <w:rFonts w:hint="eastAsia" w:asciiTheme="minorEastAsia" w:hAnsiTheme="minorEastAsia" w:cstheme="minorEastAsia"/>
          <w:b w:val="0"/>
          <w:color w:val="auto"/>
          <w:sz w:val="24"/>
          <w:szCs w:val="24"/>
          <w:highlight w:val="none"/>
          <w:lang w:eastAsia="zh-CN"/>
        </w:rPr>
        <w:t>JSZC-320900-JCJS-T2026-0014</w:t>
      </w:r>
    </w:p>
    <w:p w14:paraId="052591A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2.项目名称：</w:t>
      </w:r>
      <w:r>
        <w:rPr>
          <w:rFonts w:hint="eastAsia" w:asciiTheme="minorEastAsia" w:hAnsiTheme="minorEastAsia" w:cstheme="minorEastAsia"/>
          <w:b w:val="0"/>
          <w:color w:val="auto"/>
          <w:sz w:val="24"/>
          <w:szCs w:val="24"/>
          <w:highlight w:val="none"/>
          <w:lang w:eastAsia="zh-CN"/>
        </w:rPr>
        <w:t>盐城市公安局亭湖分局2026年度DNA专业耗材采购项目</w:t>
      </w:r>
    </w:p>
    <w:p w14:paraId="4D4CF58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3.采购方式：竞争性谈判</w:t>
      </w:r>
    </w:p>
    <w:p w14:paraId="6B45C21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4.预算金额：</w:t>
      </w:r>
      <w:r>
        <w:rPr>
          <w:rFonts w:hint="eastAsia" w:asciiTheme="minorEastAsia" w:hAnsiTheme="minorEastAsia" w:cstheme="minorEastAsia"/>
          <w:b w:val="0"/>
          <w:color w:val="auto"/>
          <w:sz w:val="24"/>
          <w:szCs w:val="24"/>
          <w:highlight w:val="none"/>
          <w:lang w:val="en-US" w:eastAsia="zh-CN"/>
        </w:rPr>
        <w:t>106.5</w:t>
      </w:r>
      <w:r>
        <w:rPr>
          <w:rFonts w:hint="eastAsia" w:asciiTheme="minorEastAsia" w:hAnsiTheme="minorEastAsia" w:eastAsiaTheme="minorEastAsia" w:cstheme="minorEastAsia"/>
          <w:b w:val="0"/>
          <w:color w:val="auto"/>
          <w:sz w:val="24"/>
          <w:szCs w:val="24"/>
          <w:highlight w:val="none"/>
        </w:rPr>
        <w:t>万元</w:t>
      </w:r>
    </w:p>
    <w:p w14:paraId="2EBAFD1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5.最高限价：</w:t>
      </w:r>
      <w:r>
        <w:rPr>
          <w:rFonts w:hint="eastAsia" w:asciiTheme="minorEastAsia" w:hAnsiTheme="minorEastAsia" w:cstheme="minorEastAsia"/>
          <w:b w:val="0"/>
          <w:color w:val="auto"/>
          <w:sz w:val="24"/>
          <w:szCs w:val="24"/>
          <w:highlight w:val="none"/>
          <w:lang w:val="en-US" w:eastAsia="zh-CN"/>
        </w:rPr>
        <w:t>106.5</w:t>
      </w:r>
      <w:r>
        <w:rPr>
          <w:rFonts w:hint="eastAsia" w:asciiTheme="minorEastAsia" w:hAnsiTheme="minorEastAsia" w:eastAsiaTheme="minorEastAsia" w:cstheme="minorEastAsia"/>
          <w:b w:val="0"/>
          <w:color w:val="auto"/>
          <w:sz w:val="24"/>
          <w:szCs w:val="24"/>
          <w:highlight w:val="none"/>
        </w:rPr>
        <w:t>万元</w:t>
      </w:r>
    </w:p>
    <w:p w14:paraId="256341B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6.采购需求（简介）：</w:t>
      </w:r>
      <w:r>
        <w:rPr>
          <w:rFonts w:hint="eastAsia" w:asciiTheme="minorEastAsia" w:hAnsiTheme="minorEastAsia" w:cstheme="minorEastAsia"/>
          <w:b w:val="0"/>
          <w:color w:val="auto"/>
          <w:sz w:val="24"/>
          <w:szCs w:val="24"/>
          <w:highlight w:val="none"/>
          <w:lang w:eastAsia="zh-CN"/>
        </w:rPr>
        <w:t>盐城市公安局亭湖分局2026年度DNA专业耗材采购</w:t>
      </w:r>
      <w:r>
        <w:rPr>
          <w:rFonts w:hint="eastAsia" w:asciiTheme="minorEastAsia" w:hAnsiTheme="minorEastAsia" w:eastAsiaTheme="minorEastAsia" w:cstheme="minorEastAsia"/>
          <w:b w:val="0"/>
          <w:color w:val="auto"/>
          <w:sz w:val="24"/>
          <w:szCs w:val="24"/>
          <w:highlight w:val="none"/>
        </w:rPr>
        <w:t>（详细内容见本谈判文件第四章）</w:t>
      </w:r>
    </w:p>
    <w:p w14:paraId="5E70085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7.合同履行期限</w:t>
      </w:r>
      <w:r>
        <w:rPr>
          <w:rFonts w:hint="eastAsia" w:asciiTheme="minorEastAsia" w:hAnsiTheme="minorEastAsia" w:cstheme="minorEastAsia"/>
          <w:b w:val="0"/>
          <w:color w:val="auto"/>
          <w:sz w:val="24"/>
          <w:szCs w:val="24"/>
          <w:highlight w:val="none"/>
          <w:lang w:eastAsia="zh-CN"/>
        </w:rPr>
        <w:t>（</w:t>
      </w:r>
      <w:r>
        <w:rPr>
          <w:rFonts w:hint="eastAsia" w:asciiTheme="minorEastAsia" w:hAnsiTheme="minorEastAsia" w:cstheme="minorEastAsia"/>
          <w:b w:val="0"/>
          <w:color w:val="auto"/>
          <w:sz w:val="24"/>
          <w:szCs w:val="24"/>
          <w:highlight w:val="none"/>
          <w:lang w:val="en-US" w:eastAsia="zh-CN"/>
        </w:rPr>
        <w:t>供货期）</w:t>
      </w:r>
      <w:r>
        <w:rPr>
          <w:rFonts w:hint="eastAsia" w:asciiTheme="minorEastAsia" w:hAnsiTheme="minorEastAsia" w:eastAsiaTheme="minorEastAsia" w:cstheme="minorEastAsia"/>
          <w:b w:val="0"/>
          <w:color w:val="auto"/>
          <w:sz w:val="24"/>
          <w:szCs w:val="24"/>
          <w:highlight w:val="none"/>
        </w:rPr>
        <w:t>：</w:t>
      </w:r>
      <w:r>
        <w:rPr>
          <w:rFonts w:hint="eastAsia" w:asciiTheme="minorEastAsia" w:hAnsiTheme="minorEastAsia" w:cstheme="minorEastAsia"/>
          <w:b w:val="0"/>
          <w:color w:val="auto"/>
          <w:sz w:val="24"/>
          <w:szCs w:val="24"/>
          <w:highlight w:val="none"/>
          <w:lang w:val="en-US" w:eastAsia="zh-CN"/>
        </w:rPr>
        <w:t>10日历天</w:t>
      </w:r>
      <w:r>
        <w:rPr>
          <w:rFonts w:hint="eastAsia" w:asciiTheme="minorEastAsia" w:hAnsiTheme="minorEastAsia" w:eastAsiaTheme="minorEastAsia" w:cstheme="minorEastAsia"/>
          <w:b w:val="0"/>
          <w:color w:val="auto"/>
          <w:sz w:val="24"/>
          <w:szCs w:val="24"/>
          <w:highlight w:val="none"/>
        </w:rPr>
        <w:t>。</w:t>
      </w:r>
    </w:p>
    <w:p w14:paraId="65C462D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8.本项目不接受联合体参与谈判。</w:t>
      </w:r>
    </w:p>
    <w:p w14:paraId="6AF1A54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二、申请人的资格要求：</w:t>
      </w:r>
    </w:p>
    <w:p w14:paraId="522D892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1.满足《中华人民共和国政府采购法》第二十二条规定，并提供下列材料：</w:t>
      </w:r>
    </w:p>
    <w:p w14:paraId="67CF341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1.1法人或者其他组织的营业执照等证明文件，自然人的身份证明；</w:t>
      </w:r>
    </w:p>
    <w:p w14:paraId="6E178CF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1.2上一年度的财务状况报表（成立不满一年无需提供）；</w:t>
      </w:r>
    </w:p>
    <w:p w14:paraId="674B6DC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1.3具备履行合同所必需的设备和专业技术能力的书面声明；</w:t>
      </w:r>
    </w:p>
    <w:p w14:paraId="2817C58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B7E4D2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1.5参加政府采购活动前3年内在经营活动中没有重大违法记录的书面声明。</w:t>
      </w:r>
    </w:p>
    <w:p w14:paraId="141045A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1.6法律、行政法规规定的其他条件。</w:t>
      </w:r>
    </w:p>
    <w:p w14:paraId="5638611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30A45B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1.8单位负责人为同一人或者存在直接控股、管理关系的不同供应商，不得参加同一合同项下的政府采购活动。</w:t>
      </w:r>
    </w:p>
    <w:p w14:paraId="154BA13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2.落实政府采购政策需满足的资格要求：本项目专门面向中小企业采购。采购标的的所属行业为</w:t>
      </w:r>
      <w:r>
        <w:rPr>
          <w:rFonts w:hint="eastAsia" w:asciiTheme="minorEastAsia" w:hAnsiTheme="minorEastAsia" w:eastAsiaTheme="minorEastAsia" w:cstheme="minorEastAsia"/>
          <w:b w:val="0"/>
          <w:color w:val="auto"/>
          <w:sz w:val="24"/>
          <w:szCs w:val="24"/>
          <w:highlight w:val="none"/>
          <w:u w:val="single"/>
        </w:rPr>
        <w:t>工业</w:t>
      </w:r>
      <w:r>
        <w:rPr>
          <w:rFonts w:hint="eastAsia" w:asciiTheme="minorEastAsia" w:hAnsiTheme="minorEastAsia" w:eastAsiaTheme="minorEastAsia" w:cstheme="minorEastAsia"/>
          <w:b w:val="0"/>
          <w:color w:val="auto"/>
          <w:sz w:val="24"/>
          <w:szCs w:val="24"/>
          <w:highlight w:val="none"/>
        </w:rPr>
        <w:t>，供应商需按照谈判文件的要求提供相应的《中小企业声明函》。</w:t>
      </w:r>
    </w:p>
    <w:p w14:paraId="4B5B099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3.本项目的特定资格要求：无</w:t>
      </w:r>
    </w:p>
    <w:p w14:paraId="4BFB224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三、获取谈判文件</w:t>
      </w:r>
    </w:p>
    <w:p w14:paraId="0543091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1.时间：自谈判文件公告发布之日起3个工作日。</w:t>
      </w:r>
    </w:p>
    <w:p w14:paraId="4E4A84F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2.地点：“苏采云”系统内免费下载（供应商必须在苏采云系统中获取采购文件，方能参与政府采购项目）；</w:t>
      </w:r>
    </w:p>
    <w:p w14:paraId="3FBCACF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3.方式：本项目采用网上注册登记方式。</w:t>
      </w:r>
    </w:p>
    <w:p w14:paraId="0CA326B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4.售价：0元</w:t>
      </w:r>
    </w:p>
    <w:p w14:paraId="6ABD675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四、响应文件提交</w:t>
      </w:r>
    </w:p>
    <w:p w14:paraId="3332ED6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1.截止时间：2026年10月</w:t>
      </w:r>
      <w:r>
        <w:rPr>
          <w:rFonts w:hint="eastAsia" w:asciiTheme="minorEastAsia" w:hAnsiTheme="minorEastAsia" w:cstheme="minorEastAsia"/>
          <w:b w:val="0"/>
          <w:color w:val="auto"/>
          <w:sz w:val="24"/>
          <w:szCs w:val="24"/>
          <w:highlight w:val="none"/>
          <w:lang w:val="en-US" w:eastAsia="zh-CN"/>
        </w:rPr>
        <w:t>9</w:t>
      </w:r>
      <w:r>
        <w:rPr>
          <w:rFonts w:hint="eastAsia" w:asciiTheme="minorEastAsia" w:hAnsiTheme="minorEastAsia" w:eastAsiaTheme="minorEastAsia" w:cstheme="minorEastAsia"/>
          <w:b w:val="0"/>
          <w:color w:val="auto"/>
          <w:sz w:val="24"/>
          <w:szCs w:val="24"/>
          <w:highlight w:val="none"/>
        </w:rPr>
        <w:t>日09点00分（北京时间）。</w:t>
      </w:r>
    </w:p>
    <w:p w14:paraId="46801D3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2.地点：“苏采云”政府采购交易系统网上开标大厅。</w:t>
      </w:r>
    </w:p>
    <w:p w14:paraId="7BE46F6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五、开启</w:t>
      </w:r>
    </w:p>
    <w:p w14:paraId="0F626CA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1.时间：2026年10月</w:t>
      </w:r>
      <w:r>
        <w:rPr>
          <w:rFonts w:hint="eastAsia" w:asciiTheme="minorEastAsia" w:hAnsiTheme="minorEastAsia" w:cstheme="minorEastAsia"/>
          <w:b w:val="0"/>
          <w:color w:val="auto"/>
          <w:sz w:val="24"/>
          <w:szCs w:val="24"/>
          <w:highlight w:val="none"/>
          <w:lang w:val="en-US" w:eastAsia="zh-CN"/>
        </w:rPr>
        <w:t>9</w:t>
      </w:r>
      <w:r>
        <w:rPr>
          <w:rFonts w:hint="eastAsia" w:asciiTheme="minorEastAsia" w:hAnsiTheme="minorEastAsia" w:eastAsiaTheme="minorEastAsia" w:cstheme="minorEastAsia"/>
          <w:b w:val="0"/>
          <w:color w:val="auto"/>
          <w:sz w:val="24"/>
          <w:szCs w:val="24"/>
          <w:highlight w:val="none"/>
        </w:rPr>
        <w:t>日09点00分（北京时间）。</w:t>
      </w:r>
    </w:p>
    <w:p w14:paraId="36D0A18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2.地点：“苏采云”政府采购交易系统网上开标大厅。</w:t>
      </w:r>
    </w:p>
    <w:p w14:paraId="510901B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六、公告期限</w:t>
      </w:r>
    </w:p>
    <w:p w14:paraId="1EDC810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自本公告发布之日起3个工作日。</w:t>
      </w:r>
    </w:p>
    <w:p w14:paraId="7BA80DC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七、其他补充事宜</w:t>
      </w:r>
    </w:p>
    <w:p w14:paraId="6FD3782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4446290">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77737B3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2.潜在供应商访问电子招标响应交易平台的网络地址和方法：</w:t>
      </w:r>
    </w:p>
    <w:p w14:paraId="26E446C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0749778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2.2潜在投标人访问“苏采云”系统方法：江苏省政府采购网首页-“苏采云”链接。</w:t>
      </w:r>
    </w:p>
    <w:p w14:paraId="6B61C04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2.3采购文件（后缀名为“.kedt”）、供应商操作手册及政府采购客户端工具可通过“苏采云”系统相应链接进行下载。</w:t>
      </w:r>
    </w:p>
    <w:p w14:paraId="772F808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2.4采购代理机构将数据电文形式的采购文件加载至“苏采云”系统，供潜在供应商下载或者查阅。</w:t>
      </w:r>
    </w:p>
    <w:p w14:paraId="445C5CB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2.5请潜在投标单位提前安装相应的控件（详见《“苏采云”系统供应商操作手册》）并使用谷歌浏览器登录“苏采云”系统参与不见面开评标。</w:t>
      </w:r>
    </w:p>
    <w:p w14:paraId="11A8596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如潜在投标人未按上述要求操作，将自行承担所产生的风险。</w:t>
      </w:r>
    </w:p>
    <w:p w14:paraId="55372D6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3、各投标人在投标截止时间前应当每天都上网查询，以便获取更新的澄清、修改、补充内容。凡涉及到该项目的补充说明和修改，均以中国政府采购网、江苏政府采购网、盐城市政府采购网上的更正或补充通知为准。</w:t>
      </w:r>
    </w:p>
    <w:p w14:paraId="2AD8A2D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4、投标人不得提供虚假材料谋取中标成交的或采取不正当手段诋毁、排挤其他投标人。</w:t>
      </w:r>
    </w:p>
    <w:p w14:paraId="0DA7074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5、投标人存在串通投标、以他人名义投标、弄虚作假等违法违规行为，或者无正当理由放弃投标、中标资格，造成项目招标失败的，不得参加该项目重新招标的投标。</w:t>
      </w:r>
    </w:p>
    <w:p w14:paraId="11E3D66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6、因投标人的系统环境、操作等原因导致项目参与、开评标过程中出现问题由投标人自行承担负责。</w:t>
      </w:r>
    </w:p>
    <w:p w14:paraId="5779FF1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7、本次谈判不收取谈判保证金，不收取质量保证金。</w:t>
      </w:r>
    </w:p>
    <w:p w14:paraId="33AEF6F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八、凡对本次采购提出询问，请按以下方式联系。</w:t>
      </w:r>
    </w:p>
    <w:p w14:paraId="4A352B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1.采购人信息</w:t>
      </w:r>
    </w:p>
    <w:p w14:paraId="69C072F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名    称：盐城市公安局亭湖分局</w:t>
      </w:r>
    </w:p>
    <w:p w14:paraId="5CB051B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地    址：盐城市亭湖区长亭路1号</w:t>
      </w:r>
    </w:p>
    <w:p w14:paraId="3064668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color w:val="auto"/>
          <w:sz w:val="24"/>
          <w:szCs w:val="24"/>
          <w:highlight w:val="none"/>
        </w:rPr>
        <w:t>联 系 人：高</w:t>
      </w:r>
      <w:r>
        <w:rPr>
          <w:rFonts w:hint="eastAsia" w:asciiTheme="minorEastAsia" w:hAnsiTheme="minorEastAsia" w:cstheme="minorEastAsia"/>
          <w:b w:val="0"/>
          <w:color w:val="auto"/>
          <w:sz w:val="24"/>
          <w:szCs w:val="24"/>
          <w:highlight w:val="none"/>
          <w:lang w:val="en-US" w:eastAsia="zh-CN"/>
        </w:rPr>
        <w:t>警官</w:t>
      </w:r>
    </w:p>
    <w:p w14:paraId="19A709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联系电话：18860822019</w:t>
      </w:r>
    </w:p>
    <w:p w14:paraId="66F3DE2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2.采购代理机构信息</w:t>
      </w:r>
    </w:p>
    <w:p w14:paraId="1910CEF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名    称：</w:t>
      </w:r>
      <w:r>
        <w:rPr>
          <w:rFonts w:hint="eastAsia" w:asciiTheme="minorEastAsia" w:hAnsiTheme="minorEastAsia" w:eastAsiaTheme="minorEastAsia" w:cstheme="minorEastAsia"/>
          <w:b w:val="0"/>
          <w:color w:val="auto"/>
          <w:sz w:val="24"/>
          <w:szCs w:val="24"/>
          <w:highlight w:val="none"/>
          <w:lang w:eastAsia="zh-CN"/>
        </w:rPr>
        <w:t>江苏捷诚建设项目管理咨询有限公司</w:t>
      </w:r>
    </w:p>
    <w:p w14:paraId="77BCF43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color w:val="auto"/>
          <w:sz w:val="24"/>
          <w:szCs w:val="24"/>
          <w:highlight w:val="none"/>
        </w:rPr>
        <w:t>地    址：盐城市</w:t>
      </w:r>
      <w:r>
        <w:rPr>
          <w:rFonts w:hint="eastAsia" w:asciiTheme="minorEastAsia" w:hAnsiTheme="minorEastAsia" w:eastAsiaTheme="minorEastAsia" w:cstheme="minorEastAsia"/>
          <w:b w:val="0"/>
          <w:color w:val="auto"/>
          <w:sz w:val="24"/>
          <w:szCs w:val="24"/>
          <w:highlight w:val="none"/>
          <w:lang w:val="en-US" w:eastAsia="zh-CN"/>
        </w:rPr>
        <w:t>盐都区紫金大厦506室</w:t>
      </w:r>
    </w:p>
    <w:p w14:paraId="079E7E3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联 系 人：</w:t>
      </w:r>
      <w:r>
        <w:rPr>
          <w:rFonts w:hint="eastAsia" w:asciiTheme="minorEastAsia" w:hAnsiTheme="minorEastAsia" w:eastAsiaTheme="minorEastAsia" w:cstheme="minorEastAsia"/>
          <w:b w:val="0"/>
          <w:color w:val="auto"/>
          <w:sz w:val="24"/>
          <w:szCs w:val="24"/>
          <w:highlight w:val="none"/>
          <w:lang w:val="en-US" w:eastAsia="zh-CN"/>
        </w:rPr>
        <w:t>吉胜</w:t>
      </w:r>
    </w:p>
    <w:p w14:paraId="77DDCB3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color w:val="auto"/>
          <w:sz w:val="24"/>
          <w:szCs w:val="24"/>
          <w:highlight w:val="none"/>
        </w:rPr>
        <w:t>联系电话：</w:t>
      </w:r>
      <w:r>
        <w:rPr>
          <w:rFonts w:hint="eastAsia" w:asciiTheme="minorEastAsia" w:hAnsiTheme="minorEastAsia" w:eastAsiaTheme="minorEastAsia" w:cstheme="minorEastAsia"/>
          <w:b w:val="0"/>
          <w:color w:val="auto"/>
          <w:sz w:val="24"/>
          <w:szCs w:val="24"/>
          <w:highlight w:val="none"/>
          <w:lang w:val="en-US" w:eastAsia="zh-CN"/>
        </w:rPr>
        <w:t>18912509153</w:t>
      </w:r>
    </w:p>
    <w:p w14:paraId="5531F4C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3.项目联系方式</w:t>
      </w:r>
    </w:p>
    <w:p w14:paraId="4829176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项目联系人：</w:t>
      </w:r>
      <w:r>
        <w:rPr>
          <w:rFonts w:hint="eastAsia" w:asciiTheme="minorEastAsia" w:hAnsiTheme="minorEastAsia" w:eastAsiaTheme="minorEastAsia" w:cstheme="minorEastAsia"/>
          <w:b w:val="0"/>
          <w:color w:val="auto"/>
          <w:sz w:val="24"/>
          <w:szCs w:val="24"/>
          <w:highlight w:val="none"/>
          <w:lang w:val="en-US" w:eastAsia="zh-CN"/>
        </w:rPr>
        <w:t>吉胜</w:t>
      </w:r>
    </w:p>
    <w:p w14:paraId="0A00202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val="0"/>
          <w:color w:val="auto"/>
          <w:sz w:val="24"/>
          <w:szCs w:val="24"/>
          <w:highlight w:val="none"/>
        </w:rPr>
        <w:t>联系电话：</w:t>
      </w:r>
      <w:r>
        <w:rPr>
          <w:rFonts w:hint="eastAsia" w:asciiTheme="minorEastAsia" w:hAnsiTheme="minorEastAsia" w:eastAsiaTheme="minorEastAsia" w:cstheme="minorEastAsia"/>
          <w:b w:val="0"/>
          <w:color w:val="auto"/>
          <w:sz w:val="24"/>
          <w:szCs w:val="24"/>
          <w:highlight w:val="none"/>
          <w:lang w:val="en-US" w:eastAsia="zh-CN"/>
        </w:rPr>
        <w:t>18912509153</w:t>
      </w:r>
    </w:p>
    <w:p w14:paraId="598C3E9E">
      <w:pPr>
        <w:spacing w:before="0" w:after="0" w:line="360" w:lineRule="auto"/>
        <w:rPr>
          <w:rFonts w:hint="eastAsia" w:asciiTheme="minorEastAsia" w:hAnsiTheme="minorEastAsia" w:eastAsiaTheme="minorEastAsia" w:cstheme="minorEastAsia"/>
          <w:color w:val="auto"/>
          <w:highlight w:val="none"/>
        </w:rPr>
      </w:pPr>
    </w:p>
    <w:p w14:paraId="68F59FA3">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48EF83FD">
      <w:pPr>
        <w:spacing w:before="360" w:after="240"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highlight w:val="none"/>
        </w:rPr>
        <w:t>第二章  供应商须知</w:t>
      </w:r>
    </w:p>
    <w:p w14:paraId="7339193D">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98"/>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0" w:name="_Toc513029203"/>
      <w:bookmarkStart w:id="1" w:name="_Toc120614214"/>
      <w:bookmarkStart w:id="2" w:name="_Toc16938519"/>
      <w:bookmarkStart w:id="3" w:name="_Toc20823275"/>
      <w:r>
        <w:rPr>
          <w:rFonts w:hint="eastAsia" w:asciiTheme="minorEastAsia" w:hAnsiTheme="minorEastAsia" w:eastAsiaTheme="minorEastAsia" w:cstheme="minorEastAsia"/>
          <w:b/>
          <w:color w:val="auto"/>
          <w:sz w:val="24"/>
          <w:szCs w:val="24"/>
          <w:highlight w:val="none"/>
          <w:shd w:val="clear" w:color="auto" w:fill="auto"/>
        </w:rPr>
        <w:t>一、总则</w:t>
      </w:r>
      <w:bookmarkEnd w:id="0"/>
      <w:bookmarkEnd w:id="1"/>
      <w:bookmarkEnd w:id="2"/>
      <w:bookmarkEnd w:id="3"/>
    </w:p>
    <w:p w14:paraId="76301AE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4" w:name="_Toc20823276"/>
      <w:bookmarkStart w:id="5" w:name="_Toc458694821"/>
      <w:bookmarkStart w:id="6" w:name="_Toc16938520"/>
      <w:bookmarkStart w:id="7" w:name="_Toc513029204"/>
      <w:r>
        <w:rPr>
          <w:rFonts w:hint="eastAsia" w:asciiTheme="minorEastAsia" w:hAnsiTheme="minorEastAsia" w:eastAsiaTheme="minorEastAsia" w:cstheme="minorEastAsia"/>
          <w:color w:val="auto"/>
          <w:sz w:val="24"/>
          <w:szCs w:val="24"/>
          <w:highlight w:val="none"/>
          <w:shd w:val="clear" w:color="auto" w:fill="auto"/>
        </w:rPr>
        <w:t>1</w:t>
      </w:r>
      <w:bookmarkEnd w:id="4"/>
      <w:r>
        <w:rPr>
          <w:rFonts w:hint="eastAsia" w:asciiTheme="minorEastAsia" w:hAnsiTheme="minorEastAsia" w:eastAsiaTheme="minorEastAsia" w:cstheme="minorEastAsia"/>
          <w:color w:val="auto"/>
          <w:sz w:val="24"/>
          <w:szCs w:val="24"/>
          <w:highlight w:val="none"/>
          <w:shd w:val="clear" w:color="auto" w:fill="auto"/>
        </w:rPr>
        <w:t>、采购方式</w:t>
      </w:r>
      <w:bookmarkEnd w:id="5"/>
      <w:bookmarkEnd w:id="6"/>
      <w:bookmarkEnd w:id="7"/>
    </w:p>
    <w:p w14:paraId="51164072">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1.1 本次政府采购活动采取竞争性谈判(以下简称谈判)方式，本谈判文件仅适用于谈判公告中所述项目。</w:t>
      </w:r>
    </w:p>
    <w:p w14:paraId="73F32008">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8" w:name="_Toc16938521"/>
      <w:bookmarkStart w:id="9" w:name="_Toc513029205"/>
      <w:bookmarkStart w:id="10" w:name="_Toc20823277"/>
      <w:r>
        <w:rPr>
          <w:rFonts w:hint="eastAsia" w:asciiTheme="minorEastAsia" w:hAnsiTheme="minorEastAsia" w:eastAsiaTheme="minorEastAsia" w:cstheme="minorEastAsia"/>
          <w:color w:val="auto"/>
          <w:sz w:val="24"/>
          <w:szCs w:val="24"/>
          <w:highlight w:val="none"/>
          <w:shd w:val="clear" w:color="auto" w:fill="auto"/>
        </w:rPr>
        <w:t>2、合格的</w:t>
      </w:r>
      <w:bookmarkEnd w:id="8"/>
      <w:bookmarkEnd w:id="9"/>
      <w:bookmarkEnd w:id="10"/>
      <w:r>
        <w:rPr>
          <w:rFonts w:hint="eastAsia" w:asciiTheme="minorEastAsia" w:hAnsiTheme="minorEastAsia" w:eastAsiaTheme="minorEastAsia" w:cstheme="minorEastAsia"/>
          <w:color w:val="auto"/>
          <w:sz w:val="24"/>
          <w:szCs w:val="24"/>
          <w:highlight w:val="none"/>
          <w:shd w:val="clear" w:color="auto" w:fill="auto"/>
        </w:rPr>
        <w:t>供应商</w:t>
      </w:r>
    </w:p>
    <w:p w14:paraId="6473E55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2.1满足谈判公告中供应商资格要求的规定。</w:t>
      </w:r>
    </w:p>
    <w:p w14:paraId="51ACDA2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2.2 满足本谈判文件实质性要求和条件的规定。</w:t>
      </w:r>
    </w:p>
    <w:p w14:paraId="4170807A">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1" w:name="_Toc16938522"/>
      <w:bookmarkStart w:id="12" w:name="_Toc513029206"/>
      <w:bookmarkStart w:id="13" w:name="_Toc20823278"/>
      <w:bookmarkStart w:id="14" w:name="_Toc513029207"/>
      <w:bookmarkStart w:id="15" w:name="_Toc462564067"/>
      <w:bookmarkStart w:id="16" w:name="_Toc16938523"/>
      <w:bookmarkStart w:id="17" w:name="_Toc20823279"/>
      <w:r>
        <w:rPr>
          <w:rFonts w:hint="eastAsia" w:asciiTheme="minorEastAsia" w:hAnsiTheme="minorEastAsia" w:eastAsiaTheme="minorEastAsia" w:cstheme="minorEastAsia"/>
          <w:color w:val="auto"/>
          <w:sz w:val="24"/>
          <w:szCs w:val="24"/>
          <w:highlight w:val="none"/>
          <w:shd w:val="clear" w:color="auto" w:fill="auto"/>
        </w:rPr>
        <w:t>3、适用法律</w:t>
      </w:r>
      <w:bookmarkEnd w:id="11"/>
      <w:bookmarkEnd w:id="12"/>
      <w:bookmarkEnd w:id="13"/>
      <w:r>
        <w:rPr>
          <w:rFonts w:hint="eastAsia" w:asciiTheme="minorEastAsia" w:hAnsiTheme="minorEastAsia" w:eastAsiaTheme="minorEastAsia" w:cstheme="minorEastAsia"/>
          <w:color w:val="auto"/>
          <w:sz w:val="24"/>
          <w:szCs w:val="24"/>
          <w:highlight w:val="none"/>
          <w:shd w:val="clear" w:color="auto" w:fill="auto"/>
        </w:rPr>
        <w:t>和标准</w:t>
      </w:r>
    </w:p>
    <w:p w14:paraId="60757E93">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3.1 本次招标及由此产生的合同受中华人民共和国有关的法律法规制约和保护。</w:t>
      </w:r>
    </w:p>
    <w:p w14:paraId="61AA10A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3.2 在本项目政府采购活动过程中，如果所执行的标准有更新的，按照最新标准执行。</w:t>
      </w:r>
    </w:p>
    <w:p w14:paraId="76A8C68E">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4、谈判费用</w:t>
      </w:r>
      <w:bookmarkEnd w:id="14"/>
      <w:bookmarkEnd w:id="15"/>
      <w:bookmarkEnd w:id="16"/>
      <w:bookmarkEnd w:id="17"/>
    </w:p>
    <w:p w14:paraId="32F2B7A1">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4.1供应商应自行承担所有与参加本次谈判有关的费用，无论谈判过程中的做法和结果如何，</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在任何情况下均无义务和责任承担这些费用。</w:t>
      </w:r>
    </w:p>
    <w:p w14:paraId="37A4B46E">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4.2本项目代理服务费由项目中标单位支付，本项目代理费按《江苏省招标代理服务收费的指导意见》（苏招协</w:t>
      </w:r>
      <w:r>
        <w:rPr>
          <w:rFonts w:hint="eastAsia" w:asciiTheme="minorEastAsia" w:hAnsiTheme="minorEastAsia" w:cstheme="minorEastAsia"/>
          <w:color w:val="auto"/>
          <w:sz w:val="24"/>
          <w:szCs w:val="24"/>
          <w:highlight w:val="none"/>
          <w:shd w:val="clear" w:color="auto" w:fill="auto"/>
          <w:lang w:val="en-US" w:eastAsia="zh-CN"/>
        </w:rPr>
        <w:t>[</w:t>
      </w:r>
      <w:r>
        <w:rPr>
          <w:rFonts w:hint="eastAsia" w:asciiTheme="minorEastAsia" w:hAnsiTheme="minorEastAsia" w:eastAsiaTheme="minorEastAsia" w:cstheme="minorEastAsia"/>
          <w:color w:val="auto"/>
          <w:sz w:val="24"/>
          <w:szCs w:val="24"/>
          <w:highlight w:val="none"/>
          <w:shd w:val="clear" w:color="auto" w:fill="auto"/>
        </w:rPr>
        <w:t>2022</w:t>
      </w:r>
      <w:r>
        <w:rPr>
          <w:rFonts w:hint="eastAsia" w:asciiTheme="minorEastAsia" w:hAnsiTheme="minorEastAsia" w:cstheme="minorEastAsia"/>
          <w:color w:val="auto"/>
          <w:sz w:val="24"/>
          <w:szCs w:val="24"/>
          <w:highlight w:val="none"/>
          <w:shd w:val="clear" w:color="auto" w:fill="auto"/>
          <w:lang w:val="en-US" w:eastAsia="zh-CN"/>
        </w:rPr>
        <w:t>]</w:t>
      </w:r>
      <w:r>
        <w:rPr>
          <w:rFonts w:hint="eastAsia" w:asciiTheme="minorEastAsia" w:hAnsiTheme="minorEastAsia" w:eastAsiaTheme="minorEastAsia" w:cstheme="minorEastAsia"/>
          <w:color w:val="auto"/>
          <w:sz w:val="24"/>
          <w:szCs w:val="24"/>
          <w:highlight w:val="none"/>
          <w:shd w:val="clear" w:color="auto" w:fill="auto"/>
        </w:rPr>
        <w:t>002号文）计取，由中标人领取中标通知书前，向代理公司支付，请投标人考虑在投标报价中。</w:t>
      </w:r>
    </w:p>
    <w:p w14:paraId="2760E35D">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cstheme="minorEastAsia"/>
          <w:color w:val="auto"/>
          <w:sz w:val="24"/>
          <w:szCs w:val="24"/>
          <w:highlight w:val="none"/>
          <w:shd w:val="clear" w:color="auto" w:fill="auto"/>
          <w:lang w:val="en-US" w:eastAsia="zh-CN"/>
        </w:rPr>
        <w:t>4.3</w:t>
      </w:r>
      <w:r>
        <w:rPr>
          <w:rFonts w:hint="eastAsia" w:asciiTheme="minorEastAsia" w:hAnsiTheme="minorEastAsia" w:eastAsiaTheme="minorEastAsia" w:cstheme="minorEastAsia"/>
          <w:color w:val="auto"/>
          <w:sz w:val="24"/>
          <w:szCs w:val="24"/>
          <w:highlight w:val="none"/>
          <w:shd w:val="clear" w:color="auto" w:fill="auto"/>
        </w:rPr>
        <w:t>本次谈判采购代理机构和采购人不收取标书工本费。</w:t>
      </w:r>
    </w:p>
    <w:p w14:paraId="69E10404">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5、谈判文件的约束力</w:t>
      </w:r>
    </w:p>
    <w:p w14:paraId="20DAE2F4">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5.1供应商一旦参加本项目采购活动，即被认为接受了本谈判文件的规定和约束。</w:t>
      </w:r>
    </w:p>
    <w:p w14:paraId="22C08415">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321"/>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8" w:name="_Toc16938525"/>
      <w:bookmarkStart w:id="19" w:name="_Toc513029209"/>
      <w:bookmarkStart w:id="20" w:name="_Toc120614215"/>
      <w:bookmarkStart w:id="21" w:name="_Toc20823281"/>
      <w:r>
        <w:rPr>
          <w:rFonts w:hint="eastAsia" w:asciiTheme="minorEastAsia" w:hAnsiTheme="minorEastAsia" w:eastAsiaTheme="minorEastAsia" w:cstheme="minorEastAsia"/>
          <w:b/>
          <w:color w:val="auto"/>
          <w:sz w:val="24"/>
          <w:szCs w:val="24"/>
          <w:highlight w:val="none"/>
          <w:shd w:val="clear" w:color="auto" w:fill="auto"/>
        </w:rPr>
        <w:t>二、</w:t>
      </w:r>
      <w:bookmarkEnd w:id="18"/>
      <w:bookmarkEnd w:id="19"/>
      <w:bookmarkEnd w:id="20"/>
      <w:bookmarkEnd w:id="21"/>
      <w:r>
        <w:rPr>
          <w:rFonts w:hint="eastAsia" w:asciiTheme="minorEastAsia" w:hAnsiTheme="minorEastAsia" w:eastAsiaTheme="minorEastAsia" w:cstheme="minorEastAsia"/>
          <w:b/>
          <w:color w:val="auto"/>
          <w:sz w:val="24"/>
          <w:szCs w:val="24"/>
          <w:highlight w:val="none"/>
          <w:shd w:val="clear" w:color="auto" w:fill="auto"/>
        </w:rPr>
        <w:t>谈判文件</w:t>
      </w:r>
    </w:p>
    <w:p w14:paraId="69647989">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22" w:name="_Toc513029210"/>
      <w:bookmarkStart w:id="23" w:name="_Toc16938526"/>
      <w:bookmarkStart w:id="24" w:name="_Toc20823282"/>
      <w:r>
        <w:rPr>
          <w:rFonts w:hint="eastAsia" w:asciiTheme="minorEastAsia" w:hAnsiTheme="minorEastAsia" w:eastAsiaTheme="minorEastAsia" w:cstheme="minorEastAsia"/>
          <w:color w:val="auto"/>
          <w:sz w:val="24"/>
          <w:szCs w:val="24"/>
          <w:highlight w:val="none"/>
          <w:shd w:val="clear" w:color="auto" w:fill="auto"/>
        </w:rPr>
        <w:t>6、谈判文件构成</w:t>
      </w:r>
      <w:bookmarkEnd w:id="22"/>
      <w:bookmarkEnd w:id="23"/>
      <w:bookmarkEnd w:id="24"/>
    </w:p>
    <w:p w14:paraId="72B14392">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6.1谈判文件由以下部分组成：</w:t>
      </w:r>
    </w:p>
    <w:p w14:paraId="42D2B50B">
      <w:pPr>
        <w:pStyle w:val="33"/>
        <w:pageBreakBefore w:val="0"/>
        <w:widowControl w:val="0"/>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lang w:eastAsia="zh-CN"/>
        </w:rPr>
      </w:pPr>
      <w:r>
        <w:rPr>
          <w:rFonts w:hint="eastAsia" w:asciiTheme="minorEastAsia" w:hAnsiTheme="minorEastAsia" w:eastAsiaTheme="minorEastAsia" w:cstheme="minorEastAsia"/>
          <w:color w:val="auto"/>
          <w:sz w:val="24"/>
          <w:szCs w:val="24"/>
          <w:highlight w:val="none"/>
          <w:shd w:val="clear" w:color="auto" w:fill="auto"/>
        </w:rPr>
        <w:t>（1）谈判</w:t>
      </w:r>
      <w:r>
        <w:rPr>
          <w:rFonts w:hint="eastAsia" w:asciiTheme="minorEastAsia" w:hAnsiTheme="minorEastAsia" w:eastAsiaTheme="minorEastAsia" w:cstheme="minorEastAsia"/>
          <w:color w:val="auto"/>
          <w:sz w:val="24"/>
          <w:szCs w:val="24"/>
          <w:highlight w:val="none"/>
          <w:shd w:val="clear" w:color="auto" w:fill="auto"/>
          <w:lang w:val="en-US" w:eastAsia="zh-CN"/>
        </w:rPr>
        <w:t>公告</w:t>
      </w:r>
    </w:p>
    <w:p w14:paraId="641F79E0">
      <w:pPr>
        <w:pStyle w:val="33"/>
        <w:pageBreakBefore w:val="0"/>
        <w:widowControl w:val="0"/>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（2）供应商须知</w:t>
      </w:r>
    </w:p>
    <w:p w14:paraId="33B80FAD">
      <w:pPr>
        <w:pStyle w:val="33"/>
        <w:pageBreakBefore w:val="0"/>
        <w:widowControl w:val="0"/>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（3）合同文本</w:t>
      </w:r>
    </w:p>
    <w:p w14:paraId="6A224AF0">
      <w:pPr>
        <w:pStyle w:val="33"/>
        <w:pageBreakBefore w:val="0"/>
        <w:widowControl w:val="0"/>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（4）采购需求</w:t>
      </w:r>
    </w:p>
    <w:p w14:paraId="55F0260B">
      <w:pPr>
        <w:pStyle w:val="33"/>
        <w:pageBreakBefore w:val="0"/>
        <w:widowControl w:val="0"/>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（5）响应文件格式</w:t>
      </w:r>
    </w:p>
    <w:p w14:paraId="65B9D1F3">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请仔细检查谈判文件是否齐全，如有缺漏请立即与</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联系解决。</w:t>
      </w:r>
    </w:p>
    <w:p w14:paraId="41A5550D">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4C427DF5">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56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25" w:name="_Toc513029211"/>
      <w:bookmarkStart w:id="26" w:name="_Toc16938527"/>
      <w:bookmarkStart w:id="27" w:name="_Toc20823283"/>
      <w:bookmarkStart w:id="28" w:name="_Toc462564070"/>
      <w:r>
        <w:rPr>
          <w:rFonts w:hint="eastAsia" w:asciiTheme="minorEastAsia" w:hAnsiTheme="minorEastAsia" w:eastAsiaTheme="minorEastAsia" w:cstheme="minorEastAsia"/>
          <w:color w:val="auto"/>
          <w:sz w:val="24"/>
          <w:szCs w:val="24"/>
          <w:highlight w:val="none"/>
          <w:shd w:val="clear" w:color="auto" w:fill="auto"/>
        </w:rPr>
        <w:t>7、谈判文件的澄清</w:t>
      </w:r>
      <w:bookmarkEnd w:id="25"/>
      <w:bookmarkEnd w:id="26"/>
      <w:bookmarkEnd w:id="27"/>
      <w:bookmarkEnd w:id="28"/>
    </w:p>
    <w:p w14:paraId="3753447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7.1 任何要求对谈判文件进行澄清的供应商，应在谈判截止期3个工作日前按谈判公告中的通讯地址，以书面形式通知</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w:t>
      </w:r>
    </w:p>
    <w:p w14:paraId="7075FBBD">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56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29" w:name="_Toc16938528"/>
      <w:bookmarkStart w:id="30" w:name="_Toc513029212"/>
      <w:bookmarkStart w:id="31" w:name="_Toc20823284"/>
      <w:bookmarkStart w:id="32" w:name="_Toc462564071"/>
      <w:r>
        <w:rPr>
          <w:rFonts w:hint="eastAsia" w:asciiTheme="minorEastAsia" w:hAnsiTheme="minorEastAsia" w:eastAsiaTheme="minorEastAsia" w:cstheme="minorEastAsia"/>
          <w:color w:val="auto"/>
          <w:sz w:val="24"/>
          <w:szCs w:val="24"/>
          <w:highlight w:val="none"/>
          <w:shd w:val="clear" w:color="auto" w:fill="auto"/>
        </w:rPr>
        <w:t>8、谈判文件的澄清和修改</w:t>
      </w:r>
      <w:bookmarkEnd w:id="29"/>
      <w:bookmarkEnd w:id="30"/>
      <w:bookmarkEnd w:id="31"/>
      <w:bookmarkEnd w:id="32"/>
    </w:p>
    <w:p w14:paraId="7C4A73D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8.1 在响应文件提交截止时间前，</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可以对谈判文件进行澄清和修改,澄清或者修改的内容作为谈判文件的组成部分。澄清或者修改的内容可能影响响应文件编制的，</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将在提交首次响应文件截止时间至少3个工作日前，在</w:t>
      </w:r>
      <w:r>
        <w:rPr>
          <w:rFonts w:hint="eastAsia" w:asciiTheme="minorEastAsia" w:hAnsiTheme="minorEastAsia" w:eastAsiaTheme="minorEastAsia" w:cstheme="minorEastAsia"/>
          <w:color w:val="auto"/>
          <w:sz w:val="24"/>
          <w:szCs w:val="24"/>
          <w:highlight w:val="none"/>
          <w:shd w:val="clear" w:color="auto" w:fill="auto"/>
          <w:lang w:val="en-US" w:eastAsia="zh-CN"/>
        </w:rPr>
        <w:t>“中国政府采购网”“</w:t>
      </w:r>
      <w:r>
        <w:rPr>
          <w:rFonts w:hint="eastAsia" w:asciiTheme="minorEastAsia" w:hAnsiTheme="minorEastAsia" w:eastAsiaTheme="minorEastAsia" w:cstheme="minorEastAsia"/>
          <w:color w:val="auto"/>
          <w:sz w:val="24"/>
          <w:szCs w:val="24"/>
          <w:highlight w:val="none"/>
          <w:shd w:val="clear" w:color="auto" w:fill="auto"/>
        </w:rPr>
        <w:t>江苏政府采购网</w:t>
      </w:r>
      <w:r>
        <w:rPr>
          <w:rFonts w:hint="eastAsia" w:asciiTheme="minorEastAsia" w:hAnsiTheme="minorEastAsia" w:eastAsiaTheme="minorEastAsia" w:cstheme="minorEastAsia"/>
          <w:color w:val="auto"/>
          <w:sz w:val="24"/>
          <w:szCs w:val="24"/>
          <w:highlight w:val="none"/>
          <w:shd w:val="clear" w:color="auto" w:fill="auto"/>
          <w:lang w:eastAsia="zh-CN"/>
        </w:rPr>
        <w:t>”“</w:t>
      </w:r>
      <w:r>
        <w:rPr>
          <w:rFonts w:hint="eastAsia" w:asciiTheme="minorEastAsia" w:hAnsiTheme="minorEastAsia" w:eastAsiaTheme="minorEastAsia" w:cstheme="minorEastAsia"/>
          <w:color w:val="auto"/>
          <w:sz w:val="24"/>
          <w:szCs w:val="24"/>
          <w:highlight w:val="none"/>
          <w:shd w:val="clear" w:color="auto" w:fill="auto"/>
        </w:rPr>
        <w:t>盐城市政府采购网”上发布书面更正公告形式通知所有获取谈判文件的供应商, 更正公告内容将作为谈判文件的组成部分，并对供应商具有约束力。不足3个工作日的，</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将顺延提交首次响应文件截止时间。</w:t>
      </w:r>
    </w:p>
    <w:p w14:paraId="731BC7B1">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8.2</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可以视采购项目的具体情况，组织供应商进行现场考察或召开谈判前答疑会，但不单独或分别组织只有一个供应商参加的现场考察和答疑会。</w:t>
      </w:r>
      <w:bookmarkStart w:id="33" w:name="_Toc20823285"/>
      <w:bookmarkStart w:id="34" w:name="_Toc120614216"/>
      <w:bookmarkStart w:id="35" w:name="_Toc16938529"/>
      <w:bookmarkStart w:id="36" w:name="_Toc513029213"/>
      <w:bookmarkStart w:id="37" w:name="_Toc462564072"/>
    </w:p>
    <w:p w14:paraId="2C11E34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三、响应文件的编制</w:t>
      </w:r>
      <w:bookmarkEnd w:id="33"/>
      <w:bookmarkEnd w:id="34"/>
      <w:bookmarkEnd w:id="35"/>
      <w:bookmarkEnd w:id="36"/>
      <w:bookmarkEnd w:id="37"/>
      <w:bookmarkStart w:id="38" w:name="_Toc462564073"/>
      <w:bookmarkStart w:id="39" w:name="_Toc20823286"/>
      <w:bookmarkStart w:id="40" w:name="_Toc513029214"/>
      <w:bookmarkStart w:id="41" w:name="_Toc16938530"/>
    </w:p>
    <w:p w14:paraId="5C73C290">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9、响应文件的语言及度量衡单位</w:t>
      </w:r>
      <w:bookmarkEnd w:id="38"/>
      <w:bookmarkEnd w:id="39"/>
      <w:bookmarkEnd w:id="40"/>
      <w:bookmarkEnd w:id="41"/>
    </w:p>
    <w:p w14:paraId="3F88A372">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9.1供应商提交的响应文件以及供应商与</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就有关谈判的所有来往通知、函件和文件均应使用</w:t>
      </w:r>
      <w:r>
        <w:rPr>
          <w:rFonts w:hint="eastAsia" w:asciiTheme="minorEastAsia" w:hAnsiTheme="minorEastAsia" w:eastAsiaTheme="minorEastAsia" w:cstheme="minorEastAsia"/>
          <w:b/>
          <w:color w:val="auto"/>
          <w:sz w:val="24"/>
          <w:szCs w:val="24"/>
          <w:highlight w:val="none"/>
          <w:shd w:val="clear" w:color="auto" w:fill="auto"/>
        </w:rPr>
        <w:t>简体中文</w:t>
      </w:r>
      <w:r>
        <w:rPr>
          <w:rFonts w:hint="eastAsia" w:asciiTheme="minorEastAsia" w:hAnsiTheme="minorEastAsia" w:eastAsiaTheme="minorEastAsia" w:cstheme="minorEastAsia"/>
          <w:color w:val="auto"/>
          <w:sz w:val="24"/>
          <w:szCs w:val="24"/>
          <w:highlight w:val="none"/>
          <w:shd w:val="clear" w:color="auto" w:fill="auto"/>
        </w:rPr>
        <w:t>。</w:t>
      </w:r>
    </w:p>
    <w:p w14:paraId="2B4AC5C0">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9.2 除技术性能另有规定外，响应文件所使用的度量衡单位，均须采用国家法定计量单位。</w:t>
      </w:r>
    </w:p>
    <w:p w14:paraId="6AC51321">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42" w:name="_Toc462564074"/>
      <w:bookmarkStart w:id="43" w:name="_Toc513029215"/>
      <w:bookmarkStart w:id="44" w:name="_Toc20823287"/>
      <w:bookmarkStart w:id="45" w:name="_Toc16938531"/>
      <w:r>
        <w:rPr>
          <w:rFonts w:hint="eastAsia" w:asciiTheme="minorEastAsia" w:hAnsiTheme="minorEastAsia" w:eastAsiaTheme="minorEastAsia" w:cstheme="minorEastAsia"/>
          <w:color w:val="auto"/>
          <w:sz w:val="24"/>
          <w:szCs w:val="24"/>
          <w:highlight w:val="none"/>
          <w:shd w:val="clear" w:color="auto" w:fill="auto"/>
        </w:rPr>
        <w:t>10、响应文件构成</w:t>
      </w:r>
      <w:bookmarkEnd w:id="42"/>
      <w:bookmarkEnd w:id="43"/>
      <w:bookmarkEnd w:id="44"/>
      <w:bookmarkEnd w:id="45"/>
    </w:p>
    <w:p w14:paraId="07DC82DC">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10.1供应商编写的响应文件应包括资格证明文件、符合性证明文件、分项报价表、技术要求响应及偏离表、商务要求响应及偏离表、其他证明文件、谈判响应函等部分。</w:t>
      </w:r>
    </w:p>
    <w:p w14:paraId="6294BD8C">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10.2 如标书制作工具中格式和内容与</w:t>
      </w: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val="en-US" w:eastAsia="zh-CN"/>
        </w:rPr>
        <w:t>“</w:t>
      </w:r>
      <w:r>
        <w:rPr>
          <w:rFonts w:hint="eastAsia" w:asciiTheme="minorEastAsia" w:hAnsiTheme="minorEastAsia" w:eastAsiaTheme="minorEastAsia" w:cstheme="minorEastAsia"/>
          <w:color w:val="auto"/>
          <w:sz w:val="24"/>
          <w:szCs w:val="24"/>
          <w:highlight w:val="none"/>
          <w:shd w:val="clear" w:color="auto" w:fill="auto"/>
          <w:lang w:val="en-US" w:eastAsia="zh-CN"/>
        </w:rPr>
        <w:t>中国政府采购网”“</w:t>
      </w:r>
      <w:r>
        <w:rPr>
          <w:rFonts w:hint="eastAsia" w:asciiTheme="minorEastAsia" w:hAnsiTheme="minorEastAsia" w:eastAsiaTheme="minorEastAsia" w:cstheme="minorEastAsia"/>
          <w:color w:val="auto"/>
          <w:sz w:val="24"/>
          <w:szCs w:val="24"/>
          <w:highlight w:val="none"/>
          <w:shd w:val="clear" w:color="auto" w:fill="auto"/>
        </w:rPr>
        <w:t>江苏政府采购网</w:t>
      </w:r>
      <w:r>
        <w:rPr>
          <w:rFonts w:hint="eastAsia" w:asciiTheme="minorEastAsia" w:hAnsiTheme="minorEastAsia" w:eastAsiaTheme="minorEastAsia" w:cstheme="minorEastAsia"/>
          <w:color w:val="auto"/>
          <w:sz w:val="24"/>
          <w:szCs w:val="24"/>
          <w:highlight w:val="none"/>
          <w:shd w:val="clear" w:color="auto" w:fill="auto"/>
          <w:lang w:eastAsia="zh-CN"/>
        </w:rPr>
        <w:t>”“</w:t>
      </w:r>
      <w:r>
        <w:rPr>
          <w:rFonts w:hint="eastAsia" w:asciiTheme="minorEastAsia" w:hAnsiTheme="minorEastAsia" w:eastAsiaTheme="minorEastAsia" w:cstheme="minorEastAsia"/>
          <w:color w:val="auto"/>
          <w:sz w:val="24"/>
          <w:szCs w:val="24"/>
          <w:highlight w:val="none"/>
          <w:shd w:val="clear" w:color="auto" w:fill="auto"/>
        </w:rPr>
        <w:t>盐城市政府采购网”发布的谈判文件不一致，请以</w:t>
      </w: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val="en-US" w:eastAsia="zh-CN"/>
        </w:rPr>
        <w:t>“</w:t>
      </w:r>
      <w:r>
        <w:rPr>
          <w:rFonts w:hint="eastAsia" w:asciiTheme="minorEastAsia" w:hAnsiTheme="minorEastAsia" w:eastAsiaTheme="minorEastAsia" w:cstheme="minorEastAsia"/>
          <w:color w:val="auto"/>
          <w:sz w:val="24"/>
          <w:szCs w:val="24"/>
          <w:highlight w:val="none"/>
          <w:shd w:val="clear" w:color="auto" w:fill="auto"/>
          <w:lang w:val="en-US" w:eastAsia="zh-CN"/>
        </w:rPr>
        <w:t>中国政府采购网”“</w:t>
      </w:r>
      <w:r>
        <w:rPr>
          <w:rFonts w:hint="eastAsia" w:asciiTheme="minorEastAsia" w:hAnsiTheme="minorEastAsia" w:eastAsiaTheme="minorEastAsia" w:cstheme="minorEastAsia"/>
          <w:color w:val="auto"/>
          <w:sz w:val="24"/>
          <w:szCs w:val="24"/>
          <w:highlight w:val="none"/>
          <w:shd w:val="clear" w:color="auto" w:fill="auto"/>
        </w:rPr>
        <w:t>江苏政府采购网</w:t>
      </w:r>
      <w:r>
        <w:rPr>
          <w:rFonts w:hint="eastAsia" w:asciiTheme="minorEastAsia" w:hAnsiTheme="minorEastAsia" w:eastAsiaTheme="minorEastAsia" w:cstheme="minorEastAsia"/>
          <w:color w:val="auto"/>
          <w:sz w:val="24"/>
          <w:szCs w:val="24"/>
          <w:highlight w:val="none"/>
          <w:shd w:val="clear" w:color="auto" w:fill="auto"/>
          <w:lang w:eastAsia="zh-CN"/>
        </w:rPr>
        <w:t>”“</w:t>
      </w:r>
      <w:r>
        <w:rPr>
          <w:rFonts w:hint="eastAsia" w:asciiTheme="minorEastAsia" w:hAnsiTheme="minorEastAsia" w:eastAsiaTheme="minorEastAsia" w:cstheme="minorEastAsia"/>
          <w:color w:val="auto"/>
          <w:sz w:val="24"/>
          <w:szCs w:val="24"/>
          <w:highlight w:val="none"/>
          <w:shd w:val="clear" w:color="auto" w:fill="auto"/>
        </w:rPr>
        <w:t>盐城市政府采购网”发布的谈判文件为准。</w:t>
      </w:r>
    </w:p>
    <w:p w14:paraId="5D75275B">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46" w:name="_Toc49090507"/>
      <w:bookmarkStart w:id="47" w:name="_Toc49090508"/>
      <w:bookmarkStart w:id="48" w:name="_Toc49090509"/>
      <w:bookmarkStart w:id="49" w:name="_Toc513029219"/>
      <w:bookmarkStart w:id="50" w:name="_Toc14577354"/>
      <w:bookmarkStart w:id="51" w:name="_Toc513029216"/>
      <w:bookmarkStart w:id="52" w:name="_Toc14577357"/>
      <w:bookmarkStart w:id="53" w:name="_Toc14577355"/>
      <w:r>
        <w:rPr>
          <w:rFonts w:hint="eastAsia" w:asciiTheme="minorEastAsia" w:hAnsiTheme="minorEastAsia" w:eastAsiaTheme="minorEastAsia" w:cstheme="minorEastAsia"/>
          <w:color w:val="auto"/>
          <w:sz w:val="24"/>
          <w:szCs w:val="24"/>
          <w:highlight w:val="none"/>
          <w:shd w:val="clear" w:color="auto" w:fill="auto"/>
        </w:rPr>
        <w:t>11、证明谈判响应标的符合谈判文件规定的文件</w:t>
      </w:r>
      <w:bookmarkEnd w:id="46"/>
      <w:bookmarkEnd w:id="47"/>
      <w:bookmarkEnd w:id="48"/>
      <w:bookmarkEnd w:id="49"/>
      <w:bookmarkEnd w:id="50"/>
      <w:bookmarkEnd w:id="51"/>
      <w:bookmarkEnd w:id="52"/>
      <w:bookmarkEnd w:id="53"/>
    </w:p>
    <w:p w14:paraId="569A2539">
      <w:pPr>
        <w:pStyle w:val="33"/>
        <w:pageBreakBefore w:val="0"/>
        <w:widowControl w:val="0"/>
        <w:kinsoku/>
        <w:wordWrap/>
        <w:overflowPunct/>
        <w:topLinePunct w:val="0"/>
        <w:autoSpaceDE/>
        <w:autoSpaceDN/>
        <w:bidi w:val="0"/>
        <w:adjustRightInd/>
        <w:snapToGrid/>
        <w:spacing w:beforeAutospacing="0" w:afterAutospacing="0" w:line="500" w:lineRule="exact"/>
        <w:ind w:left="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11.1供应商应按照谈判文件要求提交证明文件，证明其及谈判响应标的符合谈判文件规定。</w:t>
      </w:r>
    </w:p>
    <w:p w14:paraId="6BB90F94">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11.2谈判文件对证明文件无明确形式要求的，证明文件可以以文字资料、图纸和数据等形式提交。</w:t>
      </w:r>
    </w:p>
    <w:p w14:paraId="1BE4CE7F">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12、分项报价表</w:t>
      </w:r>
    </w:p>
    <w:p w14:paraId="5EE0F3E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12.1供应商应按照谈判文件规定格式填报分项报价表。</w:t>
      </w:r>
    </w:p>
    <w:p w14:paraId="54CC5CE8">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12.2谈判货币。响应文件中的单价和总价无特殊规定的采用人民币报价，以元为单位标注。谈判文件中另有规定的按规定执行。</w:t>
      </w:r>
    </w:p>
    <w:p w14:paraId="561DEAC4">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13、技术要求响应及偏离表、商务要求响应及偏离表</w:t>
      </w:r>
    </w:p>
    <w:p w14:paraId="783EE96E">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13.1供应商需对谈判文件中的技术要求与商务要求逐项作出响应或偏离，并说明原因。</w:t>
      </w:r>
    </w:p>
    <w:p w14:paraId="291A24E9">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13.2供应商可在响应文件中提供认为需要的其他技术文件或说明。</w:t>
      </w:r>
    </w:p>
    <w:p w14:paraId="20C7B777">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14、服务承诺、培训计划、人员安排及其他</w:t>
      </w:r>
    </w:p>
    <w:p w14:paraId="5CD79EE9">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14.1供应商需根据谈判文件要求提供有关售后服务的管理制度，售后服务机构的分布情况，售后服务人员的数量、素质、技术水平及售后服务的反应能力等。</w:t>
      </w:r>
    </w:p>
    <w:p w14:paraId="1141FEAC">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14.2供应商需根据谈判文件要求提供培训计划。</w:t>
      </w:r>
    </w:p>
    <w:p w14:paraId="7681D356">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14.3供应商需根据谈判文件要求提供谈判响应标的的主要组成部分、功能设计、实现思路及关键技术等。</w:t>
      </w:r>
    </w:p>
    <w:p w14:paraId="2BBDFA5F">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54" w:name="_Toc14577359"/>
      <w:bookmarkStart w:id="55" w:name="_Toc49090510"/>
      <w:r>
        <w:rPr>
          <w:rFonts w:hint="eastAsia" w:asciiTheme="minorEastAsia" w:hAnsiTheme="minorEastAsia" w:eastAsiaTheme="minorEastAsia" w:cstheme="minorEastAsia"/>
          <w:color w:val="auto"/>
          <w:sz w:val="24"/>
          <w:szCs w:val="24"/>
          <w:highlight w:val="none"/>
          <w:shd w:val="clear" w:color="auto" w:fill="auto"/>
        </w:rPr>
        <w:t>15、谈判响应函</w:t>
      </w:r>
      <w:bookmarkEnd w:id="54"/>
      <w:bookmarkEnd w:id="55"/>
    </w:p>
    <w:p w14:paraId="60B5D2D6">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15.1供应商应按照谈判文件中提供的格式完整、正确填写谈判响应函。</w:t>
      </w:r>
    </w:p>
    <w:p w14:paraId="0161BF92">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56" w:name="_Toc14577360"/>
      <w:bookmarkStart w:id="57" w:name="_Toc49090511"/>
      <w:r>
        <w:rPr>
          <w:rFonts w:hint="eastAsia" w:asciiTheme="minorEastAsia" w:hAnsiTheme="minorEastAsia" w:eastAsiaTheme="minorEastAsia" w:cstheme="minorEastAsia"/>
          <w:color w:val="auto"/>
          <w:sz w:val="24"/>
          <w:szCs w:val="24"/>
          <w:highlight w:val="none"/>
          <w:shd w:val="clear" w:color="auto" w:fill="auto"/>
        </w:rPr>
        <w:t>16、谈判有效期</w:t>
      </w:r>
      <w:bookmarkEnd w:id="56"/>
      <w:bookmarkEnd w:id="57"/>
    </w:p>
    <w:p w14:paraId="338B5D2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16.1谈判有效期为</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规定的提交响应文件截止之日后</w:t>
      </w:r>
      <w:r>
        <w:rPr>
          <w:rFonts w:hint="eastAsia" w:asciiTheme="minorEastAsia" w:hAnsiTheme="minorEastAsia" w:eastAsiaTheme="minorEastAsia" w:cstheme="minorEastAsia"/>
          <w:b/>
          <w:color w:val="auto"/>
          <w:sz w:val="24"/>
          <w:szCs w:val="24"/>
          <w:highlight w:val="none"/>
          <w:u w:val="single"/>
          <w:lang w:val="en-US" w:eastAsia="zh-CN"/>
        </w:rPr>
        <w:t>九</w:t>
      </w:r>
      <w:r>
        <w:rPr>
          <w:rFonts w:hint="eastAsia" w:asciiTheme="minorEastAsia" w:hAnsiTheme="minorEastAsia" w:eastAsiaTheme="minorEastAsia" w:cstheme="minorEastAsia"/>
          <w:b/>
          <w:color w:val="auto"/>
          <w:sz w:val="24"/>
          <w:szCs w:val="24"/>
          <w:highlight w:val="none"/>
          <w:u w:val="single"/>
        </w:rPr>
        <w:t>十（</w:t>
      </w:r>
      <w:r>
        <w:rPr>
          <w:rFonts w:hint="eastAsia" w:asciiTheme="minorEastAsia" w:hAnsiTheme="minorEastAsia" w:eastAsiaTheme="minorEastAsia" w:cstheme="minorEastAsia"/>
          <w:b/>
          <w:color w:val="auto"/>
          <w:sz w:val="24"/>
          <w:szCs w:val="24"/>
          <w:highlight w:val="none"/>
          <w:u w:val="single"/>
          <w:lang w:val="en-US" w:eastAsia="zh-CN"/>
        </w:rPr>
        <w:t>9</w:t>
      </w:r>
      <w:r>
        <w:rPr>
          <w:rFonts w:hint="eastAsia" w:asciiTheme="minorEastAsia" w:hAnsiTheme="minorEastAsia" w:eastAsiaTheme="minorEastAsia" w:cstheme="minorEastAsia"/>
          <w:b/>
          <w:color w:val="auto"/>
          <w:sz w:val="24"/>
          <w:szCs w:val="24"/>
          <w:highlight w:val="none"/>
          <w:u w:val="single"/>
        </w:rPr>
        <w:t>0）天</w:t>
      </w:r>
      <w:r>
        <w:rPr>
          <w:rFonts w:hint="eastAsia" w:asciiTheme="minorEastAsia" w:hAnsiTheme="minorEastAsia" w:eastAsiaTheme="minorEastAsia" w:cstheme="minorEastAsia"/>
          <w:color w:val="auto"/>
          <w:sz w:val="24"/>
          <w:szCs w:val="24"/>
          <w:highlight w:val="none"/>
          <w:shd w:val="clear" w:color="auto" w:fill="auto"/>
        </w:rPr>
        <w:t>。谈判有效期比规定短的将被视为非实质性响应谈判文件而予以拒绝。</w:t>
      </w:r>
    </w:p>
    <w:p w14:paraId="2A67C85E">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17、谈判有效期的延长</w:t>
      </w:r>
    </w:p>
    <w:p w14:paraId="574B79FA">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17.1在特殊情况下，</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于原谈判有效期满之前，可向供应商提出延长谈判有效期的要求。这种要求与答复均应采用书面形式。供应商可以拒绝</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的这一要求而放弃谈判，同意延长谈判有效期的供应商既不能要求也不允许修改其响应文件。受谈判有效期约束的所有权利与义务均延长至新的有效期。</w:t>
      </w:r>
    </w:p>
    <w:p w14:paraId="2342F24A">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82"/>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58" w:name="_Toc16938540"/>
      <w:bookmarkStart w:id="59" w:name="_Toc513029224"/>
      <w:bookmarkStart w:id="60" w:name="_Toc120614217"/>
      <w:bookmarkStart w:id="61" w:name="_Toc20823296"/>
      <w:r>
        <w:rPr>
          <w:rFonts w:hint="eastAsia" w:asciiTheme="minorEastAsia" w:hAnsiTheme="minorEastAsia" w:eastAsiaTheme="minorEastAsia" w:cstheme="minorEastAsia"/>
          <w:b/>
          <w:color w:val="auto"/>
          <w:sz w:val="24"/>
          <w:szCs w:val="24"/>
          <w:highlight w:val="none"/>
          <w:shd w:val="clear" w:color="auto" w:fill="auto"/>
        </w:rPr>
        <w:t>四、响应文件的递交</w:t>
      </w:r>
      <w:bookmarkEnd w:id="58"/>
      <w:bookmarkEnd w:id="59"/>
      <w:bookmarkEnd w:id="60"/>
      <w:bookmarkEnd w:id="61"/>
    </w:p>
    <w:p w14:paraId="36D2DBC6">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56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62" w:name="_Toc16938541"/>
      <w:bookmarkStart w:id="63" w:name="_Toc513029225"/>
      <w:bookmarkStart w:id="64" w:name="_Toc462564084"/>
      <w:bookmarkStart w:id="65" w:name="_Toc20823297"/>
      <w:r>
        <w:rPr>
          <w:rFonts w:hint="eastAsia" w:asciiTheme="minorEastAsia" w:hAnsiTheme="minorEastAsia" w:eastAsiaTheme="minorEastAsia" w:cstheme="minorEastAsia"/>
          <w:color w:val="auto"/>
          <w:sz w:val="24"/>
          <w:szCs w:val="24"/>
          <w:highlight w:val="none"/>
          <w:shd w:val="clear" w:color="auto" w:fill="auto"/>
        </w:rPr>
        <w:t>18、电子谈判</w:t>
      </w:r>
      <w:bookmarkEnd w:id="62"/>
      <w:bookmarkEnd w:id="63"/>
      <w:bookmarkEnd w:id="64"/>
      <w:bookmarkEnd w:id="65"/>
      <w:r>
        <w:rPr>
          <w:rFonts w:hint="eastAsia" w:asciiTheme="minorEastAsia" w:hAnsiTheme="minorEastAsia" w:eastAsiaTheme="minorEastAsia" w:cstheme="minorEastAsia"/>
          <w:color w:val="auto"/>
          <w:sz w:val="24"/>
          <w:szCs w:val="24"/>
          <w:highlight w:val="none"/>
          <w:shd w:val="clear" w:color="auto" w:fill="auto"/>
        </w:rPr>
        <w:t>响应文件的递交</w:t>
      </w:r>
    </w:p>
    <w:p w14:paraId="7F1B6461">
      <w:pPr>
        <w:pStyle w:val="33"/>
        <w:pageBreakBefore w:val="0"/>
        <w:widowControl w:val="0"/>
        <w:kinsoku/>
        <w:wordWrap/>
        <w:overflowPunct/>
        <w:topLinePunct w:val="0"/>
        <w:autoSpaceDE/>
        <w:autoSpaceDN/>
        <w:bidi w:val="0"/>
        <w:adjustRightInd/>
        <w:snapToGrid/>
        <w:spacing w:beforeAutospacing="0" w:afterAutospacing="0" w:line="500" w:lineRule="exact"/>
        <w:ind w:left="0" w:firstLine="6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18.1供应商应当按照《操作手册》规定，在提交响应文件截止时间前制作并上传电子响应文件。</w:t>
      </w:r>
      <w:bookmarkStart w:id="66" w:name="_Toc20823298"/>
      <w:bookmarkEnd w:id="66"/>
      <w:bookmarkStart w:id="67" w:name="_Toc16938542"/>
      <w:bookmarkEnd w:id="67"/>
    </w:p>
    <w:p w14:paraId="0D52B80C">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5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19、提交响应文件截止时间</w:t>
      </w:r>
    </w:p>
    <w:p w14:paraId="5EB963D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i/>
          <w:color w:val="auto"/>
          <w:sz w:val="24"/>
          <w:szCs w:val="24"/>
          <w:highlight w:val="none"/>
          <w:u w:val="single"/>
          <w:shd w:val="clear" w:color="auto" w:fill="auto"/>
        </w:rPr>
        <w:t>19.1供应商上传电子响应文件的时间不得迟于谈判公告中规定的提交响应文件截止时间。</w:t>
      </w:r>
    </w:p>
    <w:p w14:paraId="1850C268">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供应商应充分考虑到网络环境、网络带宽等风险因素，如因供应商自身原因造成的电子响应文件上传不成功的按照本谈判文件第二章第26.3.2条规定做无效响应处理。</w:t>
      </w:r>
    </w:p>
    <w:p w14:paraId="4662ACA9">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19.2 </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可以按照规定，通过修改谈判文件酌情延长提交响应文件截止日期，在此情况下，供应商的所有权利和义务以及供应商受制的截止日期均应以延长后新的截止日期为准。</w:t>
      </w:r>
    </w:p>
    <w:p w14:paraId="09E670D4">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68" w:name="_Toc20823299"/>
      <w:bookmarkStart w:id="69" w:name="_Toc513029227"/>
      <w:bookmarkStart w:id="70" w:name="_Toc16938543"/>
      <w:r>
        <w:rPr>
          <w:rFonts w:hint="eastAsia" w:asciiTheme="minorEastAsia" w:hAnsiTheme="minorEastAsia" w:eastAsiaTheme="minorEastAsia" w:cstheme="minorEastAsia"/>
          <w:color w:val="auto"/>
          <w:sz w:val="24"/>
          <w:szCs w:val="24"/>
          <w:highlight w:val="none"/>
          <w:shd w:val="clear" w:color="auto" w:fill="auto"/>
        </w:rPr>
        <w:t>20、响应文件</w:t>
      </w:r>
      <w:bookmarkEnd w:id="68"/>
      <w:bookmarkEnd w:id="69"/>
      <w:bookmarkEnd w:id="70"/>
      <w:r>
        <w:rPr>
          <w:rFonts w:hint="eastAsia" w:asciiTheme="minorEastAsia" w:hAnsiTheme="minorEastAsia" w:eastAsiaTheme="minorEastAsia" w:cstheme="minorEastAsia"/>
          <w:color w:val="auto"/>
          <w:sz w:val="24"/>
          <w:szCs w:val="24"/>
          <w:highlight w:val="none"/>
          <w:shd w:val="clear" w:color="auto" w:fill="auto"/>
        </w:rPr>
        <w:t>的拒收</w:t>
      </w:r>
    </w:p>
    <w:p w14:paraId="5BD6BA10">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20.1 </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拒绝接收在其规定的提交响应文件截止时间后上传的任何电子响应文件。</w:t>
      </w:r>
    </w:p>
    <w:p w14:paraId="4ADFE341">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71" w:name="_Toc513029228"/>
      <w:bookmarkStart w:id="72" w:name="_Toc20823300"/>
      <w:bookmarkStart w:id="73" w:name="_Toc16938544"/>
      <w:r>
        <w:rPr>
          <w:rFonts w:hint="eastAsia" w:asciiTheme="minorEastAsia" w:hAnsiTheme="minorEastAsia" w:eastAsiaTheme="minorEastAsia" w:cstheme="minorEastAsia"/>
          <w:color w:val="auto"/>
          <w:sz w:val="24"/>
          <w:szCs w:val="24"/>
          <w:highlight w:val="none"/>
          <w:shd w:val="clear" w:color="auto" w:fill="auto"/>
        </w:rPr>
        <w:t>21、响应文件的撤回和修改</w:t>
      </w:r>
      <w:bookmarkEnd w:id="71"/>
      <w:bookmarkEnd w:id="72"/>
      <w:bookmarkEnd w:id="73"/>
    </w:p>
    <w:p w14:paraId="53A7B827">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21.1响应文件的撤回</w:t>
      </w:r>
    </w:p>
    <w:p w14:paraId="0A4DA704">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21.1.1 电子响应文件的撤回</w:t>
      </w:r>
    </w:p>
    <w:p w14:paraId="78F91B32">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供应商可在提交响应文件截止时间前，撤回其电子响应文件，具体操作方法见《操作手册》。</w:t>
      </w:r>
    </w:p>
    <w:p w14:paraId="6824A200">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21.1.2供应商撤回电子响应文件，则认为其不再参与本项目谈判活动。</w:t>
      </w:r>
    </w:p>
    <w:p w14:paraId="7B9E4783">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21.2响应文件的修改</w:t>
      </w:r>
    </w:p>
    <w:p w14:paraId="5C467739">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供应商可在提交响应文件截止时间前，对其电子响应文件进行修改，具体操作方法见《操作手册》。</w:t>
      </w:r>
    </w:p>
    <w:p w14:paraId="1B3CEAC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21.3 在提交响应文件截止时间之后，供应商不得对其电子响应文件作任何修改。</w:t>
      </w:r>
    </w:p>
    <w:p w14:paraId="235878EB">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21.4 在提交响应文件截止时间至谈判文件中规定的谈判有效期满之间的这段时间内，供应商不得撤回其响应文件。</w:t>
      </w:r>
    </w:p>
    <w:p w14:paraId="3138CC91">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82"/>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74" w:name="_Toc513029229"/>
      <w:bookmarkStart w:id="75" w:name="_Toc120614218"/>
      <w:bookmarkStart w:id="76" w:name="_Toc16938545"/>
      <w:bookmarkStart w:id="77" w:name="_Toc20823301"/>
      <w:r>
        <w:rPr>
          <w:rFonts w:hint="eastAsia" w:asciiTheme="minorEastAsia" w:hAnsiTheme="minorEastAsia" w:eastAsiaTheme="minorEastAsia" w:cstheme="minorEastAsia"/>
          <w:b/>
          <w:color w:val="auto"/>
          <w:sz w:val="24"/>
          <w:szCs w:val="24"/>
          <w:highlight w:val="none"/>
          <w:shd w:val="clear" w:color="auto" w:fill="auto"/>
        </w:rPr>
        <w:t>五、响应文件的解密与评审</w:t>
      </w:r>
      <w:bookmarkEnd w:id="74"/>
      <w:bookmarkEnd w:id="75"/>
      <w:bookmarkEnd w:id="76"/>
      <w:bookmarkEnd w:id="77"/>
    </w:p>
    <w:p w14:paraId="3E7D2F3E">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78" w:name="_Toc20823302"/>
      <w:bookmarkStart w:id="79" w:name="_Toc16938546"/>
      <w:bookmarkStart w:id="80" w:name="_Toc513029230"/>
      <w:r>
        <w:rPr>
          <w:rFonts w:hint="eastAsia" w:asciiTheme="minorEastAsia" w:hAnsiTheme="minorEastAsia" w:eastAsiaTheme="minorEastAsia" w:cstheme="minorEastAsia"/>
          <w:color w:val="auto"/>
          <w:sz w:val="24"/>
          <w:szCs w:val="24"/>
          <w:highlight w:val="none"/>
          <w:shd w:val="clear" w:color="auto" w:fill="auto"/>
        </w:rPr>
        <w:t>22、</w:t>
      </w:r>
      <w:bookmarkEnd w:id="78"/>
      <w:bookmarkEnd w:id="79"/>
      <w:bookmarkEnd w:id="80"/>
      <w:r>
        <w:rPr>
          <w:rFonts w:hint="eastAsia" w:asciiTheme="minorEastAsia" w:hAnsiTheme="minorEastAsia" w:eastAsiaTheme="minorEastAsia" w:cstheme="minorEastAsia"/>
          <w:color w:val="auto"/>
          <w:sz w:val="24"/>
          <w:szCs w:val="24"/>
          <w:highlight w:val="none"/>
          <w:shd w:val="clear" w:color="auto" w:fill="auto"/>
        </w:rPr>
        <w:t>响应文件解密</w:t>
      </w:r>
    </w:p>
    <w:p w14:paraId="20139798">
      <w:pPr>
        <w:pStyle w:val="33"/>
        <w:pageBreakBefore w:val="0"/>
        <w:widowControl w:val="0"/>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22.1供应商应当按照《操作手册》规定，在苏采云系统规定的时间内对谈判响应文件进行解密。</w:t>
      </w:r>
    </w:p>
    <w:p w14:paraId="7235C633">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81" w:name="_Toc513029231"/>
      <w:bookmarkStart w:id="82" w:name="_Toc16938547"/>
      <w:bookmarkStart w:id="83" w:name="_Toc20823303"/>
      <w:r>
        <w:rPr>
          <w:rFonts w:hint="eastAsia" w:asciiTheme="minorEastAsia" w:hAnsiTheme="minorEastAsia" w:eastAsiaTheme="minorEastAsia" w:cstheme="minorEastAsia"/>
          <w:color w:val="auto"/>
          <w:sz w:val="24"/>
          <w:szCs w:val="24"/>
          <w:highlight w:val="none"/>
          <w:shd w:val="clear" w:color="auto" w:fill="auto"/>
        </w:rPr>
        <w:t>23、谈判小组</w:t>
      </w:r>
      <w:bookmarkEnd w:id="81"/>
      <w:bookmarkEnd w:id="82"/>
      <w:bookmarkEnd w:id="83"/>
    </w:p>
    <w:p w14:paraId="3171C6B9">
      <w:pPr>
        <w:pStyle w:val="33"/>
        <w:pageBreakBefore w:val="0"/>
        <w:widowControl w:val="0"/>
        <w:kinsoku/>
        <w:wordWrap/>
        <w:overflowPunct/>
        <w:topLinePunct w:val="0"/>
        <w:autoSpaceDE/>
        <w:autoSpaceDN/>
        <w:bidi w:val="0"/>
        <w:adjustRightInd/>
        <w:snapToGrid/>
        <w:spacing w:beforeAutospacing="0" w:afterAutospacing="0" w:line="500" w:lineRule="exact"/>
        <w:ind w:left="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 xml:space="preserve">  </w:t>
      </w:r>
      <w:r>
        <w:rPr>
          <w:rFonts w:hint="eastAsia" w:asciiTheme="minorEastAsia" w:hAnsiTheme="minorEastAsia" w:eastAsiaTheme="minorEastAsia" w:cstheme="minorEastAsia"/>
          <w:color w:val="auto"/>
          <w:sz w:val="24"/>
          <w:szCs w:val="24"/>
          <w:highlight w:val="none"/>
          <w:shd w:val="clear" w:color="auto" w:fill="auto"/>
        </w:rPr>
        <w:t>23.1</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将组织谈判小组对响应文件进行评审。谈判小组由采购人代表和有关技术、经济等方面的专家组成，且人员构成符合政府采购有关规定。</w:t>
      </w:r>
    </w:p>
    <w:p w14:paraId="5AF876D6">
      <w:pPr>
        <w:pStyle w:val="33"/>
        <w:pageBreakBefore w:val="0"/>
        <w:widowControl w:val="0"/>
        <w:kinsoku/>
        <w:wordWrap/>
        <w:overflowPunct/>
        <w:topLinePunct w:val="0"/>
        <w:autoSpaceDE/>
        <w:autoSpaceDN/>
        <w:bidi w:val="0"/>
        <w:adjustRightInd/>
        <w:snapToGrid/>
        <w:spacing w:beforeAutospacing="0" w:afterAutospacing="0" w:line="500" w:lineRule="exact"/>
        <w:ind w:left="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 xml:space="preserve">  </w:t>
      </w:r>
      <w:r>
        <w:rPr>
          <w:rFonts w:hint="eastAsia" w:asciiTheme="minorEastAsia" w:hAnsiTheme="minorEastAsia" w:eastAsiaTheme="minorEastAsia" w:cstheme="minorEastAsia"/>
          <w:color w:val="auto"/>
          <w:sz w:val="24"/>
          <w:szCs w:val="24"/>
          <w:highlight w:val="none"/>
          <w:shd w:val="clear" w:color="auto" w:fill="auto"/>
        </w:rPr>
        <w:t>23.2谈判小组独立工作，负责评审所有响应文件并确定成交</w:t>
      </w:r>
      <w:r>
        <w:rPr>
          <w:rFonts w:hint="eastAsia" w:asciiTheme="minorEastAsia" w:hAnsiTheme="minorEastAsia" w:eastAsiaTheme="minorEastAsia" w:cstheme="minorEastAsia"/>
          <w:color w:val="auto"/>
          <w:sz w:val="24"/>
          <w:szCs w:val="24"/>
          <w:highlight w:val="none"/>
          <w:shd w:val="clear" w:color="auto" w:fill="auto"/>
          <w:lang w:eastAsia="zh-CN"/>
        </w:rPr>
        <w:t>候选人</w:t>
      </w:r>
      <w:r>
        <w:rPr>
          <w:rFonts w:hint="eastAsia" w:asciiTheme="minorEastAsia" w:hAnsiTheme="minorEastAsia" w:eastAsiaTheme="minorEastAsia" w:cstheme="minorEastAsia"/>
          <w:color w:val="auto"/>
          <w:sz w:val="24"/>
          <w:szCs w:val="24"/>
          <w:highlight w:val="none"/>
          <w:shd w:val="clear" w:color="auto" w:fill="auto"/>
        </w:rPr>
        <w:t>。</w:t>
      </w:r>
    </w:p>
    <w:p w14:paraId="07B7D59E">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24、评审过程的保密与公正</w:t>
      </w:r>
    </w:p>
    <w:p w14:paraId="76771E4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24.1谈判小组、采购人和</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工作人员、相关监督人员等与评审工作有关的人员，对评审情况以及在评审过程中获悉的国家秘密、商业秘密负有保密责任。</w:t>
      </w:r>
    </w:p>
    <w:p w14:paraId="2A6CB05D">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24.2在评审过程中，供应商不得以任何行为影响谈判评审过程，否则其响应文件将被</w:t>
      </w:r>
      <w:r>
        <w:rPr>
          <w:rFonts w:hint="eastAsia" w:asciiTheme="minorEastAsia" w:hAnsiTheme="minorEastAsia" w:eastAsiaTheme="minorEastAsia" w:cstheme="minorEastAsia"/>
          <w:color w:val="auto"/>
          <w:sz w:val="24"/>
          <w:szCs w:val="24"/>
          <w:highlight w:val="none"/>
          <w:shd w:val="clear" w:color="auto" w:fill="auto"/>
          <w:lang w:eastAsia="zh-CN"/>
        </w:rPr>
        <w:t>视为</w:t>
      </w:r>
      <w:r>
        <w:rPr>
          <w:rFonts w:hint="eastAsia" w:asciiTheme="minorEastAsia" w:hAnsiTheme="minorEastAsia" w:eastAsiaTheme="minorEastAsia" w:cstheme="minorEastAsia"/>
          <w:color w:val="auto"/>
          <w:sz w:val="24"/>
          <w:szCs w:val="24"/>
          <w:highlight w:val="none"/>
          <w:shd w:val="clear" w:color="auto" w:fill="auto"/>
        </w:rPr>
        <w:t>无效响应文件。</w:t>
      </w:r>
    </w:p>
    <w:p w14:paraId="0A77A31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24.3在项目评审期间，</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将设专门人员与供应商联系。</w:t>
      </w:r>
    </w:p>
    <w:p w14:paraId="6FA337D7">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24.4 </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和谈判小组不向未成交的供应商解释未成交原因，也不公布评审过程中的相关细节。</w:t>
      </w:r>
    </w:p>
    <w:p w14:paraId="3674C652">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84" w:name="_Toc20823304"/>
      <w:bookmarkStart w:id="85" w:name="_Toc16938548"/>
      <w:bookmarkStart w:id="86" w:name="_Toc513029232"/>
      <w:r>
        <w:rPr>
          <w:rFonts w:hint="eastAsia" w:asciiTheme="minorEastAsia" w:hAnsiTheme="minorEastAsia" w:eastAsiaTheme="minorEastAsia" w:cstheme="minorEastAsia"/>
          <w:color w:val="auto"/>
          <w:sz w:val="24"/>
          <w:szCs w:val="24"/>
          <w:highlight w:val="none"/>
          <w:shd w:val="clear" w:color="auto" w:fill="auto"/>
        </w:rPr>
        <w:t>25、评审过程中</w:t>
      </w:r>
      <w:r>
        <w:rPr>
          <w:rFonts w:hint="eastAsia" w:asciiTheme="minorEastAsia" w:hAnsiTheme="minorEastAsia" w:eastAsiaTheme="minorEastAsia" w:cstheme="minorEastAsia"/>
          <w:color w:val="auto"/>
          <w:sz w:val="24"/>
          <w:szCs w:val="24"/>
          <w:highlight w:val="none"/>
          <w:shd w:val="clear" w:color="auto" w:fill="auto"/>
          <w:lang w:eastAsia="zh-CN"/>
        </w:rPr>
        <w:t>的</w:t>
      </w:r>
      <w:r>
        <w:rPr>
          <w:rFonts w:hint="eastAsia" w:asciiTheme="minorEastAsia" w:hAnsiTheme="minorEastAsia" w:eastAsiaTheme="minorEastAsia" w:cstheme="minorEastAsia"/>
          <w:color w:val="auto"/>
          <w:sz w:val="24"/>
          <w:szCs w:val="24"/>
          <w:highlight w:val="none"/>
          <w:shd w:val="clear" w:color="auto" w:fill="auto"/>
        </w:rPr>
        <w:t>澄清</w:t>
      </w:r>
      <w:bookmarkEnd w:id="84"/>
      <w:bookmarkEnd w:id="85"/>
      <w:bookmarkEnd w:id="86"/>
    </w:p>
    <w:p w14:paraId="5672370A">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EA78D2C">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谈判小组并非对每个供应商都作澄清要求。</w:t>
      </w:r>
    </w:p>
    <w:p w14:paraId="6AA5062A">
      <w:pPr>
        <w:pStyle w:val="33"/>
        <w:pageBreakBefore w:val="0"/>
        <w:widowControl w:val="0"/>
        <w:kinsoku/>
        <w:wordWrap/>
        <w:overflowPunct/>
        <w:topLinePunct w:val="0"/>
        <w:autoSpaceDE/>
        <w:autoSpaceDN/>
        <w:bidi w:val="0"/>
        <w:adjustRightInd/>
        <w:snapToGrid/>
        <w:spacing w:beforeAutospacing="0" w:afterAutospacing="0" w:line="500" w:lineRule="exact"/>
        <w:ind w:left="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BA995CC">
      <w:pPr>
        <w:pStyle w:val="33"/>
        <w:pageBreakBefore w:val="0"/>
        <w:widowControl w:val="0"/>
        <w:kinsoku/>
        <w:wordWrap/>
        <w:overflowPunct/>
        <w:topLinePunct w:val="0"/>
        <w:autoSpaceDE/>
        <w:autoSpaceDN/>
        <w:bidi w:val="0"/>
        <w:adjustRightInd/>
        <w:snapToGrid/>
        <w:spacing w:beforeAutospacing="0" w:afterAutospacing="0" w:line="500" w:lineRule="exact"/>
        <w:ind w:left="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25.3 接到谈判小组澄清、说明和更正要求的供应商如未按规定做出澄清、说明和 更正，其风险由供应商自行承担。</w:t>
      </w:r>
    </w:p>
    <w:p w14:paraId="15D4DC7B">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87" w:name="_Toc513029233"/>
      <w:bookmarkStart w:id="88" w:name="_Toc16938549"/>
      <w:bookmarkStart w:id="89" w:name="_Toc20823305"/>
      <w:r>
        <w:rPr>
          <w:rFonts w:hint="eastAsia" w:asciiTheme="minorEastAsia" w:hAnsiTheme="minorEastAsia" w:eastAsiaTheme="minorEastAsia" w:cstheme="minorEastAsia"/>
          <w:color w:val="auto"/>
          <w:sz w:val="24"/>
          <w:szCs w:val="24"/>
          <w:highlight w:val="none"/>
          <w:shd w:val="clear" w:color="auto" w:fill="auto"/>
        </w:rPr>
        <w:t>26、对响应文件的审</w:t>
      </w:r>
      <w:bookmarkEnd w:id="87"/>
      <w:bookmarkEnd w:id="88"/>
      <w:bookmarkEnd w:id="89"/>
      <w:r>
        <w:rPr>
          <w:rFonts w:hint="eastAsia" w:asciiTheme="minorEastAsia" w:hAnsiTheme="minorEastAsia" w:eastAsiaTheme="minorEastAsia" w:cstheme="minorEastAsia"/>
          <w:color w:val="auto"/>
          <w:sz w:val="24"/>
          <w:szCs w:val="24"/>
          <w:highlight w:val="none"/>
          <w:shd w:val="clear" w:color="auto" w:fill="auto"/>
        </w:rPr>
        <w:t>查</w:t>
      </w:r>
    </w:p>
    <w:p w14:paraId="2894062B">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26.1响应文件审查分为资格审查和符合性审查。</w:t>
      </w:r>
    </w:p>
    <w:p w14:paraId="23E4BE1A">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26.1.1 资格审查：由谈判小组依据法律法规和谈判文件的规定，对响应文件中的资格证明文件进行审查，以确定供应商是否具备参加谈判的资格。</w:t>
      </w:r>
    </w:p>
    <w:p w14:paraId="4B9C9A3D">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谈判小组在进行资格审查的同时，将在“信用中国”网站（www.creditchina.gov.cn）查询供应商的信用记录，以确定供应商是否具备谈判资格,查询结果留存并归档。</w:t>
      </w:r>
    </w:p>
    <w:p w14:paraId="27AC4870">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接受联合体的项目，两个以上的自然人、法人或者其他组织组成一个联合体，以一个供应商的身份共同参加政府采购活动的,联合体成员中任何一方存在不良信用记录的，视同联合体存在不良信用记录。</w:t>
      </w:r>
    </w:p>
    <w:p w14:paraId="4605ACEE">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26.1.2 符合性审查：依据谈判文件的规定，由谈判小组从响应文件的有效性、完整性和对谈判文件的响应程度进行审查，以确定是否对谈判文件的实质性要求作出响应。</w:t>
      </w:r>
    </w:p>
    <w:p w14:paraId="7B98A219">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26.1.3 未通过资格审查或符合性审查的供应商，谈判小组将在苏采云系统中告知未通过资格审查或符合性审查的原因，评审结束后，谈判小组将不再告知未通过资格审查或符合性审查的原因。</w:t>
      </w:r>
    </w:p>
    <w:p w14:paraId="38DF9756">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26.2在详细评审之前，谈判小组将首先审查每份响应文件是否实质性响应了谈判文件的要求。实质性响应的响应文件应该是与谈判文件要求的条款、条件和规格相符，没有重大偏离或保留。</w:t>
      </w:r>
    </w:p>
    <w:p w14:paraId="4B432370">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所谓重大偏离或保留是指与谈判文件规定的实质性要求存在负偏离，或者在实质上与谈判文件不一致，而且限制了合同中买方和</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722A5590">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26.3未实质性响应谈判文件的情形</w:t>
      </w:r>
    </w:p>
    <w:p w14:paraId="4105306E">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26.3.1供应商在苏采云系统规定的时间内未成功解密电子响应文件的。</w:t>
      </w:r>
    </w:p>
    <w:p w14:paraId="73A45766">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26.3.2供应商未按照谈判文件要求上传电子响应文件的。</w:t>
      </w:r>
    </w:p>
    <w:p w14:paraId="349BCB77">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26.3.3同一供应商提交两个（含两个）以上不同的响应文件或者最后报价的。</w:t>
      </w:r>
    </w:p>
    <w:p w14:paraId="43EEA79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26.3.4供应商不具备谈判文件中规定资格要求的。</w:t>
      </w:r>
    </w:p>
    <w:p w14:paraId="00C2FD08">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26.3.5供应商的最后报价超过了采购预算。</w:t>
      </w:r>
    </w:p>
    <w:p w14:paraId="62E522D4">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26.3.6不符合谈判文件中规定的实质性要求和条件的</w:t>
      </w:r>
      <w:r>
        <w:rPr>
          <w:rFonts w:hint="eastAsia" w:asciiTheme="minorEastAsia" w:hAnsiTheme="minorEastAsia" w:eastAsiaTheme="minorEastAsia" w:cstheme="minorEastAsia"/>
          <w:i/>
          <w:color w:val="auto"/>
          <w:sz w:val="24"/>
          <w:szCs w:val="24"/>
          <w:highlight w:val="none"/>
          <w:u w:val="single"/>
          <w:shd w:val="clear" w:color="auto" w:fill="auto"/>
        </w:rPr>
        <w:t>（本谈判文件中斜体且有下划线部分为实质性要求和条件）。</w:t>
      </w:r>
    </w:p>
    <w:p w14:paraId="71C75241">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FF3F2F8">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26.3.8  响应文件含有采购人不能接受的附加条件的。</w:t>
      </w:r>
    </w:p>
    <w:p w14:paraId="6467CF22">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26.3.9 本项目采购产品被财政部、</w:t>
      </w:r>
      <w:r>
        <w:rPr>
          <w:rFonts w:hint="eastAsia" w:asciiTheme="minorEastAsia" w:hAnsiTheme="minorEastAsia" w:eastAsiaTheme="minorEastAsia" w:cstheme="minorEastAsia"/>
          <w:color w:val="auto"/>
          <w:sz w:val="24"/>
          <w:szCs w:val="24"/>
          <w:highlight w:val="none"/>
          <w:shd w:val="clear" w:color="auto" w:fill="auto"/>
          <w:lang w:eastAsia="zh-CN"/>
        </w:rPr>
        <w:t>国家发展改革委</w:t>
      </w:r>
      <w:r>
        <w:rPr>
          <w:rFonts w:hint="eastAsia" w:asciiTheme="minorEastAsia" w:hAnsiTheme="minorEastAsia" w:eastAsiaTheme="minorEastAsia" w:cstheme="minorEastAsia"/>
          <w:color w:val="auto"/>
          <w:sz w:val="24"/>
          <w:szCs w:val="24"/>
          <w:highlight w:val="none"/>
          <w:shd w:val="clear" w:color="auto" w:fill="auto"/>
        </w:rPr>
        <w:t>、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532822F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26.3.10</w:t>
      </w:r>
      <w:r>
        <w:rPr>
          <w:rFonts w:hint="eastAsia" w:asciiTheme="minorEastAsia" w:hAnsiTheme="minorEastAsia" w:eastAsiaTheme="minorEastAsia" w:cstheme="minorEastAsia"/>
          <w:color w:val="auto"/>
          <w:sz w:val="24"/>
          <w:szCs w:val="24"/>
          <w:highlight w:val="none"/>
          <w:shd w:val="clear" w:color="auto" w:fill="auto"/>
          <w:lang w:val="en-US" w:eastAsia="zh-CN"/>
        </w:rPr>
        <w:t>供应商</w:t>
      </w:r>
      <w:r>
        <w:rPr>
          <w:rFonts w:hint="eastAsia" w:asciiTheme="minorEastAsia" w:hAnsiTheme="minorEastAsia" w:eastAsiaTheme="minorEastAsia" w:cstheme="minorEastAsia"/>
          <w:color w:val="auto"/>
          <w:sz w:val="24"/>
          <w:szCs w:val="24"/>
          <w:highlight w:val="none"/>
          <w:shd w:val="clear" w:color="auto" w:fill="auto"/>
        </w:rPr>
        <w:t>不能证明其报价合理性的，</w:t>
      </w:r>
      <w:r>
        <w:rPr>
          <w:rFonts w:hint="eastAsia" w:asciiTheme="minorEastAsia" w:hAnsiTheme="minorEastAsia" w:eastAsiaTheme="minorEastAsia" w:cstheme="minorEastAsia"/>
          <w:color w:val="auto"/>
          <w:sz w:val="24"/>
          <w:szCs w:val="24"/>
          <w:highlight w:val="none"/>
          <w:shd w:val="clear" w:color="auto" w:fill="auto"/>
          <w:lang w:val="en-US" w:eastAsia="zh-CN"/>
        </w:rPr>
        <w:t>谈判小组</w:t>
      </w:r>
      <w:r>
        <w:rPr>
          <w:rFonts w:hint="eastAsia" w:asciiTheme="minorEastAsia" w:hAnsiTheme="minorEastAsia" w:eastAsiaTheme="minorEastAsia" w:cstheme="minorEastAsia"/>
          <w:color w:val="auto"/>
          <w:sz w:val="24"/>
          <w:szCs w:val="24"/>
          <w:highlight w:val="none"/>
          <w:shd w:val="clear" w:color="auto" w:fill="auto"/>
        </w:rPr>
        <w:t>应当将其作为无效</w:t>
      </w:r>
      <w:r>
        <w:rPr>
          <w:rFonts w:hint="eastAsia" w:asciiTheme="minorEastAsia" w:hAnsiTheme="minorEastAsia" w:eastAsiaTheme="minorEastAsia" w:cstheme="minorEastAsia"/>
          <w:color w:val="auto"/>
          <w:sz w:val="24"/>
          <w:szCs w:val="24"/>
          <w:highlight w:val="none"/>
          <w:shd w:val="clear" w:color="auto" w:fill="auto"/>
          <w:lang w:val="en-US" w:eastAsia="zh-CN"/>
        </w:rPr>
        <w:t>响应</w:t>
      </w:r>
      <w:r>
        <w:rPr>
          <w:rFonts w:hint="eastAsia" w:asciiTheme="minorEastAsia" w:hAnsiTheme="minorEastAsia" w:eastAsiaTheme="minorEastAsia" w:cstheme="minorEastAsia"/>
          <w:color w:val="auto"/>
          <w:sz w:val="24"/>
          <w:szCs w:val="24"/>
          <w:highlight w:val="none"/>
          <w:shd w:val="clear" w:color="auto" w:fill="auto"/>
        </w:rPr>
        <w:t>处理。</w:t>
      </w:r>
    </w:p>
    <w:p w14:paraId="51721DDE">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b/>
          <w:bCs/>
          <w:color w:val="auto"/>
          <w:sz w:val="24"/>
          <w:szCs w:val="24"/>
          <w:highlight w:val="none"/>
          <w:shd w:val="clear" w:color="auto" w:fill="auto"/>
          <w:lang w:val="en-US" w:eastAsia="zh-CN"/>
        </w:rPr>
      </w:pPr>
      <w:r>
        <w:rPr>
          <w:rFonts w:hint="eastAsia" w:asciiTheme="minorEastAsia" w:hAnsiTheme="minorEastAsia" w:eastAsiaTheme="minorEastAsia" w:cstheme="minorEastAsia"/>
          <w:b/>
          <w:bCs/>
          <w:color w:val="auto"/>
          <w:sz w:val="24"/>
          <w:szCs w:val="24"/>
          <w:highlight w:val="none"/>
          <w:shd w:val="clear" w:color="auto" w:fill="auto"/>
          <w:lang w:val="en-US" w:eastAsia="zh-CN"/>
        </w:rPr>
        <w:t>（一）评审过程中出现下列情形之一的，谈判小组应当启动异常低价响应审查程序：</w:t>
      </w:r>
    </w:p>
    <w:p w14:paraId="029D404A">
      <w:pPr>
        <w:pStyle w:val="33"/>
        <w:pageBreakBefore w:val="0"/>
        <w:widowControl w:val="0"/>
        <w:kinsoku/>
        <w:wordWrap/>
        <w:overflowPunct/>
        <w:topLinePunct w:val="0"/>
        <w:autoSpaceDE/>
        <w:autoSpaceDN/>
        <w:bidi w:val="0"/>
        <w:adjustRightInd/>
        <w:snapToGrid/>
        <w:spacing w:beforeAutospacing="0" w:afterAutospacing="0" w:line="500" w:lineRule="exact"/>
        <w:ind w:left="0" w:right="0" w:firstLine="480"/>
        <w:jc w:val="both"/>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33"/>
        <w:pageBreakBefore w:val="0"/>
        <w:widowControl w:val="0"/>
        <w:kinsoku/>
        <w:wordWrap/>
        <w:overflowPunct/>
        <w:topLinePunct w:val="0"/>
        <w:autoSpaceDE/>
        <w:autoSpaceDN/>
        <w:bidi w:val="0"/>
        <w:adjustRightInd/>
        <w:snapToGrid/>
        <w:spacing w:beforeAutospacing="0" w:afterAutospacing="0" w:line="500" w:lineRule="exact"/>
        <w:ind w:left="0" w:right="0" w:firstLine="480"/>
        <w:jc w:val="both"/>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33"/>
        <w:pageBreakBefore w:val="0"/>
        <w:widowControl w:val="0"/>
        <w:kinsoku/>
        <w:wordWrap/>
        <w:overflowPunct/>
        <w:topLinePunct w:val="0"/>
        <w:autoSpaceDE/>
        <w:autoSpaceDN/>
        <w:bidi w:val="0"/>
        <w:adjustRightInd/>
        <w:snapToGrid/>
        <w:spacing w:beforeAutospacing="0" w:afterAutospacing="0" w:line="500" w:lineRule="exact"/>
        <w:ind w:left="0" w:right="0" w:firstLine="480"/>
        <w:jc w:val="both"/>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3.投标（响应）报价低于采购项目最高限价45%的，即投标（响应）报价&lt;采购项目最高限价×45%；</w:t>
      </w:r>
    </w:p>
    <w:p w14:paraId="6B93ED46">
      <w:pPr>
        <w:pStyle w:val="33"/>
        <w:pageBreakBefore w:val="0"/>
        <w:widowControl w:val="0"/>
        <w:kinsoku/>
        <w:wordWrap/>
        <w:overflowPunct/>
        <w:topLinePunct w:val="0"/>
        <w:autoSpaceDE/>
        <w:autoSpaceDN/>
        <w:bidi w:val="0"/>
        <w:adjustRightInd/>
        <w:snapToGrid/>
        <w:spacing w:beforeAutospacing="0" w:afterAutospacing="0" w:line="500" w:lineRule="exact"/>
        <w:ind w:left="0" w:right="0" w:firstLine="480"/>
        <w:jc w:val="both"/>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4.评审委员会基于专业判断，认为供应商报价过低，有可能影响产品质量或者不能诚信履约的其他情形。</w:t>
      </w:r>
    </w:p>
    <w:p w14:paraId="4BE739D2">
      <w:pPr>
        <w:pStyle w:val="33"/>
        <w:pageBreakBefore w:val="0"/>
        <w:widowControl w:val="0"/>
        <w:kinsoku/>
        <w:wordWrap/>
        <w:overflowPunct/>
        <w:topLinePunct w:val="0"/>
        <w:autoSpaceDE/>
        <w:autoSpaceDN/>
        <w:bidi w:val="0"/>
        <w:adjustRightInd/>
        <w:snapToGrid/>
        <w:spacing w:beforeAutospacing="0" w:afterAutospacing="0" w:line="500" w:lineRule="exact"/>
        <w:ind w:left="0" w:right="0" w:firstLine="480"/>
        <w:jc w:val="both"/>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Theme="minorEastAsia" w:hAnsiTheme="minorEastAsia" w:eastAsiaTheme="minorEastAsia" w:cstheme="minorEastAsia"/>
          <w:b/>
          <w:bCs/>
          <w:color w:val="auto"/>
          <w:sz w:val="24"/>
          <w:szCs w:val="24"/>
          <w:highlight w:val="none"/>
          <w:lang w:val="en-US" w:eastAsia="zh-CN" w:bidi="ar-SA"/>
        </w:rPr>
        <w:t>。</w:t>
      </w:r>
    </w:p>
    <w:p w14:paraId="6E14DBF3">
      <w:pPr>
        <w:pStyle w:val="33"/>
        <w:pageBreakBefore w:val="0"/>
        <w:widowControl w:val="0"/>
        <w:kinsoku/>
        <w:wordWrap/>
        <w:overflowPunct/>
        <w:topLinePunct w:val="0"/>
        <w:autoSpaceDE/>
        <w:autoSpaceDN/>
        <w:bidi w:val="0"/>
        <w:adjustRightInd/>
        <w:snapToGrid/>
        <w:spacing w:beforeAutospacing="0" w:afterAutospacing="0" w:line="500" w:lineRule="exact"/>
        <w:ind w:left="0" w:right="0" w:firstLine="480"/>
        <w:jc w:val="both"/>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相关法律法规对供应商报价有规定的，从其规定。</w:t>
      </w:r>
    </w:p>
    <w:p w14:paraId="209516AE">
      <w:pPr>
        <w:pStyle w:val="33"/>
        <w:pageBreakBefore w:val="0"/>
        <w:widowControl w:val="0"/>
        <w:kinsoku/>
        <w:wordWrap/>
        <w:overflowPunct/>
        <w:topLinePunct w:val="0"/>
        <w:autoSpaceDE/>
        <w:autoSpaceDN/>
        <w:bidi w:val="0"/>
        <w:adjustRightInd/>
        <w:snapToGrid/>
        <w:spacing w:beforeAutospacing="0" w:afterAutospacing="0" w:line="500" w:lineRule="exact"/>
        <w:ind w:left="0" w:right="0" w:firstLine="480"/>
        <w:jc w:val="both"/>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33"/>
        <w:pageBreakBefore w:val="0"/>
        <w:widowControl w:val="0"/>
        <w:kinsoku/>
        <w:wordWrap/>
        <w:overflowPunct/>
        <w:topLinePunct w:val="0"/>
        <w:autoSpaceDE/>
        <w:autoSpaceDN/>
        <w:bidi w:val="0"/>
        <w:adjustRightInd/>
        <w:snapToGrid/>
        <w:spacing w:beforeAutospacing="0" w:afterAutospacing="0" w:line="500" w:lineRule="exact"/>
        <w:ind w:left="0" w:right="0" w:firstLine="480"/>
        <w:jc w:val="both"/>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33"/>
        <w:pageBreakBefore w:val="0"/>
        <w:widowControl w:val="0"/>
        <w:kinsoku/>
        <w:wordWrap/>
        <w:overflowPunct/>
        <w:topLinePunct w:val="0"/>
        <w:autoSpaceDE/>
        <w:autoSpaceDN/>
        <w:bidi w:val="0"/>
        <w:adjustRightInd/>
        <w:snapToGrid/>
        <w:spacing w:beforeAutospacing="0" w:afterAutospacing="0" w:line="500" w:lineRule="exact"/>
        <w:ind w:left="0" w:right="0" w:firstLine="480"/>
        <w:jc w:val="both"/>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33"/>
        <w:pageBreakBefore w:val="0"/>
        <w:widowControl w:val="0"/>
        <w:kinsoku/>
        <w:wordWrap/>
        <w:overflowPunct/>
        <w:topLinePunct w:val="0"/>
        <w:autoSpaceDE/>
        <w:autoSpaceDN/>
        <w:bidi w:val="0"/>
        <w:adjustRightInd/>
        <w:snapToGrid/>
        <w:spacing w:beforeAutospacing="0" w:afterAutospacing="0" w:line="500" w:lineRule="exact"/>
        <w:ind w:left="0" w:right="0" w:firstLine="480"/>
        <w:jc w:val="both"/>
        <w:textAlignment w:val="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590A1893">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26.3.1</w:t>
      </w:r>
      <w:r>
        <w:rPr>
          <w:rFonts w:hint="eastAsia" w:asciiTheme="minorEastAsia" w:hAnsiTheme="minorEastAsia" w:eastAsiaTheme="minorEastAsia" w:cstheme="minorEastAsia"/>
          <w:color w:val="auto"/>
          <w:sz w:val="24"/>
          <w:szCs w:val="24"/>
          <w:highlight w:val="none"/>
          <w:shd w:val="clear" w:color="auto" w:fill="auto"/>
          <w:lang w:val="en-US" w:eastAsia="zh-CN"/>
        </w:rPr>
        <w:t>1</w:t>
      </w:r>
      <w:r>
        <w:rPr>
          <w:rFonts w:hint="eastAsia" w:asciiTheme="minorEastAsia" w:hAnsiTheme="minorEastAsia" w:eastAsiaTheme="minorEastAsia" w:cstheme="minorEastAsia"/>
          <w:color w:val="auto"/>
          <w:sz w:val="24"/>
          <w:szCs w:val="24"/>
          <w:highlight w:val="none"/>
          <w:shd w:val="clear" w:color="auto" w:fill="auto"/>
        </w:rPr>
        <w:t>响应文件未按照谈判文件要求加盖CA电子公章的。</w:t>
      </w:r>
    </w:p>
    <w:p w14:paraId="266D1D17">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26.4未实质性响应谈判文件的响应文件按无效响应处理。</w:t>
      </w:r>
    </w:p>
    <w:p w14:paraId="1CC5959C">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26.5如果响应文件实质上没有响应谈判文件的要求，谈判小组将予以拒绝，供应商不得通过修改或撤销</w:t>
      </w:r>
      <w:r>
        <w:rPr>
          <w:rFonts w:hint="eastAsia" w:asciiTheme="minorEastAsia" w:hAnsiTheme="minorEastAsia" w:eastAsiaTheme="minorEastAsia" w:cstheme="minorEastAsia"/>
          <w:color w:val="auto"/>
          <w:sz w:val="24"/>
          <w:szCs w:val="24"/>
          <w:highlight w:val="none"/>
          <w:shd w:val="clear" w:color="auto" w:fill="auto"/>
          <w:lang w:eastAsia="zh-CN"/>
        </w:rPr>
        <w:t>不符</w:t>
      </w:r>
      <w:r>
        <w:rPr>
          <w:rFonts w:hint="eastAsia" w:asciiTheme="minorEastAsia" w:hAnsiTheme="minorEastAsia" w:eastAsiaTheme="minorEastAsia" w:cstheme="minorEastAsia"/>
          <w:color w:val="auto"/>
          <w:sz w:val="24"/>
          <w:szCs w:val="24"/>
          <w:highlight w:val="none"/>
          <w:shd w:val="clear" w:color="auto" w:fill="auto"/>
        </w:rPr>
        <w:t>合要求的偏离或保留而使其成为实质性响应的文件。</w:t>
      </w:r>
    </w:p>
    <w:p w14:paraId="2F7B2917">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90" w:name="_Toc513029234"/>
      <w:bookmarkStart w:id="91" w:name="_Toc20823306"/>
      <w:bookmarkStart w:id="92" w:name="_Toc16938550"/>
      <w:r>
        <w:rPr>
          <w:rFonts w:hint="eastAsia" w:asciiTheme="minorEastAsia" w:hAnsiTheme="minorEastAsia" w:eastAsiaTheme="minorEastAsia" w:cstheme="minorEastAsia"/>
          <w:color w:val="auto"/>
          <w:sz w:val="24"/>
          <w:szCs w:val="24"/>
          <w:highlight w:val="none"/>
          <w:shd w:val="clear" w:color="auto" w:fill="auto"/>
        </w:rPr>
        <w:t>26.6供应商在项目评审全过程中应</w:t>
      </w:r>
      <w:r>
        <w:rPr>
          <w:rFonts w:hint="eastAsia" w:asciiTheme="minorEastAsia" w:hAnsiTheme="minorEastAsia" w:eastAsiaTheme="minorEastAsia" w:cstheme="minorEastAsia"/>
          <w:color w:val="auto"/>
          <w:sz w:val="24"/>
          <w:szCs w:val="24"/>
          <w:highlight w:val="none"/>
          <w:shd w:val="clear" w:color="auto" w:fill="auto"/>
          <w:lang w:eastAsia="zh-CN"/>
        </w:rPr>
        <w:t>保持通信畅通</w:t>
      </w:r>
      <w:r>
        <w:rPr>
          <w:rFonts w:hint="eastAsia" w:asciiTheme="minorEastAsia" w:hAnsiTheme="minorEastAsia" w:eastAsiaTheme="minorEastAsia" w:cstheme="minorEastAsia"/>
          <w:color w:val="auto"/>
          <w:sz w:val="24"/>
          <w:szCs w:val="24"/>
          <w:highlight w:val="none"/>
          <w:shd w:val="clear" w:color="auto" w:fill="auto"/>
        </w:rPr>
        <w:t>，并安排专人与</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及谈判小组联系。</w:t>
      </w:r>
      <w:bookmarkEnd w:id="90"/>
      <w:bookmarkEnd w:id="91"/>
      <w:bookmarkEnd w:id="92"/>
    </w:p>
    <w:p w14:paraId="04F1C3BF">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27、谈判程序及成交原则</w:t>
      </w:r>
    </w:p>
    <w:p w14:paraId="02C496AE">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478"/>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27.1谈判程序</w:t>
      </w:r>
    </w:p>
    <w:p w14:paraId="1A8388B0">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478"/>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27.1.1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63758A28">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478"/>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6D581E3E">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478"/>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1FA5FE9D">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478"/>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0DAD40F4">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478"/>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p>
    <w:p w14:paraId="43A61A2A">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478"/>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27.2 成交原则</w:t>
      </w:r>
    </w:p>
    <w:p w14:paraId="1400E317">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27.2.1谈判小组将从质量和服务均能满足</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sz w:val="24"/>
          <w:szCs w:val="24"/>
          <w:highlight w:val="none"/>
          <w:shd w:val="clear" w:color="auto" w:fill="auto"/>
        </w:rPr>
        <w:t>文件实质性响应要求的供应商中，按照最后报价由低到高顺序推荐3名成交候选供应商，并编写评审报告。采购人从评审报告提出的成交候选供应商中，根据质量和服务均能满足</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sz w:val="24"/>
          <w:szCs w:val="24"/>
          <w:highlight w:val="none"/>
          <w:shd w:val="clear" w:color="auto" w:fill="auto"/>
        </w:rPr>
        <w:t>文件实质性响应要求且最后报价最低的原则确定成交供应商。</w:t>
      </w:r>
    </w:p>
    <w:p w14:paraId="07349FE6">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3922A4F4">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27.2.3 供应商的最后报价如相同，则优先采购 “环境标志产品”或“节能产品”；若均非“环境标志产品</w:t>
      </w:r>
      <w:r>
        <w:rPr>
          <w:rFonts w:hint="eastAsia" w:asciiTheme="minorEastAsia" w:hAnsiTheme="minorEastAsia" w:eastAsiaTheme="minorEastAsia" w:cstheme="minorEastAsia"/>
          <w:color w:val="auto"/>
          <w:sz w:val="24"/>
          <w:szCs w:val="24"/>
          <w:highlight w:val="none"/>
          <w:shd w:val="clear" w:color="auto" w:fill="auto"/>
          <w:lang w:eastAsia="zh-CN"/>
        </w:rPr>
        <w:t>”“</w:t>
      </w:r>
      <w:r>
        <w:rPr>
          <w:rFonts w:hint="eastAsia" w:asciiTheme="minorEastAsia" w:hAnsiTheme="minorEastAsia" w:eastAsiaTheme="minorEastAsia" w:cstheme="minorEastAsia"/>
          <w:color w:val="auto"/>
          <w:sz w:val="24"/>
          <w:szCs w:val="24"/>
          <w:highlight w:val="none"/>
          <w:shd w:val="clear" w:color="auto" w:fill="auto"/>
        </w:rPr>
        <w:t>节能产品”，则将优先采购交货期短者。环境标志产品是指列入财政部、环境保护部最新公布的《环境标志产品品目清单》内的产品；节能产品是指列入财政部、</w:t>
      </w:r>
      <w:r>
        <w:rPr>
          <w:rFonts w:hint="eastAsia" w:asciiTheme="minorEastAsia" w:hAnsiTheme="minorEastAsia" w:eastAsiaTheme="minorEastAsia" w:cstheme="minorEastAsia"/>
          <w:color w:val="auto"/>
          <w:sz w:val="24"/>
          <w:szCs w:val="24"/>
          <w:highlight w:val="none"/>
          <w:shd w:val="clear" w:color="auto" w:fill="auto"/>
          <w:lang w:eastAsia="zh-CN"/>
        </w:rPr>
        <w:t>国家发展改革委</w:t>
      </w:r>
      <w:r>
        <w:rPr>
          <w:rFonts w:hint="eastAsia" w:asciiTheme="minorEastAsia" w:hAnsiTheme="minorEastAsia" w:eastAsiaTheme="minorEastAsia" w:cstheme="minorEastAsia"/>
          <w:color w:val="auto"/>
          <w:sz w:val="24"/>
          <w:szCs w:val="24"/>
          <w:highlight w:val="none"/>
          <w:shd w:val="clear" w:color="auto" w:fill="auto"/>
        </w:rPr>
        <w:t>最新公布的《节能产品品目清单》内的产品。</w:t>
      </w:r>
    </w:p>
    <w:p w14:paraId="3CC88A26">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27.2.4 采购人确定成交供应商后，</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将在</w:t>
      </w: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val="en-US" w:eastAsia="zh-CN"/>
        </w:rPr>
        <w:t>“中国政府采购网”“</w:t>
      </w:r>
      <w:r>
        <w:rPr>
          <w:rFonts w:hint="eastAsia" w:asciiTheme="minorEastAsia" w:hAnsiTheme="minorEastAsia" w:eastAsiaTheme="minorEastAsia" w:cstheme="minorEastAsia"/>
          <w:color w:val="auto"/>
          <w:sz w:val="24"/>
          <w:szCs w:val="24"/>
          <w:highlight w:val="none"/>
          <w:shd w:val="clear" w:color="auto" w:fill="auto"/>
        </w:rPr>
        <w:t>江苏政府采购网</w:t>
      </w:r>
      <w:r>
        <w:rPr>
          <w:rFonts w:hint="eastAsia" w:asciiTheme="minorEastAsia" w:hAnsiTheme="minorEastAsia" w:eastAsiaTheme="minorEastAsia" w:cstheme="minorEastAsia"/>
          <w:color w:val="auto"/>
          <w:sz w:val="24"/>
          <w:szCs w:val="24"/>
          <w:highlight w:val="none"/>
          <w:shd w:val="clear" w:color="auto" w:fill="auto"/>
          <w:lang w:eastAsia="zh-CN"/>
        </w:rPr>
        <w:t>”“</w:t>
      </w:r>
      <w:r>
        <w:rPr>
          <w:rFonts w:hint="eastAsia" w:asciiTheme="minorEastAsia" w:hAnsiTheme="minorEastAsia" w:eastAsiaTheme="minorEastAsia" w:cstheme="minorEastAsia"/>
          <w:color w:val="auto"/>
          <w:sz w:val="24"/>
          <w:szCs w:val="24"/>
          <w:highlight w:val="none"/>
          <w:shd w:val="clear" w:color="auto" w:fill="auto"/>
        </w:rPr>
        <w:t>盐城市政府采购网”发布成交结果公告，公告期限为1个工作日。</w:t>
      </w:r>
    </w:p>
    <w:p w14:paraId="528860FB">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478"/>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采购活动终止的情况</w:t>
      </w:r>
    </w:p>
    <w:p w14:paraId="260054B9">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出现下列情形之一的，本次竞争性谈判采购活动将被终止：</w:t>
      </w:r>
    </w:p>
    <w:p w14:paraId="5C6759E4">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.1因情况变化，不再符合规定的竞争性谈判采购方式适用情形的。</w:t>
      </w:r>
    </w:p>
    <w:p w14:paraId="0E8DF52A">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.2出现影响采购公正的违法、违规行为的。</w:t>
      </w:r>
    </w:p>
    <w:p w14:paraId="1923AA93">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.3在采购过程中符合要求的供应商或者最后报价未超过采购预算的供应商不足3家的。</w:t>
      </w:r>
    </w:p>
    <w:p w14:paraId="0AC0740E">
      <w:pPr>
        <w:pStyle w:val="33"/>
        <w:pageBreakBefore w:val="0"/>
        <w:widowControl w:val="0"/>
        <w:tabs>
          <w:tab w:val="left" w:pos="901"/>
        </w:tabs>
        <w:kinsoku/>
        <w:wordWrap/>
        <w:overflowPunct/>
        <w:topLinePunct w:val="0"/>
        <w:autoSpaceDE/>
        <w:autoSpaceDN/>
        <w:bidi w:val="0"/>
        <w:adjustRightInd/>
        <w:snapToGrid/>
        <w:spacing w:beforeAutospacing="0" w:afterAutospacing="0" w:line="500" w:lineRule="exact"/>
        <w:ind w:left="0" w:firstLine="36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27.3.4在苏采云系统规定时间内成功解密电子响应文件的供应商不足3家的。</w:t>
      </w:r>
    </w:p>
    <w:p w14:paraId="6BACB9B9">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28、成交供应商被取消成交资格情形</w:t>
      </w:r>
    </w:p>
    <w:p w14:paraId="61498196">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若有充分证据证明，成交供应商出现下列情况之一的，一经查实，将被取消成交资格：</w:t>
      </w:r>
    </w:p>
    <w:p w14:paraId="1F529B39">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28.1提供虚假材料谋取成交的。</w:t>
      </w:r>
    </w:p>
    <w:p w14:paraId="4F1D8A4C">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28.2与评审专家、采购人、其他供应商或者</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工作人员恶意串通的。</w:t>
      </w:r>
    </w:p>
    <w:p w14:paraId="7BF77660">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28.3向评审专家、采购人或</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工作人员行贿或者提供其他不正当利益的。</w:t>
      </w:r>
    </w:p>
    <w:p w14:paraId="20402A24">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28.4恶意竞争，最后报价明显低于其自身合理成本且又无法提供证明的。</w:t>
      </w:r>
    </w:p>
    <w:p w14:paraId="1E8A6C58">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28.5不满足本谈判文件规定的实质性要求，但在评审过程中又未被谈判小组发现的。</w:t>
      </w:r>
    </w:p>
    <w:p w14:paraId="0C19BD83">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28.6成交后无正当理由拒不与采购人签订政府采购合同或者未按照谈判文件确定的事项签订政府采购合同</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sz w:val="24"/>
          <w:szCs w:val="24"/>
          <w:highlight w:val="none"/>
          <w:shd w:val="clear" w:color="auto" w:fill="auto"/>
        </w:rPr>
        <w:t>文件的。</w:t>
      </w:r>
    </w:p>
    <w:p w14:paraId="0ACF675C">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28.7将政府采购合同转包的。</w:t>
      </w:r>
    </w:p>
    <w:p w14:paraId="51C496C1">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6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93" w:name="_Toc200451960"/>
      <w:r>
        <w:rPr>
          <w:rFonts w:hint="eastAsia" w:asciiTheme="minorEastAsia" w:hAnsiTheme="minorEastAsia" w:eastAsiaTheme="minorEastAsia" w:cstheme="minorEastAsia"/>
          <w:color w:val="auto"/>
          <w:sz w:val="24"/>
          <w:szCs w:val="24"/>
          <w:highlight w:val="none"/>
          <w:shd w:val="clear" w:color="auto" w:fill="auto"/>
        </w:rPr>
        <w:t>29、质疑处理</w:t>
      </w:r>
      <w:bookmarkEnd w:id="93"/>
    </w:p>
    <w:p w14:paraId="72A89900">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29.1 提出质疑的供应商应当是参与所质疑项目采购活动的供应商。潜在供应商依法获取其可质疑</w:t>
      </w:r>
      <w:r>
        <w:rPr>
          <w:rFonts w:hint="eastAsia" w:asciiTheme="minorEastAsia" w:hAnsiTheme="minorEastAsia" w:eastAsiaTheme="minorEastAsia" w:cstheme="minorEastAsia"/>
          <w:color w:val="auto"/>
          <w:sz w:val="24"/>
          <w:szCs w:val="24"/>
          <w:highlight w:val="none"/>
          <w:shd w:val="clear" w:color="auto" w:fill="auto"/>
          <w:lang w:eastAsia="zh-CN"/>
        </w:rPr>
        <w:t>的</w:t>
      </w:r>
      <w:r>
        <w:rPr>
          <w:rFonts w:hint="eastAsia" w:asciiTheme="minorEastAsia" w:hAnsiTheme="minorEastAsia" w:eastAsiaTheme="minorEastAsia" w:cstheme="minorEastAsia"/>
          <w:color w:val="auto"/>
          <w:sz w:val="24"/>
          <w:szCs w:val="24"/>
          <w:highlight w:val="none"/>
          <w:shd w:val="clear" w:color="auto" w:fill="auto"/>
        </w:rPr>
        <w:t>，可以对</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sz w:val="24"/>
          <w:szCs w:val="24"/>
          <w:highlight w:val="none"/>
          <w:shd w:val="clear" w:color="auto" w:fill="auto"/>
        </w:rPr>
        <w:t>文件提出质疑。</w:t>
      </w:r>
    </w:p>
    <w:p w14:paraId="78AE3256">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29.2供应商认为</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sz w:val="24"/>
          <w:szCs w:val="24"/>
          <w:highlight w:val="none"/>
          <w:shd w:val="clear" w:color="auto" w:fill="auto"/>
        </w:rPr>
        <w:t>文件、</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sz w:val="24"/>
          <w:szCs w:val="24"/>
          <w:highlight w:val="none"/>
          <w:shd w:val="clear" w:color="auto" w:fill="auto"/>
        </w:rPr>
        <w:t>过程和</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sz w:val="24"/>
          <w:szCs w:val="24"/>
          <w:highlight w:val="none"/>
          <w:shd w:val="clear" w:color="auto" w:fill="auto"/>
        </w:rPr>
        <w:t>结果使自己的权益受到损害的，可以在知道或应知其权益受到损害之日起七个工作日内，以书面形式根据下述29.4条款的规定向</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或采购人提出质疑。上述应知其权益受到损害之日，是指：</w:t>
      </w:r>
    </w:p>
    <w:p w14:paraId="30A5F446">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left"/>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29.2.1对可以质疑的</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sz w:val="24"/>
          <w:szCs w:val="24"/>
          <w:highlight w:val="none"/>
          <w:shd w:val="clear" w:color="auto" w:fill="auto"/>
        </w:rPr>
        <w:t>文件提出质疑的，为收到</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sz w:val="24"/>
          <w:szCs w:val="24"/>
          <w:highlight w:val="none"/>
          <w:shd w:val="clear" w:color="auto" w:fill="auto"/>
        </w:rPr>
        <w:t>文件之日或者</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sz w:val="24"/>
          <w:szCs w:val="24"/>
          <w:highlight w:val="none"/>
          <w:shd w:val="clear" w:color="auto" w:fill="auto"/>
        </w:rPr>
        <w:t>文件公告期限届满之日。</w:t>
      </w:r>
      <w:r>
        <w:rPr>
          <w:rFonts w:hint="eastAsia" w:asciiTheme="minorEastAsia" w:hAnsiTheme="minorEastAsia" w:eastAsiaTheme="minorEastAsia" w:cstheme="minorEastAsia"/>
          <w:color w:val="auto"/>
          <w:sz w:val="24"/>
          <w:szCs w:val="24"/>
          <w:highlight w:val="none"/>
          <w:shd w:val="clear" w:color="auto" w:fill="auto"/>
        </w:rPr>
        <w:br w:type="textWrapping"/>
      </w:r>
      <w:r>
        <w:rPr>
          <w:rFonts w:hint="eastAsia" w:asciiTheme="minorEastAsia" w:hAnsiTheme="minorEastAsia" w:eastAsiaTheme="minorEastAsia" w:cstheme="minorEastAsia"/>
          <w:color w:val="auto"/>
          <w:sz w:val="24"/>
          <w:szCs w:val="24"/>
          <w:highlight w:val="none"/>
          <w:shd w:val="clear" w:color="auto" w:fill="auto"/>
        </w:rPr>
        <w:t>   29.2.2对采购过程提出质疑的，为各采购程序环节结束之日。</w:t>
      </w:r>
      <w:r>
        <w:rPr>
          <w:rFonts w:hint="eastAsia" w:asciiTheme="minorEastAsia" w:hAnsiTheme="minorEastAsia" w:eastAsiaTheme="minorEastAsia" w:cstheme="minorEastAsia"/>
          <w:color w:val="auto"/>
          <w:sz w:val="24"/>
          <w:szCs w:val="24"/>
          <w:highlight w:val="none"/>
          <w:shd w:val="clear" w:color="auto" w:fill="auto"/>
        </w:rPr>
        <w:br w:type="textWrapping"/>
      </w:r>
      <w:r>
        <w:rPr>
          <w:rFonts w:hint="eastAsia" w:asciiTheme="minorEastAsia" w:hAnsiTheme="minorEastAsia" w:eastAsiaTheme="minorEastAsia" w:cstheme="minorEastAsia"/>
          <w:color w:val="auto"/>
          <w:sz w:val="24"/>
          <w:szCs w:val="24"/>
          <w:highlight w:val="none"/>
          <w:shd w:val="clear" w:color="auto" w:fill="auto"/>
        </w:rPr>
        <w:t>   29.2.3对成交结果提出质疑的，为成交结果公告期限届满之日。</w:t>
      </w:r>
    </w:p>
    <w:p w14:paraId="315230B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供应商应当在法定质疑期内一次性提出针对同一采购程序环节的质疑。供应商如在法定期限内对同一采购程序环节提出多次质疑的，</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、采购人将只对供应商第一次质疑作出答复。</w:t>
      </w:r>
    </w:p>
    <w:p w14:paraId="64525FBC">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29.3质疑函必须按照本谈判文件中《质疑函范本》要求的格式和内容进行填写。供应商如组成联合体参加谈判，则《质疑函范本》中要求签字、盖章、加盖公章之处，联合体各方均须按要求签字、盖章、加盖公章。</w:t>
      </w:r>
    </w:p>
    <w:p w14:paraId="6D2FE004">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2"/>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29.4 供应商（含潜在供应商）对采购方式、采购需求、供应商资格条件、评审方法与评审标准、合同文本的询问、质疑请向采购人提出，由采购人负责答复。供应商对其他事项的询问、质疑请向</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提出，由</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负责答复。</w:t>
      </w:r>
    </w:p>
    <w:p w14:paraId="76D53226">
      <w:pPr>
        <w:pageBreakBefore w:val="0"/>
        <w:widowControl w:val="0"/>
        <w:tabs>
          <w:tab w:val="left" w:pos="1331"/>
        </w:tabs>
        <w:kinsoku/>
        <w:wordWrap/>
        <w:overflowPunct/>
        <w:topLinePunct w:val="0"/>
        <w:autoSpaceDE/>
        <w:autoSpaceDN/>
        <w:bidi w:val="0"/>
        <w:adjustRightInd/>
        <w:snapToGrid/>
        <w:spacing w:line="500" w:lineRule="exact"/>
        <w:ind w:left="0" w:firstLine="480" w:firstLineChars="200"/>
        <w:jc w:val="left"/>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采购人及</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只接收以纸质原件形式送达的质疑,采购人和</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不接受未填写快递运单的快件。</w:t>
      </w:r>
    </w:p>
    <w:p w14:paraId="3CE53797">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 以下情形的质疑不予受理</w:t>
      </w:r>
    </w:p>
    <w:p w14:paraId="2FE6B05B">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29.5.1 内容不符合《政府采购质疑和投诉办法》第十二条规定的质疑。</w:t>
      </w:r>
    </w:p>
    <w:p w14:paraId="18525677">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29.5.2 超出政府采购法定期限的质疑。</w:t>
      </w:r>
    </w:p>
    <w:p w14:paraId="53A2A5F2">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29.5.3 以传真、电子邮件等方式递交的非原件形式的质疑。</w:t>
      </w:r>
    </w:p>
    <w:p w14:paraId="4E58EFC4">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29.5.4 未参加谈判活动的供应商或在谈判活动中自身权益未受到损害的供应商所提出的质疑。</w:t>
      </w:r>
    </w:p>
    <w:p w14:paraId="263EFCC8">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29.5.5供应商组成联合体参加谈判，联合体中任何一方或多方未按要求签字、盖章、加盖公章的质疑。</w:t>
      </w:r>
    </w:p>
    <w:p w14:paraId="41A0D641">
      <w:pPr>
        <w:pStyle w:val="33"/>
        <w:pageBreakBefore w:val="0"/>
        <w:widowControl w:val="0"/>
        <w:kinsoku/>
        <w:wordWrap/>
        <w:overflowPunct/>
        <w:topLinePunct w:val="0"/>
        <w:autoSpaceDE/>
        <w:autoSpaceDN/>
        <w:bidi w:val="0"/>
        <w:adjustRightInd/>
        <w:snapToGrid/>
        <w:spacing w:beforeAutospacing="0" w:afterAutospacing="0" w:line="500" w:lineRule="exact"/>
        <w:ind w:left="0" w:firstLine="468"/>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29.6  供应商提出书面质疑必须有理、有据，不得捏造事实、提供虚假材料进行恶意质疑。否则，一经查实，采购</w:t>
      </w:r>
      <w:r>
        <w:rPr>
          <w:rFonts w:hint="eastAsia" w:asciiTheme="minorEastAsia" w:hAnsiTheme="minorEastAsia" w:cstheme="minorEastAsia"/>
          <w:color w:val="auto"/>
          <w:sz w:val="24"/>
          <w:szCs w:val="24"/>
          <w:highlight w:val="none"/>
          <w:shd w:val="clear" w:color="auto" w:fill="auto"/>
          <w:lang w:val="en-US" w:eastAsia="zh-CN"/>
        </w:rPr>
        <w:t>人</w:t>
      </w:r>
      <w:r>
        <w:rPr>
          <w:rFonts w:hint="eastAsia" w:asciiTheme="minorEastAsia" w:hAnsiTheme="minorEastAsia" w:eastAsiaTheme="minorEastAsia" w:cstheme="minorEastAsia"/>
          <w:color w:val="auto"/>
          <w:sz w:val="24"/>
          <w:szCs w:val="24"/>
          <w:highlight w:val="none"/>
          <w:shd w:val="clear" w:color="auto" w:fill="auto"/>
        </w:rPr>
        <w:t>有权依据政府采购的有关规定，报请政府采购监管部门对该供应商进行相应的行政处罚和记录该供应商的失信信息。</w:t>
      </w:r>
    </w:p>
    <w:p w14:paraId="2D9AC989">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6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30、成交通知书</w:t>
      </w:r>
    </w:p>
    <w:p w14:paraId="2801CEA0">
      <w:pPr>
        <w:pStyle w:val="33"/>
        <w:pageBreakBefore w:val="0"/>
        <w:widowControl w:val="0"/>
        <w:kinsoku/>
        <w:wordWrap/>
        <w:overflowPunct/>
        <w:topLinePunct w:val="0"/>
        <w:autoSpaceDE/>
        <w:autoSpaceDN/>
        <w:bidi w:val="0"/>
        <w:adjustRightInd/>
        <w:snapToGrid/>
        <w:spacing w:beforeAutospacing="0" w:afterAutospacing="0" w:line="500" w:lineRule="exact"/>
        <w:ind w:left="0" w:firstLine="6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30.1成交结果确定后，</w:t>
      </w:r>
      <w:r>
        <w:rPr>
          <w:rFonts w:hint="eastAsia" w:asciiTheme="minorEastAsia" w:hAnsiTheme="minorEastAsia" w:cstheme="minorEastAsia"/>
          <w:color w:val="auto"/>
          <w:sz w:val="24"/>
          <w:szCs w:val="24"/>
          <w:highlight w:val="none"/>
          <w:shd w:val="clear" w:color="auto" w:fill="auto"/>
          <w:lang w:val="en-US" w:eastAsia="zh-CN"/>
        </w:rPr>
        <w:t>采购代理机构</w:t>
      </w:r>
      <w:r>
        <w:rPr>
          <w:rFonts w:hint="eastAsia" w:asciiTheme="minorEastAsia" w:hAnsiTheme="minorEastAsia" w:eastAsiaTheme="minorEastAsia" w:cstheme="minorEastAsia"/>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AFCA3FC">
      <w:pPr>
        <w:pStyle w:val="33"/>
        <w:pageBreakBefore w:val="0"/>
        <w:widowControl w:val="0"/>
        <w:kinsoku/>
        <w:wordWrap/>
        <w:overflowPunct/>
        <w:topLinePunct w:val="0"/>
        <w:autoSpaceDE/>
        <w:autoSpaceDN/>
        <w:bidi w:val="0"/>
        <w:adjustRightInd/>
        <w:snapToGrid/>
        <w:spacing w:beforeAutospacing="0" w:afterAutospacing="0" w:line="500" w:lineRule="exact"/>
        <w:ind w:left="0" w:firstLine="6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4FC2790C">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94" w:name="_Toc16938552"/>
      <w:bookmarkStart w:id="95" w:name="_Toc20823308"/>
      <w:bookmarkStart w:id="96" w:name="_Toc120614220"/>
      <w:bookmarkStart w:id="97" w:name="_Toc513029236"/>
      <w:r>
        <w:rPr>
          <w:rFonts w:hint="eastAsia" w:asciiTheme="minorEastAsia" w:hAnsiTheme="minorEastAsia" w:eastAsiaTheme="minorEastAsia" w:cstheme="minorEastAsia"/>
          <w:b/>
          <w:color w:val="auto"/>
          <w:sz w:val="24"/>
          <w:szCs w:val="24"/>
          <w:highlight w:val="none"/>
          <w:shd w:val="clear" w:color="auto" w:fill="auto"/>
        </w:rPr>
        <w:t>七、授予合同</w:t>
      </w:r>
      <w:bookmarkEnd w:id="94"/>
      <w:bookmarkEnd w:id="95"/>
      <w:bookmarkEnd w:id="96"/>
      <w:bookmarkEnd w:id="97"/>
    </w:p>
    <w:p w14:paraId="3AB1C586">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6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98" w:name="_Toc513029237"/>
      <w:bookmarkStart w:id="99" w:name="_Toc20823309"/>
      <w:bookmarkStart w:id="100" w:name="_Toc16938553"/>
      <w:r>
        <w:rPr>
          <w:rFonts w:hint="eastAsia" w:asciiTheme="minorEastAsia" w:hAnsiTheme="minorEastAsia" w:eastAsiaTheme="minorEastAsia" w:cstheme="minorEastAsia"/>
          <w:color w:val="auto"/>
          <w:sz w:val="24"/>
          <w:szCs w:val="24"/>
          <w:highlight w:val="none"/>
          <w:shd w:val="clear" w:color="auto" w:fill="auto"/>
        </w:rPr>
        <w:t>31. 签订合同</w:t>
      </w:r>
      <w:bookmarkEnd w:id="98"/>
      <w:bookmarkEnd w:id="99"/>
      <w:bookmarkEnd w:id="100"/>
    </w:p>
    <w:p w14:paraId="19165A83">
      <w:pPr>
        <w:pStyle w:val="33"/>
        <w:pageBreakBefore w:val="0"/>
        <w:widowControl w:val="0"/>
        <w:kinsoku/>
        <w:wordWrap/>
        <w:overflowPunct/>
        <w:topLinePunct w:val="0"/>
        <w:autoSpaceDE/>
        <w:autoSpaceDN/>
        <w:bidi w:val="0"/>
        <w:adjustRightInd/>
        <w:snapToGrid/>
        <w:spacing w:beforeAutospacing="0" w:afterAutospacing="0" w:line="500" w:lineRule="exact"/>
        <w:ind w:left="0" w:firstLine="6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31.</w:t>
      </w:r>
      <w:r>
        <w:rPr>
          <w:rFonts w:hint="eastAsia" w:asciiTheme="minorEastAsia" w:hAnsiTheme="minorEastAsia" w:cstheme="minorEastAsia"/>
          <w:color w:val="auto"/>
          <w:sz w:val="24"/>
          <w:szCs w:val="24"/>
          <w:highlight w:val="none"/>
          <w:shd w:val="clear" w:color="auto" w:fill="auto"/>
          <w:lang w:val="en-US" w:eastAsia="zh-CN"/>
        </w:rPr>
        <w:t>1</w:t>
      </w:r>
      <w:r>
        <w:rPr>
          <w:rFonts w:hint="eastAsia" w:asciiTheme="minorEastAsia" w:hAnsiTheme="minorEastAsia" w:eastAsiaTheme="minorEastAsia" w:cstheme="minorEastAsia"/>
          <w:color w:val="auto"/>
          <w:sz w:val="24"/>
          <w:szCs w:val="24"/>
          <w:highlight w:val="none"/>
          <w:shd w:val="clear" w:color="auto" w:fill="auto"/>
        </w:rPr>
        <w:t>成交供应商应当在成交通知书发出之日起三十日内，按照谈判文件确定的事项与采购人签订政府采购合同。</w:t>
      </w:r>
    </w:p>
    <w:p w14:paraId="797F2CCB">
      <w:pPr>
        <w:pStyle w:val="33"/>
        <w:pageBreakBefore w:val="0"/>
        <w:widowControl w:val="0"/>
        <w:kinsoku/>
        <w:wordWrap/>
        <w:overflowPunct/>
        <w:topLinePunct w:val="0"/>
        <w:autoSpaceDE/>
        <w:autoSpaceDN/>
        <w:bidi w:val="0"/>
        <w:adjustRightInd/>
        <w:snapToGrid/>
        <w:spacing w:beforeAutospacing="0" w:afterAutospacing="0" w:line="500" w:lineRule="exact"/>
        <w:ind w:left="0" w:firstLine="6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31.2谈判文件、成交供应商的响应文件及谈判过程中有关澄清、承诺文件均应作为合同附件。</w:t>
      </w:r>
    </w:p>
    <w:p w14:paraId="665C557F">
      <w:pPr>
        <w:pStyle w:val="33"/>
        <w:pageBreakBefore w:val="0"/>
        <w:widowControl w:val="0"/>
        <w:kinsoku/>
        <w:wordWrap/>
        <w:overflowPunct/>
        <w:topLinePunct w:val="0"/>
        <w:autoSpaceDE/>
        <w:autoSpaceDN/>
        <w:bidi w:val="0"/>
        <w:adjustRightInd/>
        <w:snapToGrid/>
        <w:spacing w:beforeAutospacing="0" w:afterAutospacing="0" w:line="500" w:lineRule="exact"/>
        <w:ind w:left="0" w:firstLine="6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31.3 签订合同后，</w:t>
      </w:r>
      <w:r>
        <w:rPr>
          <w:rFonts w:hint="eastAsia" w:asciiTheme="minorEastAsia" w:hAnsiTheme="minorEastAsia" w:eastAsiaTheme="minorEastAsia" w:cstheme="minorEastAsia"/>
          <w:i/>
          <w:color w:val="auto"/>
          <w:sz w:val="24"/>
          <w:szCs w:val="24"/>
          <w:highlight w:val="none"/>
          <w:u w:val="single"/>
          <w:shd w:val="clear" w:color="auto" w:fill="auto"/>
        </w:rPr>
        <w:t>成交供应商不得将合同标的进行转包</w:t>
      </w:r>
      <w:r>
        <w:rPr>
          <w:rFonts w:hint="eastAsia" w:asciiTheme="minorEastAsia" w:hAnsiTheme="minorEastAsia" w:eastAsiaTheme="minorEastAsia" w:cstheme="minorEastAsia"/>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4BF1EE6E">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6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32、标的物的追加</w:t>
      </w:r>
    </w:p>
    <w:p w14:paraId="442D57FA">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33"/>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left="0" w:leftChars="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33.政府采购政策功能落实</w:t>
      </w:r>
    </w:p>
    <w:p w14:paraId="3EA2C724">
      <w:pPr>
        <w:pStyle w:val="33"/>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lang w:val="en-US" w:eastAsia="zh-CN"/>
        </w:rPr>
        <w:t>33.1</w:t>
      </w:r>
      <w:r>
        <w:rPr>
          <w:rFonts w:hint="eastAsia" w:asciiTheme="minorEastAsia" w:hAnsiTheme="minorEastAsia" w:eastAsiaTheme="minorEastAsia" w:cstheme="minorEastAsia"/>
          <w:color w:val="auto"/>
          <w:sz w:val="24"/>
          <w:szCs w:val="24"/>
          <w:highlight w:val="none"/>
          <w:shd w:val="clear" w:color="auto" w:fill="auto"/>
        </w:rPr>
        <w:t>政府采购</w:t>
      </w:r>
      <w:r>
        <w:rPr>
          <w:rFonts w:hint="eastAsia" w:asciiTheme="minorEastAsia" w:hAnsiTheme="minorEastAsia" w:eastAsiaTheme="minorEastAsia" w:cstheme="minorEastAsia"/>
          <w:color w:val="auto"/>
          <w:sz w:val="24"/>
          <w:szCs w:val="24"/>
          <w:highlight w:val="none"/>
          <w:shd w:val="clear" w:color="auto" w:fill="auto"/>
          <w:lang w:eastAsia="zh-CN"/>
        </w:rPr>
        <w:t>线上合同信用融资</w:t>
      </w:r>
      <w:r>
        <w:rPr>
          <w:rFonts w:hint="eastAsia" w:asciiTheme="minorEastAsia" w:hAnsiTheme="minorEastAsia" w:eastAsiaTheme="minorEastAsia" w:cstheme="minorEastAsia"/>
          <w:color w:val="auto"/>
          <w:sz w:val="24"/>
          <w:szCs w:val="24"/>
          <w:highlight w:val="none"/>
          <w:shd w:val="clear" w:color="auto" w:fill="auto"/>
        </w:rPr>
        <w:t>政策</w:t>
      </w:r>
    </w:p>
    <w:p w14:paraId="7831DEFD">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inorEastAsia" w:hAnsiTheme="minorEastAsia" w:eastAsiaTheme="minorEastAsia" w:cstheme="minorEastAsia"/>
          <w:color w:val="auto"/>
          <w:sz w:val="24"/>
          <w:szCs w:val="24"/>
          <w:highlight w:val="none"/>
          <w:shd w:val="clear" w:color="auto" w:fill="auto"/>
          <w:lang w:val="en-US" w:eastAsia="zh-CN"/>
        </w:rPr>
        <w:t>江苏省</w:t>
      </w:r>
      <w:r>
        <w:rPr>
          <w:rFonts w:hint="eastAsia" w:asciiTheme="minorEastAsia" w:hAnsiTheme="minorEastAsia" w:eastAsiaTheme="minorEastAsia" w:cstheme="minorEastAsia"/>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500" w:lineRule="exact"/>
        <w:ind w:left="0" w:firstLine="482"/>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33.2进口产品</w:t>
      </w:r>
    </w:p>
    <w:p w14:paraId="5E25FDB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lang w:val="en-US" w:eastAsia="zh-CN"/>
        </w:rPr>
        <w:t>进口产品</w:t>
      </w:r>
      <w:r>
        <w:rPr>
          <w:rFonts w:hint="eastAsia" w:asciiTheme="minorEastAsia" w:hAnsiTheme="minorEastAsia" w:eastAsiaTheme="minorEastAsia" w:cstheme="minorEastAsia"/>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500" w:lineRule="exact"/>
        <w:ind w:left="0" w:firstLine="482"/>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.3.1中小企业定义：</w:t>
      </w:r>
    </w:p>
    <w:p w14:paraId="4C9CBD8E">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Theme="minorEastAsia" w:hAnsiTheme="minorEastAsia" w:eastAsiaTheme="minorEastAsia" w:cstheme="minorEastAsia"/>
          <w:color w:val="auto"/>
          <w:sz w:val="24"/>
          <w:szCs w:val="24"/>
          <w:highlight w:val="none"/>
          <w:shd w:val="clear" w:color="auto" w:fill="auto"/>
          <w:lang w:eastAsia="zh-CN"/>
        </w:rPr>
        <w:t>》《</w:t>
      </w:r>
      <w:r>
        <w:rPr>
          <w:rFonts w:hint="eastAsia" w:asciiTheme="minorEastAsia" w:hAnsiTheme="minorEastAsia" w:eastAsiaTheme="minorEastAsia" w:cstheme="minorEastAsia"/>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.3.2供应商提供的货物、工程或者服务符合下列情形的，享受中小企业扶持政策：</w:t>
      </w:r>
    </w:p>
    <w:p w14:paraId="6761BEF4">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.3.2.2在工程采购项目中，工程由中小企业承建，即工程施工单位为中小企业；</w:t>
      </w:r>
    </w:p>
    <w:p w14:paraId="4DFC19BD">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.3.6残疾人福利单位定义：享受政府采购支持政策的残疾人福利性单位应当同时满足以下条件：</w:t>
      </w:r>
    </w:p>
    <w:p w14:paraId="2C10A4F6">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.3.6.2依法与安置的每位残疾人签订了一年以上（含一年）的劳动合同或服务协议；</w:t>
      </w:r>
    </w:p>
    <w:p w14:paraId="25054FF3">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.3.6.6前款所称残疾人是指法定劳动年龄内，持有《中华人民共和国残疾人证》</w:t>
      </w:r>
      <w:r>
        <w:rPr>
          <w:rFonts w:hint="eastAsia" w:ascii="宋体" w:hAnsi="宋体" w:eastAsia="宋体" w:cs="宋体"/>
          <w:color w:val="auto"/>
          <w:highlight w:val="none"/>
        </w:rPr>
        <w:t>或者《中华人民共和国残疾军人证》（1至8级）的自然人</w:t>
      </w:r>
      <w:r>
        <w:rPr>
          <w:rFonts w:hint="eastAsia" w:asciiTheme="minorEastAsia" w:hAnsiTheme="minorEastAsia" w:eastAsiaTheme="minorEastAsia" w:cstheme="minorEastAsia"/>
          <w:color w:val="auto"/>
          <w:sz w:val="24"/>
          <w:szCs w:val="24"/>
          <w:highlight w:val="none"/>
          <w:shd w:val="clear" w:color="auto" w:fill="auto"/>
        </w:rPr>
        <w:t>，包括具有劳动条件和劳动意愿的精神残疾人。在职职工人数是指与残疾人福利性单位建立劳动关系并依法签订劳动合同或服务协议的雇员人数。</w:t>
      </w:r>
    </w:p>
    <w:p w14:paraId="5677771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.3.7本项目是否专门面向中小企业预留采购份额见第一章《</w:t>
      </w:r>
      <w:r>
        <w:rPr>
          <w:rFonts w:hint="eastAsia" w:asciiTheme="minorEastAsia" w:hAnsiTheme="minorEastAsia" w:eastAsiaTheme="minorEastAsia" w:cstheme="minorEastAsia"/>
          <w:color w:val="auto"/>
          <w:sz w:val="24"/>
          <w:szCs w:val="24"/>
          <w:highlight w:val="none"/>
          <w:shd w:val="clear" w:color="auto" w:fill="auto"/>
          <w:lang w:val="en-US" w:eastAsia="zh-CN"/>
        </w:rPr>
        <w:t>竞争性谈判公告</w:t>
      </w:r>
      <w:r>
        <w:rPr>
          <w:rFonts w:hint="eastAsia" w:asciiTheme="minorEastAsia" w:hAnsiTheme="minorEastAsia" w:eastAsiaTheme="minorEastAsia" w:cstheme="minorEastAsia"/>
          <w:color w:val="auto"/>
          <w:sz w:val="24"/>
          <w:szCs w:val="24"/>
          <w:highlight w:val="none"/>
          <w:shd w:val="clear" w:color="auto" w:fill="auto"/>
        </w:rPr>
        <w:t>》。</w:t>
      </w:r>
    </w:p>
    <w:p w14:paraId="66321B5E">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lang w:val="en-US" w:eastAsia="zh-CN"/>
        </w:rPr>
        <w:t>33</w:t>
      </w:r>
      <w:r>
        <w:rPr>
          <w:rFonts w:hint="eastAsia" w:asciiTheme="minorEastAsia" w:hAnsiTheme="minorEastAsia" w:eastAsiaTheme="minorEastAsia" w:cstheme="minorEastAsia"/>
          <w:color w:val="auto"/>
          <w:sz w:val="24"/>
          <w:szCs w:val="24"/>
          <w:highlight w:val="none"/>
          <w:shd w:val="clear" w:color="auto" w:fill="auto"/>
        </w:rPr>
        <w:t>.3.8采购标的对应的中小企业划分标准所属行业见第四章《采购需求》。</w:t>
      </w:r>
    </w:p>
    <w:p w14:paraId="3CD37815">
      <w:pPr>
        <w:pStyle w:val="33"/>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 xml:space="preserve">.3.9小微企业价格评审优惠的政策：本项目专门面向中小企业采购，不再对小型和微型企业报价给予价格扣除。 </w:t>
      </w:r>
    </w:p>
    <w:p w14:paraId="24130294">
      <w:pPr>
        <w:pageBreakBefore w:val="0"/>
        <w:widowControl w:val="0"/>
        <w:tabs>
          <w:tab w:val="left" w:pos="1381"/>
        </w:tabs>
        <w:kinsoku/>
        <w:wordWrap/>
        <w:overflowPunct/>
        <w:topLinePunct w:val="0"/>
        <w:autoSpaceDE/>
        <w:autoSpaceDN/>
        <w:bidi w:val="0"/>
        <w:adjustRightInd/>
        <w:snapToGrid/>
        <w:spacing w:line="500" w:lineRule="exact"/>
        <w:ind w:left="0" w:firstLine="482"/>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heme="minorEastAsia" w:hAnsiTheme="minorEastAsia" w:eastAsiaTheme="minorEastAsia" w:cstheme="minorEastAsia"/>
          <w:color w:val="auto"/>
          <w:kern w:val="0"/>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.4.1</w:t>
      </w:r>
      <w:r>
        <w:rPr>
          <w:rFonts w:hint="eastAsia" w:asciiTheme="minorEastAsia" w:hAnsiTheme="minorEastAsia" w:eastAsiaTheme="minorEastAsia" w:cstheme="minorEastAsia"/>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Theme="minorEastAsia" w:hAnsiTheme="minorEastAsia" w:eastAsiaTheme="minorEastAsia" w:cstheme="minorEastAsia"/>
          <w:i/>
          <w:color w:val="auto"/>
          <w:kern w:val="0"/>
          <w:sz w:val="24"/>
          <w:szCs w:val="24"/>
          <w:highlight w:val="none"/>
          <w:shd w:val="clear" w:color="auto" w:fill="auto"/>
        </w:rPr>
        <w:t>。</w:t>
      </w:r>
      <w:r>
        <w:rPr>
          <w:rFonts w:hint="eastAsia" w:asciiTheme="minorEastAsia" w:hAnsiTheme="minorEastAsia" w:eastAsiaTheme="minorEastAsia" w:cstheme="minorEastAsia"/>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heme="minorEastAsia" w:hAnsiTheme="minorEastAsia" w:eastAsiaTheme="minorEastAsia" w:cstheme="minorEastAsia"/>
          <w:color w:val="auto"/>
          <w:kern w:val="0"/>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.4.2</w:t>
      </w:r>
      <w:r>
        <w:rPr>
          <w:rFonts w:hint="eastAsia" w:asciiTheme="minorEastAsia" w:hAnsiTheme="minorEastAsia" w:eastAsiaTheme="minorEastAsia" w:cstheme="minorEastAsia"/>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500" w:lineRule="exact"/>
        <w:ind w:left="0" w:firstLine="482"/>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500" w:lineRule="exact"/>
        <w:ind w:left="0" w:firstLine="482"/>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left="0" w:right="0" w:firstLine="478"/>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Theme="minorEastAsia" w:hAnsiTheme="minorEastAsia" w:eastAsiaTheme="minorEastAsia" w:cstheme="minorEastAsia"/>
          <w:color w:val="auto"/>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line="500" w:lineRule="exact"/>
        <w:ind w:left="0" w:firstLine="482"/>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谈判</w:t>
      </w: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1.本项目对采购本国产品给予政策支持，具体内容</w:t>
      </w:r>
      <w:r>
        <w:rPr>
          <w:rFonts w:hint="eastAsia" w:asciiTheme="minorEastAsia" w:hAnsiTheme="minorEastAsia" w:cstheme="minorEastAsia"/>
          <w:b/>
          <w:bCs/>
          <w:color w:val="auto"/>
          <w:kern w:val="0"/>
          <w:sz w:val="24"/>
          <w:szCs w:val="24"/>
          <w:highlight w:val="none"/>
          <w:lang w:val="en-US" w:eastAsia="zh-CN" w:bidi="ar-SA"/>
        </w:rPr>
        <w:t>详见33.9条</w:t>
      </w:r>
      <w:r>
        <w:rPr>
          <w:rFonts w:hint="eastAsia" w:asciiTheme="minorEastAsia" w:hAnsiTheme="minorEastAsia" w:eastAsiaTheme="minorEastAsia" w:cstheme="minorEastAsia"/>
          <w:b/>
          <w:bCs/>
          <w:color w:val="auto"/>
          <w:kern w:val="0"/>
          <w:sz w:val="24"/>
          <w:szCs w:val="24"/>
          <w:highlight w:val="none"/>
          <w:lang w:val="en-US" w:eastAsia="zh-CN" w:bidi="ar-SA"/>
        </w:rPr>
        <w:t>。</w:t>
      </w:r>
    </w:p>
    <w:p w14:paraId="6E8BCEDC">
      <w:pPr>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DAAEDE">
      <w:pPr>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numPr>
          <w:ilvl w:val="0"/>
          <w:numId w:val="0"/>
        </w:numPr>
        <w:kinsoku/>
        <w:wordWrap/>
        <w:overflowPunct/>
        <w:topLinePunct w:val="0"/>
        <w:autoSpaceDE/>
        <w:autoSpaceDN/>
        <w:bidi w:val="0"/>
        <w:adjustRightInd/>
        <w:snapToGrid/>
        <w:spacing w:line="500" w:lineRule="exact"/>
        <w:ind w:left="0" w:firstLine="482" w:firstLineChars="20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4559F4F7">
      <w:pPr>
        <w:pStyle w:val="33"/>
        <w:spacing w:beforeAutospacing="0" w:afterAutospacing="0" w:line="500" w:lineRule="exact"/>
        <w:ind w:firstLine="480"/>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33.9</w:t>
      </w:r>
      <w:r>
        <w:rPr>
          <w:rFonts w:hint="eastAsia" w:ascii="宋体" w:hAnsi="宋体" w:eastAsia="宋体" w:cs="宋体"/>
          <w:b/>
          <w:bCs/>
          <w:color w:val="auto"/>
          <w:highlight w:val="none"/>
        </w:rPr>
        <w:t>采购本国产品的支持政策</w:t>
      </w:r>
    </w:p>
    <w:p w14:paraId="421FF346">
      <w:pPr>
        <w:spacing w:line="500" w:lineRule="exact"/>
        <w:ind w:firstLine="48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 xml:space="preserve">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highlight w:val="none"/>
          <w:u w:val="single"/>
        </w:rPr>
        <w:t>20%</w:t>
      </w:r>
      <w:r>
        <w:rPr>
          <w:rFonts w:hint="eastAsia" w:ascii="宋体" w:hAnsi="宋体" w:eastAsia="宋体" w:cs="宋体"/>
          <w:b/>
          <w:bCs/>
          <w:color w:val="auto"/>
          <w:sz w:val="24"/>
          <w:highlight w:val="none"/>
        </w:rPr>
        <w:t>的价格扣除，用扣除后的价格参与评审。</w:t>
      </w:r>
    </w:p>
    <w:p w14:paraId="39866105">
      <w:pPr>
        <w:spacing w:line="500" w:lineRule="exact"/>
        <w:ind w:firstLine="48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highlight w:val="none"/>
          <w:u w:val="single"/>
        </w:rPr>
        <w:t>80%</w:t>
      </w:r>
      <w:r>
        <w:rPr>
          <w:rFonts w:hint="eastAsia" w:ascii="宋体" w:hAnsi="宋体" w:eastAsia="宋体" w:cs="宋体"/>
          <w:b/>
          <w:bCs/>
          <w:color w:val="auto"/>
          <w:sz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highlight w:val="none"/>
          <w:u w:val="single"/>
        </w:rPr>
        <w:t>20%</w:t>
      </w:r>
      <w:r>
        <w:rPr>
          <w:rFonts w:hint="eastAsia" w:ascii="宋体" w:hAnsi="宋体" w:eastAsia="宋体" w:cs="宋体"/>
          <w:b/>
          <w:bCs/>
          <w:color w:val="auto"/>
          <w:sz w:val="24"/>
          <w:highlight w:val="none"/>
        </w:rPr>
        <w:t>的价格扣除，用扣除后的价格参与评审。供应商未填写比例数值，或比例数值未达到80%的，将不享受本国产品价格评审优惠。</w:t>
      </w:r>
    </w:p>
    <w:p w14:paraId="2E54B350">
      <w:pPr>
        <w:spacing w:line="500" w:lineRule="exact"/>
        <w:ind w:firstLine="48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供应商需按照招标文件的要求提供《关于符合本国产品标准的声明函》（以下简称《声明函》），如不提供将不享受本国产品价格评审优惠。</w:t>
      </w:r>
    </w:p>
    <w:p w14:paraId="5F67006F">
      <w:pPr>
        <w:spacing w:line="500" w:lineRule="exact"/>
        <w:ind w:firstLine="48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供应商需在《声明函》中逐一、准确填写产品名称、厂名、生产厂址三项信息（《声明函》中用横线划除的地方无需填写），三项信息中任意一项未填写的视为该项产品不符合本国产品标准，不享受本国产品价格评审优惠。</w:t>
      </w:r>
    </w:p>
    <w:p w14:paraId="6F135644">
      <w:pPr>
        <w:spacing w:line="500" w:lineRule="exact"/>
        <w:ind w:firstLine="48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5</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34807A4">
      <w:pPr>
        <w:pageBreakBefore w:val="0"/>
        <w:widowControl w:val="0"/>
        <w:tabs>
          <w:tab w:val="left" w:pos="1381"/>
        </w:tabs>
        <w:kinsoku/>
        <w:wordWrap/>
        <w:overflowPunct/>
        <w:topLinePunct w:val="0"/>
        <w:autoSpaceDE/>
        <w:autoSpaceDN/>
        <w:bidi w:val="0"/>
        <w:adjustRightInd/>
        <w:snapToGrid/>
        <w:spacing w:line="500" w:lineRule="exact"/>
        <w:ind w:left="0" w:firstLine="480" w:firstLineChars="200"/>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w:t>
      </w:r>
      <w:r>
        <w:rPr>
          <w:rFonts w:hint="eastAsia" w:asciiTheme="minorEastAsia" w:hAnsiTheme="minorEastAsia" w:cstheme="minorEastAsia"/>
          <w:color w:val="auto"/>
          <w:kern w:val="0"/>
          <w:sz w:val="24"/>
          <w:szCs w:val="24"/>
          <w:highlight w:val="none"/>
          <w:shd w:val="clear" w:color="auto" w:fill="auto"/>
          <w:lang w:val="en-US" w:eastAsia="zh-CN" w:bidi="ar-SA"/>
        </w:rPr>
        <w:t>10</w:t>
      </w: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履约保证金政策</w:t>
      </w:r>
    </w:p>
    <w:p w14:paraId="40F02B3A">
      <w:pPr>
        <w:pStyle w:val="231"/>
        <w:pageBreakBefore w:val="0"/>
        <w:widowControl w:val="0"/>
        <w:kinsoku/>
        <w:wordWrap/>
        <w:overflowPunct/>
        <w:topLinePunct w:val="0"/>
        <w:autoSpaceDE/>
        <w:autoSpaceDN/>
        <w:bidi w:val="0"/>
        <w:adjustRightInd/>
        <w:snapToGrid/>
        <w:spacing w:after="0" w:line="500" w:lineRule="exact"/>
        <w:ind w:left="0" w:firstLine="560"/>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宋体" w:hAnsi="宋体" w:eastAsia="宋体" w:cs="宋体"/>
          <w:color w:val="auto"/>
          <w:sz w:val="24"/>
          <w:highlight w:val="none"/>
        </w:rPr>
        <w:t>履约保证金金额不超过合同金额的10%，本项目履约保证金金额为合同金额的5%，采购人对第三方信用服务机构依据标准规范评定为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w:t>
      </w:r>
    </w:p>
    <w:p w14:paraId="184C23EE">
      <w:pPr>
        <w:pageBreakBefore w:val="0"/>
        <w:widowControl w:val="0"/>
        <w:tabs>
          <w:tab w:val="left" w:pos="1381"/>
        </w:tabs>
        <w:kinsoku/>
        <w:wordWrap/>
        <w:overflowPunct/>
        <w:topLinePunct w:val="0"/>
        <w:autoSpaceDE/>
        <w:autoSpaceDN/>
        <w:bidi w:val="0"/>
        <w:adjustRightInd/>
        <w:snapToGrid/>
        <w:spacing w:line="500" w:lineRule="exact"/>
        <w:ind w:left="0" w:firstLine="482"/>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34. 预付款制度</w:t>
      </w:r>
    </w:p>
    <w:p w14:paraId="05990355">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本项目落实预付款制度，预付款比例为</w:t>
      </w:r>
      <w:r>
        <w:rPr>
          <w:rFonts w:hint="eastAsia" w:asciiTheme="minorEastAsia" w:hAnsiTheme="minorEastAsia" w:cstheme="minorEastAsia"/>
          <w:color w:val="auto"/>
          <w:kern w:val="0"/>
          <w:sz w:val="24"/>
          <w:szCs w:val="24"/>
          <w:highlight w:val="none"/>
          <w:shd w:val="clear" w:color="auto" w:fill="auto"/>
          <w:lang w:val="en-US" w:eastAsia="zh-CN" w:bidi="ar-SA"/>
        </w:rPr>
        <w:t>30</w:t>
      </w: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%。在签订合同时，中标、成交供应商明确书面表示无需预付款或者主动要求降低预付款比例的，采购人可就预付款比例作相应调整</w:t>
      </w:r>
      <w:r>
        <w:rPr>
          <w:rFonts w:hint="eastAsia" w:asciiTheme="minorEastAsia" w:hAnsiTheme="minorEastAsia" w:eastAsiaTheme="minorEastAsia" w:cstheme="minorEastAsia"/>
          <w:b w:val="0"/>
          <w:color w:val="auto"/>
          <w:sz w:val="24"/>
          <w:szCs w:val="24"/>
          <w:highlight w:val="none"/>
        </w:rPr>
        <w:t>。</w:t>
      </w:r>
    </w:p>
    <w:p w14:paraId="1569C776">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7E7B106E">
      <w:pPr>
        <w:spacing w:before="360" w:after="240"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highlight w:val="none"/>
        </w:rPr>
        <w:t>第三章  合同文本</w:t>
      </w:r>
    </w:p>
    <w:p w14:paraId="0C53E59D">
      <w:pPr>
        <w:spacing w:before="240" w:after="240"/>
        <w:jc w:val="center"/>
        <w:rPr>
          <w:color w:val="auto"/>
          <w:highlight w:val="none"/>
        </w:rPr>
      </w:pPr>
      <w:r>
        <w:rPr>
          <w:rFonts w:ascii="Times New Roman" w:hAnsi="Times New Roman" w:eastAsia="黑体"/>
          <w:b/>
          <w:color w:val="auto"/>
          <w:sz w:val="32"/>
          <w:highlight w:val="none"/>
        </w:rPr>
        <w:t>政府采购合同</w:t>
      </w:r>
    </w:p>
    <w:p w14:paraId="203AEE9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项目名称：</w:t>
      </w:r>
      <w:r>
        <w:rPr>
          <w:rFonts w:hint="eastAsia" w:asciiTheme="minorEastAsia" w:hAnsiTheme="minorEastAsia" w:cstheme="minorEastAsia"/>
          <w:b w:val="0"/>
          <w:color w:val="auto"/>
          <w:sz w:val="24"/>
          <w:szCs w:val="24"/>
          <w:highlight w:val="none"/>
          <w:lang w:eastAsia="zh-CN"/>
        </w:rPr>
        <w:t>盐城市公安局亭湖分局2026年度DNA专业耗材采购项目</w:t>
      </w:r>
    </w:p>
    <w:p w14:paraId="43C8667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项目编号：</w:t>
      </w:r>
      <w:r>
        <w:rPr>
          <w:rFonts w:hint="eastAsia" w:asciiTheme="minorEastAsia" w:hAnsiTheme="minorEastAsia" w:cstheme="minorEastAsia"/>
          <w:b w:val="0"/>
          <w:color w:val="auto"/>
          <w:sz w:val="24"/>
          <w:szCs w:val="24"/>
          <w:highlight w:val="none"/>
          <w:lang w:eastAsia="zh-CN"/>
        </w:rPr>
        <w:t>JSZC-320900-JCJS-T2026-0014</w:t>
      </w:r>
    </w:p>
    <w:p w14:paraId="7BABE6B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甲方：盐城市公安局亭湖分局</w:t>
      </w:r>
    </w:p>
    <w:p w14:paraId="6C62C35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乙方：</w:t>
      </w:r>
    </w:p>
    <w:p w14:paraId="311FBABC">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甲、乙双方根据</w:t>
      </w:r>
      <w:r>
        <w:rPr>
          <w:rFonts w:hint="eastAsia" w:asciiTheme="minorEastAsia" w:hAnsiTheme="minorEastAsia" w:cstheme="minorEastAsia"/>
          <w:b w:val="0"/>
          <w:color w:val="auto"/>
          <w:sz w:val="24"/>
          <w:szCs w:val="24"/>
          <w:highlight w:val="none"/>
          <w:lang w:eastAsia="zh-CN"/>
        </w:rPr>
        <w:t>盐城市公安局亭湖分局2026年度DNA专业耗材采购项目</w:t>
      </w:r>
      <w:r>
        <w:rPr>
          <w:rFonts w:hint="eastAsia" w:asciiTheme="minorEastAsia" w:hAnsiTheme="minorEastAsia" w:eastAsiaTheme="minorEastAsia" w:cstheme="minorEastAsia"/>
          <w:b w:val="0"/>
          <w:color w:val="auto"/>
          <w:sz w:val="24"/>
          <w:szCs w:val="24"/>
          <w:highlight w:val="none"/>
        </w:rPr>
        <w:t>竞争性谈判的结果，签署本合同。</w:t>
      </w:r>
    </w:p>
    <w:p w14:paraId="5DDADFD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一、采购标的</w:t>
      </w:r>
    </w:p>
    <w:p w14:paraId="5CAEAF70">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color w:val="auto"/>
          <w:sz w:val="24"/>
          <w:szCs w:val="24"/>
          <w:highlight w:val="none"/>
        </w:rPr>
        <w:t>采购标的清单：</w:t>
      </w:r>
      <w:r>
        <w:rPr>
          <w:rFonts w:hint="eastAsia" w:asciiTheme="minorEastAsia" w:hAnsiTheme="minorEastAsia" w:cstheme="minorEastAsia"/>
          <w:b w:val="0"/>
          <w:color w:val="auto"/>
          <w:sz w:val="24"/>
          <w:szCs w:val="24"/>
          <w:highlight w:val="none"/>
          <w:lang w:val="en-US" w:eastAsia="zh-CN"/>
        </w:rPr>
        <w:t>按中标报价清单填写</w:t>
      </w:r>
    </w:p>
    <w:p w14:paraId="50C2046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二、合同金额</w:t>
      </w:r>
    </w:p>
    <w:p w14:paraId="6477D195">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1、本合同金额为人民币（大写）：</w:t>
      </w:r>
      <w:r>
        <w:rPr>
          <w:rFonts w:hint="eastAsia" w:asciiTheme="minorEastAsia" w:hAnsiTheme="minorEastAsia" w:eastAsiaTheme="minorEastAsia" w:cstheme="minorEastAsia"/>
          <w:b w:val="0"/>
          <w:color w:val="auto"/>
          <w:sz w:val="24"/>
          <w:szCs w:val="24"/>
          <w:highlight w:val="none"/>
          <w:u w:val="single"/>
        </w:rPr>
        <w:t xml:space="preserve">        </w:t>
      </w:r>
      <w:r>
        <w:rPr>
          <w:rFonts w:hint="eastAsia" w:asciiTheme="minorEastAsia" w:hAnsiTheme="minorEastAsia" w:eastAsiaTheme="minorEastAsia" w:cstheme="minorEastAsia"/>
          <w:b w:val="0"/>
          <w:color w:val="auto"/>
          <w:sz w:val="24"/>
          <w:szCs w:val="24"/>
          <w:highlight w:val="none"/>
        </w:rPr>
        <w:t>元（¥</w:t>
      </w:r>
      <w:r>
        <w:rPr>
          <w:rFonts w:hint="eastAsia" w:asciiTheme="minorEastAsia" w:hAnsiTheme="minorEastAsia" w:eastAsiaTheme="minorEastAsia" w:cstheme="minorEastAsia"/>
          <w:b w:val="0"/>
          <w:color w:val="auto"/>
          <w:sz w:val="24"/>
          <w:szCs w:val="24"/>
          <w:highlight w:val="none"/>
          <w:u w:val="single"/>
        </w:rPr>
        <w:t xml:space="preserve">       </w:t>
      </w:r>
      <w:r>
        <w:rPr>
          <w:rFonts w:hint="eastAsia" w:asciiTheme="minorEastAsia" w:hAnsiTheme="minorEastAsia" w:eastAsiaTheme="minorEastAsia" w:cstheme="minorEastAsia"/>
          <w:b w:val="0"/>
          <w:color w:val="auto"/>
          <w:sz w:val="24"/>
          <w:szCs w:val="24"/>
          <w:highlight w:val="none"/>
        </w:rPr>
        <w:t>元）。</w:t>
      </w:r>
    </w:p>
    <w:p w14:paraId="02681E3D">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2、本合同价款包含所有乙方提供合同约定产品和服务的报酬及乙方提供合同中产品和服务所支出的必要费用，甲方在上述合同价款之外不再向乙方支付其他任何费用。</w:t>
      </w:r>
    </w:p>
    <w:p w14:paraId="61FBFB3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三、技术资料</w:t>
      </w:r>
    </w:p>
    <w:p w14:paraId="79F3B436">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1、乙方应按谈判文件规定的时间向甲方提供有关技术资料。</w:t>
      </w:r>
    </w:p>
    <w:p w14:paraId="47814BC6">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E8CB24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四、知识产权</w:t>
      </w:r>
    </w:p>
    <w:p w14:paraId="258A3B5A">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乙方应保证甲方在使用、接受本合同中产品和服务或其任何一部分时不受第三方提出侵犯其专利权、版权、商标权和工业设计权等知识产权的起诉。一旦出现侵权，由乙方负全部责任。</w:t>
      </w:r>
    </w:p>
    <w:p w14:paraId="2D722C9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五、产权担保</w:t>
      </w:r>
    </w:p>
    <w:p w14:paraId="75464B2B">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乙方保证所交付标的所有权完全属于乙方且无任何抵押、查封等产权瑕疵。</w:t>
      </w:r>
    </w:p>
    <w:p w14:paraId="0E6BA13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六、履约保证金</w:t>
      </w:r>
    </w:p>
    <w:p w14:paraId="0432C3ED">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1、乙方交纳人民币</w:t>
      </w:r>
      <w:r>
        <w:rPr>
          <w:rFonts w:hint="eastAsia" w:ascii="宋体" w:hAnsi="宋体" w:eastAsia="宋体" w:cs="宋体"/>
          <w:b/>
          <w:bCs/>
          <w:color w:val="auto"/>
          <w:sz w:val="24"/>
          <w:highlight w:val="none"/>
          <w:u w:val="single"/>
          <w:lang w:val="en-US" w:eastAsia="zh-CN" w:bidi="ar"/>
        </w:rPr>
        <w:t xml:space="preserve">       </w:t>
      </w:r>
      <w:r>
        <w:rPr>
          <w:rFonts w:hint="eastAsia" w:ascii="宋体" w:hAnsi="宋体" w:eastAsia="宋体" w:cs="宋体"/>
          <w:b w:val="0"/>
          <w:bCs w:val="0"/>
          <w:color w:val="auto"/>
          <w:sz w:val="24"/>
          <w:highlight w:val="none"/>
          <w:u w:val="none"/>
          <w:lang w:bidi="ar"/>
        </w:rPr>
        <w:t>元</w:t>
      </w:r>
      <w:r>
        <w:rPr>
          <w:rFonts w:hint="eastAsia" w:ascii="宋体" w:hAnsi="宋体" w:eastAsia="宋体" w:cs="宋体"/>
          <w:color w:val="auto"/>
          <w:sz w:val="24"/>
          <w:highlight w:val="none"/>
          <w:lang w:bidi="ar"/>
        </w:rPr>
        <w:t>作为本合同的履约保证金。（合同金额的5%，甲方对AA评级及以上政府采购供应商（需提供信用管理部门备案的第三方信用报告）免收履约保证金。依据《关于在全省政府采购领域推行电子履约保函（保险）的通知》，鼓励乙方自愿使用履约保函（保险）代替缴纳履约保证金）</w:t>
      </w:r>
    </w:p>
    <w:p w14:paraId="3A4AF015">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2、合同履行结束后，甲方在验收合格后15日内退还交纳的履约保证金。</w:t>
      </w:r>
    </w:p>
    <w:p w14:paraId="0F7020F8">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3、履约保证金的退还：</w:t>
      </w:r>
    </w:p>
    <w:p w14:paraId="0CE52794">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3.1方式：无息退还至乙方缴纳履约保证金的账户。如为保函，在到期时自行失效。</w:t>
      </w:r>
    </w:p>
    <w:p w14:paraId="003B6595">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3.2时间：验收合格后15日内。</w:t>
      </w:r>
    </w:p>
    <w:p w14:paraId="10BA4076">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3.3条件：按合同要求全部履约完成并经甲方验收合格。</w:t>
      </w:r>
    </w:p>
    <w:p w14:paraId="1DA20DD6">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3.4不予退还情形：</w:t>
      </w:r>
    </w:p>
    <w:p w14:paraId="2B765C50">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除不可抗力情况外，乙方出现下列情形之一的，其履约保证金，甲方将视情节决定不予退还或部分不予退还。</w:t>
      </w:r>
    </w:p>
    <w:p w14:paraId="2B4D7A55">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（1）乙方无正当理由拒绝签订合同的，或者在签订合同时向甲方提出附加条件或者更改合同实质性内容要求的；</w:t>
      </w:r>
    </w:p>
    <w:p w14:paraId="4661A78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（2）乙方不履行与甲方订立的合同的；</w:t>
      </w:r>
    </w:p>
    <w:p w14:paraId="7E29E775">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（3）乙方所供货物或服务或工程不符合招标文件规定要求的；</w:t>
      </w:r>
    </w:p>
    <w:p w14:paraId="436284A6">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（4）乙方采取欺骗、弄虚作假方式投标的或与其它投标人串通投标的；</w:t>
      </w:r>
    </w:p>
    <w:p w14:paraId="4E047095">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（5）乙方将合同内容转包、违法分包的；</w:t>
      </w:r>
    </w:p>
    <w:p w14:paraId="6A192E2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bidi="ar"/>
        </w:rPr>
        <w:t>（6）乙方故意捏造事实或伪造证明材料，进行虚假恶意投诉或反映的。</w:t>
      </w:r>
    </w:p>
    <w:p w14:paraId="10DC706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highlight w:val="none"/>
          <w:lang w:bidi="ar"/>
        </w:rPr>
        <w:t>3.5逾期退还的违约责任：甲方逾期无故未退还履约保证金的，按中国人民银行同期贷款基准利率上浮20%后的利率支付超期资金占用费，但因</w:t>
      </w:r>
      <w:r>
        <w:rPr>
          <w:rFonts w:hint="eastAsia" w:ascii="宋体" w:hAnsi="宋体" w:eastAsia="宋体" w:cs="宋体"/>
          <w:color w:val="auto"/>
          <w:sz w:val="24"/>
          <w:highlight w:val="none"/>
          <w:lang w:val="en-US" w:eastAsia="zh-CN" w:bidi="ar"/>
        </w:rPr>
        <w:t>乙方</w:t>
      </w:r>
      <w:r>
        <w:rPr>
          <w:rFonts w:hint="eastAsia" w:ascii="宋体" w:hAnsi="宋体" w:eastAsia="宋体" w:cs="宋体"/>
          <w:color w:val="auto"/>
          <w:sz w:val="24"/>
          <w:highlight w:val="none"/>
          <w:lang w:bidi="ar"/>
        </w:rPr>
        <w:t>自身原因导致无法及时退还的除外。</w:t>
      </w:r>
    </w:p>
    <w:p w14:paraId="6F29FD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七、转包或分包</w:t>
      </w:r>
    </w:p>
    <w:p w14:paraId="1060F7E4">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1、本合同范围内产品或服务，应由乙方直接供应，不得转让他人供应；</w:t>
      </w:r>
    </w:p>
    <w:p w14:paraId="25A15E23">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2、除非得到甲方的书面同意，乙方不得部分分包给他人供应。</w:t>
      </w:r>
    </w:p>
    <w:p w14:paraId="1F98DA97">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3、如有转让和未经甲方同意的分包行为，甲方有权给予终止合同。</w:t>
      </w:r>
    </w:p>
    <w:p w14:paraId="018FB5E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八、质保要求</w:t>
      </w:r>
    </w:p>
    <w:p w14:paraId="49BF12D5">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1、质保期：不少于一年（原厂质保），自验收合格之日起计</w:t>
      </w:r>
      <w:r>
        <w:rPr>
          <w:rFonts w:hint="eastAsia" w:asciiTheme="minorEastAsia" w:hAnsiTheme="minorEastAsia" w:cstheme="minorEastAsia"/>
          <w:b w:val="0"/>
          <w:color w:val="auto"/>
          <w:sz w:val="24"/>
          <w:szCs w:val="24"/>
          <w:highlight w:val="none"/>
          <w:lang w:eastAsia="zh-CN"/>
        </w:rPr>
        <w:t>。</w:t>
      </w:r>
    </w:p>
    <w:p w14:paraId="6A895B1E">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乙方须有明确的售后服务质量保证措施和体系，在免费质保期内，甲方发出故障通知后，乙方应当在2小时以内响应，一般故障须在6小时内解决，重大故障须在24小时内解决。在质保期内，同一商品、同一质量问题连续两次维修仍无法正常使用，乙方必须无条件给予全套全新更换。</w:t>
      </w:r>
    </w:p>
    <w:p w14:paraId="74B0485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九、交付期、交付方式及交付地点</w:t>
      </w:r>
    </w:p>
    <w:p w14:paraId="1A5E65B1">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1、交付期：</w:t>
      </w:r>
      <w:r>
        <w:rPr>
          <w:rFonts w:hint="eastAsia" w:asciiTheme="minorEastAsia" w:hAnsiTheme="minorEastAsia" w:cstheme="minorEastAsia"/>
          <w:b w:val="0"/>
          <w:color w:val="auto"/>
          <w:sz w:val="24"/>
          <w:szCs w:val="24"/>
          <w:highlight w:val="none"/>
          <w:lang w:val="en-US" w:eastAsia="zh-CN"/>
        </w:rPr>
        <w:t>10日历天</w:t>
      </w:r>
      <w:r>
        <w:rPr>
          <w:rFonts w:hint="eastAsia" w:asciiTheme="minorEastAsia" w:hAnsiTheme="minorEastAsia" w:eastAsiaTheme="minorEastAsia" w:cstheme="minorEastAsia"/>
          <w:b w:val="0"/>
          <w:color w:val="auto"/>
          <w:sz w:val="24"/>
          <w:szCs w:val="24"/>
          <w:highlight w:val="none"/>
        </w:rPr>
        <w:t>。</w:t>
      </w:r>
    </w:p>
    <w:p w14:paraId="231A5370">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2、交付方式：由乙方负责运送至甲方指定地点。</w:t>
      </w:r>
    </w:p>
    <w:p w14:paraId="0ADEB509">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3、交付地点：甲方指定地点（江苏盐城）。</w:t>
      </w:r>
    </w:p>
    <w:p w14:paraId="2B65A51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十、合同款支付</w:t>
      </w:r>
    </w:p>
    <w:p w14:paraId="76E63D55">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1、合同签订后，在收到乙方发票10个工作日内，甲方支付合同价的30%作为预付款；乙方按甲方要求供货并经甲方验收合格后一次性结清。（无息）</w:t>
      </w:r>
    </w:p>
    <w:p w14:paraId="2770FDB3">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2、当采购数量与实际使用数量不一致时，乙方根据实际使用量提供产品和服务，合同的最终结算金额按实际使用量乘以成交单价进行计算。</w:t>
      </w:r>
    </w:p>
    <w:p w14:paraId="5FDBC938">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3、对于满足合同约定支付条件的，甲方应当自收到发票后10个工作日内将资金支付到合同约定的供应商账户。</w:t>
      </w:r>
    </w:p>
    <w:p w14:paraId="2252CC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十一、税费</w:t>
      </w:r>
    </w:p>
    <w:p w14:paraId="21F992E4">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本合同执行中相关的一切税费均由乙方负担。</w:t>
      </w:r>
    </w:p>
    <w:p w14:paraId="74059DB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十二、质量保证及售后服务</w:t>
      </w:r>
    </w:p>
    <w:p w14:paraId="058473BB">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1、乙方应按谈判文件规定的货物性能、技术要求、质量标准向甲方提供未经使用的全新产品。</w:t>
      </w:r>
    </w:p>
    <w:p w14:paraId="22F100DA">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2、乙方提供的货物在质量期内因货物本身的质量问题发生故障，乙方应负责免费更换。对达不到技术要求者，根据实际情况，经双方协商，可按以下办法处理：</w:t>
      </w:r>
    </w:p>
    <w:p w14:paraId="04A3623A">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⑴更换：由乙方承担所发生的全部费用。</w:t>
      </w:r>
    </w:p>
    <w:p w14:paraId="7277B1AB">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⑵贬值处理：由甲乙双方合议定价。</w:t>
      </w:r>
    </w:p>
    <w:p w14:paraId="7755F810">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⑶退货处理：乙方应退还甲方支付的合同款，同时应承担该货物的直接费用（运输、保险、检验、货款利息及银行手续费等）。</w:t>
      </w:r>
    </w:p>
    <w:p w14:paraId="303815E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十三、验收</w:t>
      </w:r>
    </w:p>
    <w:p w14:paraId="226FC3A4">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乙方向甲方供应的产品均应是符合其规定的性能，无瑕疵和缺陷的合格产品。质量出现问题，乙方负责包退、包换，因此发生的费用由乙方负责。货物验收在货物到达地进行。验收时供需双方派员一起当场开箱验货，如发现货物短缺、质次、损坏、产地和规格不符等问题，应作详细记录，由乙方立即无条件为甲方调换或补齐，同时由乙方承担因此产生的一切后果。</w:t>
      </w:r>
    </w:p>
    <w:p w14:paraId="445734E3">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2、乙方将货物送达甲方指定地点，须同时向甲方提交产品合格证明材料，如未提供以上材料，甲方有权拒绝收货和拒绝结算。</w:t>
      </w:r>
    </w:p>
    <w:p w14:paraId="58AFF97D">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3、甲方按照谈判文件及响应文件对货物进行验收，验收合格后出具验收书。</w:t>
      </w:r>
    </w:p>
    <w:p w14:paraId="4B116B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十四、货物包装、发运及运输</w:t>
      </w:r>
    </w:p>
    <w:p w14:paraId="7C62C29F">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1、乙方应在货物发运前对其进行满足运输距离、防潮、防震、防锈和防破损装卸等要求包装，以保证货物安全运达甲方指定地点。</w:t>
      </w:r>
    </w:p>
    <w:p w14:paraId="23C7D920">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2、使用说明书、质量检验证明书、随配附件和工具以及清单一并附于货物内。</w:t>
      </w:r>
    </w:p>
    <w:p w14:paraId="41662E68">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3、乙方在货到甲方48小时前通知甲方，以准备接货。</w:t>
      </w:r>
    </w:p>
    <w:p w14:paraId="063EFB08">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4、货物在交付甲方前发生的风险均由乙方负责。</w:t>
      </w:r>
    </w:p>
    <w:p w14:paraId="44A5F016">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5、货物在规定的交付期限内由乙方送达甲方指定的地点视为交付，乙方同时需通知甲方货物已送达。</w:t>
      </w:r>
    </w:p>
    <w:p w14:paraId="04E1F2B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十五、违约责任</w:t>
      </w:r>
    </w:p>
    <w:p w14:paraId="7959E21E">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1、甲方无正当理由拒收货物的，甲方向乙方偿付拒收货款总值的百分之五违约金。</w:t>
      </w:r>
    </w:p>
    <w:p w14:paraId="454D3FAF">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2、甲方无故逾期验收和办理货款支付手续的，甲方应按逾期付款总额每日万分之五向乙方支付违约金。</w:t>
      </w:r>
    </w:p>
    <w:p w14:paraId="5090DDDF">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727D70DB">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4、乙方所交的货物品种、型号、规格、技术参数、质量不符合合同规定及谈判文件规定标准的，甲方有权拒收该货物，乙方愿意更换货物但逾期交货的，按乙方逾期交货处理。乙方拒绝更换货物的，甲方可单方面解除合同。</w:t>
      </w:r>
    </w:p>
    <w:p w14:paraId="548FBEB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十六、不可抗力事件处理</w:t>
      </w:r>
    </w:p>
    <w:p w14:paraId="0E870244">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1、在合同有效期内，任何一方因不可抗力事件导致不能履行合同，则合同履行期延长，其延长期与不可抗力影响期相同。</w:t>
      </w:r>
    </w:p>
    <w:p w14:paraId="45527D93">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2、不可抗力事件发生后，应立即通知对方，并寄送有关权威机构出具的证明。</w:t>
      </w:r>
    </w:p>
    <w:p w14:paraId="71D21702">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3、不可抗力事件延续120天以上，双方应通过友好协商，确定是否继续履行合同。</w:t>
      </w:r>
    </w:p>
    <w:p w14:paraId="75CB382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十七、诉讼</w:t>
      </w:r>
    </w:p>
    <w:p w14:paraId="59EDE40F">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双方在执行合同中所发生的一切争议，应通过协商解决。如协商不成，可向合同签订地法院起诉，合同签订地在此约定为盐城市。</w:t>
      </w:r>
    </w:p>
    <w:p w14:paraId="1C1DAE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十八、合同生效及其它</w:t>
      </w:r>
    </w:p>
    <w:p w14:paraId="3DADB6DE">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1、合同经双方法定代表人或授权委托代表人签字并加盖单位公章后生效。</w:t>
      </w:r>
    </w:p>
    <w:p w14:paraId="6B36B1B1">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2、本合同未尽事宜，遵照《中华人民共和国民法典》《中华人民共和国政府采购法》有关条文执行。</w:t>
      </w:r>
    </w:p>
    <w:p w14:paraId="376DC212">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3、本合同一式6份，具有同等法律效力，甲乙双方各执3份。</w:t>
      </w:r>
    </w:p>
    <w:p w14:paraId="02DF93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p>
    <w:p w14:paraId="71C281F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甲方：                                乙方：</w:t>
      </w:r>
    </w:p>
    <w:p w14:paraId="48D7AEA2">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地址：                                地址：</w:t>
      </w:r>
    </w:p>
    <w:p w14:paraId="05D6F8C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法定代表人或授权代表：                法定代表人或授权代表：</w:t>
      </w:r>
    </w:p>
    <w:p w14:paraId="4A84F0C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联系电话：                            联系电话：</w:t>
      </w:r>
    </w:p>
    <w:p w14:paraId="0D51919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签订日期：      年  月  日            签订日期：      年  月  日</w:t>
      </w:r>
    </w:p>
    <w:p w14:paraId="3A54DA65">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3E8B03B8">
      <w:pPr>
        <w:spacing w:before="360" w:after="240"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highlight w:val="none"/>
        </w:rPr>
        <w:t>第四章  采购需求</w:t>
      </w:r>
    </w:p>
    <w:p w14:paraId="48B4BB3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项目属性：货物类项目。</w:t>
      </w:r>
    </w:p>
    <w:p w14:paraId="2D9D07B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w:t>
      </w:r>
      <w:r>
        <w:rPr>
          <w:rFonts w:hint="eastAsia" w:asciiTheme="minorEastAsia" w:hAnsiTheme="minorEastAsia" w:cstheme="minorEastAsia"/>
          <w:b/>
          <w:color w:val="auto"/>
          <w:sz w:val="24"/>
          <w:szCs w:val="24"/>
          <w:highlight w:val="none"/>
          <w:lang w:eastAsia="zh-CN"/>
        </w:rPr>
        <w:t>、</w:t>
      </w:r>
      <w:r>
        <w:rPr>
          <w:rFonts w:hint="eastAsia" w:ascii="宋体" w:hAnsi="宋体" w:cs="宋体"/>
          <w:b/>
          <w:bCs/>
          <w:sz w:val="24"/>
          <w:szCs w:val="24"/>
          <w:highlight w:val="none"/>
          <w:lang w:val="en-US" w:eastAsia="zh-CN"/>
        </w:rPr>
        <w:t>招标清单及技术参数要求</w:t>
      </w:r>
    </w:p>
    <w:tbl>
      <w:tblPr>
        <w:tblStyle w:val="3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1858"/>
        <w:gridCol w:w="4614"/>
        <w:gridCol w:w="1435"/>
        <w:gridCol w:w="577"/>
        <w:gridCol w:w="577"/>
      </w:tblGrid>
      <w:tr w14:paraId="49046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67" w:type="dxa"/>
            <w:shd w:val="clear" w:color="auto" w:fill="auto"/>
            <w:vAlign w:val="center"/>
          </w:tcPr>
          <w:p w14:paraId="1B94D8D6">
            <w:pPr>
              <w:keepNext w:val="0"/>
              <w:keepLines w:val="0"/>
              <w:pageBreakBefore w:val="0"/>
              <w:widowControl/>
              <w:kinsoku/>
              <w:wordWrap/>
              <w:overflowPunct/>
              <w:topLinePunct w:val="0"/>
              <w:autoSpaceDE/>
              <w:autoSpaceDN/>
              <w:bidi w:val="0"/>
              <w:adjustRightInd/>
              <w:snapToGrid/>
              <w:spacing w:before="0" w:beforeAutospacing="0" w:afterAutospacing="0" w:line="400" w:lineRule="exact"/>
              <w:ind w:left="0" w:leftChars="0" w:right="0" w:rightChars="0"/>
              <w:jc w:val="center"/>
              <w:textAlignment w:val="auto"/>
              <w:rPr>
                <w:rFonts w:hint="eastAsia" w:asciiTheme="minorEastAsia" w:hAnsiTheme="minorEastAsia" w:eastAsiaTheme="minorEastAsia" w:cstheme="minorEastAsia"/>
                <w:b/>
                <w:bCs/>
                <w:sz w:val="24"/>
                <w:szCs w:val="24"/>
                <w:highlight w:val="none"/>
                <w:lang w:val="en-US"/>
              </w:rPr>
            </w:pPr>
            <w:r>
              <w:rPr>
                <w:rFonts w:hint="eastAsia" w:asciiTheme="minorEastAsia" w:hAnsiTheme="minorEastAsia" w:eastAsiaTheme="minorEastAsia" w:cstheme="minorEastAsia"/>
                <w:b/>
                <w:bCs/>
                <w:sz w:val="24"/>
                <w:szCs w:val="24"/>
                <w:highlight w:val="none"/>
                <w:lang w:val="en-US" w:eastAsia="zh-CN"/>
              </w:rPr>
              <w:t>序号</w:t>
            </w:r>
          </w:p>
        </w:tc>
        <w:tc>
          <w:tcPr>
            <w:tcW w:w="1826" w:type="dxa"/>
            <w:shd w:val="clear" w:color="auto" w:fill="auto"/>
            <w:vAlign w:val="center"/>
          </w:tcPr>
          <w:p w14:paraId="6F7A35BA">
            <w:pPr>
              <w:keepNext w:val="0"/>
              <w:keepLines w:val="0"/>
              <w:pageBreakBefore w:val="0"/>
              <w:widowControl/>
              <w:kinsoku/>
              <w:wordWrap/>
              <w:overflowPunct/>
              <w:topLinePunct w:val="0"/>
              <w:autoSpaceDE/>
              <w:autoSpaceDN/>
              <w:bidi w:val="0"/>
              <w:adjustRightInd/>
              <w:snapToGrid/>
              <w:spacing w:before="0" w:beforeAutospacing="0" w:afterAutospacing="0" w:line="400" w:lineRule="exact"/>
              <w:ind w:left="0" w:leftChars="0" w:right="0" w:rightChars="0"/>
              <w:jc w:val="center"/>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color w:val="auto"/>
                <w:sz w:val="24"/>
                <w:szCs w:val="24"/>
                <w:highlight w:val="none"/>
              </w:rPr>
              <w:t>产品名称</w:t>
            </w:r>
          </w:p>
        </w:tc>
        <w:tc>
          <w:tcPr>
            <w:tcW w:w="4535" w:type="dxa"/>
            <w:shd w:val="clear" w:color="auto" w:fill="auto"/>
            <w:vAlign w:val="center"/>
          </w:tcPr>
          <w:p w14:paraId="516A0ED3">
            <w:pPr>
              <w:keepNext w:val="0"/>
              <w:keepLines w:val="0"/>
              <w:pageBreakBefore w:val="0"/>
              <w:widowControl/>
              <w:kinsoku/>
              <w:wordWrap/>
              <w:overflowPunct/>
              <w:topLinePunct w:val="0"/>
              <w:autoSpaceDE/>
              <w:autoSpaceDN/>
              <w:bidi w:val="0"/>
              <w:adjustRightInd/>
              <w:snapToGrid/>
              <w:spacing w:before="0" w:beforeAutospacing="0" w:afterAutospacing="0" w:line="400" w:lineRule="exact"/>
              <w:ind w:left="0" w:leftChars="0" w:right="0" w:rightChars="0"/>
              <w:jc w:val="center"/>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技术参数要求</w:t>
            </w:r>
          </w:p>
        </w:tc>
        <w:tc>
          <w:tcPr>
            <w:tcW w:w="1410" w:type="dxa"/>
            <w:shd w:val="clear" w:color="auto" w:fill="auto"/>
            <w:vAlign w:val="center"/>
          </w:tcPr>
          <w:p w14:paraId="33F284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规格</w:t>
            </w:r>
          </w:p>
        </w:tc>
        <w:tc>
          <w:tcPr>
            <w:tcW w:w="567" w:type="dxa"/>
            <w:shd w:val="clear" w:color="auto" w:fill="auto"/>
            <w:vAlign w:val="center"/>
          </w:tcPr>
          <w:p w14:paraId="4E0E54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单位</w:t>
            </w:r>
          </w:p>
        </w:tc>
        <w:tc>
          <w:tcPr>
            <w:tcW w:w="567" w:type="dxa"/>
            <w:shd w:val="clear" w:color="auto" w:fill="auto"/>
            <w:vAlign w:val="center"/>
          </w:tcPr>
          <w:p w14:paraId="491475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数量</w:t>
            </w:r>
          </w:p>
        </w:tc>
      </w:tr>
      <w:tr w14:paraId="1309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67" w:type="dxa"/>
            <w:shd w:val="clear" w:color="auto" w:fill="auto"/>
            <w:vAlign w:val="center"/>
          </w:tcPr>
          <w:p w14:paraId="3402D29F">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1</w:t>
            </w:r>
          </w:p>
        </w:tc>
        <w:tc>
          <w:tcPr>
            <w:tcW w:w="1826" w:type="dxa"/>
            <w:shd w:val="clear" w:color="auto" w:fill="auto"/>
            <w:vAlign w:val="center"/>
          </w:tcPr>
          <w:p w14:paraId="68247A8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人精液PSA检测金标试剂条</w:t>
            </w:r>
          </w:p>
        </w:tc>
        <w:tc>
          <w:tcPr>
            <w:tcW w:w="4535" w:type="dxa"/>
            <w:shd w:val="clear" w:color="auto" w:fill="auto"/>
            <w:vAlign w:val="center"/>
          </w:tcPr>
          <w:p w14:paraId="40DB9923">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可快速定性检测人精斑</w:t>
            </w:r>
          </w:p>
        </w:tc>
        <w:tc>
          <w:tcPr>
            <w:tcW w:w="1410" w:type="dxa"/>
            <w:shd w:val="clear" w:color="auto" w:fill="auto"/>
            <w:vAlign w:val="center"/>
          </w:tcPr>
          <w:p w14:paraId="2518025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100</w:t>
            </w:r>
            <w:r>
              <w:rPr>
                <w:rFonts w:hint="eastAsia" w:asciiTheme="minorEastAsia" w:hAnsiTheme="minorEastAsia" w:cstheme="minorEastAsia"/>
                <w:b w:val="0"/>
                <w:color w:val="auto"/>
                <w:sz w:val="24"/>
                <w:szCs w:val="24"/>
                <w:highlight w:val="none"/>
                <w:lang w:val="en-US" w:eastAsia="zh-CN"/>
              </w:rPr>
              <w:t>条</w:t>
            </w:r>
            <w:r>
              <w:rPr>
                <w:rFonts w:hint="eastAsia" w:asciiTheme="minorEastAsia" w:hAnsiTheme="minorEastAsia" w:eastAsiaTheme="minorEastAsia" w:cstheme="minorEastAsia"/>
                <w:b w:val="0"/>
                <w:color w:val="auto"/>
                <w:sz w:val="24"/>
                <w:szCs w:val="24"/>
                <w:highlight w:val="none"/>
              </w:rPr>
              <w:t>/盒</w:t>
            </w:r>
          </w:p>
        </w:tc>
        <w:tc>
          <w:tcPr>
            <w:tcW w:w="567" w:type="dxa"/>
            <w:shd w:val="clear" w:color="auto" w:fill="auto"/>
            <w:vAlign w:val="center"/>
          </w:tcPr>
          <w:p w14:paraId="1F6CCE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shd w:val="clear" w:color="auto" w:fill="auto"/>
            <w:vAlign w:val="center"/>
          </w:tcPr>
          <w:p w14:paraId="338CA2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4</w:t>
            </w:r>
          </w:p>
        </w:tc>
      </w:tr>
      <w:tr w14:paraId="16CF9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67" w:type="dxa"/>
            <w:shd w:val="clear" w:color="auto" w:fill="auto"/>
            <w:vAlign w:val="center"/>
          </w:tcPr>
          <w:p w14:paraId="702DF88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2</w:t>
            </w:r>
          </w:p>
        </w:tc>
        <w:tc>
          <w:tcPr>
            <w:tcW w:w="1826" w:type="dxa"/>
            <w:shd w:val="clear" w:color="auto" w:fill="auto"/>
            <w:vAlign w:val="center"/>
          </w:tcPr>
          <w:p w14:paraId="10DDBC8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人血红蛋白检测金标试剂条</w:t>
            </w:r>
          </w:p>
        </w:tc>
        <w:tc>
          <w:tcPr>
            <w:tcW w:w="4535" w:type="dxa"/>
            <w:shd w:val="clear" w:color="auto" w:fill="auto"/>
            <w:vAlign w:val="center"/>
          </w:tcPr>
          <w:p w14:paraId="2612A5AA">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用于快速定性检测人类血液（痕）</w:t>
            </w:r>
          </w:p>
        </w:tc>
        <w:tc>
          <w:tcPr>
            <w:tcW w:w="1410" w:type="dxa"/>
            <w:shd w:val="clear" w:color="auto" w:fill="auto"/>
            <w:vAlign w:val="center"/>
          </w:tcPr>
          <w:p w14:paraId="5DFD08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100</w:t>
            </w:r>
            <w:r>
              <w:rPr>
                <w:rFonts w:hint="eastAsia" w:asciiTheme="minorEastAsia" w:hAnsiTheme="minorEastAsia" w:cstheme="minorEastAsia"/>
                <w:b w:val="0"/>
                <w:color w:val="auto"/>
                <w:sz w:val="24"/>
                <w:szCs w:val="24"/>
                <w:highlight w:val="none"/>
                <w:lang w:val="en-US" w:eastAsia="zh-CN"/>
              </w:rPr>
              <w:t>条</w:t>
            </w:r>
            <w:r>
              <w:rPr>
                <w:rFonts w:hint="eastAsia" w:asciiTheme="minorEastAsia" w:hAnsiTheme="minorEastAsia" w:eastAsiaTheme="minorEastAsia" w:cstheme="minorEastAsia"/>
                <w:b w:val="0"/>
                <w:color w:val="auto"/>
                <w:sz w:val="24"/>
                <w:szCs w:val="24"/>
                <w:highlight w:val="none"/>
              </w:rPr>
              <w:t>/盒</w:t>
            </w:r>
          </w:p>
        </w:tc>
        <w:tc>
          <w:tcPr>
            <w:tcW w:w="567" w:type="dxa"/>
            <w:shd w:val="clear" w:color="auto" w:fill="auto"/>
            <w:vAlign w:val="center"/>
          </w:tcPr>
          <w:p w14:paraId="296287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shd w:val="clear" w:color="auto" w:fill="auto"/>
            <w:vAlign w:val="center"/>
          </w:tcPr>
          <w:p w14:paraId="3A7696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4</w:t>
            </w:r>
          </w:p>
        </w:tc>
      </w:tr>
      <w:tr w14:paraId="0958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67" w:type="dxa"/>
            <w:shd w:val="clear" w:color="auto" w:fill="auto"/>
            <w:vAlign w:val="center"/>
          </w:tcPr>
          <w:p w14:paraId="550ED59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3</w:t>
            </w:r>
          </w:p>
        </w:tc>
        <w:tc>
          <w:tcPr>
            <w:tcW w:w="1826" w:type="dxa"/>
            <w:shd w:val="clear" w:color="auto" w:fill="auto"/>
            <w:vAlign w:val="center"/>
          </w:tcPr>
          <w:p w14:paraId="7B18995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清洗机酸性清洗液（cleaner30）</w:t>
            </w:r>
          </w:p>
        </w:tc>
        <w:tc>
          <w:tcPr>
            <w:tcW w:w="4535" w:type="dxa"/>
            <w:shd w:val="clear" w:color="auto" w:fill="auto"/>
            <w:vAlign w:val="center"/>
          </w:tcPr>
          <w:p w14:paraId="5B6D5E09">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需配套清洗机使用</w:t>
            </w:r>
          </w:p>
        </w:tc>
        <w:tc>
          <w:tcPr>
            <w:tcW w:w="1410" w:type="dxa"/>
            <w:shd w:val="clear" w:color="auto" w:fill="auto"/>
            <w:vAlign w:val="center"/>
          </w:tcPr>
          <w:p w14:paraId="76CA0D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2桶/箱</w:t>
            </w:r>
          </w:p>
        </w:tc>
        <w:tc>
          <w:tcPr>
            <w:tcW w:w="567" w:type="dxa"/>
            <w:shd w:val="clear" w:color="auto" w:fill="auto"/>
            <w:vAlign w:val="center"/>
          </w:tcPr>
          <w:p w14:paraId="210723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箱</w:t>
            </w:r>
          </w:p>
        </w:tc>
        <w:tc>
          <w:tcPr>
            <w:tcW w:w="567" w:type="dxa"/>
            <w:shd w:val="clear" w:color="auto" w:fill="auto"/>
            <w:vAlign w:val="center"/>
          </w:tcPr>
          <w:p w14:paraId="555157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2</w:t>
            </w:r>
          </w:p>
        </w:tc>
      </w:tr>
      <w:tr w14:paraId="0EFEE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67" w:type="dxa"/>
            <w:shd w:val="clear" w:color="auto" w:fill="auto"/>
            <w:vAlign w:val="center"/>
          </w:tcPr>
          <w:p w14:paraId="36E6C65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4</w:t>
            </w:r>
          </w:p>
        </w:tc>
        <w:tc>
          <w:tcPr>
            <w:tcW w:w="1826" w:type="dxa"/>
            <w:shd w:val="clear" w:color="auto" w:fill="auto"/>
            <w:vAlign w:val="center"/>
          </w:tcPr>
          <w:p w14:paraId="34D366F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清洗机碱性清洗液（cleaner80）</w:t>
            </w:r>
          </w:p>
        </w:tc>
        <w:tc>
          <w:tcPr>
            <w:tcW w:w="4535" w:type="dxa"/>
            <w:shd w:val="clear" w:color="auto" w:fill="auto"/>
            <w:vAlign w:val="center"/>
          </w:tcPr>
          <w:p w14:paraId="5DE82739">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需配套清洗机使用</w:t>
            </w:r>
          </w:p>
        </w:tc>
        <w:tc>
          <w:tcPr>
            <w:tcW w:w="1410" w:type="dxa"/>
            <w:shd w:val="clear" w:color="auto" w:fill="auto"/>
            <w:vAlign w:val="center"/>
          </w:tcPr>
          <w:p w14:paraId="50A53B8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2桶/箱</w:t>
            </w:r>
          </w:p>
        </w:tc>
        <w:tc>
          <w:tcPr>
            <w:tcW w:w="567" w:type="dxa"/>
            <w:shd w:val="clear" w:color="auto" w:fill="auto"/>
            <w:vAlign w:val="center"/>
          </w:tcPr>
          <w:p w14:paraId="3D9613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箱</w:t>
            </w:r>
          </w:p>
        </w:tc>
        <w:tc>
          <w:tcPr>
            <w:tcW w:w="567" w:type="dxa"/>
            <w:shd w:val="clear" w:color="auto" w:fill="auto"/>
            <w:vAlign w:val="center"/>
          </w:tcPr>
          <w:p w14:paraId="003730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2</w:t>
            </w:r>
          </w:p>
        </w:tc>
      </w:tr>
      <w:tr w14:paraId="5900B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67" w:type="dxa"/>
            <w:shd w:val="clear" w:color="auto" w:fill="auto"/>
            <w:vAlign w:val="center"/>
          </w:tcPr>
          <w:p w14:paraId="5E41ACE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5</w:t>
            </w:r>
          </w:p>
        </w:tc>
        <w:tc>
          <w:tcPr>
            <w:tcW w:w="1826" w:type="dxa"/>
            <w:shd w:val="clear" w:color="auto" w:fill="auto"/>
            <w:vAlign w:val="center"/>
          </w:tcPr>
          <w:p w14:paraId="558A2CA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rPr>
              <w:t>低吸附吸头（10ul）</w:t>
            </w:r>
          </w:p>
        </w:tc>
        <w:tc>
          <w:tcPr>
            <w:tcW w:w="4535" w:type="dxa"/>
            <w:shd w:val="clear" w:color="auto" w:fill="auto"/>
            <w:vAlign w:val="center"/>
          </w:tcPr>
          <w:p w14:paraId="655BC30A">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低吸附，不含DNase，不含RNase，无核酸残留</w:t>
            </w:r>
          </w:p>
        </w:tc>
        <w:tc>
          <w:tcPr>
            <w:tcW w:w="1410" w:type="dxa"/>
            <w:shd w:val="clear" w:color="auto" w:fill="auto"/>
            <w:vAlign w:val="center"/>
          </w:tcPr>
          <w:p w14:paraId="213D91C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1000只/包</w:t>
            </w:r>
          </w:p>
        </w:tc>
        <w:tc>
          <w:tcPr>
            <w:tcW w:w="567" w:type="dxa"/>
            <w:shd w:val="clear" w:color="auto" w:fill="auto"/>
            <w:vAlign w:val="center"/>
          </w:tcPr>
          <w:p w14:paraId="653B27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包</w:t>
            </w:r>
          </w:p>
        </w:tc>
        <w:tc>
          <w:tcPr>
            <w:tcW w:w="567" w:type="dxa"/>
            <w:shd w:val="clear" w:color="auto" w:fill="auto"/>
            <w:vAlign w:val="center"/>
          </w:tcPr>
          <w:p w14:paraId="2519ACD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12</w:t>
            </w:r>
          </w:p>
        </w:tc>
      </w:tr>
      <w:tr w14:paraId="0F9B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67" w:type="dxa"/>
            <w:shd w:val="clear" w:color="auto" w:fill="auto"/>
            <w:vAlign w:val="center"/>
          </w:tcPr>
          <w:p w14:paraId="03471A8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6</w:t>
            </w:r>
          </w:p>
        </w:tc>
        <w:tc>
          <w:tcPr>
            <w:tcW w:w="1826" w:type="dxa"/>
            <w:shd w:val="clear" w:color="auto" w:fill="auto"/>
            <w:vAlign w:val="center"/>
          </w:tcPr>
          <w:p w14:paraId="401A0BF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低吸附离心管（1.5ml）</w:t>
            </w:r>
          </w:p>
        </w:tc>
        <w:tc>
          <w:tcPr>
            <w:tcW w:w="4535" w:type="dxa"/>
            <w:shd w:val="clear" w:color="auto" w:fill="auto"/>
            <w:vAlign w:val="center"/>
          </w:tcPr>
          <w:p w14:paraId="5BA07CBF">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低吸附，不含DNase，不含RNase，无核酸残留</w:t>
            </w:r>
          </w:p>
        </w:tc>
        <w:tc>
          <w:tcPr>
            <w:tcW w:w="1410" w:type="dxa"/>
            <w:shd w:val="clear" w:color="auto" w:fill="auto"/>
            <w:vAlign w:val="center"/>
          </w:tcPr>
          <w:p w14:paraId="251DB9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500只/包</w:t>
            </w:r>
          </w:p>
        </w:tc>
        <w:tc>
          <w:tcPr>
            <w:tcW w:w="567" w:type="dxa"/>
            <w:shd w:val="clear" w:color="auto" w:fill="auto"/>
            <w:vAlign w:val="center"/>
          </w:tcPr>
          <w:p w14:paraId="048012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包</w:t>
            </w:r>
          </w:p>
        </w:tc>
        <w:tc>
          <w:tcPr>
            <w:tcW w:w="567" w:type="dxa"/>
            <w:shd w:val="clear" w:color="auto" w:fill="auto"/>
            <w:vAlign w:val="center"/>
          </w:tcPr>
          <w:p w14:paraId="5AAACB4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12</w:t>
            </w:r>
          </w:p>
        </w:tc>
      </w:tr>
      <w:tr w14:paraId="2C4F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67" w:type="dxa"/>
            <w:shd w:val="clear" w:color="auto" w:fill="auto"/>
            <w:vAlign w:val="center"/>
          </w:tcPr>
          <w:p w14:paraId="32EBE01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7</w:t>
            </w:r>
          </w:p>
        </w:tc>
        <w:tc>
          <w:tcPr>
            <w:tcW w:w="1826" w:type="dxa"/>
            <w:shd w:val="clear" w:color="auto" w:fill="auto"/>
            <w:vAlign w:val="center"/>
          </w:tcPr>
          <w:p w14:paraId="66D3179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双滤芯低吸附吸头（10ul）</w:t>
            </w:r>
          </w:p>
        </w:tc>
        <w:tc>
          <w:tcPr>
            <w:tcW w:w="4535" w:type="dxa"/>
            <w:shd w:val="clear" w:color="auto" w:fill="auto"/>
            <w:vAlign w:val="center"/>
          </w:tcPr>
          <w:p w14:paraId="539CBEA1">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含双滤芯，低吸附，不含DNase，不含RNase，无核酸残留</w:t>
            </w:r>
          </w:p>
        </w:tc>
        <w:tc>
          <w:tcPr>
            <w:tcW w:w="1410" w:type="dxa"/>
            <w:shd w:val="clear" w:color="auto" w:fill="auto"/>
            <w:vAlign w:val="center"/>
          </w:tcPr>
          <w:p w14:paraId="1D7B42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960个/盒</w:t>
            </w:r>
          </w:p>
        </w:tc>
        <w:tc>
          <w:tcPr>
            <w:tcW w:w="567" w:type="dxa"/>
            <w:shd w:val="clear" w:color="auto" w:fill="auto"/>
            <w:vAlign w:val="center"/>
          </w:tcPr>
          <w:p w14:paraId="52AC76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shd w:val="clear" w:color="auto" w:fill="auto"/>
            <w:vAlign w:val="center"/>
          </w:tcPr>
          <w:p w14:paraId="504B3B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10</w:t>
            </w:r>
          </w:p>
        </w:tc>
      </w:tr>
      <w:tr w14:paraId="004F6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67" w:type="dxa"/>
            <w:shd w:val="clear" w:color="auto" w:fill="auto"/>
            <w:vAlign w:val="center"/>
          </w:tcPr>
          <w:p w14:paraId="6013965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8</w:t>
            </w:r>
          </w:p>
        </w:tc>
        <w:tc>
          <w:tcPr>
            <w:tcW w:w="1826" w:type="dxa"/>
            <w:shd w:val="clear" w:color="auto" w:fill="auto"/>
            <w:vAlign w:val="center"/>
          </w:tcPr>
          <w:p w14:paraId="37B5427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法医痕量DNA超敏提取试剂盒</w:t>
            </w:r>
          </w:p>
        </w:tc>
        <w:tc>
          <w:tcPr>
            <w:tcW w:w="4535" w:type="dxa"/>
            <w:shd w:val="clear" w:color="auto" w:fill="auto"/>
            <w:vAlign w:val="center"/>
          </w:tcPr>
          <w:p w14:paraId="15F7241E">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反向色谱法</w:t>
            </w:r>
          </w:p>
        </w:tc>
        <w:tc>
          <w:tcPr>
            <w:tcW w:w="1410" w:type="dxa"/>
            <w:shd w:val="clear" w:color="auto" w:fill="auto"/>
            <w:vAlign w:val="center"/>
          </w:tcPr>
          <w:p w14:paraId="5560B6A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5次/盒</w:t>
            </w:r>
          </w:p>
        </w:tc>
        <w:tc>
          <w:tcPr>
            <w:tcW w:w="567" w:type="dxa"/>
            <w:shd w:val="clear" w:color="auto" w:fill="auto"/>
            <w:vAlign w:val="center"/>
          </w:tcPr>
          <w:p w14:paraId="232BDD9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shd w:val="clear" w:color="auto" w:fill="auto"/>
            <w:vAlign w:val="center"/>
          </w:tcPr>
          <w:p w14:paraId="65FF53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20</w:t>
            </w:r>
          </w:p>
        </w:tc>
      </w:tr>
      <w:tr w14:paraId="40319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3F7A6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9</w:t>
            </w:r>
          </w:p>
        </w:tc>
        <w:tc>
          <w:tcPr>
            <w:tcW w:w="1826" w:type="dxa"/>
            <w:vAlign w:val="center"/>
          </w:tcPr>
          <w:p w14:paraId="645066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rPr>
            </w:pPr>
            <w:r>
              <w:rPr>
                <w:rFonts w:hint="eastAsia" w:asciiTheme="minorEastAsia" w:hAnsiTheme="minorEastAsia" w:eastAsiaTheme="minorEastAsia" w:cstheme="minorEastAsia"/>
                <w:b w:val="0"/>
                <w:bCs w:val="0"/>
                <w:color w:val="auto"/>
                <w:sz w:val="24"/>
                <w:szCs w:val="24"/>
                <w:highlight w:val="none"/>
              </w:rPr>
              <w:t>微量磁珠提取试剂盒</w:t>
            </w:r>
          </w:p>
        </w:tc>
        <w:tc>
          <w:tcPr>
            <w:tcW w:w="4535" w:type="dxa"/>
          </w:tcPr>
          <w:p w14:paraId="1EF68413">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b w:val="0"/>
                <w:i/>
                <w:iCs/>
                <w:color w:val="auto"/>
                <w:sz w:val="24"/>
                <w:szCs w:val="24"/>
                <w:highlight w:val="none"/>
                <w:u w:val="single"/>
              </w:rPr>
              <w:t>(1)★超微量磁珠法DNA提取试剂盒（全自动专用）为一体式封装试剂，用于DNA提取的磁珠和各种试剂通过塑料膜密封在可与全自动24道微量DNA提取工作站配套使用的塑料反应板内，使用时撕开密封膜置于全自动24道微量DNA提取工作站中即可直接用于全自动DNA的自动化提取。</w:t>
            </w:r>
            <w:r>
              <w:rPr>
                <w:rFonts w:hint="eastAsia" w:asciiTheme="minorEastAsia" w:hAnsiTheme="minorEastAsia" w:eastAsiaTheme="minorEastAsia" w:cstheme="minorEastAsia"/>
                <w:b/>
                <w:bCs/>
                <w:i/>
                <w:iCs/>
                <w:color w:val="auto"/>
                <w:sz w:val="24"/>
                <w:szCs w:val="24"/>
                <w:highlight w:val="none"/>
                <w:u w:val="single"/>
              </w:rPr>
              <w:t>（</w:t>
            </w:r>
            <w:r>
              <w:rPr>
                <w:rFonts w:hint="eastAsia" w:asciiTheme="minorEastAsia" w:hAnsiTheme="minorEastAsia" w:eastAsiaTheme="minorEastAsia" w:cstheme="minorEastAsia"/>
                <w:b/>
                <w:bCs/>
                <w:i/>
                <w:iCs/>
                <w:color w:val="auto"/>
                <w:sz w:val="24"/>
                <w:szCs w:val="24"/>
                <w:highlight w:val="none"/>
                <w:u w:val="single"/>
                <w:lang w:val="en-US" w:eastAsia="zh-CN"/>
              </w:rPr>
              <w:t>投标时</w:t>
            </w:r>
            <w:r>
              <w:rPr>
                <w:rFonts w:hint="eastAsia" w:asciiTheme="minorEastAsia" w:hAnsiTheme="minorEastAsia" w:eastAsiaTheme="minorEastAsia" w:cstheme="minorEastAsia"/>
                <w:b/>
                <w:bCs/>
                <w:i/>
                <w:iCs/>
                <w:color w:val="auto"/>
                <w:sz w:val="24"/>
                <w:szCs w:val="24"/>
                <w:highlight w:val="none"/>
                <w:u w:val="single"/>
              </w:rPr>
              <w:t>提供承诺函，格式自拟）。</w:t>
            </w:r>
          </w:p>
          <w:p w14:paraId="49812CCE">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 一个完整试剂盒包装含有12块48孔深孔板，单独配有封装好的裂解液、洗脱液和盒装吸头。</w:t>
            </w:r>
          </w:p>
          <w:p w14:paraId="62AE2FD5">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 完整试剂盒外另配和试剂盒规格相应数量的24孔离心套板，该24孔离心套板为嵌套反应板，上下部分可分离，另配相应数量封装好的洗脱液。</w:t>
            </w:r>
          </w:p>
          <w:p w14:paraId="7A3F77E6">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i/>
                <w:iCs/>
                <w:color w:val="auto"/>
                <w:sz w:val="24"/>
                <w:szCs w:val="24"/>
                <w:highlight w:val="none"/>
                <w:u w:val="single"/>
              </w:rPr>
              <w:t>(4)★产品规格：96人份/盒；配套（BK-YY-003H）法医DNA自动化工作站使用</w:t>
            </w:r>
            <w:r>
              <w:rPr>
                <w:rFonts w:hint="eastAsia" w:asciiTheme="minorEastAsia" w:hAnsiTheme="minorEastAsia" w:eastAsiaTheme="minorEastAsia" w:cstheme="minorEastAsia"/>
                <w:b w:val="0"/>
                <w:i/>
                <w:iCs/>
                <w:color w:val="auto"/>
                <w:sz w:val="24"/>
                <w:szCs w:val="24"/>
                <w:highlight w:val="none"/>
                <w:u w:val="single"/>
                <w:lang w:eastAsia="zh-CN"/>
              </w:rPr>
              <w:t>。</w:t>
            </w:r>
            <w:r>
              <w:rPr>
                <w:rFonts w:hint="eastAsia" w:asciiTheme="minorEastAsia" w:hAnsiTheme="minorEastAsia" w:eastAsiaTheme="minorEastAsia" w:cstheme="minorEastAsia"/>
                <w:b/>
                <w:bCs/>
                <w:i/>
                <w:iCs/>
                <w:color w:val="auto"/>
                <w:sz w:val="24"/>
                <w:szCs w:val="24"/>
                <w:highlight w:val="none"/>
                <w:u w:val="single"/>
              </w:rPr>
              <w:t>（</w:t>
            </w:r>
            <w:r>
              <w:rPr>
                <w:rFonts w:hint="eastAsia" w:asciiTheme="minorEastAsia" w:hAnsiTheme="minorEastAsia" w:eastAsiaTheme="minorEastAsia" w:cstheme="minorEastAsia"/>
                <w:b/>
                <w:bCs/>
                <w:i/>
                <w:iCs/>
                <w:color w:val="auto"/>
                <w:sz w:val="24"/>
                <w:szCs w:val="24"/>
                <w:highlight w:val="none"/>
                <w:u w:val="single"/>
                <w:lang w:val="en-US" w:eastAsia="zh-CN"/>
              </w:rPr>
              <w:t>投标时</w:t>
            </w:r>
            <w:r>
              <w:rPr>
                <w:rFonts w:hint="eastAsia" w:asciiTheme="minorEastAsia" w:hAnsiTheme="minorEastAsia" w:eastAsiaTheme="minorEastAsia" w:cstheme="minorEastAsia"/>
                <w:b/>
                <w:bCs/>
                <w:i/>
                <w:iCs/>
                <w:color w:val="auto"/>
                <w:sz w:val="24"/>
                <w:szCs w:val="24"/>
                <w:highlight w:val="none"/>
                <w:u w:val="single"/>
              </w:rPr>
              <w:t>提供承诺函，格式自拟）。</w:t>
            </w:r>
          </w:p>
          <w:p w14:paraId="669CAFC8">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color w:val="auto"/>
                <w:sz w:val="24"/>
                <w:szCs w:val="24"/>
                <w:highlight w:val="none"/>
                <w:vertAlign w:val="baseline"/>
              </w:rPr>
            </w:pPr>
            <w:r>
              <w:rPr>
                <w:rFonts w:hint="eastAsia" w:asciiTheme="minorEastAsia" w:hAnsiTheme="minorEastAsia" w:eastAsiaTheme="minorEastAsia" w:cstheme="minorEastAsia"/>
                <w:b w:val="0"/>
                <w:color w:val="auto"/>
                <w:sz w:val="24"/>
                <w:szCs w:val="24"/>
                <w:highlight w:val="none"/>
              </w:rPr>
              <w:t>(5) 样本适用性：配有在全自动24道微量DNA提取工作站上使用的浓缩、纯化及提取程序，可用于血液(斑)、唾液(斑)、精液(斑)、毛发、组织等常规检材及陈旧、污染、降解和微量检材等疑难检材的DNA提取纯化。</w:t>
            </w:r>
          </w:p>
        </w:tc>
        <w:tc>
          <w:tcPr>
            <w:tcW w:w="1410" w:type="dxa"/>
            <w:vAlign w:val="center"/>
          </w:tcPr>
          <w:p w14:paraId="70E22BD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96人份/盒</w:t>
            </w:r>
          </w:p>
        </w:tc>
        <w:tc>
          <w:tcPr>
            <w:tcW w:w="567" w:type="dxa"/>
            <w:vAlign w:val="center"/>
          </w:tcPr>
          <w:p w14:paraId="765DC55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vAlign w:val="center"/>
          </w:tcPr>
          <w:p w14:paraId="589A54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40</w:t>
            </w:r>
          </w:p>
        </w:tc>
      </w:tr>
      <w:tr w14:paraId="381AE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shd w:val="clear" w:color="auto" w:fill="auto"/>
            <w:vAlign w:val="center"/>
          </w:tcPr>
          <w:p w14:paraId="3883874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10</w:t>
            </w:r>
          </w:p>
        </w:tc>
        <w:tc>
          <w:tcPr>
            <w:tcW w:w="1826" w:type="dxa"/>
            <w:shd w:val="clear" w:color="auto" w:fill="auto"/>
            <w:vAlign w:val="center"/>
          </w:tcPr>
          <w:p w14:paraId="37CB33F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精点-全自动混合斑DNA提取试剂盒</w:t>
            </w:r>
          </w:p>
        </w:tc>
        <w:tc>
          <w:tcPr>
            <w:tcW w:w="4535" w:type="dxa"/>
            <w:shd w:val="clear" w:color="auto" w:fill="auto"/>
            <w:vAlign w:val="center"/>
          </w:tcPr>
          <w:p w14:paraId="3349A05B">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混合精斑DNA磁珠纯化试剂盒，可与博坤全自动24道微量DNA提取工作站配套使用一体式封装试剂，采用多重裂解滤膜法快速提取检材中含有的精子基因组DNA，试剂预封在可与全自动DNA提取工作站配套使用的反应板内，使用时撕开密封膜即可直接用于全自动混合精斑DNA的纯化。不少于8人份/盒。</w:t>
            </w:r>
          </w:p>
        </w:tc>
        <w:tc>
          <w:tcPr>
            <w:tcW w:w="1410" w:type="dxa"/>
            <w:shd w:val="clear" w:color="auto" w:fill="auto"/>
            <w:vAlign w:val="center"/>
          </w:tcPr>
          <w:p w14:paraId="21F878C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8人份/盒</w:t>
            </w:r>
          </w:p>
        </w:tc>
        <w:tc>
          <w:tcPr>
            <w:tcW w:w="567" w:type="dxa"/>
            <w:shd w:val="clear" w:color="auto" w:fill="auto"/>
            <w:vAlign w:val="center"/>
          </w:tcPr>
          <w:p w14:paraId="36FD0F8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shd w:val="clear" w:color="auto" w:fill="auto"/>
            <w:vAlign w:val="center"/>
          </w:tcPr>
          <w:p w14:paraId="7168357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30</w:t>
            </w:r>
          </w:p>
        </w:tc>
      </w:tr>
      <w:tr w14:paraId="75533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A7FB3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11</w:t>
            </w:r>
          </w:p>
        </w:tc>
        <w:tc>
          <w:tcPr>
            <w:tcW w:w="1826" w:type="dxa"/>
            <w:vAlign w:val="center"/>
          </w:tcPr>
          <w:p w14:paraId="0F78F08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rPr>
            </w:pPr>
            <w:r>
              <w:rPr>
                <w:rFonts w:hint="eastAsia" w:asciiTheme="minorEastAsia" w:hAnsiTheme="minorEastAsia" w:eastAsiaTheme="minorEastAsia" w:cstheme="minorEastAsia"/>
                <w:b w:val="0"/>
                <w:bCs w:val="0"/>
                <w:color w:val="auto"/>
                <w:sz w:val="24"/>
                <w:szCs w:val="24"/>
                <w:highlight w:val="none"/>
              </w:rPr>
              <w:t>常染色体扩增试剂盒（补充位点版）</w:t>
            </w:r>
          </w:p>
        </w:tc>
        <w:tc>
          <w:tcPr>
            <w:tcW w:w="4535" w:type="dxa"/>
          </w:tcPr>
          <w:p w14:paraId="54D6FB52">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i/>
                <w:iCs/>
                <w:color w:val="auto"/>
                <w:sz w:val="24"/>
                <w:szCs w:val="24"/>
                <w:highlight w:val="none"/>
                <w:u w:val="single"/>
              </w:rPr>
              <w:t>(1)★试剂盒符合DNA国家常规数据库和DNA打拐数据库要求，至少包含30个常染色体基因座：D3S1358，TH01，D21S11，D18S51，Penta E，D19S253，D12S391，D6S1043，D2S1338，D15S659，D6S477，D5S818，D13S317，D7S820，D19S433，CSF1PO，Penta D，D2S441，vWA，D8S1179，TPOX，FGA，D4S2366，D3S3045，D16S539，D22S1045，D8S1132，D1S1656，D10S1248，D10S1435。</w:t>
            </w:r>
            <w:r>
              <w:rPr>
                <w:rFonts w:hint="eastAsia" w:asciiTheme="minorEastAsia" w:hAnsiTheme="minorEastAsia" w:eastAsiaTheme="minorEastAsia" w:cstheme="minorEastAsia"/>
                <w:b/>
                <w:bCs/>
                <w:i/>
                <w:iCs/>
                <w:color w:val="auto"/>
                <w:sz w:val="24"/>
                <w:szCs w:val="24"/>
                <w:highlight w:val="none"/>
                <w:u w:val="single"/>
              </w:rPr>
              <w:t>（</w:t>
            </w:r>
            <w:r>
              <w:rPr>
                <w:rFonts w:hint="eastAsia" w:asciiTheme="minorEastAsia" w:hAnsiTheme="minorEastAsia" w:eastAsiaTheme="minorEastAsia" w:cstheme="minorEastAsia"/>
                <w:b/>
                <w:bCs/>
                <w:i/>
                <w:iCs/>
                <w:color w:val="auto"/>
                <w:sz w:val="24"/>
                <w:szCs w:val="24"/>
                <w:highlight w:val="none"/>
                <w:u w:val="single"/>
                <w:lang w:val="en-US" w:eastAsia="zh-CN"/>
              </w:rPr>
              <w:t>投标时</w:t>
            </w:r>
            <w:r>
              <w:rPr>
                <w:rFonts w:hint="eastAsia" w:asciiTheme="minorEastAsia" w:hAnsiTheme="minorEastAsia" w:eastAsiaTheme="minorEastAsia" w:cstheme="minorEastAsia"/>
                <w:b/>
                <w:bCs/>
                <w:i/>
                <w:iCs/>
                <w:color w:val="auto"/>
                <w:sz w:val="24"/>
                <w:szCs w:val="24"/>
                <w:highlight w:val="none"/>
                <w:u w:val="single"/>
              </w:rPr>
              <w:t>提供经由IDX软件分析的分型图谱，包含以上基因座）</w:t>
            </w:r>
          </w:p>
          <w:p w14:paraId="1E63C19A">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 试剂盒包含1个性别标记基因座以及1个Y染色体插入缺失片段。</w:t>
            </w:r>
          </w:p>
          <w:p w14:paraId="4DBCEEA6">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 试剂盒最大扩增片段不超过500bp，25ul体系不少于200人份/盒。</w:t>
            </w:r>
          </w:p>
          <w:p w14:paraId="4744F079">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(4) 试剂盒包含大于10个扩增长度小于220bp的常染色体mini-STR位点。</w:t>
            </w:r>
          </w:p>
          <w:p w14:paraId="6C087CC1">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color w:val="auto"/>
                <w:sz w:val="24"/>
                <w:szCs w:val="24"/>
                <w:highlight w:val="none"/>
                <w:vertAlign w:val="baseline"/>
              </w:rPr>
            </w:pPr>
            <w:r>
              <w:rPr>
                <w:rFonts w:hint="eastAsia" w:asciiTheme="minorEastAsia" w:hAnsiTheme="minorEastAsia" w:eastAsiaTheme="minorEastAsia" w:cstheme="minorEastAsia"/>
                <w:b w:val="0"/>
                <w:color w:val="auto"/>
                <w:sz w:val="24"/>
                <w:szCs w:val="24"/>
                <w:highlight w:val="none"/>
              </w:rPr>
              <w:t>(5) 试剂盒须为符合国家质量标准的全新产品，需具有中国安全技术防范认证中心颁发的《中国公共安全产品认证证书》。</w:t>
            </w:r>
          </w:p>
        </w:tc>
        <w:tc>
          <w:tcPr>
            <w:tcW w:w="1410" w:type="dxa"/>
            <w:vAlign w:val="center"/>
          </w:tcPr>
          <w:p w14:paraId="53FAA5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200人份/盒</w:t>
            </w:r>
          </w:p>
        </w:tc>
        <w:tc>
          <w:tcPr>
            <w:tcW w:w="567" w:type="dxa"/>
            <w:vAlign w:val="center"/>
          </w:tcPr>
          <w:p w14:paraId="3FD41E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vAlign w:val="center"/>
          </w:tcPr>
          <w:p w14:paraId="33799A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w:t>
            </w:r>
          </w:p>
        </w:tc>
      </w:tr>
      <w:tr w14:paraId="77402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7" w:type="dxa"/>
            <w:vAlign w:val="center"/>
          </w:tcPr>
          <w:p w14:paraId="72F9DA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12</w:t>
            </w:r>
          </w:p>
        </w:tc>
        <w:tc>
          <w:tcPr>
            <w:tcW w:w="1826" w:type="dxa"/>
            <w:vAlign w:val="center"/>
          </w:tcPr>
          <w:p w14:paraId="3C8DF2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rPr>
            </w:pPr>
            <w:r>
              <w:rPr>
                <w:rFonts w:hint="eastAsia" w:asciiTheme="minorEastAsia" w:hAnsiTheme="minorEastAsia" w:eastAsiaTheme="minorEastAsia" w:cstheme="minorEastAsia"/>
                <w:b w:val="0"/>
                <w:bCs w:val="0"/>
                <w:color w:val="auto"/>
                <w:sz w:val="24"/>
                <w:szCs w:val="24"/>
                <w:highlight w:val="none"/>
              </w:rPr>
              <w:t>Y染色体扩增试剂盒（补充位点版）</w:t>
            </w:r>
          </w:p>
        </w:tc>
        <w:tc>
          <w:tcPr>
            <w:tcW w:w="4535" w:type="dxa"/>
          </w:tcPr>
          <w:p w14:paraId="13181A2F">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i/>
                <w:iCs/>
                <w:color w:val="auto"/>
                <w:sz w:val="24"/>
                <w:szCs w:val="24"/>
                <w:highlight w:val="none"/>
                <w:u w:val="single"/>
              </w:rPr>
              <w:t>(1)★试剂盒为六色荧光技术，可单管同时检测40个Y-STR基因座，包含公安部推荐的20个核心位点（DYS19、DYS385a/b、DYS389I、DYS389II、DYS390、DYS391、DYS392、DYS393、DYS437、DYS438、DYS439、DYS448、DYS456、DYS458、DYS635、Y GATA H4、DYS481、DYS533、DYS576）和15个优选位点（DYS643、DYS460、DYS549、DYS387S1a/b、DYS449、DYS518、DYS627、DYS570、DYS527a/b、DYS447、DYS444、DYS557、DYS596）以及5个备选位点（DYS522、DYS593、DYS645、DYS404S1a/b）</w:t>
            </w:r>
            <w:r>
              <w:rPr>
                <w:rFonts w:hint="eastAsia" w:asciiTheme="minorEastAsia" w:hAnsiTheme="minorEastAsia" w:eastAsiaTheme="minorEastAsia" w:cstheme="minorEastAsia"/>
                <w:b/>
                <w:bCs/>
                <w:i/>
                <w:iCs/>
                <w:color w:val="auto"/>
                <w:sz w:val="24"/>
                <w:szCs w:val="24"/>
                <w:highlight w:val="none"/>
                <w:u w:val="single"/>
              </w:rPr>
              <w:t>（</w:t>
            </w:r>
            <w:r>
              <w:rPr>
                <w:rFonts w:hint="eastAsia" w:asciiTheme="minorEastAsia" w:hAnsiTheme="minorEastAsia" w:eastAsiaTheme="minorEastAsia" w:cstheme="minorEastAsia"/>
                <w:b/>
                <w:bCs/>
                <w:i/>
                <w:iCs/>
                <w:color w:val="auto"/>
                <w:sz w:val="24"/>
                <w:szCs w:val="24"/>
                <w:highlight w:val="none"/>
                <w:u w:val="single"/>
                <w:lang w:val="en-US" w:eastAsia="zh-CN"/>
              </w:rPr>
              <w:t>投标时</w:t>
            </w:r>
            <w:r>
              <w:rPr>
                <w:rFonts w:hint="eastAsia" w:asciiTheme="minorEastAsia" w:hAnsiTheme="minorEastAsia" w:eastAsiaTheme="minorEastAsia" w:cstheme="minorEastAsia"/>
                <w:b/>
                <w:bCs/>
                <w:i/>
                <w:iCs/>
                <w:color w:val="auto"/>
                <w:sz w:val="24"/>
                <w:szCs w:val="24"/>
                <w:highlight w:val="none"/>
                <w:u w:val="single"/>
              </w:rPr>
              <w:t>提供经由IDX软件分析的分型图谱，包含以上基因座）</w:t>
            </w:r>
          </w:p>
          <w:p w14:paraId="17C5ABCE">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 试剂盒包含3个Y-indel。</w:t>
            </w:r>
          </w:p>
          <w:p w14:paraId="244EE265">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 试剂盒最大片段长度不超过550bp。25ul体系不少于100人份/盒。</w:t>
            </w:r>
          </w:p>
          <w:p w14:paraId="20157CAA">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(4) 试剂盒符合《法庭科学人类荧光标记Y-STR复合扩增检测试剂检测作业指导书》的要求，且相邻常见等位基因间隔大于8bp。</w:t>
            </w:r>
          </w:p>
          <w:p w14:paraId="46E077CF">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color w:val="auto"/>
                <w:sz w:val="24"/>
                <w:szCs w:val="24"/>
                <w:highlight w:val="none"/>
                <w:vertAlign w:val="baseline"/>
              </w:rPr>
            </w:pPr>
            <w:r>
              <w:rPr>
                <w:rFonts w:hint="eastAsia" w:asciiTheme="minorEastAsia" w:hAnsiTheme="minorEastAsia" w:eastAsiaTheme="minorEastAsia" w:cstheme="minorEastAsia"/>
                <w:b w:val="0"/>
                <w:color w:val="auto"/>
                <w:sz w:val="24"/>
                <w:szCs w:val="24"/>
                <w:highlight w:val="none"/>
              </w:rPr>
              <w:t>(5) 试剂盒生产厂商通过ISO18385管理体系认证。</w:t>
            </w:r>
          </w:p>
        </w:tc>
        <w:tc>
          <w:tcPr>
            <w:tcW w:w="1410" w:type="dxa"/>
            <w:vAlign w:val="center"/>
          </w:tcPr>
          <w:p w14:paraId="604CE0F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100人份/盒</w:t>
            </w:r>
          </w:p>
        </w:tc>
        <w:tc>
          <w:tcPr>
            <w:tcW w:w="567" w:type="dxa"/>
            <w:vAlign w:val="center"/>
          </w:tcPr>
          <w:p w14:paraId="5720A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vAlign w:val="center"/>
          </w:tcPr>
          <w:p w14:paraId="2FE1571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w:t>
            </w:r>
          </w:p>
        </w:tc>
      </w:tr>
      <w:tr w14:paraId="76B40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F7A912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000000"/>
                <w:sz w:val="24"/>
                <w:szCs w:val="24"/>
                <w:highlight w:val="none"/>
              </w:rPr>
              <w:t>13</w:t>
            </w:r>
          </w:p>
        </w:tc>
        <w:tc>
          <w:tcPr>
            <w:tcW w:w="1826" w:type="dxa"/>
            <w:vAlign w:val="center"/>
          </w:tcPr>
          <w:p w14:paraId="5A7FA3D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000000"/>
                <w:sz w:val="24"/>
                <w:szCs w:val="24"/>
                <w:highlight w:val="none"/>
              </w:rPr>
              <w:t>96孔平板硅胶隔垫</w:t>
            </w:r>
          </w:p>
        </w:tc>
        <w:tc>
          <w:tcPr>
            <w:tcW w:w="4535" w:type="dxa"/>
            <w:vAlign w:val="center"/>
          </w:tcPr>
          <w:p w14:paraId="26D31292">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sz w:val="24"/>
                <w:szCs w:val="24"/>
                <w:highlight w:val="none"/>
              </w:rPr>
              <w:t>配套3500xl遗传分析仪使用。</w:t>
            </w:r>
          </w:p>
        </w:tc>
        <w:tc>
          <w:tcPr>
            <w:tcW w:w="1410" w:type="dxa"/>
            <w:vAlign w:val="center"/>
          </w:tcPr>
          <w:p w14:paraId="6E11EA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20张/盒</w:t>
            </w:r>
          </w:p>
        </w:tc>
        <w:tc>
          <w:tcPr>
            <w:tcW w:w="567" w:type="dxa"/>
            <w:vAlign w:val="center"/>
          </w:tcPr>
          <w:p w14:paraId="315346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vAlign w:val="center"/>
          </w:tcPr>
          <w:p w14:paraId="68EA9BC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5</w:t>
            </w:r>
          </w:p>
        </w:tc>
      </w:tr>
      <w:tr w14:paraId="40294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1CE9BB1">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000000"/>
                <w:sz w:val="24"/>
                <w:szCs w:val="24"/>
                <w:highlight w:val="none"/>
              </w:rPr>
              <w:t>14</w:t>
            </w:r>
          </w:p>
        </w:tc>
        <w:tc>
          <w:tcPr>
            <w:tcW w:w="1826" w:type="dxa"/>
            <w:vAlign w:val="center"/>
          </w:tcPr>
          <w:p w14:paraId="20D5979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000000"/>
                <w:sz w:val="24"/>
                <w:szCs w:val="24"/>
                <w:highlight w:val="none"/>
              </w:rPr>
              <w:t>3500XL阳极缓冲液</w:t>
            </w:r>
          </w:p>
        </w:tc>
        <w:tc>
          <w:tcPr>
            <w:tcW w:w="4535" w:type="dxa"/>
            <w:vAlign w:val="center"/>
          </w:tcPr>
          <w:p w14:paraId="58C12C67">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sz w:val="24"/>
                <w:szCs w:val="24"/>
                <w:highlight w:val="none"/>
              </w:rPr>
              <w:t>无线射频识别（RFID）标签，塑粘性盖膜进行热封，内含1倍浓度的阳极缓冲液，配套3500xl 遗传分析仪使用。</w:t>
            </w:r>
          </w:p>
        </w:tc>
        <w:tc>
          <w:tcPr>
            <w:tcW w:w="1410" w:type="dxa"/>
            <w:vAlign w:val="center"/>
          </w:tcPr>
          <w:p w14:paraId="5A75179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4份/盒</w:t>
            </w:r>
          </w:p>
        </w:tc>
        <w:tc>
          <w:tcPr>
            <w:tcW w:w="567" w:type="dxa"/>
            <w:vAlign w:val="center"/>
          </w:tcPr>
          <w:p w14:paraId="2EA87C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vAlign w:val="center"/>
          </w:tcPr>
          <w:p w14:paraId="3EF465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6</w:t>
            </w:r>
          </w:p>
        </w:tc>
      </w:tr>
      <w:tr w14:paraId="0A359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015BF9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000000"/>
                <w:sz w:val="24"/>
                <w:szCs w:val="24"/>
                <w:highlight w:val="none"/>
              </w:rPr>
              <w:t>15</w:t>
            </w:r>
          </w:p>
        </w:tc>
        <w:tc>
          <w:tcPr>
            <w:tcW w:w="1826" w:type="dxa"/>
            <w:vAlign w:val="center"/>
          </w:tcPr>
          <w:p w14:paraId="08ED9D2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000000"/>
                <w:sz w:val="24"/>
                <w:szCs w:val="24"/>
                <w:highlight w:val="none"/>
              </w:rPr>
              <w:t>3500XL阴极缓冲液</w:t>
            </w:r>
          </w:p>
        </w:tc>
        <w:tc>
          <w:tcPr>
            <w:tcW w:w="4535" w:type="dxa"/>
            <w:vAlign w:val="center"/>
          </w:tcPr>
          <w:p w14:paraId="1AA896AA">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sz w:val="24"/>
                <w:szCs w:val="24"/>
                <w:highlight w:val="none"/>
              </w:rPr>
              <w:t>无线射频识别（RFID）标签，塑粘性盖膜进行热封，内含1倍浓度的阴极缓冲液，配套3500xl 遗传分析仪使用。</w:t>
            </w:r>
          </w:p>
        </w:tc>
        <w:tc>
          <w:tcPr>
            <w:tcW w:w="1410" w:type="dxa"/>
            <w:vAlign w:val="center"/>
          </w:tcPr>
          <w:p w14:paraId="34F89B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4份/盒</w:t>
            </w:r>
          </w:p>
        </w:tc>
        <w:tc>
          <w:tcPr>
            <w:tcW w:w="567" w:type="dxa"/>
            <w:vAlign w:val="center"/>
          </w:tcPr>
          <w:p w14:paraId="74BF79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vAlign w:val="center"/>
          </w:tcPr>
          <w:p w14:paraId="2AA951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6</w:t>
            </w:r>
          </w:p>
        </w:tc>
      </w:tr>
      <w:tr w14:paraId="5D900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A330D7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000000"/>
                <w:sz w:val="24"/>
                <w:szCs w:val="24"/>
                <w:highlight w:val="none"/>
              </w:rPr>
              <w:t>16</w:t>
            </w:r>
          </w:p>
        </w:tc>
        <w:tc>
          <w:tcPr>
            <w:tcW w:w="1826" w:type="dxa"/>
            <w:vAlign w:val="center"/>
          </w:tcPr>
          <w:p w14:paraId="16B8CC0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000000"/>
                <w:sz w:val="24"/>
                <w:szCs w:val="24"/>
                <w:highlight w:val="none"/>
              </w:rPr>
              <w:t>24道电泳毛细管</w:t>
            </w:r>
          </w:p>
        </w:tc>
        <w:tc>
          <w:tcPr>
            <w:tcW w:w="4535" w:type="dxa"/>
            <w:vAlign w:val="center"/>
          </w:tcPr>
          <w:p w14:paraId="7679542F">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sz w:val="24"/>
                <w:szCs w:val="24"/>
                <w:highlight w:val="none"/>
              </w:rPr>
              <w:t>24通道/36</w:t>
            </w:r>
            <w:r>
              <w:rPr>
                <w:rFonts w:hint="eastAsia" w:asciiTheme="minorEastAsia" w:hAnsiTheme="minorEastAsia" w:cstheme="minorEastAsia"/>
                <w:sz w:val="24"/>
                <w:szCs w:val="24"/>
                <w:highlight w:val="none"/>
                <w:lang w:val="en-US" w:eastAsia="zh-CN"/>
              </w:rPr>
              <w:t>cm</w:t>
            </w:r>
            <w:r>
              <w:rPr>
                <w:rFonts w:hint="eastAsia" w:asciiTheme="minorEastAsia" w:hAnsiTheme="minorEastAsia" w:eastAsiaTheme="minorEastAsia" w:cstheme="minorEastAsia"/>
                <w:sz w:val="24"/>
                <w:szCs w:val="24"/>
                <w:highlight w:val="none"/>
              </w:rPr>
              <w:t>，36cm长、24道毛细管阵列，内无涂层，配套3500xl遗传分析仪使用。</w:t>
            </w:r>
          </w:p>
        </w:tc>
        <w:tc>
          <w:tcPr>
            <w:tcW w:w="1410" w:type="dxa"/>
            <w:vAlign w:val="center"/>
          </w:tcPr>
          <w:p w14:paraId="50FA41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24通道/36</w:t>
            </w:r>
            <w:r>
              <w:rPr>
                <w:rFonts w:hint="eastAsia" w:asciiTheme="minorEastAsia" w:hAnsiTheme="minorEastAsia" w:cstheme="minorEastAsia"/>
                <w:sz w:val="24"/>
                <w:szCs w:val="24"/>
                <w:highlight w:val="none"/>
                <w:lang w:val="en-US" w:eastAsia="zh-CN"/>
              </w:rPr>
              <w:t>cm</w:t>
            </w:r>
          </w:p>
        </w:tc>
        <w:tc>
          <w:tcPr>
            <w:tcW w:w="567" w:type="dxa"/>
            <w:vAlign w:val="center"/>
          </w:tcPr>
          <w:p w14:paraId="7CF0FF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套</w:t>
            </w:r>
          </w:p>
        </w:tc>
        <w:tc>
          <w:tcPr>
            <w:tcW w:w="567" w:type="dxa"/>
            <w:vAlign w:val="center"/>
          </w:tcPr>
          <w:p w14:paraId="12547B8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color w:val="auto"/>
                <w:sz w:val="24"/>
                <w:szCs w:val="24"/>
                <w:highlight w:val="none"/>
              </w:rPr>
              <w:t>1</w:t>
            </w:r>
          </w:p>
        </w:tc>
      </w:tr>
      <w:tr w14:paraId="6287A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EA635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17</w:t>
            </w:r>
          </w:p>
        </w:tc>
        <w:tc>
          <w:tcPr>
            <w:tcW w:w="1826" w:type="dxa"/>
            <w:vAlign w:val="center"/>
          </w:tcPr>
          <w:p w14:paraId="3AC30D5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rPr>
            </w:pPr>
            <w:r>
              <w:rPr>
                <w:rFonts w:hint="eastAsia" w:asciiTheme="minorEastAsia" w:hAnsiTheme="minorEastAsia" w:eastAsiaTheme="minorEastAsia" w:cstheme="minorEastAsia"/>
                <w:b w:val="0"/>
                <w:bCs w:val="0"/>
                <w:color w:val="auto"/>
                <w:sz w:val="24"/>
                <w:szCs w:val="24"/>
                <w:highlight w:val="none"/>
              </w:rPr>
              <w:t>常染色体扩增试剂盒（案件版）</w:t>
            </w:r>
          </w:p>
        </w:tc>
        <w:tc>
          <w:tcPr>
            <w:tcW w:w="4535" w:type="dxa"/>
          </w:tcPr>
          <w:p w14:paraId="2CCD8780">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i/>
                <w:iCs/>
                <w:color w:val="auto"/>
                <w:sz w:val="24"/>
                <w:szCs w:val="24"/>
                <w:highlight w:val="none"/>
                <w:u w:val="single"/>
              </w:rPr>
              <w:t>(1)★单管同时可扩增25个位点，包括24个常染色体STR位点和1个插入缺失位点：至少同时扩增以下25个基因座：包括D8S1179、D21S11、D7S820、CSF1PO、D3S1358、TH01、D13S317、D16S539、D2S1338、D19S433、vWA、TPOX、D18S51、D5S818、FGA、D10S1248、D2S441、D1S1656、D12S391、D22S1045、D6S1043、PentaD、PentaE、Amelogenin和Y-indel。</w:t>
            </w:r>
            <w:r>
              <w:rPr>
                <w:rFonts w:hint="eastAsia" w:asciiTheme="minorEastAsia" w:hAnsiTheme="minorEastAsia" w:eastAsiaTheme="minorEastAsia" w:cstheme="minorEastAsia"/>
                <w:b/>
                <w:bCs/>
                <w:i/>
                <w:iCs/>
                <w:color w:val="auto"/>
                <w:sz w:val="24"/>
                <w:szCs w:val="24"/>
                <w:highlight w:val="none"/>
                <w:u w:val="single"/>
              </w:rPr>
              <w:t>（投标时提供相关证明文件）</w:t>
            </w:r>
          </w:p>
          <w:p w14:paraId="57F8EC60">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i/>
                <w:iCs/>
                <w:color w:val="auto"/>
                <w:sz w:val="24"/>
                <w:szCs w:val="24"/>
                <w:highlight w:val="none"/>
                <w:u w:val="single"/>
              </w:rPr>
              <w:t>(2)★每试剂盒标准反应体系25微升不少于200人份/盒；在25ul扩增体系中，模板加样量最大可加样17.5ul，试剂盒的灵敏度为125pgDNA模板量。</w:t>
            </w:r>
            <w:r>
              <w:rPr>
                <w:rFonts w:hint="eastAsia" w:asciiTheme="minorEastAsia" w:hAnsiTheme="minorEastAsia" w:eastAsiaTheme="minorEastAsia" w:cstheme="minorEastAsia"/>
                <w:b/>
                <w:bCs/>
                <w:i/>
                <w:iCs/>
                <w:color w:val="auto"/>
                <w:sz w:val="24"/>
                <w:szCs w:val="24"/>
                <w:highlight w:val="none"/>
                <w:u w:val="single"/>
              </w:rPr>
              <w:t>（</w:t>
            </w:r>
            <w:r>
              <w:rPr>
                <w:rFonts w:hint="eastAsia" w:asciiTheme="minorEastAsia" w:hAnsiTheme="minorEastAsia" w:eastAsiaTheme="minorEastAsia" w:cstheme="minorEastAsia"/>
                <w:b/>
                <w:bCs/>
                <w:i/>
                <w:iCs/>
                <w:color w:val="auto"/>
                <w:sz w:val="24"/>
                <w:szCs w:val="24"/>
                <w:highlight w:val="none"/>
                <w:u w:val="single"/>
                <w:lang w:val="en-US" w:eastAsia="zh-CN"/>
              </w:rPr>
              <w:t>投标时</w:t>
            </w:r>
            <w:r>
              <w:rPr>
                <w:rFonts w:hint="eastAsia" w:asciiTheme="minorEastAsia" w:hAnsiTheme="minorEastAsia" w:eastAsiaTheme="minorEastAsia" w:cstheme="minorEastAsia"/>
                <w:b/>
                <w:bCs/>
                <w:i/>
                <w:iCs/>
                <w:color w:val="auto"/>
                <w:sz w:val="24"/>
                <w:szCs w:val="24"/>
                <w:highlight w:val="none"/>
                <w:u w:val="single"/>
              </w:rPr>
              <w:t>提供承诺函，格式自拟）。</w:t>
            </w:r>
          </w:p>
          <w:p w14:paraId="4468CDB2">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 扩增产物中需包含内控质量参考（IQC）标记物，可用于样品质量（如抑制物、降解）的快速评估。</w:t>
            </w:r>
          </w:p>
          <w:p w14:paraId="41AAFD79">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(4) 采用六色荧光技术，便于更清晰的分辨基因座的多态性信息，每种荧光标记基因座分配均匀，保证荧光电泳通道顺畅。</w:t>
            </w:r>
          </w:p>
          <w:p w14:paraId="5D7A2CB1">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(5) 试剂盒所有扩增片段长度小于400bp，内含不少于11个mini-STR（扩增长度在250bp以下），便于降解DNA和疑难样品更容易得到完整DNA分型信息，数据更精确更可靠。</w:t>
            </w:r>
          </w:p>
          <w:p w14:paraId="2613FBD4">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(6) 采用快速扩增酶和高效缓冲体系，能够缩短PCR扩增时间至90分钟以内。</w:t>
            </w:r>
          </w:p>
          <w:p w14:paraId="304F9C0C">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i/>
                <w:iCs/>
                <w:color w:val="auto"/>
                <w:sz w:val="24"/>
                <w:szCs w:val="24"/>
                <w:highlight w:val="none"/>
                <w:u w:val="single"/>
              </w:rPr>
              <w:t>(7)★试剂盒需符合ISO18385法医DNA级标签的要求。试剂盒需通过DAB/SWGDAM法医权威组织的方法学验证。</w:t>
            </w:r>
            <w:r>
              <w:rPr>
                <w:rFonts w:hint="eastAsia" w:asciiTheme="minorEastAsia" w:hAnsiTheme="minorEastAsia" w:eastAsiaTheme="minorEastAsia" w:cstheme="minorEastAsia"/>
                <w:b/>
                <w:bCs/>
                <w:i/>
                <w:iCs/>
                <w:color w:val="auto"/>
                <w:sz w:val="24"/>
                <w:szCs w:val="24"/>
                <w:highlight w:val="none"/>
                <w:u w:val="single"/>
              </w:rPr>
              <w:t>（投标时提供相关证明文件）</w:t>
            </w:r>
          </w:p>
          <w:p w14:paraId="500563F4">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color w:val="auto"/>
                <w:sz w:val="24"/>
                <w:szCs w:val="24"/>
                <w:highlight w:val="none"/>
                <w:vertAlign w:val="baseline"/>
              </w:rPr>
            </w:pPr>
            <w:r>
              <w:rPr>
                <w:rFonts w:hint="eastAsia" w:asciiTheme="minorEastAsia" w:hAnsiTheme="minorEastAsia" w:eastAsiaTheme="minorEastAsia" w:cstheme="minorEastAsia"/>
                <w:b w:val="0"/>
                <w:color w:val="auto"/>
                <w:sz w:val="24"/>
                <w:szCs w:val="24"/>
                <w:highlight w:val="none"/>
              </w:rPr>
              <w:t>(8) 具有中国安全技术防范认证中心颁发的《中国公共安全产品认证证书》。</w:t>
            </w:r>
          </w:p>
        </w:tc>
        <w:tc>
          <w:tcPr>
            <w:tcW w:w="1410" w:type="dxa"/>
            <w:vAlign w:val="center"/>
          </w:tcPr>
          <w:p w14:paraId="570517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200人份/盒</w:t>
            </w:r>
          </w:p>
        </w:tc>
        <w:tc>
          <w:tcPr>
            <w:tcW w:w="567" w:type="dxa"/>
            <w:vAlign w:val="center"/>
          </w:tcPr>
          <w:p w14:paraId="395AEC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vAlign w:val="center"/>
          </w:tcPr>
          <w:p w14:paraId="4EEA415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14</w:t>
            </w:r>
          </w:p>
        </w:tc>
      </w:tr>
      <w:tr w14:paraId="162DA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0C6787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18</w:t>
            </w:r>
          </w:p>
        </w:tc>
        <w:tc>
          <w:tcPr>
            <w:tcW w:w="1826" w:type="dxa"/>
            <w:vAlign w:val="center"/>
          </w:tcPr>
          <w:p w14:paraId="15E15D9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rPr>
            </w:pPr>
            <w:r>
              <w:rPr>
                <w:rFonts w:hint="eastAsia" w:asciiTheme="minorEastAsia" w:hAnsiTheme="minorEastAsia" w:eastAsiaTheme="minorEastAsia" w:cstheme="minorEastAsia"/>
                <w:b w:val="0"/>
                <w:bCs w:val="0"/>
                <w:color w:val="auto"/>
                <w:sz w:val="24"/>
                <w:szCs w:val="24"/>
                <w:highlight w:val="none"/>
              </w:rPr>
              <w:t>Y染色体扩增试剂盒（案件版）</w:t>
            </w:r>
          </w:p>
        </w:tc>
        <w:tc>
          <w:tcPr>
            <w:tcW w:w="4535" w:type="dxa"/>
          </w:tcPr>
          <w:p w14:paraId="0DF55781">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i/>
                <w:iCs/>
                <w:color w:val="auto"/>
                <w:sz w:val="24"/>
                <w:szCs w:val="24"/>
                <w:highlight w:val="none"/>
                <w:u w:val="single"/>
              </w:rPr>
              <w:t>(1)★采用六色荧光技术，单管同时扩增至少38个Y-STR基因座，包含公安部要求的20个核心基因座和15个优选基因座。〈1〉核心基因座：DYS19、DYS385a/b、DYS389Ⅰ、DYS389Ⅱ、DYS390、DYS391、DYS392、DYS393、DYS437、DYS438、DYS439、DYS448、DYS456、DYS458、DYS635、Y GATA H4、DYS481、DYS533、DYS576。〈2〉优选基因座：DYS643、DYS460、DYS549、DYF387S1a/b、DYS449、DYS518、DYS627、DYS570、DYS527a/b、DYS447、DYS444、DYS557、DYS596。扩增产物中含3个Y-Indel遗传标记，用于家系的初步排查。</w:t>
            </w:r>
            <w:r>
              <w:rPr>
                <w:rFonts w:hint="eastAsia" w:asciiTheme="minorEastAsia" w:hAnsiTheme="minorEastAsia" w:eastAsiaTheme="minorEastAsia" w:cstheme="minorEastAsia"/>
                <w:b/>
                <w:bCs/>
                <w:i/>
                <w:iCs/>
                <w:color w:val="auto"/>
                <w:sz w:val="24"/>
                <w:szCs w:val="24"/>
                <w:highlight w:val="none"/>
                <w:u w:val="single"/>
              </w:rPr>
              <w:t>（投标时提供相关证明文件）</w:t>
            </w:r>
          </w:p>
          <w:p w14:paraId="6E63DEC4">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 在25ul扩增体系中，试剂盒的灵敏度为125pgDNA模板量</w:t>
            </w:r>
          </w:p>
          <w:p w14:paraId="0A0DE77B">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 采用快速扩增酶和高效缓冲体系，能够缩短PCR扩增时间至80分钟以内。</w:t>
            </w:r>
          </w:p>
          <w:p w14:paraId="0027DDF8">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(4) 扩增产物中至少含有1个内部质量参考（IQC，Internal Quality Control），用于判定PCR扩增效能。</w:t>
            </w:r>
          </w:p>
          <w:p w14:paraId="44BA665B">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(5) 最大检测片段小于550bp，内含有11个Mini-STR (扩增子长度在250 bp以下)，用于严重降解样品。公安部要求的20个核心基因座的最大扩增产物不超过420bp。</w:t>
            </w:r>
          </w:p>
          <w:p w14:paraId="19F5D46A">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(6) 所投试剂盒真实Bin和虚拟Bin合计不少于650个，其中真实Bin超过450个。</w:t>
            </w:r>
          </w:p>
          <w:p w14:paraId="60268633">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(7) Y染色体特异性高，在高达1:4000的高女性DNA背景条件仍能够完全检出男性DNA的分型。</w:t>
            </w:r>
          </w:p>
          <w:p w14:paraId="6403490F">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color w:val="auto"/>
                <w:sz w:val="24"/>
                <w:szCs w:val="24"/>
                <w:highlight w:val="none"/>
                <w:vertAlign w:val="baseline"/>
              </w:rPr>
            </w:pPr>
            <w:r>
              <w:rPr>
                <w:rFonts w:hint="eastAsia" w:asciiTheme="minorEastAsia" w:hAnsiTheme="minorEastAsia" w:eastAsiaTheme="minorEastAsia" w:cstheme="minorEastAsia"/>
                <w:b w:val="0"/>
                <w:i/>
                <w:iCs/>
                <w:color w:val="auto"/>
                <w:sz w:val="24"/>
                <w:szCs w:val="24"/>
                <w:highlight w:val="none"/>
                <w:u w:val="single"/>
              </w:rPr>
              <w:t>(8)★试剂盒制造商通过ISO18385法医级认证。试剂盒需通过DAB/SWGDAM法医权威组织的方法学验证。</w:t>
            </w:r>
            <w:r>
              <w:rPr>
                <w:rFonts w:hint="eastAsia" w:asciiTheme="minorEastAsia" w:hAnsiTheme="minorEastAsia" w:eastAsiaTheme="minorEastAsia" w:cstheme="minorEastAsia"/>
                <w:b/>
                <w:bCs/>
                <w:i/>
                <w:iCs/>
                <w:color w:val="auto"/>
                <w:sz w:val="24"/>
                <w:szCs w:val="24"/>
                <w:highlight w:val="none"/>
                <w:u w:val="single"/>
              </w:rPr>
              <w:t>（</w:t>
            </w:r>
            <w:r>
              <w:rPr>
                <w:rFonts w:hint="eastAsia" w:asciiTheme="minorEastAsia" w:hAnsiTheme="minorEastAsia" w:eastAsiaTheme="minorEastAsia" w:cstheme="minorEastAsia"/>
                <w:b/>
                <w:bCs/>
                <w:i/>
                <w:iCs/>
                <w:color w:val="auto"/>
                <w:sz w:val="24"/>
                <w:szCs w:val="24"/>
                <w:highlight w:val="none"/>
                <w:u w:val="single"/>
                <w:lang w:val="en-US" w:eastAsia="zh-CN"/>
              </w:rPr>
              <w:t>投标时</w:t>
            </w:r>
            <w:r>
              <w:rPr>
                <w:rFonts w:hint="eastAsia" w:asciiTheme="minorEastAsia" w:hAnsiTheme="minorEastAsia" w:eastAsiaTheme="minorEastAsia" w:cstheme="minorEastAsia"/>
                <w:b/>
                <w:bCs/>
                <w:i/>
                <w:iCs/>
                <w:color w:val="auto"/>
                <w:sz w:val="24"/>
                <w:szCs w:val="24"/>
                <w:highlight w:val="none"/>
                <w:u w:val="single"/>
              </w:rPr>
              <w:t>提供承诺函，格式自拟）。</w:t>
            </w:r>
          </w:p>
        </w:tc>
        <w:tc>
          <w:tcPr>
            <w:tcW w:w="1410" w:type="dxa"/>
            <w:vAlign w:val="center"/>
          </w:tcPr>
          <w:p w14:paraId="41BA761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color w:val="auto"/>
                <w:sz w:val="24"/>
                <w:szCs w:val="24"/>
                <w:highlight w:val="none"/>
              </w:rPr>
              <w:t>200人份/盒</w:t>
            </w:r>
          </w:p>
        </w:tc>
        <w:tc>
          <w:tcPr>
            <w:tcW w:w="567" w:type="dxa"/>
            <w:vAlign w:val="center"/>
          </w:tcPr>
          <w:p w14:paraId="457499E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color w:val="auto"/>
                <w:sz w:val="24"/>
                <w:szCs w:val="24"/>
                <w:highlight w:val="none"/>
              </w:rPr>
              <w:t>盒</w:t>
            </w:r>
          </w:p>
        </w:tc>
        <w:tc>
          <w:tcPr>
            <w:tcW w:w="567" w:type="dxa"/>
            <w:vAlign w:val="center"/>
          </w:tcPr>
          <w:p w14:paraId="4BE1E8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color w:val="auto"/>
                <w:sz w:val="24"/>
                <w:szCs w:val="24"/>
                <w:highlight w:val="none"/>
              </w:rPr>
              <w:t>2</w:t>
            </w:r>
          </w:p>
        </w:tc>
      </w:tr>
      <w:tr w14:paraId="29AD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C8300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19</w:t>
            </w:r>
          </w:p>
        </w:tc>
        <w:tc>
          <w:tcPr>
            <w:tcW w:w="1826" w:type="dxa"/>
            <w:vAlign w:val="center"/>
          </w:tcPr>
          <w:p w14:paraId="345216E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rPr>
            </w:pPr>
            <w:r>
              <w:rPr>
                <w:rFonts w:hint="eastAsia" w:asciiTheme="minorEastAsia" w:hAnsiTheme="minorEastAsia" w:eastAsiaTheme="minorEastAsia" w:cstheme="minorEastAsia"/>
                <w:b w:val="0"/>
                <w:bCs w:val="0"/>
                <w:color w:val="auto"/>
                <w:sz w:val="24"/>
                <w:szCs w:val="24"/>
                <w:highlight w:val="none"/>
              </w:rPr>
              <w:t>BTA纯化试剂盒</w:t>
            </w:r>
          </w:p>
        </w:tc>
        <w:tc>
          <w:tcPr>
            <w:tcW w:w="4535" w:type="dxa"/>
          </w:tcPr>
          <w:p w14:paraId="6A24E037">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val="0"/>
                <w:i/>
                <w:iCs/>
                <w:color w:val="auto"/>
                <w:sz w:val="24"/>
                <w:szCs w:val="24"/>
                <w:highlight w:val="none"/>
                <w:u w:val="single"/>
              </w:rPr>
            </w:pPr>
            <w:r>
              <w:rPr>
                <w:rFonts w:hint="eastAsia" w:asciiTheme="minorEastAsia" w:hAnsiTheme="minorEastAsia" w:eastAsiaTheme="minorEastAsia" w:cstheme="minorEastAsia"/>
                <w:b w:val="0"/>
                <w:i/>
                <w:iCs/>
                <w:color w:val="auto"/>
                <w:sz w:val="24"/>
                <w:szCs w:val="24"/>
                <w:highlight w:val="none"/>
                <w:u w:val="single"/>
              </w:rPr>
              <w:t>(1)★配套AutoMate Express法医DNA纯化仪使用。</w:t>
            </w:r>
            <w:r>
              <w:rPr>
                <w:rFonts w:hint="eastAsia" w:asciiTheme="minorEastAsia" w:hAnsiTheme="minorEastAsia" w:eastAsiaTheme="minorEastAsia" w:cstheme="minorEastAsia"/>
                <w:b/>
                <w:bCs/>
                <w:i/>
                <w:iCs/>
                <w:color w:val="auto"/>
                <w:sz w:val="24"/>
                <w:szCs w:val="24"/>
                <w:highlight w:val="none"/>
                <w:u w:val="single"/>
              </w:rPr>
              <w:t>（提供承诺函，格式自拟）</w:t>
            </w:r>
          </w:p>
          <w:p w14:paraId="4925040B">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 提供高质量的DNA，不含PCR抑制剂，适用于下游应用，例如定量实时PCR和短串联重复序列（STR）分析</w:t>
            </w:r>
          </w:p>
          <w:p w14:paraId="4F65840F">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 采用磁珠法进行DNA提取纯化，吸附和洗脱能力强。30分钟内完成普通检材的提取，2小时内完成骨骼、牙齿及粘附型疑难检材的提取。使用独特的PrepFiler LySep色谱柱，可从裂解液中快速简便地分离底物。</w:t>
            </w:r>
          </w:p>
          <w:p w14:paraId="7FEC17A3">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(4) 封闭式系统，可将污染和移位错误的风险降至最低。</w:t>
            </w:r>
          </w:p>
          <w:p w14:paraId="1966CA80">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Theme="minorEastAsia" w:hAnsiTheme="minorEastAsia" w:eastAsiaTheme="minorEastAsia" w:cstheme="minorEastAsia"/>
                <w:b/>
                <w:color w:val="auto"/>
                <w:sz w:val="24"/>
                <w:szCs w:val="24"/>
                <w:highlight w:val="none"/>
                <w:vertAlign w:val="baseline"/>
              </w:rPr>
            </w:pPr>
            <w:r>
              <w:rPr>
                <w:rFonts w:hint="eastAsia" w:asciiTheme="minorEastAsia" w:hAnsiTheme="minorEastAsia" w:eastAsiaTheme="minorEastAsia" w:cstheme="minorEastAsia"/>
                <w:b w:val="0"/>
                <w:color w:val="auto"/>
                <w:sz w:val="24"/>
                <w:szCs w:val="24"/>
                <w:highlight w:val="none"/>
              </w:rPr>
              <w:t>(5) 试剂盒需通过DAB/SWGDAM法医权威组织的方法学验证。</w:t>
            </w:r>
          </w:p>
        </w:tc>
        <w:tc>
          <w:tcPr>
            <w:tcW w:w="1410" w:type="dxa"/>
            <w:vAlign w:val="center"/>
          </w:tcPr>
          <w:p w14:paraId="4111AD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52人份/盒</w:t>
            </w:r>
          </w:p>
        </w:tc>
        <w:tc>
          <w:tcPr>
            <w:tcW w:w="567" w:type="dxa"/>
            <w:vAlign w:val="center"/>
          </w:tcPr>
          <w:p w14:paraId="2D2B59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盒</w:t>
            </w:r>
          </w:p>
        </w:tc>
        <w:tc>
          <w:tcPr>
            <w:tcW w:w="567" w:type="dxa"/>
            <w:vAlign w:val="center"/>
          </w:tcPr>
          <w:p w14:paraId="3D5CCC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20</w:t>
            </w:r>
          </w:p>
        </w:tc>
      </w:tr>
    </w:tbl>
    <w:p w14:paraId="26AAB848">
      <w:pPr>
        <w:keepNext w:val="0"/>
        <w:keepLines w:val="0"/>
        <w:pageBreakBefore w:val="0"/>
        <w:widowControl w:val="0"/>
        <w:spacing w:line="520" w:lineRule="exact"/>
        <w:ind w:firstLine="482"/>
        <w:jc w:val="left"/>
        <w:rPr>
          <w:rFonts w:hint="eastAsia" w:ascii="宋体" w:hAnsi="宋体" w:cs="宋体"/>
          <w:sz w:val="24"/>
          <w:szCs w:val="24"/>
          <w:highlight w:val="none"/>
          <w:lang w:val="en-US" w:eastAsia="zh-CN"/>
        </w:rPr>
      </w:pPr>
      <w:r>
        <w:rPr>
          <w:rFonts w:hint="eastAsia" w:ascii="宋体" w:hAnsi="宋体" w:cs="宋体"/>
          <w:b/>
          <w:bCs/>
          <w:sz w:val="24"/>
          <w:szCs w:val="24"/>
          <w:highlight w:val="none"/>
          <w:lang w:val="en-US" w:eastAsia="zh-CN"/>
        </w:rPr>
        <w:t>注：1、本项目核心产品：常染色体扩增试剂盒（案件版）。</w:t>
      </w:r>
    </w:p>
    <w:p w14:paraId="7F211373">
      <w:pPr>
        <w:keepNext w:val="0"/>
        <w:keepLines w:val="0"/>
        <w:pageBreakBefore w:val="0"/>
        <w:widowControl w:val="0"/>
        <w:spacing w:line="520" w:lineRule="exact"/>
        <w:ind w:firstLine="482"/>
        <w:jc w:val="left"/>
        <w:rPr>
          <w:rFonts w:hint="eastAsia" w:ascii="宋体" w:hAnsi="宋体" w:cs="宋体"/>
          <w:b/>
          <w:bCs/>
          <w:i/>
          <w:iCs/>
          <w:sz w:val="24"/>
          <w:szCs w:val="24"/>
          <w:highlight w:val="none"/>
          <w:u w:val="single"/>
          <w:lang w:val="en-US" w:eastAsia="zh-CN"/>
        </w:rPr>
      </w:pPr>
      <w:r>
        <w:rPr>
          <w:rFonts w:hint="eastAsia" w:asciiTheme="minorEastAsia" w:hAnsiTheme="minorEastAsia" w:cstheme="minorEastAsia"/>
          <w:b/>
          <w:bCs/>
          <w:i/>
          <w:iCs/>
          <w:color w:val="auto"/>
          <w:sz w:val="24"/>
          <w:szCs w:val="24"/>
          <w:highlight w:val="none"/>
          <w:u w:val="single"/>
          <w:lang w:val="en-US" w:eastAsia="zh-CN"/>
        </w:rPr>
        <w:t>2</w:t>
      </w:r>
      <w:r>
        <w:rPr>
          <w:rFonts w:hint="eastAsia" w:asciiTheme="minorEastAsia" w:hAnsiTheme="minorEastAsia" w:cstheme="minorEastAsia"/>
          <w:b/>
          <w:bCs/>
          <w:i/>
          <w:iCs/>
          <w:color w:val="auto"/>
          <w:sz w:val="24"/>
          <w:szCs w:val="24"/>
          <w:highlight w:val="none"/>
          <w:u w:val="single"/>
          <w:lang w:eastAsia="zh-CN"/>
        </w:rPr>
        <w:t>、</w:t>
      </w:r>
      <w:r>
        <w:rPr>
          <w:rFonts w:hint="eastAsia" w:asciiTheme="minorEastAsia" w:hAnsiTheme="minorEastAsia" w:eastAsiaTheme="minorEastAsia" w:cstheme="minorEastAsia"/>
          <w:b/>
          <w:bCs/>
          <w:i/>
          <w:iCs/>
          <w:color w:val="auto"/>
          <w:sz w:val="24"/>
          <w:szCs w:val="24"/>
          <w:highlight w:val="none"/>
          <w:u w:val="single"/>
        </w:rPr>
        <w:t>为确保重点产品的质量，投标人投标时须提供下列2项材料中的任意</w:t>
      </w:r>
      <w:r>
        <w:rPr>
          <w:rFonts w:hint="eastAsia" w:asciiTheme="minorEastAsia" w:hAnsiTheme="minorEastAsia" w:cstheme="minorEastAsia"/>
          <w:b/>
          <w:bCs/>
          <w:i/>
          <w:iCs/>
          <w:color w:val="auto"/>
          <w:sz w:val="24"/>
          <w:szCs w:val="24"/>
          <w:highlight w:val="none"/>
          <w:u w:val="single"/>
          <w:lang w:val="en-US" w:eastAsia="zh-CN"/>
        </w:rPr>
        <w:t>1</w:t>
      </w:r>
      <w:r>
        <w:rPr>
          <w:rFonts w:hint="eastAsia" w:asciiTheme="minorEastAsia" w:hAnsiTheme="minorEastAsia" w:eastAsiaTheme="minorEastAsia" w:cstheme="minorEastAsia"/>
          <w:b/>
          <w:bCs/>
          <w:i/>
          <w:iCs/>
          <w:color w:val="auto"/>
          <w:sz w:val="24"/>
          <w:szCs w:val="24"/>
          <w:highlight w:val="none"/>
          <w:u w:val="single"/>
        </w:rPr>
        <w:t>项</w:t>
      </w:r>
      <w:r>
        <w:rPr>
          <w:rFonts w:hint="eastAsia" w:ascii="宋体" w:hAnsi="宋体" w:cs="宋体"/>
          <w:b/>
          <w:bCs/>
          <w:i/>
          <w:iCs/>
          <w:sz w:val="24"/>
          <w:szCs w:val="24"/>
          <w:highlight w:val="none"/>
          <w:u w:val="single"/>
          <w:lang w:val="en-US" w:eastAsia="zh-CN"/>
        </w:rPr>
        <w:t>：</w:t>
      </w:r>
    </w:p>
    <w:p w14:paraId="1CD11FE7">
      <w:pPr>
        <w:keepNext w:val="0"/>
        <w:keepLines w:val="0"/>
        <w:pageBreakBefore w:val="0"/>
        <w:widowControl w:val="0"/>
        <w:spacing w:line="520" w:lineRule="exact"/>
        <w:ind w:firstLine="482"/>
        <w:jc w:val="left"/>
        <w:rPr>
          <w:rFonts w:hint="eastAsia" w:ascii="宋体" w:hAnsi="宋体" w:cs="宋体"/>
          <w:b/>
          <w:bCs/>
          <w:i/>
          <w:iCs/>
          <w:sz w:val="24"/>
          <w:szCs w:val="24"/>
          <w:highlight w:val="none"/>
          <w:u w:val="single"/>
          <w:lang w:val="en-US" w:eastAsia="zh-CN"/>
        </w:rPr>
      </w:pPr>
      <w:r>
        <w:rPr>
          <w:rFonts w:hint="eastAsia" w:ascii="宋体" w:hAnsi="宋体" w:cs="宋体"/>
          <w:b/>
          <w:bCs/>
          <w:i/>
          <w:iCs/>
          <w:sz w:val="24"/>
          <w:szCs w:val="24"/>
          <w:highlight w:val="none"/>
          <w:u w:val="single"/>
          <w:lang w:val="en-US" w:eastAsia="zh-CN"/>
        </w:rPr>
        <w:t>①</w:t>
      </w:r>
      <w:r>
        <w:rPr>
          <w:rFonts w:hint="eastAsia" w:asciiTheme="minorEastAsia" w:hAnsiTheme="minorEastAsia" w:eastAsiaTheme="minorEastAsia" w:cstheme="minorEastAsia"/>
          <w:b/>
          <w:bCs/>
          <w:i/>
          <w:iCs/>
          <w:color w:val="auto"/>
          <w:sz w:val="24"/>
          <w:szCs w:val="24"/>
          <w:highlight w:val="none"/>
          <w:u w:val="single"/>
        </w:rPr>
        <w:t>采购清单中第9、11、12、17、18、19项</w:t>
      </w:r>
      <w:r>
        <w:rPr>
          <w:rFonts w:hint="eastAsia" w:ascii="宋体" w:hAnsi="宋体" w:cs="宋体"/>
          <w:b/>
          <w:bCs/>
          <w:i/>
          <w:iCs/>
          <w:sz w:val="24"/>
          <w:szCs w:val="24"/>
          <w:highlight w:val="none"/>
          <w:u w:val="single"/>
          <w:lang w:val="en-US" w:eastAsia="zh-CN"/>
        </w:rPr>
        <w:t>货物的生产制造商出具的针对本项目的项目代理授权书原件和售后服务承诺书原件并加盖制造商公章。</w:t>
      </w:r>
    </w:p>
    <w:p w14:paraId="74D6F672">
      <w:pPr>
        <w:keepNext w:val="0"/>
        <w:keepLines w:val="0"/>
        <w:pageBreakBefore w:val="0"/>
        <w:widowControl w:val="0"/>
        <w:spacing w:line="520" w:lineRule="exact"/>
        <w:ind w:firstLine="482"/>
        <w:jc w:val="left"/>
        <w:rPr>
          <w:rFonts w:hint="eastAsia" w:ascii="宋体" w:hAnsi="宋体" w:cs="宋体"/>
          <w:b/>
          <w:bCs/>
          <w:i/>
          <w:iCs/>
          <w:sz w:val="24"/>
          <w:szCs w:val="24"/>
          <w:highlight w:val="none"/>
          <w:u w:val="single"/>
          <w:lang w:val="en-US" w:eastAsia="zh-CN"/>
        </w:rPr>
      </w:pPr>
      <w:r>
        <w:rPr>
          <w:rFonts w:hint="eastAsia" w:ascii="宋体" w:hAnsi="宋体" w:cs="宋体"/>
          <w:b/>
          <w:bCs/>
          <w:i/>
          <w:iCs/>
          <w:sz w:val="24"/>
          <w:szCs w:val="24"/>
          <w:highlight w:val="none"/>
          <w:u w:val="single"/>
          <w:lang w:val="en-US" w:eastAsia="zh-CN"/>
        </w:rPr>
        <w:t>②投标人承诺“中标后一周内提供</w:t>
      </w:r>
      <w:r>
        <w:rPr>
          <w:rFonts w:hint="eastAsia" w:asciiTheme="minorEastAsia" w:hAnsiTheme="minorEastAsia" w:eastAsiaTheme="minorEastAsia" w:cstheme="minorEastAsia"/>
          <w:b/>
          <w:bCs/>
          <w:i/>
          <w:iCs/>
          <w:color w:val="auto"/>
          <w:sz w:val="24"/>
          <w:szCs w:val="24"/>
          <w:highlight w:val="none"/>
          <w:u w:val="single"/>
        </w:rPr>
        <w:t>采购清单中第9、11、12、17、18、19项</w:t>
      </w:r>
      <w:r>
        <w:rPr>
          <w:rFonts w:hint="eastAsia" w:ascii="宋体" w:hAnsi="宋体" w:cs="宋体"/>
          <w:b/>
          <w:bCs/>
          <w:i/>
          <w:iCs/>
          <w:sz w:val="24"/>
          <w:szCs w:val="24"/>
          <w:highlight w:val="none"/>
          <w:u w:val="single"/>
          <w:lang w:val="en-US" w:eastAsia="zh-CN"/>
        </w:rPr>
        <w:t>货物的生产制造商出具的针对本项目的项目代理授权书原件和售后服务承诺书原件并加盖制造商公章”的承诺书原件加盖投标人公章。</w:t>
      </w:r>
    </w:p>
    <w:p w14:paraId="202CE10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cstheme="minorEastAsia"/>
          <w:b/>
          <w:bCs/>
          <w:i/>
          <w:iCs/>
          <w:color w:val="auto"/>
          <w:sz w:val="24"/>
          <w:szCs w:val="24"/>
          <w:highlight w:val="none"/>
          <w:u w:val="single"/>
          <w:lang w:val="en-US" w:eastAsia="zh-CN"/>
        </w:rPr>
        <w:t>3</w:t>
      </w:r>
      <w:r>
        <w:rPr>
          <w:rFonts w:hint="eastAsia" w:asciiTheme="minorEastAsia" w:hAnsiTheme="minorEastAsia" w:cstheme="minorEastAsia"/>
          <w:b/>
          <w:bCs/>
          <w:i/>
          <w:iCs/>
          <w:color w:val="auto"/>
          <w:sz w:val="24"/>
          <w:szCs w:val="24"/>
          <w:highlight w:val="none"/>
          <w:u w:val="single"/>
          <w:lang w:eastAsia="zh-CN"/>
        </w:rPr>
        <w:t>、产品技术参数</w:t>
      </w:r>
      <w:r>
        <w:rPr>
          <w:rFonts w:hint="eastAsia" w:asciiTheme="minorEastAsia" w:hAnsiTheme="minorEastAsia" w:cstheme="minorEastAsia"/>
          <w:b/>
          <w:bCs/>
          <w:i/>
          <w:iCs/>
          <w:color w:val="auto"/>
          <w:sz w:val="24"/>
          <w:szCs w:val="24"/>
          <w:highlight w:val="none"/>
          <w:u w:val="single"/>
          <w:lang w:val="en-US" w:eastAsia="zh-CN"/>
        </w:rPr>
        <w:t>中</w:t>
      </w:r>
      <w:r>
        <w:rPr>
          <w:rFonts w:hint="eastAsia" w:asciiTheme="minorEastAsia" w:hAnsiTheme="minorEastAsia" w:eastAsiaTheme="minorEastAsia" w:cstheme="minorEastAsia"/>
          <w:b/>
          <w:bCs/>
          <w:i/>
          <w:iCs/>
          <w:color w:val="auto"/>
          <w:sz w:val="24"/>
          <w:szCs w:val="24"/>
          <w:highlight w:val="none"/>
          <w:u w:val="single"/>
        </w:rPr>
        <w:t>“★”内容要求为实质性要求，不允许负偏离，</w:t>
      </w:r>
      <w:r>
        <w:rPr>
          <w:rFonts w:hint="eastAsia" w:asciiTheme="minorEastAsia" w:hAnsiTheme="minorEastAsia" w:cstheme="minorEastAsia"/>
          <w:b/>
          <w:bCs/>
          <w:i/>
          <w:iCs/>
          <w:color w:val="auto"/>
          <w:sz w:val="24"/>
          <w:szCs w:val="24"/>
          <w:highlight w:val="none"/>
          <w:u w:val="single"/>
          <w:lang w:val="en-US" w:eastAsia="zh-CN"/>
        </w:rPr>
        <w:t>投标时</w:t>
      </w:r>
      <w:r>
        <w:rPr>
          <w:rFonts w:hint="eastAsia" w:asciiTheme="minorEastAsia" w:hAnsiTheme="minorEastAsia" w:eastAsiaTheme="minorEastAsia" w:cstheme="minorEastAsia"/>
          <w:b/>
          <w:bCs/>
          <w:i/>
          <w:iCs/>
          <w:color w:val="auto"/>
          <w:sz w:val="24"/>
          <w:szCs w:val="24"/>
          <w:highlight w:val="none"/>
          <w:u w:val="single"/>
        </w:rPr>
        <w:t>须按要求提供有关材料，否则作为不实质响应谈判文件处理。</w:t>
      </w:r>
    </w:p>
    <w:p w14:paraId="2AE4613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color w:val="auto"/>
          <w:sz w:val="24"/>
          <w:szCs w:val="24"/>
          <w:highlight w:val="none"/>
          <w:lang w:val="en-US" w:eastAsia="zh-CN"/>
        </w:rPr>
        <w:t>二</w:t>
      </w:r>
      <w:r>
        <w:rPr>
          <w:rFonts w:hint="eastAsia" w:asciiTheme="minorEastAsia" w:hAnsi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其他要求</w:t>
      </w:r>
    </w:p>
    <w:p w14:paraId="3FBA8AF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color w:val="auto"/>
          <w:sz w:val="24"/>
          <w:szCs w:val="24"/>
          <w:highlight w:val="none"/>
          <w:lang w:val="en-US" w:eastAsia="zh-CN"/>
        </w:rPr>
        <w:t>1</w:t>
      </w:r>
      <w:r>
        <w:rPr>
          <w:rFonts w:hint="eastAsia" w:asciiTheme="minorEastAsia" w:hAnsi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rPr>
        <w:t>供应商须提供符合采购需求、符合国家质量检测标准的正版合格产品。供应商应提供成交货物齐全的资料（包括使用说明、操作手册、合格证明、专用工具和相应质检手续证明文件等）。</w:t>
      </w:r>
    </w:p>
    <w:p w14:paraId="39C03C9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color w:val="auto"/>
          <w:sz w:val="24"/>
          <w:szCs w:val="24"/>
          <w:highlight w:val="none"/>
          <w:lang w:val="en-US" w:eastAsia="zh-CN"/>
        </w:rPr>
        <w:t>2</w:t>
      </w:r>
      <w:r>
        <w:rPr>
          <w:rFonts w:hint="eastAsia" w:asciiTheme="minorEastAsia" w:hAnsi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rPr>
        <w:t>质保期：不少于一年（原厂质保），自验收合格之日起计。在免费质保期内，采购人向成交供应商发出故障通知后，成交供应商应当在2小时以内响应，一般故障须在6小时内解决，重大故障须在24小时内解决。在质保期内，同一商品、同一质量问题连续两次维修仍无法正常使用，成交供应商必须无条件给予全套全新更换。</w:t>
      </w:r>
    </w:p>
    <w:p w14:paraId="1CF2E3C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color w:val="auto"/>
          <w:sz w:val="24"/>
          <w:szCs w:val="24"/>
          <w:highlight w:val="none"/>
          <w:lang w:val="en-US" w:eastAsia="zh-CN"/>
        </w:rPr>
        <w:t>3</w:t>
      </w:r>
      <w:r>
        <w:rPr>
          <w:rFonts w:hint="eastAsia" w:asciiTheme="minorEastAsia" w:hAnsi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rPr>
        <w:t>供应商必须制定详细而周详的售后服务计划（包括对所投货物的日常使用保养与管理，常见故障排除，紧急情况的处理等），费用含入响应报价。</w:t>
      </w:r>
    </w:p>
    <w:p w14:paraId="033F99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color w:val="auto"/>
          <w:sz w:val="24"/>
          <w:szCs w:val="24"/>
          <w:highlight w:val="none"/>
          <w:lang w:val="en-US" w:eastAsia="zh-CN"/>
        </w:rPr>
        <w:t>三</w:t>
      </w:r>
      <w:r>
        <w:rPr>
          <w:rFonts w:hint="eastAsia" w:asciiTheme="minorEastAsia" w:hAnsi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交货及验收</w:t>
      </w:r>
    </w:p>
    <w:p w14:paraId="1C7FED4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1</w:t>
      </w:r>
      <w:r>
        <w:rPr>
          <w:rFonts w:hint="eastAsia" w:asciiTheme="minorEastAsia" w:hAnsi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rPr>
        <w:t>交货地点：由采购单位指定地点（江苏盐城）</w:t>
      </w:r>
      <w:r>
        <w:rPr>
          <w:rFonts w:hint="eastAsia" w:asciiTheme="minorEastAsia" w:hAnsiTheme="minorEastAsia" w:cstheme="minorEastAsia"/>
          <w:b w:val="0"/>
          <w:color w:val="auto"/>
          <w:sz w:val="24"/>
          <w:szCs w:val="24"/>
          <w:highlight w:val="none"/>
          <w:lang w:eastAsia="zh-CN"/>
        </w:rPr>
        <w:t>。</w:t>
      </w:r>
    </w:p>
    <w:p w14:paraId="2F0239F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2</w:t>
      </w:r>
      <w:r>
        <w:rPr>
          <w:rFonts w:hint="eastAsia" w:asciiTheme="minorEastAsia" w:hAnsi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rPr>
        <w:t>采购货物的交货时间：成交供应商应当按照响应承诺如期供货，如不能如期供货，采购人有权终止合同，成交供应商须承担由此对采购人造成的损失</w:t>
      </w:r>
      <w:r>
        <w:rPr>
          <w:rFonts w:hint="eastAsia" w:asciiTheme="minorEastAsia" w:hAnsiTheme="minorEastAsia" w:cstheme="minorEastAsia"/>
          <w:b w:val="0"/>
          <w:color w:val="auto"/>
          <w:sz w:val="24"/>
          <w:szCs w:val="24"/>
          <w:highlight w:val="none"/>
          <w:lang w:eastAsia="zh-CN"/>
        </w:rPr>
        <w:t>。</w:t>
      </w:r>
    </w:p>
    <w:p w14:paraId="2B1C5CD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color w:val="auto"/>
          <w:sz w:val="24"/>
          <w:szCs w:val="24"/>
          <w:highlight w:val="none"/>
        </w:rPr>
        <w:t>3</w:t>
      </w:r>
      <w:r>
        <w:rPr>
          <w:rFonts w:hint="eastAsia" w:asciiTheme="minorEastAsia" w:hAnsi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rPr>
        <w:t>成交供应商所供货物应当符合设备本身的规格、技术条件及供应商承诺的其它指标；产品配置必须原厂出厂时全部自带，所有设备外包装箱不得自行拆封，包装箱上所有标签等不得涂改或撕毁，否则采购人有权拒绝验收</w:t>
      </w:r>
      <w:r>
        <w:rPr>
          <w:rFonts w:hint="eastAsia" w:asciiTheme="minorEastAsia" w:hAnsiTheme="minorEastAsia" w:cstheme="minorEastAsia"/>
          <w:b w:val="0"/>
          <w:color w:val="auto"/>
          <w:sz w:val="24"/>
          <w:szCs w:val="24"/>
          <w:highlight w:val="none"/>
          <w:lang w:eastAsia="zh-CN"/>
        </w:rPr>
        <w:t>。</w:t>
      </w:r>
    </w:p>
    <w:p w14:paraId="7DA6ADD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4</w:t>
      </w:r>
      <w:r>
        <w:rPr>
          <w:rFonts w:hint="eastAsia" w:asciiTheme="minorEastAsia" w:hAnsi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rPr>
        <w:t>合同签订后10日内完成供货并提交书面验收资料给采购人申请验收，采购人根据采购项目的具体情况依法组织履约验收工作。如成交供应商所供货物经验收小组认定质量不合格的，造成的损失和后果由该成交供应商负全责。</w:t>
      </w:r>
    </w:p>
    <w:p w14:paraId="2188455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color w:val="auto"/>
          <w:sz w:val="24"/>
          <w:szCs w:val="24"/>
          <w:highlight w:val="none"/>
          <w:lang w:val="en-US" w:eastAsia="zh-CN"/>
        </w:rPr>
        <w:t>四</w:t>
      </w:r>
      <w:r>
        <w:rPr>
          <w:rFonts w:hint="eastAsia" w:asciiTheme="minorEastAsia" w:hAnsi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采购标的对应的中小企业划分标准所属行业一览表</w:t>
      </w:r>
    </w:p>
    <w:tbl>
      <w:tblPr>
        <w:tblStyle w:val="37"/>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91"/>
        <w:gridCol w:w="4768"/>
        <w:gridCol w:w="3012"/>
      </w:tblGrid>
      <w:tr w14:paraId="70E21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1" w:type="dxa"/>
            <w:vAlign w:val="center"/>
          </w:tcPr>
          <w:p w14:paraId="631DA9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序号</w:t>
            </w:r>
          </w:p>
        </w:tc>
        <w:tc>
          <w:tcPr>
            <w:tcW w:w="4361" w:type="dxa"/>
            <w:vAlign w:val="center"/>
          </w:tcPr>
          <w:p w14:paraId="3D210C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采购标的</w:t>
            </w:r>
          </w:p>
        </w:tc>
        <w:tc>
          <w:tcPr>
            <w:tcW w:w="2754" w:type="dxa"/>
            <w:vAlign w:val="center"/>
          </w:tcPr>
          <w:p w14:paraId="4838B8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对应中小企业划分标准所属行业</w:t>
            </w:r>
          </w:p>
        </w:tc>
      </w:tr>
      <w:tr w14:paraId="60BA5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1" w:type="dxa"/>
            <w:vAlign w:val="center"/>
          </w:tcPr>
          <w:p w14:paraId="50D4B9B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w:t>
            </w:r>
          </w:p>
        </w:tc>
        <w:tc>
          <w:tcPr>
            <w:tcW w:w="4361" w:type="dxa"/>
            <w:vAlign w:val="center"/>
          </w:tcPr>
          <w:p w14:paraId="17CCA42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b w:val="0"/>
                <w:color w:val="auto"/>
                <w:sz w:val="24"/>
                <w:szCs w:val="24"/>
                <w:highlight w:val="none"/>
                <w:lang w:eastAsia="zh-CN"/>
              </w:rPr>
              <w:t>盐城市公安局亭湖分局2026年度DNA专业耗材采购项目</w:t>
            </w:r>
          </w:p>
        </w:tc>
        <w:tc>
          <w:tcPr>
            <w:tcW w:w="2754" w:type="dxa"/>
            <w:vAlign w:val="center"/>
          </w:tcPr>
          <w:p w14:paraId="5E2E81F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工业</w:t>
            </w:r>
          </w:p>
        </w:tc>
      </w:tr>
    </w:tbl>
    <w:p w14:paraId="029E0C98">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0D06D3C0">
      <w:pPr>
        <w:pStyle w:val="33"/>
        <w:spacing w:beforeAutospacing="0" w:afterAutospacing="0" w:line="540" w:lineRule="exact"/>
        <w:jc w:val="center"/>
        <w:outlineLvl w:val="0"/>
        <w:rPr>
          <w:rFonts w:ascii="黑体" w:hAnsi="宋体" w:eastAsia="黑体" w:cs="黑体"/>
          <w:color w:val="auto"/>
          <w:sz w:val="44"/>
          <w:szCs w:val="44"/>
          <w:highlight w:val="none"/>
        </w:rPr>
      </w:pPr>
      <w:bookmarkStart w:id="101" w:name="_Toc203053458"/>
      <w:r>
        <w:rPr>
          <w:rFonts w:hint="eastAsia" w:ascii="黑体" w:hAnsi="宋体" w:eastAsia="黑体" w:cs="黑体"/>
          <w:color w:val="auto"/>
          <w:sz w:val="44"/>
          <w:szCs w:val="44"/>
          <w:highlight w:val="none"/>
        </w:rPr>
        <w:t>第五章  响应文件格式</w:t>
      </w:r>
      <w:bookmarkEnd w:id="101"/>
    </w:p>
    <w:p w14:paraId="2E060A62">
      <w:pPr>
        <w:rPr>
          <w:color w:val="auto"/>
          <w:highlight w:val="none"/>
        </w:rPr>
      </w:pPr>
    </w:p>
    <w:p w14:paraId="39F5348D">
      <w:pPr>
        <w:rPr>
          <w:color w:val="auto"/>
          <w:highlight w:val="none"/>
        </w:rPr>
      </w:pPr>
    </w:p>
    <w:p w14:paraId="6151CA0E">
      <w:pPr>
        <w:rPr>
          <w:color w:val="auto"/>
          <w:highlight w:val="none"/>
        </w:rPr>
      </w:pPr>
    </w:p>
    <w:p w14:paraId="45B902BD">
      <w:pPr>
        <w:rPr>
          <w:color w:val="auto"/>
          <w:highlight w:val="none"/>
        </w:rPr>
      </w:pPr>
    </w:p>
    <w:p w14:paraId="7C3BA1BF">
      <w:pPr>
        <w:rPr>
          <w:color w:val="auto"/>
          <w:highlight w:val="none"/>
        </w:rPr>
      </w:pPr>
    </w:p>
    <w:p w14:paraId="1712F5F2">
      <w:pPr>
        <w:rPr>
          <w:color w:val="auto"/>
          <w:highlight w:val="none"/>
        </w:rPr>
      </w:pPr>
    </w:p>
    <w:p w14:paraId="4AC4EB00">
      <w:pPr>
        <w:rPr>
          <w:color w:val="auto"/>
          <w:highlight w:val="none"/>
        </w:rPr>
      </w:pPr>
    </w:p>
    <w:p w14:paraId="6C8FD51F">
      <w:pPr>
        <w:pStyle w:val="33"/>
        <w:spacing w:beforeAutospacing="0" w:afterAutospacing="0"/>
        <w:jc w:val="center"/>
        <w:rPr>
          <w:color w:val="auto"/>
          <w:highlight w:val="none"/>
        </w:rPr>
      </w:pPr>
      <w:bookmarkStart w:id="102" w:name="_Toc120614282"/>
      <w:bookmarkEnd w:id="102"/>
      <w:bookmarkStart w:id="103" w:name="_Toc49090576"/>
      <w:bookmarkEnd w:id="103"/>
      <w:r>
        <w:rPr>
          <w:rFonts w:hint="eastAsia" w:ascii="宋体" w:hAnsi="宋体" w:eastAsia="宋体" w:cs="宋体"/>
          <w:b/>
          <w:color w:val="auto"/>
          <w:sz w:val="72"/>
          <w:szCs w:val="72"/>
          <w:highlight w:val="none"/>
        </w:rPr>
        <w:t>响  应  文  件</w:t>
      </w:r>
    </w:p>
    <w:p w14:paraId="1CB8FC87">
      <w:pPr>
        <w:pStyle w:val="33"/>
        <w:spacing w:beforeAutospacing="0" w:afterAutospacing="0"/>
        <w:jc w:val="center"/>
        <w:rPr>
          <w:color w:val="auto"/>
          <w:highlight w:val="none"/>
        </w:rPr>
      </w:pPr>
      <w:r>
        <w:rPr>
          <w:color w:val="auto"/>
          <w:highlight w:val="none"/>
        </w:rPr>
        <w:t> </w:t>
      </w:r>
    </w:p>
    <w:p w14:paraId="5232EF4F">
      <w:pPr>
        <w:pStyle w:val="33"/>
        <w:spacing w:beforeAutospacing="0" w:afterAutospacing="0"/>
        <w:jc w:val="center"/>
        <w:rPr>
          <w:color w:val="auto"/>
          <w:highlight w:val="none"/>
        </w:rPr>
      </w:pPr>
      <w:r>
        <w:rPr>
          <w:color w:val="auto"/>
          <w:highlight w:val="none"/>
        </w:rPr>
        <w:t> </w:t>
      </w:r>
    </w:p>
    <w:p w14:paraId="121075DB">
      <w:pPr>
        <w:pStyle w:val="33"/>
        <w:spacing w:beforeAutospacing="0" w:afterAutospacing="0"/>
        <w:jc w:val="center"/>
        <w:rPr>
          <w:color w:val="auto"/>
          <w:highlight w:val="none"/>
        </w:rPr>
      </w:pPr>
      <w:r>
        <w:rPr>
          <w:color w:val="auto"/>
          <w:highlight w:val="none"/>
        </w:rPr>
        <w:t> </w:t>
      </w:r>
    </w:p>
    <w:p w14:paraId="43FCAD4A">
      <w:pPr>
        <w:pStyle w:val="33"/>
        <w:spacing w:beforeAutospacing="0" w:afterAutospacing="0"/>
        <w:jc w:val="center"/>
        <w:rPr>
          <w:color w:val="auto"/>
          <w:highlight w:val="none"/>
        </w:rPr>
      </w:pPr>
    </w:p>
    <w:p w14:paraId="4A7817C8">
      <w:pPr>
        <w:pStyle w:val="33"/>
        <w:spacing w:beforeAutospacing="0" w:afterAutospacing="0"/>
        <w:jc w:val="center"/>
        <w:rPr>
          <w:color w:val="auto"/>
          <w:highlight w:val="none"/>
        </w:rPr>
      </w:pPr>
    </w:p>
    <w:p w14:paraId="1B7B0524">
      <w:pPr>
        <w:pStyle w:val="33"/>
        <w:spacing w:beforeAutospacing="0" w:afterAutospacing="0"/>
        <w:jc w:val="center"/>
        <w:rPr>
          <w:color w:val="auto"/>
          <w:highlight w:val="none"/>
        </w:rPr>
      </w:pPr>
      <w:r>
        <w:rPr>
          <w:color w:val="auto"/>
          <w:highlight w:val="none"/>
        </w:rPr>
        <w:t> </w:t>
      </w:r>
    </w:p>
    <w:p w14:paraId="5CB26769">
      <w:pPr>
        <w:pStyle w:val="33"/>
        <w:spacing w:beforeAutospacing="0" w:afterAutospacing="0"/>
        <w:jc w:val="center"/>
        <w:rPr>
          <w:color w:val="auto"/>
          <w:highlight w:val="none"/>
        </w:rPr>
      </w:pPr>
      <w:r>
        <w:rPr>
          <w:color w:val="auto"/>
          <w:highlight w:val="none"/>
        </w:rPr>
        <w:t> </w:t>
      </w:r>
    </w:p>
    <w:p w14:paraId="67208126">
      <w:pPr>
        <w:pStyle w:val="3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xml:space="preserve">            </w:t>
      </w:r>
    </w:p>
    <w:p w14:paraId="175EE99D">
      <w:pPr>
        <w:pStyle w:val="3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xml:space="preserve">            </w:t>
      </w:r>
    </w:p>
    <w:p w14:paraId="6DB3EB20">
      <w:pPr>
        <w:pStyle w:val="33"/>
        <w:spacing w:beforeAutospacing="0" w:afterAutospacing="0"/>
        <w:jc w:val="both"/>
        <w:rPr>
          <w:color w:val="auto"/>
          <w:highlight w:val="none"/>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p>
    <w:p w14:paraId="4A1FDF16">
      <w:pPr>
        <w:pStyle w:val="33"/>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xml:space="preserve">                    </w:t>
      </w:r>
    </w:p>
    <w:p w14:paraId="1F9397EE">
      <w:pPr>
        <w:pStyle w:val="33"/>
        <w:spacing w:beforeAutospacing="0" w:afterAutospacing="0" w:line="0" w:lineRule="atLeast"/>
        <w:jc w:val="center"/>
        <w:rPr>
          <w:color w:val="auto"/>
          <w:highlight w:val="none"/>
        </w:rPr>
      </w:pPr>
    </w:p>
    <w:p w14:paraId="55972684">
      <w:pPr>
        <w:pStyle w:val="33"/>
        <w:spacing w:beforeAutospacing="0" w:afterAutospacing="0" w:line="0" w:lineRule="atLeast"/>
        <w:jc w:val="center"/>
        <w:rPr>
          <w:color w:val="auto"/>
          <w:highlight w:val="none"/>
        </w:rPr>
      </w:pPr>
    </w:p>
    <w:p w14:paraId="75952BAF">
      <w:pPr>
        <w:pStyle w:val="33"/>
        <w:spacing w:beforeAutospacing="0" w:afterAutospacing="0" w:line="0" w:lineRule="atLeast"/>
        <w:jc w:val="center"/>
        <w:rPr>
          <w:color w:val="auto"/>
          <w:highlight w:val="none"/>
        </w:rPr>
      </w:pPr>
    </w:p>
    <w:p w14:paraId="7652F8C9">
      <w:pPr>
        <w:pStyle w:val="33"/>
        <w:spacing w:beforeAutospacing="0" w:afterAutospacing="0" w:line="0" w:lineRule="atLeast"/>
        <w:jc w:val="center"/>
        <w:rPr>
          <w:color w:val="auto"/>
          <w:highlight w:val="none"/>
        </w:rPr>
      </w:pPr>
    </w:p>
    <w:p w14:paraId="7AA0FAE0">
      <w:pPr>
        <w:pStyle w:val="33"/>
        <w:spacing w:beforeAutospacing="0" w:afterAutospacing="0" w:line="0" w:lineRule="atLeast"/>
        <w:jc w:val="center"/>
        <w:rPr>
          <w:color w:val="auto"/>
          <w:highlight w:val="none"/>
        </w:rPr>
      </w:pPr>
    </w:p>
    <w:p w14:paraId="06FD23ED">
      <w:pPr>
        <w:pStyle w:val="33"/>
        <w:spacing w:beforeAutospacing="0" w:afterAutospacing="0" w:line="0" w:lineRule="atLeast"/>
        <w:jc w:val="center"/>
        <w:rPr>
          <w:color w:val="auto"/>
          <w:highlight w:val="none"/>
        </w:rPr>
      </w:pPr>
    </w:p>
    <w:p w14:paraId="15E585CA">
      <w:pPr>
        <w:pStyle w:val="33"/>
        <w:spacing w:beforeAutospacing="0" w:afterAutospacing="0" w:line="0" w:lineRule="atLeast"/>
        <w:jc w:val="center"/>
        <w:rPr>
          <w:color w:val="auto"/>
          <w:highlight w:val="none"/>
        </w:rPr>
      </w:pPr>
    </w:p>
    <w:p w14:paraId="5F0217DD">
      <w:pPr>
        <w:pStyle w:val="33"/>
        <w:spacing w:beforeAutospacing="0" w:afterAutospacing="0" w:line="0" w:lineRule="atLeast"/>
        <w:jc w:val="center"/>
        <w:rPr>
          <w:color w:val="auto"/>
          <w:highlight w:val="none"/>
        </w:rPr>
      </w:pPr>
    </w:p>
    <w:p w14:paraId="6789F9D4">
      <w:pPr>
        <w:pStyle w:val="33"/>
        <w:spacing w:beforeAutospacing="0" w:afterAutospacing="0" w:line="0" w:lineRule="atLeast"/>
        <w:jc w:val="center"/>
        <w:rPr>
          <w:color w:val="auto"/>
          <w:highlight w:val="none"/>
        </w:rPr>
      </w:pPr>
    </w:p>
    <w:p w14:paraId="4E8D4BF8">
      <w:pPr>
        <w:pStyle w:val="33"/>
        <w:spacing w:beforeAutospacing="0" w:afterAutospacing="0" w:line="0" w:lineRule="atLeast"/>
        <w:jc w:val="center"/>
        <w:rPr>
          <w:color w:val="auto"/>
          <w:highlight w:val="none"/>
        </w:rPr>
      </w:pPr>
    </w:p>
    <w:p w14:paraId="3415A98A">
      <w:pPr>
        <w:pStyle w:val="33"/>
        <w:spacing w:beforeAutospacing="0" w:afterAutospacing="0" w:line="0" w:lineRule="atLeast"/>
        <w:jc w:val="center"/>
        <w:rPr>
          <w:color w:val="auto"/>
          <w:highlight w:val="none"/>
        </w:rPr>
      </w:pPr>
    </w:p>
    <w:p w14:paraId="7198B6F0">
      <w:pPr>
        <w:pStyle w:val="33"/>
        <w:spacing w:beforeAutospacing="0" w:afterAutospacing="0" w:line="0" w:lineRule="atLeast"/>
        <w:jc w:val="center"/>
        <w:rPr>
          <w:color w:val="auto"/>
          <w:highlight w:val="none"/>
        </w:rPr>
      </w:pPr>
    </w:p>
    <w:p w14:paraId="3BE1BE7A">
      <w:pPr>
        <w:pStyle w:val="33"/>
        <w:spacing w:beforeAutospacing="0" w:afterAutospacing="0" w:line="0" w:lineRule="atLeast"/>
        <w:jc w:val="center"/>
        <w:rPr>
          <w:color w:val="auto"/>
          <w:highlight w:val="none"/>
        </w:rPr>
      </w:pPr>
    </w:p>
    <w:p w14:paraId="576128D5">
      <w:pPr>
        <w:pStyle w:val="33"/>
        <w:spacing w:beforeAutospacing="0" w:afterAutospacing="0" w:line="0" w:lineRule="atLeast"/>
        <w:jc w:val="center"/>
        <w:rPr>
          <w:color w:val="auto"/>
          <w:highlight w:val="none"/>
        </w:rPr>
      </w:pPr>
    </w:p>
    <w:p w14:paraId="2F3A2977">
      <w:pPr>
        <w:pStyle w:val="33"/>
        <w:spacing w:beforeAutospacing="0" w:afterAutospacing="0" w:line="0" w:lineRule="atLeast"/>
        <w:jc w:val="center"/>
        <w:rPr>
          <w:color w:val="auto"/>
          <w:highlight w:val="none"/>
        </w:rPr>
      </w:pPr>
    </w:p>
    <w:p w14:paraId="58F90668">
      <w:pPr>
        <w:pStyle w:val="33"/>
        <w:spacing w:beforeAutospacing="0" w:afterAutospacing="0" w:line="0" w:lineRule="atLeast"/>
        <w:jc w:val="center"/>
        <w:rPr>
          <w:color w:val="auto"/>
          <w:highlight w:val="none"/>
        </w:rPr>
      </w:pPr>
    </w:p>
    <w:p w14:paraId="3374F93C">
      <w:pPr>
        <w:pStyle w:val="33"/>
        <w:spacing w:beforeAutospacing="0" w:afterAutospacing="0" w:line="0" w:lineRule="atLeast"/>
        <w:jc w:val="center"/>
        <w:rPr>
          <w:color w:val="auto"/>
          <w:highlight w:val="none"/>
        </w:rPr>
      </w:pPr>
    </w:p>
    <w:p w14:paraId="7F25A364">
      <w:pPr>
        <w:pStyle w:val="33"/>
        <w:spacing w:beforeAutospacing="0" w:afterAutospacing="0" w:line="0" w:lineRule="atLeast"/>
        <w:jc w:val="center"/>
        <w:rPr>
          <w:color w:val="auto"/>
          <w:highlight w:val="none"/>
        </w:rPr>
      </w:pPr>
    </w:p>
    <w:p w14:paraId="55885129">
      <w:pPr>
        <w:pStyle w:val="33"/>
        <w:spacing w:beforeAutospacing="0" w:afterAutospacing="0" w:line="0" w:lineRule="atLeast"/>
        <w:jc w:val="center"/>
        <w:rPr>
          <w:color w:val="auto"/>
          <w:highlight w:val="none"/>
        </w:rPr>
      </w:pPr>
    </w:p>
    <w:p w14:paraId="3992D466">
      <w:pPr>
        <w:pStyle w:val="33"/>
        <w:spacing w:beforeAutospacing="0" w:afterAutospacing="0" w:line="0" w:lineRule="atLeast"/>
        <w:jc w:val="center"/>
        <w:rPr>
          <w:color w:val="auto"/>
          <w:highlight w:val="none"/>
        </w:rPr>
      </w:pPr>
    </w:p>
    <w:p w14:paraId="29F54CC9">
      <w:pPr>
        <w:pStyle w:val="33"/>
        <w:spacing w:beforeAutospacing="0" w:afterAutospacing="0" w:line="0" w:lineRule="atLeast"/>
        <w:jc w:val="center"/>
        <w:rPr>
          <w:color w:val="auto"/>
          <w:highlight w:val="none"/>
        </w:rPr>
      </w:pPr>
    </w:p>
    <w:p w14:paraId="0DBA1B78">
      <w:pPr>
        <w:pStyle w:val="33"/>
        <w:spacing w:beforeAutospacing="0" w:afterAutospacing="0" w:line="0" w:lineRule="atLeast"/>
        <w:jc w:val="center"/>
        <w:rPr>
          <w:color w:val="auto"/>
          <w:highlight w:val="none"/>
        </w:rPr>
      </w:pPr>
    </w:p>
    <w:p w14:paraId="6A998F21">
      <w:pPr>
        <w:pStyle w:val="33"/>
        <w:spacing w:beforeAutospacing="0" w:afterAutospacing="0" w:line="0" w:lineRule="atLeast"/>
        <w:jc w:val="center"/>
        <w:rPr>
          <w:color w:val="auto"/>
          <w:highlight w:val="none"/>
        </w:rPr>
      </w:pPr>
    </w:p>
    <w:p w14:paraId="15C3A28B">
      <w:pPr>
        <w:pStyle w:val="33"/>
        <w:spacing w:beforeAutospacing="0" w:afterAutospacing="0" w:line="0" w:lineRule="atLeast"/>
        <w:jc w:val="center"/>
        <w:rPr>
          <w:color w:val="auto"/>
          <w:highlight w:val="none"/>
        </w:rPr>
      </w:pPr>
    </w:p>
    <w:p w14:paraId="6D31A84E">
      <w:pPr>
        <w:pStyle w:val="3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响应文件目录</w:t>
      </w:r>
    </w:p>
    <w:p w14:paraId="4828B6A0">
      <w:pPr>
        <w:pStyle w:val="33"/>
        <w:spacing w:beforeAutospacing="0" w:afterAutospacing="0" w:line="0" w:lineRule="atLeast"/>
        <w:jc w:val="center"/>
        <w:rPr>
          <w:color w:val="auto"/>
          <w:highlight w:val="none"/>
        </w:rPr>
      </w:pPr>
      <w:r>
        <w:rPr>
          <w:color w:val="auto"/>
          <w:highlight w:val="none"/>
        </w:rPr>
        <w:t> </w:t>
      </w:r>
    </w:p>
    <w:p w14:paraId="6A693E9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一、法人或者其他组织的营业执照等证明文件，自然人的身份证明</w:t>
      </w:r>
    </w:p>
    <w:p w14:paraId="1838A597">
      <w:pPr>
        <w:keepNext w:val="0"/>
        <w:keepLines w:val="0"/>
        <w:pageBreakBefore w:val="0"/>
        <w:widowControl w:val="0"/>
        <w:tabs>
          <w:tab w:val="left" w:pos="1331"/>
        </w:tabs>
        <w:kinsoku/>
        <w:wordWrap/>
        <w:overflowPunct/>
        <w:topLinePunct w:val="0"/>
        <w:autoSpaceDE/>
        <w:autoSpaceDN/>
        <w:bidi w:val="0"/>
        <w:adjustRightInd/>
        <w:snapToGrid/>
        <w:spacing w:line="500" w:lineRule="exact"/>
        <w:ind w:left="0" w:firstLine="480" w:firstLineChars="200"/>
        <w:jc w:val="left"/>
        <w:textAlignment w:val="auto"/>
        <w:rPr>
          <w:rFonts w:ascii="宋体" w:hAnsi="宋体" w:eastAsia="宋体" w:cs="宋体"/>
          <w:i w:val="0"/>
          <w:iCs/>
          <w:color w:val="auto"/>
          <w:highlight w:val="none"/>
          <w:u w:val="none"/>
        </w:rPr>
      </w:pPr>
      <w:r>
        <w:rPr>
          <w:rFonts w:hint="eastAsia" w:ascii="宋体" w:hAnsi="宋体" w:eastAsia="宋体" w:cs="宋体"/>
          <w:i w:val="0"/>
          <w:iCs/>
          <w:color w:val="auto"/>
          <w:sz w:val="24"/>
          <w:highlight w:val="none"/>
          <w:u w:val="none"/>
        </w:rPr>
        <w:t>二、上一年度的财务状况报表（至少提供资产负债表、利润表、现金流量表，谈判供应商成立不满一年无需提供）</w:t>
      </w:r>
    </w:p>
    <w:p w14:paraId="45C6EC8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三、具备履行合同所必需的设备和专业技术能力的书面声明</w:t>
      </w:r>
    </w:p>
    <w:p w14:paraId="60DC028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i w:val="0"/>
          <w:iCs/>
          <w:color w:val="auto"/>
          <w:highlight w:val="none"/>
          <w:u w:val="none"/>
        </w:rPr>
      </w:pPr>
      <w:r>
        <w:rPr>
          <w:rFonts w:hint="eastAsia" w:ascii="宋体" w:hAnsi="宋体" w:eastAsia="宋体" w:cs="宋体"/>
          <w:i w:val="0"/>
          <w:iCs/>
          <w:color w:val="auto"/>
          <w:highlight w:val="none"/>
          <w:u w:val="none"/>
        </w:rPr>
        <w:t>四、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1E7C7F9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60D1358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65D8ADC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i w:val="0"/>
          <w:iCs/>
          <w:color w:val="auto"/>
          <w:highlight w:val="none"/>
          <w:u w:val="none"/>
        </w:rPr>
      </w:pPr>
      <w:r>
        <w:rPr>
          <w:rFonts w:hint="eastAsia" w:ascii="宋体" w:hAnsi="宋体" w:eastAsia="宋体" w:cs="宋体"/>
          <w:i w:val="0"/>
          <w:iCs/>
          <w:color w:val="auto"/>
          <w:highlight w:val="none"/>
          <w:u w:val="none"/>
        </w:rPr>
        <w:t>七、法人授权书</w:t>
      </w:r>
    </w:p>
    <w:p w14:paraId="47E29C8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i w:val="0"/>
          <w:iCs/>
          <w:color w:val="auto"/>
          <w:highlight w:val="none"/>
          <w:u w:val="none"/>
        </w:rPr>
      </w:pPr>
      <w:r>
        <w:rPr>
          <w:rFonts w:hint="eastAsia" w:ascii="宋体" w:hAnsi="宋体" w:eastAsia="宋体" w:cs="宋体"/>
          <w:i w:val="0"/>
          <w:iCs/>
          <w:color w:val="auto"/>
          <w:highlight w:val="none"/>
          <w:u w:val="none"/>
        </w:rPr>
        <w:t>八、谈判响应函</w:t>
      </w:r>
    </w:p>
    <w:p w14:paraId="2F7C98A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九、中小企业声明函</w:t>
      </w:r>
    </w:p>
    <w:p w14:paraId="20F05B2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0E4E458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十一、关于符合本国产品标准的声明函</w:t>
      </w:r>
    </w:p>
    <w:p w14:paraId="0F9F27F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十二、</w:t>
      </w:r>
      <w:r>
        <w:rPr>
          <w:rFonts w:hint="eastAsia" w:ascii="宋体" w:hAnsi="宋体" w:eastAsia="宋体" w:cs="宋体"/>
          <w:i w:val="0"/>
          <w:iCs/>
          <w:color w:val="auto"/>
          <w:highlight w:val="none"/>
          <w:u w:val="none"/>
        </w:rPr>
        <w:t>分项报价表</w:t>
      </w:r>
    </w:p>
    <w:p w14:paraId="62E8B8F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、技术要求响应及偏离表</w:t>
      </w:r>
    </w:p>
    <w:p w14:paraId="45CDEF0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、商务要求响应及偏离表</w:t>
      </w:r>
    </w:p>
    <w:p w14:paraId="4694DA7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十五、</w:t>
      </w:r>
      <w:r>
        <w:rPr>
          <w:rFonts w:hint="eastAsia" w:ascii="宋体" w:hAnsi="宋体" w:eastAsia="宋体" w:cs="宋体"/>
          <w:i w:val="0"/>
          <w:iCs/>
          <w:color w:val="auto"/>
          <w:highlight w:val="none"/>
          <w:u w:val="none"/>
          <w:lang w:eastAsia="zh-CN"/>
        </w:rPr>
        <w:t>谈判报价表</w:t>
      </w:r>
    </w:p>
    <w:p w14:paraId="1B5C9ED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十六、盐城市政府采购事前信用承诺书</w:t>
      </w:r>
    </w:p>
    <w:p w14:paraId="462F0F2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七</w:t>
      </w:r>
      <w:r>
        <w:rPr>
          <w:rFonts w:hint="eastAsia" w:ascii="宋体" w:hAnsi="宋体" w:eastAsia="宋体" w:cs="宋体"/>
          <w:i w:val="0"/>
          <w:iCs/>
          <w:color w:val="auto"/>
          <w:highlight w:val="none"/>
          <w:u w:val="none"/>
        </w:rPr>
        <w:t>、谈判文件要求的或供应商认为需要提供的其他资料</w:t>
      </w:r>
    </w:p>
    <w:p w14:paraId="4B4FE301">
      <w:pPr>
        <w:pStyle w:val="33"/>
        <w:spacing w:beforeAutospacing="0" w:afterAutospacing="0" w:line="0" w:lineRule="atLeast"/>
        <w:ind w:firstLine="480"/>
        <w:jc w:val="both"/>
        <w:rPr>
          <w:color w:val="auto"/>
          <w:highlight w:val="none"/>
        </w:rPr>
      </w:pPr>
    </w:p>
    <w:p w14:paraId="7E0871AD">
      <w:pPr>
        <w:pStyle w:val="33"/>
        <w:spacing w:beforeAutospacing="0" w:afterAutospacing="0" w:line="0" w:lineRule="atLeast"/>
        <w:ind w:firstLine="480"/>
        <w:jc w:val="both"/>
        <w:rPr>
          <w:color w:val="auto"/>
          <w:highlight w:val="none"/>
        </w:rPr>
      </w:pPr>
    </w:p>
    <w:p w14:paraId="2F1D5194">
      <w:pPr>
        <w:pStyle w:val="33"/>
        <w:spacing w:beforeAutospacing="0" w:afterAutospacing="0" w:line="0" w:lineRule="atLeast"/>
        <w:ind w:firstLine="480"/>
        <w:jc w:val="both"/>
        <w:rPr>
          <w:color w:val="auto"/>
          <w:highlight w:val="none"/>
        </w:rPr>
      </w:pPr>
    </w:p>
    <w:p w14:paraId="64C09DFD">
      <w:pPr>
        <w:pStyle w:val="33"/>
        <w:spacing w:beforeAutospacing="0" w:afterAutospacing="0" w:line="0" w:lineRule="atLeast"/>
        <w:ind w:firstLine="480"/>
        <w:jc w:val="both"/>
        <w:rPr>
          <w:color w:val="auto"/>
          <w:highlight w:val="none"/>
        </w:rPr>
      </w:pPr>
    </w:p>
    <w:p w14:paraId="669D3515">
      <w:pPr>
        <w:pStyle w:val="33"/>
        <w:spacing w:beforeAutospacing="0" w:afterAutospacing="0" w:line="0" w:lineRule="atLeast"/>
        <w:ind w:firstLine="480"/>
        <w:jc w:val="both"/>
        <w:rPr>
          <w:color w:val="auto"/>
          <w:highlight w:val="none"/>
        </w:rPr>
      </w:pPr>
    </w:p>
    <w:p w14:paraId="7D9C992F">
      <w:pPr>
        <w:pStyle w:val="33"/>
        <w:spacing w:beforeAutospacing="0" w:afterAutospacing="0" w:line="0" w:lineRule="atLeast"/>
        <w:ind w:firstLine="480"/>
        <w:jc w:val="both"/>
        <w:rPr>
          <w:color w:val="auto"/>
          <w:highlight w:val="none"/>
        </w:rPr>
      </w:pPr>
    </w:p>
    <w:p w14:paraId="0ADED239">
      <w:pPr>
        <w:pStyle w:val="33"/>
        <w:spacing w:beforeAutospacing="0" w:afterAutospacing="0" w:line="0" w:lineRule="atLeast"/>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50018F32">
      <w:pPr>
        <w:pStyle w:val="33"/>
        <w:spacing w:beforeAutospacing="0" w:afterAutospacing="0" w:line="0" w:lineRule="atLeast"/>
        <w:ind w:firstLine="480"/>
        <w:jc w:val="both"/>
        <w:rPr>
          <w:color w:val="auto"/>
          <w:highlight w:val="none"/>
        </w:rPr>
      </w:pPr>
      <w:r>
        <w:rPr>
          <w:color w:val="auto"/>
          <w:highlight w:val="none"/>
        </w:rPr>
        <w:t> </w:t>
      </w:r>
    </w:p>
    <w:p w14:paraId="07972B88">
      <w:pPr>
        <w:pStyle w:val="33"/>
        <w:spacing w:beforeAutospacing="0" w:afterAutospacing="0" w:line="0" w:lineRule="atLeast"/>
        <w:ind w:firstLine="480"/>
        <w:jc w:val="both"/>
        <w:rPr>
          <w:color w:val="auto"/>
          <w:highlight w:val="none"/>
        </w:rPr>
      </w:pPr>
    </w:p>
    <w:p w14:paraId="721F4B5D">
      <w:pPr>
        <w:pStyle w:val="33"/>
        <w:spacing w:beforeAutospacing="0" w:afterAutospacing="0" w:line="0" w:lineRule="atLeast"/>
        <w:ind w:firstLine="480"/>
        <w:jc w:val="both"/>
        <w:rPr>
          <w:color w:val="auto"/>
          <w:highlight w:val="none"/>
        </w:rPr>
      </w:pPr>
    </w:p>
    <w:p w14:paraId="4F5D5069">
      <w:pPr>
        <w:pStyle w:val="33"/>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二、上一年度的财务状况报表</w:t>
      </w:r>
    </w:p>
    <w:p w14:paraId="3FB7CB8C">
      <w:pPr>
        <w:tabs>
          <w:tab w:val="left" w:pos="1331"/>
        </w:tabs>
        <w:ind w:firstLine="480"/>
        <w:jc w:val="left"/>
        <w:rPr>
          <w:rFonts w:ascii="宋体" w:hAnsi="宋体" w:eastAsia="宋体" w:cs="宋体"/>
          <w:i/>
          <w:color w:val="auto"/>
          <w:sz w:val="24"/>
          <w:highlight w:val="none"/>
          <w:u w:val="single"/>
        </w:rPr>
      </w:pPr>
      <w:r>
        <w:rPr>
          <w:rFonts w:hint="eastAsia" w:ascii="宋体" w:hAnsi="宋体" w:eastAsia="宋体" w:cs="宋体"/>
          <w:i/>
          <w:color w:val="auto"/>
          <w:sz w:val="24"/>
          <w:highlight w:val="none"/>
          <w:u w:val="single"/>
        </w:rPr>
        <w:t>（至少提供资产负债表、利润表、现金流量表，谈判供应商成立不满一年无需提供）</w:t>
      </w:r>
    </w:p>
    <w:p w14:paraId="32FF6458">
      <w:pPr>
        <w:pStyle w:val="33"/>
        <w:spacing w:beforeAutospacing="0" w:afterAutospacing="0"/>
        <w:jc w:val="both"/>
        <w:rPr>
          <w:color w:val="auto"/>
          <w:highlight w:val="none"/>
        </w:rPr>
      </w:pPr>
      <w:r>
        <w:rPr>
          <w:color w:val="auto"/>
          <w:highlight w:val="none"/>
        </w:rPr>
        <w:t> </w:t>
      </w:r>
    </w:p>
    <w:p w14:paraId="27B7C15E">
      <w:pPr>
        <w:pStyle w:val="33"/>
        <w:spacing w:beforeAutospacing="0" w:afterAutospacing="0"/>
        <w:jc w:val="both"/>
        <w:rPr>
          <w:color w:val="auto"/>
          <w:highlight w:val="none"/>
        </w:rPr>
      </w:pPr>
      <w:r>
        <w:rPr>
          <w:color w:val="auto"/>
          <w:highlight w:val="none"/>
        </w:rPr>
        <w:t> </w:t>
      </w:r>
    </w:p>
    <w:p w14:paraId="71F3BC3A">
      <w:pPr>
        <w:pStyle w:val="33"/>
        <w:spacing w:beforeAutospacing="0" w:afterAutospacing="0"/>
        <w:jc w:val="both"/>
        <w:rPr>
          <w:color w:val="auto"/>
          <w:highlight w:val="none"/>
        </w:rPr>
      </w:pPr>
    </w:p>
    <w:p w14:paraId="03B357E9">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7A574A42">
      <w:pPr>
        <w:pStyle w:val="3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01510FDB">
      <w:pPr>
        <w:pStyle w:val="3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81BFC22">
      <w:pPr>
        <w:pStyle w:val="3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E134650">
      <w:pPr>
        <w:pStyle w:val="33"/>
        <w:spacing w:beforeAutospacing="0" w:afterAutospacing="0"/>
        <w:jc w:val="both"/>
        <w:rPr>
          <w:rFonts w:ascii="宋体" w:hAnsi="宋体" w:eastAsia="宋体" w:cs="宋体"/>
          <w:color w:val="auto"/>
          <w:highlight w:val="none"/>
        </w:rPr>
      </w:pPr>
    </w:p>
    <w:p w14:paraId="6DE8BE17">
      <w:pPr>
        <w:pStyle w:val="33"/>
        <w:spacing w:beforeAutospacing="0" w:afterAutospacing="0"/>
        <w:jc w:val="both"/>
        <w:rPr>
          <w:rFonts w:ascii="宋体" w:hAnsi="宋体" w:eastAsia="宋体" w:cs="宋体"/>
          <w:color w:val="auto"/>
          <w:highlight w:val="none"/>
        </w:rPr>
      </w:pPr>
    </w:p>
    <w:p w14:paraId="2737B428">
      <w:pPr>
        <w:pStyle w:val="33"/>
        <w:spacing w:beforeAutospacing="0" w:afterAutospacing="0"/>
        <w:jc w:val="both"/>
        <w:rPr>
          <w:rFonts w:ascii="宋体" w:hAnsi="宋体" w:eastAsia="宋体" w:cs="宋体"/>
          <w:color w:val="auto"/>
          <w:highlight w:val="none"/>
        </w:rPr>
      </w:pPr>
    </w:p>
    <w:p w14:paraId="59F83753">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72344EDB">
      <w:pPr>
        <w:pStyle w:val="33"/>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6495155B">
      <w:pPr>
        <w:pStyle w:val="33"/>
        <w:spacing w:beforeAutospacing="0" w:afterAutospacing="0"/>
        <w:ind w:firstLine="480"/>
        <w:jc w:val="both"/>
        <w:rPr>
          <w:rFonts w:ascii="宋体" w:hAnsi="宋体" w:eastAsia="宋体" w:cs="宋体"/>
          <w:color w:val="auto"/>
          <w:highlight w:val="none"/>
        </w:rPr>
      </w:pPr>
    </w:p>
    <w:p w14:paraId="7B8734A7">
      <w:pPr>
        <w:pStyle w:val="33"/>
        <w:spacing w:beforeAutospacing="0" w:afterAutospacing="0"/>
        <w:ind w:firstLine="480"/>
        <w:jc w:val="both"/>
        <w:rPr>
          <w:rFonts w:ascii="宋体" w:hAnsi="宋体" w:eastAsia="宋体" w:cs="宋体"/>
          <w:color w:val="auto"/>
          <w:highlight w:val="none"/>
        </w:rPr>
      </w:pPr>
    </w:p>
    <w:p w14:paraId="00A0FF23">
      <w:pPr>
        <w:pStyle w:val="33"/>
        <w:spacing w:beforeAutospacing="0" w:afterAutospacing="0"/>
        <w:ind w:firstLine="480"/>
        <w:jc w:val="both"/>
        <w:rPr>
          <w:color w:val="auto"/>
          <w:highlight w:val="none"/>
        </w:rPr>
      </w:pPr>
    </w:p>
    <w:p w14:paraId="5AA4EE61">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54D9C9B9">
      <w:pPr>
        <w:pStyle w:val="33"/>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3C501277">
      <w:pPr>
        <w:pStyle w:val="33"/>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061F809F">
      <w:pPr>
        <w:pStyle w:val="33"/>
        <w:spacing w:beforeAutospacing="0" w:afterAutospacing="0"/>
        <w:jc w:val="both"/>
        <w:rPr>
          <w:color w:val="auto"/>
          <w:highlight w:val="none"/>
        </w:rPr>
      </w:pPr>
      <w:r>
        <w:rPr>
          <w:color w:val="auto"/>
          <w:highlight w:val="none"/>
        </w:rPr>
        <w:t> </w:t>
      </w:r>
    </w:p>
    <w:p w14:paraId="44FDB7CF">
      <w:pPr>
        <w:pStyle w:val="33"/>
        <w:spacing w:beforeAutospacing="0" w:afterAutospacing="0"/>
        <w:jc w:val="both"/>
        <w:rPr>
          <w:color w:val="auto"/>
          <w:highlight w:val="none"/>
        </w:rPr>
      </w:pPr>
    </w:p>
    <w:p w14:paraId="1C60862F">
      <w:pPr>
        <w:pStyle w:val="33"/>
        <w:spacing w:beforeAutospacing="0" w:afterAutospacing="0"/>
        <w:jc w:val="both"/>
        <w:rPr>
          <w:color w:val="auto"/>
          <w:highlight w:val="none"/>
        </w:rPr>
      </w:pPr>
    </w:p>
    <w:p w14:paraId="327F07CF">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3F4CB3E7">
      <w:pPr>
        <w:pStyle w:val="3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39E4B1EC">
      <w:pPr>
        <w:pStyle w:val="33"/>
        <w:spacing w:beforeAutospacing="0" w:afterAutospacing="0"/>
        <w:jc w:val="center"/>
        <w:rPr>
          <w:rFonts w:ascii="黑体" w:hAnsi="宋体" w:eastAsia="黑体" w:cs="黑体"/>
          <w:i/>
          <w:color w:val="auto"/>
          <w:sz w:val="32"/>
          <w:szCs w:val="32"/>
          <w:highlight w:val="none"/>
          <w:u w:val="single"/>
        </w:rPr>
      </w:pPr>
    </w:p>
    <w:p w14:paraId="578F6A7C">
      <w:pPr>
        <w:widowControl/>
        <w:jc w:val="center"/>
        <w:rPr>
          <w:rFonts w:ascii="黑体" w:hAnsi="宋体" w:eastAsia="黑体" w:cs="黑体"/>
          <w:b/>
          <w:color w:val="auto"/>
          <w:sz w:val="32"/>
          <w:szCs w:val="32"/>
          <w:highlight w:val="none"/>
        </w:rPr>
      </w:pPr>
      <w:r>
        <w:rPr>
          <w:rFonts w:ascii="黑体" w:hAnsi="宋体" w:eastAsia="黑体" w:cs="黑体"/>
          <w:i/>
          <w:color w:val="auto"/>
          <w:sz w:val="32"/>
          <w:szCs w:val="32"/>
          <w:highlight w:val="none"/>
        </w:rPr>
        <w:br w:type="page"/>
      </w:r>
      <w:r>
        <w:rPr>
          <w:rFonts w:hint="eastAsia" w:ascii="黑体" w:hAnsi="宋体" w:eastAsia="黑体" w:cs="黑体"/>
          <w:b/>
          <w:color w:val="auto"/>
          <w:sz w:val="32"/>
          <w:szCs w:val="32"/>
          <w:highlight w:val="none"/>
        </w:rPr>
        <w:t>七、法人授权书</w:t>
      </w:r>
    </w:p>
    <w:p w14:paraId="0538D1C9">
      <w:pPr>
        <w:pStyle w:val="33"/>
        <w:spacing w:beforeAutospacing="0" w:afterAutospacing="0"/>
        <w:jc w:val="center"/>
        <w:rPr>
          <w:rFonts w:ascii="黑体" w:hAnsi="宋体" w:eastAsia="黑体" w:cs="黑体"/>
          <w:b/>
          <w:color w:val="auto"/>
          <w:sz w:val="32"/>
          <w:szCs w:val="32"/>
          <w:highlight w:val="none"/>
        </w:rPr>
      </w:pPr>
    </w:p>
    <w:p w14:paraId="14A9CC37">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本授权书声明：____________（供应商名称）授权________________（被授权人的姓名）为我方就</w:t>
      </w:r>
      <w:r>
        <w:rPr>
          <w:rFonts w:hint="eastAsia" w:ascii="Times New Roman" w:hAnsi="Times New Roman"/>
          <w:color w:val="auto"/>
          <w:highlight w:val="none"/>
          <w:u w:val="single"/>
          <w:lang w:eastAsia="zh-CN"/>
        </w:rPr>
        <w:t>JSZC-320900-JCJS-T2026-0014</w:t>
      </w:r>
      <w:r>
        <w:rPr>
          <w:rFonts w:ascii="Times New Roman" w:hAnsi="Times New Roman"/>
          <w:color w:val="auto"/>
          <w:highlight w:val="none"/>
        </w:rPr>
        <w:t>号项目采购活动的合法代理人，以本单位名义全权处理一切与该项目采购有关的事务。</w:t>
      </w:r>
    </w:p>
    <w:p w14:paraId="318A010A">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本授权书于______年____月____日起生效，特此声明。</w:t>
      </w:r>
    </w:p>
    <w:p w14:paraId="53D253DD">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被授权人身份证号码：</w:t>
      </w:r>
      <w:r>
        <w:rPr>
          <w:rFonts w:ascii="Times New Roman" w:hAnsi="Times New Roman"/>
          <w:color w:val="auto"/>
          <w:highlight w:val="none"/>
          <w:u w:val="single"/>
        </w:rPr>
        <w:t xml:space="preserve">                              </w:t>
      </w:r>
    </w:p>
    <w:p w14:paraId="3539CB89">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被授权人联系电话：（手机）</w:t>
      </w:r>
      <w:r>
        <w:rPr>
          <w:rFonts w:ascii="Times New Roman" w:hAnsi="Times New Roman"/>
          <w:color w:val="auto"/>
          <w:highlight w:val="none"/>
          <w:u w:val="single"/>
        </w:rPr>
        <w:t xml:space="preserve">                          </w:t>
      </w:r>
    </w:p>
    <w:p w14:paraId="74C18588">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7BD05A18">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单位地址：</w:t>
      </w:r>
      <w:r>
        <w:rPr>
          <w:rFonts w:ascii="Times New Roman" w:hAnsi="Times New Roman"/>
          <w:color w:val="auto"/>
          <w:highlight w:val="none"/>
          <w:u w:val="single"/>
        </w:rPr>
        <w:t xml:space="preserve">                                         </w:t>
      </w:r>
    </w:p>
    <w:p w14:paraId="282B8E89">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日期：</w:t>
      </w:r>
      <w:r>
        <w:rPr>
          <w:rFonts w:ascii="Times New Roman" w:hAnsi="Times New Roman"/>
          <w:color w:val="auto"/>
          <w:highlight w:val="none"/>
          <w:u w:val="single"/>
        </w:rPr>
        <w:t xml:space="preserve">                                         </w:t>
      </w:r>
    </w:p>
    <w:p w14:paraId="11186DE0">
      <w:pPr>
        <w:pStyle w:val="33"/>
        <w:tabs>
          <w:tab w:val="left" w:pos="360"/>
        </w:tabs>
        <w:spacing w:beforeAutospacing="0" w:afterAutospacing="0"/>
        <w:jc w:val="both"/>
        <w:rPr>
          <w:color w:val="auto"/>
          <w:highlight w:val="none"/>
        </w:rPr>
      </w:pPr>
    </w:p>
    <w:p w14:paraId="79F3301B">
      <w:pPr>
        <w:pStyle w:val="33"/>
        <w:tabs>
          <w:tab w:val="left" w:pos="360"/>
        </w:tabs>
        <w:spacing w:beforeAutospacing="0" w:afterAutospacing="0"/>
        <w:ind w:firstLine="480"/>
        <w:jc w:val="both"/>
        <w:rPr>
          <w:color w:val="auto"/>
          <w:highlight w:val="none"/>
        </w:rPr>
      </w:pPr>
      <w:r>
        <w:rPr>
          <w:color w:val="auto"/>
          <w:highlight w:val="none"/>
        </w:rPr>
        <w:t> </w:t>
      </w:r>
    </w:p>
    <w:p w14:paraId="162EA085">
      <w:pPr>
        <w:pStyle w:val="33"/>
        <w:spacing w:beforeAutospacing="0" w:afterAutospacing="0"/>
        <w:ind w:firstLine="420"/>
        <w:jc w:val="both"/>
        <w:rPr>
          <w:color w:val="auto"/>
          <w:highlight w:val="none"/>
        </w:rPr>
      </w:pPr>
      <w:r>
        <w:rPr>
          <w:color w:val="auto"/>
          <w:highlight w:val="none"/>
        </w:rPr>
        <w:t> </w:t>
      </w:r>
    </w:p>
    <w:p w14:paraId="0CBBA262">
      <w:pPr>
        <w:pStyle w:val="33"/>
        <w:spacing w:beforeAutospacing="0" w:afterAutospacing="0"/>
        <w:jc w:val="both"/>
        <w:rPr>
          <w:color w:val="auto"/>
          <w:highlight w:val="none"/>
        </w:rPr>
      </w:pPr>
      <w:r>
        <w:rPr>
          <w:color w:val="auto"/>
          <w:highlight w:val="none"/>
        </w:rPr>
        <w:t> </w:t>
      </w:r>
    </w:p>
    <w:p w14:paraId="717C3706">
      <w:pPr>
        <w:pStyle w:val="33"/>
        <w:spacing w:beforeAutospacing="0" w:afterAutospacing="0"/>
        <w:jc w:val="center"/>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黑体" w:hAnsi="宋体" w:eastAsia="黑体" w:cs="黑体"/>
          <w:b/>
          <w:color w:val="auto"/>
          <w:sz w:val="32"/>
          <w:szCs w:val="32"/>
          <w:highlight w:val="none"/>
        </w:rPr>
        <w:t>八、谈判响应函</w:t>
      </w:r>
    </w:p>
    <w:p w14:paraId="799BE90D">
      <w:pPr>
        <w:pStyle w:val="33"/>
        <w:spacing w:beforeAutospacing="0" w:afterAutospacing="0" w:line="360" w:lineRule="auto"/>
        <w:rPr>
          <w:rFonts w:hint="eastAsia" w:eastAsia="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盐城市公安局亭湖分局</w:t>
      </w:r>
    </w:p>
    <w:p w14:paraId="62BAFE12">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lang w:eastAsia="zh-CN"/>
        </w:rPr>
        <w:t>JSZC-320900-JCJS-T2026-0014</w:t>
      </w:r>
      <w:r>
        <w:rPr>
          <w:rFonts w:hint="eastAsia" w:ascii="宋体" w:hAnsi="宋体" w:eastAsia="宋体" w:cs="宋体"/>
          <w:color w:val="auto"/>
          <w:highlight w:val="none"/>
        </w:rPr>
        <w:t>号谈判文件，正式授权下述签字人______</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代表我方______________（供应商的名称），全权处理本次项目谈判的有关事宜。</w:t>
      </w:r>
    </w:p>
    <w:p w14:paraId="04E90FEE">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据此函，__________签字人兹宣布同意如下：</w:t>
      </w:r>
    </w:p>
    <w:p w14:paraId="5CD00F37">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1.按谈判文件规定的各项要求，向买方提供所需货物、服务（包含与货物相关的服务及与服务相关的货物）。</w:t>
      </w:r>
    </w:p>
    <w:p w14:paraId="529B4295">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2.我们已详细审核全部谈判文件及其有效补充文件，我们知道必须放弃提出含糊不清或误解问题的权利。</w:t>
      </w:r>
    </w:p>
    <w:p w14:paraId="20F69E0C">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3.我们同意从规定的开标日期起遵循本响应文件，并在规定的谈判有效期期满之前均具有约束力。</w:t>
      </w:r>
    </w:p>
    <w:p w14:paraId="70CE68E2">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4.同意向贵方提供贵方可能另外要求的与谈判有关的任何证据或资料，并保证我方已提供和将要提供的文件是真实的、准确的。</w:t>
      </w:r>
    </w:p>
    <w:p w14:paraId="593AC8B4">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5.一旦我方成交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我方将根据谈判文件的规定，严格履行合同的责任和义务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并保证在谈判文件规定的时</w:t>
      </w:r>
      <w:r>
        <w:rPr>
          <w:rFonts w:hint="eastAsia" w:ascii="宋体" w:hAnsi="宋体" w:eastAsia="宋体" w:cs="宋体"/>
          <w:color w:val="auto"/>
          <w:highlight w:val="none"/>
          <w:lang w:eastAsia="zh-CN"/>
        </w:rPr>
        <w:t>间内</w:t>
      </w:r>
      <w:r>
        <w:rPr>
          <w:rFonts w:hint="eastAsia" w:ascii="宋体" w:hAnsi="宋体" w:eastAsia="宋体" w:cs="宋体"/>
          <w:color w:val="auto"/>
          <w:highlight w:val="none"/>
        </w:rPr>
        <w:t>完成项目，交付买方验收、使用。</w:t>
      </w:r>
    </w:p>
    <w:p w14:paraId="5116DE80">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6.我方与</w:t>
      </w:r>
      <w:r>
        <w:rPr>
          <w:rFonts w:hint="eastAsia" w:ascii="宋体" w:hAnsi="宋体" w:eastAsia="宋体" w:cs="宋体"/>
          <w:color w:val="auto"/>
          <w:highlight w:val="none"/>
          <w:lang w:eastAsia="zh-CN"/>
        </w:rPr>
        <w:t>本次</w:t>
      </w:r>
      <w:r>
        <w:rPr>
          <w:rFonts w:hint="eastAsia" w:ascii="宋体" w:hAnsi="宋体" w:eastAsia="宋体" w:cs="宋体"/>
          <w:color w:val="auto"/>
          <w:highlight w:val="none"/>
        </w:rPr>
        <w:t>谈判有关的正式通讯地址为：</w:t>
      </w:r>
    </w:p>
    <w:p w14:paraId="3455088D">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地 址：</w:t>
      </w:r>
    </w:p>
    <w:p w14:paraId="0FF34C95">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邮 编：</w:t>
      </w:r>
    </w:p>
    <w:p w14:paraId="3FE040F1">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电 话：</w:t>
      </w:r>
    </w:p>
    <w:p w14:paraId="0D33E8FA">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传  真：</w:t>
      </w:r>
    </w:p>
    <w:p w14:paraId="1DDBAEDC">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供应商开户行：</w:t>
      </w:r>
    </w:p>
    <w:p w14:paraId="68E77C3C">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xml:space="preserve">账 号： </w:t>
      </w:r>
    </w:p>
    <w:p w14:paraId="5355BAEF">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法定代表人或授权代表姓名（签字或盖章）：     </w:t>
      </w:r>
    </w:p>
    <w:p w14:paraId="15CD257B">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xml:space="preserve">供应商名称（公章）：          </w:t>
      </w:r>
    </w:p>
    <w:p w14:paraId="33B8560D">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日 期：________年____月____日</w:t>
      </w:r>
    </w:p>
    <w:p w14:paraId="79A2EDF9">
      <w:pPr>
        <w:pStyle w:val="33"/>
        <w:spacing w:beforeAutospacing="0" w:afterAutospacing="0" w:line="0" w:lineRule="atLeast"/>
        <w:ind w:firstLine="240"/>
        <w:jc w:val="center"/>
        <w:rPr>
          <w:color w:val="auto"/>
          <w:highlight w:val="none"/>
        </w:rPr>
      </w:pPr>
      <w:r>
        <w:rPr>
          <w:color w:val="auto"/>
          <w:highlight w:val="none"/>
        </w:rPr>
        <w:t> </w:t>
      </w:r>
    </w:p>
    <w:p w14:paraId="41655CDE">
      <w:pPr>
        <w:pStyle w:val="33"/>
        <w:spacing w:beforeAutospacing="0" w:afterAutospacing="0" w:line="0" w:lineRule="atLeast"/>
        <w:ind w:firstLine="240"/>
        <w:jc w:val="center"/>
        <w:rPr>
          <w:color w:val="auto"/>
          <w:highlight w:val="none"/>
        </w:rPr>
      </w:pPr>
      <w:r>
        <w:rPr>
          <w:color w:val="auto"/>
          <w:highlight w:val="none"/>
        </w:rPr>
        <w:t> </w:t>
      </w:r>
    </w:p>
    <w:p w14:paraId="6610B246">
      <w:pPr>
        <w:pStyle w:val="33"/>
        <w:spacing w:beforeAutospacing="0" w:afterAutospacing="0" w:line="0" w:lineRule="atLeast"/>
        <w:ind w:firstLine="240"/>
        <w:jc w:val="center"/>
        <w:rPr>
          <w:color w:val="auto"/>
          <w:highlight w:val="none"/>
        </w:rPr>
      </w:pPr>
    </w:p>
    <w:p w14:paraId="787AD24A">
      <w:pPr>
        <w:pStyle w:val="33"/>
        <w:spacing w:beforeAutospacing="0" w:afterAutospacing="0" w:line="0" w:lineRule="atLeast"/>
        <w:ind w:firstLine="240"/>
        <w:jc w:val="center"/>
        <w:rPr>
          <w:color w:val="auto"/>
          <w:highlight w:val="none"/>
        </w:rPr>
      </w:pPr>
    </w:p>
    <w:p w14:paraId="5E913AE5">
      <w:pPr>
        <w:pStyle w:val="33"/>
        <w:spacing w:beforeAutospacing="0" w:afterAutospacing="0" w:line="0" w:lineRule="atLeast"/>
        <w:ind w:firstLine="240"/>
        <w:jc w:val="center"/>
        <w:rPr>
          <w:color w:val="auto"/>
          <w:highlight w:val="none"/>
        </w:rPr>
      </w:pPr>
    </w:p>
    <w:p w14:paraId="601EEBC8">
      <w:pPr>
        <w:pStyle w:val="33"/>
        <w:spacing w:beforeAutospacing="0" w:afterAutospacing="0" w:line="0" w:lineRule="atLeast"/>
        <w:ind w:firstLine="240"/>
        <w:jc w:val="center"/>
        <w:rPr>
          <w:color w:val="auto"/>
          <w:highlight w:val="none"/>
        </w:rPr>
      </w:pPr>
      <w:r>
        <w:rPr>
          <w:color w:val="auto"/>
          <w:highlight w:val="none"/>
        </w:rPr>
        <w:t> </w:t>
      </w:r>
    </w:p>
    <w:p w14:paraId="309500F8">
      <w:pPr>
        <w:pStyle w:val="33"/>
        <w:spacing w:beforeAutospacing="0" w:afterAutospacing="0" w:line="0" w:lineRule="atLeast"/>
        <w:jc w:val="center"/>
        <w:rPr>
          <w:color w:val="auto"/>
          <w:highlight w:val="none"/>
        </w:rPr>
      </w:pPr>
      <w:r>
        <w:rPr>
          <w:color w:val="auto"/>
          <w:highlight w:val="none"/>
        </w:rPr>
        <w:t> </w:t>
      </w:r>
      <w:r>
        <w:rPr>
          <w:rFonts w:hint="eastAsia" w:ascii="黑体" w:hAnsi="宋体" w:eastAsia="黑体" w:cs="黑体"/>
          <w:b/>
          <w:color w:val="auto"/>
          <w:sz w:val="32"/>
          <w:szCs w:val="32"/>
          <w:highlight w:val="none"/>
        </w:rPr>
        <w:t>九、中小企业声明函（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）（分包号：**）</w:t>
      </w:r>
    </w:p>
    <w:p w14:paraId="4FDDB102">
      <w:pPr>
        <w:spacing w:line="500" w:lineRule="exact"/>
        <w:ind w:firstLine="480"/>
        <w:jc w:val="both"/>
        <w:rPr>
          <w:rFonts w:hint="eastAsia"/>
          <w:color w:val="auto"/>
          <w:sz w:val="24"/>
          <w:highlight w:val="none"/>
        </w:rPr>
      </w:pPr>
    </w:p>
    <w:p w14:paraId="496C1F79">
      <w:pPr>
        <w:keepNext w:val="0"/>
        <w:keepLines w:val="0"/>
        <w:pageBreakBefore w:val="0"/>
        <w:widowControl w:val="0"/>
        <w:kinsoku/>
        <w:wordWrap/>
        <w:overflowPunct/>
        <w:topLinePunct w:val="0"/>
        <w:autoSpaceDE/>
        <w:autoSpaceDN/>
        <w:bidi w:val="0"/>
        <w:adjustRightInd/>
        <w:snapToGrid/>
        <w:spacing w:line="500" w:lineRule="exact"/>
        <w:ind w:right="0" w:firstLine="480"/>
        <w:jc w:val="both"/>
        <w:textAlignment w:val="auto"/>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w:t>
      </w:r>
      <w:r>
        <w:rPr>
          <w:rFonts w:hint="eastAsia"/>
          <w:color w:val="auto"/>
          <w:sz w:val="24"/>
          <w:highlight w:val="none"/>
          <w:u w:val="single"/>
          <w:lang w:val="en-US" w:eastAsia="zh-CN"/>
        </w:rPr>
        <w:t>盐城市公安局亭湖分局</w:t>
      </w:r>
      <w:r>
        <w:rPr>
          <w:rFonts w:hint="eastAsia"/>
          <w:color w:val="auto"/>
          <w:sz w:val="24"/>
          <w:highlight w:val="none"/>
        </w:rPr>
        <w:t>组织的采购编号为</w:t>
      </w:r>
      <w:r>
        <w:rPr>
          <w:rFonts w:hint="eastAsia"/>
          <w:color w:val="auto"/>
          <w:sz w:val="24"/>
          <w:highlight w:val="none"/>
          <w:u w:val="single"/>
          <w:lang w:eastAsia="zh-CN"/>
        </w:rPr>
        <w:t>JSZC-320900-JCJS-T2026-0014</w:t>
      </w:r>
      <w:r>
        <w:rPr>
          <w:rFonts w:hint="eastAsia"/>
          <w:color w:val="auto"/>
          <w:sz w:val="24"/>
          <w:highlight w:val="none"/>
        </w:rPr>
        <w:t>的</w:t>
      </w:r>
      <w:r>
        <w:rPr>
          <w:rFonts w:hint="eastAsia"/>
          <w:color w:val="auto"/>
          <w:sz w:val="24"/>
          <w:highlight w:val="none"/>
          <w:u w:val="single"/>
        </w:rPr>
        <w:t>盐城市公安局亭湖分局2026年度DNA专业耗材采购项目</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4486B871">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right="0" w:firstLine="360"/>
        <w:jc w:val="both"/>
        <w:textAlignment w:val="auto"/>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11F7B171">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right="0" w:firstLine="360"/>
        <w:jc w:val="both"/>
        <w:textAlignment w:val="auto"/>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4362F739">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right="0" w:firstLine="360"/>
        <w:jc w:val="both"/>
        <w:textAlignment w:val="auto"/>
        <w:rPr>
          <w:color w:val="auto"/>
          <w:highlight w:val="none"/>
        </w:rPr>
      </w:pPr>
      <w:r>
        <w:rPr>
          <w:rFonts w:hint="eastAsia"/>
          <w:color w:val="auto"/>
          <w:highlight w:val="none"/>
        </w:rPr>
        <w:t>……</w:t>
      </w:r>
    </w:p>
    <w:p w14:paraId="62779450">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right="0" w:firstLine="360"/>
        <w:jc w:val="both"/>
        <w:textAlignment w:val="auto"/>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05E35515">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right="0" w:firstLine="360"/>
        <w:jc w:val="both"/>
        <w:textAlignment w:val="auto"/>
        <w:rPr>
          <w:color w:val="auto"/>
          <w:highlight w:val="none"/>
        </w:rPr>
      </w:pPr>
      <w:r>
        <w:rPr>
          <w:rFonts w:hint="eastAsia"/>
          <w:color w:val="auto"/>
          <w:highlight w:val="none"/>
        </w:rPr>
        <w:t>本企业对上述声明内容的真实性负责。如有虚假，将依法承担相应责任</w:t>
      </w:r>
    </w:p>
    <w:p w14:paraId="26E99FD6">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right="0"/>
        <w:jc w:val="both"/>
        <w:textAlignment w:val="auto"/>
        <w:rPr>
          <w:color w:val="auto"/>
          <w:highlight w:val="none"/>
        </w:rPr>
      </w:pPr>
      <w:r>
        <w:rPr>
          <w:color w:val="auto"/>
          <w:highlight w:val="none"/>
        </w:rPr>
        <w:t> </w:t>
      </w:r>
    </w:p>
    <w:p w14:paraId="4026C033">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right="0" w:firstLine="360"/>
        <w:jc w:val="right"/>
        <w:textAlignment w:val="auto"/>
        <w:rPr>
          <w:color w:val="auto"/>
          <w:highlight w:val="none"/>
        </w:rPr>
      </w:pPr>
      <w:r>
        <w:rPr>
          <w:rFonts w:hint="eastAsia"/>
          <w:color w:val="auto"/>
          <w:highlight w:val="none"/>
        </w:rPr>
        <w:t>企业名称（加盖CA电子公章）：</w:t>
      </w:r>
    </w:p>
    <w:p w14:paraId="218AE162">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right="0" w:firstLine="5400"/>
        <w:jc w:val="both"/>
        <w:textAlignment w:val="auto"/>
        <w:rPr>
          <w:color w:val="auto"/>
          <w:highlight w:val="none"/>
        </w:rPr>
      </w:pPr>
      <w:r>
        <w:rPr>
          <w:rFonts w:hint="eastAsia"/>
          <w:color w:val="auto"/>
          <w:highlight w:val="none"/>
        </w:rPr>
        <w:t>日  期：</w:t>
      </w:r>
    </w:p>
    <w:p w14:paraId="09B20EF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0" w:firstLine="240"/>
        <w:jc w:val="both"/>
        <w:textAlignment w:val="auto"/>
        <w:rPr>
          <w:color w:val="auto"/>
          <w:highlight w:val="none"/>
        </w:rPr>
      </w:pPr>
      <w:r>
        <w:rPr>
          <w:color w:val="auto"/>
          <w:highlight w:val="none"/>
        </w:rPr>
        <w:t> </w:t>
      </w:r>
    </w:p>
    <w:p w14:paraId="5FD8B9F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0" w:firstLine="480"/>
        <w:jc w:val="both"/>
        <w:textAlignment w:val="auto"/>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0" w:firstLine="480"/>
        <w:jc w:val="both"/>
        <w:textAlignment w:val="auto"/>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6042A415">
      <w:pPr>
        <w:pStyle w:val="3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十、残疾人福利性单位声明函（分包号：**）</w:t>
      </w:r>
    </w:p>
    <w:p w14:paraId="0B837F6E">
      <w:pPr>
        <w:pStyle w:val="3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w:t>
      </w:r>
      <w:r>
        <w:rPr>
          <w:rFonts w:hint="eastAsia" w:ascii="Times New Roman" w:hAnsi="Times New Roman"/>
          <w:color w:val="auto"/>
          <w:highlight w:val="none"/>
        </w:rPr>
        <w:t>谈判</w:t>
      </w:r>
      <w:r>
        <w:rPr>
          <w:rFonts w:hint="eastAsia" w:ascii="宋体" w:hAnsi="宋体" w:eastAsia="宋体" w:cs="宋体"/>
          <w:color w:val="auto"/>
          <w:highlight w:val="none"/>
        </w:rPr>
        <w:t>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项目（分包号：**）采购活动提供本单位制造的货物，或者提供其他残疾人福利性单位制造的货物（不包括使用非残疾人福利性单位注册商标的货物）。</w:t>
      </w:r>
    </w:p>
    <w:p w14:paraId="60E299B6">
      <w:pPr>
        <w:pStyle w:val="3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0C942605">
      <w:pPr>
        <w:pStyle w:val="33"/>
        <w:spacing w:beforeAutospacing="0" w:afterAutospacing="0" w:line="0" w:lineRule="atLeast"/>
        <w:ind w:firstLine="480"/>
        <w:jc w:val="both"/>
        <w:rPr>
          <w:color w:val="auto"/>
          <w:highlight w:val="none"/>
        </w:rPr>
      </w:pPr>
      <w:r>
        <w:rPr>
          <w:color w:val="auto"/>
          <w:highlight w:val="none"/>
        </w:rPr>
        <w:t> </w:t>
      </w:r>
    </w:p>
    <w:p w14:paraId="05332DDB">
      <w:pPr>
        <w:pStyle w:val="3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备注：1、供应商如不提供此声明函，价格将不做相应扣除（如项目全面面向中小企业，则资格审查不通过）。2、成交供应商</w:t>
      </w:r>
      <w:bookmarkStart w:id="104" w:name="_GoBack"/>
      <w:bookmarkEnd w:id="104"/>
      <w:r>
        <w:rPr>
          <w:rFonts w:hint="eastAsia" w:ascii="宋体" w:hAnsi="宋体" w:eastAsia="宋体" w:cs="宋体"/>
          <w:color w:val="auto"/>
          <w:highlight w:val="none"/>
        </w:rPr>
        <w:t>为残疾人福利单位的，此声明函将随成交结果同时公告，接受社会监督</w:t>
      </w:r>
    </w:p>
    <w:p w14:paraId="2E4376B5">
      <w:pPr>
        <w:pStyle w:val="33"/>
        <w:spacing w:beforeAutospacing="0" w:afterAutospacing="0" w:line="0" w:lineRule="atLeast"/>
        <w:ind w:firstLine="624"/>
        <w:jc w:val="both"/>
        <w:rPr>
          <w:color w:val="auto"/>
          <w:highlight w:val="none"/>
        </w:rPr>
      </w:pPr>
      <w:r>
        <w:rPr>
          <w:color w:val="auto"/>
          <w:highlight w:val="none"/>
        </w:rPr>
        <w:t> </w:t>
      </w:r>
    </w:p>
    <w:p w14:paraId="59D84356">
      <w:pPr>
        <w:pStyle w:val="33"/>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3CCE5333">
      <w:pPr>
        <w:pStyle w:val="3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0415D39D">
      <w:pPr>
        <w:pStyle w:val="33"/>
        <w:spacing w:beforeAutospacing="0" w:afterAutospacing="0" w:line="0" w:lineRule="atLeast"/>
        <w:jc w:val="center"/>
        <w:rPr>
          <w:color w:val="auto"/>
          <w:highlight w:val="none"/>
        </w:rPr>
      </w:pPr>
      <w:r>
        <w:rPr>
          <w:color w:val="auto"/>
          <w:highlight w:val="none"/>
        </w:rPr>
        <w:t> </w:t>
      </w:r>
    </w:p>
    <w:p w14:paraId="465F4DD0">
      <w:pPr>
        <w:pStyle w:val="33"/>
        <w:spacing w:beforeAutospacing="0" w:afterAutospacing="0" w:line="0" w:lineRule="atLeast"/>
        <w:jc w:val="center"/>
        <w:rPr>
          <w:color w:val="auto"/>
          <w:highlight w:val="none"/>
        </w:rPr>
      </w:pPr>
      <w:r>
        <w:rPr>
          <w:color w:val="auto"/>
          <w:highlight w:val="none"/>
        </w:rPr>
        <w:t> </w:t>
      </w:r>
    </w:p>
    <w:p w14:paraId="470134C2">
      <w:pPr>
        <w:pStyle w:val="33"/>
        <w:spacing w:beforeAutospacing="0" w:afterAutospacing="0" w:line="0" w:lineRule="atLeast"/>
        <w:jc w:val="center"/>
        <w:rPr>
          <w:color w:val="auto"/>
          <w:highlight w:val="none"/>
        </w:rPr>
      </w:pPr>
      <w:r>
        <w:rPr>
          <w:color w:val="auto"/>
          <w:highlight w:val="none"/>
        </w:rPr>
        <w:t>  </w:t>
      </w:r>
    </w:p>
    <w:p w14:paraId="16A61A94">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宋体" w:hAnsi="宋体" w:eastAsia="宋体" w:cs="宋体"/>
          <w:b/>
          <w:bCs/>
          <w:color w:val="auto"/>
          <w:sz w:val="24"/>
          <w:szCs w:val="24"/>
          <w:highlight w:val="none"/>
          <w:shd w:val="clear" w:color="auto" w:fill="FFFFFF"/>
          <w:lang w:val="en-US" w:eastAsia="zh-CN"/>
        </w:rPr>
      </w:pPr>
    </w:p>
    <w:p w14:paraId="42E518A3">
      <w:pPr>
        <w:pStyle w:val="33"/>
        <w:spacing w:beforeAutospacing="0" w:afterAutospacing="0"/>
        <w:jc w:val="center"/>
        <w:rPr>
          <w:rFonts w:hint="eastAsia" w:ascii="黑体" w:hAnsi="宋体" w:eastAsia="黑体" w:cs="黑体"/>
          <w:b/>
          <w:color w:val="auto"/>
          <w:sz w:val="32"/>
          <w:szCs w:val="32"/>
          <w:highlight w:val="none"/>
        </w:rPr>
      </w:pPr>
    </w:p>
    <w:p w14:paraId="225F1436">
      <w:pPr>
        <w:pStyle w:val="33"/>
        <w:spacing w:beforeAutospacing="0" w:afterAutospacing="0"/>
        <w:jc w:val="center"/>
        <w:rPr>
          <w:rFonts w:hint="eastAsia" w:ascii="黑体" w:hAnsi="宋体" w:eastAsia="黑体" w:cs="黑体"/>
          <w:b/>
          <w:color w:val="auto"/>
          <w:sz w:val="32"/>
          <w:szCs w:val="32"/>
          <w:highlight w:val="none"/>
        </w:rPr>
      </w:pPr>
    </w:p>
    <w:p w14:paraId="0F375006">
      <w:pPr>
        <w:pStyle w:val="33"/>
        <w:spacing w:beforeAutospacing="0" w:afterAutospacing="0"/>
        <w:jc w:val="center"/>
        <w:rPr>
          <w:rFonts w:hint="eastAsia" w:ascii="黑体" w:hAnsi="宋体" w:eastAsia="黑体" w:cs="黑体"/>
          <w:b/>
          <w:color w:val="auto"/>
          <w:sz w:val="32"/>
          <w:szCs w:val="32"/>
          <w:highlight w:val="none"/>
        </w:rPr>
      </w:pPr>
    </w:p>
    <w:p w14:paraId="7684C239">
      <w:pPr>
        <w:pStyle w:val="33"/>
        <w:spacing w:beforeAutospacing="0" w:afterAutospacing="0"/>
        <w:jc w:val="center"/>
        <w:rPr>
          <w:rFonts w:hint="eastAsia" w:ascii="黑体" w:hAnsi="宋体" w:eastAsia="黑体" w:cs="黑体"/>
          <w:b/>
          <w:color w:val="auto"/>
          <w:sz w:val="32"/>
          <w:szCs w:val="32"/>
          <w:highlight w:val="none"/>
        </w:rPr>
      </w:pPr>
    </w:p>
    <w:p w14:paraId="5BF2C6B2">
      <w:pPr>
        <w:pStyle w:val="33"/>
        <w:spacing w:beforeAutospacing="0" w:afterAutospacing="0"/>
        <w:jc w:val="center"/>
        <w:rPr>
          <w:rFonts w:hint="eastAsia" w:ascii="黑体" w:hAnsi="宋体" w:eastAsia="黑体" w:cs="黑体"/>
          <w:b/>
          <w:color w:val="auto"/>
          <w:sz w:val="32"/>
          <w:szCs w:val="32"/>
          <w:highlight w:val="none"/>
        </w:rPr>
      </w:pPr>
    </w:p>
    <w:p w14:paraId="47388616">
      <w:pPr>
        <w:pStyle w:val="33"/>
        <w:spacing w:beforeAutospacing="0" w:afterAutospacing="0"/>
        <w:jc w:val="center"/>
        <w:rPr>
          <w:rFonts w:hint="eastAsia" w:ascii="黑体" w:hAnsi="宋体" w:eastAsia="黑体" w:cs="黑体"/>
          <w:b/>
          <w:color w:val="auto"/>
          <w:sz w:val="32"/>
          <w:szCs w:val="32"/>
          <w:highlight w:val="none"/>
        </w:rPr>
      </w:pPr>
    </w:p>
    <w:p w14:paraId="09F0F802">
      <w:pPr>
        <w:pStyle w:val="33"/>
        <w:spacing w:beforeAutospacing="0" w:afterAutospacing="0"/>
        <w:jc w:val="center"/>
        <w:rPr>
          <w:rFonts w:hint="eastAsia" w:ascii="黑体" w:hAnsi="宋体" w:eastAsia="黑体" w:cs="黑体"/>
          <w:b/>
          <w:color w:val="auto"/>
          <w:sz w:val="32"/>
          <w:szCs w:val="32"/>
          <w:highlight w:val="none"/>
        </w:rPr>
      </w:pPr>
    </w:p>
    <w:p w14:paraId="063EDA6E">
      <w:pPr>
        <w:pStyle w:val="33"/>
        <w:spacing w:beforeAutospacing="0" w:afterAutospacing="0"/>
        <w:jc w:val="center"/>
        <w:rPr>
          <w:rFonts w:hint="eastAsia" w:ascii="黑体" w:hAnsi="宋体" w:eastAsia="黑体" w:cs="黑体"/>
          <w:b/>
          <w:color w:val="auto"/>
          <w:sz w:val="32"/>
          <w:szCs w:val="32"/>
          <w:highlight w:val="none"/>
        </w:rPr>
      </w:pPr>
    </w:p>
    <w:p w14:paraId="4937D00D">
      <w:pPr>
        <w:pStyle w:val="33"/>
        <w:spacing w:beforeAutospacing="0" w:afterAutospacing="0"/>
        <w:jc w:val="center"/>
        <w:rPr>
          <w:rFonts w:hint="eastAsia" w:ascii="黑体" w:hAnsi="宋体" w:eastAsia="黑体" w:cs="黑体"/>
          <w:b/>
          <w:color w:val="auto"/>
          <w:sz w:val="32"/>
          <w:szCs w:val="32"/>
          <w:highlight w:val="none"/>
        </w:rPr>
      </w:pPr>
    </w:p>
    <w:p w14:paraId="4ACC6AF9">
      <w:pPr>
        <w:pStyle w:val="33"/>
        <w:spacing w:beforeAutospacing="0" w:afterAutospacing="0"/>
        <w:jc w:val="center"/>
        <w:rPr>
          <w:rFonts w:hint="eastAsia" w:ascii="黑体" w:hAnsi="宋体" w:eastAsia="黑体" w:cs="黑体"/>
          <w:b/>
          <w:color w:val="auto"/>
          <w:sz w:val="32"/>
          <w:szCs w:val="32"/>
          <w:highlight w:val="none"/>
        </w:rPr>
      </w:pPr>
    </w:p>
    <w:p w14:paraId="3E69CDD5">
      <w:pPr>
        <w:pStyle w:val="33"/>
        <w:spacing w:beforeAutospacing="0" w:afterAutospacing="0"/>
        <w:jc w:val="center"/>
        <w:rPr>
          <w:rFonts w:hint="eastAsia" w:ascii="黑体" w:hAnsi="宋体" w:eastAsia="黑体" w:cs="黑体"/>
          <w:b/>
          <w:color w:val="auto"/>
          <w:sz w:val="32"/>
          <w:szCs w:val="32"/>
          <w:highlight w:val="none"/>
        </w:rPr>
      </w:pPr>
    </w:p>
    <w:p w14:paraId="4B6BBDC8">
      <w:pPr>
        <w:pStyle w:val="33"/>
        <w:spacing w:beforeAutospacing="0" w:afterAutospacing="0"/>
        <w:jc w:val="center"/>
        <w:rPr>
          <w:rFonts w:hint="eastAsia" w:ascii="黑体" w:hAnsi="宋体" w:eastAsia="黑体" w:cs="黑体"/>
          <w:b/>
          <w:color w:val="auto"/>
          <w:sz w:val="32"/>
          <w:szCs w:val="32"/>
          <w:highlight w:val="none"/>
        </w:rPr>
      </w:pPr>
    </w:p>
    <w:p w14:paraId="0B577DAC">
      <w:pPr>
        <w:pStyle w:val="33"/>
        <w:spacing w:beforeAutospacing="0" w:afterAutospacing="0"/>
        <w:jc w:val="center"/>
        <w:rPr>
          <w:rFonts w:hint="eastAsia" w:ascii="黑体" w:hAnsi="宋体" w:eastAsia="黑体" w:cs="黑体"/>
          <w:b/>
          <w:color w:val="auto"/>
          <w:sz w:val="32"/>
          <w:szCs w:val="32"/>
          <w:highlight w:val="none"/>
        </w:rPr>
      </w:pPr>
    </w:p>
    <w:p w14:paraId="08F26245">
      <w:pPr>
        <w:pStyle w:val="33"/>
        <w:spacing w:beforeAutospacing="0" w:afterAutospacing="0"/>
        <w:jc w:val="center"/>
        <w:rPr>
          <w:rFonts w:hint="eastAsia" w:ascii="黑体" w:hAnsi="宋体" w:eastAsia="黑体" w:cs="黑体"/>
          <w:b/>
          <w:color w:val="auto"/>
          <w:sz w:val="32"/>
          <w:szCs w:val="32"/>
          <w:highlight w:val="none"/>
        </w:rPr>
      </w:pPr>
    </w:p>
    <w:p w14:paraId="59C78A81">
      <w:pPr>
        <w:pStyle w:val="33"/>
        <w:spacing w:beforeAutospacing="0" w:afterAutospacing="0"/>
        <w:jc w:val="center"/>
        <w:rPr>
          <w:rFonts w:hint="eastAsia" w:ascii="黑体" w:hAnsi="宋体" w:eastAsia="黑体" w:cs="黑体"/>
          <w:b/>
          <w:color w:val="auto"/>
          <w:sz w:val="32"/>
          <w:szCs w:val="32"/>
          <w:highlight w:val="none"/>
        </w:rPr>
      </w:pPr>
    </w:p>
    <w:p w14:paraId="67EBC30E">
      <w:pPr>
        <w:pStyle w:val="33"/>
        <w:spacing w:beforeAutospacing="0" w:afterAutospacing="0"/>
        <w:jc w:val="center"/>
        <w:rPr>
          <w:rFonts w:hint="eastAsia" w:ascii="黑体" w:hAnsi="宋体" w:eastAsia="黑体" w:cs="黑体"/>
          <w:b/>
          <w:color w:val="auto"/>
          <w:sz w:val="32"/>
          <w:szCs w:val="32"/>
          <w:highlight w:val="none"/>
        </w:rPr>
      </w:pPr>
    </w:p>
    <w:p w14:paraId="205C8D4D">
      <w:pPr>
        <w:pStyle w:val="33"/>
        <w:spacing w:beforeAutospacing="0" w:afterAutospacing="0"/>
        <w:jc w:val="center"/>
        <w:rPr>
          <w:rFonts w:hint="eastAsia" w:ascii="黑体" w:hAnsi="宋体" w:eastAsia="黑体" w:cs="黑体"/>
          <w:b/>
          <w:color w:val="auto"/>
          <w:sz w:val="32"/>
          <w:szCs w:val="32"/>
          <w:highlight w:val="none"/>
        </w:rPr>
      </w:pPr>
    </w:p>
    <w:p w14:paraId="7440A3B2">
      <w:pPr>
        <w:pStyle w:val="33"/>
        <w:spacing w:beforeAutospacing="0" w:afterAutospacing="0"/>
        <w:jc w:val="center"/>
        <w:rPr>
          <w:rFonts w:hint="eastAsia" w:ascii="黑体" w:hAnsi="宋体" w:eastAsia="黑体" w:cs="黑体"/>
          <w:b/>
          <w:color w:val="auto"/>
          <w:sz w:val="32"/>
          <w:szCs w:val="32"/>
          <w:highlight w:val="none"/>
        </w:rPr>
      </w:pPr>
    </w:p>
    <w:p w14:paraId="776905E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rFonts w:ascii="黑体" w:hAnsi="宋体" w:eastAsia="黑体" w:cs="黑体"/>
          <w:b/>
          <w:bCs/>
          <w:color w:val="auto"/>
          <w:sz w:val="32"/>
          <w:szCs w:val="32"/>
          <w:highlight w:val="none"/>
        </w:rPr>
        <w:t>十一、 关于符合本国产品标准的声明函（采购包号：**）</w:t>
      </w:r>
    </w:p>
    <w:p w14:paraId="3D48EB6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311B4E8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highlight w:val="none"/>
        </w:rPr>
      </w:pPr>
      <w:r>
        <w:rPr>
          <w:rFonts w:ascii="宋体" w:hAnsi="宋体" w:eastAsia="宋体" w:cs="宋体"/>
          <w:b/>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1.</w:t>
      </w:r>
      <w:r>
        <w:rPr>
          <w:rFonts w:ascii="宋体" w:hAnsi="宋体" w:eastAsia="宋体" w:cs="宋体"/>
          <w:b/>
          <w:bCs/>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vertAlign w:val="superscript"/>
        </w:rPr>
        <w:t>1</w:t>
      </w:r>
      <w:r>
        <w:rPr>
          <w:rFonts w:ascii="宋体" w:hAnsi="宋体" w:eastAsia="宋体" w:cs="宋体"/>
          <w:b/>
          <w:bCs/>
          <w:color w:val="auto"/>
          <w:sz w:val="24"/>
          <w:szCs w:val="24"/>
          <w:highlight w:val="none"/>
          <w:shd w:val="clear" w:fill="FFFFFF"/>
        </w:rPr>
        <w:t>，生产厂为</w:t>
      </w:r>
      <w:r>
        <w:rPr>
          <w:rFonts w:ascii="宋体" w:hAnsi="宋体" w:eastAsia="宋体" w:cs="宋体"/>
          <w:b/>
          <w:bCs/>
          <w:color w:val="auto"/>
          <w:sz w:val="24"/>
          <w:szCs w:val="24"/>
          <w:highlight w:val="none"/>
          <w:u w:val="single"/>
          <w:shd w:val="clear" w:fill="FFFFFF"/>
        </w:rPr>
        <w:t>（厂名）</w:t>
      </w:r>
      <w:r>
        <w:rPr>
          <w:rFonts w:ascii="宋体" w:hAnsi="宋体" w:eastAsia="宋体" w:cs="宋体"/>
          <w:b/>
          <w:bCs/>
          <w:color w:val="auto"/>
          <w:sz w:val="24"/>
          <w:szCs w:val="24"/>
          <w:highlight w:val="none"/>
          <w:shd w:val="clear" w:fill="FFFFFF"/>
          <w:vertAlign w:val="superscript"/>
        </w:rPr>
        <w:t>2</w:t>
      </w:r>
      <w:r>
        <w:rPr>
          <w:rFonts w:ascii="宋体" w:hAnsi="宋体" w:eastAsia="宋体" w:cs="宋体"/>
          <w:b/>
          <w:bCs/>
          <w:color w:val="auto"/>
          <w:sz w:val="24"/>
          <w:szCs w:val="24"/>
          <w:highlight w:val="none"/>
          <w:shd w:val="clear" w:fill="FFFFFF"/>
        </w:rPr>
        <w:t>，厂址为</w:t>
      </w:r>
      <w:r>
        <w:rPr>
          <w:rFonts w:ascii="宋体" w:hAnsi="宋体" w:eastAsia="宋体" w:cs="宋体"/>
          <w:b/>
          <w:bCs/>
          <w:color w:val="auto"/>
          <w:sz w:val="24"/>
          <w:szCs w:val="24"/>
          <w:highlight w:val="none"/>
          <w:u w:val="single"/>
          <w:shd w:val="clear" w:fill="FFFFFF"/>
        </w:rPr>
        <w:t>（生产厂址）</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 （产品名称1）</w:t>
      </w:r>
      <w:r>
        <w:rPr>
          <w:rFonts w:ascii="宋体" w:hAnsi="宋体" w:eastAsia="宋体" w:cs="宋体"/>
          <w:b/>
          <w:bCs/>
          <w:color w:val="auto"/>
          <w:sz w:val="24"/>
          <w:szCs w:val="24"/>
          <w:highlight w:val="none"/>
          <w:u w:val="single"/>
          <w:shd w:val="clear" w:fill="FFFFFF"/>
        </w:rPr>
        <w:t> </w:t>
      </w:r>
      <w:r>
        <w:rPr>
          <w:rFonts w:ascii="宋体" w:hAnsi="宋体" w:eastAsia="宋体" w:cs="宋体"/>
          <w:b/>
          <w:bCs/>
          <w:color w:val="auto"/>
          <w:sz w:val="24"/>
          <w:szCs w:val="24"/>
          <w:highlight w:val="none"/>
          <w:shd w:val="clear" w:fill="FFFFFF"/>
        </w:rPr>
        <w:t>的中国境内生产的组件成本占比≥</w:t>
      </w:r>
      <w:r>
        <w:rPr>
          <w:rFonts w:ascii="宋体" w:hAnsi="宋体" w:eastAsia="宋体" w:cs="宋体"/>
          <w:b/>
          <w:bCs/>
          <w:strike/>
          <w:dstrike w:val="0"/>
          <w:color w:val="auto"/>
          <w:sz w:val="24"/>
          <w:szCs w:val="24"/>
          <w:highlight w:val="none"/>
          <w:u w:val="single"/>
          <w:shd w:val="clear" w:fill="FFFFFF"/>
        </w:rPr>
        <w:t>（规定比例）</w:t>
      </w:r>
      <w:r>
        <w:rPr>
          <w:rFonts w:ascii="宋体" w:hAnsi="宋体" w:eastAsia="宋体" w:cs="宋体"/>
          <w:b/>
          <w:bCs/>
          <w:strike/>
          <w:dstrike w:val="0"/>
          <w:color w:val="auto"/>
          <w:sz w:val="24"/>
          <w:szCs w:val="24"/>
          <w:highlight w:val="none"/>
          <w:shd w:val="clear" w:fill="FFFFFF"/>
          <w:vertAlign w:val="superscript"/>
        </w:rPr>
        <w:t>3</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（关键组件）</w:t>
      </w:r>
      <w:r>
        <w:rPr>
          <w:rFonts w:ascii="宋体" w:hAnsi="宋体" w:eastAsia="宋体" w:cs="宋体"/>
          <w:b/>
          <w:bCs/>
          <w:strike/>
          <w:dstrike w:val="0"/>
          <w:color w:val="auto"/>
          <w:sz w:val="24"/>
          <w:szCs w:val="24"/>
          <w:highlight w:val="none"/>
          <w:shd w:val="clear" w:fill="FFFFFF"/>
          <w:vertAlign w:val="superscript"/>
        </w:rPr>
        <w:t>4</w:t>
      </w:r>
      <w:r>
        <w:rPr>
          <w:rFonts w:ascii="宋体" w:hAnsi="宋体" w:eastAsia="宋体" w:cs="宋体"/>
          <w:b/>
          <w:bCs/>
          <w:color w:val="auto"/>
          <w:sz w:val="24"/>
          <w:szCs w:val="24"/>
          <w:highlight w:val="none"/>
          <w:shd w:val="clear" w:fill="FFFFFF"/>
        </w:rPr>
        <w:t>在中国境内生产。</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（关键工序）</w:t>
      </w:r>
      <w:r>
        <w:rPr>
          <w:rFonts w:ascii="宋体" w:hAnsi="宋体" w:eastAsia="宋体" w:cs="宋体"/>
          <w:b/>
          <w:bCs/>
          <w:strike/>
          <w:dstrike w:val="0"/>
          <w:color w:val="auto"/>
          <w:sz w:val="24"/>
          <w:szCs w:val="24"/>
          <w:highlight w:val="none"/>
          <w:shd w:val="clear" w:fill="FFFFFF"/>
          <w:vertAlign w:val="superscript"/>
        </w:rPr>
        <w:t>5</w:t>
      </w:r>
      <w:r>
        <w:rPr>
          <w:rFonts w:ascii="宋体" w:hAnsi="宋体" w:eastAsia="宋体" w:cs="宋体"/>
          <w:b/>
          <w:bCs/>
          <w:color w:val="auto"/>
          <w:sz w:val="24"/>
          <w:szCs w:val="24"/>
          <w:highlight w:val="none"/>
          <w:shd w:val="clear" w:fill="FFFFFF"/>
        </w:rPr>
        <w:t>在中国境内完成。</w:t>
      </w:r>
    </w:p>
    <w:p w14:paraId="20758D9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2.</w:t>
      </w:r>
      <w:r>
        <w:rPr>
          <w:rFonts w:ascii="宋体" w:hAnsi="宋体" w:eastAsia="宋体" w:cs="宋体"/>
          <w:b/>
          <w:bCs/>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，生产厂为</w:t>
      </w:r>
      <w:r>
        <w:rPr>
          <w:rFonts w:ascii="宋体" w:hAnsi="宋体" w:eastAsia="宋体" w:cs="宋体"/>
          <w:b/>
          <w:bCs/>
          <w:color w:val="auto"/>
          <w:sz w:val="24"/>
          <w:szCs w:val="24"/>
          <w:highlight w:val="none"/>
          <w:u w:val="single"/>
          <w:shd w:val="clear" w:fill="FFFFFF"/>
        </w:rPr>
        <w:t>（厂名）</w:t>
      </w:r>
      <w:r>
        <w:rPr>
          <w:rFonts w:ascii="宋体" w:hAnsi="宋体" w:eastAsia="宋体" w:cs="宋体"/>
          <w:b/>
          <w:bCs/>
          <w:color w:val="auto"/>
          <w:sz w:val="24"/>
          <w:szCs w:val="24"/>
          <w:highlight w:val="none"/>
          <w:shd w:val="clear" w:fill="FFFFFF"/>
        </w:rPr>
        <w:t>，厂址为</w:t>
      </w:r>
      <w:r>
        <w:rPr>
          <w:rFonts w:ascii="宋体" w:hAnsi="宋体" w:eastAsia="宋体" w:cs="宋体"/>
          <w:b/>
          <w:bCs/>
          <w:color w:val="auto"/>
          <w:sz w:val="24"/>
          <w:szCs w:val="24"/>
          <w:highlight w:val="none"/>
          <w:u w:val="single"/>
          <w:shd w:val="clear" w:fill="FFFFFF"/>
        </w:rPr>
        <w:t>（生产厂址）</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的中国境内生产的组件成本占比≥</w:t>
      </w:r>
      <w:r>
        <w:rPr>
          <w:rFonts w:ascii="宋体" w:hAnsi="宋体" w:eastAsia="宋体" w:cs="宋体"/>
          <w:b/>
          <w:bCs/>
          <w:strike/>
          <w:dstrike w:val="0"/>
          <w:color w:val="auto"/>
          <w:sz w:val="24"/>
          <w:szCs w:val="24"/>
          <w:highlight w:val="none"/>
          <w:u w:val="single"/>
          <w:shd w:val="clear" w:fill="FFFFFF"/>
        </w:rPr>
        <w:t>（规定比例）</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（关键组件）</w:t>
      </w:r>
      <w:r>
        <w:rPr>
          <w:rFonts w:ascii="宋体" w:hAnsi="宋体" w:eastAsia="宋体" w:cs="宋体"/>
          <w:b/>
          <w:bCs/>
          <w:color w:val="auto"/>
          <w:sz w:val="24"/>
          <w:szCs w:val="24"/>
          <w:highlight w:val="none"/>
          <w:shd w:val="clear" w:fill="FFFFFF"/>
        </w:rPr>
        <w:t>在中国境内生产。</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（关键工序）</w:t>
      </w:r>
      <w:r>
        <w:rPr>
          <w:rFonts w:ascii="宋体" w:hAnsi="宋体" w:eastAsia="宋体" w:cs="宋体"/>
          <w:b/>
          <w:bCs/>
          <w:color w:val="auto"/>
          <w:sz w:val="24"/>
          <w:szCs w:val="24"/>
          <w:highlight w:val="none"/>
          <w:shd w:val="clear" w:fill="FFFFFF"/>
        </w:rPr>
        <w:t>在中国境内完成。</w:t>
      </w:r>
    </w:p>
    <w:p w14:paraId="519DADE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w:t>
      </w:r>
    </w:p>
    <w:p w14:paraId="2898E24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本公司（单位）对上述声明内容的真实性负责。如有虚假，愿承担相应法律责任。</w:t>
      </w:r>
    </w:p>
    <w:p w14:paraId="1CAC866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rPr>
        <w:t> </w:t>
      </w:r>
    </w:p>
    <w:p w14:paraId="4B7D608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color w:val="auto"/>
          <w:highlight w:val="none"/>
        </w:rPr>
      </w:pPr>
      <w:r>
        <w:rPr>
          <w:rFonts w:ascii="宋体" w:hAnsi="宋体" w:eastAsia="宋体" w:cs="宋体"/>
          <w:b/>
          <w:bCs/>
          <w:color w:val="auto"/>
          <w:sz w:val="24"/>
          <w:szCs w:val="24"/>
          <w:highlight w:val="none"/>
          <w:shd w:val="clear" w:fill="FFFFFF"/>
        </w:rPr>
        <w:t>公司（单位）名称（盖章）：　</w:t>
      </w:r>
    </w:p>
    <w:p w14:paraId="4B86CD8E">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highlight w:val="none"/>
        </w:rPr>
      </w:pPr>
      <w:r>
        <w:rPr>
          <w:rFonts w:ascii="宋体" w:hAnsi="宋体" w:eastAsia="宋体" w:cs="宋体"/>
          <w:b/>
          <w:bCs/>
          <w:color w:val="auto"/>
          <w:sz w:val="24"/>
          <w:szCs w:val="24"/>
          <w:highlight w:val="none"/>
          <w:shd w:val="clear" w:fill="FFFFFF"/>
        </w:rPr>
        <w:t>                                日期：　   年　  月　  日         </w:t>
      </w:r>
    </w:p>
    <w:p w14:paraId="563751C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__________________</w:t>
      </w:r>
    </w:p>
    <w:p w14:paraId="0D130BF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1.产品如有型号，请在“产品名称”栏一并填写。</w:t>
      </w:r>
    </w:p>
    <w:p w14:paraId="3BE63DDD">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2.生产厂名与厂址应与生产厂营业执照载明的相关信息保持一致。</w:t>
      </w:r>
    </w:p>
    <w:p w14:paraId="187E10C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3.该产品的中国境内生产的组件成本占比相关要求实施前，“规定比例”栏可不填，下同。</w:t>
      </w:r>
    </w:p>
    <w:p w14:paraId="3267BE6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4.该产品的关键组件要求实施前，“关键组件”栏可不填，下同。</w:t>
      </w:r>
    </w:p>
    <w:p w14:paraId="4E6C0834">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5.该产品的关键工序要求实施前，“关键工序”栏可不填，下同。</w:t>
      </w:r>
    </w:p>
    <w:p w14:paraId="2039D93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fill="FFFFFF"/>
        </w:rPr>
      </w:pPr>
      <w:r>
        <w:rPr>
          <w:rFonts w:ascii="宋体" w:hAnsi="宋体" w:eastAsia="宋体" w:cs="宋体"/>
          <w:b/>
          <w:bCs/>
          <w:color w:val="auto"/>
          <w:sz w:val="24"/>
          <w:szCs w:val="24"/>
          <w:highlight w:val="none"/>
          <w:shd w:val="clear" w:fill="FFFFFF"/>
        </w:rPr>
        <w:t>6.用</w:t>
      </w:r>
      <w:r>
        <w:rPr>
          <w:rFonts w:hint="eastAsia" w:ascii="宋体" w:hAnsi="宋体" w:eastAsia="宋体" w:cs="宋体"/>
          <w:b/>
          <w:bCs/>
          <w:color w:val="auto"/>
          <w:sz w:val="24"/>
          <w:szCs w:val="24"/>
          <w:highlight w:val="none"/>
          <w:shd w:val="clear" w:fill="FFFFFF"/>
          <w:lang w:val="en-US" w:eastAsia="zh-CN"/>
        </w:rPr>
        <w:t>横</w:t>
      </w:r>
      <w:r>
        <w:rPr>
          <w:rFonts w:ascii="宋体" w:hAnsi="宋体" w:eastAsia="宋体" w:cs="宋体"/>
          <w:b/>
          <w:bCs/>
          <w:color w:val="auto"/>
          <w:sz w:val="24"/>
          <w:szCs w:val="24"/>
          <w:highlight w:val="none"/>
          <w:shd w:val="clear" w:fill="FFFFFF"/>
        </w:rPr>
        <w:t>线划除的地方无需填写。</w:t>
      </w:r>
    </w:p>
    <w:p w14:paraId="1674B3A3">
      <w:pPr>
        <w:numPr>
          <w:ilvl w:val="0"/>
          <w:numId w:val="0"/>
        </w:numP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63D7BC7C">
      <w:pPr>
        <w:pStyle w:val="33"/>
        <w:spacing w:beforeAutospacing="0" w:afterAutospacing="0"/>
        <w:jc w:val="center"/>
        <w:rPr>
          <w:rFonts w:hint="eastAsia" w:ascii="黑体" w:hAnsi="宋体" w:eastAsia="黑体" w:cs="黑体"/>
          <w:b/>
          <w:color w:val="auto"/>
          <w:sz w:val="32"/>
          <w:szCs w:val="32"/>
          <w:highlight w:val="none"/>
        </w:rPr>
      </w:pPr>
    </w:p>
    <w:p w14:paraId="56F1870E">
      <w:pPr>
        <w:pStyle w:val="33"/>
        <w:spacing w:beforeAutospacing="0" w:afterAutospacing="0"/>
        <w:jc w:val="center"/>
        <w:rPr>
          <w:rFonts w:hint="eastAsia" w:ascii="黑体" w:hAnsi="宋体" w:eastAsia="黑体" w:cs="黑体"/>
          <w:b/>
          <w:color w:val="auto"/>
          <w:sz w:val="32"/>
          <w:szCs w:val="32"/>
          <w:highlight w:val="none"/>
        </w:rPr>
      </w:pPr>
    </w:p>
    <w:p w14:paraId="493DE6A2">
      <w:pPr>
        <w:pStyle w:val="33"/>
        <w:spacing w:beforeAutospacing="0" w:afterAutospacing="0"/>
        <w:jc w:val="center"/>
        <w:rPr>
          <w:rFonts w:hint="eastAsia" w:ascii="黑体" w:hAnsi="宋体" w:eastAsia="黑体" w:cs="黑体"/>
          <w:b/>
          <w:color w:val="auto"/>
          <w:sz w:val="32"/>
          <w:szCs w:val="32"/>
          <w:highlight w:val="none"/>
        </w:rPr>
      </w:pPr>
    </w:p>
    <w:p w14:paraId="66FA6840">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570573AC">
      <w:pPr>
        <w:pStyle w:val="3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eastAsia="zh-CN"/>
        </w:rPr>
        <w:t>二</w:t>
      </w:r>
      <w:r>
        <w:rPr>
          <w:rFonts w:hint="eastAsia" w:ascii="黑体" w:hAnsi="宋体" w:eastAsia="黑体" w:cs="黑体"/>
          <w:b/>
          <w:color w:val="auto"/>
          <w:sz w:val="32"/>
          <w:szCs w:val="32"/>
          <w:highlight w:val="none"/>
        </w:rPr>
        <w:t>、分项报价表</w:t>
      </w:r>
    </w:p>
    <w:tbl>
      <w:tblPr>
        <w:tblStyle w:val="37"/>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76923782">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6605895C">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5B2CD396">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3DECBDB1">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E686643">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4C6E50FF">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1E58DEFE">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4A1BEAD">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5F6BDA59">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7</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6259D855">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8</w:t>
            </w:r>
          </w:p>
        </w:tc>
      </w:tr>
      <w:tr w14:paraId="4DFF6AF3">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15077F4C">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6CE231AD">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产品</w:t>
            </w:r>
          </w:p>
          <w:p w14:paraId="5F5D629F">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名称</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5AA48DCA">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品牌</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9A9A56F">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型号</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241CA802">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产地</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63A4A895">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EBEFC9B">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0805C132">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2E574E06">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分项总价</w:t>
            </w:r>
          </w:p>
        </w:tc>
      </w:tr>
      <w:tr w14:paraId="3C6F7107">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3BEE0A30">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4874E0C4">
            <w:pPr>
              <w:pStyle w:val="33"/>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11E1A7D1">
            <w:pPr>
              <w:pStyle w:val="33"/>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F72170E">
            <w:pPr>
              <w:pStyle w:val="33"/>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007DC1FD">
            <w:pPr>
              <w:pStyle w:val="33"/>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1AF4AE6F">
            <w:pPr>
              <w:pStyle w:val="33"/>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885B1DD">
            <w:pPr>
              <w:pStyle w:val="33"/>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11BAA99E">
            <w:pPr>
              <w:pStyle w:val="33"/>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06C39495">
            <w:pPr>
              <w:pStyle w:val="33"/>
              <w:spacing w:beforeAutospacing="0" w:afterAutospacing="0" w:line="0" w:lineRule="atLeast"/>
              <w:jc w:val="both"/>
              <w:rPr>
                <w:color w:val="auto"/>
                <w:highlight w:val="none"/>
              </w:rPr>
            </w:pPr>
            <w:r>
              <w:rPr>
                <w:color w:val="auto"/>
                <w:highlight w:val="none"/>
              </w:rPr>
              <w:t> </w:t>
            </w:r>
          </w:p>
        </w:tc>
      </w:tr>
      <w:tr w14:paraId="13A01010">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4BFC89FF">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2868B0B0">
            <w:pPr>
              <w:pStyle w:val="33"/>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40B3EF3D">
            <w:pPr>
              <w:pStyle w:val="33"/>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89BD1C7">
            <w:pPr>
              <w:pStyle w:val="33"/>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115F7CDB">
            <w:pPr>
              <w:pStyle w:val="33"/>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1399F759">
            <w:pPr>
              <w:pStyle w:val="33"/>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9F55474">
            <w:pPr>
              <w:pStyle w:val="33"/>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06FDD3AB">
            <w:pPr>
              <w:pStyle w:val="33"/>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3A512784">
            <w:pPr>
              <w:pStyle w:val="33"/>
              <w:spacing w:beforeAutospacing="0" w:afterAutospacing="0" w:line="0" w:lineRule="atLeast"/>
              <w:jc w:val="both"/>
              <w:rPr>
                <w:color w:val="auto"/>
                <w:highlight w:val="none"/>
              </w:rPr>
            </w:pPr>
            <w:r>
              <w:rPr>
                <w:color w:val="auto"/>
                <w:highlight w:val="none"/>
              </w:rPr>
              <w:t> </w:t>
            </w:r>
          </w:p>
        </w:tc>
      </w:tr>
      <w:tr w14:paraId="7F01069E">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6A8DB108">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16C41615">
            <w:pPr>
              <w:pStyle w:val="33"/>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0D996121">
            <w:pPr>
              <w:pStyle w:val="33"/>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DDFE7A0">
            <w:pPr>
              <w:pStyle w:val="33"/>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6F9CF473">
            <w:pPr>
              <w:pStyle w:val="33"/>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55FB8E51">
            <w:pPr>
              <w:pStyle w:val="33"/>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685B2DE">
            <w:pPr>
              <w:pStyle w:val="33"/>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7880E21C">
            <w:pPr>
              <w:pStyle w:val="33"/>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29D63939">
            <w:pPr>
              <w:pStyle w:val="33"/>
              <w:spacing w:beforeAutospacing="0" w:afterAutospacing="0" w:line="0" w:lineRule="atLeast"/>
              <w:jc w:val="both"/>
              <w:rPr>
                <w:color w:val="auto"/>
                <w:highlight w:val="none"/>
              </w:rPr>
            </w:pPr>
            <w:r>
              <w:rPr>
                <w:color w:val="auto"/>
                <w:highlight w:val="none"/>
              </w:rPr>
              <w:t> </w:t>
            </w:r>
          </w:p>
        </w:tc>
      </w:tr>
      <w:tr w14:paraId="3DC9F7ED">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64CBA5F6">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54E868A7">
            <w:pPr>
              <w:pStyle w:val="33"/>
              <w:spacing w:beforeAutospacing="0" w:afterAutospacing="0" w:line="0" w:lineRule="atLeast"/>
              <w:jc w:val="both"/>
              <w:rPr>
                <w:color w:val="auto"/>
                <w:highlight w:val="none"/>
              </w:rPr>
            </w:pPr>
            <w:r>
              <w:rPr>
                <w:rFonts w:hint="eastAsia" w:ascii="宋体" w:hAnsi="宋体" w:eastAsia="宋体" w:cs="宋体"/>
                <w:color w:val="auto"/>
                <w:highlight w:val="none"/>
              </w:rPr>
              <w:t>……</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409ED196">
            <w:pPr>
              <w:pStyle w:val="33"/>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7628B335">
            <w:pPr>
              <w:pStyle w:val="33"/>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209B41C2">
            <w:pPr>
              <w:pStyle w:val="33"/>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494A1354">
            <w:pPr>
              <w:pStyle w:val="33"/>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3DA0EED">
            <w:pPr>
              <w:pStyle w:val="33"/>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3AF5DA30">
            <w:pPr>
              <w:pStyle w:val="33"/>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67BB652D">
            <w:pPr>
              <w:pStyle w:val="33"/>
              <w:spacing w:beforeAutospacing="0" w:afterAutospacing="0" w:line="0" w:lineRule="atLeast"/>
              <w:jc w:val="both"/>
              <w:rPr>
                <w:color w:val="auto"/>
                <w:highlight w:val="none"/>
              </w:rPr>
            </w:pPr>
            <w:r>
              <w:rPr>
                <w:color w:val="auto"/>
                <w:highlight w:val="none"/>
              </w:rPr>
              <w:t> </w:t>
            </w:r>
          </w:p>
        </w:tc>
      </w:tr>
      <w:tr w14:paraId="6F72F996">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noWrap w:val="0"/>
            <w:vAlign w:val="center"/>
          </w:tcPr>
          <w:p w14:paraId="767D830D">
            <w:pPr>
              <w:pStyle w:val="33"/>
              <w:spacing w:beforeAutospacing="0" w:afterAutospacing="0"/>
              <w:jc w:val="center"/>
              <w:rPr>
                <w:color w:val="auto"/>
                <w:highlight w:val="none"/>
              </w:rPr>
            </w:pPr>
            <w:r>
              <w:rPr>
                <w:rFonts w:hint="eastAsia" w:ascii="宋体" w:hAnsi="宋体" w:eastAsia="宋体" w:cs="宋体"/>
                <w:color w:val="auto"/>
                <w:highlight w:val="none"/>
              </w:rPr>
              <w:t>投标总报价（人民币：元）</w:t>
            </w:r>
          </w:p>
          <w:p w14:paraId="517C79B2">
            <w:pPr>
              <w:pStyle w:val="33"/>
              <w:spacing w:beforeAutospacing="0" w:afterAutospacing="0"/>
              <w:jc w:val="both"/>
              <w:rPr>
                <w:color w:val="auto"/>
                <w:highlight w:val="none"/>
              </w:rPr>
            </w:pPr>
            <w:r>
              <w:rPr>
                <w:color w:val="auto"/>
                <w:highlight w:val="none"/>
              </w:rPr>
              <w:t> </w:t>
            </w:r>
          </w:p>
        </w:tc>
      </w:tr>
      <w:tr w14:paraId="1965BE12">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noWrap w:val="0"/>
            <w:vAlign w:val="center"/>
          </w:tcPr>
          <w:p w14:paraId="1C58A024">
            <w:pPr>
              <w:pStyle w:val="33"/>
              <w:spacing w:beforeAutospacing="0" w:afterAutospacing="0"/>
              <w:jc w:val="both"/>
              <w:rPr>
                <w:color w:val="auto"/>
                <w:highlight w:val="none"/>
              </w:rPr>
            </w:pPr>
            <w:r>
              <w:rPr>
                <w:rFonts w:hint="eastAsia" w:ascii="宋体" w:hAnsi="宋体" w:eastAsia="宋体" w:cs="宋体"/>
                <w:color w:val="auto"/>
                <w:sz w:val="24"/>
                <w:szCs w:val="24"/>
                <w:highlight w:val="none"/>
              </w:rPr>
              <w:t>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tc>
      </w:tr>
    </w:tbl>
    <w:p w14:paraId="5903DEDB">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备注：</w:t>
      </w:r>
    </w:p>
    <w:p w14:paraId="563477F3">
      <w:pPr>
        <w:pStyle w:val="33"/>
        <w:numPr>
          <w:ilvl w:val="0"/>
          <w:numId w:val="1"/>
        </w:numPr>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宋体" w:hAnsi="宋体" w:eastAsia="宋体" w:cs="宋体"/>
          <w:color w:val="auto"/>
          <w:highlight w:val="none"/>
          <w:lang w:val="en-US" w:eastAsia="zh-CN"/>
        </w:rPr>
        <w:t>谈判</w:t>
      </w:r>
      <w:r>
        <w:rPr>
          <w:rFonts w:hint="eastAsia" w:ascii="宋体" w:hAnsi="宋体" w:eastAsia="宋体" w:cs="宋体"/>
          <w:color w:val="auto"/>
          <w:highlight w:val="none"/>
        </w:rPr>
        <w:t>文件中另有规定的除外。</w:t>
      </w:r>
    </w:p>
    <w:p w14:paraId="57141172">
      <w:pPr>
        <w:pStyle w:val="33"/>
        <w:numPr>
          <w:ilvl w:val="0"/>
          <w:numId w:val="0"/>
        </w:numPr>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投标分项报价表</w:t>
      </w:r>
      <w:r>
        <w:rPr>
          <w:rFonts w:ascii="Times New Roman" w:hAnsi="Times New Roman"/>
          <w:color w:val="auto"/>
          <w:sz w:val="21"/>
          <w:szCs w:val="21"/>
          <w:highlight w:val="none"/>
        </w:rPr>
        <w:t>”</w:t>
      </w:r>
      <w:r>
        <w:rPr>
          <w:rFonts w:hint="eastAsia" w:ascii="宋体" w:hAnsi="宋体" w:eastAsia="宋体" w:cs="宋体"/>
          <w:color w:val="auto"/>
          <w:highlight w:val="none"/>
          <w:shd w:val="clear" w:color="auto" w:fill="auto"/>
        </w:rPr>
        <w:t>中“投标总报价”数额应当与“</w:t>
      </w:r>
      <w:r>
        <w:rPr>
          <w:rFonts w:hint="eastAsia" w:ascii="宋体" w:hAnsi="宋体" w:eastAsia="宋体" w:cs="宋体"/>
          <w:color w:val="auto"/>
          <w:highlight w:val="none"/>
          <w:shd w:val="clear" w:color="auto" w:fill="auto"/>
          <w:lang w:eastAsia="zh-CN"/>
        </w:rPr>
        <w:t>谈判报价表</w:t>
      </w:r>
      <w:r>
        <w:rPr>
          <w:rFonts w:hint="eastAsia" w:ascii="宋体" w:hAnsi="宋体" w:eastAsia="宋体" w:cs="宋体"/>
          <w:color w:val="auto"/>
          <w:highlight w:val="none"/>
          <w:shd w:val="clear" w:color="auto" w:fill="auto"/>
        </w:rPr>
        <w:t>”中“投标总报价”数额一致。</w:t>
      </w:r>
    </w:p>
    <w:p w14:paraId="252549E9">
      <w:pPr>
        <w:spacing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4"/>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984DB9A">
      <w:pPr>
        <w:pStyle w:val="33"/>
        <w:spacing w:beforeAutospacing="0" w:afterAutospacing="0"/>
        <w:jc w:val="both"/>
        <w:rPr>
          <w:color w:val="auto"/>
          <w:highlight w:val="none"/>
        </w:rPr>
      </w:pPr>
      <w:r>
        <w:rPr>
          <w:color w:val="auto"/>
          <w:highlight w:val="none"/>
        </w:rPr>
        <w:t> </w:t>
      </w:r>
    </w:p>
    <w:p w14:paraId="5DC85DA0">
      <w:pPr>
        <w:pStyle w:val="33"/>
        <w:spacing w:beforeAutospacing="0" w:afterAutospacing="0"/>
        <w:jc w:val="both"/>
        <w:rPr>
          <w:color w:val="auto"/>
          <w:highlight w:val="none"/>
        </w:rPr>
      </w:pPr>
      <w:r>
        <w:rPr>
          <w:color w:val="auto"/>
          <w:highlight w:val="none"/>
        </w:rPr>
        <w:t> </w:t>
      </w:r>
    </w:p>
    <w:p w14:paraId="220CCF06">
      <w:pPr>
        <w:pStyle w:val="33"/>
        <w:spacing w:beforeAutospacing="0" w:afterAutospacing="0"/>
        <w:jc w:val="both"/>
        <w:rPr>
          <w:color w:val="auto"/>
          <w:highlight w:val="none"/>
        </w:rPr>
      </w:pPr>
      <w:r>
        <w:rPr>
          <w:color w:val="auto"/>
          <w:highlight w:val="none"/>
        </w:rPr>
        <w:t> </w:t>
      </w:r>
    </w:p>
    <w:p w14:paraId="685F60CE">
      <w:pPr>
        <w:pStyle w:val="33"/>
        <w:spacing w:beforeAutospacing="0" w:afterAutospacing="0"/>
        <w:jc w:val="both"/>
        <w:rPr>
          <w:color w:val="auto"/>
          <w:highlight w:val="none"/>
        </w:rPr>
      </w:pPr>
      <w:r>
        <w:rPr>
          <w:color w:val="auto"/>
          <w:highlight w:val="none"/>
        </w:rPr>
        <w:t> </w:t>
      </w:r>
    </w:p>
    <w:p w14:paraId="72D47144">
      <w:pPr>
        <w:pStyle w:val="33"/>
        <w:tabs>
          <w:tab w:val="left" w:pos="4864"/>
        </w:tabs>
        <w:spacing w:beforeAutospacing="0" w:afterAutospacing="0" w:line="0" w:lineRule="atLeast"/>
        <w:ind w:right="1560" w:firstLine="624"/>
        <w:jc w:val="center"/>
        <w:rPr>
          <w:color w:val="auto"/>
          <w:highlight w:val="none"/>
        </w:rPr>
      </w:pPr>
      <w:r>
        <w:rPr>
          <w:rFonts w:hint="eastAsia" w:ascii="宋体" w:hAnsi="宋体" w:eastAsia="宋体" w:cs="宋体"/>
          <w:color w:val="auto"/>
          <w:highlight w:val="none"/>
        </w:rPr>
        <w:t xml:space="preserve"> 供应商全称（加盖CA电子公章）：</w:t>
      </w:r>
    </w:p>
    <w:p w14:paraId="20583FF9">
      <w:pPr>
        <w:pStyle w:val="3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35438B0F">
      <w:pPr>
        <w:pStyle w:val="33"/>
        <w:spacing w:beforeAutospacing="0" w:afterAutospacing="0"/>
        <w:jc w:val="both"/>
        <w:rPr>
          <w:color w:val="auto"/>
          <w:highlight w:val="none"/>
        </w:rPr>
      </w:pPr>
    </w:p>
    <w:p w14:paraId="6643679B">
      <w:pPr>
        <w:pStyle w:val="33"/>
        <w:spacing w:beforeAutospacing="0" w:afterAutospacing="0"/>
        <w:jc w:val="both"/>
        <w:rPr>
          <w:color w:val="auto"/>
          <w:highlight w:val="none"/>
        </w:rPr>
      </w:pPr>
    </w:p>
    <w:p w14:paraId="219D3C8A">
      <w:pPr>
        <w:pStyle w:val="33"/>
        <w:spacing w:beforeAutospacing="0" w:afterAutospacing="0"/>
        <w:jc w:val="both"/>
        <w:rPr>
          <w:color w:val="auto"/>
          <w:highlight w:val="none"/>
        </w:rPr>
      </w:pPr>
    </w:p>
    <w:p w14:paraId="17B660CA">
      <w:pPr>
        <w:pStyle w:val="33"/>
        <w:spacing w:beforeAutospacing="0" w:afterAutospacing="0"/>
        <w:jc w:val="both"/>
        <w:rPr>
          <w:color w:val="auto"/>
          <w:highlight w:val="none"/>
        </w:rPr>
      </w:pPr>
    </w:p>
    <w:p w14:paraId="096D02B6">
      <w:pPr>
        <w:pStyle w:val="33"/>
        <w:spacing w:beforeAutospacing="0" w:afterAutospacing="0"/>
        <w:jc w:val="both"/>
        <w:rPr>
          <w:color w:val="auto"/>
          <w:highlight w:val="none"/>
        </w:rPr>
      </w:pPr>
    </w:p>
    <w:p w14:paraId="22C201A6">
      <w:pPr>
        <w:pStyle w:val="33"/>
        <w:spacing w:beforeAutospacing="0" w:afterAutospacing="0"/>
        <w:jc w:val="both"/>
        <w:rPr>
          <w:color w:val="auto"/>
          <w:highlight w:val="none"/>
        </w:rPr>
      </w:pPr>
    </w:p>
    <w:p w14:paraId="4F663C11">
      <w:pPr>
        <w:pStyle w:val="33"/>
        <w:spacing w:beforeAutospacing="0" w:afterAutospacing="0"/>
        <w:jc w:val="both"/>
        <w:rPr>
          <w:color w:val="auto"/>
          <w:highlight w:val="none"/>
        </w:rPr>
      </w:pPr>
    </w:p>
    <w:p w14:paraId="5B017674">
      <w:pPr>
        <w:pStyle w:val="33"/>
        <w:spacing w:beforeAutospacing="0" w:afterAutospacing="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、技术要求响应及偏离表</w:t>
      </w:r>
    </w:p>
    <w:p w14:paraId="0ACC0FA2">
      <w:pPr>
        <w:pStyle w:val="33"/>
        <w:spacing w:beforeAutospacing="0" w:afterAutospacing="0"/>
        <w:jc w:val="center"/>
        <w:rPr>
          <w:rFonts w:hint="eastAsia" w:ascii="黑体" w:hAnsi="宋体" w:eastAsia="黑体" w:cs="黑体"/>
          <w:b/>
          <w:color w:val="auto"/>
          <w:sz w:val="32"/>
          <w:szCs w:val="32"/>
          <w:highlight w:val="none"/>
        </w:rPr>
      </w:pPr>
    </w:p>
    <w:tbl>
      <w:tblPr>
        <w:tblStyle w:val="38"/>
        <w:tblW w:w="907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3"/>
        <w:gridCol w:w="3204"/>
        <w:gridCol w:w="2733"/>
        <w:gridCol w:w="1364"/>
        <w:gridCol w:w="1177"/>
      </w:tblGrid>
      <w:tr w14:paraId="73D0D7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0" w:hRule="atLeast"/>
          <w:jc w:val="center"/>
        </w:trPr>
        <w:tc>
          <w:tcPr>
            <w:tcW w:w="499" w:type="dxa"/>
            <w:tcBorders>
              <w:top w:val="single" w:color="000000" w:sz="8" w:space="0"/>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3C757D8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序号</w:t>
            </w:r>
          </w:p>
        </w:tc>
        <w:tc>
          <w:tcPr>
            <w:tcW w:w="2695"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6528271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hint="eastAsia" w:ascii="宋体" w:hAnsi="宋体" w:eastAsia="宋体" w:cs="宋体"/>
                <w:color w:val="auto"/>
                <w:sz w:val="24"/>
                <w:highlight w:val="none"/>
                <w:lang w:val="en-US" w:eastAsia="zh-CN"/>
              </w:rPr>
              <w:t>谈判文件</w:t>
            </w:r>
            <w:r>
              <w:rPr>
                <w:rFonts w:ascii="宋体" w:hAnsi="宋体" w:eastAsia="宋体" w:cs="宋体"/>
                <w:color w:val="auto"/>
                <w:sz w:val="24"/>
                <w:highlight w:val="none"/>
              </w:rPr>
              <w:t>要求</w:t>
            </w:r>
          </w:p>
        </w:tc>
        <w:tc>
          <w:tcPr>
            <w:tcW w:w="2299"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0D4F736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投标响应情况</w:t>
            </w:r>
          </w:p>
        </w:tc>
        <w:tc>
          <w:tcPr>
            <w:tcW w:w="1147"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762CD05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超出、符合或偏离</w:t>
            </w:r>
          </w:p>
        </w:tc>
        <w:tc>
          <w:tcPr>
            <w:tcW w:w="990"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41B06B2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证明</w:t>
            </w:r>
          </w:p>
          <w:p w14:paraId="176837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材料</w:t>
            </w:r>
          </w:p>
        </w:tc>
      </w:tr>
      <w:tr w14:paraId="52C328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4B137AA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543BB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379A54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10F574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35EA9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3EC1F2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0363154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B87014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DF56F1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81F1D8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252EE8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27A256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6445873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F9452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FF521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B6AAB7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7084F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43643C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0BD14CA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4ABBD14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2A908D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20CE1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2E598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2A858F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1E5933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9BEB7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63FB761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3EC1C7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968C4E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3E7F16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161CB81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E574AE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B93299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B2BB66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BE37B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5CAF5F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6350496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7D292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1385C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A4B1D9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E0F608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3EA99E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00BB3B5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CC087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4183392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99F96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15F1CF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bl>
    <w:p w14:paraId="1D9ECFAA">
      <w:pPr>
        <w:pStyle w:val="3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1CCCAE4E">
      <w:pPr>
        <w:pStyle w:val="33"/>
        <w:spacing w:beforeAutospacing="0" w:afterAutospacing="0"/>
        <w:jc w:val="center"/>
        <w:rPr>
          <w:color w:val="auto"/>
          <w:highlight w:val="none"/>
        </w:rPr>
        <w:sectPr>
          <w:footerReference r:id="rId3" w:type="default"/>
          <w:pgSz w:w="11906" w:h="16838"/>
          <w:pgMar w:top="1440" w:right="1803" w:bottom="1440" w:left="1803" w:header="851" w:footer="992" w:gutter="0"/>
          <w:pgNumType w:fmt="decimal" w:start="1"/>
          <w:cols w:space="425" w:num="1"/>
          <w:docGrid w:linePitch="360" w:charSpace="0"/>
        </w:sectPr>
      </w:pPr>
    </w:p>
    <w:p w14:paraId="59C13F31">
      <w:pPr>
        <w:pStyle w:val="33"/>
        <w:spacing w:beforeAutospacing="0" w:afterAutospacing="0"/>
        <w:jc w:val="center"/>
        <w:rPr>
          <w:color w:val="auto"/>
          <w:highlight w:val="none"/>
        </w:rPr>
      </w:pPr>
      <w:r>
        <w:rPr>
          <w:color w:val="auto"/>
          <w:highlight w:val="none"/>
        </w:rPr>
        <w:t> </w:t>
      </w: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、商务要求响应及偏离表</w:t>
      </w:r>
    </w:p>
    <w:tbl>
      <w:tblPr>
        <w:tblStyle w:val="38"/>
        <w:tblW w:w="90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3013"/>
        <w:gridCol w:w="2594"/>
        <w:gridCol w:w="1814"/>
        <w:gridCol w:w="1064"/>
      </w:tblGrid>
      <w:tr w14:paraId="4F9D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552" w:type="dxa"/>
            <w:vAlign w:val="center"/>
          </w:tcPr>
          <w:p w14:paraId="54B7139A">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s="宋体"/>
                <w:color w:val="auto"/>
                <w:highlight w:val="none"/>
              </w:rPr>
              <w:t>序号</w:t>
            </w:r>
          </w:p>
        </w:tc>
        <w:tc>
          <w:tcPr>
            <w:tcW w:w="3013" w:type="dxa"/>
            <w:vAlign w:val="center"/>
          </w:tcPr>
          <w:p w14:paraId="3230431F">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s="宋体"/>
                <w:color w:val="auto"/>
                <w:highlight w:val="none"/>
              </w:rPr>
              <w:t>谈判文件要求</w:t>
            </w:r>
          </w:p>
        </w:tc>
        <w:tc>
          <w:tcPr>
            <w:tcW w:w="2594" w:type="dxa"/>
            <w:vAlign w:val="center"/>
          </w:tcPr>
          <w:p w14:paraId="3609FA2F">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s="宋体"/>
                <w:color w:val="auto"/>
                <w:highlight w:val="none"/>
              </w:rPr>
              <w:t>响应情况</w:t>
            </w:r>
          </w:p>
        </w:tc>
        <w:tc>
          <w:tcPr>
            <w:tcW w:w="1814" w:type="dxa"/>
            <w:vAlign w:val="center"/>
          </w:tcPr>
          <w:p w14:paraId="5F1BBB9C">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s="宋体"/>
                <w:color w:val="auto"/>
                <w:highlight w:val="none"/>
              </w:rPr>
              <w:t>超出、符合或偏离</w:t>
            </w:r>
          </w:p>
        </w:tc>
        <w:tc>
          <w:tcPr>
            <w:tcW w:w="1064" w:type="dxa"/>
            <w:vAlign w:val="center"/>
          </w:tcPr>
          <w:p w14:paraId="6AD97529">
            <w:pPr>
              <w:pStyle w:val="33"/>
              <w:spacing w:beforeAutospacing="0" w:afterAutospacing="0"/>
              <w:jc w:val="center"/>
              <w:rPr>
                <w:rFonts w:ascii="宋体" w:hAnsi="宋体" w:eastAsia="宋体"/>
                <w:color w:val="auto"/>
                <w:highlight w:val="none"/>
              </w:rPr>
            </w:pPr>
            <w:r>
              <w:rPr>
                <w:rFonts w:hint="eastAsia" w:ascii="宋体" w:hAnsi="宋体" w:eastAsia="宋体" w:cs="宋体"/>
                <w:color w:val="auto"/>
                <w:highlight w:val="none"/>
              </w:rPr>
              <w:t>证明</w:t>
            </w:r>
          </w:p>
          <w:p w14:paraId="5989D2E1">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s="宋体"/>
                <w:color w:val="auto"/>
                <w:highlight w:val="none"/>
              </w:rPr>
              <w:t>材料</w:t>
            </w:r>
          </w:p>
        </w:tc>
      </w:tr>
      <w:tr w14:paraId="3520C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552" w:type="dxa"/>
            <w:vAlign w:val="center"/>
          </w:tcPr>
          <w:p w14:paraId="7FD22ACD">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olor w:val="auto"/>
                <w:highlight w:val="none"/>
              </w:rPr>
              <w:t>1</w:t>
            </w:r>
          </w:p>
        </w:tc>
        <w:tc>
          <w:tcPr>
            <w:tcW w:w="3013" w:type="dxa"/>
            <w:vAlign w:val="center"/>
          </w:tcPr>
          <w:p w14:paraId="3D7367A0">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olor w:val="auto"/>
                <w:highlight w:val="none"/>
              </w:rPr>
              <w:t>合同履行期限</w:t>
            </w:r>
          </w:p>
        </w:tc>
        <w:tc>
          <w:tcPr>
            <w:tcW w:w="2594" w:type="dxa"/>
            <w:vAlign w:val="center"/>
          </w:tcPr>
          <w:p w14:paraId="70EEE10A">
            <w:pPr>
              <w:pStyle w:val="33"/>
              <w:spacing w:beforeAutospacing="0" w:afterAutospacing="0"/>
              <w:jc w:val="center"/>
              <w:rPr>
                <w:rFonts w:hint="eastAsia" w:ascii="宋体" w:hAnsi="宋体" w:eastAsia="宋体" w:cs="宋体"/>
                <w:color w:val="auto"/>
                <w:highlight w:val="none"/>
                <w:vertAlign w:val="baseline"/>
              </w:rPr>
            </w:pPr>
          </w:p>
        </w:tc>
        <w:tc>
          <w:tcPr>
            <w:tcW w:w="1814" w:type="dxa"/>
            <w:vAlign w:val="center"/>
          </w:tcPr>
          <w:p w14:paraId="6B5F86E6">
            <w:pPr>
              <w:pStyle w:val="33"/>
              <w:spacing w:beforeAutospacing="0" w:afterAutospacing="0"/>
              <w:jc w:val="center"/>
              <w:rPr>
                <w:rFonts w:hint="eastAsia" w:ascii="宋体" w:hAnsi="宋体" w:eastAsia="宋体" w:cs="宋体"/>
                <w:color w:val="auto"/>
                <w:highlight w:val="none"/>
                <w:vertAlign w:val="baseline"/>
              </w:rPr>
            </w:pPr>
          </w:p>
        </w:tc>
        <w:tc>
          <w:tcPr>
            <w:tcW w:w="1064" w:type="dxa"/>
            <w:vAlign w:val="center"/>
          </w:tcPr>
          <w:p w14:paraId="77568769">
            <w:pPr>
              <w:pStyle w:val="33"/>
              <w:spacing w:beforeAutospacing="0" w:afterAutospacing="0"/>
              <w:jc w:val="center"/>
              <w:rPr>
                <w:rFonts w:hint="eastAsia" w:ascii="宋体" w:hAnsi="宋体" w:eastAsia="宋体" w:cs="宋体"/>
                <w:color w:val="auto"/>
                <w:highlight w:val="none"/>
                <w:vertAlign w:val="baseline"/>
              </w:rPr>
            </w:pPr>
          </w:p>
        </w:tc>
      </w:tr>
      <w:tr w14:paraId="6D3A6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552" w:type="dxa"/>
            <w:vAlign w:val="center"/>
          </w:tcPr>
          <w:p w14:paraId="26C6A4B3">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olor w:val="auto"/>
                <w:highlight w:val="none"/>
              </w:rPr>
              <w:t>2</w:t>
            </w:r>
          </w:p>
        </w:tc>
        <w:tc>
          <w:tcPr>
            <w:tcW w:w="3013" w:type="dxa"/>
            <w:vAlign w:val="center"/>
          </w:tcPr>
          <w:p w14:paraId="64A8513F">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olor w:val="auto"/>
                <w:highlight w:val="none"/>
              </w:rPr>
              <w:t>付款方式</w:t>
            </w:r>
          </w:p>
        </w:tc>
        <w:tc>
          <w:tcPr>
            <w:tcW w:w="2594" w:type="dxa"/>
            <w:vAlign w:val="center"/>
          </w:tcPr>
          <w:p w14:paraId="6B1A25DD">
            <w:pPr>
              <w:pStyle w:val="33"/>
              <w:spacing w:beforeAutospacing="0" w:afterAutospacing="0"/>
              <w:jc w:val="center"/>
              <w:rPr>
                <w:rFonts w:hint="eastAsia" w:ascii="宋体" w:hAnsi="宋体" w:eastAsia="宋体" w:cs="宋体"/>
                <w:color w:val="auto"/>
                <w:highlight w:val="none"/>
                <w:vertAlign w:val="baseline"/>
              </w:rPr>
            </w:pPr>
          </w:p>
        </w:tc>
        <w:tc>
          <w:tcPr>
            <w:tcW w:w="1814" w:type="dxa"/>
            <w:vAlign w:val="center"/>
          </w:tcPr>
          <w:p w14:paraId="6BAD441F">
            <w:pPr>
              <w:pStyle w:val="33"/>
              <w:spacing w:beforeAutospacing="0" w:afterAutospacing="0"/>
              <w:jc w:val="center"/>
              <w:rPr>
                <w:rFonts w:hint="eastAsia" w:ascii="宋体" w:hAnsi="宋体" w:eastAsia="宋体" w:cs="宋体"/>
                <w:color w:val="auto"/>
                <w:highlight w:val="none"/>
                <w:vertAlign w:val="baseline"/>
              </w:rPr>
            </w:pPr>
          </w:p>
        </w:tc>
        <w:tc>
          <w:tcPr>
            <w:tcW w:w="1064" w:type="dxa"/>
            <w:vAlign w:val="center"/>
          </w:tcPr>
          <w:p w14:paraId="30122460">
            <w:pPr>
              <w:pStyle w:val="33"/>
              <w:spacing w:beforeAutospacing="0" w:afterAutospacing="0"/>
              <w:jc w:val="center"/>
              <w:rPr>
                <w:rFonts w:hint="eastAsia" w:ascii="宋体" w:hAnsi="宋体" w:eastAsia="宋体" w:cs="宋体"/>
                <w:color w:val="auto"/>
                <w:highlight w:val="none"/>
                <w:vertAlign w:val="baseline"/>
              </w:rPr>
            </w:pPr>
          </w:p>
        </w:tc>
      </w:tr>
      <w:tr w14:paraId="79659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552" w:type="dxa"/>
            <w:vAlign w:val="center"/>
          </w:tcPr>
          <w:p w14:paraId="1CAC9FFD">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olor w:val="auto"/>
                <w:highlight w:val="none"/>
              </w:rPr>
              <w:t>3</w:t>
            </w:r>
          </w:p>
        </w:tc>
        <w:tc>
          <w:tcPr>
            <w:tcW w:w="3013" w:type="dxa"/>
            <w:vAlign w:val="center"/>
          </w:tcPr>
          <w:p w14:paraId="7BED90B6">
            <w:pPr>
              <w:pStyle w:val="33"/>
              <w:spacing w:beforeAutospacing="0" w:afterAutospacing="0"/>
              <w:jc w:val="center"/>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质保期</w:t>
            </w:r>
          </w:p>
        </w:tc>
        <w:tc>
          <w:tcPr>
            <w:tcW w:w="2594" w:type="dxa"/>
            <w:vAlign w:val="center"/>
          </w:tcPr>
          <w:p w14:paraId="096C2238">
            <w:pPr>
              <w:pStyle w:val="33"/>
              <w:spacing w:beforeAutospacing="0" w:afterAutospacing="0"/>
              <w:jc w:val="center"/>
              <w:rPr>
                <w:rFonts w:hint="eastAsia" w:ascii="宋体" w:hAnsi="宋体" w:eastAsia="宋体" w:cs="宋体"/>
                <w:color w:val="auto"/>
                <w:highlight w:val="none"/>
                <w:vertAlign w:val="baseline"/>
              </w:rPr>
            </w:pPr>
          </w:p>
        </w:tc>
        <w:tc>
          <w:tcPr>
            <w:tcW w:w="1814" w:type="dxa"/>
            <w:vAlign w:val="center"/>
          </w:tcPr>
          <w:p w14:paraId="5DE6CB5C">
            <w:pPr>
              <w:pStyle w:val="33"/>
              <w:spacing w:beforeAutospacing="0" w:afterAutospacing="0"/>
              <w:jc w:val="center"/>
              <w:rPr>
                <w:rFonts w:hint="eastAsia" w:ascii="宋体" w:hAnsi="宋体" w:eastAsia="宋体" w:cs="宋体"/>
                <w:color w:val="auto"/>
                <w:highlight w:val="none"/>
                <w:vertAlign w:val="baseline"/>
              </w:rPr>
            </w:pPr>
          </w:p>
        </w:tc>
        <w:tc>
          <w:tcPr>
            <w:tcW w:w="1064" w:type="dxa"/>
            <w:vAlign w:val="center"/>
          </w:tcPr>
          <w:p w14:paraId="5E3281C7">
            <w:pPr>
              <w:pStyle w:val="33"/>
              <w:spacing w:beforeAutospacing="0" w:afterAutospacing="0"/>
              <w:jc w:val="center"/>
              <w:rPr>
                <w:rFonts w:hint="eastAsia" w:ascii="宋体" w:hAnsi="宋体" w:eastAsia="宋体" w:cs="宋体"/>
                <w:color w:val="auto"/>
                <w:highlight w:val="none"/>
                <w:vertAlign w:val="baseline"/>
              </w:rPr>
            </w:pPr>
          </w:p>
        </w:tc>
      </w:tr>
      <w:tr w14:paraId="257F0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552" w:type="dxa"/>
            <w:vAlign w:val="center"/>
          </w:tcPr>
          <w:p w14:paraId="34CDF1D6">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olor w:val="auto"/>
                <w:highlight w:val="none"/>
              </w:rPr>
              <w:t>4</w:t>
            </w:r>
          </w:p>
        </w:tc>
        <w:tc>
          <w:tcPr>
            <w:tcW w:w="3013" w:type="dxa"/>
            <w:shd w:val="clear" w:color="auto" w:fill="auto"/>
            <w:vAlign w:val="center"/>
          </w:tcPr>
          <w:p w14:paraId="27E88BFC">
            <w:pPr>
              <w:pStyle w:val="33"/>
              <w:spacing w:beforeAutospacing="0" w:afterAutospacing="0"/>
              <w:jc w:val="center"/>
              <w:rPr>
                <w:rFonts w:hint="eastAsia" w:ascii="宋体" w:hAnsi="宋体" w:eastAsia="宋体" w:cs="宋体"/>
                <w:color w:val="auto"/>
                <w:sz w:val="24"/>
                <w:szCs w:val="24"/>
                <w:highlight w:val="none"/>
                <w:vertAlign w:val="baseline"/>
              </w:rPr>
            </w:pPr>
            <w:r>
              <w:rPr>
                <w:rFonts w:hint="eastAsia" w:ascii="宋体" w:hAnsi="宋体" w:eastAsia="宋体"/>
                <w:color w:val="auto"/>
                <w:highlight w:val="none"/>
              </w:rPr>
              <w:t>交货方式</w:t>
            </w:r>
          </w:p>
        </w:tc>
        <w:tc>
          <w:tcPr>
            <w:tcW w:w="2594" w:type="dxa"/>
            <w:vAlign w:val="center"/>
          </w:tcPr>
          <w:p w14:paraId="392A80C6">
            <w:pPr>
              <w:pStyle w:val="33"/>
              <w:spacing w:beforeAutospacing="0" w:afterAutospacing="0"/>
              <w:jc w:val="center"/>
              <w:rPr>
                <w:rFonts w:hint="eastAsia" w:ascii="宋体" w:hAnsi="宋体" w:eastAsia="宋体" w:cs="宋体"/>
                <w:color w:val="auto"/>
                <w:highlight w:val="none"/>
                <w:vertAlign w:val="baseline"/>
              </w:rPr>
            </w:pPr>
          </w:p>
        </w:tc>
        <w:tc>
          <w:tcPr>
            <w:tcW w:w="1814" w:type="dxa"/>
            <w:vAlign w:val="center"/>
          </w:tcPr>
          <w:p w14:paraId="4836975E">
            <w:pPr>
              <w:pStyle w:val="33"/>
              <w:spacing w:beforeAutospacing="0" w:afterAutospacing="0"/>
              <w:jc w:val="center"/>
              <w:rPr>
                <w:rFonts w:hint="eastAsia" w:ascii="宋体" w:hAnsi="宋体" w:eastAsia="宋体" w:cs="宋体"/>
                <w:color w:val="auto"/>
                <w:highlight w:val="none"/>
                <w:vertAlign w:val="baseline"/>
              </w:rPr>
            </w:pPr>
          </w:p>
        </w:tc>
        <w:tc>
          <w:tcPr>
            <w:tcW w:w="1064" w:type="dxa"/>
            <w:vAlign w:val="center"/>
          </w:tcPr>
          <w:p w14:paraId="506F04F5">
            <w:pPr>
              <w:pStyle w:val="33"/>
              <w:spacing w:beforeAutospacing="0" w:afterAutospacing="0"/>
              <w:jc w:val="center"/>
              <w:rPr>
                <w:rFonts w:hint="eastAsia" w:ascii="宋体" w:hAnsi="宋体" w:eastAsia="宋体" w:cs="宋体"/>
                <w:color w:val="auto"/>
                <w:highlight w:val="none"/>
                <w:vertAlign w:val="baseline"/>
              </w:rPr>
            </w:pPr>
          </w:p>
        </w:tc>
      </w:tr>
      <w:tr w14:paraId="4A05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552" w:type="dxa"/>
            <w:vAlign w:val="center"/>
          </w:tcPr>
          <w:p w14:paraId="7F7C3F0C">
            <w:pPr>
              <w:pStyle w:val="33"/>
              <w:spacing w:beforeAutospacing="0" w:afterAutospacing="0"/>
              <w:jc w:val="center"/>
              <w:rPr>
                <w:rFonts w:hint="eastAsia" w:ascii="宋体" w:hAnsi="宋体" w:eastAsia="宋体" w:cs="宋体"/>
                <w:color w:val="auto"/>
                <w:highlight w:val="none"/>
                <w:vertAlign w:val="baseline"/>
              </w:rPr>
            </w:pPr>
            <w:r>
              <w:rPr>
                <w:rFonts w:hint="eastAsia" w:ascii="宋体" w:hAnsi="宋体" w:eastAsia="宋体"/>
                <w:color w:val="auto"/>
                <w:highlight w:val="none"/>
              </w:rPr>
              <w:t>5</w:t>
            </w:r>
          </w:p>
        </w:tc>
        <w:tc>
          <w:tcPr>
            <w:tcW w:w="3013" w:type="dxa"/>
            <w:shd w:val="clear" w:color="auto" w:fill="auto"/>
            <w:vAlign w:val="center"/>
          </w:tcPr>
          <w:p w14:paraId="637BE6A6">
            <w:pPr>
              <w:pStyle w:val="33"/>
              <w:spacing w:beforeAutospacing="0" w:afterAutospacing="0"/>
              <w:jc w:val="center"/>
              <w:rPr>
                <w:rFonts w:hint="eastAsia" w:ascii="宋体" w:hAnsi="宋体" w:eastAsia="宋体" w:cs="宋体"/>
                <w:color w:val="auto"/>
                <w:sz w:val="24"/>
                <w:szCs w:val="24"/>
                <w:highlight w:val="none"/>
                <w:vertAlign w:val="baseline"/>
              </w:rPr>
            </w:pPr>
            <w:r>
              <w:rPr>
                <w:rFonts w:hint="eastAsia" w:ascii="宋体" w:hAnsi="宋体" w:eastAsia="宋体"/>
                <w:color w:val="auto"/>
                <w:highlight w:val="none"/>
              </w:rPr>
              <w:t>交货地点</w:t>
            </w:r>
          </w:p>
        </w:tc>
        <w:tc>
          <w:tcPr>
            <w:tcW w:w="2594" w:type="dxa"/>
            <w:vAlign w:val="center"/>
          </w:tcPr>
          <w:p w14:paraId="5401E820">
            <w:pPr>
              <w:pStyle w:val="33"/>
              <w:spacing w:beforeAutospacing="0" w:afterAutospacing="0"/>
              <w:jc w:val="center"/>
              <w:rPr>
                <w:rFonts w:hint="eastAsia" w:ascii="宋体" w:hAnsi="宋体" w:eastAsia="宋体" w:cs="宋体"/>
                <w:color w:val="auto"/>
                <w:highlight w:val="none"/>
                <w:vertAlign w:val="baseline"/>
              </w:rPr>
            </w:pPr>
          </w:p>
        </w:tc>
        <w:tc>
          <w:tcPr>
            <w:tcW w:w="1814" w:type="dxa"/>
            <w:vAlign w:val="center"/>
          </w:tcPr>
          <w:p w14:paraId="79D04BE5">
            <w:pPr>
              <w:pStyle w:val="33"/>
              <w:spacing w:beforeAutospacing="0" w:afterAutospacing="0"/>
              <w:jc w:val="center"/>
              <w:rPr>
                <w:rFonts w:hint="eastAsia" w:ascii="宋体" w:hAnsi="宋体" w:eastAsia="宋体" w:cs="宋体"/>
                <w:color w:val="auto"/>
                <w:highlight w:val="none"/>
                <w:vertAlign w:val="baseline"/>
              </w:rPr>
            </w:pPr>
          </w:p>
        </w:tc>
        <w:tc>
          <w:tcPr>
            <w:tcW w:w="1064" w:type="dxa"/>
            <w:vAlign w:val="center"/>
          </w:tcPr>
          <w:p w14:paraId="6428B701">
            <w:pPr>
              <w:pStyle w:val="33"/>
              <w:spacing w:beforeAutospacing="0" w:afterAutospacing="0"/>
              <w:jc w:val="center"/>
              <w:rPr>
                <w:rFonts w:hint="eastAsia" w:ascii="宋体" w:hAnsi="宋体" w:eastAsia="宋体" w:cs="宋体"/>
                <w:color w:val="auto"/>
                <w:highlight w:val="none"/>
                <w:vertAlign w:val="baseline"/>
              </w:rPr>
            </w:pPr>
          </w:p>
        </w:tc>
      </w:tr>
    </w:tbl>
    <w:p w14:paraId="16762F66">
      <w:pPr>
        <w:pStyle w:val="3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6696162C">
      <w:pPr>
        <w:pStyle w:val="33"/>
        <w:spacing w:beforeAutospacing="0" w:afterAutospacing="0" w:line="480" w:lineRule="auto"/>
        <w:jc w:val="both"/>
        <w:rPr>
          <w:color w:val="auto"/>
          <w:highlight w:val="none"/>
        </w:rPr>
      </w:pPr>
      <w:r>
        <w:rPr>
          <w:color w:val="auto"/>
          <w:highlight w:val="none"/>
        </w:rPr>
        <w:t> </w:t>
      </w:r>
    </w:p>
    <w:p w14:paraId="548C4850">
      <w:pPr>
        <w:pStyle w:val="33"/>
        <w:spacing w:beforeAutospacing="0" w:afterAutospacing="0" w:line="480" w:lineRule="auto"/>
        <w:jc w:val="both"/>
        <w:rPr>
          <w:color w:val="auto"/>
          <w:highlight w:val="none"/>
        </w:rPr>
      </w:pPr>
      <w:r>
        <w:rPr>
          <w:color w:val="auto"/>
          <w:highlight w:val="none"/>
        </w:rPr>
        <w:t> </w:t>
      </w:r>
    </w:p>
    <w:p w14:paraId="1EB73214">
      <w:pPr>
        <w:pStyle w:val="33"/>
        <w:spacing w:beforeAutospacing="0" w:afterAutospacing="0"/>
        <w:jc w:val="center"/>
        <w:rPr>
          <w:color w:val="auto"/>
          <w:highlight w:val="none"/>
        </w:rPr>
      </w:pPr>
      <w:r>
        <w:rPr>
          <w:color w:val="auto"/>
          <w:highlight w:val="none"/>
        </w:rPr>
        <w:t> </w:t>
      </w:r>
    </w:p>
    <w:p w14:paraId="7C72BB5F">
      <w:pPr>
        <w:pStyle w:val="33"/>
        <w:spacing w:beforeAutospacing="0" w:afterAutospacing="0"/>
        <w:jc w:val="center"/>
        <w:rPr>
          <w:color w:val="auto"/>
          <w:highlight w:val="none"/>
        </w:rPr>
      </w:pPr>
    </w:p>
    <w:p w14:paraId="6DC2A2F9">
      <w:pPr>
        <w:pStyle w:val="33"/>
        <w:spacing w:beforeAutospacing="0" w:afterAutospacing="0"/>
        <w:jc w:val="center"/>
        <w:rPr>
          <w:color w:val="auto"/>
          <w:highlight w:val="none"/>
        </w:rPr>
      </w:pPr>
    </w:p>
    <w:p w14:paraId="22A39536">
      <w:pPr>
        <w:pStyle w:val="33"/>
        <w:spacing w:beforeAutospacing="0" w:afterAutospacing="0"/>
        <w:jc w:val="center"/>
        <w:rPr>
          <w:color w:val="auto"/>
          <w:highlight w:val="none"/>
        </w:rPr>
      </w:pPr>
    </w:p>
    <w:p w14:paraId="39734F02">
      <w:pPr>
        <w:pStyle w:val="33"/>
        <w:spacing w:beforeAutospacing="0" w:afterAutospacing="0"/>
        <w:jc w:val="center"/>
        <w:rPr>
          <w:color w:val="auto"/>
          <w:highlight w:val="none"/>
        </w:rPr>
      </w:pPr>
    </w:p>
    <w:p w14:paraId="0F9868FC">
      <w:pPr>
        <w:pStyle w:val="33"/>
        <w:spacing w:beforeAutospacing="0" w:afterAutospacing="0"/>
        <w:jc w:val="center"/>
        <w:rPr>
          <w:color w:val="auto"/>
          <w:highlight w:val="none"/>
        </w:rPr>
      </w:pPr>
    </w:p>
    <w:p w14:paraId="3C0AAC94">
      <w:pPr>
        <w:pStyle w:val="33"/>
        <w:spacing w:beforeAutospacing="0" w:afterAutospacing="0"/>
        <w:jc w:val="center"/>
        <w:rPr>
          <w:color w:val="auto"/>
          <w:highlight w:val="none"/>
        </w:rPr>
      </w:pPr>
    </w:p>
    <w:p w14:paraId="72F7A961">
      <w:pPr>
        <w:pStyle w:val="33"/>
        <w:spacing w:beforeAutospacing="0" w:afterAutospacing="0"/>
        <w:jc w:val="center"/>
        <w:rPr>
          <w:color w:val="auto"/>
          <w:highlight w:val="none"/>
        </w:rPr>
      </w:pPr>
    </w:p>
    <w:p w14:paraId="45CB53A9">
      <w:pPr>
        <w:pStyle w:val="33"/>
        <w:spacing w:beforeAutospacing="0" w:afterAutospacing="0"/>
        <w:jc w:val="center"/>
        <w:rPr>
          <w:color w:val="auto"/>
          <w:highlight w:val="none"/>
        </w:rPr>
      </w:pPr>
    </w:p>
    <w:p w14:paraId="37CDDB86">
      <w:pPr>
        <w:pStyle w:val="33"/>
        <w:spacing w:beforeAutospacing="0" w:afterAutospacing="0"/>
        <w:jc w:val="center"/>
        <w:rPr>
          <w:color w:val="auto"/>
          <w:highlight w:val="none"/>
        </w:rPr>
      </w:pPr>
    </w:p>
    <w:p w14:paraId="7E4F7E1E">
      <w:pPr>
        <w:pStyle w:val="33"/>
        <w:spacing w:beforeAutospacing="0" w:afterAutospacing="0"/>
        <w:jc w:val="center"/>
        <w:rPr>
          <w:color w:val="auto"/>
          <w:highlight w:val="none"/>
        </w:rPr>
      </w:pPr>
    </w:p>
    <w:p w14:paraId="664327E5">
      <w:pPr>
        <w:pStyle w:val="33"/>
        <w:spacing w:beforeAutospacing="0" w:afterAutospacing="0"/>
        <w:jc w:val="center"/>
        <w:rPr>
          <w:color w:val="auto"/>
          <w:highlight w:val="none"/>
        </w:rPr>
      </w:pPr>
    </w:p>
    <w:p w14:paraId="55071702">
      <w:pPr>
        <w:pStyle w:val="33"/>
        <w:spacing w:beforeAutospacing="0" w:afterAutospacing="0"/>
        <w:jc w:val="center"/>
        <w:rPr>
          <w:color w:val="auto"/>
          <w:highlight w:val="none"/>
        </w:rPr>
      </w:pPr>
    </w:p>
    <w:p w14:paraId="69D83873">
      <w:pPr>
        <w:pStyle w:val="33"/>
        <w:spacing w:beforeAutospacing="0" w:afterAutospacing="0"/>
        <w:jc w:val="center"/>
        <w:rPr>
          <w:color w:val="auto"/>
          <w:highlight w:val="none"/>
        </w:rPr>
      </w:pPr>
    </w:p>
    <w:p w14:paraId="79100D5B">
      <w:pPr>
        <w:pStyle w:val="33"/>
        <w:spacing w:beforeAutospacing="0" w:afterAutospacing="0"/>
        <w:jc w:val="center"/>
        <w:rPr>
          <w:color w:val="auto"/>
          <w:highlight w:val="none"/>
        </w:rPr>
      </w:pPr>
    </w:p>
    <w:p w14:paraId="27AFAD34">
      <w:pPr>
        <w:pStyle w:val="33"/>
        <w:spacing w:beforeAutospacing="0" w:afterAutospacing="0"/>
        <w:jc w:val="center"/>
        <w:rPr>
          <w:color w:val="auto"/>
          <w:highlight w:val="none"/>
        </w:rPr>
      </w:pPr>
    </w:p>
    <w:p w14:paraId="374450C6">
      <w:pPr>
        <w:pStyle w:val="33"/>
        <w:spacing w:beforeAutospacing="0" w:afterAutospacing="0"/>
        <w:jc w:val="center"/>
        <w:rPr>
          <w:color w:val="auto"/>
          <w:highlight w:val="none"/>
        </w:rPr>
      </w:pPr>
    </w:p>
    <w:p w14:paraId="50A21B80">
      <w:pPr>
        <w:pStyle w:val="33"/>
        <w:spacing w:beforeAutospacing="0" w:afterAutospacing="0"/>
        <w:jc w:val="center"/>
        <w:rPr>
          <w:color w:val="auto"/>
          <w:highlight w:val="none"/>
        </w:rPr>
      </w:pPr>
    </w:p>
    <w:p w14:paraId="2C4252B2">
      <w:pPr>
        <w:pStyle w:val="33"/>
        <w:spacing w:beforeAutospacing="0" w:afterAutospacing="0"/>
        <w:jc w:val="center"/>
        <w:rPr>
          <w:color w:val="auto"/>
          <w:highlight w:val="none"/>
        </w:rPr>
      </w:pPr>
    </w:p>
    <w:p w14:paraId="1CE4FE47">
      <w:pPr>
        <w:pStyle w:val="33"/>
        <w:spacing w:beforeAutospacing="0" w:afterAutospacing="0"/>
        <w:jc w:val="center"/>
        <w:rPr>
          <w:color w:val="auto"/>
          <w:highlight w:val="none"/>
        </w:rPr>
      </w:pPr>
    </w:p>
    <w:p w14:paraId="71E6ABDD">
      <w:pPr>
        <w:pStyle w:val="33"/>
        <w:spacing w:beforeAutospacing="0" w:afterAutospacing="0"/>
        <w:jc w:val="center"/>
        <w:rPr>
          <w:color w:val="auto"/>
          <w:highlight w:val="none"/>
        </w:rPr>
      </w:pPr>
    </w:p>
    <w:p w14:paraId="633A5CFB">
      <w:pPr>
        <w:pStyle w:val="33"/>
        <w:spacing w:beforeAutospacing="0" w:afterAutospacing="0"/>
        <w:jc w:val="center"/>
        <w:rPr>
          <w:color w:val="auto"/>
          <w:highlight w:val="none"/>
        </w:rPr>
      </w:pPr>
    </w:p>
    <w:p w14:paraId="5117E125">
      <w:pPr>
        <w:pStyle w:val="33"/>
        <w:spacing w:beforeAutospacing="0" w:afterAutospacing="0"/>
        <w:jc w:val="center"/>
        <w:rPr>
          <w:color w:val="auto"/>
          <w:highlight w:val="none"/>
        </w:rPr>
      </w:pPr>
    </w:p>
    <w:p w14:paraId="245FD303">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0EAF8313">
      <w:pPr>
        <w:pStyle w:val="33"/>
        <w:spacing w:beforeAutospacing="0" w:afterAutospacing="0"/>
        <w:jc w:val="center"/>
        <w:rPr>
          <w:rFonts w:hint="eastAsia" w:eastAsia="黑体"/>
          <w:color w:val="auto"/>
          <w:highlight w:val="none"/>
          <w:lang w:eastAsia="zh-CN"/>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eastAsia="zh-CN"/>
        </w:rPr>
        <w:t>谈判报价表</w:t>
      </w:r>
    </w:p>
    <w:p w14:paraId="53B77A9D">
      <w:pPr>
        <w:pStyle w:val="33"/>
        <w:spacing w:beforeAutospacing="0" w:afterAutospacing="0"/>
        <w:ind w:firstLine="480"/>
        <w:jc w:val="both"/>
        <w:rPr>
          <w:rFonts w:hint="eastAsia" w:ascii="宋体" w:hAnsi="宋体" w:eastAsia="宋体" w:cs="宋体"/>
          <w:color w:val="000000"/>
          <w:highlight w:val="none"/>
          <w:shd w:val="clear" w:color="auto" w:fill="auto"/>
        </w:rPr>
      </w:pPr>
    </w:p>
    <w:p w14:paraId="2A21B83A">
      <w:pPr>
        <w:pStyle w:val="33"/>
        <w:spacing w:beforeAutospacing="0" w:afterAutospacing="0"/>
        <w:ind w:firstLine="480"/>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w:t>
      </w:r>
      <w:r>
        <w:rPr>
          <w:rFonts w:hint="eastAsia" w:ascii="宋体" w:hAnsi="宋体" w:eastAsia="宋体" w:cs="宋体"/>
          <w:color w:val="000000"/>
          <w:highlight w:val="none"/>
          <w:lang w:eastAsia="zh-CN"/>
        </w:rPr>
        <w:t>JSZC-320900-JCJS-T2026-0014</w:t>
      </w:r>
    </w:p>
    <w:p w14:paraId="54E84F64">
      <w:pPr>
        <w:pStyle w:val="33"/>
        <w:spacing w:beforeAutospacing="0" w:afterAutospacing="0"/>
        <w:ind w:firstLine="480"/>
        <w:jc w:val="both"/>
        <w:rPr>
          <w:rFonts w:hint="eastAsia" w:ascii="宋体" w:hAnsi="宋体" w:eastAsia="宋体" w:cs="宋体"/>
          <w:color w:val="000000"/>
          <w:highlight w:val="none"/>
        </w:rPr>
      </w:pPr>
      <w:r>
        <w:rPr>
          <w:rFonts w:ascii="宋体" w:hAnsi="宋体" w:eastAsia="宋体" w:cs="宋体"/>
          <w:sz w:val="24"/>
          <w:szCs w:val="24"/>
        </w:rPr>
        <w:t>货币单位：人民币元</w:t>
      </w:r>
      <w:r>
        <w:rPr>
          <w:rFonts w:hint="eastAsia" w:ascii="宋体" w:hAnsi="宋体" w:eastAsia="宋体" w:cs="宋体"/>
          <w:color w:val="000000"/>
          <w:highlight w:val="none"/>
        </w:rPr>
        <w:t>  </w:t>
      </w:r>
    </w:p>
    <w:tbl>
      <w:tblPr>
        <w:tblStyle w:val="38"/>
        <w:tblW w:w="8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9"/>
        <w:gridCol w:w="2835"/>
        <w:gridCol w:w="2730"/>
        <w:gridCol w:w="1226"/>
      </w:tblGrid>
      <w:tr w14:paraId="37FE3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atLeast"/>
        </w:trPr>
        <w:tc>
          <w:tcPr>
            <w:tcW w:w="1909" w:type="dxa"/>
            <w:vAlign w:val="center"/>
          </w:tcPr>
          <w:p w14:paraId="25715BC4">
            <w:pPr>
              <w:pStyle w:val="33"/>
              <w:spacing w:beforeAutospacing="0" w:afterAutospacing="0"/>
              <w:jc w:val="left"/>
              <w:rPr>
                <w:rFonts w:hint="eastAsia" w:ascii="宋体" w:hAnsi="宋体" w:eastAsia="宋体" w:cs="宋体"/>
                <w:color w:val="000000"/>
                <w:highlight w:val="none"/>
                <w:vertAlign w:val="baseline"/>
              </w:rPr>
            </w:pPr>
            <w:r>
              <w:rPr>
                <w:rFonts w:ascii="宋体" w:hAnsi="宋体" w:eastAsia="宋体" w:cs="宋体"/>
                <w:sz w:val="24"/>
                <w:szCs w:val="24"/>
              </w:rPr>
              <w:t>项目名称</w:t>
            </w:r>
          </w:p>
        </w:tc>
        <w:tc>
          <w:tcPr>
            <w:tcW w:w="2835" w:type="dxa"/>
            <w:vAlign w:val="center"/>
          </w:tcPr>
          <w:p w14:paraId="4B50245E">
            <w:pPr>
              <w:pStyle w:val="33"/>
              <w:spacing w:beforeAutospacing="0" w:afterAutospacing="0"/>
              <w:jc w:val="left"/>
              <w:rPr>
                <w:rFonts w:hint="eastAsia" w:ascii="宋体" w:hAnsi="宋体" w:eastAsia="宋体" w:cs="宋体"/>
                <w:color w:val="000000"/>
                <w:highlight w:val="none"/>
                <w:vertAlign w:val="baseline"/>
              </w:rPr>
            </w:pPr>
            <w:r>
              <w:rPr>
                <w:rFonts w:ascii="宋体" w:hAnsi="宋体" w:eastAsia="宋体" w:cs="宋体"/>
                <w:sz w:val="24"/>
                <w:szCs w:val="24"/>
              </w:rPr>
              <w:t>项目内容</w:t>
            </w:r>
          </w:p>
        </w:tc>
        <w:tc>
          <w:tcPr>
            <w:tcW w:w="2730" w:type="dxa"/>
            <w:vAlign w:val="center"/>
          </w:tcPr>
          <w:p w14:paraId="73C44B58">
            <w:pPr>
              <w:pStyle w:val="33"/>
              <w:keepNext w:val="0"/>
              <w:keepLines w:val="0"/>
              <w:widowControl/>
              <w:suppressLineNumbers w:val="0"/>
              <w:jc w:val="left"/>
              <w:rPr>
                <w:rFonts w:hint="eastAsia" w:ascii="宋体" w:hAnsi="宋体" w:eastAsia="宋体" w:cs="宋体"/>
                <w:color w:val="000000"/>
                <w:highlight w:val="none"/>
                <w:vertAlign w:val="baseline"/>
              </w:rPr>
            </w:pPr>
            <w:r>
              <w:t>报价（小写）</w:t>
            </w:r>
          </w:p>
        </w:tc>
        <w:tc>
          <w:tcPr>
            <w:tcW w:w="1226" w:type="dxa"/>
            <w:vAlign w:val="center"/>
          </w:tcPr>
          <w:p w14:paraId="785337D0">
            <w:pPr>
              <w:pStyle w:val="33"/>
              <w:spacing w:beforeAutospacing="0" w:afterAutospacing="0"/>
              <w:jc w:val="left"/>
              <w:rPr>
                <w:rFonts w:hint="eastAsia" w:ascii="宋体" w:hAnsi="宋体" w:eastAsia="宋体" w:cs="宋体"/>
                <w:color w:val="000000"/>
                <w:highlight w:val="none"/>
                <w:vertAlign w:val="baseline"/>
              </w:rPr>
            </w:pPr>
            <w:r>
              <w:rPr>
                <w:rFonts w:ascii="宋体" w:hAnsi="宋体" w:eastAsia="宋体" w:cs="宋体"/>
                <w:sz w:val="24"/>
                <w:szCs w:val="24"/>
              </w:rPr>
              <w:t>备注</w:t>
            </w:r>
          </w:p>
        </w:tc>
      </w:tr>
      <w:tr w14:paraId="69C38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1909" w:type="dxa"/>
            <w:vAlign w:val="center"/>
          </w:tcPr>
          <w:p w14:paraId="1CDEEAFD">
            <w:pPr>
              <w:pStyle w:val="33"/>
              <w:spacing w:beforeAutospacing="0" w:afterAutospacing="0"/>
              <w:jc w:val="left"/>
              <w:rPr>
                <w:rFonts w:hint="eastAsia" w:ascii="宋体" w:hAnsi="宋体" w:eastAsia="宋体" w:cs="宋体"/>
                <w:color w:val="000000"/>
                <w:highlight w:val="none"/>
                <w:vertAlign w:val="baseline"/>
              </w:rPr>
            </w:pPr>
            <w:r>
              <w:rPr>
                <w:rFonts w:ascii="宋体" w:hAnsi="宋体" w:eastAsia="宋体" w:cs="宋体"/>
                <w:sz w:val="24"/>
                <w:szCs w:val="24"/>
              </w:rPr>
              <w:t>项目名称</w:t>
            </w:r>
          </w:p>
        </w:tc>
        <w:tc>
          <w:tcPr>
            <w:tcW w:w="2835" w:type="dxa"/>
            <w:vAlign w:val="center"/>
          </w:tcPr>
          <w:p w14:paraId="306450EE">
            <w:pPr>
              <w:pStyle w:val="33"/>
              <w:spacing w:beforeAutospacing="0" w:afterAutospacing="0"/>
              <w:jc w:val="left"/>
              <w:rPr>
                <w:rFonts w:hint="eastAsia" w:ascii="宋体" w:hAnsi="宋体" w:eastAsia="宋体" w:cs="宋体"/>
                <w:color w:val="000000"/>
                <w:highlight w:val="none"/>
                <w:vertAlign w:val="baseline"/>
              </w:rPr>
            </w:pPr>
            <w:r>
              <w:rPr>
                <w:rFonts w:ascii="宋体" w:hAnsi="宋体" w:eastAsia="宋体" w:cs="宋体"/>
                <w:sz w:val="24"/>
                <w:szCs w:val="24"/>
              </w:rPr>
              <w:t>详见《谈判文件》</w:t>
            </w:r>
          </w:p>
        </w:tc>
        <w:tc>
          <w:tcPr>
            <w:tcW w:w="2730" w:type="dxa"/>
            <w:vAlign w:val="center"/>
          </w:tcPr>
          <w:p w14:paraId="315C10B0">
            <w:pPr>
              <w:pStyle w:val="33"/>
              <w:spacing w:beforeAutospacing="0" w:afterAutospacing="0"/>
              <w:jc w:val="left"/>
              <w:rPr>
                <w:rFonts w:hint="default"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元</w:t>
            </w:r>
          </w:p>
        </w:tc>
        <w:tc>
          <w:tcPr>
            <w:tcW w:w="1226" w:type="dxa"/>
            <w:vAlign w:val="center"/>
          </w:tcPr>
          <w:p w14:paraId="7101904E">
            <w:pPr>
              <w:pStyle w:val="33"/>
              <w:spacing w:beforeAutospacing="0" w:afterAutospacing="0"/>
              <w:jc w:val="left"/>
              <w:rPr>
                <w:rFonts w:hint="eastAsia" w:ascii="宋体" w:hAnsi="宋体" w:eastAsia="宋体" w:cs="宋体"/>
                <w:color w:val="000000"/>
                <w:highlight w:val="none"/>
                <w:vertAlign w:val="baseline"/>
              </w:rPr>
            </w:pPr>
          </w:p>
        </w:tc>
      </w:tr>
      <w:tr w14:paraId="52C3D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1909" w:type="dxa"/>
            <w:vAlign w:val="center"/>
          </w:tcPr>
          <w:p w14:paraId="0177F848">
            <w:pPr>
              <w:pStyle w:val="33"/>
              <w:spacing w:beforeAutospacing="0" w:afterAutospacing="0"/>
              <w:jc w:val="left"/>
              <w:rPr>
                <w:rFonts w:hint="eastAsia" w:ascii="宋体" w:hAnsi="宋体" w:eastAsia="宋体" w:cs="宋体"/>
                <w:color w:val="000000"/>
                <w:highlight w:val="none"/>
                <w:vertAlign w:val="baseline"/>
              </w:rPr>
            </w:pPr>
            <w:r>
              <w:rPr>
                <w:rFonts w:ascii="宋体" w:hAnsi="宋体" w:eastAsia="宋体" w:cs="宋体"/>
                <w:sz w:val="24"/>
                <w:szCs w:val="24"/>
              </w:rPr>
              <w:t>报价（大写）：</w:t>
            </w:r>
          </w:p>
        </w:tc>
        <w:tc>
          <w:tcPr>
            <w:tcW w:w="6791" w:type="dxa"/>
            <w:gridSpan w:val="3"/>
            <w:vAlign w:val="center"/>
          </w:tcPr>
          <w:p w14:paraId="11C76728">
            <w:pPr>
              <w:pStyle w:val="33"/>
              <w:spacing w:beforeAutospacing="0" w:afterAutospacing="0"/>
              <w:jc w:val="left"/>
              <w:rPr>
                <w:rFonts w:hint="eastAsia" w:ascii="宋体" w:hAnsi="宋体" w:eastAsia="宋体" w:cs="宋体"/>
                <w:color w:val="000000"/>
                <w:highlight w:val="none"/>
                <w:vertAlign w:val="baseline"/>
              </w:rPr>
            </w:pPr>
            <w:r>
              <w:rPr>
                <w:rFonts w:ascii="宋体" w:hAnsi="宋体" w:eastAsia="宋体" w:cs="宋体"/>
                <w:sz w:val="24"/>
                <w:szCs w:val="24"/>
              </w:rPr>
              <w:t>金额大写</w:t>
            </w:r>
          </w:p>
        </w:tc>
      </w:tr>
    </w:tbl>
    <w:p w14:paraId="4ADB1B93">
      <w:pPr>
        <w:pStyle w:val="33"/>
        <w:spacing w:beforeAutospacing="0" w:afterAutospacing="0"/>
        <w:ind w:firstLine="480"/>
        <w:jc w:val="both"/>
        <w:rPr>
          <w:rFonts w:hint="eastAsia" w:ascii="宋体" w:hAnsi="宋体" w:eastAsia="宋体" w:cs="宋体"/>
          <w:color w:val="000000"/>
          <w:highlight w:val="none"/>
        </w:rPr>
      </w:pPr>
    </w:p>
    <w:p w14:paraId="3B295704">
      <w:pPr>
        <w:pStyle w:val="33"/>
        <w:spacing w:beforeAutospacing="0" w:afterAutospacing="0"/>
        <w:jc w:val="both"/>
        <w:rPr>
          <w:highlight w:val="none"/>
        </w:rPr>
      </w:pPr>
      <w:r>
        <w:rPr>
          <w:highlight w:val="none"/>
        </w:rPr>
        <w:t> </w:t>
      </w:r>
      <w:r>
        <w:rPr>
          <w:rFonts w:ascii="宋体" w:hAnsi="宋体" w:eastAsia="宋体" w:cs="宋体"/>
          <w:sz w:val="24"/>
          <w:szCs w:val="24"/>
        </w:rPr>
        <w:t>供应商公章：</w:t>
      </w:r>
    </w:p>
    <w:p w14:paraId="47504631">
      <w:pPr>
        <w:pStyle w:val="3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78CABA92">
      <w:pPr>
        <w:pStyle w:val="33"/>
        <w:spacing w:beforeAutospacing="0" w:afterAutospacing="0"/>
        <w:ind w:firstLine="480"/>
        <w:jc w:val="both"/>
        <w:rPr>
          <w:rFonts w:hint="eastAsia" w:ascii="宋体" w:hAnsi="宋体" w:eastAsia="宋体" w:cs="宋体"/>
          <w:color w:val="auto"/>
          <w:highlight w:val="none"/>
        </w:rPr>
      </w:pPr>
    </w:p>
    <w:p w14:paraId="53A36D17">
      <w:pPr>
        <w:pStyle w:val="33"/>
        <w:spacing w:beforeAutospacing="0" w:afterAutospacing="0"/>
        <w:ind w:firstLine="480"/>
        <w:jc w:val="both"/>
        <w:rPr>
          <w:rFonts w:hint="eastAsia" w:ascii="宋体" w:hAnsi="宋体" w:eastAsia="宋体" w:cs="宋体"/>
          <w:color w:val="auto"/>
          <w:highlight w:val="none"/>
        </w:rPr>
      </w:pPr>
    </w:p>
    <w:p w14:paraId="4F9C81D6">
      <w:pPr>
        <w:pStyle w:val="33"/>
        <w:spacing w:beforeAutospacing="0" w:afterAutospacing="0"/>
        <w:jc w:val="center"/>
        <w:rPr>
          <w:color w:val="auto"/>
          <w:highlight w:val="none"/>
        </w:rPr>
      </w:pPr>
    </w:p>
    <w:p w14:paraId="35982EF8">
      <w:pPr>
        <w:widowControl/>
        <w:jc w:val="left"/>
        <w:rPr>
          <w:rFonts w:ascii="宋体" w:hAnsi="宋体" w:eastAsia="宋体" w:cs="宋体"/>
          <w:color w:val="auto"/>
          <w:sz w:val="32"/>
          <w:szCs w:val="32"/>
          <w:highlight w:val="none"/>
        </w:rPr>
      </w:pPr>
      <w:r>
        <w:rPr>
          <w:rFonts w:ascii="宋体" w:hAnsi="宋体" w:eastAsia="宋体" w:cs="宋体"/>
          <w:color w:val="auto"/>
          <w:sz w:val="32"/>
          <w:szCs w:val="32"/>
          <w:highlight w:val="none"/>
        </w:rPr>
        <w:br w:type="page"/>
      </w:r>
    </w:p>
    <w:p w14:paraId="09909C8C">
      <w:pPr>
        <w:pStyle w:val="33"/>
        <w:spacing w:beforeAutospacing="0" w:afterAutospacing="0"/>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六</w:t>
      </w:r>
      <w:r>
        <w:rPr>
          <w:rFonts w:hint="eastAsia" w:ascii="黑体" w:hAnsi="宋体" w:eastAsia="黑体" w:cs="黑体"/>
          <w:b/>
          <w:color w:val="auto"/>
          <w:sz w:val="32"/>
          <w:szCs w:val="32"/>
          <w:highlight w:val="none"/>
        </w:rPr>
        <w:t>、盐城市政府采购事前信用承诺书</w:t>
      </w:r>
    </w:p>
    <w:p w14:paraId="0704C9AF">
      <w:pPr>
        <w:pStyle w:val="33"/>
        <w:spacing w:beforeAutospacing="0" w:afterAutospacing="0"/>
        <w:jc w:val="both"/>
        <w:rPr>
          <w:color w:val="auto"/>
          <w:highlight w:val="none"/>
        </w:rPr>
      </w:pPr>
    </w:p>
    <w:p w14:paraId="5C7335EE">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为营造我市公开、公平、公正、诚实守信的政府采购交易环境，树立诚信守法的投标人形象，本人代表本单位作出以下承诺：</w:t>
      </w:r>
    </w:p>
    <w:p w14:paraId="5C3E2F62">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ascii="宋体" w:hAnsi="宋体" w:eastAsia="宋体" w:cs="宋体"/>
          <w:color w:val="auto"/>
          <w:sz w:val="24"/>
          <w:highlight w:val="none"/>
        </w:rPr>
        <w:t>，并对所提供资料的真实性负责；</w:t>
      </w:r>
    </w:p>
    <w:p w14:paraId="57C2DA65">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（二）本单位无涉及政府采购活动的违法、违规不良记录，我公司及相关负责人无因存在重大隐患整改不力、</w:t>
      </w:r>
      <w:r>
        <w:rPr>
          <w:rFonts w:hint="eastAsia" w:ascii="宋体" w:hAnsi="宋体" w:eastAsia="宋体" w:cs="宋体"/>
          <w:color w:val="auto"/>
          <w:sz w:val="24"/>
          <w:highlight w:val="none"/>
          <w:lang w:eastAsia="zh-CN"/>
        </w:rPr>
        <w:t>发生</w:t>
      </w:r>
      <w:r>
        <w:rPr>
          <w:rFonts w:ascii="宋体" w:hAnsi="宋体" w:eastAsia="宋体" w:cs="宋体"/>
          <w:color w:val="auto"/>
          <w:sz w:val="24"/>
          <w:highlight w:val="none"/>
        </w:rPr>
        <w:t>重大社会影响生产安全事故或其他严重违法违规行为而被列入失信联合惩戒的不良记录；</w:t>
      </w:r>
    </w:p>
    <w:p w14:paraId="66F84758">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（三）严格依照国家和省、市关于政府采购的</w:t>
      </w:r>
      <w:r>
        <w:rPr>
          <w:rFonts w:hint="eastAsia" w:ascii="宋体" w:hAnsi="宋体" w:eastAsia="宋体" w:cs="宋体"/>
          <w:color w:val="auto"/>
          <w:sz w:val="24"/>
          <w:highlight w:val="none"/>
          <w:lang w:eastAsia="zh-CN"/>
        </w:rPr>
        <w:t>法律法规</w:t>
      </w:r>
      <w:r>
        <w:rPr>
          <w:rFonts w:ascii="宋体" w:hAnsi="宋体" w:eastAsia="宋体" w:cs="宋体"/>
          <w:color w:val="auto"/>
          <w:sz w:val="24"/>
          <w:highlight w:val="none"/>
        </w:rPr>
        <w:t>、规章、规范性文件，参加政府采购投标活动；积极履行社会责任，促进廉政建设；</w:t>
      </w:r>
    </w:p>
    <w:p w14:paraId="388DF219">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（四）严格遵守即时信息公示规定，及时</w:t>
      </w:r>
      <w:r>
        <w:rPr>
          <w:rFonts w:hint="eastAsia" w:ascii="宋体" w:hAnsi="宋体" w:eastAsia="宋体" w:cs="宋体"/>
          <w:color w:val="auto"/>
          <w:sz w:val="24"/>
          <w:highlight w:val="none"/>
          <w:lang w:eastAsia="zh-CN"/>
        </w:rPr>
        <w:t>维护和更新</w:t>
      </w:r>
      <w:r>
        <w:rPr>
          <w:rFonts w:ascii="宋体" w:hAnsi="宋体" w:eastAsia="宋体" w:cs="宋体"/>
          <w:color w:val="auto"/>
          <w:sz w:val="24"/>
          <w:highlight w:val="none"/>
        </w:rPr>
        <w:t>盐城市政府采购网中与本单位相关的信息；</w:t>
      </w:r>
    </w:p>
    <w:p w14:paraId="5E5BF2B6">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032EE2CE">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（六）自觉接受政府、行业组织、社会公众、新闻舆论的监督；</w:t>
      </w:r>
    </w:p>
    <w:p w14:paraId="1E2E5E1F">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5571902">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（八）本人已认真阅读了上述承诺，并向本单位员工</w:t>
      </w:r>
      <w:r>
        <w:rPr>
          <w:rFonts w:hint="eastAsia" w:ascii="宋体" w:hAnsi="宋体" w:eastAsia="宋体" w:cs="宋体"/>
          <w:color w:val="auto"/>
          <w:sz w:val="24"/>
          <w:highlight w:val="none"/>
          <w:lang w:eastAsia="zh-CN"/>
        </w:rPr>
        <w:t>做</w:t>
      </w:r>
      <w:r>
        <w:rPr>
          <w:rFonts w:ascii="宋体" w:hAnsi="宋体" w:eastAsia="宋体" w:cs="宋体"/>
          <w:color w:val="auto"/>
          <w:sz w:val="24"/>
          <w:highlight w:val="none"/>
        </w:rPr>
        <w:t>了宣传教育。</w:t>
      </w:r>
    </w:p>
    <w:p w14:paraId="0AD470EF">
      <w:pPr>
        <w:pBdr>
          <w:top w:val="none" w:color="000000" w:sz="0" w:space="0"/>
          <w:left w:val="none" w:color="000000" w:sz="0" w:space="0"/>
          <w:bottom w:val="none" w:color="000000" w:sz="0" w:space="0"/>
          <w:right w:val="none" w:color="000000" w:sz="0" w:space="0"/>
        </w:pBdr>
        <w:spacing w:line="499" w:lineRule="atLeast"/>
        <w:ind w:firstLine="420"/>
        <w:jc w:val="center"/>
        <w:rPr>
          <w:color w:val="auto"/>
          <w:highlight w:val="none"/>
        </w:rPr>
      </w:pPr>
      <w:r>
        <w:rPr>
          <w:rFonts w:ascii="宋体" w:hAnsi="宋体" w:eastAsia="宋体" w:cs="宋体"/>
          <w:color w:val="auto"/>
          <w:sz w:val="24"/>
          <w:highlight w:val="none"/>
        </w:rPr>
        <w:t>                  法定代表人</w:t>
      </w:r>
      <w:r>
        <w:rPr>
          <w:rFonts w:hint="eastAsia" w:ascii="宋体" w:hAnsi="宋体" w:eastAsia="宋体" w:cs="宋体"/>
          <w:color w:val="auto"/>
          <w:sz w:val="24"/>
          <w:highlight w:val="none"/>
        </w:rPr>
        <w:t>（签字或盖章）</w:t>
      </w:r>
      <w:r>
        <w:rPr>
          <w:rFonts w:ascii="宋体" w:hAnsi="宋体" w:eastAsia="宋体" w:cs="宋体"/>
          <w:color w:val="auto"/>
          <w:sz w:val="24"/>
          <w:highlight w:val="none"/>
        </w:rPr>
        <w:t>：</w:t>
      </w:r>
    </w:p>
    <w:p w14:paraId="364F1F1A">
      <w:pPr>
        <w:pBdr>
          <w:top w:val="none" w:color="000000" w:sz="0" w:space="0"/>
          <w:left w:val="none" w:color="000000" w:sz="0" w:space="0"/>
          <w:bottom w:val="none" w:color="000000" w:sz="0" w:space="0"/>
          <w:right w:val="none" w:color="000000" w:sz="0" w:space="0"/>
        </w:pBdr>
        <w:spacing w:line="499" w:lineRule="atLeast"/>
        <w:ind w:firstLine="420"/>
        <w:jc w:val="center"/>
        <w:rPr>
          <w:color w:val="auto"/>
          <w:highlight w:val="none"/>
        </w:rPr>
      </w:pPr>
      <w:r>
        <w:rPr>
          <w:rFonts w:ascii="宋体" w:hAnsi="宋体" w:eastAsia="宋体" w:cs="宋体"/>
          <w:color w:val="auto"/>
          <w:sz w:val="24"/>
          <w:highlight w:val="none"/>
        </w:rPr>
        <w:t>                   单位名称（盖章）：</w:t>
      </w:r>
    </w:p>
    <w:p w14:paraId="65977832">
      <w:pPr>
        <w:pBdr>
          <w:top w:val="none" w:color="000000" w:sz="0" w:space="0"/>
          <w:left w:val="none" w:color="000000" w:sz="0" w:space="0"/>
          <w:bottom w:val="none" w:color="000000" w:sz="0" w:space="0"/>
          <w:right w:val="none" w:color="000000" w:sz="0" w:space="0"/>
        </w:pBdr>
        <w:spacing w:line="499" w:lineRule="atLeast"/>
        <w:ind w:firstLine="420"/>
        <w:jc w:val="center"/>
        <w:rPr>
          <w:color w:val="auto"/>
          <w:highlight w:val="none"/>
        </w:rPr>
      </w:pPr>
      <w:r>
        <w:rPr>
          <w:rFonts w:ascii="宋体" w:hAnsi="宋体" w:eastAsia="宋体" w:cs="宋体"/>
          <w:color w:val="auto"/>
          <w:sz w:val="24"/>
          <w:highlight w:val="none"/>
        </w:rPr>
        <w:t>                  年   月   日</w:t>
      </w:r>
    </w:p>
    <w:p w14:paraId="71F5071B">
      <w:pPr>
        <w:pStyle w:val="33"/>
        <w:spacing w:beforeAutospacing="0" w:afterAutospacing="0"/>
        <w:jc w:val="center"/>
        <w:rPr>
          <w:rFonts w:ascii="宋体" w:hAnsi="宋体" w:eastAsia="宋体" w:cs="宋体"/>
          <w:b/>
          <w:color w:val="auto"/>
          <w:sz w:val="32"/>
          <w:szCs w:val="32"/>
          <w:highlight w:val="none"/>
        </w:rPr>
      </w:pPr>
    </w:p>
    <w:p w14:paraId="1F25EC4F">
      <w:pPr>
        <w:widowControl/>
        <w:jc w:val="left"/>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r>
    </w:p>
    <w:p w14:paraId="057165E0">
      <w:pPr>
        <w:pStyle w:val="33"/>
        <w:spacing w:beforeAutospacing="0" w:afterAutospacing="0"/>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七</w:t>
      </w:r>
      <w:r>
        <w:rPr>
          <w:rFonts w:hint="eastAsia" w:ascii="黑体" w:hAnsi="宋体" w:eastAsia="黑体" w:cs="黑体"/>
          <w:b/>
          <w:color w:val="auto"/>
          <w:sz w:val="32"/>
          <w:szCs w:val="32"/>
          <w:highlight w:val="none"/>
        </w:rPr>
        <w:t>、谈判文件要求的或供应商认为应当提供的其他资料</w:t>
      </w:r>
    </w:p>
    <w:p w14:paraId="461EA4BF">
      <w:pPr>
        <w:pStyle w:val="33"/>
        <w:spacing w:beforeAutospacing="0" w:afterAutospacing="0"/>
        <w:rPr>
          <w:rFonts w:ascii="宋体" w:hAnsi="宋体" w:eastAsia="宋体" w:cs="宋体"/>
          <w:color w:val="auto"/>
          <w:sz w:val="32"/>
          <w:szCs w:val="32"/>
          <w:highlight w:val="none"/>
        </w:rPr>
      </w:pPr>
    </w:p>
    <w:p w14:paraId="73544336">
      <w:pPr>
        <w:pStyle w:val="33"/>
        <w:spacing w:beforeAutospacing="0" w:afterAutospacing="0"/>
        <w:rPr>
          <w:rFonts w:ascii="宋体" w:hAnsi="宋体" w:eastAsia="宋体" w:cs="宋体"/>
          <w:color w:val="auto"/>
          <w:sz w:val="32"/>
          <w:szCs w:val="32"/>
          <w:highlight w:val="none"/>
        </w:rPr>
      </w:pPr>
    </w:p>
    <w:p w14:paraId="0A9FFCB6">
      <w:pPr>
        <w:pStyle w:val="33"/>
        <w:spacing w:beforeAutospacing="0" w:afterAutospacing="0"/>
        <w:rPr>
          <w:rFonts w:ascii="宋体" w:hAnsi="宋体" w:eastAsia="宋体" w:cs="宋体"/>
          <w:color w:val="auto"/>
          <w:sz w:val="32"/>
          <w:szCs w:val="32"/>
          <w:highlight w:val="none"/>
        </w:rPr>
      </w:pPr>
    </w:p>
    <w:p w14:paraId="661A0F2A">
      <w:pPr>
        <w:widowControl/>
        <w:jc w:val="left"/>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r>
    </w:p>
    <w:p w14:paraId="46DEFB88">
      <w:pPr>
        <w:pStyle w:val="3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25283B68">
      <w:pPr>
        <w:pStyle w:val="3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7B6E2989">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05CC83E">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7C4423B5">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25F189E">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2511EB4">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2284ACED">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6D6E5C8">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7E51935">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7CAFB77">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7916306">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3476D4DD">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7A4879A1">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43906AB9">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461E513">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05F9A39C">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5D68F063">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1B9CAA32">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738E102D">
      <w:pPr>
        <w:pStyle w:val="3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017DCFE7">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5BC2DDDB">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763F2C09">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33CA5E5E">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573F7102">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C30F297">
      <w:pPr>
        <w:pStyle w:val="3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公章：               日期：    </w:t>
      </w:r>
    </w:p>
    <w:p w14:paraId="77865CC7">
      <w:pPr>
        <w:pStyle w:val="3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8C246C7">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22ECC130">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7B93BEB">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B679C3C">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4BD3B149">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0500DE80">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4D4FE341">
      <w:pPr>
        <w:pStyle w:val="33"/>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017D9E71">
      <w:pPr>
        <w:rPr>
          <w:color w:val="auto"/>
          <w:highlight w:val="none"/>
        </w:rPr>
      </w:pPr>
    </w:p>
    <w:p w14:paraId="010107B7">
      <w:pPr>
        <w:pStyle w:val="33"/>
        <w:spacing w:beforeAutospacing="0" w:afterAutospacing="0"/>
        <w:jc w:val="center"/>
        <w:rPr>
          <w:color w:val="auto"/>
          <w:highlight w:val="none"/>
        </w:rPr>
      </w:pPr>
    </w:p>
    <w:p w14:paraId="690D62C9">
      <w:pPr>
        <w:rPr>
          <w:color w:val="auto"/>
          <w:highlight w:val="none"/>
        </w:rPr>
      </w:pPr>
    </w:p>
    <w:p w14:paraId="20C8129A">
      <w:pPr>
        <w:spacing w:before="0" w:after="0" w:line="360" w:lineRule="auto"/>
        <w:ind w:firstLine="480"/>
        <w:rPr>
          <w:rFonts w:hint="eastAsia" w:asciiTheme="minorEastAsia" w:hAnsiTheme="minorEastAsia" w:eastAsiaTheme="minorEastAsia" w:cstheme="minorEastAsia"/>
          <w:color w:val="auto"/>
          <w:highlight w:val="none"/>
        </w:rPr>
      </w:pPr>
    </w:p>
    <w:sectPr>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4002EFF" w:usb1="C200247B"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2149D">
    <w:pPr>
      <w:pStyle w:val="2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21550D">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721550D">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0D67C5"/>
    <w:multiLevelType w:val="singleLevel"/>
    <w:tmpl w:val="390D67C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E5641E"/>
    <w:rsid w:val="02E75338"/>
    <w:rsid w:val="03BE0B90"/>
    <w:rsid w:val="04D9075A"/>
    <w:rsid w:val="05E91C43"/>
    <w:rsid w:val="06F64443"/>
    <w:rsid w:val="08335E29"/>
    <w:rsid w:val="08C36278"/>
    <w:rsid w:val="0A8B696D"/>
    <w:rsid w:val="0BEA7692"/>
    <w:rsid w:val="0D297012"/>
    <w:rsid w:val="0D5C5FEA"/>
    <w:rsid w:val="0EF077E3"/>
    <w:rsid w:val="104444D1"/>
    <w:rsid w:val="105E1DEC"/>
    <w:rsid w:val="10CA5490"/>
    <w:rsid w:val="145750C0"/>
    <w:rsid w:val="146D3684"/>
    <w:rsid w:val="148E149D"/>
    <w:rsid w:val="156F461B"/>
    <w:rsid w:val="17BC0A37"/>
    <w:rsid w:val="1B4937CB"/>
    <w:rsid w:val="1CA35BB0"/>
    <w:rsid w:val="1E036392"/>
    <w:rsid w:val="1F645556"/>
    <w:rsid w:val="21EA3C86"/>
    <w:rsid w:val="22A072BE"/>
    <w:rsid w:val="242C6093"/>
    <w:rsid w:val="25565D41"/>
    <w:rsid w:val="26F75FB5"/>
    <w:rsid w:val="27B77F31"/>
    <w:rsid w:val="28C60F2E"/>
    <w:rsid w:val="2B5B307D"/>
    <w:rsid w:val="2EBB49EE"/>
    <w:rsid w:val="2FF008DC"/>
    <w:rsid w:val="31490108"/>
    <w:rsid w:val="31936399"/>
    <w:rsid w:val="33D36691"/>
    <w:rsid w:val="3627057D"/>
    <w:rsid w:val="39930E3E"/>
    <w:rsid w:val="3A4574F6"/>
    <w:rsid w:val="3C215F09"/>
    <w:rsid w:val="3CBF31D5"/>
    <w:rsid w:val="3D4A7F84"/>
    <w:rsid w:val="3EB63280"/>
    <w:rsid w:val="3FB6105E"/>
    <w:rsid w:val="406E1939"/>
    <w:rsid w:val="40805597"/>
    <w:rsid w:val="430815EF"/>
    <w:rsid w:val="43330B8C"/>
    <w:rsid w:val="44872FC9"/>
    <w:rsid w:val="45435142"/>
    <w:rsid w:val="458B36ED"/>
    <w:rsid w:val="4623055D"/>
    <w:rsid w:val="462E4906"/>
    <w:rsid w:val="47145323"/>
    <w:rsid w:val="4737119F"/>
    <w:rsid w:val="47A80F1E"/>
    <w:rsid w:val="47F04365"/>
    <w:rsid w:val="494F6E8A"/>
    <w:rsid w:val="4A4A491E"/>
    <w:rsid w:val="4B8D3BE6"/>
    <w:rsid w:val="4FEB08B0"/>
    <w:rsid w:val="52701540"/>
    <w:rsid w:val="53B33FCE"/>
    <w:rsid w:val="541F697B"/>
    <w:rsid w:val="54CB6E0A"/>
    <w:rsid w:val="56222B52"/>
    <w:rsid w:val="56D8268B"/>
    <w:rsid w:val="57744A30"/>
    <w:rsid w:val="578E6007"/>
    <w:rsid w:val="59B03888"/>
    <w:rsid w:val="5B4D4167"/>
    <w:rsid w:val="5BC23EEB"/>
    <w:rsid w:val="5D845E7F"/>
    <w:rsid w:val="5DBA6B7A"/>
    <w:rsid w:val="5F165EC3"/>
    <w:rsid w:val="601C76B6"/>
    <w:rsid w:val="60D5185D"/>
    <w:rsid w:val="6486774E"/>
    <w:rsid w:val="6F372726"/>
    <w:rsid w:val="73FE6554"/>
    <w:rsid w:val="769C5687"/>
    <w:rsid w:val="790E2D14"/>
    <w:rsid w:val="7C080907"/>
    <w:rsid w:val="7C5D1497"/>
    <w:rsid w:val="7D6330CE"/>
    <w:rsid w:val="7DF77AF3"/>
    <w:rsid w:val="7EA15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unhideWhenUsed="0" w:uiPriority="99"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rPr>
  </w:style>
  <w:style w:type="paragraph" w:styleId="2">
    <w:name w:val="heading 1"/>
    <w:basedOn w:val="1"/>
    <w:link w:val="97"/>
    <w:qFormat/>
    <w:uiPriority w:val="9"/>
    <w:pPr>
      <w:keepNext/>
      <w:keepLines/>
      <w:spacing w:before="480" w:after="200"/>
      <w:outlineLvl w:val="0"/>
    </w:pPr>
    <w:rPr>
      <w:rFonts w:ascii="Arial" w:hAnsi="Arial" w:eastAsia="Arial" w:cs="Arial"/>
      <w:sz w:val="40"/>
      <w:szCs w:val="40"/>
    </w:rPr>
  </w:style>
  <w:style w:type="paragraph" w:styleId="3">
    <w:name w:val="heading 2"/>
    <w:basedOn w:val="1"/>
    <w:link w:val="230"/>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link w:val="9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link w:val="10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link w:val="10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link w:val="10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link w:val="10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link w:val="10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link w:val="105"/>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unhideWhenUsed/>
    <w:qFormat/>
    <w:uiPriority w:val="39"/>
    <w:pPr>
      <w:spacing w:after="57"/>
      <w:ind w:left="1701"/>
    </w:pPr>
  </w:style>
  <w:style w:type="paragraph" w:styleId="12">
    <w:name w:val="caption"/>
    <w:basedOn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unhideWhenUsed/>
    <w:qFormat/>
    <w:uiPriority w:val="0"/>
    <w:pPr>
      <w:spacing w:after="120"/>
    </w:pPr>
    <w:rPr>
      <w:rFonts w:ascii="Calibri" w:hAnsi="Calibri"/>
      <w:szCs w:val="22"/>
    </w:rPr>
  </w:style>
  <w:style w:type="paragraph" w:styleId="15">
    <w:name w:val="Body Text Indent"/>
    <w:basedOn w:val="1"/>
    <w:qFormat/>
    <w:uiPriority w:val="0"/>
    <w:pPr>
      <w:ind w:firstLine="645"/>
    </w:pPr>
    <w:rPr>
      <w:rFonts w:ascii="楷体_GB2312" w:hAnsi="Times New Roman" w:eastAsia="楷体_GB2312" w:cs="Times New Roman"/>
      <w:sz w:val="32"/>
      <w:szCs w:val="20"/>
    </w:rPr>
  </w:style>
  <w:style w:type="paragraph" w:styleId="16">
    <w:name w:val="toc 5"/>
    <w:basedOn w:val="1"/>
    <w:unhideWhenUsed/>
    <w:qFormat/>
    <w:uiPriority w:val="39"/>
    <w:pPr>
      <w:spacing w:after="57"/>
      <w:ind w:left="1134"/>
    </w:pPr>
  </w:style>
  <w:style w:type="paragraph" w:styleId="17">
    <w:name w:val="toc 3"/>
    <w:basedOn w:val="1"/>
    <w:unhideWhenUsed/>
    <w:qFormat/>
    <w:uiPriority w:val="39"/>
    <w:pPr>
      <w:spacing w:after="57"/>
      <w:ind w:left="567"/>
    </w:pPr>
  </w:style>
  <w:style w:type="paragraph" w:styleId="18">
    <w:name w:val="Plain Text"/>
    <w:basedOn w:val="1"/>
    <w:unhideWhenUsed/>
    <w:qFormat/>
    <w:uiPriority w:val="0"/>
    <w:rPr>
      <w:rFonts w:ascii="宋体" w:hAnsi="Courier New" w:cs="Courier New"/>
      <w:szCs w:val="21"/>
    </w:rPr>
  </w:style>
  <w:style w:type="paragraph" w:styleId="19">
    <w:name w:val="toc 8"/>
    <w:basedOn w:val="1"/>
    <w:unhideWhenUsed/>
    <w:qFormat/>
    <w:uiPriority w:val="39"/>
    <w:pPr>
      <w:spacing w:after="57"/>
      <w:ind w:left="1984"/>
    </w:pPr>
  </w:style>
  <w:style w:type="paragraph" w:styleId="20">
    <w:name w:val="Body Text Indent 2"/>
    <w:basedOn w:val="1"/>
    <w:link w:val="229"/>
    <w:semiHidden/>
    <w:unhideWhenUsed/>
    <w:qFormat/>
    <w:uiPriority w:val="99"/>
    <w:pPr>
      <w:spacing w:after="120" w:line="480" w:lineRule="auto"/>
      <w:ind w:left="420"/>
    </w:pPr>
  </w:style>
  <w:style w:type="paragraph" w:styleId="21">
    <w:name w:val="endnote text"/>
    <w:basedOn w:val="1"/>
    <w:link w:val="224"/>
    <w:semiHidden/>
    <w:unhideWhenUsed/>
    <w:qFormat/>
    <w:uiPriority w:val="99"/>
    <w:rPr>
      <w:sz w:val="20"/>
    </w:rPr>
  </w:style>
  <w:style w:type="paragraph" w:styleId="22">
    <w:name w:val="footer"/>
    <w:basedOn w:val="1"/>
    <w:qFormat/>
    <w:uiPriority w:val="0"/>
    <w:pPr>
      <w:tabs>
        <w:tab w:val="center" w:pos="4153"/>
        <w:tab w:val="right" w:pos="8306"/>
      </w:tabs>
      <w:jc w:val="left"/>
    </w:pPr>
    <w:rPr>
      <w:sz w:val="18"/>
    </w:rPr>
  </w:style>
  <w:style w:type="paragraph" w:styleId="23">
    <w:name w:val="envelope return"/>
    <w:basedOn w:val="1"/>
    <w:qFormat/>
    <w:uiPriority w:val="0"/>
    <w:rPr>
      <w:rFonts w:ascii="Arial" w:hAnsi="Arial" w:eastAsia="宋体" w:cs="Times New Roman"/>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5">
    <w:name w:val="toc 1"/>
    <w:basedOn w:val="1"/>
    <w:unhideWhenUsed/>
    <w:qFormat/>
    <w:uiPriority w:val="39"/>
    <w:pPr>
      <w:spacing w:after="57"/>
    </w:pPr>
  </w:style>
  <w:style w:type="paragraph" w:styleId="26">
    <w:name w:val="toc 4"/>
    <w:basedOn w:val="1"/>
    <w:unhideWhenUsed/>
    <w:qFormat/>
    <w:uiPriority w:val="39"/>
    <w:pPr>
      <w:spacing w:after="57"/>
      <w:ind w:left="850"/>
    </w:pPr>
  </w:style>
  <w:style w:type="paragraph" w:styleId="27">
    <w:name w:val="Subtitle"/>
    <w:basedOn w:val="1"/>
    <w:link w:val="109"/>
    <w:qFormat/>
    <w:uiPriority w:val="11"/>
    <w:pPr>
      <w:spacing w:before="200" w:after="200"/>
    </w:pPr>
    <w:rPr>
      <w:sz w:val="24"/>
    </w:rPr>
  </w:style>
  <w:style w:type="paragraph" w:styleId="28">
    <w:name w:val="footnote text"/>
    <w:basedOn w:val="1"/>
    <w:link w:val="223"/>
    <w:semiHidden/>
    <w:unhideWhenUsed/>
    <w:qFormat/>
    <w:uiPriority w:val="99"/>
    <w:pPr>
      <w:spacing w:after="40"/>
    </w:pPr>
    <w:rPr>
      <w:sz w:val="18"/>
    </w:rPr>
  </w:style>
  <w:style w:type="paragraph" w:styleId="29">
    <w:name w:val="toc 6"/>
    <w:basedOn w:val="1"/>
    <w:unhideWhenUsed/>
    <w:qFormat/>
    <w:uiPriority w:val="39"/>
    <w:pPr>
      <w:spacing w:after="57"/>
      <w:ind w:left="1417"/>
    </w:pPr>
  </w:style>
  <w:style w:type="paragraph" w:styleId="30">
    <w:name w:val="table of figures"/>
    <w:basedOn w:val="1"/>
    <w:unhideWhenUsed/>
    <w:qFormat/>
    <w:uiPriority w:val="99"/>
  </w:style>
  <w:style w:type="paragraph" w:styleId="31">
    <w:name w:val="toc 2"/>
    <w:basedOn w:val="1"/>
    <w:unhideWhenUsed/>
    <w:qFormat/>
    <w:uiPriority w:val="39"/>
    <w:pPr>
      <w:spacing w:after="57"/>
      <w:ind w:left="283"/>
    </w:pPr>
  </w:style>
  <w:style w:type="paragraph" w:styleId="32">
    <w:name w:val="toc 9"/>
    <w:basedOn w:val="1"/>
    <w:unhideWhenUsed/>
    <w:qFormat/>
    <w:uiPriority w:val="39"/>
    <w:pPr>
      <w:spacing w:after="57"/>
      <w:ind w:left="2268"/>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link w:val="108"/>
    <w:qFormat/>
    <w:uiPriority w:val="10"/>
    <w:pPr>
      <w:spacing w:before="300" w:after="200"/>
      <w:contextualSpacing/>
    </w:pPr>
    <w:rPr>
      <w:sz w:val="48"/>
      <w:szCs w:val="48"/>
    </w:rPr>
  </w:style>
  <w:style w:type="paragraph" w:styleId="35">
    <w:name w:val="Body Text First Indent"/>
    <w:basedOn w:val="14"/>
    <w:qFormat/>
    <w:uiPriority w:val="99"/>
    <w:pPr>
      <w:spacing w:line="360" w:lineRule="auto"/>
      <w:ind w:firstLine="200" w:firstLineChars="200"/>
    </w:pPr>
    <w:rPr>
      <w:rFonts w:ascii="仿宋_GB2312" w:eastAsia="仿宋_GB2312"/>
      <w:sz w:val="30"/>
      <w:szCs w:val="30"/>
    </w:rPr>
  </w:style>
  <w:style w:type="paragraph" w:styleId="36">
    <w:name w:val="Body Text First Indent 2"/>
    <w:basedOn w:val="15"/>
    <w:qFormat/>
    <w:uiPriority w:val="0"/>
    <w:pPr>
      <w:spacing w:after="120"/>
      <w:ind w:left="420" w:firstLine="420"/>
    </w:pPr>
    <w:rPr>
      <w:rFonts w:ascii="Calibri" w:eastAsia="宋体"/>
      <w:sz w:val="28"/>
    </w:rPr>
  </w:style>
  <w:style w:type="table" w:styleId="38">
    <w:name w:val="Table Grid"/>
    <w:basedOn w:val="3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0"/>
    <w:rPr>
      <w:b/>
    </w:rPr>
  </w:style>
  <w:style w:type="character" w:styleId="41">
    <w:name w:val="endnote reference"/>
    <w:basedOn w:val="39"/>
    <w:semiHidden/>
    <w:unhideWhenUsed/>
    <w:qFormat/>
    <w:uiPriority w:val="99"/>
    <w:rPr>
      <w:vertAlign w:val="superscript"/>
    </w:rPr>
  </w:style>
  <w:style w:type="character" w:styleId="42">
    <w:name w:val="Hyperlink"/>
    <w:unhideWhenUsed/>
    <w:qFormat/>
    <w:uiPriority w:val="99"/>
    <w:rPr>
      <w:color w:val="0026E5" w:themeColor="hyperlink"/>
      <w:u w:val="single"/>
      <w14:textFill>
        <w14:solidFill>
          <w14:schemeClr w14:val="hlink"/>
        </w14:solidFill>
      </w14:textFill>
    </w:rPr>
  </w:style>
  <w:style w:type="character" w:styleId="43">
    <w:name w:val="footnote reference"/>
    <w:basedOn w:val="39"/>
    <w:unhideWhenUsed/>
    <w:qFormat/>
    <w:uiPriority w:val="99"/>
    <w:rPr>
      <w:vertAlign w:val="superscript"/>
    </w:rPr>
  </w:style>
  <w:style w:type="table" w:customStyle="1" w:styleId="44">
    <w:name w:val="Plain Table 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5">
    <w:name w:val="Plain Table 2"/>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6">
    <w:name w:val="Plain Table 3"/>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Plain Table 4"/>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5"/>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Grid Table 1 Light"/>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0">
    <w:name w:val="Grid Table 2"/>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Grid Table 3"/>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4"/>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5 Dark"/>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4">
    <w:name w:val="Grid Table 6 Colorful"/>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Grid Table 7 Colorful"/>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List Table 1 Light"/>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7">
    <w:name w:val="List Table 2"/>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8">
    <w:name w:val="List Table 3"/>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9">
    <w:name w:val="List Table 4"/>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5 Dark"/>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1">
    <w:name w:val="List Table 6 Colorful"/>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2">
    <w:name w:val="List Table 7 Colorful"/>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3">
    <w:name w:val="TOC Heading"/>
    <w:unhideWhenUsed/>
    <w:qFormat/>
    <w:uiPriority w:val="39"/>
    <w:rPr>
      <w:rFonts w:hint="default" w:ascii="Times New Roman" w:hAnsi="Times New Roman" w:eastAsia="宋体" w:cs="Times New Roman"/>
    </w:rPr>
  </w:style>
  <w:style w:type="character" w:customStyle="1" w:styleId="64">
    <w:name w:val="Heading 1 Char"/>
    <w:basedOn w:val="39"/>
    <w:qFormat/>
    <w:uiPriority w:val="9"/>
    <w:rPr>
      <w:rFonts w:ascii="Arial" w:hAnsi="Arial" w:eastAsia="Arial" w:cs="Arial"/>
      <w:sz w:val="40"/>
      <w:szCs w:val="40"/>
    </w:rPr>
  </w:style>
  <w:style w:type="character" w:customStyle="1" w:styleId="65">
    <w:name w:val="Heading 3 Char"/>
    <w:basedOn w:val="39"/>
    <w:qFormat/>
    <w:uiPriority w:val="9"/>
    <w:rPr>
      <w:rFonts w:ascii="Arial" w:hAnsi="Arial" w:eastAsia="Arial" w:cs="Arial"/>
      <w:sz w:val="30"/>
      <w:szCs w:val="30"/>
    </w:rPr>
  </w:style>
  <w:style w:type="character" w:customStyle="1" w:styleId="66">
    <w:name w:val="Heading 4 Char"/>
    <w:basedOn w:val="39"/>
    <w:qFormat/>
    <w:uiPriority w:val="9"/>
    <w:rPr>
      <w:rFonts w:ascii="Arial" w:hAnsi="Arial" w:eastAsia="Arial" w:cs="Arial"/>
      <w:b/>
      <w:bCs/>
      <w:sz w:val="26"/>
      <w:szCs w:val="26"/>
    </w:rPr>
  </w:style>
  <w:style w:type="character" w:customStyle="1" w:styleId="67">
    <w:name w:val="Heading 5 Char"/>
    <w:basedOn w:val="39"/>
    <w:qFormat/>
    <w:uiPriority w:val="9"/>
    <w:rPr>
      <w:rFonts w:ascii="Arial" w:hAnsi="Arial" w:eastAsia="Arial" w:cs="Arial"/>
      <w:b/>
      <w:bCs/>
      <w:sz w:val="24"/>
      <w:szCs w:val="24"/>
    </w:rPr>
  </w:style>
  <w:style w:type="character" w:customStyle="1" w:styleId="68">
    <w:name w:val="Heading 6 Char"/>
    <w:basedOn w:val="39"/>
    <w:qFormat/>
    <w:uiPriority w:val="9"/>
    <w:rPr>
      <w:rFonts w:ascii="Arial" w:hAnsi="Arial" w:eastAsia="Arial" w:cs="Arial"/>
      <w:b/>
      <w:bCs/>
      <w:sz w:val="22"/>
      <w:szCs w:val="22"/>
    </w:rPr>
  </w:style>
  <w:style w:type="character" w:customStyle="1" w:styleId="69">
    <w:name w:val="Heading 7 Char"/>
    <w:basedOn w:val="39"/>
    <w:qFormat/>
    <w:uiPriority w:val="9"/>
    <w:rPr>
      <w:rFonts w:ascii="Arial" w:hAnsi="Arial" w:eastAsia="Arial" w:cs="Arial"/>
      <w:b/>
      <w:bCs/>
      <w:i/>
      <w:iCs/>
      <w:sz w:val="22"/>
      <w:szCs w:val="22"/>
    </w:rPr>
  </w:style>
  <w:style w:type="character" w:customStyle="1" w:styleId="70">
    <w:name w:val="Heading 8 Char"/>
    <w:basedOn w:val="39"/>
    <w:qFormat/>
    <w:uiPriority w:val="9"/>
    <w:rPr>
      <w:rFonts w:ascii="Arial" w:hAnsi="Arial" w:eastAsia="Arial" w:cs="Arial"/>
      <w:i/>
      <w:iCs/>
      <w:sz w:val="22"/>
      <w:szCs w:val="22"/>
    </w:rPr>
  </w:style>
  <w:style w:type="character" w:customStyle="1" w:styleId="71">
    <w:name w:val="Heading 9 Char"/>
    <w:basedOn w:val="39"/>
    <w:qFormat/>
    <w:uiPriority w:val="9"/>
    <w:rPr>
      <w:rFonts w:ascii="Arial" w:hAnsi="Arial" w:eastAsia="Arial" w:cs="Arial"/>
      <w:i/>
      <w:iCs/>
      <w:sz w:val="21"/>
      <w:szCs w:val="21"/>
    </w:rPr>
  </w:style>
  <w:style w:type="character" w:customStyle="1" w:styleId="72">
    <w:name w:val="Title Char"/>
    <w:basedOn w:val="39"/>
    <w:qFormat/>
    <w:uiPriority w:val="10"/>
    <w:rPr>
      <w:sz w:val="48"/>
      <w:szCs w:val="48"/>
    </w:rPr>
  </w:style>
  <w:style w:type="character" w:customStyle="1" w:styleId="73">
    <w:name w:val="Subtitle Char"/>
    <w:basedOn w:val="39"/>
    <w:qFormat/>
    <w:uiPriority w:val="11"/>
    <w:rPr>
      <w:sz w:val="24"/>
      <w:szCs w:val="24"/>
    </w:rPr>
  </w:style>
  <w:style w:type="character" w:customStyle="1" w:styleId="74">
    <w:name w:val="Quote Char"/>
    <w:qFormat/>
    <w:uiPriority w:val="29"/>
    <w:rPr>
      <w:i/>
    </w:rPr>
  </w:style>
  <w:style w:type="character" w:customStyle="1" w:styleId="75">
    <w:name w:val="Intense Quote Char"/>
    <w:qFormat/>
    <w:uiPriority w:val="30"/>
    <w:rPr>
      <w:i/>
    </w:rPr>
  </w:style>
  <w:style w:type="table" w:customStyle="1" w:styleId="76">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6">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9">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0">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1">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3">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4">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5">
    <w:name w:val="Footnote Text Char"/>
    <w:qFormat/>
    <w:uiPriority w:val="99"/>
    <w:rPr>
      <w:sz w:val="18"/>
    </w:rPr>
  </w:style>
  <w:style w:type="character" w:customStyle="1" w:styleId="96">
    <w:name w:val="Endnote Text Char"/>
    <w:qFormat/>
    <w:uiPriority w:val="99"/>
    <w:rPr>
      <w:sz w:val="20"/>
    </w:rPr>
  </w:style>
  <w:style w:type="character" w:customStyle="1" w:styleId="97">
    <w:name w:val="标题 1 字符"/>
    <w:basedOn w:val="39"/>
    <w:link w:val="2"/>
    <w:qFormat/>
    <w:uiPriority w:val="9"/>
    <w:rPr>
      <w:rFonts w:ascii="Arial" w:hAnsi="Arial" w:eastAsia="Arial" w:cs="Arial"/>
      <w:sz w:val="40"/>
      <w:szCs w:val="40"/>
    </w:rPr>
  </w:style>
  <w:style w:type="character" w:customStyle="1" w:styleId="98">
    <w:name w:val="Heading 2 Char"/>
    <w:basedOn w:val="39"/>
    <w:qFormat/>
    <w:uiPriority w:val="9"/>
    <w:rPr>
      <w:rFonts w:ascii="Arial" w:hAnsi="Arial" w:eastAsia="Arial" w:cs="Arial"/>
      <w:sz w:val="34"/>
    </w:rPr>
  </w:style>
  <w:style w:type="character" w:customStyle="1" w:styleId="99">
    <w:name w:val="标题 3 字符"/>
    <w:basedOn w:val="39"/>
    <w:link w:val="4"/>
    <w:qFormat/>
    <w:uiPriority w:val="9"/>
    <w:rPr>
      <w:rFonts w:ascii="Arial" w:hAnsi="Arial" w:eastAsia="Arial" w:cs="Arial"/>
      <w:sz w:val="30"/>
      <w:szCs w:val="30"/>
    </w:rPr>
  </w:style>
  <w:style w:type="character" w:customStyle="1" w:styleId="100">
    <w:name w:val="标题 4 字符"/>
    <w:basedOn w:val="39"/>
    <w:link w:val="5"/>
    <w:qFormat/>
    <w:uiPriority w:val="9"/>
    <w:rPr>
      <w:rFonts w:ascii="Arial" w:hAnsi="Arial" w:eastAsia="Arial" w:cs="Arial"/>
      <w:b/>
      <w:bCs/>
      <w:sz w:val="26"/>
      <w:szCs w:val="26"/>
    </w:rPr>
  </w:style>
  <w:style w:type="character" w:customStyle="1" w:styleId="101">
    <w:name w:val="标题 5 字符"/>
    <w:basedOn w:val="39"/>
    <w:link w:val="6"/>
    <w:qFormat/>
    <w:uiPriority w:val="9"/>
    <w:rPr>
      <w:rFonts w:ascii="Arial" w:hAnsi="Arial" w:eastAsia="Arial" w:cs="Arial"/>
      <w:b/>
      <w:bCs/>
      <w:sz w:val="24"/>
      <w:szCs w:val="24"/>
    </w:rPr>
  </w:style>
  <w:style w:type="character" w:customStyle="1" w:styleId="102">
    <w:name w:val="标题 6 字符"/>
    <w:basedOn w:val="39"/>
    <w:link w:val="7"/>
    <w:qFormat/>
    <w:uiPriority w:val="9"/>
    <w:rPr>
      <w:rFonts w:ascii="Arial" w:hAnsi="Arial" w:eastAsia="Arial" w:cs="Arial"/>
      <w:b/>
      <w:bCs/>
      <w:sz w:val="22"/>
      <w:szCs w:val="22"/>
    </w:rPr>
  </w:style>
  <w:style w:type="character" w:customStyle="1" w:styleId="103">
    <w:name w:val="标题 7 字符"/>
    <w:basedOn w:val="39"/>
    <w:link w:val="8"/>
    <w:qFormat/>
    <w:uiPriority w:val="9"/>
    <w:rPr>
      <w:rFonts w:ascii="Arial" w:hAnsi="Arial" w:eastAsia="Arial" w:cs="Arial"/>
      <w:b/>
      <w:bCs/>
      <w:i/>
      <w:iCs/>
      <w:sz w:val="22"/>
      <w:szCs w:val="22"/>
    </w:rPr>
  </w:style>
  <w:style w:type="character" w:customStyle="1" w:styleId="104">
    <w:name w:val="标题 8 字符"/>
    <w:basedOn w:val="39"/>
    <w:link w:val="9"/>
    <w:qFormat/>
    <w:uiPriority w:val="9"/>
    <w:rPr>
      <w:rFonts w:ascii="Arial" w:hAnsi="Arial" w:eastAsia="Arial" w:cs="Arial"/>
      <w:i/>
      <w:iCs/>
      <w:sz w:val="22"/>
      <w:szCs w:val="22"/>
    </w:rPr>
  </w:style>
  <w:style w:type="character" w:customStyle="1" w:styleId="105">
    <w:name w:val="标题 9 字符"/>
    <w:basedOn w:val="39"/>
    <w:link w:val="10"/>
    <w:qFormat/>
    <w:uiPriority w:val="9"/>
    <w:rPr>
      <w:rFonts w:ascii="Arial" w:hAnsi="Arial" w:eastAsia="Arial" w:cs="Arial"/>
      <w:i/>
      <w:iCs/>
      <w:sz w:val="21"/>
      <w:szCs w:val="21"/>
    </w:rPr>
  </w:style>
  <w:style w:type="paragraph" w:styleId="106">
    <w:name w:val="List Paragraph"/>
    <w:basedOn w:val="1"/>
    <w:qFormat/>
    <w:uiPriority w:val="34"/>
    <w:pPr>
      <w:ind w:left="720"/>
      <w:contextualSpacing/>
    </w:pPr>
  </w:style>
  <w:style w:type="paragraph" w:styleId="107">
    <w:name w:val="No Spacing"/>
    <w:qFormat/>
    <w:uiPriority w:val="1"/>
    <w:rPr>
      <w:rFonts w:hint="default" w:ascii="Times New Roman" w:hAnsi="Times New Roman" w:eastAsia="宋体" w:cs="Times New Roman"/>
    </w:rPr>
  </w:style>
  <w:style w:type="character" w:customStyle="1" w:styleId="108">
    <w:name w:val="标题 字符"/>
    <w:basedOn w:val="39"/>
    <w:link w:val="34"/>
    <w:qFormat/>
    <w:uiPriority w:val="10"/>
    <w:rPr>
      <w:sz w:val="48"/>
      <w:szCs w:val="48"/>
    </w:rPr>
  </w:style>
  <w:style w:type="character" w:customStyle="1" w:styleId="109">
    <w:name w:val="副标题 字符"/>
    <w:basedOn w:val="39"/>
    <w:link w:val="27"/>
    <w:qFormat/>
    <w:uiPriority w:val="11"/>
    <w:rPr>
      <w:sz w:val="24"/>
      <w:szCs w:val="24"/>
    </w:rPr>
  </w:style>
  <w:style w:type="paragraph" w:styleId="110">
    <w:name w:val="Quote"/>
    <w:basedOn w:val="1"/>
    <w:link w:val="111"/>
    <w:qFormat/>
    <w:uiPriority w:val="29"/>
    <w:pPr>
      <w:ind w:left="720" w:right="720"/>
    </w:pPr>
    <w:rPr>
      <w:i/>
    </w:rPr>
  </w:style>
  <w:style w:type="character" w:customStyle="1" w:styleId="111">
    <w:name w:val="引用 字符"/>
    <w:link w:val="110"/>
    <w:qFormat/>
    <w:uiPriority w:val="29"/>
    <w:rPr>
      <w:i/>
    </w:rPr>
  </w:style>
  <w:style w:type="paragraph" w:styleId="112">
    <w:name w:val="Intense Quote"/>
    <w:basedOn w:val="1"/>
    <w:link w:val="1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3">
    <w:name w:val="明显引用 字符"/>
    <w:link w:val="112"/>
    <w:qFormat/>
    <w:uiPriority w:val="30"/>
    <w:rPr>
      <w:i/>
    </w:rPr>
  </w:style>
  <w:style w:type="character" w:customStyle="1" w:styleId="114">
    <w:name w:val="Header Char"/>
    <w:basedOn w:val="39"/>
    <w:qFormat/>
    <w:uiPriority w:val="99"/>
  </w:style>
  <w:style w:type="character" w:customStyle="1" w:styleId="115">
    <w:name w:val="Footer Char"/>
    <w:basedOn w:val="39"/>
    <w:qFormat/>
    <w:uiPriority w:val="99"/>
  </w:style>
  <w:style w:type="character" w:customStyle="1" w:styleId="116">
    <w:name w:val="Caption Char"/>
    <w:qFormat/>
    <w:uiPriority w:val="99"/>
  </w:style>
  <w:style w:type="table" w:customStyle="1" w:styleId="117">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8">
    <w:name w:val="Grid Table 1 Light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19">
    <w:name w:val="Grid Table 1 Light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20">
    <w:name w:val="Grid Table 1 Light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21">
    <w:name w:val="Grid Table 1 Light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22">
    <w:name w:val="Grid Table 1 Light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23">
    <w:name w:val="Grid Table 1 Light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24">
    <w:name w:val="Grid Table 2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25">
    <w:name w:val="Grid Table 2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6">
    <w:name w:val="Grid Table 2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7">
    <w:name w:val="Grid Table 2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8">
    <w:name w:val="Grid Table 2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9">
    <w:name w:val="Grid Table 2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0">
    <w:name w:val="Grid Table 3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31">
    <w:name w:val="Grid Table 3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32">
    <w:name w:val="Grid Table 3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3">
    <w:name w:val="Grid Table 3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34">
    <w:name w:val="Grid Table 3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35">
    <w:name w:val="Grid Table 3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6">
    <w:name w:val="Grid Table 4 - Accent 1"/>
    <w:basedOn w:val="37"/>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37">
    <w:name w:val="Grid Table 4 - Accent 2"/>
    <w:basedOn w:val="37"/>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38">
    <w:name w:val="Grid Table 4 - Accent 3"/>
    <w:basedOn w:val="37"/>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9">
    <w:name w:val="Grid Table 4 - Accent 4"/>
    <w:basedOn w:val="37"/>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40">
    <w:name w:val="Grid Table 4 - Accent 5"/>
    <w:basedOn w:val="37"/>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41">
    <w:name w:val="Grid Table 4 - Accent 6"/>
    <w:basedOn w:val="37"/>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42">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43">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44">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45">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46">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47">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48">
    <w:name w:val="Grid Table 6 Colorful - Accent 1"/>
    <w:basedOn w:val="37"/>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9">
    <w:name w:val="Grid Table 6 Colorful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0">
    <w:name w:val="Grid Table 6 Colorful - Accent 3"/>
    <w:basedOn w:val="37"/>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51">
    <w:name w:val="Grid Table 6 Colorful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2">
    <w:name w:val="Grid Table 6 Colorful - Accent 5"/>
    <w:basedOn w:val="37"/>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53">
    <w:name w:val="Grid Table 6 Colorful - Accent 6"/>
    <w:basedOn w:val="37"/>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54">
    <w:name w:val="Grid Table 7 Colorful - Accent 1"/>
    <w:basedOn w:val="37"/>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basedOn w:val="37"/>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basedOn w:val="37"/>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57">
    <w:name w:val="Grid Table 7 Colorful - Accent 4"/>
    <w:basedOn w:val="37"/>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basedOn w:val="37"/>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59">
    <w:name w:val="Grid Table 7 Colorful - Accent 6"/>
    <w:basedOn w:val="37"/>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60">
    <w:name w:val="List Table 1 Light - Accent 1"/>
    <w:basedOn w:val="37"/>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61">
    <w:name w:val="List Table 1 Light - Accent 2"/>
    <w:basedOn w:val="37"/>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62">
    <w:name w:val="List Table 1 Light - Accent 3"/>
    <w:basedOn w:val="37"/>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63">
    <w:name w:val="List Table 1 Light - Accent 4"/>
    <w:basedOn w:val="37"/>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64">
    <w:name w:val="List Table 1 Light - Accent 5"/>
    <w:basedOn w:val="37"/>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65">
    <w:name w:val="List Table 1 Light - Accent 6"/>
    <w:basedOn w:val="37"/>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66">
    <w:name w:val="List Table 2 - Accent 1"/>
    <w:basedOn w:val="37"/>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67">
    <w:name w:val="List Table 2 - Accent 2"/>
    <w:basedOn w:val="37"/>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68">
    <w:name w:val="List Table 2 - Accent 3"/>
    <w:basedOn w:val="37"/>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69">
    <w:name w:val="List Table 2 - Accent 4"/>
    <w:basedOn w:val="37"/>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70">
    <w:name w:val="List Table 2 - Accent 5"/>
    <w:basedOn w:val="37"/>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71">
    <w:name w:val="List Table 2 - Accent 6"/>
    <w:basedOn w:val="37"/>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72">
    <w:name w:val="List Table 3 - Accent 1"/>
    <w:basedOn w:val="37"/>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73">
    <w:name w:val="List Table 3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74">
    <w:name w:val="List Table 3 - Accent 3"/>
    <w:basedOn w:val="37"/>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75">
    <w:name w:val="List Table 3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76">
    <w:name w:val="List Table 3 - Accent 5"/>
    <w:basedOn w:val="37"/>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77">
    <w:name w:val="List Table 3 - Accent 6"/>
    <w:basedOn w:val="37"/>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78">
    <w:name w:val="List Table 4 - Accent 1"/>
    <w:basedOn w:val="37"/>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79">
    <w:name w:val="List Table 4 - Accent 2"/>
    <w:basedOn w:val="37"/>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80">
    <w:name w:val="List Table 4 - Accent 3"/>
    <w:basedOn w:val="37"/>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81">
    <w:name w:val="List Table 4 - Accent 4"/>
    <w:basedOn w:val="37"/>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82">
    <w:name w:val="List Table 4 - Accent 5"/>
    <w:basedOn w:val="37"/>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83">
    <w:name w:val="List Table 4 - Accent 6"/>
    <w:basedOn w:val="37"/>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84">
    <w:name w:val="List Table 5 Dark - Accent 1"/>
    <w:basedOn w:val="37"/>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85">
    <w:name w:val="List Table 5 Dark - Accent 2"/>
    <w:basedOn w:val="37"/>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86">
    <w:name w:val="List Table 5 Dark - Accent 3"/>
    <w:basedOn w:val="37"/>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87">
    <w:name w:val="List Table 5 Dark - Accent 4"/>
    <w:basedOn w:val="37"/>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88">
    <w:name w:val="List Table 5 Dark - Accent 5"/>
    <w:basedOn w:val="37"/>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89">
    <w:name w:val="List Table 5 Dark - Accent 6"/>
    <w:basedOn w:val="37"/>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90">
    <w:name w:val="List Table 6 Colorful - Accent 1"/>
    <w:basedOn w:val="37"/>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1">
    <w:name w:val="List Table 6 Colorful - Accent 2"/>
    <w:basedOn w:val="37"/>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basedOn w:val="37"/>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basedOn w:val="37"/>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basedOn w:val="37"/>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basedOn w:val="37"/>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96">
    <w:name w:val="List Table 7 Colorful - Accent 1"/>
    <w:basedOn w:val="37"/>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7">
    <w:name w:val="List Table 7 Colorful - Accent 2"/>
    <w:basedOn w:val="37"/>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8">
    <w:name w:val="List Table 7 Colorful - Accent 3"/>
    <w:basedOn w:val="37"/>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9">
    <w:name w:val="List Table 7 Colorful - Accent 4"/>
    <w:basedOn w:val="37"/>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00">
    <w:name w:val="List Table 7 Colorful - Accent 5"/>
    <w:basedOn w:val="37"/>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01">
    <w:name w:val="List Table 7 Colorful - Accent 6"/>
    <w:basedOn w:val="37"/>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02">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Lined - Accent 1"/>
    <w:basedOn w:val="37"/>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04">
    <w:name w:val="Lined - Accent 2"/>
    <w:basedOn w:val="37"/>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05">
    <w:name w:val="Lined - Accent 3"/>
    <w:basedOn w:val="37"/>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06">
    <w:name w:val="Lined - Accent 4"/>
    <w:basedOn w:val="37"/>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07">
    <w:name w:val="Lined - Accent 5"/>
    <w:basedOn w:val="37"/>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08">
    <w:name w:val="Lined - Accent 6"/>
    <w:basedOn w:val="37"/>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09">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Bordered &amp; Lined - Accent 1"/>
    <w:basedOn w:val="37"/>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11">
    <w:name w:val="Bordered &amp; Lined - Accent 2"/>
    <w:basedOn w:val="37"/>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12">
    <w:name w:val="Bordered &amp; Lined - Accent 3"/>
    <w:basedOn w:val="37"/>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13">
    <w:name w:val="Bordered &amp; Lined - Accent 4"/>
    <w:basedOn w:val="37"/>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14">
    <w:name w:val="Bordered &amp; Lined - Accent 5"/>
    <w:basedOn w:val="37"/>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5">
    <w:name w:val="Bordered &amp; Lined - Accent 6"/>
    <w:basedOn w:val="37"/>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16">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7">
    <w:name w:val="Bordered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18">
    <w:name w:val="Bordered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19">
    <w:name w:val="Bordered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20">
    <w:name w:val="Bordered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21">
    <w:name w:val="Bordered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22">
    <w:name w:val="Bordered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23">
    <w:name w:val="脚注文本 字符"/>
    <w:link w:val="28"/>
    <w:qFormat/>
    <w:uiPriority w:val="99"/>
    <w:rPr>
      <w:sz w:val="18"/>
    </w:rPr>
  </w:style>
  <w:style w:type="character" w:customStyle="1" w:styleId="224">
    <w:name w:val="尾注文本 字符"/>
    <w:link w:val="21"/>
    <w:qFormat/>
    <w:uiPriority w:val="99"/>
    <w:rPr>
      <w:sz w:val="20"/>
    </w:rPr>
  </w:style>
  <w:style w:type="paragraph" w:customStyle="1" w:styleId="225">
    <w:name w:val="TOC 标题1"/>
    <w:unhideWhenUsed/>
    <w:qFormat/>
    <w:uiPriority w:val="39"/>
    <w:rPr>
      <w:rFonts w:hint="default" w:ascii="Times New Roman" w:hAnsi="Times New Roman" w:eastAsia="宋体" w:cs="Times New Roman"/>
    </w:rPr>
  </w:style>
  <w:style w:type="paragraph" w:customStyle="1" w:styleId="226">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27">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28">
    <w:name w:val="页脚1"/>
    <w:basedOn w:val="1"/>
    <w:unhideWhenUsed/>
    <w:qFormat/>
    <w:uiPriority w:val="99"/>
    <w:pPr>
      <w:tabs>
        <w:tab w:val="center" w:pos="4153"/>
        <w:tab w:val="right" w:pos="8306"/>
      </w:tabs>
      <w:jc w:val="left"/>
    </w:pPr>
    <w:rPr>
      <w:sz w:val="18"/>
      <w:szCs w:val="18"/>
    </w:rPr>
  </w:style>
  <w:style w:type="character" w:customStyle="1" w:styleId="229">
    <w:name w:val="正文文本缩进 2 字符"/>
    <w:basedOn w:val="39"/>
    <w:link w:val="20"/>
    <w:semiHidden/>
    <w:qFormat/>
    <w:uiPriority w:val="99"/>
    <w:rPr>
      <w:rFonts w:asciiTheme="minorHAnsi" w:hAnsiTheme="minorHAnsi" w:eastAsiaTheme="minorEastAsia" w:cstheme="minorBidi"/>
      <w:sz w:val="21"/>
      <w:szCs w:val="24"/>
    </w:rPr>
  </w:style>
  <w:style w:type="character" w:customStyle="1" w:styleId="230">
    <w:name w:val="标题 2 字符"/>
    <w:basedOn w:val="39"/>
    <w:link w:val="3"/>
    <w:qFormat/>
    <w:uiPriority w:val="0"/>
    <w:rPr>
      <w:rFonts w:ascii="宋体" w:hAnsi="宋体"/>
      <w:b/>
      <w:bCs/>
      <w:sz w:val="36"/>
      <w:szCs w:val="36"/>
    </w:rPr>
  </w:style>
  <w:style w:type="paragraph" w:customStyle="1" w:styleId="231">
    <w:name w:val="正文首行缩进 21"/>
    <w:basedOn w:val="232"/>
    <w:qFormat/>
    <w:uiPriority w:val="0"/>
    <w:pPr>
      <w:spacing w:after="120"/>
      <w:ind w:left="420" w:firstLine="420"/>
    </w:pPr>
  </w:style>
  <w:style w:type="paragraph" w:customStyle="1" w:styleId="232">
    <w:name w:val="正文文本缩进1"/>
    <w:basedOn w:val="1"/>
    <w:qFormat/>
    <w:uiPriority w:val="0"/>
    <w:pPr>
      <w:spacing w:after="120"/>
      <w:ind w:left="420"/>
    </w:pPr>
  </w:style>
  <w:style w:type="paragraph" w:customStyle="1" w:styleId="233">
    <w:name w:val="TOC 标题2"/>
    <w:basedOn w:val="2"/>
    <w:unhideWhenUsed/>
    <w:qFormat/>
    <w:uiPriority w:val="39"/>
    <w:pPr>
      <w:widowControl/>
      <w:spacing w:before="240" w:after="0" w:line="259" w:lineRule="auto"/>
      <w:jc w:val="left"/>
      <w:outlineLvl w:val="9"/>
    </w:pPr>
    <w:rPr>
      <w:rFonts w:asciiTheme="majorHAnsi" w:hAnsiTheme="majorHAnsi" w:eastAsiaTheme="majorEastAsia" w:cstheme="majorBidi"/>
      <w:color w:val="2E54A1" w:themeColor="accent1" w:themeShade="BF"/>
      <w:sz w:val="32"/>
      <w:szCs w:val="32"/>
    </w:rPr>
  </w:style>
  <w:style w:type="paragraph" w:customStyle="1" w:styleId="234">
    <w:name w:val="Revision"/>
    <w:semiHidden/>
    <w:qFormat/>
    <w:uiPriority w:val="99"/>
    <w:rPr>
      <w:rFonts w:hint="default" w:asciiTheme="minorHAnsi" w:hAnsiTheme="minorHAnsi" w:eastAsiaTheme="minorEastAsia" w:cstheme="minorBidi"/>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1972</Words>
  <Characters>2190</Characters>
  <Lines>0</Lines>
  <Paragraphs>0</Paragraphs>
  <TotalTime>8</TotalTime>
  <ScaleCrop>false</ScaleCrop>
  <LinksUpToDate>false</LinksUpToDate>
  <CharactersWithSpaces>2288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2024-11-04T10:18:00Z</dcterms:created>
  <dc:creator>Administrator</dc:creator>
  <cp:lastModifiedBy>吉胜1418378764</cp:lastModifiedBy>
  <dcterms:modified xsi:type="dcterms:W3CDTF">2026-09-28T03:25:37Z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8329994DDC3C4B1BB2D0FC41F6979A56_13</vt:lpwstr>
  </property>
  <property fmtid="{D5CDD505-2E9C-101B-9397-08002B2CF9AE}" pid="4" name="KSOTemplateDocerSaveRecord">
    <vt:lpwstr>eyJoZGlkIjoiZDExZWQzYzZjNWM3OWE2OWM5ZDI4ZmVjYzA3NTA2NzQiLCJ1c2VySWQiOiIyNjY5ODk2MiJ9</vt:lpwstr>
  </property>
</Properties>
</file>