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2"/>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1092"/>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b/>
          <w:color w:val="auto"/>
          <w:sz w:val="84"/>
          <w:highlight w:val="none"/>
        </w:rPr>
      </w:pPr>
      <w:r>
        <w:rPr>
          <w:rFonts w:hint="eastAsia"/>
          <w:b/>
          <w:color w:val="auto"/>
          <w:sz w:val="84"/>
          <w:highlight w:val="none"/>
        </w:rPr>
        <w:t xml:space="preserve">招 标 文 件</w:t>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92"/>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723"/>
        <w:rPr>
          <w:rFonts w:ascii="宋体"/>
          <w:b/>
          <w:color w:val="auto"/>
          <w:sz w:val="36"/>
          <w:highlight w:val="none"/>
        </w:rPr>
      </w:pPr>
      <w:r>
        <w:rPr>
          <w:rFonts w:hint="eastAsia" w:ascii="宋体"/>
          <w:b/>
          <w:color w:val="auto"/>
          <w:sz w:val="36"/>
          <w:highlight w:val="none"/>
        </w:rPr>
        <w:t xml:space="preserve">项目编号：</w:t>
      </w:r>
      <w:r>
        <w:rPr>
          <w:rFonts w:hint="eastAsia" w:ascii="宋体" w:hAnsi="Calibri" w:eastAsia="宋体" w:cs="Times New Roman"/>
          <w:b/>
          <w:color w:val="auto"/>
          <w:sz w:val="36"/>
          <w:szCs w:val="24"/>
          <w:highlight w:val="none"/>
          <w:lang w:val="en-US" w:eastAsia="zh-CN" w:bidi="ar-SA"/>
        </w:rPr>
        <w:t xml:space="preserve">JSZC-320900-RHHH-G2026-0066</w:t>
      </w:r>
      <w:r>
        <w:rPr>
          <w:rFonts w:hint="eastAsia" w:ascii="宋体"/>
          <w:b/>
          <w:color w:val="auto"/>
          <w:sz w:val="36"/>
          <w:highlight w:val="none"/>
        </w:rPr>
        <w:t xml:space="preserve"> </w:t>
      </w:r>
      <w:r/>
    </w:p>
    <w:p>
      <w:pPr>
        <w:ind w:firstLine="2891"/>
        <w:rPr>
          <w:rFonts w:ascii="宋体"/>
          <w:b/>
          <w:color w:val="auto"/>
          <w:sz w:val="36"/>
          <w:highlight w:val="none"/>
        </w:rPr>
      </w:pPr>
      <w:r>
        <w:rPr>
          <w:rFonts w:ascii="宋体"/>
          <w:b/>
          <w:color w:val="auto"/>
          <w:sz w:val="36"/>
          <w:highlight w:val="none"/>
        </w:rPr>
      </w:r>
      <w:r/>
    </w:p>
    <w:p>
      <w:pPr>
        <w:ind w:firstLine="723"/>
        <w:rPr>
          <w:rFonts w:ascii="宋体"/>
          <w:b/>
          <w:color w:val="auto"/>
          <w:sz w:val="36"/>
          <w:highlight w:val="none"/>
        </w:rPr>
      </w:pPr>
      <w:r>
        <w:rPr>
          <w:rFonts w:hint="eastAsia" w:ascii="宋体"/>
          <w:b/>
          <w:color w:val="auto"/>
          <w:sz w:val="36"/>
          <w:highlight w:val="none"/>
        </w:rPr>
        <w:t xml:space="preserve">项目名称：盐城市盐都区2026年度一体化调查监测（国土变更调查）项目</w:t>
      </w:r>
      <w:r/>
    </w:p>
    <w:p>
      <w:pPr>
        <w:pStyle w:val="1092"/>
        <w:ind w:firstLine="0"/>
        <w:jc w:val="center"/>
        <w:rPr>
          <w:b/>
          <w:bCs/>
          <w:color w:val="auto"/>
          <w:sz w:val="32"/>
          <w:highlight w:val="none"/>
        </w:rPr>
      </w:pPr>
      <w:r>
        <w:rPr>
          <w:b/>
          <w:bCs/>
          <w:color w:val="auto"/>
          <w:sz w:val="32"/>
          <w:highlight w:val="none"/>
        </w:rPr>
      </w:r>
      <w:r/>
    </w:p>
    <w:p>
      <w:pPr>
        <w:pStyle w:val="1092"/>
        <w:ind w:firstLine="0"/>
        <w:jc w:val="center"/>
        <w:rPr>
          <w:b/>
          <w:bCs/>
          <w:color w:val="auto"/>
          <w:sz w:val="32"/>
          <w:highlight w:val="none"/>
        </w:rPr>
      </w:pPr>
      <w:r>
        <w:rPr>
          <w:b/>
          <w:bCs/>
          <w:color w:val="auto"/>
          <w:sz w:val="32"/>
          <w:highlight w:val="none"/>
        </w:rPr>
      </w:r>
      <w:r/>
    </w:p>
    <w:p>
      <w:pPr>
        <w:pStyle w:val="1092"/>
        <w:ind w:firstLine="0"/>
        <w:rPr>
          <w:b/>
          <w:bCs/>
          <w:color w:val="auto"/>
          <w:sz w:val="32"/>
          <w:highlight w:val="none"/>
        </w:rPr>
      </w:pPr>
      <w:r>
        <w:rPr>
          <w:b/>
          <w:bCs/>
          <w:color w:val="auto"/>
          <w:sz w:val="32"/>
          <w:highlight w:val="none"/>
        </w:rPr>
      </w:r>
      <w:r/>
    </w:p>
    <w:p>
      <w:pPr>
        <w:pStyle w:val="1092"/>
        <w:ind w:firstLine="0"/>
        <w:jc w:val="center"/>
        <w:rPr>
          <w:b/>
          <w:bCs/>
          <w:color w:val="auto"/>
          <w:sz w:val="32"/>
          <w:highlight w:val="none"/>
        </w:rPr>
      </w:pPr>
      <w:r>
        <w:rPr>
          <w:rFonts w:hint="eastAsia"/>
          <w:b/>
          <w:bCs/>
          <w:color w:val="auto"/>
          <w:sz w:val="32"/>
          <w:highlight w:val="none"/>
        </w:rPr>
        <w:t xml:space="preserve">盐城市自然资源和规划局盐都分局</w:t>
      </w:r>
      <w:r/>
    </w:p>
    <w:p>
      <w:pPr>
        <w:pStyle w:val="1092"/>
        <w:ind w:firstLine="0"/>
        <w:jc w:val="center"/>
        <w:rPr>
          <w:b/>
          <w:bCs/>
          <w:color w:val="auto"/>
          <w:sz w:val="32"/>
          <w:highlight w:val="none"/>
        </w:rPr>
      </w:pPr>
      <w:r>
        <w:rPr>
          <w:rFonts w:hint="eastAsia"/>
          <w:b/>
          <w:bCs/>
          <w:color w:val="auto"/>
          <w:sz w:val="32"/>
          <w:highlight w:val="none"/>
        </w:rPr>
        <w:t xml:space="preserve">2026年</w:t>
      </w:r>
      <w:r>
        <w:rPr>
          <w:rFonts w:hint="eastAsia"/>
          <w:b/>
          <w:bCs/>
          <w:color w:val="auto"/>
          <w:sz w:val="32"/>
          <w:highlight w:val="none"/>
          <w:lang w:val="en-US" w:eastAsia="zh-CN"/>
        </w:rPr>
        <w:t xml:space="preserve">10</w:t>
      </w:r>
      <w:r>
        <w:rPr>
          <w:rFonts w:hint="eastAsia"/>
          <w:b/>
          <w:bCs/>
          <w:color w:val="auto"/>
          <w:sz w:val="32"/>
          <w:highlight w:val="none"/>
        </w:rPr>
        <w:t xml:space="preserve">月  </w:t>
      </w:r>
      <w:r/>
    </w:p>
    <w:p>
      <w:pP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color w:val="auto"/>
          <w:sz w:val="44"/>
          <w:szCs w:val="21"/>
          <w:highlight w:val="none"/>
        </w:rPr>
      </w:r>
      <w:r/>
    </w:p>
    <w:p>
      <w:pPr>
        <w:pStyle w:val="879"/>
        <w:rPr>
          <w:color w:val="auto"/>
          <w:highlight w:val="none"/>
        </w:rPr>
      </w:pPr>
      <w:r>
        <w:rPr>
          <w:color w:val="auto"/>
          <w:highlight w:val="none"/>
        </w:rPr>
      </w:r>
      <w:r/>
    </w:p>
    <w:p>
      <w:pPr>
        <w:ind w:firstLine="3313"/>
        <w:rPr>
          <w:rFonts w:hint="eastAsia" w:ascii="宋体" w:hAnsi="宋体"/>
          <w:b/>
          <w:color w:val="auto"/>
          <w:sz w:val="44"/>
          <w:szCs w:val="44"/>
          <w:highlight w:val="none"/>
        </w:rPr>
      </w:pPr>
      <w:r>
        <w:rPr>
          <w:rFonts w:hint="eastAsia" w:ascii="黑体" w:hAnsi="Arial" w:eastAsia="黑体"/>
          <w:b/>
          <w:color w:val="auto"/>
          <w:sz w:val="44"/>
          <w:szCs w:val="21"/>
          <w:highlight w:val="none"/>
        </w:rPr>
        <w:t xml:space="preserve">总 目 录</w:t>
      </w:r>
      <w:r/>
    </w:p>
    <w:p>
      <w:pPr>
        <w:pStyle w:val="893"/>
        <w:spacing w:line="360" w:lineRule="auto"/>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第一章    招标公告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第二章    投标人须知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第三章    合同</w:t>
      </w:r>
      <w:r>
        <w:rPr>
          <w:rFonts w:hint="eastAsia" w:ascii="黑体" w:hAnsi="宋体" w:eastAsia="黑体" w:cs="黑体"/>
          <w:color w:val="auto"/>
          <w:sz w:val="36"/>
          <w:szCs w:val="36"/>
          <w:highlight w:val="none"/>
        </w:rPr>
        <w:t xml:space="preserve">文本</w:t>
      </w:r>
      <w:r>
        <w:rPr>
          <w:rFonts w:hint="eastAsia" w:ascii="黑体" w:hAnsi="宋体" w:eastAsia="黑体"/>
          <w:color w:val="auto"/>
          <w:sz w:val="36"/>
          <w:szCs w:val="21"/>
          <w:highlight w:val="none"/>
        </w:rPr>
        <w:t xml:space="preserve">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第四章    采购需求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第五章    评标方法与评标标准 </w:t>
      </w:r>
      <w:r/>
    </w:p>
    <w:p>
      <w:pPr>
        <w:ind w:firstLine="1440"/>
        <w:spacing w:line="72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第六章    投标文件格式</w:t>
      </w:r>
      <w:r/>
    </w:p>
    <w:p>
      <w:pPr>
        <w:rPr>
          <w:rFonts w:hint="eastAsia" w:ascii="宋体" w:hAnsi="宋体"/>
          <w:color w:val="auto"/>
          <w:highlight w:val="none"/>
        </w:rPr>
      </w:pPr>
      <w:r>
        <w:rPr>
          <w:rFonts w:hint="eastAsia" w:ascii="宋体" w:hAnsi="宋体"/>
          <w:color w:val="auto"/>
          <w:highlight w:val="none"/>
        </w:rPr>
      </w:r>
      <w:r/>
    </w:p>
    <w:p>
      <w:pPr>
        <w:pStyle w:val="862"/>
        <w:rPr>
          <w:rFonts w:hint="eastAsia" w:ascii="华文中宋" w:hAnsi="华文中宋" w:eastAsia="黑体"/>
          <w:color w:val="auto"/>
          <w:highlight w:val="none"/>
        </w:rPr>
      </w:pPr>
      <w:r>
        <w:rPr>
          <w:rFonts w:ascii="宋体" w:hAnsi="宋体"/>
          <w:color w:val="auto"/>
          <w:highlight w:val="none"/>
        </w:rPr>
        <w:br w:type="page" w:clear="all"/>
      </w:r>
      <w:r>
        <w:rPr>
          <w:rFonts w:hint="eastAsia" w:ascii="宋体" w:hAnsi="宋体"/>
          <w:color w:val="auto"/>
          <w:highlight w:val="none"/>
        </w:rPr>
        <w:t xml:space="preserve">                   </w:t>
      </w:r>
      <w:r>
        <w:rPr>
          <w:rFonts w:hint="eastAsia" w:ascii="黑体" w:eastAsia="黑体"/>
          <w:color w:val="auto"/>
          <w:sz w:val="44"/>
          <w:szCs w:val="44"/>
          <w:highlight w:val="none"/>
        </w:rPr>
        <w:t xml:space="preserve">第一章  招标公告</w:t>
      </w:r>
      <w:r/>
    </w:p>
    <w:p>
      <w:pPr>
        <w:ind w:firstLine="482"/>
        <w:spacing w:line="500" w:lineRule="exact"/>
        <w:rPr>
          <w:rFonts w:hint="eastAsia" w:ascii="宋体" w:hAnsi="宋体" w:cs="宋体"/>
          <w:b/>
          <w:bCs/>
          <w:color w:val="auto"/>
          <w:sz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35393621"/>
      <w:r/>
      <w:bookmarkStart w:id="2" w:name="_Toc35393790"/>
      <w:r/>
      <w:bookmarkStart w:id="3" w:name="_Toc28359079"/>
      <w:r/>
      <w:bookmarkStart w:id="4" w:name="_Hlk24379207"/>
      <w:r>
        <w:rPr>
          <w:rFonts w:hint="eastAsia" w:ascii="宋体" w:hAnsi="宋体" w:cs="宋体"/>
          <w:b/>
          <w:bCs/>
          <w:color w:val="auto"/>
          <w:sz w:val="24"/>
          <w:highlight w:val="none"/>
        </w:rPr>
        <w:t xml:space="preserve">项目概况</w:t>
      </w:r>
      <w:r/>
    </w:p>
    <w:p>
      <w:pPr>
        <w:ind w:firstLine="480"/>
        <w:spacing w:line="500" w:lineRule="exact"/>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rPr>
        <w:t xml:space="preserve">盐城市盐都区2026年度一体化调查监测（国土变更调查）项目</w:t>
      </w:r>
      <w:r>
        <w:rPr>
          <w:rFonts w:hint="eastAsia" w:ascii="宋体" w:hAnsi="宋体"/>
          <w:color w:val="auto"/>
          <w:sz w:val="24"/>
          <w:highlight w:val="none"/>
        </w:rPr>
        <w:t xml:space="preserve">招标项目的潜在投标人可在“苏采云”系统内免费下载（投标人必须在苏采云系统中获取采购文件，方能参与政府采购项目）获取招标文件，并于2026年</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月10</w:t>
      </w:r>
      <w:r>
        <w:rPr>
          <w:rFonts w:hint="eastAsia" w:ascii="宋体" w:hAnsi="宋体"/>
          <w:color w:val="auto"/>
          <w:sz w:val="24"/>
          <w:highlight w:val="none"/>
        </w:rPr>
        <w:t xml:space="preserve">日15:00 （北京时间）前递交投标文件</w:t>
      </w:r>
      <w:r>
        <w:rPr>
          <w:rFonts w:hint="eastAsia" w:ascii="宋体" w:hAnsi="宋体" w:cs="宋体"/>
          <w:color w:val="auto"/>
          <w:sz w:val="24"/>
          <w:highlight w:val="none"/>
        </w:rPr>
        <w:t xml:space="preserve">。</w:t>
      </w:r>
      <w:r/>
    </w:p>
    <w:p>
      <w:pPr>
        <w:pStyle w:val="862"/>
        <w:ind w:firstLine="482"/>
        <w:jc w:val="left"/>
        <w:spacing w:line="46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0"/>
      <w:r/>
      <w:bookmarkEnd w:id="1"/>
      <w:r/>
      <w:bookmarkEnd w:id="2"/>
      <w:r/>
      <w:bookmarkEnd w:id="3"/>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eastAsia="宋体" w:cs="宋体"/>
          <w:color w:val="auto"/>
          <w:sz w:val="24"/>
          <w:szCs w:val="24"/>
          <w:highlight w:val="none"/>
          <w:lang w:val="en-US" w:eastAsia="zh-CN" w:bidi="ar-SA"/>
        </w:rPr>
        <w:t xml:space="preserve">JSZC-320900-RHHH-G2026-0066</w:t>
      </w:r>
      <w:r>
        <w:rPr>
          <w:rFonts w:hint="eastAsia" w:ascii="宋体" w:hAnsi="宋体" w:cs="宋体"/>
          <w:color w:val="auto"/>
          <w:sz w:val="24"/>
          <w:highlight w:val="non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2.项目名称：盐城市盐都区2026年度一体化调查监测（国土变更调查）项目</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3.采购方式：公开招标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4.预算金额：</w:t>
      </w:r>
      <w:bookmarkEnd w:id="4"/>
      <w:r>
        <w:rPr>
          <w:rFonts w:hint="eastAsia" w:ascii="宋体" w:hAnsi="宋体" w:cs="宋体"/>
          <w:color w:val="auto"/>
          <w:sz w:val="24"/>
          <w:highlight w:val="none"/>
        </w:rPr>
        <w:t xml:space="preserve">220万元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5.最高限价：220万元（其中测绘部分最高限价15万元）</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投标报价高于最高限价及分项限价的，采购人将不予接受，视为无效标书</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6.采购需求：盐城市盐都区2026年度一体化调查监测（国土变更调查）项目，具体内容及要求详见招标文件采购需求。 </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7.合同履行期限：具体按照江苏省自然资源厅、盐城市自然资源和规划局要求的时间节点提交相应成果。</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接受</w:t>
      </w:r>
      <w:r>
        <w:rPr>
          <w:rFonts w:hint="eastAsia" w:ascii="宋体" w:hAnsi="宋体" w:cs="宋体"/>
          <w:color w:val="auto"/>
          <w:sz w:val="24"/>
          <w:highlight w:val="none"/>
        </w:rPr>
        <w:t xml:space="preserve">联合体投标。</w:t>
      </w:r>
      <w:r/>
    </w:p>
    <w:p>
      <w:pPr>
        <w:pStyle w:val="862"/>
        <w:ind w:firstLine="482"/>
        <w:jc w:val="left"/>
        <w:spacing w:line="460" w:lineRule="exact"/>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5" w:name="_Toc35393791"/>
      <w:r/>
      <w:bookmarkStart w:id="6" w:name="_Toc28359003"/>
      <w:r/>
      <w:bookmarkStart w:id="7" w:name="_Toc28359080"/>
      <w:r/>
      <w:bookmarkStart w:id="8" w:name="_Toc35393622"/>
      <w:r>
        <w:rPr>
          <w:rFonts w:hint="eastAsia" w:ascii="宋体" w:hAnsi="宋体" w:eastAsia="宋体" w:cs="宋体"/>
          <w:b/>
          <w:bCs/>
          <w:color w:val="auto"/>
          <w:sz w:val="24"/>
          <w:szCs w:val="24"/>
          <w:highlight w:val="none"/>
        </w:rPr>
        <w:t xml:space="preserve">二、供应商的资格要求：</w:t>
      </w:r>
      <w:bookmarkEnd w:id="5"/>
      <w:r/>
      <w:bookmarkEnd w:id="6"/>
      <w:r/>
      <w:bookmarkEnd w:id="7"/>
      <w:r/>
      <w:bookmarkEnd w:id="8"/>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1.满足《中华人民共和国政府采购法》第二十二条规定，并提供下列材料：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法人或者其他组织的营业执照等证明文件，自然人的身份证明；</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1.2上一年度的财务状况报表（成立不满一年无需提供）；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1.3具备履行合同所必需的设备和专业技术能力的书面声明；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1.5参加政府采购活动前3年内在经营活动中没有重大违法记录的书面声明。</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1.8单位负责人为同一人或者存在直接控股、管理关系的不同供应商，不得参加同一合同项下的政府采购活动。</w:t>
      </w:r>
      <w:r/>
    </w:p>
    <w:p>
      <w:pPr>
        <w:ind w:firstLine="480"/>
        <w:spacing w:line="460" w:lineRule="exact"/>
        <w:rPr>
          <w:rFonts w:hint="eastAsia" w:ascii="宋体" w:hAnsi="宋体" w:cs="宋体"/>
          <w:color w:val="auto"/>
          <w:sz w:val="24"/>
          <w:highlight w:val="none"/>
        </w:rPr>
      </w:pPr>
      <w:r/>
      <w:bookmarkStart w:id="9" w:name="_Toc28359081"/>
      <w:r/>
      <w:bookmarkStart w:id="10" w:name="_Toc28359004"/>
      <w:r>
        <w:rPr>
          <w:rFonts w:hint="eastAsia" w:ascii="宋体" w:hAnsi="宋体" w:cs="宋体"/>
          <w:color w:val="auto"/>
          <w:sz w:val="24"/>
          <w:highlight w:val="none"/>
        </w:rPr>
        <w:t xml:space="preserve">2.落实政府采购政策需满足的资格要求：本项目为专门面向中小企业采购的项目,供应商必须为中小微企业，不接受非中小型企业参与本项目投标。（具体中小企业划分标准详见《关于印发中小企业划型标准规定的通知》工信部联企业〔2011〕300号）。</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3.本项目的特定资格要求：</w:t>
      </w:r>
      <w:r>
        <w:rPr>
          <w:rFonts w:hint="eastAsia" w:ascii="宋体" w:hAnsi="宋体" w:cs="宋体"/>
          <w:bCs/>
          <w:color w:val="auto"/>
          <w:sz w:val="24"/>
          <w:highlight w:val="none"/>
        </w:rPr>
        <w:t xml:space="preserve">供应商须同时具有测绘乙级及以上资质和国土空间规划乙级及以上资质。</w:t>
      </w:r>
      <w:r/>
    </w:p>
    <w:p>
      <w:pPr>
        <w:ind w:firstLine="480"/>
        <w:spacing w:line="460" w:lineRule="exact"/>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.联合体方式投标的，还应遵守以下规定：</w:t>
      </w:r>
      <w:r/>
    </w:p>
    <w:p>
      <w:pPr>
        <w:ind w:firstLine="480"/>
        <w:spacing w:line="460" w:lineRule="exact"/>
      </w:pPr>
      <w:r>
        <w:rPr>
          <w:rFonts w:hint="eastAsia" w:ascii="宋体" w:hAnsi="宋体" w:cs="宋体"/>
          <w:color w:val="auto"/>
          <w:sz w:val="24"/>
          <w:highlight w:val="none"/>
        </w:rPr>
        <w:t xml:space="preserve">4.1</w:t>
      </w:r>
      <w:r>
        <w:rPr>
          <w:rFonts w:hint="eastAsia" w:ascii="宋体" w:hAnsi="宋体" w:cs="宋体"/>
          <w:color w:val="auto"/>
          <w:sz w:val="24"/>
          <w:highlight w:val="none"/>
        </w:rPr>
        <w:t xml:space="preserve">联合体各方应按招标文件提供的格式签订联合体协议书，明确联合体牵头人和各方权利义务；</w:t>
      </w:r>
      <w:r/>
    </w:p>
    <w:p>
      <w:pPr>
        <w:ind w:firstLine="480"/>
        <w:spacing w:line="460" w:lineRule="exact"/>
      </w:pPr>
      <w:r>
        <w:rPr>
          <w:rFonts w:hint="eastAsia" w:ascii="宋体" w:hAnsi="宋体" w:cs="宋体"/>
          <w:color w:val="auto"/>
          <w:sz w:val="24"/>
          <w:highlight w:val="none"/>
        </w:rPr>
        <w:t xml:space="preserve">4.2联合体各成员单位应当具备与联合体协议中约定的分工相适应的资质和能力； </w:t>
      </w:r>
      <w:r/>
    </w:p>
    <w:p>
      <w:pPr>
        <w:ind w:firstLine="480"/>
        <w:spacing w:line="460" w:lineRule="exact"/>
      </w:pPr>
      <w:r>
        <w:rPr>
          <w:rFonts w:hint="eastAsia" w:ascii="宋体" w:hAnsi="宋体" w:cs="宋体"/>
          <w:color w:val="auto"/>
          <w:sz w:val="24"/>
          <w:highlight w:val="none"/>
        </w:rPr>
        <w:t xml:space="preserve">4.3联合体各方不得再以自己名义单独或参加其他联合体在同一采购包中投标；</w:t>
      </w:r>
      <w:r/>
    </w:p>
    <w:p>
      <w:pPr>
        <w:ind w:firstLine="480"/>
        <w:spacing w:line="460" w:lineRule="exact"/>
        <w:rPr>
          <w:rFonts w:hint="eastAsia" w:ascii="宋体" w:hAnsi="宋体" w:cs="宋体"/>
          <w:color w:val="auto"/>
          <w:highlight w:val="none"/>
        </w:rPr>
      </w:pPr>
      <w:r>
        <w:rPr>
          <w:rFonts w:hint="eastAsia" w:ascii="宋体" w:hAnsi="宋体" w:cs="宋体"/>
          <w:color w:val="auto"/>
          <w:sz w:val="24"/>
          <w:highlight w:val="none"/>
        </w:rPr>
        <w:t xml:space="preserve">4.4联合体各方必须指定牵头人，授权其代表所有联合体成员负责投标和合同实施阶段的主办、协调工作。</w:t>
      </w:r>
      <w:r>
        <w:rPr>
          <w:rFonts w:hint="eastAsia" w:ascii="宋体" w:hAnsi="宋体" w:cs="宋体"/>
          <w:color w:val="auto"/>
          <w:szCs w:val="24"/>
          <w:highlight w:val="none"/>
        </w:rPr>
      </w:r>
      <w:r/>
    </w:p>
    <w:p>
      <w:pPr>
        <w:ind w:firstLine="482"/>
        <w:jc w:val="left"/>
        <w:spacing w:line="460" w:lineRule="exact"/>
        <w:shd w:val="clear" w:color="auto" w:fill="ffffff"/>
        <w:widowControl/>
        <w:rPr>
          <w:rFonts w:hint="eastAsia" w:ascii="宋体" w:hAnsi="宋体" w:cs="宋体"/>
          <w:b/>
          <w:bCs/>
          <w:color w:val="auto"/>
          <w:sz w:val="24"/>
          <w:highlight w:val="none"/>
        </w:rPr>
      </w:pPr>
      <w:r/>
      <w:bookmarkStart w:id="11" w:name="_Toc35393792"/>
      <w:r/>
      <w:bookmarkStart w:id="12" w:name="_Toc35393623"/>
      <w:r>
        <w:rPr>
          <w:rFonts w:hint="eastAsia" w:ascii="宋体" w:hAnsi="宋体" w:cs="宋体"/>
          <w:b/>
          <w:bCs/>
          <w:color w:val="auto"/>
          <w:sz w:val="24"/>
          <w:highlight w:val="none"/>
        </w:rPr>
        <w:t xml:space="preserve">三、获取招标文件</w:t>
      </w:r>
      <w:bookmarkEnd w:id="9"/>
      <w:r/>
      <w:bookmarkEnd w:id="10"/>
      <w:r/>
      <w:bookmarkEnd w:id="11"/>
      <w:r/>
      <w:bookmarkEnd w:id="12"/>
      <w:r/>
      <w:bookmarkStart w:id="13" w:name="_Toc42249797"/>
      <w:r/>
      <w:bookmarkEnd w:id="13"/>
      <w:r/>
      <w:bookmarkStart w:id="14" w:name="QLCZYSX_1"/>
      <w:r/>
      <w:bookmarkEnd w:id="14"/>
      <w:r/>
      <w:bookmarkStart w:id="15" w:name="_Toc42249844"/>
      <w:r/>
      <w:bookmarkEnd w:id="15"/>
      <w:r/>
      <w:r/>
    </w:p>
    <w:p>
      <w:pPr>
        <w:ind w:firstLine="480"/>
        <w:spacing w:line="460" w:lineRule="exact"/>
        <w:rPr>
          <w:rFonts w:hint="eastAsia" w:ascii="宋体" w:hAnsi="宋体" w:cs="宋体"/>
          <w:color w:val="auto"/>
          <w:sz w:val="24"/>
          <w:highlight w:val="none"/>
        </w:rPr>
      </w:pPr>
      <w:r/>
      <w:bookmarkStart w:id="16" w:name="_Toc28359005"/>
      <w:r/>
      <w:bookmarkStart w:id="17" w:name="_Toc35393793"/>
      <w:r/>
      <w:bookmarkStart w:id="18" w:name="_Toc28359082"/>
      <w:r/>
      <w:bookmarkStart w:id="19" w:name="_Toc35393624"/>
      <w:r>
        <w:rPr>
          <w:rFonts w:hint="eastAsia" w:ascii="宋体" w:hAnsi="宋体" w:cs="宋体"/>
          <w:color w:val="auto"/>
          <w:sz w:val="24"/>
          <w:highlight w:val="none"/>
        </w:rPr>
        <w:t xml:space="preserve">1.时间：自招标文件公告发布之日起5个工作日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2.地点：“苏采云”系统内免费下载（投标人必须在苏采云系统中获取采购文件，方能参与政府采购项目）</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3.方式：本项目采用网上注册登记方式。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4.售价：0.00元</w:t>
      </w:r>
      <w:bookmarkEnd w:id="16"/>
      <w:r/>
      <w:bookmarkEnd w:id="17"/>
      <w:r/>
      <w:bookmarkEnd w:id="18"/>
      <w:r/>
      <w:bookmarkEnd w:id="19"/>
      <w:r/>
      <w:r/>
    </w:p>
    <w:p>
      <w:pPr>
        <w:ind w:firstLine="482"/>
        <w:spacing w:line="460" w:lineRule="exact"/>
        <w:rPr>
          <w:rFonts w:hint="eastAsia" w:ascii="宋体" w:hAnsi="宋体" w:cs="宋体"/>
          <w:b/>
          <w:bCs/>
          <w:color w:val="auto"/>
          <w:sz w:val="24"/>
          <w:highlight w:val="none"/>
        </w:rPr>
      </w:pPr>
      <w:r/>
      <w:bookmarkStart w:id="20" w:name="_Toc28359007"/>
      <w:r/>
      <w:bookmarkStart w:id="21" w:name="_Toc35393625"/>
      <w:r/>
      <w:bookmarkStart w:id="22" w:name="_Toc28359084"/>
      <w:r/>
      <w:bookmarkStart w:id="23" w:name="_Toc35393794"/>
      <w:r>
        <w:rPr>
          <w:rFonts w:hint="eastAsia" w:ascii="宋体" w:hAnsi="宋体" w:cs="宋体"/>
          <w:b/>
          <w:bCs/>
          <w:color w:val="auto"/>
          <w:sz w:val="24"/>
          <w:highlight w:val="none"/>
        </w:rPr>
        <w:t xml:space="preserve">四、提交投标文件截止时间、开标时间和地点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1.时间：2026-</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  15:00（北京时间）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2.地点：苏采云“不见面”开标大厅</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4" w:name="_Toc35393795"/>
      <w:r/>
      <w:bookmarkEnd w:id="24"/>
      <w:r/>
      <w:bookmarkStart w:id="25" w:name="_Toc35393626"/>
      <w:r/>
      <w:bookmarkEnd w:id="25"/>
      <w:r/>
      <w:r/>
    </w:p>
    <w:p>
      <w:pPr>
        <w:numPr>
          <w:ilvl w:val="0"/>
          <w:numId w:val="1"/>
        </w:numPr>
        <w:ind w:firstLine="482"/>
        <w:spacing w:line="440" w:lineRule="exact"/>
        <w:rPr>
          <w:rFonts w:hint="eastAsia" w:ascii="宋体" w:hAnsi="宋体" w:cs="宋体"/>
          <w:b/>
          <w:bCs/>
          <w:color w:val="auto"/>
          <w:sz w:val="24"/>
          <w:highlight w:val="none"/>
        </w:rPr>
      </w:pPr>
      <w:r/>
      <w:bookmarkStart w:id="26" w:name="_Toc28359085"/>
      <w:r/>
      <w:bookmarkStart w:id="27" w:name="_Toc28359008"/>
      <w:r/>
      <w:bookmarkStart w:id="28" w:name="_Toc35393796"/>
      <w:r/>
      <w:bookmarkStart w:id="29" w:name="_Toc35393627"/>
      <w:r>
        <w:rPr>
          <w:rFonts w:hint="eastAsia" w:ascii="宋体" w:hAnsi="宋体" w:cs="宋体"/>
          <w:b/>
          <w:bCs/>
          <w:color w:val="auto"/>
          <w:sz w:val="24"/>
          <w:highlight w:val="none"/>
        </w:rPr>
        <w:t xml:space="preserve">其他补充事宜</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潜在供应商访问电子招标响应交易平台的网络地址和方法：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2.2 潜在投标人访问“苏采云”系统方法：江苏省政府采购网首页-“苏采云”链接。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2.3 采购文件（后缀名为“.kedt”）、供应商操作手册及政府采购客户端 工具可通过“苏采云”系统相应链接进行下载。 </w:t>
      </w:r>
      <w:r/>
    </w:p>
    <w:p>
      <w:pPr>
        <w:pStyle w:val="905"/>
        <w:ind w:firstLine="498"/>
        <w:spacing w:before="0" w:beforeAutospacing="0" w:after="0" w:afterAutospacing="0" w:line="460" w:lineRule="exact"/>
        <w:rPr>
          <w:rFonts w:hint="eastAsia"/>
          <w:color w:val="auto"/>
          <w:highlight w:val="none"/>
        </w:rPr>
      </w:pPr>
      <w:r>
        <w:rPr>
          <w:rFonts w:hint="eastAsia"/>
          <w:color w:val="auto"/>
          <w:highlight w:val="none"/>
        </w:rPr>
        <w:t xml:space="preserve">2.4 采购代理机构将数据电文形式的采购文件加载至“苏采云”系统，供潜在供应商下载或者查阅。 </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2.5 请潜在投标单位提前安装相应的控件（详见《“苏采云”系统供应商操作手册》）并使用谷歌浏览器登录“苏采云”系统参与不见面开评标。 </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如潜在投标人未按上述要求操作，将自行承担所产生的风险。</w:t>
      </w:r>
      <w:r/>
    </w:p>
    <w:p>
      <w:pPr>
        <w:pStyle w:val="905"/>
        <w:ind w:firstLine="498"/>
        <w:jc w:val="both"/>
        <w:keepLines/>
        <w:keepNext/>
        <w:spacing w:before="0" w:beforeAutospacing="0" w:after="0" w:afterAutospacing="0" w:line="460" w:lineRule="exact"/>
        <w:rPr>
          <w:rFonts w:hint="eastAsia"/>
          <w:color w:val="auto"/>
          <w:highlight w:val="none"/>
        </w:rPr>
      </w:pPr>
      <w:r>
        <w:rPr>
          <w:rFonts w:hint="eastAsia"/>
          <w:color w:val="auto"/>
          <w:highlight w:val="none"/>
        </w:rPr>
        <w:t xml:space="preserve">3.有关本次招标的事项若存在变动或修改，敬请及时关注采购代理机构在“中国政府采购网”“江苏政府采购网”“盐城市政府采购网”发布的更正公告。</w:t>
      </w:r>
      <w:r/>
    </w:p>
    <w:p>
      <w:pPr>
        <w:pStyle w:val="905"/>
        <w:ind w:firstLine="480"/>
        <w:jc w:val="both"/>
        <w:spacing w:before="0" w:beforeAutospacing="0" w:after="0" w:afterAutospacing="0" w:line="460" w:lineRule="exact"/>
        <w:shd w:val="clear" w:color="auto" w:fill="ffffff"/>
        <w:rPr>
          <w:rFonts w:hint="eastAsia" w:cs="宋体"/>
          <w:color w:val="auto"/>
          <w:highlight w:val="none"/>
        </w:rPr>
      </w:pPr>
      <w:r>
        <w:rPr>
          <w:rFonts w:hint="eastAsia" w:cs="宋体"/>
          <w:color w:val="auto"/>
          <w:highlight w:val="none"/>
        </w:rPr>
        <w:t xml:space="preserve">4.本次招标不收取投标保证金，不收取质量保证金。</w:t>
      </w:r>
      <w:r/>
    </w:p>
    <w:p>
      <w:pPr>
        <w:numPr>
          <w:ilvl w:val="0"/>
          <w:numId w:val="2"/>
        </w:numPr>
        <w:ind w:firstLine="480"/>
        <w:jc w:val="left"/>
        <w:spacing w:line="440" w:lineRule="exact"/>
        <w:shd w:val="clear" w:color="auto" w:fill="ffffff"/>
        <w:widowControl/>
        <w:tabs>
          <w:tab w:val="left" w:pos="378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bookmarkEnd w:id="26"/>
      <w:r/>
      <w:bookmarkEnd w:id="27"/>
      <w:r/>
      <w:bookmarkEnd w:id="28"/>
      <w:r/>
      <w:bookmarkEnd w:id="29"/>
      <w:r/>
      <w:bookmarkStart w:id="30" w:name="_Toc35393806"/>
      <w:r/>
      <w:bookmarkStart w:id="31" w:name="_Toc28359019"/>
      <w:r/>
      <w:bookmarkStart w:id="32" w:name="_Toc28359096"/>
      <w:r/>
      <w:bookmarkStart w:id="33" w:name="_Toc35393637"/>
      <w:r/>
      <w:bookmarkEnd w:id="30"/>
      <w:r/>
      <w:bookmarkEnd w:id="31"/>
      <w:r/>
      <w:bookmarkEnd w:id="32"/>
      <w:r/>
      <w:bookmarkEnd w:id="33"/>
      <w:r/>
      <w:r/>
    </w:p>
    <w:p>
      <w:pPr>
        <w:ind w:left="1080" w:hanging="301"/>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1.采购人信息</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称：盐城市自然资源和规划局盐都分局</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址：盐城市盐都区新都路614号</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 系 人：仇先生  </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联系电话：15305107098</w:t>
      </w:r>
      <w:r/>
    </w:p>
    <w:p>
      <w:pPr>
        <w:ind w:left="1080" w:hanging="301"/>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2.招标代理机构信息</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称：江苏仁禾中衡工程咨询房地产估价有限公司</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址：盐城市世纪大道1188号服务大厦2007室</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 系 人：徐女士、严女士      </w:t>
      </w:r>
      <w:r/>
    </w:p>
    <w:p>
      <w:pPr>
        <w:ind w:left="98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联系电话：0515-69085191、18932292913</w:t>
      </w:r>
      <w:r/>
    </w:p>
    <w:p>
      <w:pPr>
        <w:ind w:left="-13" w:firstLine="723"/>
        <w:jc w:val="left"/>
        <w:spacing w:line="440" w:lineRule="exact"/>
        <w:shd w:val="clear" w:color="auto" w:fill="ffffff"/>
        <w:widowControl/>
        <w:rPr>
          <w:rFonts w:hint="eastAsia" w:ascii="宋体" w:hAnsi="宋体" w:cs="宋体"/>
          <w:b/>
          <w:color w:val="auto"/>
          <w:sz w:val="24"/>
          <w:highlight w:val="none"/>
        </w:rPr>
      </w:pPr>
      <w:r/>
      <w:bookmarkStart w:id="34" w:name="_Hlt26670330"/>
      <w:r/>
      <w:bookmarkEnd w:id="34"/>
      <w:r/>
      <w:bookmarkStart w:id="35" w:name="_Hlt26954824"/>
      <w:r/>
      <w:bookmarkEnd w:id="35"/>
      <w:r/>
      <w:bookmarkStart w:id="36" w:name="_Hlt26954810"/>
      <w:r/>
      <w:bookmarkEnd w:id="36"/>
      <w:r/>
      <w:bookmarkStart w:id="37" w:name="_Hlt26668836"/>
      <w:r/>
      <w:bookmarkEnd w:id="37"/>
      <w:r/>
      <w:bookmarkStart w:id="38" w:name="_Hlt26954907"/>
      <w:r/>
      <w:bookmarkEnd w:id="38"/>
      <w:r/>
      <w:bookmarkStart w:id="39" w:name="_Toc120614211"/>
      <w:r>
        <w:rPr>
          <w:rFonts w:hint="eastAsia" w:ascii="宋体" w:hAnsi="宋体" w:cs="宋体"/>
          <w:b/>
          <w:color w:val="auto"/>
          <w:sz w:val="24"/>
          <w:highlight w:val="none"/>
        </w:rPr>
        <w:t xml:space="preserve">3.项目联系方式</w:t>
      </w:r>
      <w:r/>
    </w:p>
    <w:p>
      <w:pPr>
        <w:ind w:left="1078" w:hanging="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项目联系人：仇先生</w:t>
      </w:r>
      <w:r/>
    </w:p>
    <w:p>
      <w:pPr>
        <w:ind w:left="1078" w:hanging="60"/>
        <w:jc w:val="left"/>
        <w:spacing w:line="440" w:lineRule="exact"/>
        <w:rPr>
          <w:rFonts w:ascii="黑体" w:hAnsi="Times New Roman" w:eastAsia="黑体"/>
          <w:color w:val="auto"/>
          <w:sz w:val="44"/>
          <w:szCs w:val="44"/>
          <w:highlight w:val="none"/>
        </w:rPr>
      </w:pPr>
      <w:r>
        <w:rPr>
          <w:rFonts w:hint="eastAsia" w:ascii="宋体" w:hAnsi="宋体" w:cs="宋体"/>
          <w:color w:val="auto"/>
          <w:sz w:val="24"/>
          <w:highlight w:val="none"/>
        </w:rPr>
        <w:t xml:space="preserve">电话：15305107098 </w:t>
      </w:r>
      <w:r/>
    </w:p>
    <w:p>
      <w:pPr>
        <w:pStyle w:val="884"/>
        <w:spacing w:line="360" w:lineRule="auto"/>
        <w:rPr>
          <w:rFonts w:ascii="黑体" w:hAnsi="Times New Roman" w:eastAsia="黑体"/>
          <w:color w:val="auto"/>
          <w:sz w:val="44"/>
          <w:szCs w:val="44"/>
          <w:highlight w:val="none"/>
        </w:rPr>
      </w:pPr>
      <w:r>
        <w:rPr>
          <w:rFonts w:ascii="黑体" w:hAnsi="Times New Roman" w:eastAsia="黑体"/>
          <w:color w:val="auto"/>
          <w:sz w:val="44"/>
          <w:szCs w:val="44"/>
          <w:highlight w:val="none"/>
        </w:rPr>
      </w:r>
      <w:r/>
    </w:p>
    <w:p>
      <w:pPr>
        <w:pStyle w:val="884"/>
        <w:jc w:val="center"/>
        <w:spacing w:line="360" w:lineRule="auto"/>
        <w:rPr>
          <w:rFonts w:ascii="Times New Roman" w:hAnsi="Times New Roman"/>
          <w:b/>
          <w:color w:val="auto"/>
          <w:sz w:val="32"/>
          <w:highlight w:val="none"/>
        </w:rPr>
      </w:pPr>
      <w:r>
        <w:rPr>
          <w:rFonts w:hint="eastAsia" w:ascii="黑体" w:hAnsi="Times New Roman" w:eastAsia="黑体"/>
          <w:color w:val="auto"/>
          <w:sz w:val="44"/>
          <w:szCs w:val="44"/>
          <w:highlight w:val="none"/>
        </w:rPr>
        <w:t xml:space="preserve">第二章  </w:t>
      </w:r>
      <w:bookmarkEnd w:id="39"/>
      <w:r/>
      <w:bookmarkStart w:id="40" w:name="_Toc513029202"/>
      <w:r/>
      <w:bookmarkStart w:id="41" w:name="_Toc16938518"/>
      <w:r/>
      <w:bookmarkStart w:id="42" w:name="_Toc20823274"/>
      <w:r/>
      <w:bookmarkStart w:id="43" w:name="_Toc120614213"/>
      <w:r>
        <w:rPr>
          <w:rFonts w:hint="eastAsia" w:ascii="黑体" w:hAnsi="Times New Roman" w:eastAsia="黑体"/>
          <w:color w:val="auto"/>
          <w:sz w:val="44"/>
          <w:szCs w:val="44"/>
          <w:highlight w:val="none"/>
        </w:rPr>
        <w:t xml:space="preserve">投标人须知</w:t>
      </w:r>
      <w:bookmarkEnd w:id="40"/>
      <w:r/>
      <w:bookmarkEnd w:id="41"/>
      <w:r/>
      <w:bookmarkEnd w:id="42"/>
      <w:r/>
      <w:bookmarkEnd w:id="43"/>
      <w:r/>
      <w:r/>
    </w:p>
    <w:p>
      <w:pPr>
        <w:pStyle w:val="864"/>
        <w:ind w:firstLine="321"/>
        <w:spacing w:before="143" w:after="143" w:line="360" w:lineRule="auto"/>
        <w:rPr>
          <w:color w:val="auto"/>
          <w:highlight w:val="none"/>
        </w:rPr>
      </w:pPr>
      <w:r/>
      <w:bookmarkStart w:id="44" w:name="_Toc16938519"/>
      <w:r/>
      <w:bookmarkStart w:id="45" w:name="_Toc20823275"/>
      <w:r/>
      <w:bookmarkStart w:id="46" w:name="_Toc120614214"/>
      <w:r/>
      <w:bookmarkStart w:id="47" w:name="_Toc513029203"/>
      <w:r>
        <w:rPr>
          <w:rFonts w:hint="eastAsia"/>
          <w:color w:val="auto"/>
          <w:highlight w:val="none"/>
        </w:rPr>
        <w:t xml:space="preserve">一、总则</w:t>
      </w:r>
      <w:bookmarkEnd w:id="44"/>
      <w:r/>
      <w:bookmarkEnd w:id="45"/>
      <w:r/>
      <w:bookmarkEnd w:id="46"/>
      <w:r/>
      <w:bookmarkEnd w:id="47"/>
      <w:r/>
      <w:r/>
    </w:p>
    <w:p>
      <w:pPr>
        <w:pStyle w:val="865"/>
        <w:ind w:firstLine="420"/>
        <w:spacing w:before="0" w:after="0" w:line="360" w:lineRule="auto"/>
        <w:rPr>
          <w:b w:val="0"/>
          <w:bCs w:val="0"/>
          <w:color w:val="auto"/>
          <w:highlight w:val="none"/>
        </w:rPr>
      </w:pPr>
      <w:r/>
      <w:bookmarkStart w:id="48" w:name="_Hlt16619475"/>
      <w:r/>
      <w:bookmarkEnd w:id="48"/>
      <w:r/>
      <w:bookmarkStart w:id="49" w:name="_Toc458694821"/>
      <w:r/>
      <w:bookmarkStart w:id="50" w:name="_Toc20823276"/>
      <w:r/>
      <w:bookmarkStart w:id="51" w:name="_Toc16938520"/>
      <w:r/>
      <w:bookmarkStart w:id="52" w:name="_Toc513029204"/>
      <w:r>
        <w:rPr>
          <w:rFonts w:hint="eastAsia"/>
          <w:b w:val="0"/>
          <w:bCs w:val="0"/>
          <w:color w:val="auto"/>
          <w:highlight w:val="none"/>
        </w:rPr>
        <w:t xml:space="preserve">1</w:t>
      </w:r>
      <w:bookmarkEnd w:id="49"/>
      <w:r>
        <w:rPr>
          <w:rFonts w:hint="eastAsia"/>
          <w:b w:val="0"/>
          <w:bCs w:val="0"/>
          <w:color w:val="auto"/>
          <w:highlight w:val="none"/>
        </w:rPr>
        <w:t xml:space="preserve">、招标方式</w:t>
      </w:r>
      <w:bookmarkEnd w:id="50"/>
      <w:r/>
      <w:bookmarkEnd w:id="51"/>
      <w:r/>
      <w:bookmarkEnd w:id="5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865"/>
        <w:ind w:firstLine="420"/>
        <w:spacing w:before="0" w:after="0" w:line="360" w:lineRule="auto"/>
        <w:rPr>
          <w:b w:val="0"/>
          <w:bCs w:val="0"/>
          <w:color w:val="auto"/>
          <w:highlight w:val="none"/>
        </w:rPr>
      </w:pPr>
      <w:r/>
      <w:bookmarkStart w:id="53" w:name="_Toc16938521"/>
      <w:r/>
      <w:bookmarkStart w:id="54" w:name="_Toc513029205"/>
      <w:r/>
      <w:bookmarkStart w:id="55" w:name="_Toc20823277"/>
      <w:r>
        <w:rPr>
          <w:rFonts w:hint="eastAsia"/>
          <w:b w:val="0"/>
          <w:bCs w:val="0"/>
          <w:color w:val="auto"/>
          <w:highlight w:val="none"/>
        </w:rPr>
        <w:t xml:space="preserve">2、合格的</w:t>
      </w:r>
      <w:bookmarkEnd w:id="53"/>
      <w:r/>
      <w:bookmarkEnd w:id="54"/>
      <w:r/>
      <w:bookmarkEnd w:id="55"/>
      <w:r>
        <w:rPr>
          <w:rFonts w:hint="eastAsia"/>
          <w:b w:val="0"/>
          <w:bCs w:val="0"/>
          <w:color w:val="auto"/>
          <w:highlight w:val="none"/>
        </w:rPr>
        <w:t xml:space="preserve">投标人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 满足本文件实质性条款的规定。</w:t>
      </w:r>
      <w:r/>
    </w:p>
    <w:p>
      <w:pPr>
        <w:pStyle w:val="865"/>
        <w:ind w:firstLine="420"/>
        <w:spacing w:before="0" w:after="0" w:line="360" w:lineRule="auto"/>
        <w:rPr>
          <w:b w:val="0"/>
          <w:bCs w:val="0"/>
          <w:color w:val="auto"/>
          <w:highlight w:val="none"/>
        </w:rPr>
      </w:pPr>
      <w:r/>
      <w:bookmarkStart w:id="56" w:name="_Toc513029206"/>
      <w:r/>
      <w:bookmarkStart w:id="57" w:name="_Toc20823278"/>
      <w:r/>
      <w:bookmarkStart w:id="58" w:name="_Toc16938522"/>
      <w:r>
        <w:rPr>
          <w:rFonts w:hint="eastAsia"/>
          <w:b w:val="0"/>
          <w:bCs w:val="0"/>
          <w:color w:val="auto"/>
          <w:highlight w:val="none"/>
        </w:rPr>
        <w:t xml:space="preserve">3、</w:t>
      </w:r>
      <w:bookmarkEnd w:id="56"/>
      <w:r/>
      <w:bookmarkEnd w:id="57"/>
      <w:r/>
      <w:bookmarkEnd w:id="58"/>
      <w:r>
        <w:rPr>
          <w:rFonts w:hint="eastAsia"/>
          <w:b w:val="0"/>
          <w:bCs w:val="0"/>
          <w:color w:val="auto"/>
          <w:highlight w:val="none"/>
        </w:rPr>
        <w:t xml:space="preserve">适用法律和标准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65"/>
        <w:ind w:firstLine="420"/>
        <w:spacing w:before="0" w:after="0" w:line="360" w:lineRule="auto"/>
        <w:rPr>
          <w:b w:val="0"/>
          <w:bCs w:val="0"/>
          <w:color w:val="auto"/>
          <w:highlight w:val="none"/>
        </w:rPr>
      </w:pPr>
      <w:r/>
      <w:bookmarkStart w:id="59" w:name="_Toc16938523"/>
      <w:r/>
      <w:bookmarkStart w:id="60" w:name="_Toc20823279"/>
      <w:r/>
      <w:bookmarkStart w:id="61" w:name="_Toc513029207"/>
      <w:r/>
      <w:bookmarkStart w:id="62" w:name="_Toc462564067"/>
      <w:r>
        <w:rPr>
          <w:rFonts w:hint="eastAsia"/>
          <w:b w:val="0"/>
          <w:bCs w:val="0"/>
          <w:color w:val="auto"/>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4.2招标代理服务费（中标</w:t>
      </w:r>
      <w:r>
        <w:rPr>
          <w:rFonts w:ascii="宋体" w:hAnsi="宋体"/>
          <w:color w:val="auto"/>
          <w:sz w:val="24"/>
          <w:highlight w:val="none"/>
        </w:rPr>
        <w:t xml:space="preserve">/</w:t>
      </w:r>
      <w:r>
        <w:rPr>
          <w:rFonts w:hint="eastAsia" w:ascii="宋体" w:hAnsi="宋体"/>
          <w:color w:val="auto"/>
          <w:sz w:val="24"/>
          <w:highlight w:val="none"/>
        </w:rPr>
        <w:t xml:space="preserve">成交服务费）：招标代理服务费按（苏政采协[2024]20号）收费标准的40%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r/>
      <w:bookmarkEnd w:id="63"/>
      <w:r>
        <w:rPr>
          <w:rFonts w:hint="eastAsia" w:ascii="宋体" w:hAnsi="宋体"/>
          <w:color w:val="auto"/>
          <w:sz w:val="24"/>
          <w:highlight w:val="none"/>
        </w:rPr>
        <w:t xml:space="preserve">。</w:t>
      </w:r>
      <w:r/>
    </w:p>
    <w:p>
      <w:pPr>
        <w:pStyle w:val="865"/>
        <w:ind w:firstLine="452"/>
        <w:spacing w:before="0" w:after="0" w:line="360" w:lineRule="auto"/>
        <w:rPr>
          <w:rFonts w:hint="eastAsia" w:ascii="黑体" w:hAnsi="宋体"/>
          <w:b w:val="0"/>
          <w:bCs w:val="0"/>
          <w:color w:val="auto"/>
          <w:highlight w:val="none"/>
        </w:rPr>
      </w:pPr>
      <w:r/>
      <w:bookmarkStart w:id="64" w:name="_Toc23828480"/>
      <w:r/>
      <w:bookmarkStart w:id="65" w:name="_Toc26554097"/>
      <w:r/>
      <w:bookmarkStart w:id="66" w:name="_Toc61149622"/>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供应商一旦参加本项目采购活动，即被认为接受了本招标文件的规定和约束。</w:t>
      </w:r>
      <w:r/>
    </w:p>
    <w:p>
      <w:pPr>
        <w:pStyle w:val="864"/>
        <w:ind w:firstLine="321"/>
        <w:spacing w:before="143" w:after="143" w:line="360" w:lineRule="auto"/>
        <w:rPr>
          <w:color w:val="auto"/>
          <w:highlight w:val="none"/>
        </w:rPr>
      </w:pPr>
      <w:r/>
      <w:bookmarkStart w:id="67" w:name="_Toc20823281"/>
      <w:r/>
      <w:bookmarkStart w:id="68" w:name="_Toc120614215"/>
      <w:r/>
      <w:bookmarkStart w:id="69" w:name="_Toc16938525"/>
      <w:r>
        <w:rPr>
          <w:rFonts w:hint="eastAsia"/>
          <w:color w:val="auto"/>
          <w:highlight w:val="none"/>
        </w:rPr>
        <w:t xml:space="preserve">二、招标文件</w:t>
      </w:r>
      <w:bookmarkEnd w:id="67"/>
      <w:r/>
      <w:bookmarkEnd w:id="68"/>
      <w:r/>
      <w:bookmarkEnd w:id="69"/>
      <w:r/>
      <w:r/>
    </w:p>
    <w:p>
      <w:pPr>
        <w:pStyle w:val="865"/>
        <w:ind w:firstLine="420"/>
        <w:spacing w:before="0" w:after="0" w:line="360" w:lineRule="auto"/>
        <w:rPr>
          <w:b w:val="0"/>
          <w:bCs w:val="0"/>
          <w:color w:val="auto"/>
          <w:highlight w:val="none"/>
        </w:rPr>
      </w:pPr>
      <w:r/>
      <w:bookmarkStart w:id="70" w:name="_Toc16938526"/>
      <w:r/>
      <w:bookmarkStart w:id="71" w:name="_Toc513029210"/>
      <w:r/>
      <w:bookmarkStart w:id="72" w:name="_Toc20823282"/>
      <w:r>
        <w:rPr>
          <w:rFonts w:hint="eastAsia"/>
          <w:b w:val="0"/>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（1）招标公告</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请仔细检查招标文件是否齐全，如有缺漏请立即与招标代理机构联系解决。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7、招标文件的澄清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7.1任何要求对招标文件进行澄清的投标人，应在投标截止期十日前按招标公告中的通讯地址，以书面形式通知采购人。</w:t>
      </w:r>
      <w:r/>
    </w:p>
    <w:p>
      <w:pPr>
        <w:pStyle w:val="865"/>
        <w:ind w:firstLine="420"/>
        <w:spacing w:before="0" w:after="0" w:line="360" w:lineRule="auto"/>
        <w:rPr>
          <w:b w:val="0"/>
          <w:bCs w:val="0"/>
          <w:color w:val="auto"/>
          <w:highlight w:val="none"/>
        </w:rPr>
      </w:pPr>
      <w:r/>
      <w:bookmarkStart w:id="73" w:name="_Toc20823284"/>
      <w:r/>
      <w:bookmarkStart w:id="74" w:name="_Toc16938528"/>
      <w:r/>
      <w:bookmarkStart w:id="75" w:name="_Toc513029212"/>
      <w:r/>
      <w:bookmarkStart w:id="76" w:name="_Toc462564071"/>
      <w:r>
        <w:rPr>
          <w:rFonts w:hint="eastAsia"/>
          <w:b w:val="0"/>
          <w:bCs w:val="0"/>
          <w:color w:val="auto"/>
          <w:highlight w:val="none"/>
        </w:rPr>
        <w:t xml:space="preserve">8、招标文件的修改</w:t>
      </w:r>
      <w:bookmarkEnd w:id="73"/>
      <w:r/>
      <w:bookmarkEnd w:id="74"/>
      <w:r/>
      <w:bookmarkEnd w:id="75"/>
      <w:r/>
      <w:bookmarkEnd w:id="76"/>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，采购人可以对招标文件进行修改。</w:t>
      </w:r>
      <w:r/>
    </w:p>
    <w:p>
      <w:pPr>
        <w:ind w:firstLine="480"/>
        <w:spacing w:line="360" w:lineRule="auto"/>
        <w:rPr>
          <w:rFonts w:ascii="宋体" w:hAnsi="Arial"/>
          <w:color w:val="auto"/>
          <w:sz w:val="28"/>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采购人有权按照法定的要求推迟投标截止日期和开标日期。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8.3</w:t>
      </w:r>
      <w:r>
        <w:rPr>
          <w:rFonts w:hint="eastAsia" w:ascii="宋体" w:hAnsi="宋体"/>
          <w:color w:val="auto"/>
          <w:sz w:val="24"/>
          <w:highlight w:val="none"/>
        </w:rPr>
        <w:t xml:space="preserve">招标文件的修改将在</w:t>
      </w:r>
      <w:r>
        <w:rPr>
          <w:rFonts w:hint="eastAsia" w:ascii="宋体" w:hAnsi="宋体" w:cs="宋体"/>
          <w:color w:val="auto"/>
          <w:sz w:val="24"/>
          <w:highlight w:val="none"/>
        </w:rPr>
        <w:t xml:space="preserve">中国政府采购网</w:t>
      </w:r>
      <w:r>
        <w:rPr>
          <w:rFonts w:hint="eastAsia" w:ascii="宋体" w:hAnsi="宋体" w:cs="宋体"/>
          <w:color w:val="auto"/>
          <w:sz w:val="24"/>
          <w:highlight w:val="none"/>
          <w:shd w:val="clear" w:color="auto" w:fill="ffffff"/>
        </w:rPr>
        <w:t xml:space="preserve">、</w:t>
      </w:r>
      <w:r>
        <w:rPr>
          <w:rFonts w:hint="eastAsia" w:ascii="宋体" w:hAnsi="宋体"/>
          <w:color w:val="auto"/>
          <w:sz w:val="24"/>
          <w:szCs w:val="20"/>
          <w:highlight w:val="none"/>
        </w:rPr>
        <w:t xml:space="preserve">江苏政府采购网、盐城市政府采购网</w:t>
      </w:r>
      <w:r>
        <w:rPr>
          <w:rFonts w:hint="eastAsia" w:ascii="宋体" w:hAnsi="宋体"/>
          <w:color w:val="auto"/>
          <w:sz w:val="24"/>
          <w:highlight w:val="none"/>
        </w:rPr>
        <w:t xml:space="preserve">公布，补充文件将作为招标文件的组成部分，并对供应商具有约束力。</w:t>
      </w:r>
      <w:r/>
    </w:p>
    <w:p>
      <w:pPr>
        <w:pStyle w:val="864"/>
        <w:ind w:firstLine="321"/>
        <w:spacing w:before="143" w:after="143" w:line="360" w:lineRule="auto"/>
        <w:rPr>
          <w:color w:val="auto"/>
          <w:highlight w:val="none"/>
        </w:rPr>
      </w:pPr>
      <w:r/>
      <w:bookmarkStart w:id="77" w:name="_Toc462564072"/>
      <w:r/>
      <w:bookmarkStart w:id="78" w:name="_Toc120614216"/>
      <w:r/>
      <w:bookmarkStart w:id="79" w:name="_Toc20823285"/>
      <w:r/>
      <w:bookmarkStart w:id="80" w:name="_Toc16938529"/>
      <w:r/>
      <w:bookmarkStart w:id="81" w:name="_Toc513029213"/>
      <w:r>
        <w:rPr>
          <w:rFonts w:hint="eastAsia"/>
          <w:color w:val="auto"/>
          <w:highlight w:val="none"/>
        </w:rPr>
        <w:t xml:space="preserve">三、投标文件的编制</w:t>
      </w:r>
      <w:bookmarkEnd w:id="77"/>
      <w:r/>
      <w:bookmarkEnd w:id="78"/>
      <w:r/>
      <w:bookmarkEnd w:id="79"/>
      <w:r/>
      <w:bookmarkEnd w:id="80"/>
      <w:r/>
      <w:bookmarkEnd w:id="81"/>
      <w:r/>
      <w:r/>
    </w:p>
    <w:p>
      <w:pPr>
        <w:pStyle w:val="865"/>
        <w:ind w:firstLine="420"/>
        <w:spacing w:before="0" w:after="0" w:line="360" w:lineRule="auto"/>
        <w:rPr>
          <w:bCs w:val="0"/>
          <w:color w:val="auto"/>
          <w:highlight w:val="none"/>
        </w:rPr>
      </w:pPr>
      <w:r/>
      <w:bookmarkStart w:id="82" w:name="_Toc20823286"/>
      <w:r/>
      <w:bookmarkStart w:id="83" w:name="_Toc513029214"/>
      <w:r/>
      <w:bookmarkStart w:id="84" w:name="_Toc16938530"/>
      <w:r/>
      <w:bookmarkStart w:id="85" w:name="_Toc462564073"/>
      <w:r>
        <w:rPr>
          <w:rFonts w:hint="eastAsia"/>
          <w:b w:val="0"/>
          <w:bCs w:val="0"/>
          <w:color w:val="auto"/>
          <w:highlight w:val="none"/>
        </w:rPr>
        <w:t xml:space="preserve">9、投标文件的语言及度量衡单位</w:t>
      </w:r>
      <w:bookmarkEnd w:id="82"/>
      <w:r/>
      <w:bookmarkEnd w:id="83"/>
      <w:r/>
      <w:bookmarkEnd w:id="84"/>
      <w:r/>
      <w:bookmarkEnd w:id="85"/>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供应商提交的投标文件以及供应商与采购人就有关投标的所有来往通知、函件和文件均应使用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865"/>
        <w:ind w:firstLine="420"/>
        <w:spacing w:before="0" w:after="0" w:line="360" w:lineRule="auto"/>
        <w:rPr>
          <w:b w:val="0"/>
          <w:bCs w:val="0"/>
          <w:color w:val="auto"/>
          <w:highlight w:val="none"/>
        </w:rPr>
      </w:pPr>
      <w:r/>
      <w:bookmarkStart w:id="86" w:name="_Toc462564074"/>
      <w:r/>
      <w:bookmarkStart w:id="87" w:name="_Toc16938531"/>
      <w:r/>
      <w:bookmarkStart w:id="88" w:name="_Toc513029215"/>
      <w:r/>
      <w:bookmarkStart w:id="89" w:name="_Toc20823287"/>
      <w:r>
        <w:rPr>
          <w:rFonts w:hint="eastAsia"/>
          <w:b w:val="0"/>
          <w:bCs w:val="0"/>
          <w:color w:val="auto"/>
          <w:highlight w:val="none"/>
        </w:rPr>
        <w:t xml:space="preserve">10、投标文件构成</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865"/>
        <w:ind w:firstLine="420"/>
        <w:spacing w:before="0" w:after="0" w:line="360" w:lineRule="auto"/>
        <w:rPr>
          <w:b w:val="0"/>
          <w:bCs w:val="0"/>
          <w:color w:val="auto"/>
          <w:highlight w:val="none"/>
        </w:rPr>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7"/>
      <w:r/>
      <w:bookmarkStart w:id="95" w:name="_Toc513029216"/>
      <w:r/>
      <w:bookmarkStart w:id="96" w:name="_Toc14577354"/>
      <w:r/>
      <w:bookmarkStart w:id="97" w:name="_Toc14577357"/>
      <w:r/>
      <w:bookmarkStart w:id="98" w:name="_Toc49090509"/>
      <w:r>
        <w:rPr>
          <w:rFonts w:hint="eastAsia"/>
          <w:b w:val="0"/>
          <w:bCs w:val="0"/>
          <w:color w:val="auto"/>
          <w:highlight w:val="none"/>
        </w:rPr>
        <w:t xml:space="preserve">11、证明供应商资格及符合招标文件规定的文件</w:t>
      </w:r>
      <w:bookmarkEnd w:id="93"/>
      <w:r/>
      <w:bookmarkEnd w:id="94"/>
      <w:r/>
      <w:bookmarkEnd w:id="95"/>
      <w:r/>
      <w:bookmarkEnd w:id="96"/>
      <w:r/>
      <w:bookmarkEnd w:id="97"/>
      <w:r/>
      <w:bookmarkEnd w:id="98"/>
      <w:r/>
      <w:r/>
    </w:p>
    <w:p>
      <w:pPr>
        <w:ind w:firstLine="480"/>
        <w:spacing w:line="360" w:lineRule="auto"/>
        <w:rPr>
          <w:rFonts w:hint="eastAsia" w:ascii="宋体" w:hAnsi="宋体"/>
          <w:bCs/>
          <w:color w:val="auto"/>
          <w:sz w:val="24"/>
          <w:highlight w:val="none"/>
        </w:rPr>
      </w:pPr>
      <w:r/>
      <w:bookmarkStart w:id="99" w:name="_Toc14577355"/>
      <w:r/>
      <w:bookmarkStart w:id="100"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11.2招标文件对证明文件无明确形式要求的，证明文件可以以文字资料、图纸和数据等形式提交。</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12、投标分项报价表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12.1投标人应按照招标文件规定格式填报投标分项报价表。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12.2投标货币。投标文件中的单价和总价无特殊规定的采用人民币报价，以元为单位标注。招标文件中另有规定的按规定执行。</w:t>
      </w:r>
      <w:bookmarkEnd w:id="99"/>
      <w:r/>
      <w:bookmarkEnd w:id="100"/>
      <w:r/>
      <w:r/>
    </w:p>
    <w:p>
      <w:pPr>
        <w:ind w:firstLine="420"/>
        <w:spacing w:line="360" w:lineRule="auto"/>
        <w:rPr>
          <w:rFonts w:hint="eastAsia" w:ascii="宋体" w:hAnsi="宋体"/>
          <w:bCs/>
          <w:color w:val="auto"/>
          <w:sz w:val="24"/>
          <w:highlight w:val="none"/>
        </w:rPr>
      </w:pPr>
      <w:r>
        <w:rPr>
          <w:rFonts w:hint="eastAsia"/>
          <w:bCs/>
          <w:color w:val="auto"/>
          <w:sz w:val="28"/>
          <w:szCs w:val="28"/>
          <w:highlight w:val="none"/>
        </w:rPr>
        <w:t xml:space="preserve">13</w:t>
      </w:r>
      <w:r>
        <w:rPr>
          <w:rFonts w:hint="eastAsia"/>
          <w:b/>
          <w:bCs/>
          <w:color w:val="auto"/>
          <w:highlight w:val="none"/>
        </w:rPr>
        <w:t xml:space="preserve">、</w:t>
      </w:r>
      <w:r>
        <w:rPr>
          <w:rFonts w:hint="eastAsia" w:ascii="黑体" w:hAnsi="宋体" w:eastAsia="黑体"/>
          <w:color w:val="auto"/>
          <w:sz w:val="28"/>
          <w:szCs w:val="28"/>
          <w:highlight w:val="none"/>
        </w:rPr>
        <w:t xml:space="preserve">技术参数响应及偏离表、商务条款响应及偏离表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13.2投标人可在投标文件中提供认为需要的其他技术文件或说明。</w:t>
      </w:r>
      <w:r/>
    </w:p>
    <w:p>
      <w:pPr>
        <w:pStyle w:val="865"/>
        <w:ind w:firstLine="420"/>
        <w:spacing w:before="0" w:after="0" w:line="360" w:lineRule="auto"/>
        <w:rPr>
          <w:b w:val="0"/>
          <w:bCs w:val="0"/>
          <w:color w:val="auto"/>
          <w:highlight w:val="none"/>
        </w:rPr>
      </w:pPr>
      <w:r/>
      <w:bookmarkStart w:id="101" w:name="_Toc49090510"/>
      <w:r/>
      <w:bookmarkStart w:id="102" w:name="_Toc14577359"/>
      <w:r>
        <w:rPr>
          <w:rFonts w:hint="eastAsia"/>
          <w:b w:val="0"/>
          <w:bCs w:val="0"/>
          <w:color w:val="auto"/>
          <w:highlight w:val="none"/>
        </w:rPr>
        <w:t xml:space="preserve">14、投标函和开标一览表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14.1投标人应按照招标文件中提供的格式完整、正确填写投标函、开标一览表。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15、</w:t>
      </w:r>
      <w:bookmarkEnd w:id="101"/>
      <w:r/>
      <w:bookmarkEnd w:id="102"/>
      <w:r/>
      <w:bookmarkStart w:id="103" w:name="_Toc49090511"/>
      <w:r/>
      <w:bookmarkStart w:id="104" w:name="_Toc14577360"/>
      <w:r>
        <w:rPr>
          <w:rFonts w:hint="eastAsia"/>
          <w:b w:val="0"/>
          <w:bCs w:val="0"/>
          <w:color w:val="auto"/>
          <w:highlight w:val="none"/>
        </w:rPr>
        <w:t xml:space="preserve">投标有效期</w:t>
      </w:r>
      <w:bookmarkEnd w:id="103"/>
      <w:r/>
      <w:bookmarkEnd w:id="104"/>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九十（90）天</w:t>
      </w:r>
      <w:r>
        <w:rPr>
          <w:rFonts w:hint="eastAsia" w:ascii="宋体" w:hAnsi="宋体"/>
          <w:bCs/>
          <w:color w:val="auto"/>
          <w:sz w:val="24"/>
          <w:highlight w:val="none"/>
        </w:rPr>
        <w:t xml:space="preserve">。投标有效期比规定短的将被视为非响应性投标而予以拒绝。</w:t>
      </w:r>
      <w:r/>
    </w:p>
    <w:p>
      <w:pPr>
        <w:pStyle w:val="865"/>
        <w:ind w:firstLine="420"/>
        <w:spacing w:before="0" w:after="0" w:line="360" w:lineRule="auto"/>
        <w:rPr>
          <w:b w:val="0"/>
          <w:bCs w:val="0"/>
          <w:color w:val="auto"/>
          <w:highlight w:val="none"/>
        </w:rPr>
      </w:pPr>
      <w:r/>
      <w:bookmarkStart w:id="105" w:name="_Hlt26954852"/>
      <w:r/>
      <w:bookmarkEnd w:id="105"/>
      <w:r/>
      <w:bookmarkStart w:id="106" w:name="_Hlt26954739"/>
      <w:r/>
      <w:bookmarkEnd w:id="106"/>
      <w:r/>
      <w:bookmarkStart w:id="107" w:name="_Toc513029224"/>
      <w:r/>
      <w:bookmarkStart w:id="108" w:name="_Toc20823296"/>
      <w:r/>
      <w:bookmarkStart w:id="109" w:name="_Toc16938540"/>
      <w:r/>
      <w:bookmarkStart w:id="110" w:name="_Toc120614217"/>
      <w:r>
        <w:rPr>
          <w:rFonts w:hint="eastAsia"/>
          <w:b w:val="0"/>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4"/>
        <w:ind w:firstLine="321"/>
        <w:spacing w:before="143" w:after="143" w:line="360" w:lineRule="auto"/>
        <w:rPr>
          <w:color w:val="auto"/>
          <w:highlight w:val="none"/>
        </w:rPr>
      </w:pPr>
      <w:r>
        <w:rPr>
          <w:rFonts w:hint="eastAsia"/>
          <w:color w:val="auto"/>
          <w:highlight w:val="none"/>
        </w:rPr>
        <w:t xml:space="preserve">四、投标文件的递交</w:t>
      </w:r>
      <w:bookmarkEnd w:id="107"/>
      <w:r/>
      <w:bookmarkEnd w:id="108"/>
      <w:r/>
      <w:bookmarkEnd w:id="109"/>
      <w:r/>
      <w:bookmarkEnd w:id="110"/>
      <w:r/>
      <w:r/>
    </w:p>
    <w:p>
      <w:pPr>
        <w:pStyle w:val="865"/>
        <w:ind w:firstLine="420"/>
        <w:spacing w:before="0" w:after="0" w:line="360" w:lineRule="auto"/>
        <w:rPr>
          <w:b w:val="0"/>
          <w:bCs w:val="0"/>
          <w:color w:val="auto"/>
          <w:highlight w:val="none"/>
        </w:rPr>
      </w:pPr>
      <w:r/>
      <w:bookmarkStart w:id="111" w:name="_Toc513029225"/>
      <w:r/>
      <w:bookmarkStart w:id="112" w:name="_Toc16938541"/>
      <w:r/>
      <w:bookmarkStart w:id="113" w:name="_Toc20823297"/>
      <w:r/>
      <w:bookmarkStart w:id="114" w:name="_Toc462564084"/>
      <w:r/>
      <w:bookmarkStart w:id="115" w:name="_Toc513029226"/>
      <w:r/>
      <w:bookmarkStart w:id="116" w:name="_Toc20823298"/>
      <w:r/>
      <w:bookmarkStart w:id="117" w:name="_Toc16938542"/>
      <w:r>
        <w:rPr>
          <w:rFonts w:hint="eastAsia"/>
          <w:b w:val="0"/>
          <w:bCs w:val="0"/>
          <w:color w:val="auto"/>
          <w:highlight w:val="none"/>
        </w:rPr>
        <w:t xml:space="preserve">17、</w:t>
      </w:r>
      <w:bookmarkEnd w:id="111"/>
      <w:r/>
      <w:bookmarkEnd w:id="112"/>
      <w:r/>
      <w:bookmarkEnd w:id="113"/>
      <w:r/>
      <w:bookmarkEnd w:id="114"/>
      <w:r>
        <w:rPr>
          <w:rFonts w:hint="eastAsia"/>
          <w:b w:val="0"/>
          <w:bCs w:val="0"/>
          <w:color w:val="auto"/>
          <w:highlight w:val="none"/>
        </w:rPr>
        <w:t xml:space="preserve">电子投标文件的递交</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17.1投标人应当按照《操作手册》规定，在投标截止时间前制作并上传电子投标文件。</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18、投标截止日期</w:t>
      </w:r>
      <w:bookmarkEnd w:id="115"/>
      <w:r/>
      <w:bookmarkEnd w:id="116"/>
      <w:r/>
      <w:bookmarkEnd w:id="117"/>
      <w:r/>
      <w:r/>
    </w:p>
    <w:p>
      <w:pPr>
        <w:pStyle w:val="905"/>
        <w:ind w:firstLine="480"/>
        <w:spacing w:before="0" w:beforeAutospacing="0" w:after="0" w:afterAutospacing="0" w:line="360" w:lineRule="auto"/>
        <w:rPr>
          <w:rFonts w:hint="eastAsia"/>
          <w:i/>
          <w:color w:val="auto"/>
          <w:highlight w:val="none"/>
          <w:u w:val="single"/>
        </w:rPr>
      </w:pPr>
      <w:r/>
      <w:bookmarkStart w:id="118" w:name="_Toc16938543"/>
      <w:r/>
      <w:bookmarkStart w:id="119" w:name="_Toc20823299"/>
      <w:r/>
      <w:bookmarkStart w:id="120" w:name="_Toc513029227"/>
      <w:r>
        <w:rPr>
          <w:rFonts w:hint="eastAsia"/>
          <w:i/>
          <w:color w:val="auto"/>
          <w:highlight w:val="none"/>
          <w:u w:val="single"/>
        </w:rPr>
        <w:t xml:space="preserve">18.1 投标人上传电子投标文件的时间不得迟于招标公告中规定的投标截止时间。</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19、</w:t>
      </w:r>
      <w:bookmarkEnd w:id="118"/>
      <w:r/>
      <w:bookmarkEnd w:id="119"/>
      <w:r/>
      <w:bookmarkEnd w:id="120"/>
      <w:r/>
      <w:bookmarkStart w:id="121" w:name="_Toc513029228"/>
      <w:r/>
      <w:bookmarkStart w:id="122" w:name="_Toc16938544"/>
      <w:r/>
      <w:bookmarkStart w:id="123" w:name="_Toc20823300"/>
      <w:r>
        <w:rPr>
          <w:rFonts w:hint="eastAsia"/>
          <w:b w:val="0"/>
          <w:bCs w:val="0"/>
          <w:color w:val="auto"/>
          <w:highlight w:val="none"/>
        </w:rPr>
        <w:t xml:space="preserve">投标文件的拒收</w:t>
      </w:r>
      <w:r/>
    </w:p>
    <w:p>
      <w:pPr>
        <w:pStyle w:val="865"/>
        <w:ind w:firstLine="360"/>
        <w:spacing w:before="0" w:after="0"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19.1 采购代理机构拒绝接收在其规定的投标截止时间后上传的任何投标文件。</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20、投标文件的修改和撤回</w:t>
      </w:r>
      <w:bookmarkEnd w:id="121"/>
      <w:r/>
      <w:bookmarkEnd w:id="122"/>
      <w:r/>
      <w:bookmarkEnd w:id="123"/>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 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20.1.1 电子投标文件的撤回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20.1.2 投标人撤回电子投标文件，则认为其不再参与本项目投标活动。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 投标文件的修改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20.2.2 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20.3 在投标截止时间至招标文件中规定的投标有效期满之间的这段时间内，投标人不得撤回其投标。</w:t>
      </w:r>
      <w:bookmarkStart w:id="124" w:name="_Toc120614218"/>
      <w:r/>
      <w:bookmarkStart w:id="125" w:name="_Toc513029229"/>
      <w:r/>
      <w:bookmarkStart w:id="126" w:name="_Toc20823301"/>
      <w:r/>
      <w:bookmarkStart w:id="127" w:name="_Toc16938545"/>
      <w:r/>
      <w:r/>
    </w:p>
    <w:p>
      <w:pPr>
        <w:pStyle w:val="864"/>
        <w:ind w:firstLine="321"/>
        <w:spacing w:before="143" w:after="143" w:line="360" w:lineRule="auto"/>
        <w:rPr>
          <w:color w:val="auto"/>
          <w:highlight w:val="none"/>
        </w:rPr>
      </w:pPr>
      <w:r>
        <w:rPr>
          <w:rFonts w:hint="eastAsia"/>
          <w:color w:val="auto"/>
          <w:highlight w:val="none"/>
        </w:rPr>
        <w:t xml:space="preserve">五、开标与评标</w:t>
      </w:r>
      <w:bookmarkEnd w:id="124"/>
      <w:r/>
      <w:bookmarkEnd w:id="125"/>
      <w:r/>
      <w:bookmarkEnd w:id="126"/>
      <w:r/>
      <w:bookmarkEnd w:id="127"/>
      <w:r/>
      <w:r/>
    </w:p>
    <w:p>
      <w:pPr>
        <w:pStyle w:val="865"/>
        <w:ind w:firstLine="560"/>
        <w:spacing w:before="0" w:after="0" w:line="500" w:lineRule="exact"/>
        <w:rPr>
          <w:b w:val="0"/>
          <w:bCs w:val="0"/>
          <w:color w:val="auto"/>
          <w:highlight w:val="none"/>
        </w:rPr>
      </w:pPr>
      <w:r/>
      <w:bookmarkStart w:id="128" w:name="_Toc16938546"/>
      <w:r/>
      <w:bookmarkStart w:id="129" w:name="_Toc20823302"/>
      <w:r/>
      <w:bookmarkStart w:id="130" w:name="_Toc513029230"/>
      <w:r>
        <w:rPr>
          <w:rFonts w:hint="eastAsia"/>
          <w:b w:val="0"/>
          <w:bCs w:val="0"/>
          <w:color w:val="auto"/>
          <w:highlight w:val="none"/>
        </w:rPr>
        <w:t xml:space="preserve">21、开标</w:t>
      </w:r>
      <w:bookmarkEnd w:id="128"/>
      <w:r/>
      <w:bookmarkEnd w:id="129"/>
      <w:r/>
      <w:bookmarkEnd w:id="130"/>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color w:val="auto"/>
          <w:highlight w:val="none"/>
        </w:rPr>
      </w:pPr>
      <w:r>
        <w:rPr>
          <w:rFonts w:hint="eastAsia" w:ascii="Arial" w:hAnsi="Arial" w:eastAsia="黑体"/>
          <w:color w:val="auto"/>
          <w:sz w:val="28"/>
          <w:szCs w:val="28"/>
          <w:highlight w:val="none"/>
        </w:rPr>
        <w:t xml:space="preserve">22、评标委员会</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22.1 开标后，采购代理机构将立即组织评标委员会（以下简称评委会）进行评标。</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22.2 评委会由采购人代表和有关技术、经济等方面的专家组成，且人员构成符合政府采购有关规定。</w:t>
      </w:r>
      <w:r/>
    </w:p>
    <w:p>
      <w:pPr>
        <w:pStyle w:val="905"/>
        <w:ind w:firstLine="480"/>
        <w:spacing w:before="0" w:beforeAutospacing="0" w:after="0" w:afterAutospacing="0" w:line="360" w:lineRule="auto"/>
        <w:rPr>
          <w:rFonts w:hint="eastAsia"/>
          <w:color w:val="auto"/>
          <w:highlight w:val="none"/>
        </w:rPr>
      </w:pPr>
      <w:r>
        <w:rPr>
          <w:rFonts w:hint="eastAsia"/>
          <w:color w:val="auto"/>
          <w:highlight w:val="none"/>
        </w:rPr>
        <w:t xml:space="preserve">22.3评委会独立工作，负责评审所有投标文件并确定中标候选人。</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23、评标过程的保密与公正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23.3 采购代理机构和评标委员会不向未中标的投标人解释未中标原因，也不公布评标过程中的相关细节。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spacing w:line="360" w:lineRule="auto"/>
        <w:rPr>
          <w:rFonts w:ascii="Arial" w:hAnsi="Arial" w:eastAsia="黑体"/>
          <w:color w:val="auto"/>
          <w:sz w:val="28"/>
          <w:szCs w:val="28"/>
          <w:highlight w:val="none"/>
        </w:rPr>
      </w:pPr>
      <w:r>
        <w:rPr>
          <w:rFonts w:hint="eastAsia" w:ascii="Arial" w:hAnsi="Arial" w:eastAsia="黑体"/>
          <w:color w:val="auto"/>
          <w:sz w:val="28"/>
          <w:szCs w:val="28"/>
          <w:highlight w:val="none"/>
        </w:rPr>
        <w:t xml:space="preserve">24．投标文件的澄清</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接到评委会澄清、说明和补正要求的投标人如未按规定做出澄清、说明和补正，其风险由投标人自行承担。</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25、对投标文件的初审</w:t>
      </w:r>
      <w:r/>
    </w:p>
    <w:p>
      <w:pPr>
        <w:ind w:firstLine="480"/>
        <w:spacing w:line="360" w:lineRule="auto"/>
        <w:rPr>
          <w:rFonts w:hint="eastAsia" w:ascii="宋体" w:hAnsi="宋体"/>
          <w:bCs/>
          <w:color w:val="auto"/>
          <w:sz w:val="24"/>
          <w:highlight w:val="none"/>
        </w:rPr>
      </w:pPr>
      <w:r/>
      <w:bookmarkStart w:id="131" w:name="_Toc20823307"/>
      <w:r/>
      <w:bookmarkStart w:id="132" w:name="_Toc513029235"/>
      <w:r/>
      <w:bookmarkStart w:id="133" w:name="_Toc16938551"/>
      <w:r/>
      <w:bookmarkStart w:id="134" w:name="_Toc120614219"/>
      <w:r>
        <w:rPr>
          <w:rFonts w:ascii="宋体" w:hAnsi="宋体"/>
          <w:bCs/>
          <w:color w:val="auto"/>
          <w:sz w:val="24"/>
          <w:highlight w:val="none"/>
        </w:rPr>
        <w:t xml:space="preserve">2</w:t>
      </w:r>
      <w:r>
        <w:rPr>
          <w:rFonts w:hint="eastAsia" w:ascii="宋体" w:hAnsi="宋体"/>
          <w:bCs/>
          <w:color w:val="auto"/>
          <w:sz w:val="24"/>
          <w:highlight w:val="none"/>
        </w:rPr>
        <w:t xml:space="preserve">5</w:t>
      </w:r>
      <w:r>
        <w:rPr>
          <w:rFonts w:ascii="宋体" w:hAnsi="宋体"/>
          <w:bCs/>
          <w:color w:val="auto"/>
          <w:sz w:val="24"/>
          <w:highlight w:val="none"/>
        </w:rPr>
        <w:t xml:space="preserve">、对投标文件的初审</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25.6投标人在开、评标全过程中应保持通讯畅通，及时登录苏采云系统查阅、答复相关信息，并安排专人与采购代理机构及评标委员会联系。</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26、无效投标条款和废标条款</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26.1无效投标条款</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26.1.1投标人在苏采云系统规定的时间内未成功解密电子投标文件的。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26.1.2投标人未按照招标文件要求上传电子投标文件的。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26.1.3同一投标人提交两个（含两个）以上不同的投标报价的。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26.1.4投标人不具备招标文件中规定资格要求的。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26.1.5投标人的报价超过了采购预算或最高限价的。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26.1.6未通过符合性审查的。</w:t>
      </w:r>
      <w:r/>
    </w:p>
    <w:p>
      <w:pPr>
        <w:pStyle w:val="905"/>
        <w:ind w:firstLine="360"/>
        <w:jc w:val="both"/>
        <w:spacing w:beforeAutospacing="0" w:afterAutospacing="0" w:line="0" w:lineRule="atLeast"/>
        <w:rPr>
          <w:rFonts w:hint="eastAsia" w:cs="宋体"/>
          <w:color w:val="auto"/>
          <w:highlight w:val="none"/>
        </w:rPr>
      </w:pPr>
      <w:r>
        <w:rPr>
          <w:rFonts w:hint="eastAsia" w:cs="宋体"/>
          <w:color w:val="auto"/>
          <w:highlight w:val="none"/>
        </w:rPr>
        <w:t xml:space="preserve">26.1.7不符合招标文件中规定的实质性要求和条件的（</w:t>
      </w:r>
      <w:r>
        <w:rPr>
          <w:rFonts w:hint="eastAsia" w:cs="宋体"/>
          <w:i/>
          <w:color w:val="auto"/>
          <w:highlight w:val="none"/>
          <w:u w:val="single"/>
        </w:rPr>
        <w:t xml:space="preserve">本招标文件中斜体且有下划线部分为实质性要求和条件）。</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26.1.9投标文件含有采购人不能接受的附加条件的。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26.1.10投标人不能证明其报价合理性的，评标委员会应当将其作为无效投标处理。</w:t>
      </w:r>
      <w:r/>
    </w:p>
    <w:p>
      <w:pPr>
        <w:pStyle w:val="905"/>
        <w:ind w:firstLine="480"/>
        <w:jc w:val="both"/>
        <w:spacing w:beforeAutospacing="0" w:afterAutospacing="0" w:line="0" w:lineRule="atLeast"/>
        <w:rPr>
          <w:rFonts w:hint="eastAsia" w:cs="宋体"/>
          <w:b/>
          <w:bCs/>
          <w:color w:val="auto"/>
          <w:highlight w:val="none"/>
        </w:rPr>
      </w:pPr>
      <w:r>
        <w:rPr>
          <w:rFonts w:hint="eastAsia" w:cs="宋体"/>
          <w:b/>
          <w:bCs/>
          <w:color w:val="auto"/>
          <w:highlight w:val="none"/>
        </w:rPr>
        <w:t xml:space="preserve">（一）评审过程中出现下列情形之一的，评标委员会应当启动异常低价投标审查程序：</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3.投标（响应）报价低于采购项目最高限价45%的，即投标（响应）报价&lt;采购项目最高限价×45%；</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4.评审委员会基于专业判断，认为供应商报价过低，有可能影响产品质量或者不能诚信履约的其他情形。</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u w:val="single"/>
        </w:rPr>
        <w:t xml:space="preserve">提醒：采购人可以结合具体项目实际情况，提高上述第1项至第3项中启动异常低价投标（响应）审查的数值标准，但是最高不得超过65%</w:t>
      </w:r>
      <w:r>
        <w:rPr>
          <w:rFonts w:hint="eastAsia" w:cs="宋体"/>
          <w:b/>
          <w:bCs/>
          <w:color w:val="auto"/>
          <w:highlight w:val="none"/>
        </w:rPr>
        <w:t xml:space="preserve">。</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相关法律法规对供应商报价有规定的，从其规定。</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5"/>
        <w:ind w:firstLine="480"/>
        <w:jc w:val="both"/>
        <w:spacing w:before="0" w:beforeAutospacing="0" w:after="0" w:afterAutospacing="0" w:line="0" w:lineRule="atLeast"/>
        <w:rPr>
          <w:rFonts w:hint="eastAsia" w:cs="宋体"/>
          <w:b/>
          <w:bCs/>
          <w:color w:val="auto"/>
          <w:highlight w:val="none"/>
        </w:rPr>
      </w:pPr>
      <w:r>
        <w:rPr>
          <w:rFonts w:hint="eastAsia"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26.1.11投标文件未按照招标文件要求加盖CA电子公章的。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26.1.12其他法律、法规及本招标文件规定的属无效投标的情形。</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26.2废标条款</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26.2.1符合专业条件的供应商或者对招标文件作实质响应的供应商不足三家的。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26.2.2出现影响采购公正的违法、违规行为的。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26.2.3因重大变故，采购任务取消的。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26.2.4评标委员会认定招标文件存在歧义、重大缺陷导致评审工作无法进行。</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26.2.5因苏采云系统系统故障原因造成开标不成功的。</w:t>
      </w:r>
      <w:r/>
    </w:p>
    <w:p>
      <w:pPr>
        <w:pStyle w:val="905"/>
        <w:ind w:left="479"/>
        <w:jc w:val="both"/>
        <w:spacing w:beforeAutospacing="0" w:afterAutospacing="0" w:line="0" w:lineRule="atLeast"/>
        <w:rPr>
          <w:rFonts w:hint="eastAsia" w:cs="宋体"/>
          <w:color w:val="auto"/>
          <w:highlight w:val="none"/>
        </w:rPr>
      </w:pPr>
      <w:r>
        <w:rPr>
          <w:rFonts w:hint="eastAsia" w:cs="宋体"/>
          <w:color w:val="auto"/>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65"/>
        <w:ind w:firstLine="482"/>
        <w:spacing w:before="0" w:after="0" w:line="360" w:lineRule="auto"/>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t xml:space="preserve">六、</w:t>
      </w:r>
      <w:bookmarkEnd w:id="131"/>
      <w:r/>
      <w:bookmarkEnd w:id="132"/>
      <w:r/>
      <w:bookmarkEnd w:id="133"/>
      <w:r>
        <w:rPr>
          <w:rFonts w:hint="eastAsia" w:ascii="宋体" w:hAnsi="宋体" w:eastAsia="宋体" w:cs="宋体"/>
          <w:color w:val="auto"/>
          <w:sz w:val="32"/>
          <w:szCs w:val="32"/>
          <w:highlight w:val="none"/>
        </w:rPr>
        <w:t xml:space="preserve">定标</w:t>
      </w:r>
      <w:bookmarkEnd w:id="134"/>
      <w:r/>
      <w:bookmarkStart w:id="135" w:name="_Toc16938554"/>
      <w:r/>
      <w:bookmarkEnd w:id="135"/>
      <w:r/>
      <w:bookmarkStart w:id="136" w:name="_Toc513029238"/>
      <w:r/>
      <w:bookmarkEnd w:id="136"/>
      <w:r/>
      <w:bookmarkStart w:id="137" w:name="_Toc20823310"/>
      <w:r/>
      <w:bookmarkEnd w:id="137"/>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27、确定中标单位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27.3 采购代理机构将在“中国政府采购网”、“江苏政府采购网”、“盐城市政府采购网”发布中标公告，公告期限为1个工作日。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27.4若有充分证据证明，中标人出现下列情况之一的，一经查实，将被取消中标资格：</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27.4.1提供虚假材料谋取中标的。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27.4.2向采购人、采购代理机构行贿或者提供其他不正当利益的。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27.4.3属于本文件规定的无效条件，但在评标过程中又未被评委会发现的。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27.4.4与采购人或者其他供应商恶意串通的。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27.4.5采取不正当手段诋毁、排挤其他供应商的。</w:t>
      </w:r>
      <w:r/>
    </w:p>
    <w:p>
      <w:pPr>
        <w:ind w:firstLine="480"/>
        <w:spacing w:line="360" w:lineRule="auto"/>
        <w:rPr>
          <w:rFonts w:hint="eastAsia" w:ascii="宋体" w:hAnsi="宋体"/>
          <w:bCs/>
          <w:color w:val="auto"/>
          <w:sz w:val="24"/>
          <w:highlight w:val="none"/>
        </w:rPr>
      </w:pPr>
      <w:r/>
      <w:bookmarkStart w:id="138" w:name="_Toc200451960"/>
      <w:r>
        <w:rPr>
          <w:rFonts w:hint="eastAsia" w:ascii="宋体" w:hAnsi="宋体"/>
          <w:bCs/>
          <w:color w:val="auto"/>
          <w:sz w:val="24"/>
          <w:highlight w:val="none"/>
        </w:rPr>
        <w:t xml:space="preserve">27.5.</w:t>
      </w:r>
      <w:r>
        <w:rPr>
          <w:rFonts w:ascii="宋体" w:hAnsi="宋体"/>
          <w:bCs/>
          <w:color w:val="auto"/>
          <w:sz w:val="24"/>
          <w:highlight w:val="none"/>
        </w:rPr>
        <w:t xml:space="preserve">有下列情形之一的，视为投标人串通投标，投标无效：</w:t>
      </w:r>
      <w:bookmarkEnd w:id="138"/>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27.5.1不同投标人的投标文件由同一单位或者个人编制；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27.5.2不同投标人委托同一单位或者个人办理投标事宜；</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27.5.3 不同投标人的投标文件载明的项目管理成员或者联系人员为同一人；</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27.5.4不同投标人的投标文件异常一致或者投标报价呈规律性差异。</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28、质疑处理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28.2.1</w:t>
      </w:r>
      <w:r>
        <w:rPr>
          <w:rFonts w:ascii="宋体" w:hAnsi="宋体"/>
          <w:bCs/>
          <w:color w:val="auto"/>
          <w:sz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28.2.2</w:t>
      </w:r>
      <w:r>
        <w:rPr>
          <w:rFonts w:ascii="宋体" w:hAnsi="宋体"/>
          <w:bCs/>
          <w:color w:val="auto"/>
          <w:sz w:val="24"/>
          <w:highlight w:val="none"/>
        </w:rPr>
        <w:t xml:space="preserve">对采购过程提出质疑的，为各采购程序环节结束之日；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28.2.3</w:t>
      </w:r>
      <w:r>
        <w:rPr>
          <w:rFonts w:ascii="宋体" w:hAnsi="宋体"/>
          <w:bCs/>
          <w:color w:val="auto"/>
          <w:sz w:val="24"/>
          <w:highlight w:val="none"/>
        </w:rPr>
        <w:t xml:space="preserve">对中标或者成交结果提出质疑的，为中标或者成交结果公告期限届满之日。</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28.4 采购人及采购代理机构只接收以纸质原件形式送达的质疑。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 以下情形的质疑不予受理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28.5.1 内容不符合《政府采购质疑和投诉办法》第十二条规定的质疑。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28.5.2 超出政府采购法定期限的质疑。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28.5.3 以传真、电子邮件等方式递交的非原件形式的质疑。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28.5.4 未参加投标活动的供应商或在投标活动中自身权益未受到损害的供应商所提出的质疑。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28.5.5供应商组成联合体参加投标，联合体中任何一方或多方未按要求签字、盖章、加盖公章的质疑。</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29、中标通知书</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64"/>
        <w:ind w:firstLine="321"/>
        <w:spacing w:before="143" w:after="143" w:line="360" w:lineRule="auto"/>
        <w:rPr>
          <w:color w:val="auto"/>
          <w:highlight w:val="none"/>
        </w:rPr>
      </w:pPr>
      <w:r>
        <w:rPr>
          <w:rFonts w:hint="eastAsia"/>
          <w:color w:val="auto"/>
          <w:highlight w:val="none"/>
        </w:rPr>
        <w:t xml:space="preserve">七、</w:t>
      </w:r>
      <w:r>
        <w:rPr>
          <w:rFonts w:ascii="Times New Roman" w:hAnsi="Times New Roman"/>
          <w:color w:val="auto"/>
          <w:szCs w:val="32"/>
          <w:highlight w:val="none"/>
        </w:rPr>
        <w:t xml:space="preserve">授予合同</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30. 签订合同</w:t>
      </w:r>
      <w:r/>
    </w:p>
    <w:p>
      <w:pPr>
        <w:pStyle w:val="1125"/>
        <w:rPr>
          <w:rFonts w:hint="eastAsia"/>
          <w:color w:val="auto"/>
          <w:highlight w:val="none"/>
        </w:rPr>
      </w:pPr>
      <w:r>
        <w:rPr>
          <w:rFonts w:hint="eastAsia"/>
          <w:color w:val="auto"/>
          <w:highlight w:val="none"/>
        </w:rPr>
        <w:t xml:space="preserve">30.l中标人应当在中标通知书发出之日起三十日内，按照招标文件确定的事项与采购人签订政府采购合同。</w:t>
      </w:r>
      <w:r/>
    </w:p>
    <w:p>
      <w:pPr>
        <w:pStyle w:val="1125"/>
        <w:rPr>
          <w:rFonts w:hint="eastAsia"/>
          <w:color w:val="auto"/>
          <w:highlight w:val="none"/>
        </w:rPr>
      </w:pPr>
      <w:r>
        <w:rPr>
          <w:rFonts w:hint="eastAsia"/>
          <w:color w:val="auto"/>
          <w:highlight w:val="none"/>
        </w:rPr>
        <w:t xml:space="preserve">30.2招标文件、中标人的投标文件及招标过程中有关澄清、承诺文件均应作为合同附件。</w:t>
      </w:r>
      <w:r/>
    </w:p>
    <w:p>
      <w:pPr>
        <w:pStyle w:val="1125"/>
        <w:rPr>
          <w:rFonts w:hint="eastAsia"/>
          <w:color w:val="auto"/>
          <w:highlight w:val="none"/>
        </w:rPr>
      </w:pPr>
      <w:r>
        <w:rPr>
          <w:rFonts w:hint="eastAsia"/>
          <w:color w:val="auto"/>
          <w:highlight w:val="none"/>
        </w:rPr>
        <w:t xml:space="preserve">30.3 签订合同后，</w:t>
      </w:r>
      <w:r>
        <w:rPr>
          <w:rFonts w:hint="eastAsia"/>
          <w:i/>
          <w:iCs/>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31、服务（包含与服务相关的货物）的追加</w:t>
      </w:r>
      <w:r/>
    </w:p>
    <w:p>
      <w:pPr>
        <w:pStyle w:val="865"/>
        <w:ind w:firstLine="420"/>
        <w:spacing w:before="0" w:after="0" w:line="360" w:lineRule="auto"/>
        <w:rPr>
          <w:b w:val="0"/>
          <w:bCs w:val="0"/>
          <w:color w:val="auto"/>
          <w:highlight w:val="none"/>
        </w:rPr>
      </w:pPr>
      <w:r>
        <w:rPr>
          <w:rFonts w:hint="eastAsia" w:ascii="宋体" w:hAnsi="宋体" w:eastAsia="宋体" w:cs="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b w:val="0"/>
          <w:bCs w:val="0"/>
          <w:color w:val="auto"/>
          <w:highlight w:val="none"/>
        </w:rPr>
        <w:t xml:space="preserve">。</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32.政府采购政策功能落实</w:t>
      </w:r>
      <w:r/>
    </w:p>
    <w:p>
      <w:pPr>
        <w:pStyle w:val="905"/>
        <w:ind w:firstLine="600"/>
        <w:jc w:val="both"/>
        <w:keepLines/>
        <w:keepNext/>
        <w:spacing w:beforeAutospacing="0" w:afterAutospacing="0"/>
        <w:rPr>
          <w:rFonts w:hint="eastAsia" w:cs="宋体"/>
          <w:color w:val="auto"/>
          <w:highlight w:val="none"/>
        </w:rPr>
      </w:pPr>
      <w:r>
        <w:rPr>
          <w:rFonts w:hint="eastAsia" w:cs="宋体"/>
          <w:color w:val="auto"/>
          <w:highlight w:val="none"/>
        </w:rPr>
        <w:t xml:space="preserve">32.1政府采购线上合同信用融资政策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32.2进口产品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32.3中小企业、监狱企业及残疾人福利性单位</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32.3.1中小企业定义：</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中小企业是</w:t>
      </w:r>
      <w:r>
        <w:rPr>
          <w:rFonts w:hint="eastAsia"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32.3.2供应商提供的货物、工程或者服务符合下列情形的，享受中小企业扶持政策：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32.3.2.1在货物采购项目中，货物由中小企业制造，即货物由中小企业生产且使用该中小企业商号或者注册商标；</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32.3.2.2在工程采购项目中，工程由中小企业承建，即工程施工单位为中小企业；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32.3.2.3在服务采购项目中，服务由中小企业承接，即提供服务的人员为中小企业依照《中华人民共和国劳动合同法》订立劳动合同的从业人员。</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32.3.3在货物采购项目中，供应商提供的货物既有中小企业制造货物，也有大型企业制造货物的，不享受中小企业扶持政策。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32.3.6残疾人福利单位定义：享受政府采购支持政策的残疾人福利性单位应当同时满足以下条件：</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32.3.6.1安置的残疾人占本单位在职职工人数的比例不低于25%（含25%），并且安置的残疾人人数不少于10 人（含10 人）；</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32.3.6.2依法与安置的每位残疾人签订了一年以上（含一年）的劳动合同或服务协议；</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32.3.6.3为安置的每位残疾人按月足额缴纳了基本养老保险、基本医疗保险、失业保险、工伤保险和生育保险等社会保险费；</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32.3.6.4通过银行等金融机构向安置的每位残疾人，按月支付了不低于单位所在区县适用的经省级人民政府批准的月最低工资标准的工资；</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32.3.7本项目是否专门面向中小企业预留采购份额见第一章《招标公告》。</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32.3.8采购标的对应的中小企业划分标准所属行业见第四章《采购需求》。</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32.3.9小微企业价格评审优惠的政策：见第五章《评标方法和评标标准》。</w:t>
      </w:r>
      <w:r/>
    </w:p>
    <w:p>
      <w:pPr>
        <w:pStyle w:val="905"/>
        <w:ind w:firstLine="480"/>
        <w:jc w:val="both"/>
        <w:keepLines/>
        <w:keepNext/>
        <w:spacing w:beforeAutospacing="0" w:afterAutospacing="0"/>
        <w:rPr>
          <w:rFonts w:hint="eastAsia" w:cs="宋体"/>
          <w:color w:val="auto"/>
          <w:highlight w:val="none"/>
        </w:rPr>
      </w:pPr>
      <w:r>
        <w:rPr>
          <w:rFonts w:hint="eastAsia" w:cs="宋体"/>
          <w:color w:val="auto"/>
          <w:highlight w:val="none"/>
        </w:rPr>
        <w:t xml:space="preserve">32.4政府采购节能产品、环境标志产品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32.4.1严格执行政府采购关于支持</w:t>
      </w:r>
      <w:r>
        <w:rPr>
          <w:rFonts w:hint="eastAsia"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32.5绿色包装</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32.6政府采购创新产品</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32.7绿色数据中心政策 </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本文件中若涉及到数据中心采购，采购人应依据《绿色数据中心政府采购需求标准（试行）》（财办库〔2023〕7号）文件精神</w:t>
      </w:r>
      <w:r>
        <w:rPr>
          <w:rFonts w:hint="eastAsia"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32.8实施本国产品标准及相关政策</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1.本项目对采购本国产品给予政策支持，具体内容见招标文件“第五章 评标方法与评标标准”。</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cs="宋体"/>
          <w:color w:val="auto"/>
          <w:sz w:val="24"/>
          <w:highlight w:val="none"/>
        </w:rPr>
      </w:pPr>
      <w:r>
        <w:rPr>
          <w:rFonts w:hint="eastAsia" w:ascii="宋体" w:hAnsi="宋体" w:cs="宋体"/>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auto"/>
          <w:sz w:val="24"/>
          <w:highlight w:val="none"/>
        </w:rPr>
      </w:pPr>
      <w:r>
        <w:rPr>
          <w:rFonts w:hint="eastAsia" w:ascii="宋体" w:hAnsi="宋体" w:cs="宋体"/>
          <w:color w:val="auto"/>
          <w:sz w:val="24"/>
          <w:highlight w:val="none"/>
        </w:rPr>
        <w:t xml:space="preserve">32.9履约保证金政策</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确需收取履约保证金的，履约保证金的缴纳形式：</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 如以履约保函（保险）形式缴纳履约保证金，供应商可通过政府采购电子履约保函（保险）平台（www.jsdzbh.com）在线申请履约保函（保险）。</w:t>
      </w:r>
      <w:r/>
    </w:p>
    <w:p>
      <w:pPr>
        <w:pStyle w:val="905"/>
        <w:ind w:firstLine="480"/>
        <w:jc w:val="both"/>
        <w:spacing w:beforeAutospacing="0" w:afterAutospacing="0" w:line="0" w:lineRule="atLeast"/>
        <w:rPr>
          <w:rFonts w:hint="eastAsia" w:cs="宋体"/>
          <w:color w:val="auto"/>
          <w:highlight w:val="none"/>
        </w:rPr>
      </w:pPr>
      <w:r>
        <w:rPr>
          <w:rFonts w:hint="eastAsia"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5"/>
        <w:ind w:firstLine="420"/>
        <w:spacing w:before="0" w:after="0" w:line="360" w:lineRule="auto"/>
        <w:rPr>
          <w:b w:val="0"/>
          <w:bCs w:val="0"/>
          <w:color w:val="auto"/>
          <w:highlight w:val="none"/>
        </w:rPr>
      </w:pPr>
      <w:r>
        <w:rPr>
          <w:rFonts w:hint="eastAsia"/>
          <w:b w:val="0"/>
          <w:bCs w:val="0"/>
          <w:color w:val="auto"/>
          <w:highlight w:val="none"/>
        </w:rPr>
        <w:t xml:space="preserve">33. 预付款制度</w:t>
      </w:r>
      <w:r/>
    </w:p>
    <w:p>
      <w:pPr>
        <w:ind w:firstLine="48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p>
    <w:p>
      <w:pPr>
        <w:pStyle w:val="1125"/>
        <w:rPr>
          <w:rFonts w:hint="eastAsia"/>
          <w:color w:val="auto"/>
          <w:highlight w:val="none"/>
        </w:rPr>
      </w:pPr>
      <w:r>
        <w:rPr>
          <w:rFonts w:hint="eastAsia"/>
          <w:color w:val="auto"/>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olor w:val="auto"/>
          <w:sz w:val="44"/>
          <w:szCs w:val="44"/>
          <w:highlight w:val="none"/>
        </w:rPr>
      </w:pPr>
      <w:r>
        <w:rPr>
          <w:rFonts w:ascii="黑体" w:eastAsia="黑体"/>
          <w:color w:val="auto"/>
          <w:sz w:val="44"/>
          <w:szCs w:val="44"/>
          <w:highlight w:val="none"/>
        </w:rPr>
      </w:r>
      <w:r/>
    </w:p>
    <w:p>
      <w:pPr>
        <w:jc w:val="center"/>
        <w:spacing w:line="360" w:lineRule="auto"/>
        <w:rPr>
          <w:rFonts w:ascii="黑体" w:eastAsia="黑体" w:cs="Arial"/>
          <w:bCs/>
          <w:color w:val="auto"/>
          <w:sz w:val="44"/>
          <w:szCs w:val="44"/>
          <w:highlight w:val="none"/>
        </w:rPr>
      </w:pPr>
      <w:r>
        <w:rPr>
          <w:rFonts w:hint="eastAsia" w:ascii="黑体" w:eastAsia="黑体"/>
          <w:color w:val="auto"/>
          <w:sz w:val="44"/>
          <w:szCs w:val="44"/>
          <w:highlight w:val="none"/>
        </w:rPr>
        <w:t xml:space="preserve">第三章 合同文本</w:t>
      </w:r>
      <w:r/>
    </w:p>
    <w:p>
      <w:pPr>
        <w:ind w:firstLine="480"/>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以下为成交后</w:t>
      </w:r>
      <w:r>
        <w:rPr>
          <w:rFonts w:hint="eastAsia" w:asciiTheme="minorEastAsia" w:hAnsiTheme="minorEastAsia" w:cstheme="minorEastAsia"/>
          <w:bCs/>
          <w:color w:val="auto"/>
          <w:sz w:val="24"/>
          <w:highlight w:val="none"/>
        </w:rPr>
        <w:t xml:space="preserve">签订</w:t>
      </w:r>
      <w:r>
        <w:rPr>
          <w:rFonts w:hint="eastAsia" w:asciiTheme="minorEastAsia" w:hAnsiTheme="minorEastAsia" w:eastAsiaTheme="minorEastAsia" w:cstheme="minorEastAsia"/>
          <w:bCs/>
          <w:color w:val="auto"/>
          <w:sz w:val="24"/>
          <w:highlight w:val="none"/>
        </w:rPr>
        <w:t xml:space="preserve">本项目合同的通用条款，成交供应商不得提出实质性的修改，关于专用条款将由采购人与成交供应商结合本项目具体情况协商后签订。</w:t>
      </w:r>
      <w:r/>
    </w:p>
    <w:p>
      <w:pPr>
        <w:pStyle w:val="884"/>
        <w:ind w:firstLine="482"/>
        <w:jc w:val="center"/>
        <w:rPr>
          <w:rFonts w:asciiTheme="minorEastAsia" w:hAnsiTheme="minorEastAsia" w:eastAsiaTheme="minorEastAsia" w:cstheme="minorEastAsia"/>
          <w:b/>
          <w:color w:val="auto"/>
          <w:sz w:val="24"/>
          <w:szCs w:val="24"/>
          <w:highlight w:val="none"/>
        </w:rPr>
      </w:pPr>
      <w:r/>
      <w:bookmarkStart w:id="139" w:name="_Hlt16619369"/>
      <w:r/>
      <w:bookmarkEnd w:id="139"/>
      <w:r>
        <w:rPr>
          <w:rFonts w:hint="eastAsia" w:asciiTheme="minorEastAsia" w:hAnsiTheme="minorEastAsia" w:eastAsiaTheme="minorEastAsia" w:cstheme="minorEastAsia"/>
          <w:b/>
          <w:color w:val="auto"/>
          <w:sz w:val="24"/>
          <w:szCs w:val="24"/>
          <w:highlight w:val="none"/>
        </w:rPr>
        <w:t xml:space="preserve">政府采购合同（服务类）</w:t>
      </w:r>
      <w:r/>
    </w:p>
    <w:p>
      <w:pPr>
        <w:pStyle w:val="884"/>
        <w:ind w:firstLine="480"/>
        <w:spacing w:line="520" w:lineRule="exact"/>
        <w:rPr>
          <w:rFonts w:hint="eastAsia" w:hAnsi="宋体" w:cs="宋体"/>
          <w:color w:val="auto"/>
          <w:sz w:val="24"/>
          <w:szCs w:val="24"/>
          <w:highlight w:val="none"/>
          <w:u w:val="single"/>
        </w:rPr>
      </w:pPr>
      <w:r>
        <w:rPr>
          <w:rFonts w:hint="eastAsia" w:hAnsi="宋体" w:cs="宋体"/>
          <w:color w:val="auto"/>
          <w:sz w:val="24"/>
          <w:szCs w:val="24"/>
          <w:highlight w:val="none"/>
        </w:rPr>
        <w:t xml:space="preserve">项目名称：盐城市盐都区2026年度一体化调查监测（国土变更调查）项目</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甲方：盐城市自然资源和规划局盐都分局</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乙方：                              </w:t>
      </w:r>
      <w:r/>
    </w:p>
    <w:p>
      <w:pPr>
        <w:pStyle w:val="884"/>
        <w:ind w:firstLine="480"/>
        <w:spacing w:line="520" w:lineRule="exact"/>
        <w:rPr>
          <w:rFonts w:hint="eastAsia" w:hAnsi="宋体" w:cs="宋体"/>
          <w:b/>
          <w:color w:val="auto"/>
          <w:sz w:val="24"/>
          <w:szCs w:val="24"/>
          <w:highlight w:val="none"/>
        </w:rPr>
      </w:pPr>
      <w:r>
        <w:rPr>
          <w:rFonts w:hint="eastAsia" w:hAnsi="宋体" w:cs="宋体"/>
          <w:color w:val="auto"/>
          <w:sz w:val="24"/>
          <w:szCs w:val="24"/>
          <w:highlight w:val="none"/>
        </w:rPr>
        <w:t xml:space="preserve">甲、乙双方根据盐城市政府采购（</w:t>
      </w:r>
      <w:r>
        <w:rPr>
          <w:rFonts w:hint="eastAsia" w:hAnsi="宋体" w:cs="宋体"/>
          <w:color w:val="auto"/>
          <w:sz w:val="24"/>
          <w:szCs w:val="24"/>
          <w:highlight w:val="none"/>
          <w:u w:val="single"/>
        </w:rPr>
        <w:t xml:space="preserve">项目编号：            </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盐城市盐都区2026年度一体化调查监测（国土变更调查）项目</w:t>
      </w:r>
      <w:r>
        <w:rPr>
          <w:rFonts w:hint="eastAsia" w:hAnsi="宋体" w:cs="宋体"/>
          <w:color w:val="auto"/>
          <w:sz w:val="24"/>
          <w:szCs w:val="24"/>
          <w:highlight w:val="none"/>
        </w:rPr>
        <w:t xml:space="preserve">公开招标的结果，签署本合同。</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一、合同内容</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1.1服务名称：盐城市盐都区2026年度一体化调查监测（国土变更调查）项目</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1.2服务内容：盐城市盐都区2026年度一体化调查监测（国土变更调查）项目；具体服务内容包含（不限于）招标文件的项目需求中的全部内容。</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1.3履行时间（期限）：具体按照江苏省自然资源厅、盐城市自然资源和规划局要求的时间节点提交相应成果。</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1.4 售后服务期限：</w:t>
      </w:r>
      <w:r/>
    </w:p>
    <w:p>
      <w:pPr>
        <w:pStyle w:val="905"/>
        <w:ind w:firstLine="480"/>
        <w:jc w:val="both"/>
        <w:spacing w:before="0" w:beforeAutospacing="0" w:after="0" w:afterAutospacing="0" w:line="520" w:lineRule="exact"/>
        <w:rPr>
          <w:rFonts w:hint="eastAsia" w:cs="宋体"/>
          <w:color w:val="auto"/>
          <w:highlight w:val="none"/>
          <w:u w:val="single"/>
        </w:rPr>
      </w:pPr>
      <w:r>
        <w:rPr>
          <w:rFonts w:hint="eastAsia" w:cs="宋体"/>
          <w:color w:val="auto"/>
          <w:highlight w:val="none"/>
        </w:rPr>
        <w:t xml:space="preserve">1.5履行地点：甲方指定的具体地点。</w:t>
      </w:r>
      <w:r/>
    </w:p>
    <w:p>
      <w:pPr>
        <w:pStyle w:val="905"/>
        <w:ind w:firstLine="480"/>
        <w:jc w:val="both"/>
        <w:spacing w:before="0" w:beforeAutospacing="0" w:after="0" w:afterAutospacing="0" w:line="520" w:lineRule="exact"/>
        <w:rPr>
          <w:rFonts w:hint="eastAsia" w:cs="宋体"/>
          <w:color w:val="auto"/>
          <w:highlight w:val="none"/>
        </w:rPr>
      </w:pPr>
      <w:r>
        <w:rPr>
          <w:rFonts w:hint="eastAsia" w:cs="宋体"/>
          <w:color w:val="auto"/>
          <w:highlight w:val="none"/>
        </w:rPr>
        <w:t xml:space="preserve">1.6履行方式：到甲方指定地点并通过甲方审查。</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二、合同金额</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2.1本项目暂定合同总金额为：人民币（大写）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），其中测绘部分金额：人民币（大写）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）。（最终结算金额不得超过暂定合同总金额）</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三、技术资料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3.1乙方应按招标文件规定的时间向甲方提供使用服务（包含与服务相关的货物）的有关技术资料。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四、知识产权</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4.2 乙方保证所交付标的的所有权完全属于甲方。</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五、安全与保密</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5.1项目服务过程中涉及到的涉密和敏感图文资料、电子数据，编制单位应严格执行保密的相关规定，不得以任何方式向任何第三人披露、泄露或许可第三人使用，保密义务不受合同期限限制，长期有效。</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六、履约保证金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6.1乙方交纳人民币（大写）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作为本合同的履约保证金（合同金额的5%）；于合同履行完毕后同合同款一起无息退还。引用盐城信用办推行的第三方信用报告，AAA的供应商免交履约保证金，AA的供应商按一半金额缴纳(需提供信用管理部门备案的第三方信用报告)。</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6.2确需收取履约保证金的，履约保证金的缴纳形式：</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6.3合同履行结束后，甲方应及时退还交纳的履约保证金。</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6.4履约保证金的退还：</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6.4.1方式：无息退还至投标人缴纳履约保证金的账户。如为保函，在到期时自行失效。</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6.4.2时间：验收合格且采购人收到发票后10个工作日内。</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6.4.3条件：按合同要求全部履约完成并经采购人验收合格，且采购人收到中标人出具的发票。</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6.4.4不予退还情形：</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除不可抗力情况外，投标人出现下列情形之一的，其履约保证金，招标人将视情节决定不予退还或部分不予退还。</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（1）中标人无正当理由拒绝签订合同的，或者在签订合同时向采购人提出附加条件或者更改合同实质性内容要求的；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（2）中标人不履行与采购人订立的合同的；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（3）中标人所供货物或服务不符合招标文件规定要求的；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（4）中标人采取欺骗、弄虚作假方式投标的或与其它投标人串通投标的；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（5）中标人将合同内容转包、违法分包的；</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（6）中标人故意捏造事实或伪造证明材料，进行虚假恶意投诉或反映的。</w:t>
      </w:r>
      <w:r/>
    </w:p>
    <w:p>
      <w:pPr>
        <w:pStyle w:val="884"/>
        <w:ind w:firstLine="480"/>
        <w:spacing w:line="520" w:lineRule="exact"/>
        <w:rPr>
          <w:rFonts w:hint="eastAsia" w:hAnsi="宋体" w:cs="宋体"/>
          <w:bCs/>
          <w:color w:val="auto"/>
          <w:sz w:val="24"/>
          <w:szCs w:val="24"/>
          <w:highlight w:val="none"/>
        </w:rPr>
      </w:pPr>
      <w:r>
        <w:rPr>
          <w:rFonts w:hint="eastAsia" w:hAnsi="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七、合同转包或分包</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7.1乙方不得将合同标的转包给他人履行。</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7.2乙方不得将合同标的分包给他人履行。</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7.3乙方如有转包或未经甲方同意的分包行为，甲方有权给予终止合同。</w:t>
      </w:r>
      <w:r/>
    </w:p>
    <w:p>
      <w:pPr>
        <w:pStyle w:val="884"/>
        <w:ind w:firstLine="482"/>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八、付款方式</w:t>
      </w:r>
      <w:r/>
    </w:p>
    <w:p>
      <w:pPr>
        <w:ind w:firstLine="480"/>
        <w:spacing w:before="120" w:after="120" w:line="500" w:lineRule="exact"/>
        <w:rPr>
          <w:rFonts w:hint="eastAsia" w:hAnsi="宋体"/>
          <w:color w:val="auto"/>
          <w:sz w:val="24"/>
          <w:highlight w:val="none"/>
        </w:rPr>
      </w:pPr>
      <w:r>
        <w:rPr>
          <w:rFonts w:hint="eastAsia" w:ascii="宋体" w:hAnsi="宋体" w:cs="宋体"/>
          <w:color w:val="auto"/>
          <w:sz w:val="24"/>
          <w:highlight w:val="none"/>
        </w:rPr>
        <w:t xml:space="preserve">8.1付款方式：合同预付款的比例为30%，合同签订后，甲方在收到发票后10个工作日内将预付款支付到合同约定的乙方账户；</w:t>
      </w:r>
      <w:r>
        <w:rPr>
          <w:rFonts w:hint="eastAsia" w:ascii="宋体" w:hAnsi="宋体"/>
          <w:bCs/>
          <w:color w:val="auto"/>
          <w:sz w:val="24"/>
          <w:highlight w:val="none"/>
        </w:rPr>
        <w:t xml:space="preserve">甲方对乙方提交的服务依据招标文件上的项目需求要求、乙方响应文件、合同及国家有关质量标准进行验收</w:t>
      </w:r>
      <w:r>
        <w:rPr>
          <w:rFonts w:hint="eastAsia" w:hAnsi="宋体"/>
          <w:bCs/>
          <w:color w:val="auto"/>
          <w:sz w:val="24"/>
          <w:highlight w:val="none"/>
        </w:rPr>
        <w:t xml:space="preserve">，</w:t>
      </w:r>
      <w:r>
        <w:rPr>
          <w:rFonts w:hint="eastAsia" w:hAnsi="宋体" w:cs="宋体"/>
          <w:bCs/>
          <w:color w:val="auto"/>
          <w:sz w:val="24"/>
          <w:highlight w:val="none"/>
        </w:rPr>
        <w:t xml:space="preserve">且</w:t>
      </w:r>
      <w:r>
        <w:rPr>
          <w:rFonts w:hint="eastAsia" w:hAnsi="宋体"/>
          <w:color w:val="auto"/>
          <w:sz w:val="24"/>
          <w:highlight w:val="none"/>
        </w:rPr>
        <w:t xml:space="preserve">相关成果需通过区级自查、市级复查合格，通过</w:t>
      </w:r>
      <w:r>
        <w:rPr>
          <w:rFonts w:hint="eastAsia" w:ascii="宋体" w:hAnsi="宋体"/>
          <w:bCs/>
          <w:color w:val="auto"/>
          <w:sz w:val="24"/>
          <w:highlight w:val="none"/>
        </w:rPr>
        <w:t xml:space="preserve">上级部门核查</w:t>
      </w:r>
      <w:r>
        <w:rPr>
          <w:rFonts w:hint="eastAsia" w:hAnsi="宋体"/>
          <w:bCs/>
          <w:color w:val="auto"/>
          <w:sz w:val="24"/>
          <w:highlight w:val="none"/>
        </w:rPr>
        <w:t xml:space="preserve">，并经甲方验收合格的，在甲、乙双方对账结算，且甲方在收到乙方开具的发票后10个工作日内</w:t>
      </w:r>
      <w:r>
        <w:rPr>
          <w:rFonts w:hint="eastAsia" w:hAnsi="宋体"/>
          <w:color w:val="auto"/>
          <w:sz w:val="24"/>
          <w:highlight w:val="none"/>
        </w:rPr>
        <w:t xml:space="preserve">一次性结清剩余费用。</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注：以上付款均不计任何利息和相关费用，付款一律通过银行结转。每次付款前提是乙方已提供合法票据。</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测绘暂定量约为100宗，5亩以下地块1500元/宗，5亩以上地块0.2元/㎡+1500元/宗（单宗地限价5万）。当采购数量与实际使用数量不一致时，应根据实际使用量按实结算，测绘部分最终结算金额按实际使用量乘以上述单价进行计算，如测绘部分实际服务总价超过该部分中标总价，则按该部分中标总价进行结算。超过该部分中标总价的价款已综合分摊到乙方的报价和合同价款中，乙方承诺不再主张。</w:t>
      </w:r>
      <w:r/>
    </w:p>
    <w:p>
      <w:pPr>
        <w:ind w:firstLine="482"/>
        <w:spacing w:before="143" w:after="143"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九、项目验收</w:t>
      </w:r>
      <w:r/>
    </w:p>
    <w:p>
      <w:pPr>
        <w:ind w:firstLine="480"/>
        <w:spacing w:before="120" w:after="120" w:line="460" w:lineRule="exact"/>
        <w:rPr>
          <w:rFonts w:hint="eastAsia" w:ascii="宋体" w:hAnsi="宋体"/>
          <w:color w:val="auto"/>
          <w:sz w:val="24"/>
          <w:highlight w:val="none"/>
        </w:rPr>
      </w:pPr>
      <w:r>
        <w:rPr>
          <w:rFonts w:hint="eastAsia" w:ascii="宋体" w:hAnsi="宋体" w:cs="宋体"/>
          <w:bCs/>
          <w:color w:val="auto"/>
          <w:sz w:val="24"/>
          <w:highlight w:val="none"/>
        </w:rPr>
        <w:t xml:space="preserve">9.1甲方依法组织履约验收工作。</w:t>
      </w:r>
      <w:r>
        <w:rPr>
          <w:rFonts w:hint="eastAsia" w:ascii="宋体" w:hAnsi="宋体"/>
          <w:color w:val="auto"/>
          <w:sz w:val="24"/>
          <w:highlight w:val="none"/>
        </w:rPr>
        <w:t xml:space="preserve">验收的依据包括招标文件的各项要求、乙方的投标文件以及甲方上级部门要求、国家相关法规政策规定。</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9.2甲方在组织履约验收前，将根据项目特点制定验收方案，明确履约验收的时间、方式、程序等内容，并可根据项目特点对服务期内的服务实施情况进行考核，对服务成果进行验收。乙方应根据验收方案内容做好相应配合工作。</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9.3对于实际使用人和甲方分离的项目，甲方邀请实际使用人参与验收。</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int="eastAsia" w:hAnsi="宋体"/>
          <w:b/>
          <w:color w:val="auto"/>
          <w:sz w:val="24"/>
          <w:highlight w:val="none"/>
        </w:rPr>
      </w:pPr>
      <w:r>
        <w:rPr>
          <w:rFonts w:hint="eastAsia" w:ascii="宋体" w:hAnsi="宋体" w:cs="宋体"/>
          <w:bCs/>
          <w:color w:val="auto"/>
          <w:sz w:val="24"/>
          <w:highlight w:val="none"/>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884"/>
        <w:ind w:firstLine="482"/>
        <w:spacing w:before="120" w:after="120" w:line="520" w:lineRule="exact"/>
        <w:tabs>
          <w:tab w:val="left" w:pos="454" w:leader="none"/>
        </w:tabs>
        <w:rPr>
          <w:rFonts w:hint="eastAsia" w:hAnsi="宋体" w:cs="宋体"/>
          <w:b/>
          <w:color w:val="auto"/>
          <w:sz w:val="24"/>
          <w:szCs w:val="24"/>
          <w:highlight w:val="none"/>
        </w:rPr>
      </w:pPr>
      <w:r>
        <w:rPr>
          <w:rFonts w:hint="eastAsia" w:hAnsi="宋体" w:cs="宋体"/>
          <w:b/>
          <w:color w:val="auto"/>
          <w:sz w:val="24"/>
          <w:szCs w:val="24"/>
          <w:highlight w:val="none"/>
        </w:rPr>
        <w:t xml:space="preserve">十、双方的权利及义务</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10.1甲方根据乙方需要，参与项目的相关讨论和调研活动，给予支持与指导。</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10.2甲方对乙方的工作进度和阶段性成果进行监督、检查。</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10.3甲方应在合同签订后三日内，提供项目各项背景材料及政策性文件。</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10.4乙方按照合同规定及甲方要求，按时按量完成工作，按甲方需要提交书面及电子文件。</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10.5乙方须按照本项目所涉要求制定项目实施方案并报甲方同意后实施项目，履行承诺，保证质量。</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10.6甲方对乙方在项目实施中发生的违法、违规、违约行为，按法律规定、协议约定进行处理。</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10.7甲方须为乙方提供政策咨询及必要支持，在政策允许范围内协助乙方做好项目实施工作。</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10.8在项目实施过程中，乙方不得向甲方提供虚假资料或信息。</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10.9乙方应主动接受并配合甲方及相关财政、审计等部门对本项目的检查、指导和监督。</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10.11双方应对在合同签订、履行过程中知悉的对方不公开信息予以保密，且该保密义务不因合同解除或履行完毕而终止。</w:t>
      </w:r>
      <w:r/>
    </w:p>
    <w:p>
      <w:pPr>
        <w:ind w:firstLine="482"/>
        <w:spacing w:line="5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十一、违约责任</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11.1乙方在约定期限内向甲方提供服务成果，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11.3乙方逾期交付服务成果或成果验收不符合要求的，乙方应按合同总额每日千分之六向甲方支付违约金。逾期超过约定日期</w:t>
      </w:r>
      <w:r>
        <w:rPr>
          <w:rFonts w:hint="eastAsia" w:ascii="宋体" w:hAnsi="宋体" w:cs="宋体"/>
          <w:bCs/>
          <w:color w:val="auto"/>
          <w:sz w:val="28"/>
          <w:szCs w:val="28"/>
          <w:highlight w:val="none"/>
        </w:rPr>
        <w:t xml:space="preserve">1</w:t>
      </w:r>
      <w:r>
        <w:rPr>
          <w:rFonts w:hint="eastAsia" w:ascii="宋体" w:hAnsi="宋体" w:cs="宋体"/>
          <w:bCs/>
          <w:color w:val="auto"/>
          <w:sz w:val="24"/>
          <w:highlight w:val="none"/>
        </w:rPr>
        <w:t xml:space="preserve">0个工作日不能交付的，甲方可解除本合同。甲方依法依约解除合同的，乙方应向甲方支付合同金额百分之五的违约金，乙方应退还预付款，甲方有权不再付款。如造成</w:t>
      </w:r>
      <w:r>
        <w:rPr>
          <w:rFonts w:hint="eastAsia" w:ascii="宋体" w:hAnsi="宋体" w:cs="宋体"/>
          <w:bCs/>
          <w:color w:val="auto"/>
          <w:sz w:val="24"/>
          <w:highlight w:val="none"/>
        </w:rPr>
        <w:t xml:space="preserve">甲方损失超过违约金的，超出部分由乙方继续承担赔偿责任，乙方还应承担甲方为追究乙方违约责任或实现债权所支出的全部费用，包括但不限于律师费、鉴定费、保全保险费等。乙方提交的服务成果不符合合同约定，甲方可要求乙方无偿修改，直至达到验收标准，由此产生的所有费用及逾期的责任由乙方自行承担；甲方也可要求解除合同，乙方应向甲方支付合同金额百分之五的违约金，并应退还预付款，如造成甲方损失超过违约金的，超出部分由乙方继续承担赔偿责任（包括但不限于律师费、鉴定费、保全保险费、另行委托第三方为本项目提供服务所额外产生的费用等）。</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11.4乙方所提交的成果的技术参数、质量不符合合同规定及招标文件规定标准的，甲方有权拒收。</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11.5若乙方违反知识产权、保密条款，除支付合同价百分之五违约金外，还应立即停止侵权行为，消除影响，并赔偿甲方因此遭受的损失。</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11.6乙方违反第7.1条或第7.2条约定的，甲方有权立即解除合同，乙方应按合同总额的百分之五向甲方支付违约金，并退还甲方已支付的全部费用，赔偿甲方因此遭受的全部损失。</w:t>
      </w:r>
      <w:r/>
    </w:p>
    <w:p>
      <w:pPr>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11.7因乙方原因导致合同解除的，乙方除承担合同价百分之五违约金外，还应赔偿因此给甲方造成的全部损失。</w:t>
      </w:r>
      <w:r/>
    </w:p>
    <w:p>
      <w:pPr>
        <w:pStyle w:val="884"/>
        <w:ind w:firstLine="482"/>
        <w:spacing w:before="120" w:after="120" w:line="52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十二、不可抗力事件处理</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884"/>
        <w:ind w:firstLine="480"/>
        <w:spacing w:before="120" w:after="120" w:line="52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12.2不可抗力事件发生后，应立即通知对方，并寄送有关权威机构出具的证明。</w:t>
      </w:r>
      <w:r/>
    </w:p>
    <w:p>
      <w:pPr>
        <w:pStyle w:val="884"/>
        <w:ind w:firstLine="480"/>
        <w:spacing w:line="520" w:lineRule="exact"/>
        <w:rPr>
          <w:rFonts w:hint="eastAsia" w:hAnsi="宋体" w:cs="宋体"/>
          <w:color w:val="auto"/>
          <w:sz w:val="24"/>
          <w:szCs w:val="24"/>
          <w:highlight w:val="none"/>
        </w:rPr>
      </w:pPr>
      <w:r>
        <w:rPr>
          <w:rFonts w:hint="eastAsia" w:hAnsi="宋体" w:cs="宋体"/>
          <w:color w:val="auto"/>
          <w:sz w:val="24"/>
          <w:szCs w:val="24"/>
          <w:highlight w:val="none"/>
        </w:rPr>
        <w:t xml:space="preserve">12.3不可抗力事件延续120天以上，双方应通过友好协商，确定是否继续履行合同。</w:t>
      </w:r>
      <w:r/>
    </w:p>
    <w:p>
      <w:pPr>
        <w:pStyle w:val="884"/>
        <w:ind w:firstLine="482"/>
        <w:spacing w:before="120" w:after="120" w:line="48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十三、解决争议的方法</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13.1双方在签订、履行合同中所发生的一切争议，应通过友好协商解决。如协商不成，由甲方住所地人民法院管辖。</w:t>
      </w:r>
      <w:r/>
    </w:p>
    <w:p>
      <w:pPr>
        <w:pStyle w:val="884"/>
        <w:ind w:firstLine="482"/>
        <w:spacing w:line="48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十四、合同生效及其它</w:t>
      </w:r>
      <w:r/>
    </w:p>
    <w:p>
      <w:pPr>
        <w:pStyle w:val="884"/>
        <w:ind w:firstLine="480"/>
        <w:spacing w:before="120" w:after="120" w:line="48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14.1合同经双方法定代表人或授权委托代表人签字并加盖单位公章后生效。</w:t>
      </w:r>
      <w:r/>
    </w:p>
    <w:p>
      <w:pPr>
        <w:pStyle w:val="884"/>
        <w:ind w:firstLine="480"/>
        <w:spacing w:before="120" w:after="120" w:line="480" w:lineRule="exact"/>
        <w:tabs>
          <w:tab w:val="left" w:pos="454" w:leader="none"/>
        </w:tabs>
        <w:rPr>
          <w:rFonts w:hint="eastAsia" w:hAnsi="宋体" w:cs="宋体"/>
          <w:color w:val="auto"/>
          <w:sz w:val="24"/>
          <w:szCs w:val="24"/>
          <w:highlight w:val="none"/>
        </w:rPr>
      </w:pPr>
      <w:r>
        <w:rPr>
          <w:rFonts w:hint="eastAsia" w:hAnsi="宋体" w:cs="宋体"/>
          <w:color w:val="auto"/>
          <w:sz w:val="24"/>
          <w:szCs w:val="24"/>
          <w:highlight w:val="none"/>
        </w:rPr>
        <w:t xml:space="preserve">14.2</w:t>
      </w:r>
      <w:r>
        <w:rPr>
          <w:rFonts w:hint="eastAsia" w:hAnsi="宋体"/>
          <w:color w:val="auto"/>
          <w:sz w:val="24"/>
          <w:szCs w:val="24"/>
          <w:highlight w:val="none"/>
        </w:rPr>
        <w:t xml:space="preserve">本合同未尽事宜，遵照《中华人民共和国民法典》、《中华人民共和国政府采购法》等有关条文执行。</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14.3本合同一式陆份，甲方执肆份（科室贰份，财务科壹份，办公室壹份），乙方执贰份，自甲乙双方签字、盖章之日起生效。</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甲方：                                    乙方：</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地址：                                    地址：</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法定代表人或授权代表：                    法定代表人或授权代表：</w:t>
      </w:r>
      <w:r/>
    </w:p>
    <w:p>
      <w:pPr>
        <w:pStyle w:val="884"/>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联系电话：                                联系电话：</w:t>
      </w:r>
      <w:r/>
    </w:p>
    <w:p>
      <w:pPr>
        <w:pStyle w:val="884"/>
        <w:ind w:firstLine="480"/>
        <w:spacing w:line="480" w:lineRule="exact"/>
        <w:rPr>
          <w:rFonts w:ascii="黑体" w:hAnsi="Times New Roman" w:eastAsia="黑体"/>
          <w:color w:val="auto"/>
          <w:szCs w:val="44"/>
          <w:highlight w:val="none"/>
        </w:rPr>
      </w:pPr>
      <w:r>
        <w:rPr>
          <w:rFonts w:hint="eastAsia" w:hAnsi="宋体" w:cs="宋体"/>
          <w:color w:val="auto"/>
          <w:sz w:val="24"/>
          <w:szCs w:val="24"/>
          <w:highlight w:val="none"/>
        </w:rPr>
        <w:t xml:space="preserve">年   月   日                              年   月   日</w:t>
      </w:r>
      <w:r/>
    </w:p>
    <w:p>
      <w:pPr>
        <w:pStyle w:val="884"/>
        <w:ind w:firstLine="480"/>
        <w:spacing w:line="480" w:lineRule="exact"/>
        <w:rPr>
          <w:rFonts w:ascii="黑体" w:hAnsi="Times New Roman" w:eastAsia="黑体"/>
          <w:color w:val="auto"/>
          <w:szCs w:val="44"/>
          <w:highlight w:val="none"/>
        </w:rPr>
      </w:pPr>
      <w:r>
        <w:rPr>
          <w:rFonts w:hint="eastAsia" w:hAnsi="宋体" w:cs="宋体"/>
          <w:bCs/>
          <w:color w:val="auto"/>
          <w:szCs w:val="44"/>
          <w:highlight w:val="none"/>
        </w:rPr>
        <w:br w:type="page" w:clear="all"/>
      </w:r>
      <w:r/>
    </w:p>
    <w:p>
      <w:pPr>
        <w:pStyle w:val="863"/>
        <w:spacing w:line="240" w:lineRule="auto"/>
        <w:rPr>
          <w:rFonts w:hint="eastAsia" w:ascii="宋体" w:hAnsi="宋体" w:eastAsia="宋体"/>
          <w:color w:val="auto"/>
          <w:sz w:val="24"/>
          <w:highlight w:val="none"/>
        </w:rPr>
      </w:pPr>
      <w:r>
        <w:rPr>
          <w:rFonts w:hint="eastAsia" w:ascii="黑体" w:hAnsi="Times New Roman" w:eastAsia="黑体"/>
          <w:b w:val="0"/>
          <w:color w:val="auto"/>
          <w:szCs w:val="44"/>
          <w:highlight w:val="none"/>
        </w:rPr>
        <w:t xml:space="preserve">第四章</w:t>
      </w:r>
      <w:r>
        <w:rPr>
          <w:rFonts w:hint="eastAsia" w:ascii="黑体" w:hAnsi="Times New Roman" w:eastAsia="黑体"/>
          <w:color w:val="auto"/>
          <w:szCs w:val="44"/>
          <w:highlight w:val="none"/>
        </w:rPr>
        <w:t xml:space="preserve"> 项目需求</w:t>
      </w:r>
      <w:r/>
    </w:p>
    <w:p>
      <w:pPr>
        <w:ind w:firstLine="482"/>
        <w:jc w:val="left"/>
        <w:spacing w:line="4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项目属性:服务类项目。</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一、项目概况</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为保持第三次全国国土调查（以下简称“三调”）成果现势性，在2025年度国土变更调查成果基础上，统筹开展国土变更调查，及时查清国土利用现状变化情况，动态更新国土利用现状数据。进一步夯实国土调查成果作为自然资源管理工作底数、底版和底图的工作基础，扎实做好城市国土空间规划体检、耕地保护和粮食安全责任制考核的数据准备，有效支撑高质量发展和国土空间治理现代化。根据《</w:t>
      </w:r>
      <w:bookmarkStart w:id="140" w:name="OLE_LINK1"/>
      <w:r>
        <w:rPr>
          <w:rFonts w:hint="eastAsia" w:ascii="宋体" w:hAnsi="宋体" w:cs="宋体"/>
          <w:bCs/>
          <w:color w:val="auto"/>
          <w:sz w:val="24"/>
          <w:highlight w:val="none"/>
        </w:rPr>
        <w:t xml:space="preserve">自然资源部办公厅</w:t>
      </w:r>
      <w:bookmarkEnd w:id="140"/>
      <w:r>
        <w:rPr>
          <w:rFonts w:hint="eastAsia" w:ascii="宋体" w:hAnsi="宋体" w:cs="宋体"/>
          <w:bCs/>
          <w:color w:val="auto"/>
          <w:sz w:val="24"/>
          <w:highlight w:val="none"/>
        </w:rPr>
        <w:t xml:space="preserve"> 国家林业和草原局办公室关于开展2026年度一体化调查监测工作的通知》和《国土变更调查技术要求(2026年度适用)》的要求，盐都区自然资源和规划局决定开展盐都区2026年度国土变更调查。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以2025年度国土变更调查成果为基础，结合本年度</w:t>
      </w:r>
      <w:bookmarkStart w:id="141" w:name="OLE_LINK3"/>
      <w:r>
        <w:rPr>
          <w:rFonts w:hint="eastAsia" w:ascii="宋体" w:hAnsi="宋体" w:cs="宋体"/>
          <w:bCs/>
          <w:color w:val="auto"/>
          <w:sz w:val="24"/>
          <w:highlight w:val="none"/>
        </w:rPr>
        <w:t xml:space="preserve">国家下发自然资源监测成果、省级共享自然资源监测成果、</w:t>
      </w:r>
      <w:bookmarkEnd w:id="141"/>
      <w:r>
        <w:rPr>
          <w:rFonts w:hint="eastAsia" w:ascii="宋体" w:hAnsi="宋体" w:cs="宋体"/>
          <w:bCs/>
          <w:color w:val="auto"/>
          <w:sz w:val="24"/>
          <w:highlight w:val="none"/>
        </w:rPr>
        <w:t xml:space="preserve">用地管理信息成果等资料，按照国土变更调查的规程和有关要求，开展变更调查工作。全面查清盐都区域内各类土地利用的实际变化情况，利用国土调查云软件实地调查拍照举证，判定变更地类和变更范围，形成国土变更调查增量成果并经上级检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以2025年度国土变更调查成果为基础，结合2026年度国家下发自然资源监测成果、省级共享自然资源监测成果、统筹利用现有资料，结合自然资源监测等各项监测监管、森林草原湿地荒漠化普查及地类对接、日常变更及自然资源管理等成果，统一制作调查底图，按照国土变更调查的规程和有关要求，开展实地调查举证，全面掌握年度地类、面积、属性及相关单独图层信息的变化情况，更新县级国土利用数据库。</w:t>
      </w:r>
      <w:r/>
    </w:p>
    <w:p>
      <w:pPr>
        <w:ind w:firstLine="480"/>
        <w:spacing w:line="460" w:lineRule="exact"/>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rPr>
        <w:t xml:space="preserve">二</w:t>
      </w:r>
      <w:r>
        <w:rPr>
          <w:rFonts w:hint="eastAsia" w:ascii="黑体" w:hAnsi="黑体" w:eastAsia="黑体" w:cs="黑体"/>
          <w:bCs/>
          <w:color w:val="auto"/>
          <w:sz w:val="24"/>
          <w:highlight w:val="none"/>
          <w:lang w:val="zh-CN"/>
        </w:rPr>
        <w:t xml:space="preserve">、项目内容</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1、盐都区2026变更调查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按照部、省统一部署，以2026年12月31日为标准时点，按照部统一标准，依托“国土调查云”“在线核查系统”等平台，统筹利用部下发自然资源监测成果、自然资源管理信息及部检查通过的日常变更成果等现有资料，结合通过省、市检查但未报部核查的日常变更图斑一致性判读成果，补充提取地类变化信息，形成外业调查底图，开展实地调查举证，形成2026年度县级预变更方案，逐级上报市级复查、省级检查、国家级核查。2026年度县级预变更方案通过市、省、国家“线上”检查后，利用建库软件形成年度变更增量包，逐级报市、省、国家核查。</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主要成果（年度国土调查数据库、统计汇总表格和年度国土利用变化情况分析报告）。</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项目进度：进度安排以自然资源部、江苏省自然资源厅具体工作安排为准。</w:t>
      </w:r>
      <w:r/>
    </w:p>
    <w:p>
      <w:p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2、数据汇总、合库</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常变更结果，按照数据库更新技术要求，生成日常变更数据包，逐级报送并开展地市级、省级、国家级核查。对于各类项目管理涉及的日常变更结果，按照“完成一个项目，上报一个项目”或“完成一批，报送一批”的模式逐级报送；对其他非项目管理涉及的日常变更结果，按照“完成一批，报送一批”的模式逐级报送。</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年度主要成果包括国土调查数据库、统计汇总表格和年度国土利用变化情况分析报告。</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遥感监测图斑、外业调查举证资料、调查过程中的各类统计表、增量数据及其他有关证明、说明材料等调查工作中形成的各类过程性信息资料的收集整理。</w:t>
      </w:r>
      <w:r/>
    </w:p>
    <w:p>
      <w:pPr>
        <w:ind w:firstLine="480"/>
        <w:spacing w:line="460" w:lineRule="exact"/>
        <w:rPr>
          <w:b/>
          <w:bCs/>
          <w:color w:val="auto"/>
          <w:sz w:val="24"/>
          <w:highlight w:val="none"/>
        </w:rPr>
      </w:pPr>
      <w:r>
        <w:rPr>
          <w:rFonts w:hint="eastAsia" w:ascii="宋体" w:hAnsi="宋体" w:cs="宋体"/>
          <w:bCs/>
          <w:color w:val="auto"/>
          <w:sz w:val="24"/>
          <w:highlight w:val="none"/>
        </w:rPr>
        <w:t xml:space="preserve">对调查成果进行全面自检，形成自检报告，确保成果的完整性、规范性、真实性和准确性。</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三、作业依据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本项目需执行的国家相关标准、行业标准、地方标准或者其他标准、规范：</w:t>
      </w:r>
      <w:r/>
    </w:p>
    <w:p>
      <w:pPr>
        <w:ind w:firstLine="480"/>
        <w:spacing w:line="460" w:lineRule="exact"/>
        <w:rPr>
          <w:rFonts w:hint="eastAsia" w:ascii="宋体" w:hAnsi="宋体" w:cs="宋体"/>
          <w:bCs/>
          <w:color w:val="auto"/>
          <w:sz w:val="24"/>
          <w:highlight w:val="none"/>
        </w:rPr>
      </w:pPr>
      <w:r/>
      <w:bookmarkStart w:id="142" w:name="_Toc1291"/>
      <w:r/>
      <w:bookmarkStart w:id="143" w:name="_Toc22594"/>
      <w:r/>
      <w:bookmarkStart w:id="144" w:name="_Toc29222"/>
      <w:r>
        <w:rPr>
          <w:rFonts w:hint="eastAsia" w:ascii="宋体" w:hAnsi="宋体" w:cs="宋体"/>
          <w:bCs/>
          <w:color w:val="auto"/>
          <w:sz w:val="24"/>
          <w:highlight w:val="none"/>
        </w:rPr>
        <w:t xml:space="preserve">（一）法律政策文件</w:t>
      </w:r>
      <w:bookmarkEnd w:id="142"/>
      <w:r/>
      <w:bookmarkEnd w:id="143"/>
      <w:r/>
      <w:bookmarkEnd w:id="144"/>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1.《中华人民共和国土地管理法》</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中华人民共和国</w:t>
      </w:r>
      <w:r>
        <w:rPr>
          <w:rFonts w:hint="eastAsia" w:ascii="宋体" w:hAnsi="宋体" w:cs="宋体"/>
          <w:bCs/>
          <w:color w:val="auto"/>
          <w:sz w:val="24"/>
          <w:highlight w:val="none"/>
        </w:rPr>
        <w:t xml:space="preserve">主席令第41号2019年修订）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2.《中华人民共和国土地管理法实施条例》</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中华人民共和国国务院令</w:t>
      </w:r>
      <w:r>
        <w:rPr>
          <w:rFonts w:hint="eastAsia" w:ascii="宋体" w:hAnsi="宋体" w:cs="宋体"/>
          <w:bCs/>
          <w:color w:val="auto"/>
          <w:sz w:val="24"/>
          <w:highlight w:val="none"/>
        </w:rPr>
        <w:t xml:space="preserve">第743号2021年修订）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3.《土地调查条例》（中华人民共和国国务院令第518号</w:t>
      </w:r>
      <w:r>
        <w:rPr>
          <w:rFonts w:hint="eastAsia" w:ascii="宋体" w:hAnsi="宋体" w:cs="宋体"/>
          <w:bCs/>
          <w:color w:val="auto"/>
          <w:sz w:val="24"/>
          <w:highlight w:val="none"/>
        </w:rPr>
        <w:t xml:space="preserve">2018年修订</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4.《土地调查条例实施办法》（中华人民共和国国土资源部令第45号</w:t>
      </w:r>
      <w:r>
        <w:rPr>
          <w:rFonts w:hint="eastAsia" w:ascii="宋体" w:hAnsi="宋体" w:cs="宋体"/>
          <w:bCs/>
          <w:color w:val="auto"/>
          <w:sz w:val="24"/>
          <w:highlight w:val="none"/>
        </w:rPr>
        <w:t xml:space="preserve">2019年修正</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《自然资源部办公厅国家林业和草原局办公室关于开展2026年度一体化调查监测工作的通知》（自然资办函〔2026〕1038号）</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bookmarkStart w:id="145" w:name="_Toc7917"/>
      <w:r/>
      <w:bookmarkStart w:id="146" w:name="_Toc29690"/>
      <w:r/>
      <w:bookmarkStart w:id="147" w:name="_Toc5027"/>
      <w:r/>
      <w:bookmarkStart w:id="148" w:name="OLE_LINK4"/>
      <w:r>
        <w:rPr>
          <w:rFonts w:hint="eastAsia" w:ascii="宋体" w:hAnsi="宋体" w:cs="宋体"/>
          <w:bCs/>
          <w:color w:val="auto"/>
          <w:sz w:val="24"/>
          <w:highlight w:val="none"/>
        </w:rPr>
        <w:t xml:space="preserve">（二）技术标准规范</w:t>
      </w:r>
      <w:bookmarkEnd w:id="145"/>
      <w:r/>
      <w:bookmarkEnd w:id="146"/>
      <w:r/>
      <w:bookmarkEnd w:id="147"/>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1.《土地利用现状分类》（GB/T21010-2017）；</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2.《中华人民共和国行政区划代码》</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GB/T2260-2017</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3.《第三次全国国土调查技术规程》（TD／T1055-2019）；</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4.《国土变更调查技术</w:t>
      </w:r>
      <w:r>
        <w:rPr>
          <w:rFonts w:hint="eastAsia" w:ascii="宋体" w:hAnsi="宋体" w:cs="宋体"/>
          <w:bCs/>
          <w:color w:val="auto"/>
          <w:sz w:val="24"/>
          <w:highlight w:val="none"/>
        </w:rPr>
        <w:t xml:space="preserve">要求</w:t>
      </w:r>
      <w:r>
        <w:rPr>
          <w:rFonts w:ascii="宋体" w:hAnsi="宋体" w:cs="宋体"/>
          <w:bCs/>
          <w:color w:val="auto"/>
          <w:sz w:val="24"/>
          <w:highlight w:val="none"/>
        </w:rPr>
        <w:t xml:space="preserve">》（202</w:t>
      </w:r>
      <w:r>
        <w:rPr>
          <w:rFonts w:hint="eastAsia" w:ascii="宋体" w:hAnsi="宋体" w:cs="宋体"/>
          <w:bCs/>
          <w:color w:val="auto"/>
          <w:sz w:val="24"/>
          <w:highlight w:val="none"/>
        </w:rPr>
        <w:t xml:space="preserve">6</w:t>
      </w:r>
      <w:r>
        <w:rPr>
          <w:rFonts w:ascii="宋体" w:hAnsi="宋体" w:cs="宋体"/>
          <w:bCs/>
          <w:color w:val="auto"/>
          <w:sz w:val="24"/>
          <w:highlight w:val="none"/>
        </w:rPr>
        <w:t xml:space="preserve">年度适用）；</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5.《国土调查数据库更新数据规范》（TD/T1083-2023）</w:t>
      </w:r>
      <w:r>
        <w:rPr>
          <w:rFonts w:hint="eastAsia"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6.《国土调查县级数据库更新成果质量检查规则》（TD/T1110-2025）</w:t>
      </w:r>
      <w:r>
        <w:rPr>
          <w:rFonts w:hint="eastAsia" w:ascii="宋体" w:hAnsi="宋体" w:cs="宋体"/>
          <w:bCs/>
          <w:color w:val="auto"/>
          <w:sz w:val="24"/>
          <w:highlight w:val="none"/>
        </w:rPr>
        <w:t xml:space="preserve">。</w:t>
      </w:r>
      <w:bookmarkEnd w:id="148"/>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（三）工程方案及技术文件</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2026年度一体化调查监测实施方案；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2.2026年度全国一体化调查监测成果质量控制方案；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3.江苏</w:t>
      </w:r>
      <w:r>
        <w:rPr>
          <w:rFonts w:ascii="宋体" w:hAnsi="宋体" w:cs="宋体"/>
          <w:bCs/>
          <w:color w:val="auto"/>
          <w:sz w:val="24"/>
          <w:highlight w:val="none"/>
        </w:rPr>
        <w:t xml:space="preserve">省级实施方案或细则</w:t>
      </w:r>
      <w:r>
        <w:rPr>
          <w:rFonts w:hint="eastAsia"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4.2026年度数据库更新技术文件。</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四、服务要求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严格执行规范标准，务必确保成果质量。新增建设用地图斑、补充耕地图斑单项差错率和涉及一级地类和耕地二级地类的变更图斑总体差错率，三项差错率均低于</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的为合格。</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1、本项目由招标人进行质量监督和检验，中标人必须随时配合质量监督管理；</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招标人向中标人提供的全部资料及中标人生产的全部成果资料（包括中间资料），其版权归招标人所有，中标人不得自留使用或以任何方式转让或提供给第三方使用，同时做好各项保密工作，否则，招标方保留追究其法律责任的权利；</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3、中标人在合同履行期间，需派驻两名熟悉土地调查业务的技术人员驻场作业；</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4、中标人在履行合同过程中，一切事故的责任由中标人自行承担。</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五、质量保证及服务要求</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本项目的实施必须符合盐城市、江苏省、国家有关规范、规程和相关技术文件，以及招标文件要求及响应文件承诺，提交成果资料应详实、准确、全面、科学合理。本项目提交的全部技术成果，必须能通过采购人组织的成果审查，并确保在规定时间内按程序上报并通过检查。</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、在项目实施过程中，成交供应商应派</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人驻点在盐都分局服务并接受采购人的指导，人员确需更换或调整的，应征得采购人的同意。</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、在项目实施过程中，成交供应商应及时开展土地利用现状的各类分析，项目负责人根据工作进展情况及时汇报项目进展，一个月至少要汇报一次。</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w:t>
      </w:r>
      <w:bookmarkStart w:id="149" w:name="_Hlk60155005"/>
      <w:r>
        <w:rPr>
          <w:rFonts w:hint="eastAsia" w:ascii="宋体" w:hAnsi="宋体" w:cs="宋体"/>
          <w:bCs/>
          <w:color w:val="auto"/>
          <w:sz w:val="24"/>
          <w:highlight w:val="none"/>
        </w:rPr>
        <w:t xml:space="preserve">在项目完成后，</w:t>
      </w:r>
      <w:bookmarkEnd w:id="149"/>
      <w:r>
        <w:rPr>
          <w:rFonts w:hint="eastAsia" w:ascii="宋体" w:hAnsi="宋体" w:cs="宋体"/>
          <w:bCs/>
          <w:color w:val="auto"/>
          <w:sz w:val="24"/>
          <w:highlight w:val="none"/>
        </w:rPr>
        <w:t xml:space="preserve">成交供应商应向采购人提供必要的</w:t>
      </w:r>
      <w:bookmarkStart w:id="150" w:name="_Hlk60154959"/>
      <w:r>
        <w:rPr>
          <w:rFonts w:hint="eastAsia" w:ascii="宋体" w:hAnsi="宋体" w:cs="宋体"/>
          <w:bCs/>
          <w:color w:val="auto"/>
          <w:sz w:val="24"/>
          <w:highlight w:val="none"/>
        </w:rPr>
        <w:t xml:space="preserve">后续技术支持服务</w:t>
      </w:r>
      <w:bookmarkEnd w:id="150"/>
      <w:r>
        <w:rPr>
          <w:rFonts w:hint="eastAsia" w:ascii="宋体" w:hAnsi="宋体" w:cs="宋体"/>
          <w:bCs/>
          <w:color w:val="auto"/>
          <w:sz w:val="24"/>
          <w:highlight w:val="none"/>
        </w:rPr>
        <w:t xml:space="preserve">，协助采购人完成其他需要成交供应商配合的服务。服务时间不少于一年，相关费用包含在本项目报价总价中。</w:t>
      </w:r>
      <w:r>
        <w:rPr>
          <w:rFonts w:ascii="宋体" w:hAnsi="宋体" w:cs="宋体"/>
          <w:bCs/>
          <w:color w:val="auto"/>
          <w:sz w:val="24"/>
          <w:highlight w:val="none"/>
        </w:rPr>
        <w:t xml:space="preserve"> </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六、保密工作要求</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、和采购人签订保密责任书，中标单位须在合同中进行责任约定；中标单位在工作期间必须遵守相关保密制度；</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、工作人员未经采购人管理人员同意，不许私自携带任何存储以及有摄像功能的设备进入或离开工作现场，本次项目涉及所有档案数据存储设备在项目验收通过时向采购人移交，采购人无需支付任何费用；</w:t>
      </w:r>
      <w:r/>
    </w:p>
    <w:p>
      <w:pPr>
        <w:ind w:firstLine="480"/>
        <w:spacing w:line="460" w:lineRule="exact"/>
        <w:rPr>
          <w:rFonts w:hint="eastAsia"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、中标单位在工作中必须与采购人做好档案的安全交接，并有记录。</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七、需提交主要成果</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2026年度一体化调查监测主要成果按照《实施方案》要求形成整套国土调查成果资料，包括影像、图形、权属、文字报告等。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按照自然资源部、省厅、市局及盐都分局要求，提供各类报告、表格及其他分析报告等。</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八、报价要求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1.服务费用报价采用固定总价报价的方式。</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九、其他要求</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1、项目实施方案</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须依据自身实际状况与对本项目全方位的理解，精心编制技术方案。该项目实施方案至少涵盖项目技术方案、合理化建议、质量控制及进度安排、安全保密措施、售后服务五大核心内容。内容清晰、全面、合理、可靠且结构完整，能切实贴合并超越项目需求的方案将更具优势。</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（1）项目核心内涵理解：至少包含以下内容:①项目背景，国家明确提出构建“日常变更调查为主、年度变更调查为辅”的新机制，要求对</w:t>
      </w:r>
      <w:r>
        <w:rPr>
          <w:rFonts w:hint="eastAsia" w:ascii="宋体" w:hAnsi="宋体" w:cs="宋体"/>
          <w:bCs/>
          <w:color w:val="auto"/>
          <w:sz w:val="24"/>
          <w:highlight w:val="none"/>
        </w:rPr>
        <w:t xml:space="preserve">耕地“非农化”、“非粮化”、生态红线内人类活动等关键变化实现“早发现、早制止、早查处”。本项目正是在此背景下启动，旨在通过高科技手段与严密组织，摸清辖区土地利用“家底”，解决历史遗留数据矛盾，为耕地保护责任制考核、国土空间用途管制及生态修复提供现势性强、准确度高的数据基础；②项目目标，实现辖区内所有国土空间地类变化的100%全覆盖调查，确保无遗漏图斑；③项目依据，严格遵循国家法律法规与技术标准体系，确保调查成果的规范性、科学性与可比性。④项目内容，年度国土变更调查、日常变更调查和林草湿荒漠化调查监测衔接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技术路线方法规划：至少包含以下内容:①年度国土变更调查任务路线，以国家下发监测图斑、省级提取图斑、地方自主发现线索、审批供地矢量、执法巡查记录等多源数据，通过外业人员利用专业设备开展举证，拍摄带时间、坐标、方位角水印的全景、近景、特写照片，内业依据核实结果，在国土空间基础信息平台上进行图形切割、合并、属性赋值，形成最终年度变更调查成果包;②日常变更调查数据的动态数据汇总路</w:t>
      </w:r>
      <w:r>
        <w:rPr>
          <w:rFonts w:hint="eastAsia" w:ascii="宋体" w:hAnsi="宋体" w:cs="宋体"/>
          <w:bCs/>
          <w:color w:val="auto"/>
          <w:sz w:val="24"/>
          <w:highlight w:val="none"/>
        </w:rPr>
        <w:t xml:space="preserve">线，定期从耕保、利用、执法、登记等科室获取审批、备案、处罚等矢量数据，按月度/季度自动生成耕地流出流入、建设用地增减、生态用地变化等统计报表;③林草湿荒漠化调查监测与变更调查协同机制路线，统一地类认定规则，明确林地、草地、湿地、荒漠化土地在国土分类与林草分类中的映射关系，在成果提交前，进行跨部门数据一致性校验，确保同一地块在两套数据库中空间位置、面积完全一致，杜绝“数据打架”;④数据融合和标准统一，构建统一的自然资源“一张图”，确保变更调查数据库与国土空间规划“一张图”系统的无缝对接，实现数据的动态更新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重点难点问题分析：至少包含以下内容:①耕地流量变化分析，从“被动核查”转向“主动防控”，严格锁定耕地“进出”流量，确保耕地实至名归，坚决遏制“非农化”、防止“非粮化”；②与林地、草地、湿地调查成果衔接，打破壁垒，实现“一张图”，确保同一地块在两项调查中地类认定一致；</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组织架构分工安排：至少包含以下内容:①项目组织机构，兼顾决策效率、专业分工与跨部门协同，明确层级管理关系与横向协作机制，避免权责交叉、管理真空，适配中大型项目全周期运行；小型项目可精简层级，保留核心管理岗位与执行小组，确保架构灵活适配项目实际。②人员岗位职责，结合项目组织机构层级与小组划分，明确核心岗位具体职责，细化工作内容、责任边界、考核</w:t>
      </w:r>
      <w:r>
        <w:rPr>
          <w:rFonts w:hint="eastAsia" w:ascii="宋体" w:hAnsi="宋体" w:cs="宋体"/>
          <w:bCs/>
          <w:color w:val="auto"/>
          <w:sz w:val="24"/>
          <w:highlight w:val="none"/>
        </w:rPr>
        <w:t xml:space="preserve">标准，做到“人人有责、岗岗有责”，杜绝推诿扯皮，保障各项工作落地有据。③项目管理，项目管理围绕全周期、全维度、全流程展开，涵盖计划管理、进度管理、质量管理、成本管理、安全管理、合同管理、资料管理、风险管理、沟通管理九大核心板块，建立标准化管理流程与管控机制，保障项目有序推进、合规落地。④项目组成员培训计划，为提升项目组成员专业能力、管理水平与责任意识，保障项目标准化、规范化执行，结合项目需求与人员岗位差异，制定分阶段、分岗位、全覆盖的培训计划，兼顾理论知识与实操技能，确保所有人员适配岗位需求、高效开展工作。</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整体工作推进计划：至少包含以下内容:①工期计划安排，工期计划采用“总控计划+阶段分解+节点细化”的三级管控模式，结合项目规模、施工/实施难度、资源配置、外部环境等因素科学编制，明确各阶段起止时间、核心任务、责任主体及衔接节点，做到层层分解、责任到人、节点可控。②进度保障措施，为确保工期计划落地执行，从</w:t>
      </w:r>
      <w:r>
        <w:rPr>
          <w:rFonts w:hint="eastAsia" w:ascii="宋体" w:hAnsi="宋体" w:cs="宋体"/>
          <w:bCs/>
          <w:color w:val="auto"/>
          <w:sz w:val="24"/>
          <w:highlight w:val="none"/>
        </w:rPr>
        <w:t xml:space="preserve">组织、技术、资源、管理、协调五大维度制定全方位保障措施，构建全流程进度管控体系，从源头规避工期延误风险，保障各阶段进度按计划推进。③工期滞后弥补办法，建立工期滞后预警机制，当实际进度较计划进度滞后3天及以上时，立即启动滞后弥补预案，根据滞后时长、滞后原因、影响范围，分级制定弥补措施，快速追回延误工期，确保不影响整体项目交付。④影响工期的主要原因，结合项目实施全流程经验，影响工期的原因主要分为内部管理因素、外部环境因素、技术资源因素三大类，全面梳理各类核心影响因素，提前做好预判和防控，从源头降低工期延误风险。</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质量管控保障措施：至少包含以下内容:①质量管理机构设置，建立“三级质检”体系，即作业组自检、项目组互检、公司专检，设立独立于项目组的质量管理部②质量保证措施，严格执行首件检验制度，统一技术标准；引入自动化质检软件，对拓扑错误、属性缺失进行批量筛查；③质量控制流程，遵循“工序控制、过程监督、成果验收”全流程闭环管理，上道工序不合格严禁进入下道工序；④质量管理关键点分析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安全保密管理措施：至少包含以下内容:①建立安全责任制度，本制度严格遵循“安全第一、预防为主、综合治理”的安全生产方针，坚守“管生产必须管安全、谁主管谁负责、谁在岗谁负责”的核心原则，构建层级分明、责任到人、全员覆盖的安全生产责任体系，杜绝责任空白、推诿扯皮现象，将安全责任贯穿项目实施全过程。</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安全保证制度，安全保证制度是保障安全生产责任落地、防范安全事故的核心支撑，从人员、物资、技术、现场、监督五大维度建立全方位安全保障体系，全方位筑牢安全生产防线，杜绝各类安全风险，保障项目平稳推进。</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制定安全生产应急预案，为有效应对项目实施过程中突发的各类安全事故，最大限度减少人员伤亡、财产损失和项目影响，快速处置突发安全险情，特制定本安全生产应急预案，明确应急处置流程、职责分工和救援措施，做到提前预判、快速响应、科学处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资料保密管理制度，为规范项目各类资料、涉密信息管理，防范核心资料泄露、丢失、篡改，保障项目商务信息、技术资料、内部文件、客户信息、施工方案等核心内容安全，维护项目合法权益，特制定本资料保密管理制度，全体人员务必严格遵守，严守保密底线。</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专项服务承诺事项：至少包含以下内容:①售后服务方案，设立7×24小时专属响应热线，承诺一般性问题30分钟内响应、2小时内解决；针对测绘生产任务需在1小时内响应，3工作日内提交测绘成果；②售后保障措施等。</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（9）后续服务承诺：至少包含服务期限、响应时间（自接到甲方通知起不超过24小时）等内容。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2、其他要求</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本项目需配备项目负责人1名，负责项目的整体规划与策略；其他项目组人员不少于10名，需配合项目负责人完成组织技术交底、质量检查、进度把控和档案管理等各项工作，最终配合招标人完成项目的全部工作任务。</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负责人具有测绘专业职称、注册测绘师证书、国家地理信息安全保密培训合格证的优先。项目组人员（项目负责人除外）具有测绘专业或土地专业职称、国家地理信息安全保密培训合格证明、档案专业职称、注册测绘师证书的优先。</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拟派人员必须为投标单位正式职工，需同时提供相关人员的职称证书原件扫描件，项目组人员均需提供近一个月的缴纳社会保险的凭证原件扫描件（缴纳单位名称需与投标人名称一致）</w:t>
      </w:r>
      <w:r>
        <w:rPr>
          <w:rFonts w:ascii="宋体" w:hAnsi="宋体" w:cs="宋体"/>
          <w:color w:val="auto"/>
          <w:sz w:val="24"/>
          <w:highlight w:val="none"/>
        </w:rPr>
        <w:t xml:space="preserve">。</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拟派服务人员必须与投标文件承诺的人员保持一致，未经采购人书面同意，服务过程中不得擅自变更服务成员。如因特殊情况确需更换的，替换人员不得低于原人员的资质条件，并须提前报采购人审核批准。</w:t>
      </w:r>
      <w:r/>
    </w:p>
    <w:p>
      <w:pPr>
        <w:ind w:firstLine="480"/>
        <w:spacing w:line="49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投标人需具</w:t>
      </w:r>
      <w:r>
        <w:rPr>
          <w:rFonts w:ascii="宋体" w:hAnsi="宋体" w:cs="宋体"/>
          <w:color w:val="auto"/>
          <w:sz w:val="24"/>
          <w:highlight w:val="none"/>
        </w:rPr>
        <w:t xml:space="preserve">有丰富的类似项目相关承接经验，为了确保项目的顺利实施，</w:t>
      </w:r>
      <w:r>
        <w:rPr>
          <w:rFonts w:hint="eastAsia" w:ascii="宋体" w:hAnsi="宋体" w:cs="宋体"/>
          <w:color w:val="auto"/>
          <w:sz w:val="24"/>
          <w:highlight w:val="none"/>
        </w:rPr>
        <w:t xml:space="preserve">投标人自2023年1月1日以来，承担过国土变更调查、日常变更调查等类似项目</w:t>
      </w:r>
      <w:r>
        <w:rPr>
          <w:rFonts w:ascii="宋体" w:hAnsi="宋体" w:cs="宋体"/>
          <w:color w:val="auto"/>
          <w:sz w:val="24"/>
          <w:highlight w:val="none"/>
        </w:rPr>
        <w:t xml:space="preserve">的优先。</w:t>
      </w:r>
      <w:r/>
    </w:p>
    <w:p>
      <w:pPr>
        <w:ind w:firstLine="480"/>
        <w:spacing w:before="100" w:after="100" w:line="4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需具有承担本项目的企业实力，具有有效且通过年检的质量管理体系、环境管理体系、职业健康管理体系和信息安全管理体系认证证书的优先。质量管理体系、职业健康管理体系，在招投标中可以证明</w:t>
      </w:r>
      <w:r>
        <w:rPr>
          <w:rFonts w:hint="eastAsia" w:ascii="宋体" w:hAnsi="宋体" w:cs="宋体"/>
          <w:color w:val="auto"/>
          <w:sz w:val="24"/>
          <w:highlight w:val="none"/>
        </w:rPr>
        <w:t xml:space="preserve">企业履约能力和降低招标方风险。因为项目涉及外业调查、现场踏勘、数据采集、运维服务、数据处理，质量管理体系可以证明成果交付和过程控制能力，职业健康安全管理体系则能证明外业人员、现场作业的安全管理能力，保证“人员安全、现场风险、事故预防”。提供环境管理体系证书，可以保证投标人“履约风险控制”，体现企业实力。可以确认投标人不仅“能干活”，而且能在项目执行过程中控制环保风险、符合绿色要求、减少处罚和投诉。因为项目包含“数据采集、上传、存储、系统运维、账号管理”等内容，考虑的数据保密的原因，设置信息安全管理体系证书。</w:t>
      </w:r>
      <w:r>
        <w:rPr>
          <w:rFonts w:ascii="宋体" w:hAnsi="宋体" w:cs="宋体"/>
          <w:color w:val="auto"/>
          <w:sz w:val="24"/>
          <w:highlight w:val="none"/>
        </w:rPr>
        <w:t xml:space="preserve">本项目</w:t>
      </w:r>
      <w:r>
        <w:rPr>
          <w:rFonts w:ascii="宋体" w:hAnsi="宋体" w:cs="宋体"/>
          <w:color w:val="auto"/>
          <w:sz w:val="24"/>
          <w:highlight w:val="none"/>
          <w:u w:val="single"/>
        </w:rPr>
        <w:t xml:space="preserve">不接受</w:t>
      </w:r>
      <w:r>
        <w:rPr>
          <w:rFonts w:ascii="宋体" w:hAnsi="宋体" w:cs="宋体"/>
          <w:color w:val="auto"/>
          <w:sz w:val="24"/>
          <w:highlight w:val="none"/>
        </w:rPr>
        <w:t xml:space="preserve">进口产品投标。</w:t>
      </w:r>
      <w:r/>
    </w:p>
    <w:p>
      <w:pPr>
        <w:pStyle w:val="905"/>
        <w:ind w:firstLine="480"/>
        <w:jc w:val="both"/>
        <w:spacing w:before="0" w:beforeAutospacing="0" w:after="0" w:afterAutospacing="0" w:line="500" w:lineRule="exact"/>
        <w:shd w:val="clear" w:color="auto" w:fill="ffffff"/>
        <w:rPr>
          <w:rFonts w:hint="eastAsia" w:cs="宋体"/>
          <w:color w:val="auto"/>
          <w:highlight w:val="none"/>
        </w:rPr>
      </w:pPr>
      <w:r>
        <w:rPr>
          <w:rFonts w:hint="eastAsia" w:cs="宋体"/>
          <w:color w:val="auto"/>
          <w:highlight w:val="none"/>
        </w:rPr>
        <w:t xml:space="preserve">（4）</w:t>
      </w:r>
      <w:r>
        <w:rPr>
          <w:rFonts w:hint="eastAsia" w:cs="宋体"/>
          <w:color w:val="auto"/>
          <w:highlight w:val="none"/>
        </w:rPr>
        <w:t xml:space="preserve">以联合体投标各方应签订联合体投标协议书，确定联合体各方的权利和义务；联合体各方不得再以自己的名义单独或参加其他联合体在同一标段中投标，否则其投标和与此相关的联合体投标将被拒绝，联合体的牵头单位必须符合招标文件中对投标人资格的要求。</w:t>
      </w:r>
      <w:r>
        <w:rPr>
          <w:rFonts w:hint="eastAsia" w:cs="宋体"/>
          <w:color w:val="auto"/>
          <w:highlight w:val="none"/>
        </w:rPr>
      </w:r>
      <w:r/>
    </w:p>
    <w:p>
      <w:pPr>
        <w:spacing w:before="100" w:after="10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采购标的对应的中小企业划分标准所属行业一览表</w:t>
      </w:r>
      <w:r/>
    </w:p>
    <w:p>
      <w:pPr>
        <w:rPr>
          <w:color w:val="auto"/>
          <w:highlight w:val="none"/>
        </w:rPr>
      </w:pPr>
      <w:r>
        <w:rPr>
          <w:color w:val="auto"/>
          <w:highlight w:val="none"/>
        </w:rPr>
      </w:r>
      <w:r/>
    </w:p>
    <w:tbl>
      <w:tblPr>
        <w:tblStyle w:val="911"/>
        <w:tblW w:w="86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4827"/>
        <w:gridCol w:w="3056"/>
      </w:tblGrid>
      <w:tr>
        <w:trPr>
          <w:jc w:val="cente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jc w:val="center"/>
              <w:spacing w:before="100" w:after="100" w:line="2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对应中小企业划分标准所属行业</w:t>
            </w:r>
            <w:r/>
          </w:p>
        </w:tc>
      </w:tr>
      <w:tr>
        <w:trPr>
          <w:jc w:val="cente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盐城市盐都区2026年度一体化调查监测（国土变更调查）项目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jc w:val="center"/>
              <w:spacing w:before="100" w:after="10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其他未列明行业 </w:t>
            </w:r>
            <w:r/>
          </w:p>
        </w:tc>
      </w:tr>
    </w:tbl>
    <w:p>
      <w:pPr>
        <w:rPr>
          <w:rFonts w:ascii="黑体" w:hAnsi="Times New Roman" w:eastAsia="黑体"/>
          <w:b/>
          <w:color w:val="auto"/>
          <w:sz w:val="44"/>
          <w:szCs w:val="44"/>
          <w:highlight w:val="none"/>
        </w:rPr>
      </w:pPr>
      <w:r>
        <w:rPr>
          <w:rFonts w:hint="eastAsia" w:ascii="黑体" w:hAnsi="Times New Roman" w:eastAsia="黑体"/>
          <w:b/>
          <w:color w:val="auto"/>
          <w:sz w:val="44"/>
          <w:szCs w:val="44"/>
          <w:highlight w:val="none"/>
        </w:rPr>
        <w:br w:type="page" w:clear="all"/>
      </w:r>
      <w:r/>
    </w:p>
    <w:p>
      <w:pPr>
        <w:pStyle w:val="884"/>
        <w:jc w:val="center"/>
        <w:spacing w:line="360" w:lineRule="auto"/>
        <w:rPr>
          <w:rFonts w:ascii="黑体" w:eastAsia="黑体" w:cs="Arial"/>
          <w:b/>
          <w:bCs/>
          <w:color w:val="auto"/>
          <w:szCs w:val="44"/>
          <w:highlight w:val="none"/>
        </w:rPr>
      </w:pPr>
      <w:r>
        <w:rPr>
          <w:rFonts w:hint="eastAsia" w:ascii="黑体" w:hAnsi="Times New Roman" w:eastAsia="黑体"/>
          <w:b/>
          <w:color w:val="auto"/>
          <w:sz w:val="44"/>
          <w:szCs w:val="44"/>
          <w:highlight w:val="none"/>
        </w:rPr>
        <w:t xml:space="preserve">第五章 评审方法和评审标准</w:t>
      </w:r>
      <w:r/>
    </w:p>
    <w:p>
      <w:pPr>
        <w:ind w:firstLine="482"/>
        <w:spacing w:line="360" w:lineRule="auto"/>
        <w:shd w:val="clear" w:color="auto" w:fill="ffffff"/>
        <w:widowControl/>
        <w:rPr>
          <w:rFonts w:hint="eastAsia" w:ascii="宋体" w:hAnsi="宋体" w:cs="Courier New"/>
          <w:bCs/>
          <w:color w:val="auto"/>
          <w:sz w:val="24"/>
          <w:highlight w:val="none"/>
        </w:rPr>
      </w:pPr>
      <w:r>
        <w:rPr>
          <w:rFonts w:hint="eastAsia" w:ascii="宋体" w:hAnsi="宋体" w:cs="Arial"/>
          <w:b/>
          <w:bCs/>
          <w:color w:val="auto"/>
          <w:sz w:val="24"/>
          <w:highlight w:val="none"/>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color w:val="auto"/>
          <w:sz w:val="24"/>
          <w:highlight w:val="none"/>
        </w:rPr>
      </w:pPr>
      <w:r>
        <w:rPr>
          <w:rFonts w:hint="eastAsia" w:ascii="宋体" w:hAnsi="宋体" w:cs="Courier New"/>
          <w:bCs/>
          <w:color w:val="auto"/>
          <w:sz w:val="24"/>
          <w:highlight w:val="none"/>
        </w:rPr>
        <w:t xml:space="preserve">本项目采用</w:t>
      </w:r>
      <w:r>
        <w:rPr>
          <w:rFonts w:hint="eastAsia" w:ascii="宋体" w:hAnsi="宋体" w:cs="Courier New"/>
          <w:bCs/>
          <w:color w:val="auto"/>
          <w:sz w:val="24"/>
          <w:highlight w:val="none"/>
          <w:u w:val="single"/>
        </w:rPr>
        <w:t xml:space="preserve">综合评分</w:t>
      </w:r>
      <w:r>
        <w:rPr>
          <w:rFonts w:hint="eastAsia" w:ascii="宋体" w:hAnsi="宋体" w:cs="Courier New"/>
          <w:bCs/>
          <w:color w:val="auto"/>
          <w:sz w:val="24"/>
          <w:highlight w:val="none"/>
        </w:rPr>
        <w:t xml:space="preserve">法。</w:t>
      </w:r>
      <w:r>
        <w:rPr>
          <w:rFonts w:hint="eastAsia" w:ascii="宋体" w:hAnsi="宋体" w:cs="Arial"/>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09"/>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p>
    <w:p>
      <w:pPr>
        <w:pStyle w:val="909"/>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（2）供应商需按照采购文件的要求提供相应的《小微企业声明函》。</w:t>
      </w:r>
      <w:r/>
    </w:p>
    <w:p>
      <w:pPr>
        <w:pStyle w:val="90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90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0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6、供应商对于投标产品的商品包装、快递包装应按照“财办库〔2020〕123号《关于印发《商品包装政府采购需求标准（试行）》、《快递包装政府采购需求标准（试行）》的通知》”执行。</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7、采购本国产品的支持政策</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7.1 本项目政府采购活动中既有本国产品又有非本国产品参与竞争的，依法对本国产品给予价格评审优惠，对本国产品的报价给予 </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的价格扣除，用扣除后的价格参与评审。</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auto"/>
          <w:sz w:val="24"/>
          <w:highlight w:val="none"/>
          <w:u w:val="single"/>
        </w:rPr>
        <w:t xml:space="preserve">80%</w:t>
      </w:r>
      <w:r>
        <w:rPr>
          <w:rFonts w:hint="eastAsia" w:ascii="宋体" w:hAnsi="宋体" w:cs="宋体"/>
          <w:b/>
          <w:bCs/>
          <w:color w:val="auto"/>
          <w:sz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cs="宋体"/>
          <w:color w:val="auto"/>
          <w:highlight w:val="none"/>
          <w:u w:val="single"/>
        </w:rPr>
      </w:pPr>
      <w:r>
        <w:rPr>
          <w:rFonts w:hint="eastAsia" w:ascii="宋体" w:hAnsi="宋体" w:cs="宋体"/>
          <w:b/>
          <w:bCs/>
          <w:color w:val="auto"/>
          <w:sz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cs="宋体"/>
          <w:color w:val="auto"/>
          <w:sz w:val="24"/>
          <w:highlight w:val="none"/>
        </w:rPr>
        <w:t xml:space="preserve">和招标文件规定的，供应商提供的相关产品视为不符合本国产品标准。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pStyle w:val="897"/>
        <w:rPr>
          <w:color w:val="auto"/>
          <w:highlight w:val="none"/>
        </w:rPr>
      </w:pPr>
      <w:r>
        <w:rPr>
          <w:color w:val="auto"/>
          <w:highlight w:val="none"/>
        </w:rPr>
      </w:r>
      <w:r/>
    </w:p>
    <w:p>
      <w:pPr>
        <w:pStyle w:val="865"/>
        <w:ind w:firstLine="482"/>
        <w:spacing w:before="0" w:after="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二、对投标文件的初审</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投标文件初审分为资格审查和符合性审查。</w:t>
      </w:r>
      <w:r/>
    </w:p>
    <w:p>
      <w:pPr>
        <w:ind w:firstLine="420"/>
        <w:spacing w:line="400" w:lineRule="exact"/>
        <w:rPr>
          <w:rFonts w:hint="eastAsia" w:ascii="宋体" w:hAnsi="宋体"/>
          <w:b/>
          <w:bCs/>
          <w:color w:val="auto"/>
          <w:sz w:val="24"/>
          <w:highlight w:val="none"/>
        </w:rPr>
      </w:pPr>
      <w:r>
        <w:rPr>
          <w:rFonts w:hint="eastAsia" w:ascii="宋体" w:hAnsi="宋体" w:cs="Courier New"/>
          <w:bCs/>
          <w:color w:val="auto"/>
          <w:highlight w:val="none"/>
        </w:rPr>
        <w:t xml:space="preserve">（一）</w:t>
      </w:r>
      <w:r>
        <w:rPr>
          <w:rFonts w:hint="eastAsia" w:ascii="宋体" w:hAnsi="宋体"/>
          <w:b/>
          <w:bCs/>
          <w:color w:val="auto"/>
          <w:sz w:val="24"/>
          <w:highlight w:val="none"/>
        </w:rPr>
        <w:t xml:space="preserve">资格审查</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开标结束后，采购人或者采购代理机构依法对投标人的资格进行审查。</w:t>
      </w:r>
      <w:r/>
    </w:p>
    <w:p>
      <w:pPr>
        <w:ind w:firstLine="480"/>
        <w:spacing w:line="400" w:lineRule="exact"/>
        <w:rPr>
          <w:rFonts w:ascii="宋体"/>
          <w:bCs/>
          <w:color w:val="auto"/>
          <w:sz w:val="24"/>
          <w:highlight w:val="none"/>
        </w:rPr>
      </w:pPr>
      <w:r>
        <w:rPr>
          <w:rFonts w:hint="eastAsia" w:ascii="宋体" w:hAnsi="宋体"/>
          <w:bCs/>
          <w:color w:val="auto"/>
          <w:sz w:val="24"/>
          <w:highlight w:val="none"/>
        </w:rPr>
        <w:t xml:space="preserve">审查投标文件中的资格、资信证明文件等，以确定投标人是否具备投标资格。</w:t>
      </w:r>
      <w:r/>
    </w:p>
    <w:p>
      <w:pPr>
        <w:ind w:firstLine="480"/>
        <w:spacing w:line="400" w:lineRule="exact"/>
        <w:rPr>
          <w:rFonts w:hint="eastAsia" w:ascii="宋体" w:hAnsi="宋体"/>
          <w:b/>
          <w:bCs/>
          <w:color w:val="auto"/>
          <w:sz w:val="24"/>
          <w:highlight w:val="none"/>
        </w:rPr>
      </w:pPr>
      <w:r>
        <w:rPr>
          <w:rFonts w:hint="eastAsia" w:ascii="宋体" w:hAnsi="宋体" w:cs="Courier New"/>
          <w:bCs/>
          <w:color w:val="auto"/>
          <w:sz w:val="24"/>
          <w:highlight w:val="none"/>
        </w:rPr>
        <w:t xml:space="preserve">（二）</w:t>
      </w:r>
      <w:r>
        <w:rPr>
          <w:rFonts w:hint="eastAsia" w:ascii="宋体" w:hAnsi="宋体"/>
          <w:b/>
          <w:bCs/>
          <w:color w:val="auto"/>
          <w:sz w:val="24"/>
          <w:highlight w:val="none"/>
        </w:rPr>
        <w:t xml:space="preserve">符合性审查</w:t>
      </w:r>
      <w:r/>
    </w:p>
    <w:p>
      <w:pPr>
        <w:ind w:firstLine="482"/>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评标委员会对符合资格的投标人的投标文件进行符合性审查。</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依据招标文件的规定，从投标文件的有效性、完整性和对招标文件的响应程度进行审查，以确定其是否满足招标文件的实质性要求。</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明确响应的投标应该是与招标文件要求的全部条款、条件和规格相符，没有重大偏离或保留的投标。</w:t>
      </w:r>
      <w:r/>
    </w:p>
    <w:p>
      <w:pPr>
        <w:ind w:firstLine="480"/>
        <w:spacing w:line="400" w:lineRule="exact"/>
        <w:rPr>
          <w:rFonts w:hint="eastAsia" w:ascii="宋体" w:hAnsi="宋体"/>
          <w:bCs/>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评标委员会将对确定为明确响应的投标进行进一步审核，</w:t>
      </w:r>
      <w:r>
        <w:rPr>
          <w:rFonts w:hint="eastAsia" w:ascii="宋体" w:hAnsi="宋体" w:cs="Arial"/>
          <w:color w:val="auto"/>
          <w:sz w:val="24"/>
          <w:highlight w:val="none"/>
        </w:rPr>
        <w:t xml:space="preserve">投标文件报价出现前后不一致的，除招标文件另有规定外，按照下列规定修正：</w:t>
      </w:r>
      <w:r/>
    </w:p>
    <w:p>
      <w:pPr>
        <w:ind w:firstLine="480"/>
        <w:spacing w:line="400" w:lineRule="exact"/>
        <w:rPr>
          <w:rFonts w:hint="eastAsia" w:ascii="宋体" w:hAnsi="宋体"/>
          <w:bCs/>
          <w:color w:val="auto"/>
          <w:sz w:val="24"/>
          <w:highlight w:val="none"/>
        </w:rPr>
      </w:pPr>
      <w:r>
        <w:rPr>
          <w:rFonts w:ascii="宋体" w:hAnsi="宋体"/>
          <w:bCs/>
          <w:color w:val="auto"/>
          <w:sz w:val="24"/>
          <w:highlight w:val="none"/>
        </w:rPr>
        <w:t xml:space="preserve">1.</w:t>
      </w:r>
      <w:r>
        <w:rPr>
          <w:rFonts w:hint="eastAsia" w:ascii="宋体" w:hAnsi="宋体" w:cs="Arial"/>
          <w:color w:val="auto"/>
          <w:sz w:val="24"/>
          <w:highlight w:val="none"/>
        </w:rPr>
        <w:t xml:space="preserve">投标文件中开标一览表内容与投标文件中相应内容不一致的，以开标一览表为准；</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2.</w:t>
      </w:r>
      <w:r>
        <w:rPr>
          <w:rFonts w:hint="eastAsia" w:ascii="宋体" w:hAnsi="宋体" w:cs="Arial"/>
          <w:color w:val="auto"/>
          <w:sz w:val="24"/>
          <w:highlight w:val="none"/>
        </w:rPr>
        <w:t xml:space="preserve">大写金额和小写金额不一致的，以大写金额为准；</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3.</w:t>
      </w:r>
      <w:r>
        <w:rPr>
          <w:rFonts w:hint="eastAsia" w:ascii="宋体" w:hAnsi="宋体" w:cs="Arial"/>
          <w:color w:val="auto"/>
          <w:sz w:val="24"/>
          <w:highlight w:val="none"/>
        </w:rPr>
        <w:t xml:space="preserve">单价金额小数点或者百分比有明显错位的，以开标一览表的总价为准，并修改单价；</w:t>
      </w:r>
      <w:r/>
    </w:p>
    <w:p>
      <w:pPr>
        <w:contextualSpacing/>
        <w:jc w:val="left"/>
        <w:spacing w:before="100" w:beforeAutospacing="1" w:after="240" w:line="400" w:lineRule="exact"/>
        <w:widowControl/>
        <w:rPr>
          <w:rFonts w:hint="eastAsia"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4.</w:t>
      </w:r>
      <w:r>
        <w:rPr>
          <w:rFonts w:hint="eastAsia" w:ascii="宋体" w:hAnsi="宋体" w:cs="Arial"/>
          <w:color w:val="auto"/>
          <w:sz w:val="24"/>
          <w:highlight w:val="none"/>
        </w:rPr>
        <w:t xml:space="preserve">总价金额与按单价汇总金额不一致的，以单价金额计算结果为准。</w:t>
      </w:r>
      <w:r/>
    </w:p>
    <w:p>
      <w:pPr>
        <w:ind w:firstLine="480"/>
        <w:spacing w:line="400" w:lineRule="exact"/>
        <w:rPr>
          <w:rFonts w:hint="eastAsia" w:ascii="宋体" w:hAnsi="宋体" w:cs="Arial"/>
          <w:color w:val="auto"/>
          <w:sz w:val="24"/>
          <w:highlight w:val="none"/>
        </w:rPr>
      </w:pPr>
      <w:r>
        <w:rPr>
          <w:rFonts w:hint="eastAsia" w:ascii="宋体" w:hAnsi="宋体"/>
          <w:bCs/>
          <w:color w:val="auto"/>
          <w:sz w:val="24"/>
          <w:highlight w:val="none"/>
        </w:rPr>
        <w:t xml:space="preserve">评标委员会将按上述修正错误的方法调整投标文件中的投标报价，</w:t>
      </w:r>
      <w:r>
        <w:rPr>
          <w:rFonts w:hint="eastAsia" w:ascii="宋体" w:hAnsi="宋体" w:cs="Arial"/>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400" w:lineRule="exact"/>
        <w:rPr>
          <w:rFonts w:hint="eastAsia" w:ascii="宋体" w:hAnsi="宋体" w:cs="Arial"/>
          <w:color w:val="auto"/>
          <w:sz w:val="24"/>
          <w:highlight w:val="none"/>
        </w:rPr>
      </w:pPr>
      <w:r>
        <w:rPr>
          <w:rFonts w:hint="eastAsia" w:ascii="宋体" w:hAnsi="宋体" w:cs="Arial"/>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exact"/>
        <w:rPr>
          <w:rFonts w:hint="eastAsia" w:ascii="宋体" w:hAnsi="宋体" w:cs="Courier New"/>
          <w:b/>
          <w:bCs/>
          <w:color w:val="auto"/>
          <w:sz w:val="24"/>
          <w:highlight w:val="none"/>
        </w:rPr>
      </w:pPr>
      <w:r>
        <w:rPr>
          <w:rFonts w:hint="eastAsia" w:ascii="宋体" w:hAnsi="宋体" w:cs="Courier New"/>
          <w:b/>
          <w:bCs/>
          <w:color w:val="auto"/>
          <w:sz w:val="24"/>
          <w:highlight w:val="none"/>
        </w:rPr>
        <w:t xml:space="preserve">三、评分标准</w:t>
      </w:r>
      <w:r/>
    </w:p>
    <w:p>
      <w:pPr>
        <w:ind w:firstLine="480"/>
        <w:spacing w:line="400" w:lineRule="exact"/>
        <w:rPr>
          <w:rFonts w:hint="eastAsia" w:ascii="宋体" w:hAnsi="宋体" w:cs="Courier New"/>
          <w:bCs/>
          <w:color w:val="auto"/>
          <w:sz w:val="24"/>
          <w:highlight w:val="none"/>
        </w:rPr>
      </w:pPr>
      <w:r>
        <w:rPr>
          <w:rFonts w:hint="eastAsia" w:ascii="宋体" w:hAnsi="宋体" w:cs="Arial"/>
          <w:color w:val="auto"/>
          <w:sz w:val="24"/>
          <w:highlight w:val="none"/>
        </w:rPr>
        <w:t xml:space="preserve">评标时，评标委员会各成员独立对每个投标人的投标文件进行评价，并汇总每个投标人的得分。</w:t>
      </w: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tbl>
      <w:tblPr>
        <w:tblStyle w:val="872"/>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277"/>
        <w:gridCol w:w="7123"/>
        <w:gridCol w:w="854"/>
      </w:tblGrid>
      <w:tr>
        <w:trPr>
          <w:trHeight w:val="663"/>
        </w:trPr>
        <w:tc>
          <w:tcPr>
            <w:tcW w:w="725" w:type="dxa"/>
            <w:vAlign w:val="center"/>
            <w:textDirection w:val="lrTb"/>
            <w:noWrap w:val="false"/>
          </w:tcPr>
          <w:p>
            <w:pPr>
              <w:spacing w:line="360" w:lineRule="auto"/>
              <w:tabs>
                <w:tab w:val="left" w:pos="441"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277"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评分项</w:t>
            </w:r>
            <w:r/>
          </w:p>
        </w:tc>
        <w:tc>
          <w:tcPr>
            <w:tcW w:w="7123"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评分细则</w:t>
            </w:r>
            <w:r/>
          </w:p>
        </w:tc>
        <w:tc>
          <w:tcPr>
            <w:tcW w:w="854"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2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7123"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各投标人通过资格审查和符合性审查的有效投标报价中的最低价作为评标基准价，其价格为满分。其他投标人的价格分统一按照下列公式计算：投标报价得分=(评标基准价／投标报价)×22（该结果四舍五入，保留两位小数）</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22分</w:t>
            </w:r>
            <w:r/>
          </w:p>
        </w:tc>
      </w:tr>
      <w:tr>
        <w:trPr>
          <w:trHeight w:val="2474"/>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277" w:type="dxa"/>
            <w:vAlign w:val="center"/>
            <w:textDirection w:val="lrTb"/>
            <w:noWrap w:val="false"/>
          </w:tcPr>
          <w:p>
            <w:pPr>
              <w:jc w:val="cente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p>
        </w:tc>
        <w:tc>
          <w:tcPr>
            <w:tcW w:w="7123"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1.项目负责人（1人）：具有测绘专业高级工程师职称证书得1分；具有注册测绘师证书得1分；具有国家地理信息安全保密培训合格证明得1分，本项最高得3分。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2.项目组人员（项目负责人除外）：具有测绘专业或土地专业中级及以上职称证书的，每投入1人得1分，最高得6分；具有国家地理信息安全保密培训合格证明的，每投入1人得1分，最高得3分；本项最高得9分。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注：项目组成员不可重复计分，投标时需提供相关人员的职称证书原件扫描件，以上所有人员需提供投标人投标前3个月内任意1个月缴纳社保的证明材料并加盖投标人公章，否则不得分。</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12分</w:t>
            </w:r>
            <w:r/>
          </w:p>
        </w:tc>
      </w:tr>
      <w:tr>
        <w:trPr>
          <w:trHeight w:val="1045"/>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277" w:type="dxa"/>
            <w:vAlign w:val="center"/>
            <w:textDirection w:val="lrTb"/>
            <w:noWrap w:val="false"/>
          </w:tcPr>
          <w:p>
            <w:pPr>
              <w:ind w:firstLine="240"/>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c>
          <w:tcPr>
            <w:tcW w:w="7123" w:type="dxa"/>
            <w:vAlign w:val="center"/>
            <w:textDirection w:val="lrTb"/>
            <w:noWrap w:val="false"/>
          </w:tcPr>
          <w:p>
            <w:pPr>
              <w:pStyle w:val="1125"/>
              <w:spacing w:line="240" w:lineRule="auto"/>
              <w:rPr>
                <w:rFonts w:hint="eastAsia"/>
                <w:color w:val="auto"/>
                <w:highlight w:val="none"/>
              </w:rPr>
            </w:pPr>
            <w:r>
              <w:rPr>
                <w:rFonts w:hint="eastAsia"/>
                <w:color w:val="auto"/>
                <w:highlight w:val="none"/>
              </w:rPr>
              <w:t xml:space="preserve">投标人自2023年1月1日以来（以合同签订时间为准），承担过国土变更调查等类似项目，有一个得3分，本项最高得12分。</w:t>
            </w:r>
            <w:r/>
          </w:p>
          <w:p>
            <w:pPr>
              <w:pStyle w:val="1125"/>
              <w:spacing w:line="240" w:lineRule="auto"/>
              <w:rPr>
                <w:rFonts w:hint="eastAsia"/>
                <w:color w:val="auto"/>
                <w:highlight w:val="none"/>
              </w:rPr>
            </w:pPr>
            <w:r>
              <w:rPr>
                <w:rFonts w:hint="eastAsia"/>
                <w:bCs/>
                <w:color w:val="auto"/>
                <w:highlight w:val="none"/>
              </w:rPr>
              <w:t xml:space="preserve">注：提供合同原件扫描件，合同须能反映项目名称、主要标的物、签订时间、单位公章或专用合同章,如不能反映的，另须提供盖有原委托单位公章的证明，否则不予认可。</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12分</w:t>
            </w:r>
            <w:r/>
          </w:p>
        </w:tc>
      </w:tr>
      <w:tr>
        <w:trPr>
          <w:trHeight w:val="1259"/>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277" w:type="dxa"/>
            <w:vAlign w:val="center"/>
            <w:textDirection w:val="lrTb"/>
            <w:noWrap w:val="false"/>
          </w:tcPr>
          <w:p>
            <w:pP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综合实力</w:t>
            </w:r>
            <w:r/>
          </w:p>
        </w:tc>
        <w:tc>
          <w:tcPr>
            <w:tcW w:w="7123" w:type="dxa"/>
            <w:vAlign w:val="center"/>
            <w:textDirection w:val="lrTb"/>
            <w:noWrap w:val="false"/>
          </w:tcPr>
          <w:p>
            <w:pPr>
              <w:pStyle w:val="1125"/>
              <w:spacing w:line="240" w:lineRule="auto"/>
              <w:rPr>
                <w:rFonts w:hint="eastAsia"/>
                <w:color w:val="auto"/>
                <w:highlight w:val="none"/>
              </w:rPr>
            </w:pPr>
            <w:r>
              <w:rPr>
                <w:rFonts w:hint="eastAsia"/>
                <w:color w:val="auto"/>
                <w:highlight w:val="none"/>
              </w:rPr>
              <w:t xml:space="preserve">投标人具有有效且通过年检的质量管理体系、环境管理体系、职业健康管理体系和信息安全管理体系认证证书，有1个得1分，最高得4分。</w:t>
            </w:r>
            <w:r/>
          </w:p>
          <w:p>
            <w:pPr>
              <w:pStyle w:val="1125"/>
              <w:spacing w:line="240" w:lineRule="auto"/>
              <w:rPr>
                <w:rFonts w:hint="eastAsia"/>
                <w:color w:val="auto"/>
                <w:highlight w:val="none"/>
              </w:rPr>
            </w:pPr>
            <w:r>
              <w:rPr>
                <w:rFonts w:hint="eastAsia"/>
                <w:color w:val="auto"/>
                <w:highlight w:val="none"/>
              </w:rPr>
              <w:t xml:space="preserve">注：须提供有效的证书原件扫描件。</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r>
      <w:tr>
        <w:trPr>
          <w:trHeight w:val="1045"/>
        </w:trPr>
        <w:tc>
          <w:tcPr>
            <w:tcW w:w="72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277" w:type="dxa"/>
            <w:vAlign w:val="center"/>
            <w:textDirection w:val="lrTb"/>
            <w:noWrap w:val="false"/>
          </w:tcPr>
          <w:p>
            <w:pPr>
              <w:jc w:val="center"/>
              <w:spacing w:line="400" w:lineRule="exact"/>
              <w:tabs>
                <w:tab w:val="left" w:pos="28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实施方案</w:t>
            </w:r>
            <w:r/>
          </w:p>
        </w:tc>
        <w:tc>
          <w:tcPr>
            <w:tcW w:w="7123" w:type="dxa"/>
            <w:vAlign w:val="center"/>
            <w:textDirection w:val="lrTb"/>
            <w:noWrap w:val="false"/>
          </w:tcPr>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1.项目核心内涵理解（6分）</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供应商根据本项目第四章中“项目需求”要求，提供有针对性的、科学合理的项目核心内涵理解，至少包含:①项目背景；②项目目标；③项目依据；④项目内容等。</w:t>
            </w:r>
            <w:r/>
          </w:p>
          <w:p>
            <w:pPr>
              <w:ind w:firstLine="480"/>
              <w:jc w:val="left"/>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以上方案内容完整得</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分，每有一内容缺失的扣</w:t>
            </w:r>
            <w:r>
              <w:rPr>
                <w:rFonts w:hint="eastAsia" w:asciiTheme="minorEastAsia" w:hAnsiTheme="minorEastAsia" w:cstheme="minorEastAsia"/>
                <w:color w:val="auto"/>
                <w:sz w:val="24"/>
                <w:highlight w:val="none"/>
              </w:rPr>
              <w:t xml:space="preserve">1.5</w:t>
            </w:r>
            <w:r>
              <w:rPr>
                <w:rFonts w:hint="eastAsia" w:asciiTheme="minorEastAsia" w:hAnsiTheme="minorEastAsia" w:eastAsia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分，直至该项分值</w:t>
            </w:r>
            <w:r>
              <w:rPr>
                <w:rFonts w:hint="eastAsia" w:asciiTheme="minorEastAsia" w:hAnsiTheme="minorEastAsia" w:cstheme="minorEastAsia"/>
                <w:color w:val="auto"/>
                <w:sz w:val="24"/>
                <w:highlight w:val="none"/>
              </w:rPr>
              <w:t xml:space="preserve">1.5</w:t>
            </w:r>
            <w:r>
              <w:rPr>
                <w:rFonts w:hint="eastAsia" w:asciiTheme="minorEastAsia" w:hAnsiTheme="minorEastAsia" w:eastAsiaTheme="minorEastAsia" w:cstheme="minorEastAsia"/>
                <w:color w:val="auto"/>
                <w:sz w:val="24"/>
                <w:highlight w:val="none"/>
              </w:rPr>
              <w:t xml:space="preserve">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2.技术路线方法规划（8分）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供应商根据本项目第四章中“项目需求”要求，提供有针对性的、科学合理的技术路线方法规划，至少包含</w:t>
            </w:r>
            <w:r>
              <w:rPr>
                <w:rStyle w:val="1103"/>
                <w:rFonts w:hint="eastAsia" w:ascii="宋体" w:hAnsi="宋体" w:cs="宋体"/>
                <w:color w:val="auto"/>
                <w:sz w:val="24"/>
                <w:highlight w:val="none"/>
              </w:rPr>
              <w:t xml:space="preserve">:①</w:t>
            </w:r>
            <w:r>
              <w:rPr>
                <w:rFonts w:hint="eastAsia"/>
                <w:color w:val="auto"/>
                <w:sz w:val="24"/>
                <w:highlight w:val="none"/>
              </w:rPr>
              <w:t xml:space="preserve">年度国土变更调查任务路线</w:t>
            </w:r>
            <w:r>
              <w:rPr>
                <w:rStyle w:val="1103"/>
                <w:rFonts w:hint="eastAsia" w:ascii="宋体" w:hAnsi="宋体" w:cs="宋体"/>
                <w:color w:val="auto"/>
                <w:sz w:val="24"/>
                <w:highlight w:val="none"/>
              </w:rPr>
              <w:t xml:space="preserve">;②日常变更调查数据的动态数据汇总路线;③</w:t>
            </w:r>
            <w:r>
              <w:rPr>
                <w:rFonts w:hint="eastAsia"/>
                <w:color w:val="auto"/>
                <w:sz w:val="24"/>
                <w:highlight w:val="none"/>
              </w:rPr>
              <w:t xml:space="preserve">林草湿荒漠化调查监测与变更调查协同机制路线</w:t>
            </w:r>
            <w:r>
              <w:rPr>
                <w:rStyle w:val="1103"/>
                <w:rFonts w:hint="eastAsia" w:ascii="宋体" w:hAnsi="宋体" w:cs="宋体"/>
                <w:color w:val="auto"/>
                <w:sz w:val="24"/>
                <w:highlight w:val="none"/>
              </w:rPr>
              <w:t xml:space="preserve">;④</w:t>
            </w:r>
            <w:r>
              <w:rPr>
                <w:rFonts w:hint="eastAsia"/>
                <w:color w:val="auto"/>
                <w:sz w:val="24"/>
                <w:highlight w:val="none"/>
              </w:rPr>
              <w:t xml:space="preserve">数据融合和标准统一</w:t>
            </w:r>
            <w:r>
              <w:rPr>
                <w:rStyle w:val="1103"/>
                <w:rFonts w:hint="eastAsia" w:ascii="宋体" w:hAnsi="宋体" w:cs="宋体"/>
                <w:color w:val="auto"/>
                <w:sz w:val="24"/>
                <w:highlight w:val="none"/>
              </w:rPr>
              <w:t xml:space="preserve">等。</w:t>
            </w:r>
            <w:r/>
          </w:p>
          <w:p>
            <w:pPr>
              <w:ind w:firstLine="48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3.重点难点问题分析（6分）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供应商根据本项目第四章中“项目需求”要求，提供有针对性的、科学合理的重点难点问题分析，至少包含</w:t>
            </w:r>
            <w:r>
              <w:rPr>
                <w:rStyle w:val="1103"/>
                <w:rFonts w:hint="eastAsia" w:ascii="宋体" w:hAnsi="宋体" w:cs="宋体"/>
                <w:color w:val="auto"/>
                <w:sz w:val="24"/>
                <w:highlight w:val="none"/>
              </w:rPr>
              <w:t xml:space="preserve">:①</w:t>
            </w:r>
            <w:r>
              <w:rPr>
                <w:rFonts w:hint="eastAsia"/>
                <w:color w:val="auto"/>
                <w:sz w:val="24"/>
                <w:highlight w:val="none"/>
              </w:rPr>
              <w:t xml:space="preserve">耕地流量变化分析；</w:t>
            </w:r>
            <w:r>
              <w:rPr>
                <w:rStyle w:val="1103"/>
                <w:rFonts w:hint="eastAsia" w:ascii="宋体" w:hAnsi="宋体" w:cs="宋体"/>
                <w:color w:val="auto"/>
                <w:sz w:val="24"/>
                <w:highlight w:val="none"/>
              </w:rPr>
              <w:t xml:space="preserve">②</w:t>
            </w:r>
            <w:r>
              <w:rPr>
                <w:rFonts w:hint="eastAsia"/>
                <w:color w:val="auto"/>
                <w:sz w:val="24"/>
                <w:highlight w:val="none"/>
              </w:rPr>
              <w:t xml:space="preserve">与林地、草地、湿地调查成果衔接</w:t>
            </w:r>
            <w:r>
              <w:rPr>
                <w:rStyle w:val="1103"/>
                <w:rFonts w:hint="eastAsia" w:ascii="宋体" w:hAnsi="宋体" w:cs="宋体"/>
                <w:color w:val="auto"/>
                <w:sz w:val="24"/>
                <w:highlight w:val="none"/>
              </w:rPr>
              <w:t xml:space="preserve">等。</w:t>
            </w:r>
            <w:r/>
          </w:p>
          <w:p>
            <w:pPr>
              <w:ind w:firstLine="480"/>
              <w:jc w:val="left"/>
              <w:rPr>
                <w:rStyle w:val="1103"/>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以上方案内容完整得</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分，每有一内容缺失的扣</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分，直至该项分值</w:t>
            </w:r>
            <w:r>
              <w:rPr>
                <w:rFonts w:hint="eastAsia" w:asciiTheme="minorEastAsia" w:hAnsi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rPr>
              <w:t xml:space="preserve">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4.组织架构分工安排（4分）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供应商根据本项目第四章中“项目需求”要求，提供有针对性的、科学合理的组织架构分工安排，至少包含</w:t>
            </w:r>
            <w:r>
              <w:rPr>
                <w:rStyle w:val="1103"/>
                <w:rFonts w:hint="eastAsia" w:ascii="宋体" w:hAnsi="宋体" w:cs="宋体"/>
                <w:color w:val="auto"/>
                <w:sz w:val="24"/>
                <w:highlight w:val="none"/>
              </w:rPr>
              <w:t xml:space="preserve">:①项目组织机构；②人员岗位职责；③项目管理；④项目组成员培训计划等。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4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5.整体工作推进计划（6分）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供应商根据本项目第四章中“项目需求”要求，提供有针对性的、科学合理的整体工作推进计划，至少包含</w:t>
            </w:r>
            <w:r>
              <w:rPr>
                <w:rStyle w:val="1103"/>
                <w:rFonts w:hint="eastAsia" w:ascii="宋体" w:hAnsi="宋体" w:cs="宋体"/>
                <w:color w:val="auto"/>
                <w:sz w:val="24"/>
                <w:highlight w:val="none"/>
              </w:rPr>
              <w:t xml:space="preserve">:①工期计划安排；②进度保障措施；③工期滞后弥补办法；④影响工期的主要原因等。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6.质量管控保障措施（8分）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供应商根据本项目第四章中“项目需求”要求，提供有针对性的、科学合理的质量管控保障措施，至少包含</w:t>
            </w:r>
            <w:r>
              <w:rPr>
                <w:rStyle w:val="1103"/>
                <w:rFonts w:hint="eastAsia" w:ascii="宋体" w:hAnsi="宋体" w:cs="宋体"/>
                <w:color w:val="auto"/>
                <w:sz w:val="24"/>
                <w:highlight w:val="none"/>
              </w:rPr>
              <w:t xml:space="preserve">:①质量管理机构设置；②质量保证措施；③质量控制流程；④质量管理关键点分析等。</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ind w:firstLine="482"/>
              <w:jc w:val="left"/>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7.安全保密管理措施（4分）</w:t>
            </w:r>
            <w:r/>
          </w:p>
          <w:p>
            <w:pPr>
              <w:ind w:firstLine="480"/>
              <w:jc w:val="left"/>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供应商根据本项目第四章中“项目需求”要求，提供有针对性的、科学合理的安全保密管理措施，至少包含</w:t>
            </w:r>
            <w:r>
              <w:rPr>
                <w:rStyle w:val="1103"/>
                <w:rFonts w:hint="eastAsia" w:ascii="宋体" w:hAnsi="宋体" w:cs="宋体"/>
                <w:color w:val="auto"/>
                <w:sz w:val="24"/>
                <w:highlight w:val="none"/>
              </w:rPr>
              <w:t xml:space="preserve">:①建立安全责任制度；②安全保证制度；③制定安全生产应急预案；④资料保密管理制度等。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4分，每有一内容缺失的扣1分;每有一处存在缺陷(缺陷是指不适用于本项目，表述前后不一致或内容矛盾，语句有歧义，仅有框架或标题，涉及的规范及标准错误，套用其他项目内容等任意一种情形)的扣0.2分，直至该项分值1分扣完为止，不提供本项不得分。</w:t>
            </w:r>
            <w:r/>
          </w:p>
          <w:p>
            <w:pPr>
              <w:ind w:firstLine="482"/>
              <w:rPr>
                <w:rStyle w:val="1103"/>
                <w:rFonts w:hint="eastAsia" w:ascii="宋体" w:hAnsi="宋体" w:cs="宋体"/>
                <w:color w:val="auto"/>
                <w:sz w:val="24"/>
                <w:highlight w:val="none"/>
              </w:rPr>
            </w:pPr>
            <w:r>
              <w:rPr>
                <w:rStyle w:val="1103"/>
                <w:rFonts w:hint="eastAsia" w:ascii="宋体" w:hAnsi="宋体" w:cs="宋体"/>
                <w:b/>
                <w:bCs/>
                <w:color w:val="auto"/>
                <w:sz w:val="24"/>
                <w:highlight w:val="none"/>
              </w:rPr>
              <w:t xml:space="preserve">8.专项服务承诺事项（6分）</w:t>
            </w:r>
            <w:r/>
          </w:p>
          <w:p>
            <w:pPr>
              <w:ind w:firstLine="480"/>
              <w:rPr>
                <w:rStyle w:val="1103"/>
                <w:rFonts w:hint="eastAsia" w:ascii="宋体" w:hAnsi="宋体" w:cs="宋体"/>
                <w:color w:val="auto"/>
                <w:sz w:val="24"/>
                <w:highlight w:val="none"/>
              </w:rPr>
            </w:pPr>
            <w:r>
              <w:rPr>
                <w:rFonts w:hint="eastAsia" w:ascii="宋体" w:hAnsi="宋体" w:cs="宋体"/>
                <w:color w:val="auto"/>
                <w:sz w:val="24"/>
                <w:highlight w:val="none"/>
              </w:rPr>
              <w:t xml:space="preserve">供应商根据本项目第四章中“项目需求”要求，提供有针对性的、科学合理的专项服务承诺事项，至少包含</w:t>
            </w:r>
            <w:r>
              <w:rPr>
                <w:rStyle w:val="1103"/>
                <w:rFonts w:hint="eastAsia" w:ascii="宋体" w:hAnsi="宋体" w:cs="宋体"/>
                <w:color w:val="auto"/>
                <w:sz w:val="24"/>
                <w:highlight w:val="none"/>
              </w:rPr>
              <w:t xml:space="preserve">:①售后服务方案；②售后保障措施等。</w:t>
            </w:r>
            <w:r/>
          </w:p>
          <w:p>
            <w:pPr>
              <w:ind w:firstLine="480"/>
              <w:jc w:val="left"/>
              <w:rPr>
                <w:rStyle w:val="1103"/>
                <w:rFonts w:hint="eastAsia" w:ascii="宋体" w:hAnsi="宋体" w:cs="宋体"/>
                <w:color w:val="auto"/>
                <w:sz w:val="24"/>
                <w:highlight w:val="none"/>
              </w:rPr>
            </w:pPr>
            <w:r>
              <w:rPr>
                <w:rStyle w:val="1103"/>
                <w:rFonts w:hint="eastAsia" w:ascii="宋体" w:hAnsi="宋体" w:cs="宋体"/>
                <w:color w:val="auto"/>
                <w:sz w:val="24"/>
                <w:highlight w:val="none"/>
              </w:rPr>
              <w:t xml:space="preserve">以上方案内容完整得6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r/>
          </w:p>
          <w:p>
            <w:pPr>
              <w:ind w:firstLine="482"/>
              <w:rPr>
                <w:rStyle w:val="1103"/>
                <w:rFonts w:hint="eastAsia" w:ascii="宋体" w:hAnsi="宋体" w:cs="宋体"/>
                <w:b/>
                <w:bCs/>
                <w:color w:val="auto"/>
                <w:sz w:val="24"/>
                <w:highlight w:val="none"/>
              </w:rPr>
            </w:pPr>
            <w:r>
              <w:rPr>
                <w:rStyle w:val="1103"/>
                <w:rFonts w:hint="eastAsia" w:ascii="宋体" w:hAnsi="宋体" w:cs="宋体"/>
                <w:b/>
                <w:bCs/>
                <w:color w:val="auto"/>
                <w:sz w:val="24"/>
                <w:highlight w:val="none"/>
              </w:rPr>
              <w:t xml:space="preserve">9、后续服务承诺（2分）</w:t>
            </w:r>
            <w:r/>
          </w:p>
          <w:p>
            <w:pPr>
              <w:ind w:firstLine="480"/>
              <w:jc w:val="left"/>
              <w:rPr>
                <w:rStyle w:val="1103"/>
                <w:rFonts w:hint="eastAsia" w:ascii="宋体" w:hAnsi="宋体" w:cs="宋体"/>
                <w:color w:val="auto"/>
                <w:sz w:val="24"/>
                <w:highlight w:val="none"/>
              </w:rPr>
            </w:pPr>
            <w:r>
              <w:rPr>
                <w:rFonts w:hint="eastAsia" w:asciiTheme="minorEastAsia" w:hAnsiTheme="minorEastAsia" w:eastAsiaTheme="minorEastAsia" w:cstheme="minorEastAsia"/>
                <w:bCs/>
                <w:color w:val="auto"/>
                <w:sz w:val="24"/>
                <w:highlight w:val="none"/>
              </w:rPr>
              <w:t xml:space="preserve">供应商根据本项目第四章中“项目需求”要求，在完成最低服务期限后，承诺后续服务时间半年的得1分，一年的得2分，本项最高得2分（后续服务承诺格式自拟）。</w:t>
            </w:r>
            <w:r/>
          </w:p>
        </w:tc>
        <w:tc>
          <w:tcPr>
            <w:tcW w:w="85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50分</w:t>
            </w:r>
            <w:r/>
          </w:p>
        </w:tc>
      </w:tr>
    </w:tbl>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r>
      <w:r/>
    </w:p>
    <w:p>
      <w:pPr>
        <w:pStyle w:val="863"/>
        <w:spacing w:line="360" w:lineRule="auto"/>
        <w:rPr>
          <w:rFonts w:hint="eastAsia" w:ascii="黑体" w:hAnsi="Times New Roman" w:eastAsia="黑体"/>
          <w:b w:val="0"/>
          <w:color w:val="auto"/>
          <w:szCs w:val="44"/>
          <w:highlight w:val="none"/>
        </w:rPr>
      </w:pPr>
      <w:r>
        <w:rPr>
          <w:rFonts w:hint="eastAsia" w:ascii="黑体" w:hAnsi="Times New Roman" w:eastAsia="黑体"/>
          <w:b w:val="0"/>
          <w:color w:val="auto"/>
          <w:szCs w:val="44"/>
          <w:highlight w:val="none"/>
        </w:rPr>
      </w:r>
      <w:r/>
    </w:p>
    <w:p>
      <w:pPr>
        <w:pStyle w:val="863"/>
        <w:spacing w:line="360" w:lineRule="auto"/>
        <w:rPr>
          <w:rFonts w:ascii="黑体" w:eastAsia="黑体" w:cs="Arial"/>
          <w:bCs/>
          <w:color w:val="auto"/>
          <w:szCs w:val="44"/>
          <w:highlight w:val="none"/>
        </w:rPr>
      </w:pPr>
      <w:r>
        <w:rPr>
          <w:rFonts w:hint="eastAsia" w:ascii="黑体" w:hAnsi="Times New Roman" w:eastAsia="黑体"/>
          <w:b w:val="0"/>
          <w:color w:val="auto"/>
          <w:szCs w:val="44"/>
          <w:highlight w:val="none"/>
        </w:rPr>
        <w:t xml:space="preserve">第六章  投标文件格式</w:t>
      </w:r>
      <w:r/>
    </w:p>
    <w:p>
      <w:pPr>
        <w:jc w:val="center"/>
        <w:rPr>
          <w:rFonts w:hint="eastAsia" w:ascii="黑体" w:hAnsi="黑体" w:eastAsia="黑体"/>
          <w:b/>
          <w:color w:val="auto"/>
          <w:sz w:val="72"/>
          <w:szCs w:val="21"/>
          <w:highlight w:val="none"/>
        </w:rPr>
      </w:pPr>
      <w:r>
        <w:rPr>
          <w:rFonts w:hint="eastAsia" w:ascii="黑体" w:hAnsi="黑体" w:eastAsia="黑体"/>
          <w:b/>
          <w:color w:val="auto"/>
          <w:sz w:val="72"/>
          <w:szCs w:val="21"/>
          <w:highlight w:val="none"/>
        </w:rPr>
      </w:r>
      <w:r/>
    </w:p>
    <w:p>
      <w:pPr>
        <w:jc w:val="center"/>
        <w:rPr>
          <w:rFonts w:hint="eastAsia" w:ascii="黑体" w:hAnsi="黑体" w:eastAsia="黑体"/>
          <w:b/>
          <w:color w:val="auto"/>
          <w:sz w:val="72"/>
          <w:szCs w:val="21"/>
          <w:highlight w:val="none"/>
        </w:rPr>
      </w:pPr>
      <w:r>
        <w:rPr>
          <w:rFonts w:hint="eastAsia" w:ascii="黑体" w:hAnsi="黑体" w:eastAsia="黑体"/>
          <w:b/>
          <w:color w:val="auto"/>
          <w:sz w:val="72"/>
          <w:szCs w:val="21"/>
          <w:highlight w:val="none"/>
        </w:rPr>
        <w:t xml:space="preserve"> 投 标 文 件</w:t>
      </w:r>
      <w:r/>
    </w:p>
    <w:p>
      <w:pPr>
        <w:pStyle w:val="1092"/>
        <w:ind w:firstLine="0"/>
        <w:jc w:val="center"/>
        <w:rPr>
          <w:rFonts w:hint="eastAsia" w:ascii="黑体" w:hAnsi="黑体" w:eastAsia="黑体"/>
          <w:b/>
          <w:bCs/>
          <w:color w:val="auto"/>
          <w:sz w:val="32"/>
          <w:highlight w:val="none"/>
        </w:rPr>
      </w:pPr>
      <w:r>
        <w:rPr>
          <w:rFonts w:hint="eastAsia" w:ascii="黑体" w:hAnsi="黑体" w:eastAsia="黑体"/>
          <w:b/>
          <w:bCs/>
          <w:color w:val="auto"/>
          <w:sz w:val="32"/>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highlight w:val="none"/>
        </w:rPr>
      </w:pPr>
      <w:r>
        <w:rPr>
          <w:rFonts w:hint="eastAsia" w:ascii="黑体" w:hAnsi="黑体" w:eastAsia="黑体"/>
          <w:b/>
          <w:color w:val="auto"/>
          <w:sz w:val="36"/>
          <w:highlight w:val="none"/>
        </w:rPr>
      </w:r>
      <w:r/>
    </w:p>
    <w:p>
      <w:pPr>
        <w:pStyle w:val="905"/>
        <w:ind w:firstLine="1084"/>
        <w:jc w:val="both"/>
        <w:spacing w:beforeAutospacing="0" w:afterAutospacing="0"/>
        <w:rPr>
          <w:rFonts w:hint="eastAsia"/>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05"/>
        <w:ind w:firstLine="1084"/>
        <w:jc w:val="both"/>
        <w:spacing w:beforeAutospacing="0" w:afterAutospacing="0"/>
        <w:rPr>
          <w:rFonts w:hint="eastAsia"/>
          <w:color w:val="auto"/>
          <w:highlight w:val="non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05"/>
        <w:jc w:val="both"/>
        <w:spacing w:beforeAutospacing="0" w:afterAutospacing="0"/>
        <w:rPr>
          <w:rFonts w:hint="eastAsia"/>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w:t>
      </w:r>
      <w:r/>
    </w:p>
    <w:p>
      <w:pPr>
        <w:pStyle w:val="1092"/>
        <w:ind w:firstLine="0"/>
        <w:spacing w:before="0" w:after="0"/>
        <w:rPr>
          <w:rFonts w:hint="eastAsia" w:ascii="宋体" w:hAnsi="宋体"/>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pStyle w:val="1092"/>
        <w:ind w:firstLine="0"/>
        <w:spacing w:before="0" w:after="0"/>
        <w:rPr>
          <w:rFonts w:hint="eastAsia" w:ascii="宋体" w:hAnsi="宋体"/>
          <w:color w:val="auto"/>
          <w:highlight w:val="none"/>
        </w:rPr>
      </w:pPr>
      <w:r>
        <w:rPr>
          <w:rFonts w:hint="eastAsia" w:ascii="宋体" w:hAnsi="宋体"/>
          <w:color w:val="auto"/>
          <w:highlight w:val="none"/>
        </w:rPr>
      </w:r>
      <w:r/>
    </w:p>
    <w:p>
      <w:pPr>
        <w:pStyle w:val="886"/>
        <w:jc w:val="center"/>
        <w:spacing w:line="360" w:lineRule="auto"/>
        <w:rPr>
          <w:rFonts w:hint="eastAsia" w:ascii="宋体" w:hAnsi="宋体"/>
          <w:color w:val="auto"/>
          <w:sz w:val="32"/>
          <w:highlight w:val="none"/>
        </w:rPr>
      </w:pPr>
      <w:r>
        <w:rPr>
          <w:rFonts w:hint="eastAsia" w:ascii="宋体" w:hAnsi="宋体"/>
          <w:color w:val="auto"/>
          <w:sz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0"/>
        <w:rPr>
          <w:rFonts w:hint="eastAsia"/>
          <w:color w:val="auto"/>
          <w:highlight w:val="none"/>
        </w:rPr>
      </w:pPr>
      <w:r>
        <w:rPr>
          <w:rFonts w:hint="eastAsia"/>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905"/>
        <w:jc w:val="center"/>
        <w:spacing w:beforeAutospacing="0" w:afterAutospacing="0" w:line="0" w:lineRule="atLeast"/>
        <w:rPr>
          <w:rFonts w:hint="eastAsia"/>
          <w:color w:val="auto"/>
          <w:highlight w:val="none"/>
        </w:rPr>
      </w:pPr>
      <w:r>
        <w:rPr>
          <w:rFonts w:hint="eastAsia"/>
          <w:b/>
          <w:color w:val="auto"/>
          <w:sz w:val="32"/>
          <w:szCs w:val="32"/>
          <w:highlight w:val="none"/>
        </w:rPr>
        <w:t xml:space="preserve">投标文件目录</w:t>
      </w:r>
      <w:r>
        <w:rPr>
          <w:color w:val="auto"/>
          <w:highlight w:val="none"/>
        </w:rPr>
        <w:t xml:space="preserve"> </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一、法人或者其他组织的营业执照等证明文件，自然人的身份证明</w:t>
      </w:r>
      <w:r/>
    </w:p>
    <w:p>
      <w:pPr>
        <w:ind w:firstLine="480"/>
        <w:tabs>
          <w:tab w:val="left" w:pos="1331" w:leader="none"/>
        </w:tabs>
        <w:rPr>
          <w:rFonts w:hint="eastAsia" w:ascii="宋体" w:hAnsi="宋体"/>
          <w:iCs/>
          <w:color w:val="auto"/>
          <w:sz w:val="24"/>
          <w:highlight w:val="none"/>
          <w:u w:val="single"/>
        </w:rPr>
      </w:pPr>
      <w:r>
        <w:rPr>
          <w:rFonts w:hint="eastAsia" w:ascii="宋体" w:hAnsi="宋体"/>
          <w:iCs/>
          <w:color w:val="auto"/>
          <w:sz w:val="24"/>
          <w:highlight w:val="none"/>
          <w:u w:val="single"/>
        </w:rPr>
        <w:t xml:space="preserve">二、上一年度的财务状况报表（至少提供资产负债表、利润表、现金流量表，投标人成立不满一年无需提供）</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三、具备履行合同所必需的设备和专业技术能力的书面声明</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五、参加政府采购活动前 3 年内在经营活动中没有重大违法记录的书面声明</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六、特定资格要求的证明文件（如果本项目设置特定资格要求，则需要提供）</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七、法人授权书</w:t>
      </w:r>
      <w:r/>
    </w:p>
    <w:p>
      <w:pPr>
        <w:pStyle w:val="905"/>
        <w:ind w:firstLine="480"/>
        <w:spacing w:before="0" w:beforeAutospacing="0" w:after="0" w:afterAutospacing="0"/>
        <w:rPr>
          <w:rFonts w:hint="eastAsia"/>
          <w:iCs/>
          <w:color w:val="auto"/>
          <w:highlight w:val="none"/>
        </w:rPr>
      </w:pPr>
      <w:r>
        <w:rPr>
          <w:rFonts w:hint="eastAsia"/>
          <w:iCs/>
          <w:color w:val="auto"/>
          <w:highlight w:val="none"/>
          <w:u w:val="single"/>
        </w:rPr>
        <w:t xml:space="preserve">八、投标函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九、小微企业声明函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十、残疾人福利性单位声明函</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十一、投标分项报价表</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十二、技术要求响应及偏离表</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十三、商务要求响应及偏离表</w:t>
      </w:r>
      <w:r/>
    </w:p>
    <w:p>
      <w:pPr>
        <w:pStyle w:val="905"/>
        <w:ind w:firstLine="480"/>
        <w:spacing w:before="0" w:beforeAutospacing="0" w:after="0" w:afterAutospacing="0"/>
        <w:rPr>
          <w:rFonts w:hint="eastAsia"/>
          <w:iCs/>
          <w:color w:val="auto"/>
          <w:highlight w:val="none"/>
          <w:u w:val="single"/>
        </w:rPr>
      </w:pPr>
      <w:r>
        <w:rPr>
          <w:rFonts w:hint="eastAsia"/>
          <w:iCs/>
          <w:color w:val="auto"/>
          <w:highlight w:val="none"/>
          <w:u w:val="single"/>
        </w:rPr>
        <w:t xml:space="preserve">十四、开标一览表</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十五、技术方案等</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十六、盐城市政府采购事前信用承诺书</w:t>
      </w:r>
      <w:r/>
    </w:p>
    <w:p>
      <w:pPr>
        <w:pStyle w:val="905"/>
        <w:ind w:firstLine="480"/>
        <w:spacing w:before="0" w:beforeAutospacing="0" w:after="0" w:afterAutospacing="0"/>
        <w:rPr>
          <w:rFonts w:hint="eastAsia"/>
          <w:color w:val="auto"/>
          <w:highlight w:val="none"/>
        </w:rPr>
      </w:pPr>
      <w:r>
        <w:rPr>
          <w:rFonts w:hint="eastAsia"/>
          <w:color w:val="auto"/>
          <w:highlight w:val="none"/>
        </w:rPr>
        <w:t xml:space="preserve">十七、人员配备一览表</w:t>
      </w:r>
      <w:r/>
    </w:p>
    <w:p>
      <w:pPr>
        <w:pStyle w:val="905"/>
        <w:ind w:firstLine="480"/>
        <w:spacing w:before="0" w:beforeAutospacing="0" w:after="0" w:afterAutospacing="0"/>
        <w:rPr>
          <w:rFonts w:hint="default" w:eastAsia="宋体"/>
          <w:color w:val="auto"/>
          <w:highlight w:val="none"/>
          <w:lang w:val="en-US" w:eastAsia="zh-CN"/>
        </w:rPr>
      </w:pPr>
      <w:r>
        <w:rPr>
          <w:rFonts w:hint="eastAsia"/>
          <w:color w:val="auto"/>
          <w:highlight w:val="none"/>
          <w:lang w:val="en-US" w:eastAsia="zh-CN"/>
        </w:rPr>
        <w:t xml:space="preserve">十八、联合体协议</w:t>
      </w:r>
      <w:r/>
    </w:p>
    <w:p>
      <w:pPr>
        <w:pStyle w:val="905"/>
        <w:ind w:firstLine="480"/>
        <w:spacing w:before="0" w:beforeAutospacing="0" w:after="0" w:afterAutospacing="0"/>
        <w:rPr>
          <w:rFonts w:hint="eastAsia"/>
          <w:color w:val="auto"/>
          <w:highlight w:val="none"/>
        </w:rPr>
      </w:pPr>
      <w:r/>
      <w:bookmarkStart w:id="151" w:name="_Toc120614284"/>
      <w:r/>
      <w:bookmarkStart w:id="152" w:name="_Toc513029281"/>
      <w:r/>
      <w:bookmarkStart w:id="153" w:name="_Toc23828483"/>
      <w:r/>
      <w:bookmarkStart w:id="154" w:name="_Toc49090582"/>
      <w:r/>
      <w:bookmarkStart w:id="155" w:name="_Toc120614291"/>
      <w:r/>
      <w:bookmarkStart w:id="156" w:name="_Toc26554103"/>
      <w:r/>
      <w:bookmarkStart w:id="157" w:name="_Toc22356583"/>
      <w:r/>
      <w:bookmarkStart w:id="158" w:name="_Toc24878535"/>
      <w:r>
        <w:rPr>
          <w:rFonts w:hint="eastAsia"/>
          <w:color w:val="auto"/>
          <w:highlight w:val="none"/>
        </w:rPr>
        <w:t xml:space="preserve">十</w:t>
      </w:r>
      <w:r>
        <w:rPr>
          <w:rFonts w:hint="eastAsia"/>
          <w:color w:val="auto"/>
          <w:highlight w:val="none"/>
          <w:lang w:val="en-US" w:eastAsia="zh-CN"/>
        </w:rPr>
        <w:t xml:space="preserve">九</w:t>
      </w:r>
      <w:bookmarkStart w:id="161" w:name="_GoBack"/>
      <w:r/>
      <w:bookmarkEnd w:id="161"/>
      <w:r>
        <w:rPr>
          <w:rFonts w:hint="eastAsia"/>
          <w:color w:val="auto"/>
          <w:highlight w:val="none"/>
        </w:rPr>
        <w:t xml:space="preserve">、招标文件中规定要求提供的其他证明材料和投标人认为需要提供的其他材料</w:t>
      </w:r>
      <w:r>
        <w:rPr>
          <w:color w:val="auto"/>
          <w:highlight w:val="none"/>
        </w:rPr>
        <w:t xml:space="preserve"> </w:t>
      </w:r>
      <w:r/>
    </w:p>
    <w:p>
      <w:pPr>
        <w:pStyle w:val="905"/>
        <w:ind w:firstLine="482"/>
        <w:spacing w:before="0" w:beforeAutospacing="0" w:after="0" w:afterAutospacing="0"/>
        <w:rPr>
          <w:rFonts w:hint="eastAsia"/>
          <w:b/>
          <w:bCs/>
          <w:color w:val="auto"/>
          <w:highlight w:val="none"/>
        </w:rPr>
      </w:pPr>
      <w:r>
        <w:rPr>
          <w:rFonts w:hint="eastAsia"/>
          <w:b/>
          <w:bCs/>
          <w:color w:val="auto"/>
          <w:highlight w:val="none"/>
        </w:rPr>
        <w:t xml:space="preserve">注：如招标文件中提供的格式与苏采云系统中的格式不一致的，以苏采云系统中的格式为准。</w:t>
      </w:r>
      <w:bookmarkEnd w:id="64"/>
      <w:r/>
      <w:bookmarkEnd w:id="65"/>
      <w:r/>
      <w:bookmarkEnd w:id="66"/>
      <w:r/>
      <w:bookmarkEnd w:id="151"/>
      <w:r/>
      <w:bookmarkEnd w:id="152"/>
      <w:r/>
      <w:bookmarkEnd w:id="153"/>
      <w:r/>
      <w:bookmarkEnd w:id="154"/>
      <w:r/>
      <w:bookmarkEnd w:id="155"/>
      <w:r/>
      <w:bookmarkEnd w:id="156"/>
      <w:r/>
      <w:bookmarkEnd w:id="157"/>
      <w:r/>
      <w:bookmarkEnd w:id="158"/>
      <w:r/>
      <w:r/>
    </w:p>
    <w:p>
      <w:pPr>
        <w:ind w:firstLine="482"/>
        <w:jc w:val="left"/>
        <w:spacing w:before="50" w:after="143"/>
        <w:rPr>
          <w:rFonts w:hint="eastAsia" w:ascii="宋体" w:hAnsi="宋体"/>
          <w:b/>
          <w:i/>
          <w:color w:val="auto"/>
          <w:sz w:val="24"/>
          <w:highlight w:val="none"/>
          <w:u w:val="single"/>
        </w:rPr>
      </w:pPr>
      <w:r>
        <w:rPr>
          <w:rFonts w:hint="eastAsia" w:ascii="宋体" w:hAnsi="宋体"/>
          <w:b/>
          <w:i/>
          <w:color w:val="auto"/>
          <w:sz w:val="24"/>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905"/>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905"/>
        <w:jc w:val="both"/>
        <w:spacing w:beforeAutospacing="0" w:afterAutospacing="0"/>
        <w:rPr>
          <w:rFonts w:hint="eastAsia"/>
          <w:color w:val="auto"/>
          <w:highlight w:val="none"/>
        </w:rPr>
      </w:pPr>
      <w:r>
        <w:rPr>
          <w:rFonts w:hint="eastAsia"/>
          <w:color w:val="auto"/>
          <w:highlight w:val="none"/>
        </w:rPr>
      </w:r>
      <w:r/>
    </w:p>
    <w:p>
      <w:pPr>
        <w:pStyle w:val="905"/>
        <w:ind w:firstLine="480"/>
        <w:jc w:val="both"/>
        <w:spacing w:beforeAutospacing="0" w:afterAutospacing="0" w:line="0" w:lineRule="atLeast"/>
        <w:rPr>
          <w:rFonts w:hint="eastAsia"/>
          <w:color w:val="auto"/>
          <w:highlight w:val="none"/>
        </w:rPr>
      </w:pPr>
      <w:r>
        <w:rPr>
          <w:color w:val="auto"/>
          <w:highlight w:val="none"/>
        </w:rPr>
        <w:t xml:space="preserve"> </w:t>
      </w:r>
      <w:r/>
    </w:p>
    <w:p>
      <w:pPr>
        <w:pStyle w:val="1131"/>
        <w:ind w:firstLine="420"/>
        <w:rPr>
          <w:rFonts w:hint="eastAsia" w:hAnsi="宋体"/>
          <w:color w:val="auto"/>
          <w:sz w:val="24"/>
          <w:szCs w:val="24"/>
          <w:highlight w:val="none"/>
        </w:rPr>
      </w:pPr>
      <w:r>
        <w:rPr>
          <w:rFonts w:hint="eastAsia"/>
          <w:color w:val="auto"/>
          <w:highlight w:val="none"/>
        </w:rPr>
        <w:br w:type="page" w:clear="all"/>
      </w:r>
      <w:r/>
    </w:p>
    <w:p>
      <w:pPr>
        <w:pStyle w:val="905"/>
        <w:jc w:val="both"/>
        <w:spacing w:beforeAutospacing="0" w:afterAutospacing="0"/>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905"/>
        <w:ind w:firstLine="480"/>
        <w:jc w:val="both"/>
        <w:spacing w:beforeAutospacing="0" w:afterAutospacing="0" w:line="0" w:lineRule="atLeast"/>
        <w:rPr>
          <w:rFonts w:hint="eastAsia"/>
          <w:color w:val="auto"/>
          <w:highlight w:val="none"/>
        </w:rPr>
      </w:pPr>
      <w:r>
        <w:rPr>
          <w:rFonts w:hint="eastAsia"/>
          <w:color w:val="auto"/>
          <w:highlight w:val="none"/>
        </w:rPr>
        <w:t xml:space="preserve">投标人成立不满一年无需提供</w:t>
      </w:r>
      <w:r/>
    </w:p>
    <w:p>
      <w:pPr>
        <w:pStyle w:val="905"/>
        <w:jc w:val="both"/>
        <w:spacing w:beforeAutospacing="0" w:afterAutospacing="0"/>
        <w:rPr>
          <w:rFonts w:hint="eastAsia"/>
          <w:color w:val="auto"/>
          <w:highlight w:val="none"/>
        </w:rPr>
      </w:pPr>
      <w:r>
        <w:rPr>
          <w:color w:val="auto"/>
          <w:highlight w:val="none"/>
        </w:rPr>
        <w:t xml:space="preserve"> </w:t>
      </w:r>
      <w:r/>
    </w:p>
    <w:p>
      <w:pPr>
        <w:pStyle w:val="1131"/>
        <w:ind w:firstLine="420"/>
        <w:rPr>
          <w:rFonts w:hint="eastAsia" w:hAnsi="宋体"/>
          <w:color w:val="auto"/>
          <w:sz w:val="24"/>
          <w:szCs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905"/>
        <w:ind w:firstLine="492"/>
        <w:jc w:val="both"/>
        <w:spacing w:beforeAutospacing="0" w:afterAutospacing="0" w:line="0" w:lineRule="atLeas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05"/>
        <w:ind w:firstLine="492"/>
        <w:jc w:val="both"/>
        <w:spacing w:beforeAutospacing="0" w:afterAutospacing="0" w:line="0" w:lineRule="atLeas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05"/>
        <w:ind w:firstLine="480"/>
        <w:jc w:val="both"/>
        <w:spacing w:beforeAutospacing="0" w:afterAutospacing="0"/>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05"/>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905"/>
        <w:ind w:firstLine="480"/>
        <w:jc w:val="both"/>
        <w:spacing w:beforeAutospacing="0" w:afterAutospacing="0"/>
        <w:rPr>
          <w:rFonts w:hint="eastAsia"/>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05"/>
        <w:ind w:firstLine="480"/>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905"/>
        <w:jc w:val="both"/>
        <w:spacing w:beforeAutospacing="0" w:afterAutospacing="0" w:line="0" w:lineRule="atLeast"/>
        <w:rPr>
          <w:rFonts w:hint="eastAsia"/>
          <w:b/>
          <w:color w:val="auto"/>
          <w:sz w:val="44"/>
          <w:szCs w:val="44"/>
          <w:highlight w:val="none"/>
        </w:rPr>
      </w:pPr>
      <w:r>
        <w:rPr>
          <w:rFonts w:hint="eastAsia"/>
          <w:b/>
          <w:color w:val="auto"/>
          <w:sz w:val="44"/>
          <w:szCs w:val="44"/>
          <w:highlight w:val="none"/>
        </w:rPr>
        <w:t xml:space="preserve">                </w:t>
      </w:r>
      <w:r/>
    </w:p>
    <w:p>
      <w:pPr>
        <w:pStyle w:val="905"/>
        <w:ind w:firstLine="3092"/>
        <w:jc w:val="both"/>
        <w:spacing w:beforeAutospacing="0" w:afterAutospacing="0" w:line="0" w:lineRule="atLeast"/>
        <w:rPr>
          <w:rFonts w:hint="eastAsia"/>
          <w:color w:val="auto"/>
          <w:highlight w:val="none"/>
        </w:rPr>
      </w:pPr>
      <w:r>
        <w:rPr>
          <w:rFonts w:hint="eastAsia"/>
          <w:b/>
          <w:color w:val="auto"/>
          <w:sz w:val="44"/>
          <w:szCs w:val="44"/>
          <w:highlight w:val="none"/>
        </w:rPr>
        <w:t xml:space="preserve">   声  明</w:t>
      </w:r>
      <w:r/>
    </w:p>
    <w:p>
      <w:pPr>
        <w:pStyle w:val="905"/>
        <w:jc w:val="both"/>
        <w:spacing w:beforeAutospacing="0" w:afterAutospacing="0" w:line="0" w:lineRule="atLeast"/>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5"/>
        <w:jc w:val="both"/>
        <w:spacing w:beforeAutospacing="0" w:afterAutospacing="0"/>
        <w:rPr>
          <w:rFonts w:hint="eastAsia"/>
          <w:color w:val="auto"/>
          <w:highlight w:val="none"/>
        </w:rPr>
      </w:pPr>
      <w:r>
        <w:rPr>
          <w:color w:val="auto"/>
          <w:highlight w:val="none"/>
        </w:rPr>
        <w:t xml:space="preserve"> </w:t>
      </w:r>
      <w:r/>
    </w:p>
    <w:p>
      <w:pPr>
        <w:pStyle w:val="905"/>
        <w:jc w:val="both"/>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color w:val="auto"/>
          <w:sz w:val="24"/>
          <w:highlight w:val="none"/>
        </w:rPr>
      </w:pPr>
      <w:r>
        <w:rPr>
          <w:rFonts w:hint="eastAsia"/>
          <w:color w:val="auto"/>
          <w:highlight w:val="none"/>
        </w:rPr>
        <w:br w:type="page" w:clear="all"/>
      </w:r>
      <w:r/>
    </w:p>
    <w:p>
      <w:pPr>
        <w:pStyle w:val="905"/>
        <w:jc w:val="both"/>
        <w:spacing w:beforeAutospacing="0" w:afterAutospacing="0"/>
        <w:rPr>
          <w:rFonts w:hint="eastAsia"/>
          <w:color w:val="auto"/>
          <w:highlight w:val="none"/>
        </w:rPr>
      </w:pPr>
      <w:r>
        <w:rPr>
          <w:rFonts w:hint="eastAsia" w:ascii="黑体" w:eastAsia="黑体" w:cs="黑体"/>
          <w:i/>
          <w:color w:val="auto"/>
          <w:sz w:val="32"/>
          <w:szCs w:val="32"/>
          <w:highlight w:val="none"/>
        </w:rPr>
        <w:t xml:space="preserve">六、特定资格要求的证明文件</w:t>
      </w:r>
      <w:r/>
    </w:p>
    <w:p>
      <w:pPr>
        <w:pStyle w:val="905"/>
        <w:jc w:val="both"/>
        <w:spacing w:beforeAutospacing="0" w:afterAutospacing="0" w:line="0" w:lineRule="atLeast"/>
        <w:rPr>
          <w:rFonts w:hint="eastAsia"/>
          <w:color w:val="auto"/>
          <w:highlight w:val="none"/>
        </w:rPr>
      </w:pPr>
      <w:r>
        <w:rPr>
          <w:rFonts w:hint="eastAsia"/>
          <w:color w:val="auto"/>
          <w:highlight w:val="none"/>
        </w:rPr>
        <w:t xml:space="preserve">   如果本项目申请人的特定资格要求中要求提供的，必须提供。</w:t>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center"/>
        <w:spacing w:beforeAutospacing="0" w:afterAutospacing="0"/>
        <w:rPr>
          <w:rFonts w:hint="eastAsia"/>
          <w:iCs/>
          <w:color w:val="auto"/>
          <w:highlight w:val="none"/>
        </w:rPr>
      </w:pPr>
      <w:r>
        <w:rPr>
          <w:rFonts w:hint="eastAsia" w:ascii="黑体" w:eastAsia="黑体" w:cs="黑体"/>
          <w:iCs/>
          <w:color w:val="auto"/>
          <w:sz w:val="32"/>
          <w:szCs w:val="32"/>
          <w:highlight w:val="none"/>
        </w:rPr>
        <w:t xml:space="preserve">七、法人授权书</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本授权书于______年____月____日起生效，特此声明。</w:t>
      </w:r>
      <w:r/>
    </w:p>
    <w:p>
      <w:pPr>
        <w:pStyle w:val="905"/>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05"/>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05"/>
        <w:ind w:firstLine="72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05"/>
        <w:ind w:firstLine="48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05"/>
        <w:ind w:firstLine="720"/>
        <w:jc w:val="both"/>
        <w:spacing w:beforeAutospacing="0" w:afterAutospacing="0"/>
        <w:tabs>
          <w:tab w:val="left" w:pos="360" w:leader="none"/>
        </w:tabs>
        <w:rPr>
          <w:rFonts w:hint="eastAsia"/>
          <w:color w:val="auto"/>
          <w:highlight w:val="none"/>
        </w:rPr>
      </w:pPr>
      <w:r>
        <w:rPr>
          <w:rFonts w:ascii="Times New Roman" w:hAnsi="Times New Roman"/>
          <w:color w:val="auto"/>
          <w:highlight w:val="none"/>
        </w:rPr>
        <w:t xml:space="preserve">日期：</w:t>
      </w:r>
      <w:r>
        <w:rPr>
          <w:rFonts w:ascii="Times New Roman" w:hAnsi="Times New Roman"/>
          <w:color w:val="auto"/>
          <w:highlight w:val="none"/>
          <w:u w:val="single"/>
        </w:rPr>
        <w:t xml:space="preserve">                                         </w:t>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both"/>
        <w:spacing w:beforeAutospacing="0" w:afterAutospacing="0" w:line="0" w:lineRule="atLeast"/>
        <w:rPr>
          <w:rFonts w:hint="eastAsia"/>
          <w:color w:val="auto"/>
          <w:highlight w:val="none"/>
        </w:rPr>
      </w:pPr>
      <w:r>
        <w:rPr>
          <w:rFonts w:hint="eastAsia"/>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八、投标函</w:t>
      </w:r>
      <w:r/>
    </w:p>
    <w:p>
      <w:pPr>
        <w:pStyle w:val="905"/>
        <w:spacing w:beforeAutospacing="0" w:afterAutospacing="0" w:line="0" w:lineRule="atLeast"/>
        <w:rPr>
          <w:rFonts w:hint="eastAsia"/>
          <w:color w:val="auto"/>
          <w:highlight w:val="none"/>
        </w:rPr>
      </w:pPr>
      <w:r>
        <w:rPr>
          <w:rFonts w:hint="eastAsia"/>
          <w:color w:val="auto"/>
          <w:highlight w:val="none"/>
        </w:rPr>
        <w:t xml:space="preserve">致：（采购人名称）</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根据贵方的</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号招标文件，正式授权下述签字人_________________(姓名)代表我方______________（投标人的名称），全权处理本次项目投标的有关事宜。</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据此函，__________签字人兹宣布同意如下：</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1.按招标文件规定的各项要求，向买方提供所需货物（包含与货物相关的服务）。</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2.我们完全理解贵方不一定将合同授予最低报价的投标人。</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905"/>
        <w:ind w:left="425"/>
        <w:spacing w:beforeAutospacing="0" w:afterAutospacing="0" w:line="0" w:lineRule="atLeast"/>
        <w:rPr>
          <w:rFonts w:hint="eastAsia"/>
          <w:color w:val="auto"/>
          <w:highlight w:val="none"/>
        </w:rPr>
      </w:pPr>
      <w:r>
        <w:rPr>
          <w:rFonts w:hint="eastAsia"/>
          <w:color w:val="auto"/>
          <w:highlight w:val="none"/>
        </w:rPr>
        <w:t xml:space="preserve">7.与本投标有关的正式通讯地址为：</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地          址：</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邮          编：</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电          话：</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传          真：</w:t>
      </w:r>
      <w:r/>
    </w:p>
    <w:p>
      <w:pPr>
        <w:pStyle w:val="905"/>
        <w:ind w:left="420" w:firstLine="480"/>
        <w:spacing w:beforeAutospacing="0" w:afterAutospacing="0" w:line="0" w:lineRule="atLeast"/>
        <w:rPr>
          <w:rFonts w:hint="eastAsia"/>
          <w:color w:val="auto"/>
          <w:highlight w:val="none"/>
        </w:rPr>
      </w:pPr>
      <w:r>
        <w:rPr>
          <w:rFonts w:hint="eastAsia"/>
          <w:color w:val="auto"/>
          <w:highlight w:val="none"/>
        </w:rPr>
        <w:t xml:space="preserve">投标人开户行：</w:t>
      </w:r>
      <w:r/>
    </w:p>
    <w:p>
      <w:pPr>
        <w:pStyle w:val="905"/>
        <w:ind w:left="425" w:firstLine="480"/>
        <w:spacing w:beforeAutospacing="0" w:afterAutospacing="0" w:line="0" w:lineRule="atLeast"/>
        <w:rPr>
          <w:rFonts w:hint="eastAsia"/>
          <w:color w:val="auto"/>
          <w:highlight w:val="none"/>
        </w:rPr>
      </w:pPr>
      <w:r>
        <w:rPr>
          <w:rFonts w:hint="eastAsia"/>
          <w:color w:val="auto"/>
          <w:highlight w:val="none"/>
        </w:rPr>
        <w:t xml:space="preserve">账          号： </w:t>
      </w:r>
      <w:r/>
    </w:p>
    <w:p>
      <w:pPr>
        <w:pStyle w:val="905"/>
        <w:ind w:left="425" w:firstLine="480"/>
        <w:spacing w:beforeAutospacing="0" w:afterAutospacing="0" w:line="0" w:lineRule="atLeast"/>
        <w:rPr>
          <w:rFonts w:hint="eastAsia"/>
          <w:color w:val="auto"/>
          <w:highlight w:val="none"/>
        </w:rPr>
      </w:pPr>
      <w:r>
        <w:rPr>
          <w:rFonts w:hint="eastAsia"/>
          <w:color w:val="auto"/>
          <w:highlight w:val="none"/>
        </w:rPr>
        <w:t xml:space="preserve">日          期：________年____月____日</w:t>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897"/>
        <w:ind w:left="0"/>
        <w:rPr>
          <w:b/>
          <w:color w:val="auto"/>
          <w:highlight w:val="none"/>
        </w:rPr>
      </w:pPr>
      <w:r>
        <w:rPr>
          <w:b/>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九、小微企业声明函（服务）</w:t>
      </w:r>
      <w:r/>
    </w:p>
    <w:p>
      <w:pPr>
        <w:jc w:val="center"/>
        <w:spacing w:line="5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本公司（联合体）郑重声明，根据《政府采购促进中小企业发展管理办法》(财库[2020]46号)的规定，本公司（联合体）参加采购人组织的</w:t>
      </w:r>
      <w:r>
        <w:rPr>
          <w:rFonts w:hint="eastAsia" w:cs="宋体"/>
          <w:color w:val="auto"/>
          <w:highlight w:val="none"/>
          <w:u w:val="single"/>
        </w:rPr>
        <w:t xml:space="preserve">（单位名称）</w:t>
      </w:r>
      <w:r>
        <w:rPr>
          <w:rFonts w:hint="eastAsia" w:cs="宋体"/>
          <w:color w:val="auto"/>
          <w:highlight w:val="none"/>
        </w:rPr>
        <w:t xml:space="preserve">采购编号为</w:t>
      </w:r>
      <w:r>
        <w:rPr>
          <w:rFonts w:hint="eastAsia" w:cs="宋体"/>
          <w:color w:val="auto"/>
          <w:highlight w:val="none"/>
          <w:u w:val="single"/>
        </w:rPr>
        <w:t xml:space="preserve">***</w:t>
      </w:r>
      <w:r>
        <w:rPr>
          <w:rFonts w:hint="eastAsia" w:cs="宋体"/>
          <w:color w:val="auto"/>
          <w:highlight w:val="none"/>
        </w:rPr>
        <w:t xml:space="preserve">，</w:t>
      </w:r>
      <w:r>
        <w:rPr>
          <w:rFonts w:hint="eastAsia" w:cs="宋体"/>
          <w:color w:val="auto"/>
          <w:highlight w:val="none"/>
          <w:u w:val="single"/>
        </w:rPr>
        <w:t xml:space="preserve">（项目名称）</w:t>
      </w:r>
      <w:r>
        <w:rPr>
          <w:rFonts w:hint="eastAsia"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1.</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2.</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以上企业，不属于大企业的分支机构，不存在控股股东为大企业的情形，也不存在与大企业的负责人为同一人的情形。</w:t>
      </w:r>
      <w:r/>
    </w:p>
    <w:p>
      <w:pPr>
        <w:pStyle w:val="905"/>
        <w:ind w:firstLine="360"/>
        <w:jc w:val="both"/>
        <w:spacing w:beforeAutospacing="0" w:afterAutospacing="0" w:line="0" w:lineRule="atLeast"/>
        <w:rPr>
          <w:rFonts w:hint="eastAsia"/>
          <w:color w:val="auto"/>
          <w:highlight w:val="none"/>
        </w:rPr>
      </w:pPr>
      <w:r>
        <w:rPr>
          <w:rFonts w:hint="eastAsia" w:cs="宋体"/>
          <w:color w:val="auto"/>
          <w:highlight w:val="none"/>
        </w:rPr>
        <w:t xml:space="preserve">本企业对上述声明内容的真实性负责。如有虚假，将依法承担相应责任</w:t>
      </w:r>
      <w:r/>
    </w:p>
    <w:p>
      <w:pPr>
        <w:pStyle w:val="905"/>
        <w:ind w:right="720"/>
        <w:jc w:val="both"/>
        <w:spacing w:beforeAutospacing="0" w:afterAutospacing="0" w:line="0" w:lineRule="atLeast"/>
        <w:rPr>
          <w:rFonts w:hint="eastAsia"/>
          <w:color w:val="auto"/>
          <w:highlight w:val="none"/>
        </w:rPr>
      </w:pPr>
      <w:r>
        <w:rPr>
          <w:color w:val="auto"/>
          <w:highlight w:val="none"/>
        </w:rPr>
        <w:t xml:space="preserve"> </w:t>
      </w:r>
      <w:r/>
    </w:p>
    <w:p>
      <w:pPr>
        <w:pStyle w:val="905"/>
        <w:ind w:right="180" w:firstLine="360"/>
        <w:jc w:val="right"/>
        <w:spacing w:beforeAutospacing="0" w:afterAutospacing="0" w:line="0" w:lineRule="atLeast"/>
        <w:rPr>
          <w:rFonts w:hint="eastAsia"/>
          <w:color w:val="auto"/>
          <w:highlight w:val="none"/>
        </w:rPr>
      </w:pPr>
      <w:r>
        <w:rPr>
          <w:rFonts w:hint="eastAsia" w:cs="宋体"/>
          <w:color w:val="auto"/>
          <w:highlight w:val="none"/>
        </w:rPr>
        <w:t xml:space="preserve">企业名称（加盖CA电子公章）：</w:t>
      </w:r>
      <w:r/>
    </w:p>
    <w:p>
      <w:pPr>
        <w:pStyle w:val="905"/>
        <w:ind w:right="480" w:firstLine="5400"/>
        <w:jc w:val="both"/>
        <w:spacing w:beforeAutospacing="0" w:afterAutospacing="0" w:line="0" w:lineRule="atLeast"/>
        <w:rPr>
          <w:rFonts w:hint="eastAsia"/>
          <w:color w:val="auto"/>
          <w:highlight w:val="none"/>
        </w:rPr>
      </w:pPr>
      <w:r>
        <w:rPr>
          <w:rFonts w:hint="eastAsia" w:cs="宋体"/>
          <w:color w:val="auto"/>
          <w:highlight w:val="none"/>
        </w:rPr>
        <w:t xml:space="preserve">日  期：</w:t>
      </w:r>
      <w:r/>
    </w:p>
    <w:p>
      <w:pPr>
        <w:pStyle w:val="905"/>
        <w:ind w:firstLine="240"/>
        <w:jc w:val="both"/>
        <w:spacing w:beforeAutospacing="0" w:afterAutospacing="0" w:line="0" w:lineRule="atLeast"/>
        <w:rPr>
          <w:rFonts w:hint="eastAsia"/>
          <w:color w:val="auto"/>
          <w:highlight w:val="none"/>
        </w:rPr>
      </w:pPr>
      <w:r>
        <w:rPr>
          <w:color w:val="auto"/>
          <w:highlight w:val="none"/>
        </w:rPr>
        <w:t xml:space="preserve"> </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备注1：从业人员、营业收入、资产总额填报上一年度数据，无上一年度数据的新成立企业可不填报。</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备注2：供应商如不提供此声明函，价格将不做相应扣除（如项目全面面向中小企业，则资格审查不通过）。</w:t>
      </w:r>
      <w:r/>
    </w:p>
    <w:p>
      <w:pPr>
        <w:pStyle w:val="909"/>
        <w:ind w:firstLine="0"/>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1131"/>
        <w:ind w:firstLine="420"/>
        <w:rPr>
          <w:color w:val="auto"/>
          <w:highlight w:val="none"/>
        </w:rPr>
      </w:pPr>
      <w:r>
        <w:rPr>
          <w:color w:val="auto"/>
          <w:highlight w:val="none"/>
        </w:rPr>
      </w:r>
      <w:r/>
    </w:p>
    <w:p>
      <w:pPr>
        <w:rPr>
          <w:color w:val="auto"/>
          <w:highlight w:val="none"/>
        </w:rPr>
      </w:pPr>
      <w:r>
        <w:rPr>
          <w:color w:val="auto"/>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十、残疾人福利性单位声明函</w:t>
      </w:r>
      <w:r/>
    </w:p>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auto"/>
          <w:highlight w:val="none"/>
          <w:u w:val="single"/>
        </w:rPr>
        <w:t xml:space="preserve">      </w:t>
      </w:r>
      <w:r>
        <w:rPr>
          <w:rFonts w:hint="eastAsia" w:cs="宋体"/>
          <w:color w:val="auto"/>
          <w:highlight w:val="none"/>
        </w:rPr>
        <w:t xml:space="preserve">的</w:t>
      </w:r>
      <w:r>
        <w:rPr>
          <w:rFonts w:hint="eastAsia" w:cs="宋体"/>
          <w:color w:val="auto"/>
          <w:highlight w:val="none"/>
          <w:u w:val="single"/>
        </w:rPr>
        <w:t xml:space="preserve">       </w:t>
      </w:r>
      <w:r>
        <w:rPr>
          <w:rFonts w:hint="eastAsia" w:cs="宋体"/>
          <w:color w:val="auto"/>
          <w:highlight w:val="none"/>
        </w:rPr>
        <w:t xml:space="preserve">项目采购活动由本单位提供服务。</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本单位对上述声明的真实性负责。如有虚假，将依法承担相应责任。</w:t>
      </w:r>
      <w:r/>
    </w:p>
    <w:p>
      <w:pPr>
        <w:pStyle w:val="905"/>
        <w:ind w:firstLine="480"/>
        <w:jc w:val="both"/>
        <w:spacing w:beforeAutospacing="0" w:afterAutospacing="0" w:line="0" w:lineRule="atLeast"/>
        <w:rPr>
          <w:rFonts w:hint="eastAsia"/>
          <w:color w:val="auto"/>
          <w:highlight w:val="none"/>
        </w:rPr>
      </w:pPr>
      <w:r>
        <w:rPr>
          <w:color w:val="auto"/>
          <w:highlight w:val="none"/>
        </w:rPr>
        <w:t xml:space="preserve"> </w:t>
      </w:r>
      <w:r/>
    </w:p>
    <w:p>
      <w:pPr>
        <w:pStyle w:val="905"/>
        <w:ind w:firstLine="480"/>
        <w:jc w:val="both"/>
        <w:spacing w:beforeAutospacing="0" w:afterAutospacing="0" w:line="0" w:lineRule="atLeast"/>
        <w:rPr>
          <w:rFonts w:hint="eastAsia"/>
          <w:color w:val="auto"/>
          <w:highlight w:val="none"/>
        </w:rPr>
      </w:pPr>
      <w:r>
        <w:rPr>
          <w:rFonts w:hint="eastAsia" w:cs="宋体"/>
          <w:color w:val="auto"/>
          <w:highlight w:val="none"/>
        </w:rPr>
        <w:t xml:space="preserve">备注：1、供应商如不提供此声明函，价格将不做相应扣除（如项目全面面向中小企业，则资格审查不通过）。</w:t>
      </w:r>
      <w:r/>
    </w:p>
    <w:p>
      <w:pPr>
        <w:pStyle w:val="905"/>
        <w:numPr>
          <w:ilvl w:val="0"/>
          <w:numId w:val="3"/>
        </w:numPr>
        <w:ind w:firstLine="624"/>
        <w:jc w:val="both"/>
        <w:spacing w:beforeAutospacing="0" w:afterAutospacing="0" w:line="0" w:lineRule="atLeast"/>
        <w:rPr>
          <w:rFonts w:hint="eastAsia" w:cs="宋体"/>
          <w:color w:val="auto"/>
          <w:highlight w:val="none"/>
        </w:rPr>
      </w:pPr>
      <w:r>
        <w:rPr>
          <w:rFonts w:hint="eastAsia" w:cs="宋体"/>
          <w:color w:val="auto"/>
          <w:highlight w:val="none"/>
        </w:rPr>
        <w:t xml:space="preserve">中标人为残疾人福利单位的，此声明函将随中标结果同时公告，接受社会监督。</w:t>
      </w:r>
      <w:r/>
    </w:p>
    <w:p>
      <w:pPr>
        <w:pStyle w:val="905"/>
        <w:jc w:val="both"/>
        <w:spacing w:beforeAutospacing="0" w:afterAutospacing="0" w:line="0" w:lineRule="atLeast"/>
        <w:rPr>
          <w:rFonts w:hint="eastAsia"/>
          <w:color w:val="auto"/>
          <w:highlight w:val="none"/>
        </w:rPr>
      </w:pPr>
      <w:r>
        <w:rPr>
          <w:color w:val="auto"/>
          <w:highlight w:val="none"/>
        </w:rPr>
        <w:t xml:space="preserve"> </w:t>
      </w:r>
      <w:r/>
    </w:p>
    <w:p>
      <w:pPr>
        <w:pStyle w:val="905"/>
        <w:ind w:right="1560" w:firstLine="624"/>
        <w:jc w:val="center"/>
        <w:spacing w:beforeAutospacing="0" w:afterAutospacing="0" w:line="0" w:lineRule="atLeast"/>
        <w:tabs>
          <w:tab w:val="left" w:pos="4864" w:leader="none"/>
        </w:tabs>
        <w:rPr>
          <w:rFonts w:hint="eastAsia"/>
          <w:color w:val="auto"/>
          <w:highlight w:val="none"/>
        </w:rPr>
      </w:pPr>
      <w:r>
        <w:rPr>
          <w:rFonts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rPr>
        <w:t xml:space="preserve">    </w:t>
      </w:r>
      <w:r>
        <w:rPr>
          <w:rFonts w:hint="eastAsia"/>
          <w:color w:val="auto"/>
          <w:highlight w:val="none"/>
        </w:rPr>
        <w:t xml:space="preserve">供应商全称（加盖CA电子公章）：</w:t>
      </w:r>
      <w:r/>
    </w:p>
    <w:p>
      <w:pPr>
        <w:pStyle w:val="905"/>
        <w:ind w:right="1560" w:firstLine="480"/>
        <w:jc w:val="center"/>
        <w:spacing w:beforeAutospacing="0" w:afterAutospacing="0" w:line="0" w:lineRule="atLeast"/>
        <w:tabs>
          <w:tab w:val="left" w:pos="4864" w:leader="none"/>
        </w:tabs>
        <w:rPr>
          <w:rFonts w:hint="eastAsia"/>
          <w:color w:val="auto"/>
          <w:highlight w:val="none"/>
        </w:rPr>
      </w:pPr>
      <w:r>
        <w:rPr>
          <w:rFonts w:hint="eastAsia"/>
          <w:color w:val="auto"/>
          <w:highlight w:val="none"/>
        </w:rPr>
        <w:t xml:space="preserve">        日  期：</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897"/>
        <w:rPr>
          <w:color w:val="auto"/>
          <w:highlight w:val="none"/>
        </w:rPr>
      </w:pPr>
      <w:r>
        <w:rPr>
          <w:rFonts w:hint="eastAsia" w:ascii="宋体" w:hAnsi="宋体"/>
          <w:b/>
          <w:color w:val="auto"/>
          <w:sz w:val="32"/>
          <w:szCs w:val="32"/>
          <w:highlight w:val="none"/>
        </w:rPr>
        <w:br w:type="page" w:clear="all"/>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 xml:space="preserve">十一、投标分项报价表（格式）</w:t>
      </w:r>
      <w:r/>
    </w:p>
    <w:p>
      <w:pPr>
        <w:ind w:firstLine="120"/>
        <w:jc w:val="left"/>
        <w:spacing w:line="500" w:lineRule="exact"/>
        <w:rPr>
          <w:rFonts w:hint="eastAsia"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auto"/>
          <w:sz w:val="24"/>
          <w:highlight w:val="none"/>
        </w:rPr>
        <w:t xml:space="preserve">投标人全称：                     （加盖公章）</w:t>
      </w:r>
      <w:r/>
    </w:p>
    <w:tbl>
      <w:tblPr>
        <w:tblStyle w:val="872"/>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w:t>
            </w:r>
            <w:r/>
          </w:p>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分项</w:t>
            </w:r>
            <w:r/>
          </w:p>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905"/>
              <w:jc w:val="center"/>
              <w:spacing w:beforeAutospacing="0" w:afterAutospacing="0" w:line="0" w:lineRule="atLeast"/>
              <w:rPr>
                <w:rFonts w:hint="eastAsia" w:cs="宋体"/>
                <w:color w:val="auto"/>
                <w:highlight w:val="none"/>
              </w:rPr>
            </w:pPr>
            <w:r>
              <w:rPr>
                <w:rFonts w:hint="eastAsia"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5"/>
              <w:jc w:val="both"/>
              <w:spacing w:beforeAutospacing="0" w:afterAutospacing="0" w:line="0" w:lineRule="atLeast"/>
              <w:rPr>
                <w:rFonts w:hint="eastAsia" w:cs="宋体"/>
                <w:color w:val="auto"/>
                <w:highlight w:val="none"/>
              </w:rPr>
            </w:pPr>
            <w:r>
              <w:rPr>
                <w:rFonts w:hint="eastAsia" w:cs="宋体"/>
                <w:color w:val="auto"/>
                <w:highlight w:val="none"/>
              </w:rPr>
              <w:t xml:space="preserve"> </w:t>
            </w:r>
            <w:r/>
          </w:p>
        </w:tc>
      </w:tr>
    </w:tbl>
    <w:p>
      <w:pPr>
        <w:spacing w:line="800" w:lineRule="exact"/>
        <w:rPr>
          <w:rFonts w:ascii="宋体"/>
          <w:color w:val="auto"/>
          <w:sz w:val="24"/>
          <w:highlight w:val="none"/>
        </w:rPr>
      </w:pPr>
      <w:r>
        <w:rPr>
          <w:rFonts w:hint="eastAsia" w:ascii="宋体" w:hAnsi="宋体"/>
          <w:b/>
          <w:color w:val="auto"/>
          <w:sz w:val="24"/>
          <w:highlight w:val="none"/>
        </w:rPr>
        <w:t xml:space="preserve">法定代表人或授权代表签字：</w:t>
      </w:r>
      <w:r/>
    </w:p>
    <w:p>
      <w:pPr>
        <w:ind w:firstLine="480"/>
        <w:spacing w:line="500" w:lineRule="exact"/>
        <w:rPr>
          <w:rFonts w:hint="eastAsia" w:ascii="宋体" w:hAnsi="宋体"/>
          <w:b/>
          <w:bCs/>
          <w:color w:val="auto"/>
          <w:sz w:val="24"/>
          <w:highlight w:val="none"/>
        </w:rPr>
      </w:pPr>
      <w:r>
        <w:rPr>
          <w:rFonts w:hint="eastAsia" w:ascii="宋体" w:hAnsi="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bCs/>
          <w:color w:val="auto"/>
          <w:sz w:val="24"/>
          <w:highlight w:val="none"/>
        </w:rPr>
        <w:t xml:space="preserve">3.测绘服务需单独分项报价。</w:t>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spacing w:line="50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10"/>
        <w:ind w:firstLine="723"/>
        <w:rPr>
          <w:rFonts w:hint="eastAsia"/>
          <w:b/>
          <w:color w:val="auto"/>
          <w:sz w:val="36"/>
          <w:szCs w:val="36"/>
          <w:highlight w:val="none"/>
        </w:rPr>
      </w:pPr>
      <w:r>
        <w:rPr>
          <w:rFonts w:hint="eastAsia"/>
          <w:b/>
          <w:color w:val="auto"/>
          <w:sz w:val="36"/>
          <w:szCs w:val="36"/>
          <w:highlight w:val="none"/>
        </w:rPr>
      </w:r>
      <w:r/>
    </w:p>
    <w:p>
      <w:pPr>
        <w:pStyle w:val="874"/>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74"/>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05"/>
        <w:jc w:val="center"/>
        <w:spacing w:beforeAutospacing="0" w:afterAutospacing="0"/>
        <w:rPr>
          <w:rFonts w:hint="eastAsia" w:ascii="黑体" w:eastAsia="黑体" w:cs="黑体"/>
          <w:iCs/>
          <w:color w:val="auto"/>
          <w:sz w:val="32"/>
          <w:szCs w:val="32"/>
          <w:highlight w:val="none"/>
        </w:rPr>
      </w:pPr>
      <w:r/>
      <w:bookmarkStart w:id="159" w:name="_Toc462564146"/>
      <w:r>
        <w:rPr>
          <w:rFonts w:hint="eastAsia" w:ascii="黑体" w:eastAsia="黑体" w:cs="黑体"/>
          <w:iCs/>
          <w:color w:val="auto"/>
          <w:sz w:val="32"/>
          <w:szCs w:val="32"/>
          <w:highlight w:val="none"/>
        </w:rPr>
        <w:t xml:space="preserve">十二、技术参数响应及偏离表</w:t>
      </w:r>
      <w:r/>
    </w:p>
    <w:p>
      <w:pPr>
        <w:jc w:val="center"/>
        <w:rPr>
          <w:rFonts w:hint="eastAsia" w:ascii="宋体" w:hAnsi="宋体"/>
          <w:color w:val="auto"/>
          <w:sz w:val="24"/>
          <w:highlight w:val="none"/>
        </w:rPr>
      </w:pPr>
      <w:r>
        <w:rPr>
          <w:rFonts w:hint="eastAsia" w:ascii="宋体" w:hAnsi="宋体"/>
          <w:color w:val="auto"/>
          <w:sz w:val="24"/>
          <w:highlight w:val="none"/>
        </w:rPr>
      </w:r>
      <w:r/>
    </w:p>
    <w:tbl>
      <w:tblPr>
        <w:tblStyle w:val="8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证明</w:t>
            </w:r>
            <w:r/>
          </w:p>
          <w:p>
            <w:pPr>
              <w:pStyle w:val="905"/>
              <w:jc w:val="center"/>
              <w:spacing w:beforeAutospacing="0" w:afterAutospacing="0"/>
              <w:rPr>
                <w:rFonts w:hint="eastAsia"/>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bl>
    <w:p>
      <w:pPr>
        <w:pStyle w:val="905"/>
        <w:jc w:val="both"/>
        <w:spacing w:beforeAutospacing="0" w:afterAutospacing="0"/>
        <w:rPr>
          <w:rFonts w:hint="eastAsia"/>
          <w:color w:val="auto"/>
          <w:highlight w:val="none"/>
        </w:rPr>
      </w:pPr>
      <w:r>
        <w:rPr>
          <w:rFonts w:hint="eastAsia" w:cs="宋体"/>
          <w:color w:val="auto"/>
          <w:highlight w:val="none"/>
        </w:rPr>
        <w:t xml:space="preserve">注： 行数不够，可自行添加。</w:t>
      </w:r>
      <w:r/>
    </w:p>
    <w:p>
      <w:pPr>
        <w:ind w:left="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before="50" w:after="50"/>
        <w:rPr>
          <w:rFonts w:ascii="黑体" w:eastAsia="黑体"/>
          <w:color w:val="auto"/>
          <w:sz w:val="32"/>
          <w:szCs w:val="32"/>
          <w:highlight w:val="none"/>
        </w:rPr>
      </w:pPr>
      <w:r>
        <w:rPr>
          <w:rFonts w:ascii="黑体" w:eastAsia="黑体"/>
          <w:color w:val="auto"/>
          <w:sz w:val="32"/>
          <w:szCs w:val="32"/>
          <w:highlight w:val="none"/>
        </w:rPr>
      </w:r>
      <w:r/>
    </w:p>
    <w:p>
      <w:pPr>
        <w:pStyle w:val="909"/>
        <w:ind w:firstLine="640"/>
        <w:rPr>
          <w:rFonts w:ascii="黑体" w:eastAsia="黑体"/>
          <w:color w:val="auto"/>
          <w:sz w:val="32"/>
          <w:szCs w:val="32"/>
          <w:highlight w:val="none"/>
        </w:rPr>
      </w:pPr>
      <w:r>
        <w:rPr>
          <w:rFonts w:ascii="黑体" w:eastAsia="黑体"/>
          <w:color w:val="auto"/>
          <w:sz w:val="32"/>
          <w:szCs w:val="32"/>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909"/>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909"/>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9"/>
        <w:ind w:firstLine="0"/>
        <w:rPr>
          <w:color w:val="auto"/>
          <w:highlight w:val="none"/>
        </w:rPr>
      </w:pPr>
      <w:r>
        <w:rPr>
          <w:color w:val="auto"/>
          <w:highlight w:val="none"/>
        </w:rPr>
      </w:r>
      <w:r/>
    </w:p>
    <w:p>
      <w:pPr>
        <w:jc w:val="center"/>
        <w:spacing w:before="50" w:after="50"/>
        <w:rPr>
          <w:rFonts w:hint="eastAsia" w:ascii="宋体" w:hAnsi="宋体"/>
          <w:color w:val="auto"/>
          <w:sz w:val="24"/>
          <w:highlight w:val="none"/>
        </w:rPr>
      </w:pPr>
      <w:r>
        <w:rPr>
          <w:rFonts w:hint="eastAsia" w:ascii="黑体" w:hAnsi="宋体" w:eastAsia="黑体" w:cs="黑体"/>
          <w:iCs/>
          <w:color w:val="auto"/>
          <w:sz w:val="32"/>
          <w:szCs w:val="32"/>
          <w:highlight w:val="none"/>
        </w:rPr>
        <w:t xml:space="preserve">十三、商务要求响应及偏离表</w:t>
      </w:r>
      <w:r>
        <w:rPr>
          <w:rFonts w:hint="eastAsia" w:ascii="黑体" w:eastAsia="黑体"/>
          <w:color w:val="auto"/>
          <w:sz w:val="32"/>
          <w:szCs w:val="32"/>
          <w:highlight w:val="none"/>
        </w:rPr>
        <w:t xml:space="preserve">   </w:t>
      </w:r>
      <w:r>
        <w:rPr>
          <w:rFonts w:hint="eastAsia" w:ascii="宋体" w:hAnsi="宋体"/>
          <w:color w:val="auto"/>
          <w:sz w:val="24"/>
          <w:highlight w:val="none"/>
        </w:rPr>
        <w:t xml:space="preserve"> </w:t>
      </w:r>
      <w:r/>
    </w:p>
    <w:tbl>
      <w:tblPr>
        <w:tblStyle w:val="87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证明</w:t>
            </w:r>
            <w:r/>
          </w:p>
          <w:p>
            <w:pPr>
              <w:pStyle w:val="905"/>
              <w:jc w:val="center"/>
              <w:spacing w:beforeAutospacing="0" w:afterAutospacing="0"/>
              <w:rPr>
                <w:rFonts w:hint="eastAsia"/>
                <w:color w:val="auto"/>
                <w:highlight w:val="none"/>
              </w:rPr>
            </w:pPr>
            <w:r>
              <w:rPr>
                <w:rFonts w:hint="eastAsia" w:cs="宋体"/>
                <w:color w:val="auto"/>
                <w:highlight w:val="none"/>
              </w:rPr>
              <w:t xml:space="preserve">材料</w:t>
            </w:r>
            <w:r/>
          </w:p>
        </w:tc>
      </w:tr>
      <w:tr>
        <w:trPr>
          <w:tblCellSpacing w:w="0" w:type="dxa"/>
          <w:trHeight w:val="649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both"/>
              <w:spacing w:before="0" w:beforeAutospacing="0" w:after="0" w:afterAutospacing="0" w:line="500" w:lineRule="exact"/>
              <w:shd w:val="clear" w:color="auto" w:fill="ffffff"/>
              <w:rPr>
                <w:rFonts w:hint="eastAsia"/>
                <w:color w:val="auto"/>
                <w:highlight w:val="none"/>
              </w:rPr>
            </w:pPr>
            <w:r>
              <w:rPr>
                <w:rFonts w:hint="eastAsia" w:cs="宋体"/>
                <w:color w:val="auto"/>
                <w:highlight w:val="none"/>
              </w:rPr>
              <w:t xml:space="preserve">以联合体投标各方应签订联合体投标协议书，确定联合体各方的权利和义务；联合体各方不得再以自己的名义单独或参加其他联合体在同一标段中投标，否则其投标和与此相关的联合体投标将被拒绝，联合体的牵头单位必须符合招标文件中对投标人资格的要求。</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rPr>
                <w:rFonts w:hint="eastAsia" w:ascii="宋体" w:hAnsi="宋体" w:cs="宋体"/>
                <w:bCs/>
                <w:color w:val="auto"/>
                <w:sz w:val="24"/>
                <w:highlight w:val="none"/>
              </w:rPr>
              <w:t xml:space="preserve">在项目完成后，成交供应商应向采购人提供必要的后续技术支持服务，协助采购人完成其他需要成交供应商配合的服务。服务时间不少于一年，相关费用包含在本项目报价总价中。</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rFonts w:hint="eastAsia" w:cs="宋体"/>
                <w:color w:val="auto"/>
                <w:highlight w:val="none"/>
              </w:rPr>
              <w:t xml:space="preserve">……</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5"/>
              <w:jc w:val="center"/>
              <w:spacing w:beforeAutospacing="0" w:afterAutospacing="0"/>
              <w:rPr>
                <w:rFonts w:hint="eastAsia"/>
                <w:color w:val="auto"/>
                <w:highlight w:val="none"/>
              </w:rPr>
            </w:pPr>
            <w:r>
              <w:rPr>
                <w:color w:val="auto"/>
                <w:highlight w:val="none"/>
              </w:rPr>
              <w:t xml:space="preserve"> </w:t>
            </w:r>
            <w:r/>
          </w:p>
        </w:tc>
      </w:tr>
    </w:tbl>
    <w:p>
      <w:pPr>
        <w:pStyle w:val="905"/>
        <w:jc w:val="both"/>
        <w:spacing w:beforeAutospacing="0" w:afterAutospacing="0"/>
        <w:rPr>
          <w:rFonts w:hint="eastAsia"/>
          <w:color w:val="auto"/>
          <w:highlight w:val="none"/>
        </w:rPr>
      </w:pPr>
      <w:r>
        <w:rPr>
          <w:rFonts w:hint="eastAsia" w:cs="宋体"/>
          <w:color w:val="auto"/>
          <w:highlight w:val="none"/>
        </w:rPr>
        <w:t xml:space="preserve">注： 行数不够，可自行添加。</w:t>
      </w:r>
      <w:bookmarkEnd w:id="159"/>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09"/>
        <w:rPr>
          <w:color w:val="auto"/>
          <w:highlight w:val="none"/>
        </w:rPr>
      </w:pPr>
      <w:r>
        <w:rPr>
          <w:color w:val="auto"/>
          <w:highlight w:val="none"/>
        </w:rPr>
      </w:r>
      <w:r/>
    </w:p>
    <w:p>
      <w:pPr>
        <w:pStyle w:val="862"/>
        <w:jc w:val="center"/>
        <w:keepNext w:val="0"/>
        <w:widowControl/>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十四、开标一览表</w:t>
      </w:r>
      <w:r/>
    </w:p>
    <w:p>
      <w:pPr>
        <w:pStyle w:val="905"/>
        <w:rPr>
          <w:rFonts w:hint="eastAsia"/>
          <w:color w:val="auto"/>
          <w:highlight w:val="none"/>
        </w:rPr>
      </w:pPr>
      <w:r>
        <w:rPr>
          <w:color w:val="auto"/>
          <w:highlight w:val="none"/>
        </w:rPr>
        <w:t xml:space="preserve">项目编号：</w:t>
      </w:r>
      <w:r>
        <w:rPr>
          <w:rFonts w:hint="eastAsia"/>
          <w:color w:val="auto"/>
          <w:highlight w:val="none"/>
          <w:lang w:val="en-US" w:eastAsia="zh-CN"/>
        </w:rPr>
        <w:t xml:space="preserve">JSZC-320900-RHHH-G2026-0066</w:t>
      </w:r>
      <w:r>
        <w:rPr>
          <w:rFonts w:hint="eastAsia"/>
          <w:color w:val="auto"/>
          <w:highlight w:val="none"/>
        </w:rPr>
        <w:t xml:space="preserve"> </w:t>
      </w:r>
      <w:r>
        <w:rPr>
          <w:color w:val="auto"/>
          <w:highlight w:val="none"/>
        </w:rPr>
        <w:t xml:space="preserve"> </w:t>
      </w:r>
      <w:r/>
    </w:p>
    <w:p>
      <w:pPr>
        <w:pStyle w:val="905"/>
        <w:rPr>
          <w:rFonts w:hint="eastAsia"/>
          <w:color w:val="auto"/>
          <w:highlight w:val="none"/>
        </w:rPr>
      </w:pPr>
      <w:r>
        <w:rPr>
          <w:color w:val="auto"/>
          <w:highlight w:val="none"/>
        </w:rPr>
        <w:t xml:space="preserve">货币单位：人民币元</w:t>
      </w:r>
      <w:r/>
    </w:p>
    <w:p>
      <w:pPr>
        <w:pStyle w:val="905"/>
        <w:rPr>
          <w:rFonts w:hint="eastAsia"/>
          <w:color w:val="auto"/>
          <w:highlight w:val="none"/>
        </w:rPr>
      </w:pPr>
      <w:r>
        <w:rPr>
          <w:color w:val="auto"/>
          <w:highlight w:val="none"/>
        </w:rPr>
        <w:t xml:space="preserve"> </w:t>
      </w:r>
      <w:r/>
    </w:p>
    <w:tbl>
      <w:tblPr>
        <w:tblStyle w:val="87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color w:val="auto"/>
                <w:highlight w:val="none"/>
              </w:rPr>
              <w:t xml:space="preserve">项目名称</w:t>
            </w:r>
            <w:r/>
          </w:p>
        </w:tc>
        <w:tc>
          <w:tcPr>
            <w:shd w:val="clear" w:color="auto" w:fill="auto"/>
            <w:tcW w:w="2700" w:type="dxa"/>
            <w:vAlign w:val="center"/>
            <w:textDirection w:val="lrTb"/>
            <w:noWrap w:val="false"/>
          </w:tcPr>
          <w:p>
            <w:pPr>
              <w:pStyle w:val="905"/>
              <w:rPr>
                <w:rFonts w:hint="eastAsia"/>
                <w:color w:val="auto"/>
                <w:highlight w:val="none"/>
              </w:rPr>
            </w:pPr>
            <w:r>
              <w:rPr>
                <w:color w:val="auto"/>
                <w:highlight w:val="none"/>
              </w:rPr>
              <w:t xml:space="preserve">项目内容</w:t>
            </w:r>
            <w:r/>
          </w:p>
        </w:tc>
        <w:tc>
          <w:tcPr>
            <w:shd w:val="clear" w:color="auto" w:fill="auto"/>
            <w:tcW w:w="3408" w:type="dxa"/>
            <w:vAlign w:val="center"/>
            <w:textDirection w:val="lrTb"/>
            <w:noWrap w:val="false"/>
          </w:tcPr>
          <w:p>
            <w:pPr>
              <w:pStyle w:val="905"/>
              <w:rPr>
                <w:rFonts w:hint="eastAsia"/>
                <w:color w:val="auto"/>
                <w:highlight w:val="none"/>
              </w:rPr>
            </w:pPr>
            <w:r>
              <w:rPr>
                <w:color w:val="auto"/>
                <w:highlight w:val="none"/>
              </w:rPr>
              <w:t xml:space="preserve">总价（小写）</w:t>
            </w:r>
            <w:r/>
          </w:p>
        </w:tc>
      </w:tr>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rFonts w:hint="eastAsia"/>
                <w:color w:val="auto"/>
                <w:highlight w:val="none"/>
              </w:rPr>
              <w:t xml:space="preserve">盐城市盐都区2026年度一体化调查监测（国土变更调查）项目</w:t>
            </w:r>
            <w:r/>
          </w:p>
        </w:tc>
        <w:tc>
          <w:tcPr>
            <w:shd w:val="clear" w:color="auto" w:fill="auto"/>
            <w:tcW w:w="2700" w:type="dxa"/>
            <w:vAlign w:val="center"/>
            <w:textDirection w:val="lrTb"/>
            <w:noWrap w:val="false"/>
          </w:tcPr>
          <w:p>
            <w:pPr>
              <w:pStyle w:val="905"/>
              <w:rPr>
                <w:rFonts w:hint="eastAsia"/>
                <w:color w:val="auto"/>
                <w:highlight w:val="none"/>
              </w:rPr>
            </w:pPr>
            <w:r>
              <w:rPr>
                <w:color w:val="auto"/>
                <w:highlight w:val="none"/>
              </w:rPr>
              <w:t xml:space="preserve">详见投标文件</w:t>
            </w:r>
            <w:r/>
          </w:p>
        </w:tc>
        <w:tc>
          <w:tcPr>
            <w:shd w:val="clear" w:color="auto" w:fill="auto"/>
            <w:tcW w:w="3408" w:type="dxa"/>
            <w:vAlign w:val="center"/>
            <w:textDirection w:val="lrTb"/>
            <w:noWrap w:val="false"/>
          </w:tcPr>
          <w:p>
            <w:pPr>
              <w:pStyle w:val="905"/>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元</w:t>
            </w:r>
            <w:r/>
          </w:p>
        </w:tc>
      </w:tr>
      <w:tr>
        <w:trPr>
          <w:tblCellSpacing w:w="15" w:type="dxa"/>
        </w:trPr>
        <w:tc>
          <w:tcPr>
            <w:shd w:val="clear" w:color="auto" w:fill="auto"/>
            <w:tcW w:w="2892" w:type="dxa"/>
            <w:vAlign w:val="center"/>
            <w:textDirection w:val="lrTb"/>
            <w:noWrap w:val="false"/>
          </w:tcPr>
          <w:p>
            <w:pPr>
              <w:pStyle w:val="905"/>
              <w:rPr>
                <w:rFonts w:hint="eastAsia"/>
                <w:color w:val="auto"/>
                <w:highlight w:val="none"/>
              </w:rPr>
            </w:pPr>
            <w:r>
              <w:rPr>
                <w:color w:val="auto"/>
                <w:highlight w:val="none"/>
              </w:rPr>
              <w:t xml:space="preserve">总价（大写）：</w:t>
            </w:r>
            <w:r/>
          </w:p>
        </w:tc>
        <w:tc>
          <w:tcPr>
            <w:gridSpan w:val="2"/>
            <w:shd w:val="clear" w:color="auto" w:fill="auto"/>
            <w:tcW w:w="6096" w:type="dxa"/>
            <w:vAlign w:val="center"/>
            <w:textDirection w:val="lrTb"/>
            <w:noWrap w:val="false"/>
          </w:tcPr>
          <w:p>
            <w:pPr>
              <w:pStyle w:val="905"/>
              <w:rPr>
                <w:rFonts w:hint="eastAsia"/>
                <w:color w:val="auto"/>
                <w:highlight w:val="none"/>
              </w:rPr>
            </w:pPr>
            <w:r>
              <w:rPr>
                <w:color w:val="auto"/>
                <w:highlight w:val="none"/>
              </w:rPr>
              <w:t xml:space="preserve">金额大写  </w:t>
            </w:r>
            <w:r/>
          </w:p>
        </w:tc>
      </w:tr>
    </w:tbl>
    <w:p>
      <w:pPr>
        <w:pStyle w:val="905"/>
        <w:rPr>
          <w:rFonts w:hint="eastAsia"/>
          <w:color w:val="auto"/>
          <w:highlight w:val="none"/>
        </w:rPr>
      </w:pPr>
      <w:r>
        <w:rPr>
          <w:color w:val="auto"/>
          <w:highlight w:val="none"/>
        </w:rPr>
        <w:t xml:space="preserve">投标人公章：                               （电子签章）</w:t>
      </w:r>
      <w:r/>
    </w:p>
    <w:p>
      <w:pPr>
        <w:pStyle w:val="905"/>
        <w:jc w:val="right"/>
        <w:rPr>
          <w:rFonts w:hint="eastAsia"/>
          <w:color w:val="auto"/>
          <w:highlight w:val="none"/>
        </w:rPr>
      </w:pPr>
      <w:r>
        <w:rPr>
          <w:color w:val="auto"/>
          <w:highlight w:val="none"/>
        </w:rPr>
        <w:t xml:space="preserve"> </w:t>
      </w:r>
      <w:r/>
    </w:p>
    <w:p>
      <w:pPr>
        <w:pStyle w:val="905"/>
        <w:jc w:val="right"/>
        <w:rPr>
          <w:rFonts w:hint="eastAsia"/>
          <w:color w:val="auto"/>
          <w:highlight w:val="none"/>
        </w:rPr>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pStyle w:val="905"/>
        <w:rPr>
          <w:rFonts w:hint="eastAsia"/>
          <w:color w:val="auto"/>
          <w:highlight w:val="none"/>
        </w:rPr>
      </w:pPr>
      <w:r>
        <w:rPr>
          <w:color w:val="auto"/>
          <w:highlight w:val="none"/>
        </w:rPr>
        <w:t xml:space="preserve"> </w:t>
      </w:r>
      <w:r/>
    </w:p>
    <w:p>
      <w:pPr>
        <w:pStyle w:val="905"/>
        <w:ind w:firstLine="480"/>
        <w:jc w:val="both"/>
        <w:spacing w:beforeAutospacing="0" w:afterAutospacing="0"/>
        <w:rPr>
          <w:rFonts w:hint="eastAsia"/>
          <w:color w:val="auto"/>
          <w:highlight w:val="none"/>
        </w:rPr>
      </w:pPr>
      <w:r>
        <w:rPr>
          <w:rFonts w:hint="eastAsia"/>
          <w:color w:val="auto"/>
          <w:highlight w:val="none"/>
        </w:rPr>
      </w:r>
      <w:r/>
    </w:p>
    <w:p>
      <w:pPr>
        <w:pStyle w:val="905"/>
        <w:jc w:val="center"/>
        <w:spacing w:beforeAutospacing="0" w:afterAutospacing="0"/>
        <w:rPr>
          <w:rFonts w:hint="eastAsia"/>
          <w:color w:val="auto"/>
          <w:highlight w:val="none"/>
        </w:rPr>
      </w:pPr>
      <w:r>
        <w:rPr>
          <w:color w:val="auto"/>
          <w:highlight w:val="none"/>
        </w:rPr>
        <w:t xml:space="preserve"> </w:t>
      </w:r>
      <w:r/>
    </w:p>
    <w:p>
      <w:pPr>
        <w:pStyle w:val="905"/>
        <w:jc w:val="both"/>
        <w:spacing w:beforeAutospacing="0" w:afterAutospacing="0"/>
        <w:rPr>
          <w:rFonts w:hint="eastAsia"/>
          <w:color w:val="auto"/>
          <w:highlight w:val="none"/>
        </w:rPr>
      </w:pPr>
      <w:r>
        <w:rPr>
          <w:color w:val="auto"/>
          <w:highlight w:val="none"/>
        </w:rPr>
        <w:t xml:space="preserve"> </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spacing w:beforeAutospacing="0" w:afterAutospacing="0"/>
        <w:rPr>
          <w:rFonts w:hint="eastAsia"/>
          <w:b/>
          <w:color w:val="auto"/>
          <w:sz w:val="32"/>
          <w:szCs w:val="32"/>
          <w:highlight w:val="none"/>
        </w:rPr>
      </w:pPr>
      <w:r>
        <w:rPr>
          <w:rFonts w:hint="eastAsia"/>
          <w:b/>
          <w:color w:val="auto"/>
          <w:sz w:val="32"/>
          <w:szCs w:val="32"/>
          <w:highlight w:val="none"/>
        </w:rPr>
      </w:r>
      <w:r/>
    </w:p>
    <w:p>
      <w:pPr>
        <w:jc w:val="center"/>
        <w:spacing w:before="50" w:after="50"/>
        <w:widowControl/>
        <w:rPr>
          <w:color w:val="auto"/>
          <w:highlight w:val="none"/>
        </w:rPr>
      </w:pPr>
      <w:r>
        <w:rPr>
          <w:color w:val="auto"/>
          <w:highlight w:val="none"/>
        </w:rPr>
        <w:tab/>
      </w:r>
      <w:r/>
    </w:p>
    <w:p>
      <w:pPr>
        <w:pStyle w:val="1131"/>
        <w:ind w:firstLine="420"/>
        <w:rPr>
          <w:color w:val="auto"/>
          <w:highlight w:val="none"/>
        </w:rPr>
      </w:pPr>
      <w:r>
        <w:rPr>
          <w:color w:val="auto"/>
          <w:highlight w:val="none"/>
        </w:rPr>
        <w:br w:type="page" w:clear="all"/>
      </w:r>
      <w:r/>
    </w:p>
    <w:p>
      <w:pPr>
        <w:jc w:val="center"/>
        <w:spacing w:before="50" w:after="50"/>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十五、技术方案等</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t xml:space="preserve">（详见评标办法部分的要求）</w:t>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905"/>
        <w:jc w:val="center"/>
        <w:spacing w:beforeAutospacing="0" w:afterAutospacing="0"/>
        <w:rPr>
          <w:rFonts w:hint="eastAsia"/>
          <w:b/>
          <w:color w:val="auto"/>
          <w:sz w:val="32"/>
          <w:szCs w:val="32"/>
          <w:highlight w:val="none"/>
        </w:rPr>
      </w:pPr>
      <w:r>
        <w:rPr>
          <w:rFonts w:hint="eastAsia" w:ascii="黑体" w:eastAsia="黑体" w:cs="黑体"/>
          <w:iCs/>
          <w:color w:val="auto"/>
          <w:sz w:val="32"/>
          <w:szCs w:val="32"/>
          <w:highlight w:val="none"/>
        </w:rPr>
        <w:t xml:space="preserve">十六、盐城市政府采购事前信用承诺书</w:t>
      </w:r>
      <w:r>
        <w:rPr>
          <w:rFonts w:hint="eastAsia"/>
          <w:b/>
          <w:color w:val="auto"/>
          <w:sz w:val="32"/>
          <w:szCs w:val="32"/>
          <w:highlight w:val="none"/>
        </w:rPr>
        <w:t xml:space="preserve"> </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ind w:firstLine="24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pStyle w:val="1131"/>
        <w:ind w:firstLine="420"/>
        <w:rPr>
          <w:color w:val="auto"/>
          <w:highlight w:val="none"/>
        </w:rPr>
      </w:pPr>
      <w:r>
        <w:rPr>
          <w:color w:val="auto"/>
          <w:highlight w:val="none"/>
        </w:rPr>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法定代表人签名：</w:t>
      </w:r>
      <w:r/>
    </w:p>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单位名称（盖章）：</w:t>
      </w:r>
      <w:r/>
    </w:p>
    <w:p>
      <w:pPr>
        <w:jc w:val="cente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 日</w:t>
      </w:r>
      <w:r/>
    </w:p>
    <w:p>
      <w:pPr>
        <w:jc w:val="left"/>
        <w:widowControl/>
        <w:rPr>
          <w:rFonts w:hint="eastAsia" w:ascii="宋体" w:hAnsi="宋体"/>
          <w:b/>
          <w:color w:val="auto"/>
          <w:sz w:val="32"/>
          <w:szCs w:val="32"/>
          <w:highlight w:val="none"/>
        </w:rPr>
      </w:pPr>
      <w:r/>
      <w:bookmarkStart w:id="160" w:name="_Hlk132197618"/>
      <w:r>
        <w:rPr>
          <w:rFonts w:hint="eastAsia" w:ascii="宋体" w:hAnsi="宋体"/>
          <w:b/>
          <w:color w:val="auto"/>
          <w:sz w:val="32"/>
          <w:szCs w:val="32"/>
          <w:highlight w:val="none"/>
        </w:rPr>
        <w:br w:type="page" w:clear="all"/>
      </w:r>
      <w:r/>
    </w:p>
    <w:p>
      <w:pPr>
        <w:jc w:val="center"/>
        <w:spacing w:after="240" w:line="560" w:lineRule="exact"/>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十七、人员配备一览表</w:t>
      </w:r>
      <w:bookmarkEnd w:id="160"/>
      <w:r/>
      <w:r/>
    </w:p>
    <w:tbl>
      <w:tblPr>
        <w:tblStyle w:val="872"/>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olor w:val="auto"/>
                <w:sz w:val="24"/>
                <w:highlight w:val="none"/>
              </w:rPr>
            </w:pPr>
            <w:r>
              <w:rPr>
                <w:rFonts w:hint="eastAsia" w:ascii="宋体" w:hAnsi="宋体" w:cs="Courier New"/>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s="Courier New"/>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hint="eastAsia" w:ascii="宋体" w:hAnsi="宋体" w:cs="Courier New"/>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hint="eastAsia" w:ascii="宋体" w:hAnsi="宋体" w:cs="Courier New"/>
                <w:color w:val="auto"/>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ascii="宋体" w:hAnsi="宋体" w:cs="Courier New"/>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ascii="宋体" w:hAnsi="宋体" w:cs="Courier New"/>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color w:val="auto"/>
                <w:sz w:val="24"/>
                <w:highlight w:val="none"/>
              </w:rPr>
            </w:pPr>
            <w:r>
              <w:rPr>
                <w:rFonts w:hint="eastAsia"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color w:val="auto"/>
                <w:sz w:val="24"/>
                <w:highlight w:val="none"/>
              </w:rPr>
            </w:pPr>
            <w:r>
              <w:rPr>
                <w:rFonts w:hint="eastAsia"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color w:val="auto"/>
                <w:sz w:val="24"/>
                <w:highlight w:val="none"/>
              </w:rPr>
            </w:pPr>
            <w:r>
              <w:rPr>
                <w:rFonts w:hint="eastAsia" w:ascii="宋体" w:hAnsi="宋体"/>
                <w:color w:val="auto"/>
                <w:sz w:val="24"/>
                <w:highlight w:val="none"/>
              </w:rPr>
            </w:r>
            <w:r/>
          </w:p>
        </w:tc>
      </w:tr>
    </w:tbl>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注：投标人可以根据需要自行拓展本表。</w:t>
      </w:r>
      <w:r/>
    </w:p>
    <w:p>
      <w:pPr>
        <w:spacing w:line="360" w:lineRule="auto"/>
        <w:rPr>
          <w:rFonts w:hint="eastAsia" w:ascii="宋体" w:hAnsi="宋体"/>
          <w:color w:val="auto"/>
          <w:szCs w:val="20"/>
          <w:highlight w:val="none"/>
        </w:rPr>
      </w:pPr>
      <w:r>
        <w:rPr>
          <w:rFonts w:hint="eastAsia" w:ascii="宋体" w:hAnsi="宋体"/>
          <w:color w:val="auto"/>
          <w:szCs w:val="20"/>
          <w:highlight w:val="none"/>
        </w:rPr>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投标方：（单位盖章）</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r>
      <w:r/>
    </w:p>
    <w:p>
      <w:pPr>
        <w:pStyle w:val="1131"/>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jc w:val="left"/>
        <w:widowControl/>
        <w:rPr>
          <w:rFonts w:ascii="宋体" w:eastAsiaTheme="minorEastAsia"/>
          <w:color w:val="auto"/>
          <w:szCs w:val="20"/>
          <w:highlight w:val="none"/>
        </w:rPr>
      </w:pPr>
      <w:r>
        <w:rPr>
          <w:rFonts w:eastAsiaTheme="minorEastAsia"/>
          <w:color w:val="auto"/>
          <w:highlight w:val="none"/>
        </w:rPr>
        <w:br w:type="page" w:clear="all"/>
      </w:r>
      <w:r/>
    </w:p>
    <w:p>
      <w:pPr>
        <w:pStyle w:val="905"/>
        <w:jc w:val="center"/>
        <w:spacing w:beforeAutospacing="0" w:afterAutospacing="0" w:line="0" w:lineRule="atLeast"/>
        <w:rPr>
          <w:rFonts w:hint="eastAsia"/>
        </w:rPr>
      </w:pPr>
      <w:r>
        <w:rPr>
          <w:rFonts w:hint="eastAsia" w:ascii="黑体" w:eastAsia="黑体" w:cs="黑体"/>
          <w:b/>
          <w:color w:val="000000"/>
          <w:sz w:val="32"/>
          <w:szCs w:val="32"/>
        </w:rPr>
        <w:t xml:space="preserve">十</w:t>
      </w:r>
      <w:r>
        <w:rPr>
          <w:rFonts w:hint="eastAsia" w:ascii="黑体" w:eastAsia="黑体" w:cs="黑体"/>
          <w:b/>
          <w:color w:val="000000"/>
          <w:sz w:val="32"/>
          <w:szCs w:val="32"/>
          <w:lang w:val="en-US" w:eastAsia="zh-CN"/>
        </w:rPr>
        <w:t xml:space="preserve">八</w:t>
      </w:r>
      <w:r>
        <w:rPr>
          <w:rFonts w:hint="eastAsia" w:ascii="黑体" w:eastAsia="黑体" w:cs="黑体"/>
          <w:b/>
          <w:color w:val="000000"/>
          <w:sz w:val="32"/>
          <w:szCs w:val="32"/>
        </w:rPr>
        <w:t xml:space="preserve">、联合体协议（参考格式）</w:t>
      </w:r>
      <w:r/>
    </w:p>
    <w:p>
      <w:pPr>
        <w:pStyle w:val="905"/>
        <w:jc w:val="both"/>
        <w:spacing w:beforeAutospacing="0" w:afterAutospacing="0" w:line="0" w:lineRule="atLeast"/>
        <w:rPr>
          <w:rFonts w:hint="eastAsia"/>
        </w:rPr>
      </w:pPr>
      <w:r>
        <w:rPr>
          <w:rFonts w:hint="eastAsia" w:cs="宋体"/>
          <w:color w:val="000000"/>
        </w:rPr>
        <w:t xml:space="preserve">（联合体中各供应商全称）在此达成以下协议：</w:t>
      </w:r>
      <w:r/>
    </w:p>
    <w:p>
      <w:pPr>
        <w:pStyle w:val="905"/>
        <w:ind w:firstLine="645"/>
        <w:jc w:val="both"/>
        <w:spacing w:beforeAutospacing="0" w:afterAutospacing="0" w:line="0" w:lineRule="atLeast"/>
        <w:rPr>
          <w:rFonts w:hint="eastAsia"/>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自愿组成联合体，参加盐城市政府采购中心组织的采购编号为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p>
    <w:p>
      <w:pPr>
        <w:pStyle w:val="905"/>
        <w:ind w:firstLine="645"/>
        <w:jc w:val="both"/>
        <w:spacing w:beforeAutospacing="0" w:afterAutospacing="0" w:line="0" w:lineRule="atLeast"/>
        <w:rPr>
          <w:rFonts w:hint="eastAsia"/>
        </w:rPr>
      </w:pPr>
      <w:r>
        <w:rPr>
          <w:rFonts w:hint="eastAsia"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05"/>
        <w:ind w:firstLine="645"/>
        <w:jc w:val="both"/>
        <w:spacing w:beforeAutospacing="0" w:afterAutospacing="0" w:line="0" w:lineRule="atLeast"/>
        <w:rPr>
          <w:rFonts w:hint="eastAsia"/>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p>
    <w:p>
      <w:pPr>
        <w:pStyle w:val="905"/>
        <w:ind w:firstLine="645"/>
        <w:jc w:val="both"/>
        <w:spacing w:beforeAutospacing="0" w:afterAutospacing="0" w:line="0" w:lineRule="atLeast"/>
        <w:rPr>
          <w:rFonts w:hint="eastAsia"/>
        </w:rPr>
      </w:pPr>
      <w:r>
        <w:t xml:space="preserve"> </w:t>
      </w:r>
      <w:r/>
    </w:p>
    <w:p>
      <w:pPr>
        <w:pStyle w:val="905"/>
        <w:ind w:firstLine="645"/>
        <w:jc w:val="both"/>
        <w:spacing w:beforeAutospacing="0" w:afterAutospacing="0" w:line="0" w:lineRule="atLeast"/>
        <w:rPr>
          <w:rFonts w:hint="eastAsia"/>
        </w:rPr>
      </w:pPr>
      <w:r>
        <w:rPr>
          <w:rFonts w:hint="eastAsia" w:cs="宋体"/>
          <w:color w:val="000000"/>
        </w:rPr>
        <w:t xml:space="preserve">备注：本招标文件中要求加盖CA电子签章的地方，仅需加盖牵头单位的CA电子签章。</w:t>
      </w:r>
      <w:r/>
    </w:p>
    <w:p>
      <w:pPr>
        <w:pStyle w:val="905"/>
        <w:ind w:firstLine="645"/>
        <w:jc w:val="both"/>
        <w:spacing w:beforeAutospacing="0" w:afterAutospacing="0" w:line="0" w:lineRule="atLeast"/>
        <w:rPr>
          <w:rFonts w:hint="eastAsia"/>
        </w:rPr>
      </w:pPr>
      <w:r>
        <w:rPr>
          <w:rFonts w:hint="eastAsia" w:cs="宋体"/>
          <w:color w:val="000000"/>
        </w:rPr>
        <w:t xml:space="preserve">                               </w:t>
      </w:r>
      <w:r/>
    </w:p>
    <w:p>
      <w:pPr>
        <w:pStyle w:val="905"/>
        <w:ind w:firstLine="645"/>
        <w:jc w:val="both"/>
        <w:spacing w:beforeAutospacing="0" w:afterAutospacing="0" w:line="0" w:lineRule="atLeast"/>
        <w:rPr>
          <w:rFonts w:hint="eastAsia"/>
        </w:rPr>
      </w:pPr>
      <w:r>
        <w:rPr>
          <w:rFonts w:hint="eastAsia" w:cs="宋体"/>
          <w:color w:val="000000"/>
        </w:rPr>
        <w:t xml:space="preserve">联合体中各供应商全称（公章）：     </w:t>
      </w:r>
      <w:r/>
    </w:p>
    <w:p>
      <w:pPr>
        <w:pStyle w:val="905"/>
        <w:ind w:firstLine="645"/>
        <w:jc w:val="both"/>
        <w:spacing w:beforeAutospacing="0" w:afterAutospacing="0" w:line="0" w:lineRule="atLeast"/>
        <w:rPr>
          <w:rFonts w:hint="eastAsia"/>
        </w:rPr>
      </w:pPr>
      <w:r>
        <w:rPr>
          <w:rFonts w:hint="eastAsia" w:cs="宋体"/>
          <w:color w:val="000000"/>
        </w:rPr>
        <w:t xml:space="preserve">                                                          日期：</w:t>
      </w:r>
      <w:r/>
    </w:p>
    <w:p>
      <w:pPr>
        <w:pStyle w:val="905"/>
        <w:ind w:firstLine="64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t xml:space="preserve"> </w:t>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jc w:val="both"/>
        <w:spacing w:beforeAutospacing="0" w:afterAutospacing="0" w:line="0" w:lineRule="atLeast"/>
        <w:rPr>
          <w:rFonts w:hint="eastAsia"/>
        </w:rPr>
      </w:pPr>
      <w:r>
        <w:rPr>
          <w:rFonts w:hint="eastAsia"/>
        </w:rPr>
      </w:r>
      <w:r/>
    </w:p>
    <w:p>
      <w:pPr>
        <w:pStyle w:val="905"/>
        <w:spacing w:before="0" w:beforeAutospacing="0" w:after="0" w:afterAutospacing="0"/>
        <w:rPr>
          <w:rFonts w:hint="eastAsia"/>
          <w:color w:val="auto"/>
          <w:sz w:val="36"/>
          <w:szCs w:val="36"/>
          <w:highlight w:val="none"/>
        </w:rPr>
      </w:pPr>
      <w:r>
        <w:rPr>
          <w:rFonts w:hint="eastAsia"/>
          <w:color w:val="auto"/>
          <w:sz w:val="36"/>
          <w:szCs w:val="36"/>
          <w:highlight w:val="none"/>
        </w:rPr>
        <w:t xml:space="preserve">十</w:t>
      </w:r>
      <w:r>
        <w:rPr>
          <w:rFonts w:hint="eastAsia"/>
          <w:color w:val="auto"/>
          <w:sz w:val="36"/>
          <w:szCs w:val="36"/>
          <w:highlight w:val="none"/>
          <w:lang w:val="en-US" w:eastAsia="zh-CN"/>
        </w:rPr>
        <w:t xml:space="preserve">九</w:t>
      </w:r>
      <w:r>
        <w:rPr>
          <w:rFonts w:hint="eastAsia"/>
          <w:color w:val="auto"/>
          <w:sz w:val="36"/>
          <w:szCs w:val="36"/>
          <w:highlight w:val="none"/>
        </w:rPr>
        <w:t xml:space="preserve">、招标文件中规定要求提供的其他证明材料和投标人认为需要提供的其他材料</w:t>
      </w:r>
      <w:r/>
    </w:p>
    <w:p>
      <w:pPr>
        <w:rPr>
          <w:color w:val="auto"/>
          <w:highlight w:val="none"/>
        </w:rPr>
      </w:pPr>
      <w:r>
        <w:rPr>
          <w:color w:val="auto"/>
          <w:highlight w:val="none"/>
        </w:rPr>
      </w:r>
      <w:r/>
    </w:p>
    <w:p>
      <w:pPr>
        <w:pStyle w:val="1131"/>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pStyle w:val="905"/>
        <w:jc w:val="center"/>
        <w:spacing w:beforeAutospacing="0" w:afterAutospacing="0"/>
        <w:rPr>
          <w:rFonts w:hint="eastAsia"/>
          <w:color w:val="auto"/>
          <w:highlight w:val="none"/>
        </w:rPr>
      </w:pPr>
      <w:r>
        <w:rPr>
          <w:rFonts w:hint="eastAsia"/>
          <w:color w:val="auto"/>
          <w:highlight w:val="none"/>
        </w:rPr>
      </w:r>
      <w:r/>
    </w:p>
    <w:p>
      <w:pPr>
        <w:jc w:val="left"/>
        <w:widowControl/>
        <w:rPr>
          <w:rFonts w:hint="eastAsia" w:ascii="宋体" w:hAnsi="宋体"/>
          <w:b/>
          <w:color w:val="auto"/>
          <w:sz w:val="32"/>
          <w:szCs w:val="32"/>
          <w:highlight w:val="none"/>
        </w:rPr>
      </w:pPr>
      <w:r>
        <w:rPr>
          <w:rFonts w:hint="eastAsia"/>
          <w:b/>
          <w:color w:val="auto"/>
          <w:sz w:val="32"/>
          <w:szCs w:val="32"/>
          <w:highlight w:val="none"/>
        </w:rPr>
        <w:br w:type="page" w:clear="all"/>
      </w:r>
      <w:r/>
    </w:p>
    <w:p>
      <w:pPr>
        <w:pStyle w:val="905"/>
        <w:jc w:val="center"/>
        <w:spacing w:beforeAutospacing="0" w:afterAutospacing="0"/>
        <w:rPr>
          <w:rFonts w:hint="eastAsia"/>
          <w:b/>
          <w:color w:val="auto"/>
          <w:sz w:val="32"/>
          <w:szCs w:val="32"/>
          <w:highlight w:val="none"/>
        </w:rPr>
      </w:pPr>
      <w:r>
        <w:rPr>
          <w:rFonts w:hint="eastAsia"/>
          <w:b/>
          <w:color w:val="auto"/>
          <w:sz w:val="32"/>
          <w:szCs w:val="32"/>
          <w:highlight w:val="none"/>
        </w:rPr>
        <w:t xml:space="preserve">质疑函范本</w:t>
      </w:r>
      <w:r/>
    </w:p>
    <w:p>
      <w:pPr>
        <w:pStyle w:val="905"/>
        <w:jc w:val="both"/>
        <w:spacing w:before="290" w:beforeAutospacing="0" w:afterAutospacing="0" w:line="360" w:lineRule="auto"/>
        <w:rPr>
          <w:rFonts w:hint="eastAsia"/>
          <w:color w:val="auto"/>
          <w:highlight w:val="none"/>
        </w:rPr>
      </w:pPr>
      <w:r>
        <w:rPr>
          <w:rFonts w:hint="eastAsia"/>
          <w:color w:val="auto"/>
          <w:highlight w:val="none"/>
        </w:rPr>
        <w:t xml:space="preserve">一、质疑供应商基本信息</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二、质疑项目基本情况</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三、质疑事项具体内容</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905"/>
        <w:spacing w:beforeAutospacing="0" w:afterAutospacing="0" w:line="360" w:lineRule="auto"/>
        <w:rPr>
          <w:rFonts w:hint="eastAsia"/>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质疑事项2</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四、与质疑事项相关的质疑请求</w:t>
      </w:r>
      <w:r/>
    </w:p>
    <w:p>
      <w:pPr>
        <w:pStyle w:val="905"/>
        <w:jc w:val="both"/>
        <w:spacing w:beforeAutospacing="0" w:afterAutospacing="0" w:line="360" w:lineRule="auto"/>
        <w:rPr>
          <w:rFonts w:hint="eastAsia"/>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905"/>
        <w:jc w:val="both"/>
        <w:spacing w:beforeAutospacing="0" w:afterAutospacing="0"/>
        <w:rPr>
          <w:rFonts w:hint="eastAsia"/>
          <w:color w:val="auto"/>
          <w:highlight w:val="none"/>
        </w:rPr>
      </w:pPr>
      <w:r>
        <w:rPr>
          <w:rFonts w:hint="eastAsia"/>
          <w:color w:val="auto"/>
          <w:highlight w:val="none"/>
        </w:rPr>
        <w:t xml:space="preserve">签字(签章)：                 公章：               日期：    </w:t>
      </w:r>
      <w:r/>
    </w:p>
    <w:p>
      <w:pPr>
        <w:pStyle w:val="905"/>
        <w:jc w:val="both"/>
        <w:spacing w:beforeAutospacing="0" w:afterAutospacing="0" w:line="0" w:lineRule="atLeast"/>
        <w:rPr>
          <w:rFonts w:hint="eastAsia"/>
          <w:color w:val="auto"/>
          <w:highlight w:val="none"/>
        </w:rPr>
      </w:pPr>
      <w:r>
        <w:rPr>
          <w:rFonts w:hint="eastAsia"/>
          <w:b/>
          <w:color w:val="auto"/>
          <w:highlight w:val="none"/>
        </w:rPr>
        <w:t xml:space="preserve">质疑函制作说明：</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1.供应商提出质疑时，应提交质疑函和必要的证明材料。</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3.质疑供应商若对项目的某一分包进行质疑，质疑函中应列明具体分包号。</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4.质疑函的质疑事项应具体、明确，并有必要的事实依据和法律依据。</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5.质疑函的质疑请求应与质疑事项相关。</w:t>
      </w:r>
      <w:r/>
    </w:p>
    <w:p>
      <w:pPr>
        <w:pStyle w:val="905"/>
        <w:ind w:firstLine="480"/>
        <w:spacing w:beforeAutospacing="0" w:afterAutospacing="0" w:line="0" w:lineRule="atLeast"/>
        <w:rPr>
          <w:rFonts w:hint="eastAsia"/>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5"/>
        <w:spacing w:beforeAutospacing="0" w:afterAutospacing="0"/>
        <w:rPr>
          <w:rFonts w:hint="eastAsia"/>
          <w:color w:val="auto"/>
          <w:highlight w:val="none"/>
        </w:rPr>
      </w:pPr>
      <w:r>
        <w:rPr>
          <w:rFonts w:hint="eastAsia"/>
          <w:color w:val="auto"/>
          <w:highlight w:val="none"/>
        </w:rPr>
      </w:r>
      <w:r/>
    </w:p>
    <w:p>
      <w:pPr>
        <w:spacing w:line="500" w:lineRule="exact"/>
        <w:widowControl/>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方正魏碑_GBK">
    <w:panose1 w:val="020B0503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6 Char"/>
    <w:basedOn w:val="871"/>
    <w:link w:val="867"/>
    <w:uiPriority w:val="9"/>
    <w:rPr>
      <w:rFonts w:ascii="Arial" w:hAnsi="Arial" w:eastAsia="Arial" w:cs="Arial"/>
      <w:b/>
      <w:bCs/>
      <w:sz w:val="22"/>
      <w:szCs w:val="22"/>
    </w:rPr>
  </w:style>
  <w:style w:type="character" w:styleId="833">
    <w:name w:val="Heading 7 Char"/>
    <w:basedOn w:val="871"/>
    <w:link w:val="868"/>
    <w:uiPriority w:val="9"/>
    <w:rPr>
      <w:rFonts w:ascii="Arial" w:hAnsi="Arial" w:eastAsia="Arial" w:cs="Arial"/>
      <w:b/>
      <w:bCs/>
      <w:i/>
      <w:iCs/>
      <w:sz w:val="22"/>
      <w:szCs w:val="22"/>
    </w:rPr>
  </w:style>
  <w:style w:type="character" w:styleId="834">
    <w:name w:val="Heading 8 Char"/>
    <w:basedOn w:val="871"/>
    <w:link w:val="869"/>
    <w:uiPriority w:val="9"/>
    <w:rPr>
      <w:rFonts w:ascii="Arial" w:hAnsi="Arial" w:eastAsia="Arial" w:cs="Arial"/>
      <w:i/>
      <w:iCs/>
      <w:sz w:val="22"/>
      <w:szCs w:val="22"/>
    </w:rPr>
  </w:style>
  <w:style w:type="character" w:styleId="835">
    <w:name w:val="Heading 9 Char"/>
    <w:basedOn w:val="871"/>
    <w:link w:val="870"/>
    <w:uiPriority w:val="9"/>
    <w:rPr>
      <w:rFonts w:ascii="Arial" w:hAnsi="Arial" w:eastAsia="Arial" w:cs="Arial"/>
      <w:i/>
      <w:iCs/>
      <w:sz w:val="21"/>
      <w:szCs w:val="21"/>
    </w:rPr>
  </w:style>
  <w:style w:type="character" w:styleId="836">
    <w:name w:val="Subtitle Char"/>
    <w:basedOn w:val="871"/>
    <w:link w:val="895"/>
    <w:uiPriority w:val="11"/>
    <w:rPr>
      <w:sz w:val="24"/>
      <w:szCs w:val="24"/>
    </w:rPr>
  </w:style>
  <w:style w:type="character" w:styleId="837">
    <w:name w:val="Quote Char"/>
    <w:link w:val="933"/>
    <w:uiPriority w:val="29"/>
    <w:rPr>
      <w:i/>
    </w:rPr>
  </w:style>
  <w:style w:type="character" w:styleId="838">
    <w:name w:val="Intense Quote Char"/>
    <w:link w:val="935"/>
    <w:uiPriority w:val="30"/>
    <w:rPr>
      <w:i/>
    </w:rPr>
  </w:style>
  <w:style w:type="table" w:styleId="83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8">
    <w:name w:val="Footnote Text Char"/>
    <w:link w:val="896"/>
    <w:uiPriority w:val="99"/>
    <w:rPr>
      <w:sz w:val="18"/>
    </w:rPr>
  </w:style>
  <w:style w:type="character" w:styleId="859">
    <w:name w:val="Endnote Text Char"/>
    <w:link w:val="888"/>
    <w:uiPriority w:val="99"/>
    <w:rPr>
      <w:sz w:val="20"/>
    </w:rPr>
  </w:style>
  <w:style w:type="paragraph" w:styleId="860">
    <w:name w:val="TOC Heading"/>
    <w:uiPriority w:val="39"/>
    <w:unhideWhenUsed/>
  </w:style>
  <w:style w:type="paragraph" w:styleId="86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2">
    <w:name w:val="Heading 1"/>
    <w:basedOn w:val="861"/>
    <w:next w:val="861"/>
    <w:link w:val="1113"/>
    <w:uiPriority w:val="0"/>
    <w:qFormat/>
    <w:pPr>
      <w:keepNext/>
      <w:outlineLvl w:val="0"/>
    </w:pPr>
    <w:rPr>
      <w:rFonts w:ascii="楷体_GB2312" w:eastAsia="楷体_GB2312"/>
      <w:sz w:val="28"/>
      <w:szCs w:val="20"/>
    </w:rPr>
  </w:style>
  <w:style w:type="paragraph" w:styleId="863">
    <w:name w:val="Heading 2"/>
    <w:basedOn w:val="861"/>
    <w:next w:val="861"/>
    <w:link w:val="1114"/>
    <w:uiPriority w:val="0"/>
    <w:qFormat/>
    <w:pPr>
      <w:jc w:val="center"/>
      <w:keepLines/>
      <w:keepNext/>
      <w:spacing w:before="260" w:after="260" w:line="416" w:lineRule="auto"/>
      <w:outlineLvl w:val="1"/>
    </w:pPr>
    <w:rPr>
      <w:rFonts w:ascii="Arial" w:hAnsi="Arial" w:eastAsia="幼圆"/>
      <w:b/>
      <w:sz w:val="44"/>
      <w:szCs w:val="20"/>
    </w:rPr>
  </w:style>
  <w:style w:type="paragraph" w:styleId="864">
    <w:name w:val="Heading 3"/>
    <w:basedOn w:val="861"/>
    <w:next w:val="861"/>
    <w:uiPriority w:val="0"/>
    <w:qFormat/>
    <w:pPr>
      <w:keepLines/>
      <w:keepNext/>
      <w:spacing w:before="260" w:after="260" w:line="416" w:lineRule="auto"/>
      <w:outlineLvl w:val="2"/>
    </w:pPr>
    <w:rPr>
      <w:b/>
      <w:sz w:val="32"/>
      <w:szCs w:val="20"/>
    </w:rPr>
  </w:style>
  <w:style w:type="paragraph" w:styleId="865">
    <w:name w:val="Heading 4"/>
    <w:basedOn w:val="861"/>
    <w:next w:val="861"/>
    <w:uiPriority w:val="0"/>
    <w:qFormat/>
    <w:pPr>
      <w:keepLines/>
      <w:keepNext/>
      <w:spacing w:before="280" w:after="290" w:line="376" w:lineRule="auto"/>
      <w:outlineLvl w:val="3"/>
    </w:pPr>
    <w:rPr>
      <w:rFonts w:ascii="Arial" w:hAnsi="Arial" w:eastAsia="黑体"/>
      <w:b/>
      <w:bCs/>
      <w:sz w:val="28"/>
      <w:szCs w:val="28"/>
    </w:rPr>
  </w:style>
  <w:style w:type="paragraph" w:styleId="866">
    <w:name w:val="Heading 5"/>
    <w:basedOn w:val="861"/>
    <w:next w:val="861"/>
    <w:uiPriority w:val="0"/>
    <w:qFormat/>
    <w:pPr>
      <w:keepNext/>
      <w:outlineLvl w:val="4"/>
    </w:pPr>
    <w:rPr>
      <w:rFonts w:ascii="宋体" w:hAnsi="宋体"/>
      <w:b/>
      <w:bCs/>
    </w:rPr>
  </w:style>
  <w:style w:type="paragraph" w:styleId="867">
    <w:name w:val="Heading 6"/>
    <w:basedOn w:val="861"/>
    <w:next w:val="861"/>
    <w:link w:val="926"/>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8"/>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29"/>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0"/>
    <w:semiHidden/>
    <w:qFormat/>
    <w:pPr>
      <w:ind w:left="2520"/>
    </w:pPr>
  </w:style>
  <w:style w:type="paragraph" w:styleId="874">
    <w:name w:val="Normal Indent"/>
    <w:basedOn w:val="861"/>
    <w:link w:val="1115"/>
    <w:uiPriority w:val="0"/>
    <w:qFormat/>
    <w:pPr>
      <w:ind w:firstLine="420"/>
    </w:pPr>
    <w:rPr>
      <w:szCs w:val="20"/>
    </w:rPr>
  </w:style>
  <w:style w:type="paragraph" w:styleId="875">
    <w:name w:val="Caption"/>
    <w:basedOn w:val="861"/>
    <w:next w:val="8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Document Map"/>
    <w:basedOn w:val="861"/>
    <w:uiPriority w:val="0"/>
    <w:semiHidden/>
    <w:qFormat/>
    <w:pPr>
      <w:shd w:val="clear" w:color="auto" w:fill="000080"/>
    </w:pPr>
  </w:style>
  <w:style w:type="paragraph" w:styleId="877">
    <w:name w:val="annotation text"/>
    <w:basedOn w:val="861"/>
    <w:link w:val="1116"/>
    <w:uiPriority w:val="99"/>
    <w:qFormat/>
    <w:pPr>
      <w:jc w:val="left"/>
    </w:pPr>
  </w:style>
  <w:style w:type="paragraph" w:styleId="878">
    <w:name w:val="Body Text 3"/>
    <w:basedOn w:val="861"/>
    <w:uiPriority w:val="0"/>
    <w:qFormat/>
    <w:rPr>
      <w:rFonts w:ascii="仿宋_GB2312" w:hAnsi="Arial" w:eastAsia="仿宋_GB2312"/>
      <w:sz w:val="32"/>
      <w:szCs w:val="20"/>
    </w:rPr>
  </w:style>
  <w:style w:type="paragraph" w:styleId="879">
    <w:name w:val="Body Text"/>
    <w:basedOn w:val="861"/>
    <w:link w:val="1117"/>
    <w:uiPriority w:val="0"/>
    <w:qFormat/>
    <w:rPr>
      <w:rFonts w:ascii="楷体_GB2312" w:hAnsi="Arial" w:eastAsia="楷体_GB2312"/>
      <w:sz w:val="28"/>
      <w:szCs w:val="20"/>
    </w:rPr>
  </w:style>
  <w:style w:type="paragraph" w:styleId="880">
    <w:name w:val="Body Text Indent"/>
    <w:basedOn w:val="861"/>
    <w:uiPriority w:val="0"/>
    <w:qFormat/>
    <w:pPr>
      <w:ind w:firstLine="645"/>
    </w:pPr>
    <w:rPr>
      <w:rFonts w:ascii="楷体_GB2312" w:eastAsia="楷体_GB2312"/>
      <w:sz w:val="32"/>
      <w:szCs w:val="20"/>
    </w:rPr>
  </w:style>
  <w:style w:type="paragraph" w:styleId="881">
    <w:name w:val="Block Text"/>
    <w:basedOn w:val="861"/>
    <w:uiPriority w:val="99"/>
    <w:unhideWhenUsed/>
    <w:qFormat/>
    <w:pPr>
      <w:ind w:left="1440" w:right="1440"/>
      <w:spacing w:after="120"/>
    </w:pPr>
  </w:style>
  <w:style w:type="paragraph" w:styleId="882">
    <w:name w:val="toc 5"/>
    <w:basedOn w:val="861"/>
    <w:next w:val="861"/>
    <w:uiPriority w:val="0"/>
    <w:semiHidden/>
    <w:qFormat/>
    <w:pPr>
      <w:ind w:left="1680"/>
    </w:pPr>
  </w:style>
  <w:style w:type="paragraph" w:styleId="883">
    <w:name w:val="toc 3"/>
    <w:basedOn w:val="861"/>
    <w:next w:val="861"/>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84">
    <w:name w:val="Plain Text"/>
    <w:basedOn w:val="861"/>
    <w:link w:val="1107"/>
    <w:uiPriority w:val="0"/>
    <w:qFormat/>
    <w:rPr>
      <w:rFonts w:ascii="宋体" w:hAnsi="Courier New"/>
      <w:szCs w:val="20"/>
    </w:rPr>
  </w:style>
  <w:style w:type="paragraph" w:styleId="885">
    <w:name w:val="toc 8"/>
    <w:basedOn w:val="861"/>
    <w:next w:val="861"/>
    <w:uiPriority w:val="0"/>
    <w:semiHidden/>
    <w:qFormat/>
    <w:pPr>
      <w:ind w:left="2940"/>
    </w:pPr>
  </w:style>
  <w:style w:type="paragraph" w:styleId="886">
    <w:name w:val="Date"/>
    <w:basedOn w:val="861"/>
    <w:next w:val="861"/>
    <w:link w:val="1118"/>
    <w:uiPriority w:val="0"/>
    <w:qFormat/>
    <w:rPr>
      <w:sz w:val="24"/>
      <w:szCs w:val="20"/>
    </w:rPr>
  </w:style>
  <w:style w:type="paragraph" w:styleId="887">
    <w:name w:val="Body Text Indent 2"/>
    <w:basedOn w:val="861"/>
    <w:uiPriority w:val="0"/>
    <w:qFormat/>
    <w:pPr>
      <w:ind w:firstLine="560"/>
    </w:pPr>
    <w:rPr>
      <w:rFonts w:ascii="宋体" w:hAnsi="宋体"/>
      <w:sz w:val="28"/>
    </w:rPr>
  </w:style>
  <w:style w:type="paragraph" w:styleId="888">
    <w:name w:val="endnote text"/>
    <w:basedOn w:val="861"/>
    <w:link w:val="1066"/>
    <w:uiPriority w:val="99"/>
    <w:semiHidden/>
    <w:unhideWhenUsed/>
    <w:qFormat/>
    <w:rPr>
      <w:sz w:val="20"/>
    </w:rPr>
  </w:style>
  <w:style w:type="paragraph" w:styleId="889">
    <w:name w:val="Balloon Text"/>
    <w:basedOn w:val="861"/>
    <w:uiPriority w:val="0"/>
    <w:semiHidden/>
    <w:qFormat/>
    <w:rPr>
      <w:sz w:val="18"/>
      <w:szCs w:val="18"/>
    </w:rPr>
  </w:style>
  <w:style w:type="paragraph" w:styleId="890">
    <w:name w:val="Footer"/>
    <w:basedOn w:val="861"/>
    <w:uiPriority w:val="0"/>
    <w:qFormat/>
    <w:pPr>
      <w:jc w:val="left"/>
      <w:tabs>
        <w:tab w:val="center" w:pos="4153" w:leader="none"/>
        <w:tab w:val="right" w:pos="8306" w:leader="none"/>
      </w:tabs>
    </w:pPr>
    <w:rPr>
      <w:sz w:val="18"/>
      <w:szCs w:val="20"/>
    </w:rPr>
  </w:style>
  <w:style w:type="paragraph" w:styleId="891">
    <w:name w:val="envelope return"/>
    <w:basedOn w:val="861"/>
    <w:uiPriority w:val="0"/>
    <w:qFormat/>
    <w:rPr>
      <w:rFonts w:ascii="Arial" w:hAnsi="Arial"/>
    </w:rPr>
  </w:style>
  <w:style w:type="paragraph" w:styleId="892">
    <w:name w:val="Header"/>
    <w:basedOn w:val="861"/>
    <w:link w:val="1119"/>
    <w:uiPriority w:val="99"/>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1"/>
    <w:next w:val="861"/>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94">
    <w:name w:val="toc 4"/>
    <w:basedOn w:val="861"/>
    <w:next w:val="861"/>
    <w:uiPriority w:val="0"/>
    <w:semiHidden/>
    <w:qFormat/>
    <w:pPr>
      <w:ind w:left="1260"/>
    </w:pPr>
  </w:style>
  <w:style w:type="paragraph" w:styleId="895">
    <w:name w:val="Subtitle"/>
    <w:basedOn w:val="861"/>
    <w:next w:val="861"/>
    <w:link w:val="932"/>
    <w:uiPriority w:val="11"/>
    <w:qFormat/>
    <w:pPr>
      <w:spacing w:before="200" w:after="200"/>
    </w:pPr>
    <w:rPr>
      <w:sz w:val="24"/>
    </w:rPr>
  </w:style>
  <w:style w:type="paragraph" w:styleId="896">
    <w:name w:val="footnote text"/>
    <w:basedOn w:val="861"/>
    <w:link w:val="1065"/>
    <w:uiPriority w:val="99"/>
    <w:semiHidden/>
    <w:unhideWhenUsed/>
    <w:qFormat/>
    <w:pPr>
      <w:spacing w:after="40"/>
    </w:pPr>
    <w:rPr>
      <w:sz w:val="18"/>
    </w:rPr>
  </w:style>
  <w:style w:type="paragraph" w:styleId="897">
    <w:name w:val="toc 6"/>
    <w:basedOn w:val="861"/>
    <w:next w:val="861"/>
    <w:uiPriority w:val="0"/>
    <w:semiHidden/>
    <w:qFormat/>
    <w:pPr>
      <w:ind w:left="2100"/>
    </w:pPr>
  </w:style>
  <w:style w:type="paragraph" w:styleId="898">
    <w:name w:val="Body Text Indent 3"/>
    <w:basedOn w:val="861"/>
    <w:uiPriority w:val="0"/>
    <w:qFormat/>
    <w:pPr>
      <w:ind w:firstLine="523"/>
    </w:pPr>
    <w:rPr>
      <w:rFonts w:ascii="仿宋_GB2312" w:hAnsi="宋体" w:eastAsia="仿宋_GB2312"/>
      <w:sz w:val="24"/>
    </w:rPr>
  </w:style>
  <w:style w:type="paragraph" w:styleId="899">
    <w:name w:val="table of figures"/>
    <w:basedOn w:val="861"/>
    <w:next w:val="861"/>
    <w:uiPriority w:val="99"/>
    <w:unhideWhenUsed/>
    <w:qFormat/>
  </w:style>
  <w:style w:type="paragraph" w:styleId="900">
    <w:name w:val="toc 2"/>
    <w:basedOn w:val="861"/>
    <w:next w:val="861"/>
    <w:uiPriority w:val="0"/>
    <w:semiHidden/>
    <w:qFormat/>
    <w:pPr>
      <w:jc w:val="left"/>
      <w:spacing w:line="260" w:lineRule="exact"/>
      <w:tabs>
        <w:tab w:val="right" w:pos="9440" w:leader="dot"/>
      </w:tabs>
    </w:pPr>
    <w:rPr>
      <w:rFonts w:ascii="黑体" w:eastAsia="黑体"/>
      <w:b/>
      <w:bCs/>
      <w:smallCaps/>
      <w:sz w:val="18"/>
      <w:szCs w:val="44"/>
    </w:rPr>
  </w:style>
  <w:style w:type="paragraph" w:styleId="901">
    <w:name w:val="toc 9"/>
    <w:basedOn w:val="861"/>
    <w:next w:val="861"/>
    <w:uiPriority w:val="0"/>
    <w:semiHidden/>
    <w:qFormat/>
    <w:pPr>
      <w:ind w:left="3360"/>
    </w:pPr>
  </w:style>
  <w:style w:type="paragraph" w:styleId="902">
    <w:name w:val="Body Text 2"/>
    <w:basedOn w:val="861"/>
    <w:uiPriority w:val="0"/>
    <w:qFormat/>
    <w:pPr>
      <w:jc w:val="center"/>
    </w:pPr>
    <w:rPr>
      <w:rFonts w:ascii="仿宋_GB2312" w:eastAsia="仿宋_GB2312"/>
      <w:sz w:val="44"/>
    </w:rPr>
  </w:style>
  <w:style w:type="paragraph" w:styleId="903">
    <w:name w:val="List Continue 2"/>
    <w:next w:val="861"/>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904">
    <w:name w:val="HTML Preformatted"/>
    <w:basedOn w:val="861"/>
    <w:link w:val="11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5">
    <w:name w:val="Normal (Web)"/>
    <w:basedOn w:val="861"/>
    <w:link w:val="1104"/>
    <w:uiPriority w:val="99"/>
    <w:unhideWhenUsed/>
    <w:qFormat/>
    <w:pPr>
      <w:jc w:val="left"/>
      <w:spacing w:before="100" w:beforeAutospacing="1" w:after="100" w:afterAutospacing="1"/>
      <w:widowControl/>
    </w:pPr>
    <w:rPr>
      <w:rFonts w:ascii="宋体" w:hAnsi="宋体"/>
      <w:sz w:val="24"/>
    </w:rPr>
  </w:style>
  <w:style w:type="paragraph" w:styleId="906">
    <w:name w:val="index 1"/>
    <w:basedOn w:val="861"/>
    <w:next w:val="861"/>
    <w:uiPriority w:val="0"/>
    <w:semiHidden/>
    <w:qFormat/>
    <w:rPr>
      <w:rFonts w:ascii="宋体" w:hAnsi="宋体"/>
      <w:szCs w:val="18"/>
    </w:rPr>
  </w:style>
  <w:style w:type="paragraph" w:styleId="907">
    <w:name w:val="Title"/>
    <w:basedOn w:val="861"/>
    <w:next w:val="861"/>
    <w:link w:val="1121"/>
    <w:uiPriority w:val="0"/>
    <w:qFormat/>
    <w:pPr>
      <w:jc w:val="center"/>
      <w:spacing w:before="240" w:after="60"/>
      <w:outlineLvl w:val="0"/>
    </w:pPr>
    <w:rPr>
      <w:rFonts w:ascii="Cambria" w:hAnsi="Cambria"/>
      <w:b/>
      <w:bCs/>
      <w:sz w:val="32"/>
      <w:szCs w:val="32"/>
    </w:rPr>
  </w:style>
  <w:style w:type="paragraph" w:styleId="908">
    <w:name w:val="annotation subject"/>
    <w:basedOn w:val="877"/>
    <w:next w:val="877"/>
    <w:link w:val="1105"/>
    <w:uiPriority w:val="0"/>
    <w:qFormat/>
    <w:rPr>
      <w:b/>
      <w:bCs/>
    </w:rPr>
  </w:style>
  <w:style w:type="paragraph" w:styleId="909">
    <w:name w:val="Body Text First Indent"/>
    <w:basedOn w:val="879"/>
    <w:next w:val="897"/>
    <w:uiPriority w:val="99"/>
    <w:qFormat/>
    <w:pPr>
      <w:ind w:firstLine="200"/>
      <w:spacing w:line="360" w:lineRule="auto"/>
    </w:pPr>
    <w:rPr>
      <w:rFonts w:ascii="仿宋_GB2312" w:eastAsia="仿宋_GB2312"/>
      <w:sz w:val="30"/>
      <w:szCs w:val="30"/>
    </w:rPr>
  </w:style>
  <w:style w:type="paragraph" w:styleId="910">
    <w:name w:val="Body Text First Indent 2"/>
    <w:basedOn w:val="880"/>
    <w:uiPriority w:val="0"/>
    <w:qFormat/>
    <w:pPr>
      <w:ind w:firstLine="420"/>
      <w:spacing w:line="360" w:lineRule="auto"/>
    </w:pPr>
    <w:rPr>
      <w:rFonts w:ascii="宋体" w:hAnsi="宋体" w:eastAsia="宋体"/>
      <w:sz w:val="21"/>
    </w:rPr>
  </w:style>
  <w:style w:type="table" w:styleId="911">
    <w:name w:val="Table Grid"/>
    <w:basedOn w:val="8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0"/>
    <w:qFormat/>
    <w:rPr>
      <w:b/>
      <w:bCs/>
    </w:rPr>
  </w:style>
  <w:style w:type="character" w:styleId="913">
    <w:name w:val="endnote reference"/>
    <w:basedOn w:val="871"/>
    <w:uiPriority w:val="99"/>
    <w:semiHidden/>
    <w:unhideWhenUsed/>
    <w:qFormat/>
    <w:rPr>
      <w:vertAlign w:val="superscript"/>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i/>
    </w:rPr>
  </w:style>
  <w:style w:type="character" w:styleId="917">
    <w:name w:val="Hyperlink"/>
    <w:uiPriority w:val="0"/>
    <w:qFormat/>
    <w:rPr>
      <w:color w:val="0000ff"/>
      <w:u w:val="single"/>
    </w:rPr>
  </w:style>
  <w:style w:type="character" w:styleId="918">
    <w:name w:val="annotation reference"/>
    <w:uiPriority w:val="99"/>
    <w:qFormat/>
    <w:rPr>
      <w:sz w:val="21"/>
      <w:szCs w:val="21"/>
    </w:rPr>
  </w:style>
  <w:style w:type="character" w:styleId="919">
    <w:name w:val="footnote reference"/>
    <w:basedOn w:val="871"/>
    <w:uiPriority w:val="99"/>
    <w:unhideWhenUsed/>
    <w:qFormat/>
    <w:rPr>
      <w:vertAlign w:val="superscript"/>
    </w:rPr>
  </w:style>
  <w:style w:type="paragraph" w:styleId="920"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921" w:customStyle="1">
    <w:name w:val="Heading 1 Char"/>
    <w:basedOn w:val="871"/>
    <w:uiPriority w:val="9"/>
    <w:qFormat/>
    <w:rPr>
      <w:rFonts w:ascii="Arial" w:hAnsi="Arial" w:eastAsia="Arial" w:cs="Arial"/>
      <w:sz w:val="40"/>
      <w:szCs w:val="40"/>
    </w:rPr>
  </w:style>
  <w:style w:type="character" w:styleId="922" w:customStyle="1">
    <w:name w:val="Heading 2 Char"/>
    <w:basedOn w:val="871"/>
    <w:uiPriority w:val="9"/>
    <w:qFormat/>
    <w:rPr>
      <w:rFonts w:ascii="Arial" w:hAnsi="Arial" w:eastAsia="Arial" w:cs="Arial"/>
      <w:sz w:val="34"/>
    </w:rPr>
  </w:style>
  <w:style w:type="character" w:styleId="923" w:customStyle="1">
    <w:name w:val="Heading 3 Char"/>
    <w:basedOn w:val="871"/>
    <w:uiPriority w:val="9"/>
    <w:qFormat/>
    <w:rPr>
      <w:rFonts w:ascii="Arial" w:hAnsi="Arial" w:eastAsia="Arial" w:cs="Arial"/>
      <w:sz w:val="30"/>
      <w:szCs w:val="30"/>
    </w:rPr>
  </w:style>
  <w:style w:type="character" w:styleId="924" w:customStyle="1">
    <w:name w:val="Heading 4 Char"/>
    <w:basedOn w:val="871"/>
    <w:uiPriority w:val="9"/>
    <w:qFormat/>
    <w:rPr>
      <w:rFonts w:ascii="Arial" w:hAnsi="Arial" w:eastAsia="Arial" w:cs="Arial"/>
      <w:b/>
      <w:bCs/>
      <w:sz w:val="26"/>
      <w:szCs w:val="26"/>
    </w:rPr>
  </w:style>
  <w:style w:type="character" w:styleId="925" w:customStyle="1">
    <w:name w:val="Heading 5 Char"/>
    <w:basedOn w:val="871"/>
    <w:uiPriority w:val="9"/>
    <w:qFormat/>
    <w:rPr>
      <w:rFonts w:ascii="Arial" w:hAnsi="Arial" w:eastAsia="Arial" w:cs="Arial"/>
      <w:b/>
      <w:bCs/>
      <w:sz w:val="24"/>
      <w:szCs w:val="24"/>
    </w:rPr>
  </w:style>
  <w:style w:type="character" w:styleId="926" w:customStyle="1">
    <w:name w:val="标题 6 字符"/>
    <w:basedOn w:val="871"/>
    <w:link w:val="867"/>
    <w:uiPriority w:val="9"/>
    <w:qFormat/>
    <w:rPr>
      <w:rFonts w:ascii="Arial" w:hAnsi="Arial" w:eastAsia="Arial" w:cs="Arial"/>
      <w:b/>
      <w:bCs/>
      <w:sz w:val="22"/>
      <w:szCs w:val="22"/>
    </w:rPr>
  </w:style>
  <w:style w:type="character" w:styleId="927" w:customStyle="1">
    <w:name w:val="标题 7 字符"/>
    <w:basedOn w:val="871"/>
    <w:link w:val="868"/>
    <w:uiPriority w:val="9"/>
    <w:qFormat/>
    <w:rPr>
      <w:rFonts w:ascii="Arial" w:hAnsi="Arial" w:eastAsia="Arial" w:cs="Arial"/>
      <w:b/>
      <w:bCs/>
      <w:i/>
      <w:iCs/>
      <w:sz w:val="22"/>
      <w:szCs w:val="22"/>
    </w:rPr>
  </w:style>
  <w:style w:type="character" w:styleId="928" w:customStyle="1">
    <w:name w:val="标题 8 字符"/>
    <w:basedOn w:val="871"/>
    <w:link w:val="869"/>
    <w:uiPriority w:val="9"/>
    <w:qFormat/>
    <w:rPr>
      <w:rFonts w:ascii="Arial" w:hAnsi="Arial" w:eastAsia="Arial" w:cs="Arial"/>
      <w:i/>
      <w:iCs/>
      <w:sz w:val="22"/>
      <w:szCs w:val="22"/>
    </w:rPr>
  </w:style>
  <w:style w:type="character" w:styleId="929" w:customStyle="1">
    <w:name w:val="标题 9 字符"/>
    <w:basedOn w:val="871"/>
    <w:link w:val="870"/>
    <w:uiPriority w:val="9"/>
    <w:qFormat/>
    <w:rPr>
      <w:rFonts w:ascii="Arial" w:hAnsi="Arial" w:eastAsia="Arial" w:cs="Arial"/>
      <w:i/>
      <w:iCs/>
      <w:sz w:val="21"/>
      <w:szCs w:val="21"/>
    </w:rPr>
  </w:style>
  <w:style w:type="paragraph" w:styleId="930">
    <w:name w:val="No Spacing"/>
    <w:uiPriority w:val="1"/>
    <w:qFormat/>
    <w:rPr>
      <w:rFonts w:ascii="Times New Roman" w:hAnsi="Times New Roman" w:eastAsia="宋体" w:cs="Times New Roman"/>
      <w:lang w:val="en-US" w:eastAsia="zh-CN" w:bidi="ar-SA"/>
    </w:rPr>
  </w:style>
  <w:style w:type="character" w:styleId="931" w:customStyle="1">
    <w:name w:val="Title Char"/>
    <w:basedOn w:val="871"/>
    <w:uiPriority w:val="10"/>
    <w:qFormat/>
    <w:rPr>
      <w:sz w:val="48"/>
      <w:szCs w:val="48"/>
    </w:rPr>
  </w:style>
  <w:style w:type="character" w:styleId="932" w:customStyle="1">
    <w:name w:val="副标题 字符"/>
    <w:basedOn w:val="871"/>
    <w:link w:val="895"/>
    <w:uiPriority w:val="11"/>
    <w:qFormat/>
    <w:rPr>
      <w:sz w:val="24"/>
      <w:szCs w:val="24"/>
    </w:rPr>
  </w:style>
  <w:style w:type="paragraph" w:styleId="933">
    <w:name w:val="Quote"/>
    <w:basedOn w:val="861"/>
    <w:next w:val="861"/>
    <w:link w:val="934"/>
    <w:uiPriority w:val="29"/>
    <w:qFormat/>
    <w:pPr>
      <w:ind w:left="720" w:right="720"/>
    </w:pPr>
    <w:rPr>
      <w:i/>
    </w:rPr>
  </w:style>
  <w:style w:type="character" w:styleId="934" w:customStyle="1">
    <w:name w:val="引用 字符"/>
    <w:link w:val="933"/>
    <w:uiPriority w:val="29"/>
    <w:qFormat/>
    <w:rPr>
      <w:i/>
    </w:rPr>
  </w:style>
  <w:style w:type="paragraph" w:styleId="935">
    <w:name w:val="Intense Quote"/>
    <w:basedOn w:val="861"/>
    <w:next w:val="861"/>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qFormat/>
    <w:rPr>
      <w:i/>
    </w:rPr>
  </w:style>
  <w:style w:type="character" w:styleId="937" w:customStyle="1">
    <w:name w:val="Header Char"/>
    <w:basedOn w:val="871"/>
    <w:uiPriority w:val="99"/>
    <w:qFormat/>
  </w:style>
  <w:style w:type="character" w:styleId="938" w:customStyle="1">
    <w:name w:val="Footer Char"/>
    <w:basedOn w:val="871"/>
    <w:uiPriority w:val="99"/>
    <w:qFormat/>
  </w:style>
  <w:style w:type="character" w:styleId="939" w:customStyle="1">
    <w:name w:val="Caption Char"/>
    <w:uiPriority w:val="99"/>
    <w:qFormat/>
  </w:style>
  <w:style w:type="table" w:styleId="940" w:customStyle="1">
    <w:name w:val="Table Grid Light"/>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1" w:customStyle="1">
    <w:name w:val="无格式表格 1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basedOn w:val="8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basedOn w:val="8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basedOn w:val="8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basedOn w:val="8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basedOn w:val="8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basedOn w:val="8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basedOn w:val="8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basedOn w:val="8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basedOn w:val="8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basedOn w:val="8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basedOn w:val="8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basedOn w:val="8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网格表 3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basedOn w:val="8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8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8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8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8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8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basedOn w:val="8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basedOn w:val="8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basedOn w:val="8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basedOn w:val="8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basedOn w:val="8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basedOn w:val="8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网格表 6 彩色1"/>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basedOn w:val="8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5" w:customStyle="1">
    <w:name w:val="Grid Table 6 Colorful - Accent 4"/>
    <w:basedOn w:val="8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basedOn w:val="8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网格表 7 彩色1"/>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basedOn w:val="8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8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8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8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8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8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清单表 1 浅色1"/>
    <w:basedOn w:val="8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basedOn w:val="87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87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87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87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87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87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清单表 21"/>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basedOn w:val="8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basedOn w:val="8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basedOn w:val="8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basedOn w:val="8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basedOn w:val="8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basedOn w:val="8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basedOn w:val="8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basedOn w:val="8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basedOn w:val="8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basedOn w:val="8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basedOn w:val="8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basedOn w:val="8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basedOn w:val="8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basedOn w:val="8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basedOn w:val="8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basedOn w:val="8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basedOn w:val="8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basedOn w:val="8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清单表 5 深色1"/>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basedOn w:val="8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basedOn w:val="8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basedOn w:val="8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basedOn w:val="8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basedOn w:val="8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basedOn w:val="8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清单表 6 彩色1"/>
    <w:basedOn w:val="8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basedOn w:val="87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basedOn w:val="87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basedOn w:val="87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basedOn w:val="87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basedOn w:val="87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basedOn w:val="87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清单表 7 彩色1"/>
    <w:basedOn w:val="8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basedOn w:val="87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7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7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7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7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7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脚注文本 字符"/>
    <w:link w:val="896"/>
    <w:uiPriority w:val="99"/>
    <w:qFormat/>
    <w:rPr>
      <w:sz w:val="18"/>
    </w:rPr>
  </w:style>
  <w:style w:type="character" w:styleId="1066" w:customStyle="1">
    <w:name w:val="尾注文本 字符"/>
    <w:link w:val="888"/>
    <w:uiPriority w:val="99"/>
    <w:qFormat/>
    <w:rPr>
      <w:sz w:val="20"/>
    </w:rPr>
  </w:style>
  <w:style w:type="paragraph" w:styleId="1067" w:customStyle="1">
    <w:name w:val="TOC 标题1"/>
    <w:uiPriority w:val="39"/>
    <w:unhideWhenUsed/>
    <w:qFormat/>
    <w:rPr>
      <w:rFonts w:ascii="Times New Roman" w:hAnsi="Times New Roman" w:eastAsia="宋体" w:cs="Times New Roman"/>
      <w:lang w:val="en-US" w:eastAsia="zh-CN" w:bidi="ar-SA"/>
    </w:rPr>
  </w:style>
  <w:style w:type="paragraph" w:styleId="1068" w:customStyle="1">
    <w:name w:val="正文首行缩进 21"/>
    <w:basedOn w:val="1069"/>
    <w:next w:val="1071"/>
    <w:uiPriority w:val="99"/>
    <w:unhideWhenUsed/>
    <w:qFormat/>
    <w:pPr>
      <w:ind w:firstLine="420"/>
    </w:pPr>
  </w:style>
  <w:style w:type="paragraph" w:styleId="1069" w:customStyle="1">
    <w:name w:val="正文文本缩进1"/>
    <w:basedOn w:val="861"/>
    <w:next w:val="1070"/>
    <w:uiPriority w:val="0"/>
    <w:unhideWhenUsed/>
    <w:qFormat/>
    <w:pPr>
      <w:ind w:left="420"/>
      <w:spacing w:after="120"/>
    </w:pPr>
    <w:rPr>
      <w:rFonts w:ascii="Times New Roman" w:hAnsi="Times New Roman"/>
      <w:sz w:val="20"/>
    </w:rPr>
  </w:style>
  <w:style w:type="paragraph" w:styleId="1070" w:customStyle="1">
    <w:name w:val="寄信人地址1"/>
    <w:basedOn w:val="861"/>
    <w:uiPriority w:val="0"/>
    <w:qFormat/>
    <w:rPr>
      <w:rFonts w:ascii="Arial" w:hAnsi="Arial"/>
    </w:rPr>
  </w:style>
  <w:style w:type="paragraph" w:styleId="1071" w:customStyle="1">
    <w:name w:val="正文缩进1"/>
    <w:basedOn w:val="861"/>
    <w:uiPriority w:val="0"/>
    <w:qFormat/>
    <w:pPr>
      <w:ind w:firstLine="420"/>
    </w:pPr>
    <w:rPr>
      <w:rFonts w:ascii="Times New Roman" w:hAnsi="Times New Roman"/>
      <w:sz w:val="20"/>
      <w:szCs w:val="20"/>
    </w:rPr>
  </w:style>
  <w:style w:type="paragraph" w:styleId="1072" w:customStyle="1">
    <w:name w:val="Coms Alinea"/>
    <w:uiPriority w:val="0"/>
    <w:qFormat/>
    <w:pPr>
      <w:widowControl w:val="off"/>
    </w:pPr>
    <w:rPr>
      <w:rFonts w:ascii="Arial" w:hAnsi="Arial" w:eastAsia="宋体" w:cs="Arial"/>
      <w:lang w:val="en-US" w:eastAsia="zh-CN" w:bidi="ar-SA"/>
    </w:rPr>
  </w:style>
  <w:style w:type="paragraph" w:styleId="1073" w:customStyle="1">
    <w:name w:val="表格"/>
    <w:basedOn w:val="861"/>
    <w:uiPriority w:val="0"/>
    <w:qFormat/>
    <w:rPr>
      <w:rFonts w:ascii="华文细黑" w:hAnsi="华文细黑" w:eastAsia="华文细黑"/>
    </w:rPr>
  </w:style>
  <w:style w:type="paragraph" w:styleId="107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 1.1.1"/>
    <w:basedOn w:val="861"/>
    <w:next w:val="861"/>
    <w:uiPriority w:val="0"/>
    <w:qFormat/>
    <w:pPr>
      <w:spacing w:line="360" w:lineRule="auto"/>
      <w:tabs>
        <w:tab w:val="left" w:pos="851" w:leader="none"/>
      </w:tabs>
      <w:outlineLvl w:val="2"/>
    </w:pPr>
    <w:rPr>
      <w:rFonts w:ascii="宋体" w:hAnsi="宋体"/>
      <w:color w:val="000000"/>
      <w:sz w:val="28"/>
      <w:szCs w:val="21"/>
    </w:rPr>
  </w:style>
  <w:style w:type="paragraph" w:styleId="1076" w:customStyle="1">
    <w:name w:val="列出段落1"/>
    <w:basedOn w:val="861"/>
    <w:link w:val="1122"/>
    <w:uiPriority w:val="0"/>
    <w:qFormat/>
    <w:pPr>
      <w:contextualSpacing/>
      <w:ind w:left="720"/>
      <w:jc w:val="left"/>
      <w:widowControl/>
    </w:pPr>
    <w:rPr>
      <w:sz w:val="24"/>
      <w:lang w:eastAsia="en-US" w:bidi="en-US"/>
    </w:rPr>
  </w:style>
  <w:style w:type="paragraph" w:styleId="1077" w:customStyle="1">
    <w:name w:val="HTML 预先格式化"/>
    <w:basedOn w:val="8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8" w:customStyle="1">
    <w:name w:val="_Style 57"/>
    <w:uiPriority w:val="99"/>
    <w:semiHidden/>
    <w:qFormat/>
    <w:rPr>
      <w:rFonts w:ascii="Calibri" w:hAnsi="Calibri" w:eastAsia="宋体" w:cs="Times New Roman"/>
      <w:sz w:val="21"/>
      <w:szCs w:val="24"/>
      <w:lang w:val="en-US" w:eastAsia="zh-CN" w:bidi="ar-SA"/>
    </w:rPr>
  </w:style>
  <w:style w:type="paragraph" w:styleId="1079" w:customStyle="1">
    <w:name w:val="标题3"/>
    <w:basedOn w:val="861"/>
    <w:next w:val="861"/>
    <w:uiPriority w:val="0"/>
    <w:qFormat/>
    <w:rPr>
      <w:rFonts w:eastAsia="方正黑体_GBK"/>
    </w:rPr>
  </w:style>
  <w:style w:type="paragraph" w:styleId="1080" w:customStyle="1">
    <w:name w:val="列出段落_0"/>
    <w:basedOn w:val="1074"/>
    <w:uiPriority w:val="0"/>
    <w:qFormat/>
    <w:pPr>
      <w:ind w:firstLine="420"/>
    </w:pPr>
  </w:style>
  <w:style w:type="paragraph" w:styleId="108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82" w:customStyle="1">
    <w:name w:val="正文空2格  1."/>
    <w:basedOn w:val="861"/>
    <w:uiPriority w:val="0"/>
    <w:qFormat/>
    <w:pPr>
      <w:ind w:firstLine="480"/>
      <w:spacing w:line="360" w:lineRule="auto"/>
    </w:pPr>
    <w:rPr>
      <w:rFonts w:ascii="宋体" w:eastAsia="仿宋" w:cs="宋体"/>
      <w:sz w:val="28"/>
      <w:szCs w:val="20"/>
    </w:rPr>
  </w:style>
  <w:style w:type="paragraph" w:styleId="1083" w:customStyle="1">
    <w:name w:val="标题2"/>
    <w:basedOn w:val="861"/>
    <w:next w:val="861"/>
    <w:uiPriority w:val="0"/>
    <w:qFormat/>
    <w:pPr>
      <w:jc w:val="center"/>
    </w:pPr>
    <w:rPr>
      <w:rFonts w:eastAsia="方正楷体_GBK"/>
    </w:rPr>
  </w:style>
  <w:style w:type="paragraph" w:styleId="108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85"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86" w:customStyle="1">
    <w:name w:val="正文 第一章"/>
    <w:basedOn w:val="861"/>
    <w:next w:val="108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87" w:customStyle="1">
    <w:name w:val="正文 1.1"/>
    <w:basedOn w:val="861"/>
    <w:next w:val="1075"/>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88" w:customStyle="1">
    <w:name w:val="_Style 64"/>
    <w:uiPriority w:val="99"/>
    <w:unhideWhenUsed/>
    <w:qFormat/>
    <w:rPr>
      <w:rFonts w:ascii="Calibri" w:hAnsi="Calibri" w:eastAsia="宋体" w:cs="Times New Roman"/>
      <w:sz w:val="21"/>
      <w:szCs w:val="24"/>
      <w:lang w:val="en-US" w:eastAsia="zh-CN" w:bidi="ar-SA"/>
    </w:rPr>
  </w:style>
  <w:style w:type="paragraph" w:styleId="1089" w:customStyle="1">
    <w:name w:val="Char Char Char Char1 Char Char"/>
    <w:basedOn w:val="861"/>
    <w:uiPriority w:val="0"/>
    <w:qFormat/>
    <w:pPr>
      <w:tabs>
        <w:tab w:val="left" w:pos="360" w:leader="none"/>
      </w:tabs>
    </w:pPr>
    <w:rPr>
      <w:sz w:val="24"/>
    </w:rPr>
  </w:style>
  <w:style w:type="paragraph" w:styleId="1090" w:customStyle="1">
    <w:name w:val="BioQuote Tekst"/>
    <w:basedOn w:val="861"/>
    <w:uiPriority w:val="0"/>
    <w:qFormat/>
    <w:pPr>
      <w:ind w:right="-1"/>
    </w:pPr>
    <w:rPr>
      <w:rFonts w:ascii="Arial" w:hAnsi="Arial"/>
      <w:sz w:val="22"/>
      <w:szCs w:val="20"/>
      <w:lang w:eastAsia="en-US"/>
    </w:rPr>
  </w:style>
  <w:style w:type="paragraph" w:styleId="1091" w:customStyle="1">
    <w:name w:val="Char Char Char Char1 Char Char Char"/>
    <w:basedOn w:val="876"/>
    <w:uiPriority w:val="0"/>
    <w:qFormat/>
    <w:pPr>
      <w:spacing w:line="360" w:lineRule="auto"/>
    </w:pPr>
    <w:rPr>
      <w:rFonts w:ascii="Tahoma" w:hAnsi="Tahoma"/>
      <w:sz w:val="24"/>
    </w:rPr>
  </w:style>
  <w:style w:type="paragraph" w:styleId="1092" w:customStyle="1">
    <w:name w:val="普通正文"/>
    <w:basedOn w:val="861"/>
    <w:uiPriority w:val="0"/>
    <w:qFormat/>
    <w:pPr>
      <w:ind w:firstLine="480"/>
      <w:jc w:val="left"/>
      <w:spacing w:before="120" w:after="120" w:line="360" w:lineRule="auto"/>
    </w:pPr>
    <w:rPr>
      <w:rFonts w:ascii="Arial" w:hAnsi="Arial"/>
      <w:sz w:val="24"/>
    </w:rPr>
  </w:style>
  <w:style w:type="paragraph" w:styleId="1093" w:customStyle="1">
    <w:name w:val="Char"/>
    <w:basedOn w:val="861"/>
    <w:uiPriority w:val="0"/>
    <w:qFormat/>
    <w:rPr>
      <w:rFonts w:ascii="Tahoma" w:hAnsi="Tahoma"/>
      <w:sz w:val="24"/>
      <w:szCs w:val="20"/>
    </w:rPr>
  </w:style>
  <w:style w:type="paragraph" w:styleId="1094" w:customStyle="1">
    <w:name w:val="标题1"/>
    <w:basedOn w:val="861"/>
    <w:next w:val="861"/>
    <w:uiPriority w:val="0"/>
    <w:qFormat/>
    <w:pPr>
      <w:jc w:val="center"/>
      <w:spacing w:line="700" w:lineRule="atLeast"/>
      <w:tabs>
        <w:tab w:val="left" w:pos="9193" w:leader="none"/>
        <w:tab w:val="left" w:pos="9827" w:leader="none"/>
      </w:tabs>
    </w:pPr>
    <w:rPr>
      <w:rFonts w:eastAsia="方正小标宋_GBK"/>
      <w:sz w:val="44"/>
    </w:rPr>
  </w:style>
  <w:style w:type="paragraph" w:styleId="1095" w:customStyle="1">
    <w:name w:val="Body text|1"/>
    <w:basedOn w:val="861"/>
    <w:uiPriority w:val="0"/>
    <w:qFormat/>
    <w:pPr>
      <w:spacing w:line="346" w:lineRule="auto"/>
    </w:pPr>
    <w:rPr>
      <w:rFonts w:ascii="MingLiU" w:hAnsi="MingLiU" w:eastAsia="MingLiU" w:cs="MingLiU"/>
      <w:sz w:val="15"/>
      <w:szCs w:val="15"/>
      <w:lang w:val="zh-TW" w:eastAsia="zh-TW" w:bidi="zh-TW"/>
    </w:rPr>
  </w:style>
  <w:style w:type="paragraph" w:styleId="1096" w:customStyle="1">
    <w:name w:val="xl47"/>
    <w:basedOn w:val="86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7" w:customStyle="1">
    <w:name w:val="列出段落2"/>
    <w:basedOn w:val="861"/>
    <w:uiPriority w:val="0"/>
    <w:qFormat/>
    <w:pPr>
      <w:ind w:firstLine="420"/>
    </w:pPr>
    <w:rPr>
      <w:szCs w:val="22"/>
    </w:rPr>
  </w:style>
  <w:style w:type="paragraph" w:styleId="1098" w:customStyle="1">
    <w:name w:val="Char Char Char Char"/>
    <w:basedOn w:val="876"/>
    <w:uiPriority w:val="0"/>
    <w:qFormat/>
    <w:pPr>
      <w:spacing w:line="360" w:lineRule="auto"/>
    </w:pPr>
    <w:rPr>
      <w:rFonts w:ascii="Tahoma" w:hAnsi="Tahoma"/>
      <w:sz w:val="24"/>
    </w:rPr>
  </w:style>
  <w:style w:type="paragraph" w:styleId="1099" w:customStyle="1">
    <w:name w:val="默认段落字体 Para Char Char Char Char Char Char Char Char Char1 Char Char Char Char Char Char Char"/>
    <w:basedOn w:val="876"/>
    <w:uiPriority w:val="0"/>
    <w:qFormat/>
    <w:rPr>
      <w:rFonts w:ascii="Tahoma" w:hAnsi="Tahoma"/>
      <w:sz w:val="24"/>
    </w:rPr>
  </w:style>
  <w:style w:type="paragraph" w:styleId="1100" w:customStyle="1">
    <w:name w:val="Char1"/>
    <w:basedOn w:val="861"/>
    <w:uiPriority w:val="0"/>
    <w:qFormat/>
    <w:pPr>
      <w:tabs>
        <w:tab w:val="left" w:pos="360" w:leader="none"/>
      </w:tabs>
    </w:pPr>
    <w:rPr>
      <w:sz w:val="24"/>
    </w:rPr>
  </w:style>
  <w:style w:type="paragraph" w:styleId="1101">
    <w:name w:val="List Paragraph"/>
    <w:basedOn w:val="861"/>
    <w:uiPriority w:val="34"/>
    <w:qFormat/>
    <w:pPr>
      <w:ind w:firstLine="420"/>
    </w:pPr>
    <w:rPr>
      <w:szCs w:val="22"/>
    </w:rPr>
  </w:style>
  <w:style w:type="paragraph" w:styleId="1102" w:customStyle="1">
    <w:name w:val="第四级"/>
    <w:basedOn w:val="861"/>
    <w:next w:val="861"/>
    <w:uiPriority w:val="0"/>
    <w:qFormat/>
    <w:pPr>
      <w:spacing w:line="360" w:lineRule="auto"/>
      <w:tabs>
        <w:tab w:val="left" w:pos="1134" w:leader="none"/>
      </w:tabs>
    </w:pPr>
    <w:rPr>
      <w:rFonts w:ascii="宋体" w:hAnsi="宋体" w:eastAsia="仿宋"/>
      <w:sz w:val="28"/>
      <w:szCs w:val="21"/>
    </w:rPr>
  </w:style>
  <w:style w:type="character" w:styleId="1103" w:customStyle="1">
    <w:name w:val="NormalCharacter"/>
    <w:uiPriority w:val="0"/>
    <w:qFormat/>
    <w:rPr>
      <w:rFonts w:hint="default" w:ascii="Calibri" w:hAnsi="Calibri" w:eastAsia="宋体" w:cs="Times New Roman"/>
      <w:sz w:val="21"/>
      <w:szCs w:val="24"/>
      <w:lang w:val="en-US" w:eastAsia="zh-CN" w:bidi="ar-SA"/>
    </w:rPr>
  </w:style>
  <w:style w:type="character" w:styleId="1104" w:customStyle="1">
    <w:name w:val="普通(网站) 字符"/>
    <w:link w:val="905"/>
    <w:uiPriority w:val="0"/>
    <w:qFormat/>
    <w:rPr>
      <w:rFonts w:ascii="宋体" w:hAnsi="宋体" w:cs="宋体"/>
      <w:sz w:val="24"/>
      <w:szCs w:val="24"/>
    </w:rPr>
  </w:style>
  <w:style w:type="character" w:styleId="1105" w:customStyle="1">
    <w:name w:val="批注主题 字符"/>
    <w:link w:val="908"/>
    <w:uiPriority w:val="0"/>
    <w:qFormat/>
    <w:rPr>
      <w:b/>
      <w:bCs/>
      <w:sz w:val="21"/>
      <w:szCs w:val="24"/>
    </w:rPr>
  </w:style>
  <w:style w:type="character" w:styleId="1106" w:customStyle="1">
    <w:name w:val="apple-converted-space"/>
    <w:basedOn w:val="871"/>
    <w:uiPriority w:val="0"/>
    <w:qFormat/>
  </w:style>
  <w:style w:type="character" w:styleId="1107" w:customStyle="1">
    <w:name w:val="纯文本 字符"/>
    <w:link w:val="884"/>
    <w:uiPriority w:val="99"/>
    <w:qFormat/>
    <w:rPr>
      <w:rFonts w:ascii="宋体" w:hAnsi="Courier New"/>
      <w:sz w:val="21"/>
    </w:rPr>
  </w:style>
  <w:style w:type="character" w:styleId="1108" w:customStyle="1">
    <w:name w:val="标题2 Char"/>
    <w:uiPriority w:val="0"/>
    <w:qFormat/>
    <w:rPr>
      <w:rFonts w:ascii="方正楷体_GBK" w:hAnsi="Book Antiqua" w:eastAsia="方正楷体_GBK"/>
      <w:sz w:val="32"/>
      <w:lang w:val="en-US" w:eastAsia="zh-CN" w:bidi="ar-SA"/>
    </w:rPr>
  </w:style>
  <w:style w:type="character" w:styleId="1109" w:customStyle="1">
    <w:name w:val="font01"/>
    <w:uiPriority w:val="0"/>
    <w:qFormat/>
    <w:rPr>
      <w:rFonts w:hint="default" w:ascii="Times New Roman" w:hAnsi="Times New Roman" w:eastAsia="宋体" w:cs="Times New Roman"/>
      <w:color w:val="000000"/>
      <w:sz w:val="22"/>
      <w:szCs w:val="22"/>
      <w:u w:val="none"/>
    </w:rPr>
  </w:style>
  <w:style w:type="character" w:styleId="1110" w:customStyle="1">
    <w:name w:val="fc01294d3e-4153-482a-aea1-4b54892b7913-0"/>
    <w:uiPriority w:val="0"/>
    <w:qFormat/>
    <w:rPr>
      <w:rFonts w:ascii="Tahoma" w:hAnsi="Tahoma" w:eastAsia="Tahoma"/>
      <w:sz w:val="24"/>
      <w:szCs w:val="24"/>
      <w:shd w:val="clear" w:color="auto" w:fill="auto"/>
    </w:rPr>
  </w:style>
  <w:style w:type="character" w:styleId="1111" w:customStyle="1">
    <w:name w:val="font81"/>
    <w:uiPriority w:val="0"/>
    <w:qFormat/>
    <w:rPr>
      <w:rFonts w:hint="default" w:ascii="方正仿宋_GBK" w:hAnsi="方正仿宋_GBK" w:eastAsia="方正仿宋_GBK" w:cs="方正仿宋_GBK"/>
      <w:color w:val="000000"/>
      <w:sz w:val="16"/>
      <w:szCs w:val="16"/>
      <w:u w:val="none"/>
    </w:rPr>
  </w:style>
  <w:style w:type="character" w:styleId="1112" w:customStyle="1">
    <w:name w:val="font31"/>
    <w:uiPriority w:val="0"/>
    <w:qFormat/>
    <w:rPr>
      <w:rFonts w:ascii="方正仿宋_GBK" w:hAnsi="方正仿宋_GBK" w:eastAsia="方正仿宋_GBK" w:cs="方正仿宋_GBK"/>
      <w:color w:val="000000"/>
      <w:sz w:val="22"/>
      <w:szCs w:val="22"/>
      <w:u w:val="none"/>
    </w:rPr>
  </w:style>
  <w:style w:type="character" w:styleId="1113" w:customStyle="1">
    <w:name w:val="标题 1 字符"/>
    <w:link w:val="862"/>
    <w:uiPriority w:val="0"/>
    <w:qFormat/>
    <w:rPr>
      <w:rFonts w:ascii="楷体_GB2312" w:eastAsia="楷体_GB2312"/>
      <w:sz w:val="28"/>
      <w:lang w:val="en-US" w:eastAsia="zh-CN" w:bidi="ar-SA"/>
    </w:rPr>
  </w:style>
  <w:style w:type="character" w:styleId="1114" w:customStyle="1">
    <w:name w:val="标题 2 字符"/>
    <w:link w:val="863"/>
    <w:uiPriority w:val="0"/>
    <w:qFormat/>
    <w:rPr>
      <w:rFonts w:ascii="Arial" w:hAnsi="Arial" w:eastAsia="幼圆"/>
      <w:b/>
      <w:sz w:val="44"/>
    </w:rPr>
  </w:style>
  <w:style w:type="character" w:styleId="1115" w:customStyle="1">
    <w:name w:val="正文缩进 字符"/>
    <w:link w:val="874"/>
    <w:uiPriority w:val="0"/>
    <w:qFormat/>
    <w:rPr>
      <w:rFonts w:eastAsia="宋体"/>
      <w:sz w:val="21"/>
      <w:lang w:val="en-US" w:eastAsia="zh-CN" w:bidi="ar-SA"/>
    </w:rPr>
  </w:style>
  <w:style w:type="character" w:styleId="1116" w:customStyle="1">
    <w:name w:val="批注文字 字符"/>
    <w:link w:val="877"/>
    <w:uiPriority w:val="99"/>
    <w:qFormat/>
    <w:rPr>
      <w:sz w:val="21"/>
      <w:szCs w:val="24"/>
    </w:rPr>
  </w:style>
  <w:style w:type="character" w:styleId="1117" w:customStyle="1">
    <w:name w:val="正文文本 字符"/>
    <w:link w:val="879"/>
    <w:uiPriority w:val="0"/>
    <w:qFormat/>
    <w:rPr>
      <w:rFonts w:ascii="楷体_GB2312" w:hAnsi="Arial" w:eastAsia="楷体_GB2312"/>
      <w:sz w:val="28"/>
    </w:rPr>
  </w:style>
  <w:style w:type="character" w:styleId="1118" w:customStyle="1">
    <w:name w:val="日期 字符"/>
    <w:link w:val="886"/>
    <w:uiPriority w:val="0"/>
    <w:qFormat/>
    <w:rPr>
      <w:sz w:val="24"/>
    </w:rPr>
  </w:style>
  <w:style w:type="character" w:styleId="1119" w:customStyle="1">
    <w:name w:val="页眉 字符"/>
    <w:link w:val="892"/>
    <w:uiPriority w:val="99"/>
    <w:qFormat/>
    <w:rPr>
      <w:sz w:val="18"/>
      <w:szCs w:val="18"/>
    </w:rPr>
  </w:style>
  <w:style w:type="character" w:styleId="1120" w:customStyle="1">
    <w:name w:val="HTML 预设格式 字符"/>
    <w:link w:val="904"/>
    <w:uiPriority w:val="0"/>
    <w:qFormat/>
    <w:rPr>
      <w:rFonts w:ascii="黑体" w:hAnsi="Courier New" w:eastAsia="黑体" w:cs="Courier New"/>
    </w:rPr>
  </w:style>
  <w:style w:type="character" w:styleId="1121" w:customStyle="1">
    <w:name w:val="标题 字符"/>
    <w:link w:val="907"/>
    <w:uiPriority w:val="0"/>
    <w:qFormat/>
    <w:rPr>
      <w:rFonts w:ascii="Cambria" w:hAnsi="Cambria" w:cs="Times New Roman"/>
      <w:b/>
      <w:bCs/>
      <w:sz w:val="32"/>
      <w:szCs w:val="32"/>
    </w:rPr>
  </w:style>
  <w:style w:type="character" w:styleId="1122" w:customStyle="1">
    <w:name w:val="列出段落 Char"/>
    <w:link w:val="1076"/>
    <w:uiPriority w:val="0"/>
    <w:qFormat/>
    <w:rPr>
      <w:rFonts w:ascii="Calibri" w:hAnsi="Calibri"/>
      <w:sz w:val="24"/>
      <w:szCs w:val="24"/>
      <w:lang w:eastAsia="en-US" w:bidi="en-US"/>
    </w:rPr>
  </w:style>
  <w:style w:type="character" w:styleId="1123" w:customStyle="1">
    <w:name w:val="font71"/>
    <w:uiPriority w:val="0"/>
    <w:qFormat/>
    <w:rPr>
      <w:rFonts w:hint="eastAsia" w:ascii="宋体" w:hAnsi="宋体" w:eastAsia="宋体" w:cs="宋体"/>
      <w:color w:val="000000"/>
      <w:sz w:val="21"/>
      <w:szCs w:val="21"/>
      <w:u w:val="none"/>
    </w:rPr>
  </w:style>
  <w:style w:type="character" w:styleId="1124" w:customStyle="1">
    <w:name w:val="jj1"/>
    <w:uiPriority w:val="0"/>
    <w:qFormat/>
    <w:rPr>
      <w:sz w:val="20"/>
      <w:szCs w:val="20"/>
      <w:u w:val="none"/>
    </w:rPr>
  </w:style>
  <w:style w:type="paragraph" w:styleId="1125" w:customStyle="1">
    <w:name w:val="首行缩进"/>
    <w:basedOn w:val="861"/>
    <w:uiPriority w:val="0"/>
    <w:qFormat/>
    <w:pPr>
      <w:ind w:firstLine="480"/>
      <w:spacing w:line="360" w:lineRule="auto"/>
    </w:pPr>
    <w:rPr>
      <w:rFonts w:ascii="宋体" w:hAnsi="宋体" w:cs="宋体"/>
      <w:sz w:val="24"/>
    </w:rPr>
  </w:style>
  <w:style w:type="paragraph" w:styleId="1126" w:customStyle="1">
    <w:name w:val="正文1"/>
    <w:basedOn w:val="861"/>
    <w:uiPriority w:val="0"/>
    <w:qFormat/>
    <w:pPr>
      <w:ind w:right="-167"/>
      <w:spacing w:line="440" w:lineRule="exact"/>
      <w:widowControl/>
    </w:pPr>
    <w:rPr>
      <w:rFonts w:ascii="Times New Roman" w:hAnsi="Times New Roman"/>
      <w:b/>
    </w:rPr>
  </w:style>
  <w:style w:type="paragraph" w:styleId="1127"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128" w:customStyle="1">
    <w:name w:val="列出段落3"/>
    <w:basedOn w:val="861"/>
    <w:uiPriority w:val="0"/>
    <w:qFormat/>
    <w:pPr>
      <w:ind w:firstLine="420"/>
    </w:pPr>
    <w:rPr>
      <w:szCs w:val="20"/>
    </w:rPr>
  </w:style>
  <w:style w:type="paragraph" w:styleId="1129" w:customStyle="1">
    <w:name w:val="4"/>
    <w:basedOn w:val="861"/>
    <w:next w:val="898"/>
    <w:uiPriority w:val="0"/>
    <w:qFormat/>
    <w:pPr>
      <w:ind w:firstLine="420"/>
      <w:spacing w:line="360" w:lineRule="auto"/>
    </w:pPr>
    <w:rPr>
      <w:color w:val="ff0000"/>
      <w:sz w:val="24"/>
    </w:rPr>
  </w:style>
  <w:style w:type="paragraph" w:styleId="1130" w:customStyle="1">
    <w:name w:val="Fließtext"/>
    <w:basedOn w:val="861"/>
    <w:uiPriority w:val="0"/>
    <w:qFormat/>
    <w:rPr>
      <w:szCs w:val="20"/>
    </w:rPr>
  </w:style>
  <w:style w:type="paragraph" w:styleId="1131" w:customStyle="1">
    <w:name w:val="段"/>
    <w:next w:val="861"/>
    <w:uiPriority w:val="0"/>
    <w:qFormat/>
    <w:pPr>
      <w:ind w:firstLine="200"/>
      <w:jc w:val="both"/>
    </w:pPr>
    <w:rPr>
      <w:rFonts w:ascii="宋体" w:hAnsi="Times New Roman" w:eastAsia="宋体" w:cs="Times New Roman"/>
      <w:sz w:val="21"/>
      <w:lang w:val="en-US" w:eastAsia="zh-CN" w:bidi="ar-SA"/>
    </w:rPr>
  </w:style>
  <w:style w:type="paragraph" w:styleId="1132" w:customStyle="1">
    <w:name w:val="Normal_0_1"/>
    <w:uiPriority w:val="0"/>
    <w:qFormat/>
    <w:rPr>
      <w:rFonts w:ascii="Times New Roman" w:hAnsi="Times New Roman" w:eastAsia="宋体" w:cs="Times New Roman"/>
      <w:sz w:val="24"/>
      <w:szCs w:val="24"/>
      <w:lang w:val="en-US" w:eastAsia="zh-CN" w:bidi="ar-SA"/>
    </w:rPr>
  </w:style>
  <w:style w:type="paragraph" w:styleId="1133" w:customStyle="1">
    <w:name w:val="正文首行缩进1"/>
    <w:basedOn w:val="861"/>
    <w:next w:val="1134"/>
    <w:uiPriority w:val="99"/>
    <w:qFormat/>
    <w:pPr>
      <w:ind w:firstLine="200"/>
      <w:spacing w:line="360" w:lineRule="auto"/>
    </w:pPr>
    <w:rPr>
      <w:rFonts w:ascii="仿宋_GB2312" w:eastAsia="仿宋_GB2312"/>
      <w:sz w:val="30"/>
      <w:szCs w:val="30"/>
    </w:rPr>
  </w:style>
  <w:style w:type="paragraph" w:styleId="1134" w:customStyle="1">
    <w:name w:val="目录 61"/>
    <w:basedOn w:val="861"/>
    <w:next w:val="861"/>
    <w:uiPriority w:val="0"/>
    <w:semiHidden/>
    <w:qFormat/>
    <w:pPr>
      <w:ind w:left="2100"/>
    </w:pPr>
  </w:style>
  <w:style w:type="character" w:styleId="1135" w:customStyle="1">
    <w:name w:val="NormalCharacter1"/>
    <w:uiPriority w:val="0"/>
    <w:semiHidden/>
    <w:qFormat/>
    <w:rPr>
      <w:rFonts w:hint="default" w:ascii="Calibri" w:hAnsi="Calibri" w:eastAsia="宋体" w:cs="Times New Roman"/>
      <w:sz w:val="21"/>
      <w:szCs w:val="24"/>
      <w:lang w:val="en-US" w:eastAsia="zh-CN" w:bidi="ar-SA"/>
    </w:rPr>
  </w:style>
  <w:style w:type="paragraph" w:styleId="113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Normal_22"/>
    <w:uiPriority w:val="0"/>
    <w:qFormat/>
    <w:pPr>
      <w:jc w:val="both"/>
      <w:widowControl w:val="off"/>
    </w:pPr>
    <w:rPr>
      <w:rFonts w:ascii="Calibri" w:hAnsi="Calibri" w:eastAsia="宋体" w:cs="Times New Roman"/>
      <w:sz w:val="21"/>
      <w:szCs w:val="22"/>
      <w:lang w:val="en-US" w:eastAsia="zh-CN" w:bidi="ar-SA"/>
    </w:rPr>
  </w:style>
  <w:style w:type="character" w:styleId="1138" w:customStyle="1">
    <w:name w:val="默认段落字体1"/>
    <w:uiPriority w:val="1"/>
    <w:unhideWhenUsed/>
    <w:qFormat/>
    <w:rPr>
      <w:rFonts w:hint="default" w:ascii="Times New Roman" w:hAnsi="Times New Roman" w:eastAsia="宋体" w:cs="Times New Roman"/>
      <w:sz w:val="21"/>
      <w:szCs w:val="24"/>
      <w:lang w:val="en-US" w:eastAsia="zh-CN" w:bidi="ar-SA"/>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24</cp:revision>
  <dcterms:created xsi:type="dcterms:W3CDTF">2024-10-28T08:53:00Z</dcterms:created>
  <dcterms:modified xsi:type="dcterms:W3CDTF">2026-10-19T01:33:08Z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3160227855A34211B894AF9D8ED52519_13</vt:lpwstr>
  </property>
  <property fmtid="{D5CDD505-2E9C-101B-9397-08002B2CF9AE}" pid="4" name="KSOTemplateDocerSaveRecord">
    <vt:lpwstr>eyJoZGlkIjoiOGU1MDgzMWRhMzlhZmQxYTU5MTk5OWI3YzJiYTYwNjgiLCJ1c2VySWQiOiI2NTA3NzMxOTIifQ==</vt:lpwstr>
  </property>
</Properties>
</file>