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E390E7">
      <w:pPr>
        <w:pStyle w:val="3"/>
        <w:widowControl/>
        <w:jc w:val="center"/>
        <w:rPr>
          <w:rFonts w:hAnsi="宋体" w:cs="宋体"/>
          <w:b/>
          <w:color w:val="000000" w:themeColor="text1"/>
          <w:sz w:val="36"/>
          <w:szCs w:val="36"/>
          <w14:textFill>
            <w14:solidFill>
              <w14:schemeClr w14:val="tx1"/>
            </w14:solidFill>
          </w14:textFill>
        </w:rPr>
      </w:pPr>
      <w:r>
        <w:rPr>
          <w:rFonts w:hAnsi="宋体" w:cs="宋体"/>
          <w:b/>
          <w:color w:val="000000" w:themeColor="text1"/>
          <w:sz w:val="36"/>
          <w:szCs w:val="36"/>
          <w14:textFill>
            <w14:solidFill>
              <w14:schemeClr w14:val="tx1"/>
            </w14:solidFill>
          </w14:textFill>
        </w:rPr>
        <w:t>清  单  编  制  说  明</w:t>
      </w:r>
    </w:p>
    <w:p w14:paraId="70B987F9">
      <w:pPr>
        <w:rPr>
          <w:rFonts w:hint="default" w:ascii="宋体" w:hAnsi="宋体" w:cs="仿宋_GB2312"/>
          <w:b/>
          <w:color w:val="000000" w:themeColor="text1"/>
          <w:sz w:val="24"/>
          <w:szCs w:val="24"/>
          <w:lang w:val="en-US" w:eastAsia="zh-CN"/>
          <w14:textFill>
            <w14:solidFill>
              <w14:schemeClr w14:val="tx1"/>
            </w14:solidFill>
          </w14:textFill>
        </w:rPr>
      </w:pPr>
      <w:r>
        <w:rPr>
          <w:rFonts w:ascii="宋体" w:hAnsi="宋体" w:cs="仿宋_GB2312"/>
          <w:b/>
          <w:color w:val="000000" w:themeColor="text1"/>
          <w:sz w:val="24"/>
          <w:szCs w:val="24"/>
          <w:lang w:eastAsia="zh-CN"/>
          <w14:textFill>
            <w14:solidFill>
              <w14:schemeClr w14:val="tx1"/>
            </w14:solidFill>
          </w14:textFill>
        </w:rPr>
        <w:t>工程名称：</w:t>
      </w:r>
      <w:r>
        <w:rPr>
          <w:rFonts w:hint="eastAsia" w:ascii="宋体" w:hAnsi="宋体" w:cs="仿宋_GB2312"/>
          <w:b/>
          <w:color w:val="000000" w:themeColor="text1"/>
          <w:sz w:val="24"/>
          <w:szCs w:val="24"/>
          <w:lang w:val="en-US" w:eastAsia="zh-CN"/>
          <w14:textFill>
            <w14:solidFill>
              <w14:schemeClr w14:val="tx1"/>
            </w14:solidFill>
          </w14:textFill>
        </w:rPr>
        <w:t xml:space="preserve">江苏省第二中医院老门诊及行政楼一楼改造项目  </w:t>
      </w:r>
    </w:p>
    <w:tbl>
      <w:tblPr>
        <w:tblStyle w:val="8"/>
        <w:tblW w:w="0" w:type="auto"/>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9478"/>
      </w:tblGrid>
      <w:tr w14:paraId="3C0CABF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0" w:hRule="atLeast"/>
          <w:jc w:val="center"/>
        </w:trPr>
        <w:tc>
          <w:tcPr>
            <w:tcW w:w="9478" w:type="dxa"/>
            <w:tcBorders>
              <w:top w:val="single" w:color="auto" w:sz="4" w:space="0"/>
              <w:left w:val="single" w:color="auto" w:sz="4" w:space="0"/>
              <w:bottom w:val="single" w:color="auto" w:sz="4" w:space="0"/>
              <w:right w:val="single" w:color="auto" w:sz="4" w:space="0"/>
            </w:tcBorders>
            <w:noWrap/>
          </w:tcPr>
          <w:p w14:paraId="1145C69D">
            <w:pPr>
              <w:keepNext w:val="0"/>
              <w:keepLines w:val="0"/>
              <w:numPr>
                <w:ilvl w:val="0"/>
                <w:numId w:val="0"/>
              </w:numPr>
              <w:suppressLineNumbers w:val="0"/>
              <w:tabs>
                <w:tab w:val="left" w:pos="1031"/>
              </w:tabs>
              <w:spacing w:before="0" w:beforeAutospacing="0" w:after="0" w:afterAutospacing="0" w:line="380" w:lineRule="exact"/>
              <w:ind w:right="0" w:rightChars="0"/>
              <w:rPr>
                <w:rFonts w:hint="eastAsia"/>
                <w:b/>
                <w:bCs/>
                <w:color w:val="auto"/>
                <w:sz w:val="21"/>
                <w:szCs w:val="21"/>
                <w:lang w:val="en-US" w:eastAsia="zh-CN"/>
              </w:rPr>
            </w:pPr>
            <w:r>
              <w:rPr>
                <w:rFonts w:hint="eastAsia"/>
                <w:b/>
                <w:bCs/>
                <w:color w:val="auto"/>
                <w:sz w:val="21"/>
                <w:szCs w:val="21"/>
                <w:lang w:val="en-US" w:eastAsia="zh-CN"/>
              </w:rPr>
              <w:t xml:space="preserve">一、工程概况 </w:t>
            </w:r>
          </w:p>
          <w:p w14:paraId="562223FA">
            <w:pPr>
              <w:pStyle w:val="6"/>
              <w:keepNext w:val="0"/>
              <w:keepLines w:val="0"/>
              <w:widowControl/>
              <w:suppressLineNumbers w:val="0"/>
              <w:spacing w:before="0" w:beforeAutospacing="0" w:after="0" w:afterAutospacing="0" w:line="360" w:lineRule="auto"/>
              <w:ind w:left="0" w:right="0" w:firstLine="420" w:firstLineChars="200"/>
              <w:rPr>
                <w:rFonts w:hint="eastAsia" w:ascii="宋体" w:hAnsi="宋体" w:eastAsia="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1.</w:t>
            </w:r>
            <w:r>
              <w:rPr>
                <w:rFonts w:hint="eastAsia" w:ascii="宋体" w:hAnsi="宋体" w:eastAsia="宋体" w:cs="Times New Roman"/>
                <w:color w:val="auto"/>
                <w:sz w:val="21"/>
                <w:szCs w:val="21"/>
                <w:highlight w:val="none"/>
                <w:lang w:val="en-US" w:eastAsia="zh-CN" w:bidi="en-US"/>
              </w:rPr>
              <w:t>建设规模：江苏省第二中医院老门诊及行政楼一楼改造项目，本工程实施范围主要</w:t>
            </w:r>
            <w:r>
              <w:rPr>
                <w:rFonts w:hint="eastAsia" w:ascii="宋体" w:hAnsi="宋体" w:cs="Times New Roman"/>
                <w:color w:val="auto"/>
                <w:sz w:val="21"/>
                <w:szCs w:val="21"/>
                <w:highlight w:val="none"/>
                <w:lang w:val="en-US" w:eastAsia="zh-CN" w:bidi="en-US"/>
              </w:rPr>
              <w:t>包括江苏省第二中医院老门诊及行政楼室内拆除、装饰、安装、四层加建</w:t>
            </w:r>
            <w:r>
              <w:rPr>
                <w:rFonts w:hint="eastAsia" w:ascii="宋体" w:hAnsi="宋体" w:eastAsia="宋体" w:cs="Times New Roman"/>
                <w:color w:val="auto"/>
                <w:sz w:val="21"/>
                <w:szCs w:val="21"/>
                <w:highlight w:val="none"/>
                <w:lang w:val="en-US" w:eastAsia="zh-CN" w:bidi="en-US"/>
              </w:rPr>
              <w:t>等内容，具体详见工程量清单。</w:t>
            </w:r>
          </w:p>
          <w:p w14:paraId="1A0B7320">
            <w:pPr>
              <w:spacing w:line="360" w:lineRule="auto"/>
              <w:ind w:firstLine="420" w:firstLineChars="200"/>
              <w:rPr>
                <w:rFonts w:hint="eastAsia" w:ascii="宋体" w:hAnsi="宋体" w:eastAsia="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2.</w:t>
            </w:r>
            <w:r>
              <w:rPr>
                <w:rFonts w:hint="eastAsia" w:ascii="宋体" w:hAnsi="宋体" w:eastAsia="宋体" w:cs="Times New Roman"/>
                <w:color w:val="auto"/>
                <w:sz w:val="21"/>
                <w:szCs w:val="21"/>
                <w:highlight w:val="none"/>
                <w:lang w:val="en-US" w:eastAsia="zh-CN" w:bidi="en-US"/>
              </w:rPr>
              <w:t>计划工期：详见招标文件。</w:t>
            </w:r>
          </w:p>
          <w:p w14:paraId="553E33F3">
            <w:pPr>
              <w:spacing w:line="360" w:lineRule="auto"/>
              <w:ind w:firstLine="420" w:firstLineChars="200"/>
              <w:rPr>
                <w:rFonts w:hint="eastAsia" w:ascii="宋体" w:hAnsi="宋体" w:eastAsia="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3.</w:t>
            </w:r>
            <w:r>
              <w:rPr>
                <w:rFonts w:hint="eastAsia" w:ascii="宋体" w:hAnsi="宋体" w:eastAsia="宋体" w:cs="Times New Roman"/>
                <w:color w:val="auto"/>
                <w:sz w:val="21"/>
                <w:szCs w:val="21"/>
                <w:highlight w:val="none"/>
                <w:lang w:val="en-US" w:eastAsia="zh-CN" w:bidi="en-US"/>
              </w:rPr>
              <w:t>现场及交通运输情况：</w:t>
            </w:r>
            <w:r>
              <w:rPr>
                <w:rFonts w:hint="eastAsia" w:ascii="宋体" w:hAnsi="宋体"/>
                <w:color w:val="auto"/>
                <w:sz w:val="21"/>
                <w:szCs w:val="21"/>
                <w:highlight w:val="none"/>
                <w:lang w:val="en-US" w:eastAsia="zh-CN"/>
              </w:rPr>
              <w:t>施工道路、用水、用电情况各投标人自行勘察现场。</w:t>
            </w:r>
          </w:p>
          <w:p w14:paraId="530C3FCA">
            <w:pPr>
              <w:spacing w:line="360" w:lineRule="auto"/>
              <w:ind w:firstLine="420" w:firstLineChars="200"/>
              <w:rPr>
                <w:rFonts w:hint="eastAsia" w:ascii="宋体" w:hAnsi="宋体" w:eastAsia="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4.</w:t>
            </w:r>
            <w:r>
              <w:rPr>
                <w:rFonts w:hint="eastAsia" w:ascii="宋体" w:hAnsi="宋体" w:eastAsia="宋体" w:cs="Times New Roman"/>
                <w:color w:val="auto"/>
                <w:sz w:val="21"/>
                <w:szCs w:val="21"/>
                <w:highlight w:val="none"/>
                <w:lang w:val="en-US" w:eastAsia="zh-CN" w:bidi="en-US"/>
              </w:rPr>
              <w:t>环保要求：遵守国家及地方有关环保规定。</w:t>
            </w:r>
          </w:p>
          <w:p w14:paraId="4FAC196D">
            <w:pPr>
              <w:keepNext w:val="0"/>
              <w:keepLines w:val="0"/>
              <w:numPr>
                <w:ilvl w:val="0"/>
                <w:numId w:val="0"/>
              </w:numPr>
              <w:suppressLineNumbers w:val="0"/>
              <w:tabs>
                <w:tab w:val="left" w:pos="1031"/>
              </w:tabs>
              <w:spacing w:before="0" w:beforeAutospacing="0" w:after="0" w:afterAutospacing="0" w:line="380" w:lineRule="exact"/>
              <w:ind w:right="0" w:rightChars="0"/>
              <w:rPr>
                <w:rFonts w:hint="eastAsia"/>
                <w:b/>
                <w:bCs/>
                <w:color w:val="auto"/>
                <w:sz w:val="21"/>
                <w:szCs w:val="21"/>
                <w:lang w:val="en-US" w:eastAsia="zh-CN"/>
              </w:rPr>
            </w:pPr>
            <w:r>
              <w:rPr>
                <w:rFonts w:hint="eastAsia"/>
                <w:b/>
                <w:bCs/>
                <w:color w:val="auto"/>
                <w:sz w:val="21"/>
                <w:szCs w:val="21"/>
                <w:lang w:val="en-US" w:eastAsia="zh-CN"/>
              </w:rPr>
              <w:t>二、招标范围：</w:t>
            </w:r>
          </w:p>
          <w:p w14:paraId="6BE6B4C8">
            <w:pPr>
              <w:spacing w:line="360" w:lineRule="auto"/>
              <w:ind w:firstLine="420" w:firstLineChars="200"/>
              <w:rPr>
                <w:rFonts w:hint="eastAsia" w:ascii="宋体" w:hAnsi="宋体" w:eastAsia="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1.招标范围</w:t>
            </w:r>
            <w:r>
              <w:rPr>
                <w:rFonts w:hint="eastAsia" w:ascii="宋体" w:hAnsi="宋体" w:eastAsia="宋体" w:cs="Times New Roman"/>
                <w:color w:val="auto"/>
                <w:sz w:val="21"/>
                <w:szCs w:val="21"/>
                <w:highlight w:val="none"/>
                <w:lang w:val="en-US" w:eastAsia="zh-CN" w:bidi="en-US"/>
              </w:rPr>
              <w:t>：</w:t>
            </w:r>
            <w:r>
              <w:rPr>
                <w:rFonts w:hint="eastAsia" w:ascii="宋体" w:hAnsi="宋体" w:cs="Times New Roman"/>
                <w:color w:val="auto"/>
                <w:sz w:val="21"/>
                <w:szCs w:val="21"/>
                <w:highlight w:val="none"/>
                <w:lang w:val="en-US" w:eastAsia="zh-CN" w:bidi="en-US"/>
              </w:rPr>
              <w:t>具体详见招标文件规定及工程量清单</w:t>
            </w:r>
            <w:r>
              <w:rPr>
                <w:rFonts w:hint="eastAsia" w:ascii="宋体" w:hAnsi="宋体" w:eastAsia="宋体" w:cs="Times New Roman"/>
                <w:color w:val="auto"/>
                <w:sz w:val="21"/>
                <w:szCs w:val="21"/>
                <w:highlight w:val="none"/>
                <w:lang w:val="en-US" w:eastAsia="zh-CN" w:bidi="en-US"/>
              </w:rPr>
              <w:t>。</w:t>
            </w:r>
          </w:p>
          <w:p w14:paraId="47DEAE12">
            <w:pPr>
              <w:keepNext w:val="0"/>
              <w:keepLines w:val="0"/>
              <w:numPr>
                <w:ilvl w:val="0"/>
                <w:numId w:val="0"/>
              </w:numPr>
              <w:suppressLineNumbers w:val="0"/>
              <w:tabs>
                <w:tab w:val="left" w:pos="1031"/>
              </w:tabs>
              <w:spacing w:before="0" w:beforeAutospacing="0" w:after="0" w:afterAutospacing="0" w:line="380" w:lineRule="exact"/>
              <w:ind w:right="0" w:rightChars="0"/>
              <w:rPr>
                <w:rFonts w:hint="eastAsia"/>
                <w:b/>
                <w:bCs/>
                <w:color w:val="auto"/>
                <w:sz w:val="21"/>
                <w:szCs w:val="21"/>
                <w:lang w:val="en-US" w:eastAsia="zh-CN"/>
              </w:rPr>
            </w:pPr>
            <w:r>
              <w:rPr>
                <w:rFonts w:hint="eastAsia"/>
                <w:b/>
                <w:bCs/>
                <w:color w:val="auto"/>
                <w:sz w:val="21"/>
                <w:szCs w:val="21"/>
                <w:lang w:val="en-US" w:eastAsia="zh-CN"/>
              </w:rPr>
              <w:t>三、工程量清单编制依据</w:t>
            </w:r>
          </w:p>
          <w:p w14:paraId="72BD4FF3">
            <w:pPr>
              <w:pStyle w:val="11"/>
              <w:spacing w:line="360" w:lineRule="auto"/>
              <w:rPr>
                <w:rFonts w:hint="eastAsia" w:ascii="宋体" w:hAnsi="宋体" w:eastAsia="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1.</w:t>
            </w:r>
            <w:r>
              <w:rPr>
                <w:rFonts w:hint="eastAsia" w:ascii="宋体" w:hAnsi="宋体" w:eastAsia="宋体" w:cs="Times New Roman"/>
                <w:color w:val="auto"/>
                <w:sz w:val="21"/>
                <w:szCs w:val="21"/>
                <w:highlight w:val="none"/>
                <w:lang w:val="en-US" w:eastAsia="zh-CN" w:bidi="en-US"/>
              </w:rPr>
              <w:t>《建设工程工程量清单计价规范》GB50500-2013、《房屋建筑与装饰工程工程量计算规范》GB50854-2013、《通用安装工程工程量计算规范》GB50856-2013、《市政工程工程量计算规范》GB50857-2013、《园林绿化工程工程量计算规范》GB50858-2013；</w:t>
            </w:r>
          </w:p>
          <w:p w14:paraId="2441C705">
            <w:pPr>
              <w:keepNext w:val="0"/>
              <w:keepLines w:val="0"/>
              <w:numPr>
                <w:ilvl w:val="0"/>
                <w:numId w:val="0"/>
              </w:numPr>
              <w:suppressLineNumbers w:val="0"/>
              <w:tabs>
                <w:tab w:val="left" w:pos="1031"/>
              </w:tabs>
              <w:spacing w:before="0" w:beforeAutospacing="0" w:after="0" w:afterAutospacing="0" w:line="360" w:lineRule="auto"/>
              <w:ind w:right="0" w:rightChars="0" w:firstLine="420" w:firstLineChars="200"/>
              <w:rPr>
                <w:rFonts w:hint="eastAsia" w:ascii="宋体" w:hAnsi="宋体" w:eastAsia="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2.</w:t>
            </w:r>
            <w:r>
              <w:rPr>
                <w:rFonts w:hint="eastAsia" w:ascii="宋体" w:hAnsi="宋体" w:eastAsia="宋体" w:cs="Times New Roman"/>
                <w:color w:val="auto"/>
                <w:sz w:val="21"/>
                <w:szCs w:val="21"/>
                <w:highlight w:val="none"/>
                <w:lang w:val="en-US" w:eastAsia="zh-CN" w:bidi="en-US"/>
              </w:rPr>
              <w:t>《江苏省建筑与装饰工程计价定额》（2014版）、《江苏省安装工程计价定额》（2014版）、《江苏省市政工程计价定额》（2014版）、《江苏省仿古建筑与园林工程计价表》（2007版）、《江苏省建设工程费用定额》（2014）；</w:t>
            </w:r>
          </w:p>
          <w:p w14:paraId="2504E20F">
            <w:pPr>
              <w:spacing w:line="360" w:lineRule="auto"/>
              <w:ind w:firstLine="420" w:firstLineChars="200"/>
              <w:rPr>
                <w:rFonts w:hint="eastAsia" w:ascii="宋体" w:hAnsi="宋体" w:eastAsia="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3.</w:t>
            </w:r>
            <w:r>
              <w:rPr>
                <w:rFonts w:hint="eastAsia" w:ascii="宋体" w:hAnsi="宋体" w:eastAsia="宋体" w:cs="Times New Roman"/>
                <w:color w:val="auto"/>
                <w:sz w:val="21"/>
                <w:szCs w:val="21"/>
                <w:highlight w:val="none"/>
                <w:lang w:val="en-US" w:eastAsia="zh-CN" w:bidi="en-US"/>
              </w:rPr>
              <w:t>苏建价[2014]448号江苏省住房城乡建设厅关于《建设工程工程量清单计价规范》（GB50500-2013）及其9本工程量计算规范的贯彻意见；</w:t>
            </w:r>
          </w:p>
          <w:p w14:paraId="0C8997E0">
            <w:pPr>
              <w:pStyle w:val="11"/>
              <w:spacing w:line="360" w:lineRule="auto"/>
              <w:rPr>
                <w:rFonts w:hint="eastAsia" w:ascii="宋体" w:hAnsi="宋体" w:eastAsia="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4.</w:t>
            </w:r>
            <w:r>
              <w:rPr>
                <w:rFonts w:hint="eastAsia" w:ascii="宋体" w:hAnsi="宋体" w:eastAsia="宋体" w:cs="Times New Roman"/>
                <w:color w:val="auto"/>
                <w:sz w:val="21"/>
                <w:szCs w:val="21"/>
                <w:highlight w:val="none"/>
                <w:lang w:val="en-US" w:eastAsia="zh-CN" w:bidi="en-US"/>
              </w:rPr>
              <w:t>《江苏省住房城乡建设厅关于调整建设工程计价增值税税率的通知》及附件（苏建函价[2019]178号文）。</w:t>
            </w:r>
          </w:p>
          <w:p w14:paraId="13D07757">
            <w:pPr>
              <w:pStyle w:val="11"/>
              <w:spacing w:line="360" w:lineRule="auto"/>
              <w:rPr>
                <w:rFonts w:hint="eastAsia" w:ascii="宋体" w:hAnsi="宋体" w:eastAsia="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5.</w:t>
            </w:r>
            <w:r>
              <w:rPr>
                <w:rFonts w:hint="eastAsia" w:ascii="宋体" w:hAnsi="宋体" w:eastAsia="宋体" w:cs="Times New Roman"/>
                <w:color w:val="auto"/>
                <w:sz w:val="21"/>
                <w:szCs w:val="21"/>
                <w:highlight w:val="none"/>
                <w:lang w:val="en-US" w:eastAsia="zh-CN" w:bidi="en-US"/>
              </w:rPr>
              <w:t>省住房城乡建设厅关于调整建设工程按质论价等费用计取方法的公告（江苏省住房和城乡建设厅公告[2018]第24号）。</w:t>
            </w:r>
          </w:p>
          <w:p w14:paraId="3BDD8D13">
            <w:pPr>
              <w:pStyle w:val="11"/>
              <w:spacing w:line="360" w:lineRule="auto"/>
              <w:rPr>
                <w:rFonts w:hint="eastAsia" w:ascii="宋体" w:hAnsi="宋体" w:eastAsia="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6.</w:t>
            </w:r>
            <w:r>
              <w:rPr>
                <w:rFonts w:hint="eastAsia" w:ascii="宋体" w:hAnsi="宋体" w:eastAsia="宋体" w:cs="Times New Roman"/>
                <w:color w:val="auto"/>
                <w:sz w:val="21"/>
                <w:szCs w:val="21"/>
                <w:highlight w:val="none"/>
                <w:lang w:val="en-US" w:eastAsia="zh-CN" w:bidi="en-US"/>
              </w:rPr>
              <w:t>关于贯彻执行《省住房城乡建设厅关于调整建设工程按质论价等费用计取方法的公告》的通知（宁建建监字[2018]528号）。</w:t>
            </w:r>
          </w:p>
          <w:p w14:paraId="492DAB41">
            <w:pPr>
              <w:pStyle w:val="11"/>
              <w:spacing w:line="360" w:lineRule="auto"/>
              <w:rPr>
                <w:rFonts w:hint="eastAsia" w:ascii="宋体" w:hAnsi="宋体" w:eastAsia="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7.</w:t>
            </w:r>
            <w:r>
              <w:rPr>
                <w:rFonts w:hint="eastAsia" w:ascii="宋体" w:hAnsi="宋体" w:eastAsia="宋体" w:cs="Times New Roman"/>
                <w:color w:val="auto"/>
                <w:sz w:val="21"/>
                <w:szCs w:val="21"/>
                <w:highlight w:val="none"/>
                <w:lang w:val="en-US" w:eastAsia="zh-CN" w:bidi="en-US"/>
              </w:rPr>
              <w:t>省住房城乡建设厅关于建筑工人实名制费用计取方法的公告（〔2019〕第19号文）。</w:t>
            </w:r>
          </w:p>
          <w:p w14:paraId="3DF1BBD6">
            <w:pPr>
              <w:spacing w:line="360" w:lineRule="auto"/>
              <w:ind w:firstLine="420" w:firstLineChars="200"/>
              <w:rPr>
                <w:rFonts w:hint="eastAsia" w:ascii="宋体" w:hAnsi="宋体" w:eastAsia="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8.</w:t>
            </w:r>
            <w:r>
              <w:rPr>
                <w:rFonts w:hint="eastAsia" w:ascii="宋体" w:hAnsi="宋体" w:eastAsia="宋体" w:cs="Times New Roman"/>
                <w:color w:val="auto"/>
                <w:sz w:val="21"/>
                <w:szCs w:val="21"/>
                <w:highlight w:val="none"/>
                <w:lang w:val="en-US" w:eastAsia="zh-CN" w:bidi="en-US"/>
              </w:rPr>
              <w:t>招标图纸及答疑文件。</w:t>
            </w:r>
          </w:p>
          <w:p w14:paraId="39725CA7">
            <w:pPr>
              <w:spacing w:line="360" w:lineRule="auto"/>
              <w:ind w:firstLine="420" w:firstLineChars="200"/>
              <w:rPr>
                <w:rFonts w:hint="eastAsia" w:ascii="宋体" w:hAnsi="宋体" w:eastAsia="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9.江苏省、南京市相关计价文件</w:t>
            </w:r>
            <w:r>
              <w:rPr>
                <w:rFonts w:hint="eastAsia" w:ascii="宋体" w:hAnsi="宋体" w:eastAsia="宋体" w:cs="Times New Roman"/>
                <w:color w:val="auto"/>
                <w:sz w:val="21"/>
                <w:szCs w:val="21"/>
                <w:highlight w:val="none"/>
                <w:lang w:val="en-US" w:eastAsia="zh-CN" w:bidi="en-US"/>
              </w:rPr>
              <w:t>。</w:t>
            </w:r>
          </w:p>
          <w:p w14:paraId="10784FDF">
            <w:pPr>
              <w:pStyle w:val="11"/>
              <w:numPr>
                <w:ilvl w:val="0"/>
                <w:numId w:val="0"/>
              </w:numPr>
              <w:spacing w:line="360" w:lineRule="auto"/>
              <w:ind w:left="480" w:leftChars="0"/>
              <w:rPr>
                <w:rFonts w:hint="eastAsia" w:ascii="宋体" w:hAnsi="宋体" w:eastAsia="宋体" w:cs="宋体"/>
                <w:b/>
                <w:color w:val="000000" w:themeColor="text1"/>
                <w:sz w:val="21"/>
                <w:szCs w:val="21"/>
                <w:highlight w:val="none"/>
                <w:lang w:eastAsia="zh-CN"/>
                <w14:textFill>
                  <w14:solidFill>
                    <w14:schemeClr w14:val="tx1"/>
                  </w14:solidFill>
                </w14:textFill>
              </w:rPr>
            </w:pPr>
            <w:r>
              <w:rPr>
                <w:rFonts w:hint="eastAsia" w:ascii="宋体" w:hAnsi="宋体" w:cs="宋体"/>
                <w:b/>
                <w:color w:val="000000" w:themeColor="text1"/>
                <w:sz w:val="21"/>
                <w:szCs w:val="21"/>
                <w:highlight w:val="none"/>
                <w:lang w:eastAsia="zh-CN"/>
                <w14:textFill>
                  <w14:solidFill>
                    <w14:schemeClr w14:val="tx1"/>
                  </w14:solidFill>
                </w14:textFill>
              </w:rPr>
              <w:t>四、</w:t>
            </w:r>
            <w:r>
              <w:rPr>
                <w:rFonts w:hint="eastAsia" w:ascii="宋体" w:hAnsi="宋体" w:eastAsia="宋体" w:cs="宋体"/>
                <w:b/>
                <w:color w:val="000000" w:themeColor="text1"/>
                <w:sz w:val="21"/>
                <w:szCs w:val="21"/>
                <w:highlight w:val="none"/>
                <w:lang w:eastAsia="zh-CN"/>
                <w14:textFill>
                  <w14:solidFill>
                    <w14:schemeClr w14:val="tx1"/>
                  </w14:solidFill>
                </w14:textFill>
              </w:rPr>
              <w:t>工程量清单编制说明</w:t>
            </w:r>
          </w:p>
          <w:p w14:paraId="143967CA">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1.工程量清单应与招标文件、招标项目图纸等文件结合起来查阅与理解，工程量清单中所描述的项目特征仅为招标人对该分部分项工程特征的概述，而非是工程特征的全面描述，计价时必须按施工图纸及相关的国家规范的要求。</w:t>
            </w:r>
          </w:p>
          <w:p w14:paraId="2FACD34C">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2.对于清单项目特征描述不清楚的，请投标人结合设计图纸报价，并应当综合考虑施工规范、地方规章等的要求，所产生的费用计入投标报价中；清单特征中未描述的，但13计价规范中注明的工程内容，承包人在报价中应充分考虑“工程内容”而产生的费用，列入相应报价中。</w:t>
            </w:r>
          </w:p>
          <w:p w14:paraId="530C50CF">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3.投标人具有核查工程量清单及图纸的义务，若踏勘现场、工程量清单项目、数量等与图纸出现不一致，投标人在澄清答疑过程中未及时提出，即视为投标人对工程量清单、图纸已认可。</w:t>
            </w:r>
          </w:p>
          <w:p w14:paraId="78A11806">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4.人工效降低费、高（中）考、节假日、市内重大活动期间、省市各级领导对工地现场进行视察以及发包人需要的时间段内，可能对施工作出某些限制和配合要求，投标人应予以服从，并按要求作出必要的配合，这可能降低投标人的工效，发包人不向投标人增加费用支出。投标人在投标报价时应在措施费中列入此项费用，结算时不予调整；</w:t>
            </w:r>
          </w:p>
          <w:p w14:paraId="09421CA9">
            <w:pPr>
              <w:pStyle w:val="11"/>
              <w:spacing w:line="360" w:lineRule="auto"/>
              <w:rPr>
                <w:rFonts w:hint="default"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5.各级政府相关管理部门对施工现场进行的有关建筑工程安全防护、文明施工的各项检查而发生的费用，无论在投标报价中是否单独列出均由承包人承担。</w:t>
            </w:r>
          </w:p>
          <w:p w14:paraId="2223DCEC">
            <w:pPr>
              <w:pStyle w:val="11"/>
              <w:numPr>
                <w:ilvl w:val="0"/>
                <w:numId w:val="0"/>
              </w:numPr>
              <w:spacing w:line="360" w:lineRule="auto"/>
              <w:ind w:left="480" w:leftChars="0"/>
              <w:rPr>
                <w:rFonts w:hint="eastAsia" w:ascii="宋体" w:hAnsi="宋体" w:cs="宋体"/>
                <w:b/>
                <w:color w:val="000000" w:themeColor="text1"/>
                <w:sz w:val="21"/>
                <w:szCs w:val="21"/>
                <w:highlight w:val="none"/>
                <w:lang w:eastAsia="zh-CN"/>
                <w14:textFill>
                  <w14:solidFill>
                    <w14:schemeClr w14:val="tx1"/>
                  </w14:solidFill>
                </w14:textFill>
              </w:rPr>
            </w:pPr>
            <w:r>
              <w:rPr>
                <w:rFonts w:hint="eastAsia" w:ascii="宋体" w:hAnsi="宋体" w:cs="宋体"/>
                <w:b/>
                <w:color w:val="000000" w:themeColor="text1"/>
                <w:sz w:val="21"/>
                <w:szCs w:val="21"/>
                <w:highlight w:val="none"/>
                <w:lang w:eastAsia="zh-CN"/>
                <w14:textFill>
                  <w14:solidFill>
                    <w14:schemeClr w14:val="tx1"/>
                  </w14:solidFill>
                </w14:textFill>
              </w:rPr>
              <w:t>五、材料与施工特殊要求</w:t>
            </w:r>
          </w:p>
          <w:p w14:paraId="6062FD18">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1.砼：所有砼必须采用商品砼，砼是否采用泵送由各投标人自行考虑，中标后不作调整。</w:t>
            </w:r>
          </w:p>
          <w:p w14:paraId="06246984">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2.砂浆：本次招标砂浆按预拌砂浆考虑，现场使用干拌或湿拌由投标人自行考虑， 结算时不作调整。</w:t>
            </w:r>
          </w:p>
          <w:p w14:paraId="1103F2F3">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3.其它详见招标文件。</w:t>
            </w:r>
          </w:p>
          <w:p w14:paraId="1C05D85A">
            <w:pPr>
              <w:pStyle w:val="11"/>
              <w:numPr>
                <w:ilvl w:val="0"/>
                <w:numId w:val="0"/>
              </w:numPr>
              <w:spacing w:line="360" w:lineRule="auto"/>
              <w:ind w:left="480" w:leftChars="0"/>
              <w:rPr>
                <w:rFonts w:hint="eastAsia" w:ascii="宋体" w:hAnsi="宋体" w:cs="宋体"/>
                <w:b/>
                <w:color w:val="000000" w:themeColor="text1"/>
                <w:sz w:val="21"/>
                <w:szCs w:val="21"/>
                <w:highlight w:val="none"/>
                <w:lang w:eastAsia="zh-CN"/>
                <w14:textFill>
                  <w14:solidFill>
                    <w14:schemeClr w14:val="tx1"/>
                  </w14:solidFill>
                </w14:textFill>
              </w:rPr>
            </w:pPr>
            <w:r>
              <w:rPr>
                <w:rFonts w:hint="eastAsia" w:ascii="宋体" w:hAnsi="宋体" w:cs="宋体"/>
                <w:b/>
                <w:color w:val="000000" w:themeColor="text1"/>
                <w:sz w:val="21"/>
                <w:szCs w:val="21"/>
                <w:highlight w:val="none"/>
                <w:lang w:eastAsia="zh-CN"/>
                <w14:textFill>
                  <w14:solidFill>
                    <w14:schemeClr w14:val="tx1"/>
                  </w14:solidFill>
                </w14:textFill>
              </w:rPr>
              <w:t>六、其它说明</w:t>
            </w:r>
          </w:p>
          <w:p w14:paraId="6567C00A">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1.本工程拆除及垃圾外运等工作内容，投标人自行勘察现场，铲除后的界面需符合二次施工要求。请投标人在报价中充分考虑，结算时不得另行增加其它费用。</w:t>
            </w:r>
          </w:p>
          <w:p w14:paraId="1BD7947B">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2.各投标人必须充分勘察现场实际情况，自行考虑物料二次转运费、机械进退场时移位费等；踏勘现场后视为投标人对现场情况已有充分了解，所有现场可以预见的施工费用在投标报价中予以考虑，结算时以上费用不予调整。</w:t>
            </w:r>
          </w:p>
          <w:p w14:paraId="13C41E50">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3.投标人应先到需施工的现场勘查以充分了解其施工环境，工地位置，招标人对于现有的施工环境及条件将不增加任何投入，请投标人自行考虑并计入投标价内。</w:t>
            </w:r>
          </w:p>
          <w:p w14:paraId="7DCA08CE">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4.各投标人在投标报价时，需结合现场情况进行报价，实际施工时无论挖土深度、人工运输距离、湿土或干土、土壤类别等有无变化，其单价均不调整。</w:t>
            </w:r>
          </w:p>
          <w:p w14:paraId="501D071D">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5.拆除垃圾清运的挖、人工装袋、二次倒运、上下楼搬运、装车、外运距离等由投标单位自行确定并报价，报价必须含保洁费等全部外运费用。</w:t>
            </w:r>
          </w:p>
          <w:p w14:paraId="337974C6">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6.总价措施项目，投标人可根据工程实际施工组织的需要进行增补，结算时费率不得调整。充分考虑施工现场地下管线和邻近建筑物、构筑物的保护，外部协调（居民、商户等）、二次搬运、施工难度等因素，相关费用投标人在报价中充分考虑，与此有关的费用不予调整。</w:t>
            </w:r>
          </w:p>
          <w:p w14:paraId="31F71A07">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7.施工时为确保工程的顺利实施，投标人应充分考虑现场的实际情况，采取必要措施，对于措施项目清单中实际需要发生而未列出的措施费项目投标人可以自行增补，并计入总价措施项目清单中。投标人应根据自身编制的施工组织设计自主确定施工技术措施项目及其报价。</w:t>
            </w:r>
          </w:p>
          <w:p w14:paraId="072D7419">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8.单价措施项目工程量为1项的项目，请投标人在报价中充分考虑，结算时不得另行增加其它</w:t>
            </w:r>
          </w:p>
          <w:p w14:paraId="72AC1D6F">
            <w:pPr>
              <w:pStyle w:val="11"/>
              <w:spacing w:line="360" w:lineRule="auto"/>
              <w:ind w:left="0" w:leftChars="0" w:firstLine="0" w:firstLineChars="0"/>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费用。</w:t>
            </w:r>
          </w:p>
          <w:p w14:paraId="4A484237">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9.本项目对于施工时间的限制、拆除垃圾的运输、施工场地、临设场地、二次搬运的影响等，</w:t>
            </w:r>
          </w:p>
          <w:p w14:paraId="419FBBC6">
            <w:pPr>
              <w:pStyle w:val="11"/>
              <w:spacing w:line="360" w:lineRule="auto"/>
              <w:ind w:left="0" w:leftChars="0" w:firstLine="0" w:firstLineChars="0"/>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请投标人在报价中充分考虑，结算时不得增加与此有关的费用。</w:t>
            </w:r>
          </w:p>
          <w:p w14:paraId="72A9C5E7">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10.对于江苏省、南京市相关部门对工程施工要求所发的文件规定，特别是对于工程围挡、扬尘</w:t>
            </w:r>
          </w:p>
          <w:p w14:paraId="0016714F">
            <w:pPr>
              <w:pStyle w:val="11"/>
              <w:spacing w:line="360" w:lineRule="auto"/>
              <w:ind w:left="0" w:leftChars="0" w:firstLine="0" w:firstLineChars="0"/>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控制等的要求，请投标人在报价中充分考虑，结算时不得增加与此有关的费用。</w:t>
            </w:r>
          </w:p>
          <w:p w14:paraId="67BFF3A1">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11.成品保护由投标单位负责。</w:t>
            </w:r>
          </w:p>
          <w:p w14:paraId="6285C030">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12.现场需符合“精细化建设管理要求”，所需费用投标人自行考虑在报价中。</w:t>
            </w:r>
          </w:p>
          <w:p w14:paraId="479BE98D">
            <w:pPr>
              <w:pStyle w:val="11"/>
              <w:spacing w:line="360" w:lineRule="auto"/>
              <w:ind w:left="0" w:leftChars="0" w:firstLine="420" w:firstLineChars="200"/>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13.根据《省住房城乡建设厅关于调整建设工程按质论价等费用计取方法的公告》（[2018]第24</w:t>
            </w:r>
          </w:p>
          <w:p w14:paraId="39E7BE00">
            <w:pPr>
              <w:pStyle w:val="11"/>
              <w:spacing w:line="360" w:lineRule="auto"/>
              <w:ind w:left="0" w:leftChars="0" w:firstLine="0" w:firstLineChars="0"/>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号），在安全文明施工费用中增列扬尘污染防治增加费。</w:t>
            </w:r>
          </w:p>
          <w:p w14:paraId="1AC67888">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14.执行省住房城乡建设厅关于建筑工人实名制费用计取方法的公告〔2019〕19号文。</w:t>
            </w:r>
          </w:p>
          <w:p w14:paraId="2C8E1BB9">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15.本项目所有管道的穿墙、穿板、打洞、开槽、穿梁、绕梁、开孔、封堵、修补等一系列相关工作内容，请投标单位按规范及图纸要求自行考虑在投标总价中，施工过程中不再另行办理工程签证。</w:t>
            </w:r>
          </w:p>
          <w:p w14:paraId="180B8263">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16.各种管道孔（含水、电、燃气、电信等公共基础配套设施所涉及的管道孔洞）的预留、填补及防水、金属构件与墙体连接填补及防水，管线暗埋的开槽刨沟及砼面压槽、电表箱、配电箱及消火栓箱等预留（含预留木盒制作、安装、拆除、清理、洞口填缝及饰面修补等），请投标人在投标报价中充分考虑，结算时不予调整。</w:t>
            </w:r>
          </w:p>
          <w:p w14:paraId="521025D2">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17.施工图设计以外的防粉刷层空鼓开裂措施、防渗漏措施，由投标人在报价中充分考虑，结算时不得增加相关费用。</w:t>
            </w:r>
          </w:p>
          <w:p w14:paraId="50F4791A">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18.对于设计中应该埋置的砌体与砼主体结构相连的拉结筋和二次构件等所有与砼主体结构及主体砼结构之间的连接钢筋，幕墙设计图纸要求的螺栓、埋件等必须根据设计要求安装到位，请投标人在报价中充分考虑，竣工结算时不予调整。</w:t>
            </w:r>
          </w:p>
          <w:p w14:paraId="32C0057B">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19.内墙护角线综合考虑在相应内墙抹灰清单中；外墙抹灰、涂料等，需按外立面抹灰要求,分格缝、窗台滴水、装饰线条、女儿墙、阳台栏板顶面找坡等细部节点及造型等零星,均按设计、规范及验收要求,综合考虑在投标报价中。</w:t>
            </w:r>
          </w:p>
          <w:p w14:paraId="32D82DCC">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20.对于现场实际情况（如场地不平、现场排水、基坑降排水等）由投标人在投标报价中充分考虑，结算时不得增加相关费用。</w:t>
            </w:r>
          </w:p>
          <w:p w14:paraId="0E2AE240">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21.请投标人结合本工程特点、建设方的要求、政府政策、周围环境等一切因素，在报价中充分考虑赶工措施费用，结算时不另增加费用。</w:t>
            </w:r>
          </w:p>
          <w:p w14:paraId="79BFD829">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22.对于预留金、暂估价费用为招标人费用，投标人不得让利，否则按招标人给定的价格扣除。</w:t>
            </w:r>
          </w:p>
          <w:p w14:paraId="05EDAE56">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23.砼模板材质由投标人自行考虑进行投标报价，结算时不得因材质不同增加相关费用。</w:t>
            </w:r>
          </w:p>
          <w:p w14:paraId="4D5CBD7A">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24.投标人应对招标文件及其附件和本次工程量清单中的每一个清单项进行报价 ，如漏报或少报项目，则视为其费用已含在其他项目的单价或合价中，结算时不予调整。</w:t>
            </w:r>
          </w:p>
          <w:p w14:paraId="2AE3E06D">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25.招标人在实施过程中保留调整工程量清单或改变主要材料、设备等供应方式的权利。</w:t>
            </w:r>
          </w:p>
          <w:p w14:paraId="0800BA61">
            <w:pPr>
              <w:pStyle w:val="11"/>
              <w:spacing w:line="360" w:lineRule="auto"/>
              <w:rPr>
                <w:rFonts w:hint="eastAsia" w:ascii="宋体" w:hAnsi="宋体" w:cs="Times New Roman"/>
                <w:color w:val="auto"/>
                <w:sz w:val="21"/>
                <w:szCs w:val="21"/>
                <w:highlight w:val="none"/>
                <w:lang w:val="en-US" w:eastAsia="zh-CN" w:bidi="en-US"/>
              </w:rPr>
            </w:pPr>
            <w:r>
              <w:rPr>
                <w:rFonts w:hint="eastAsia" w:ascii="宋体" w:hAnsi="宋体" w:cs="Times New Roman"/>
                <w:color w:val="auto"/>
                <w:sz w:val="21"/>
                <w:szCs w:val="21"/>
                <w:highlight w:val="none"/>
                <w:lang w:val="en-US" w:eastAsia="zh-CN" w:bidi="en-US"/>
              </w:rPr>
              <w:t>26.本工程施工外部协调工作由投标人负责，投标人应充分考虑周边地域情况以及城管、文保、环保等行政主管部门的监督检查，并将此费用考虑在投标报价中，结算时发包人不再为此增加费用。</w:t>
            </w:r>
          </w:p>
          <w:p w14:paraId="79AF1F8E">
            <w:pPr>
              <w:numPr>
                <w:ilvl w:val="0"/>
                <w:numId w:val="0"/>
              </w:numPr>
              <w:tabs>
                <w:tab w:val="left" w:pos="889"/>
                <w:tab w:val="left" w:pos="1031"/>
              </w:tabs>
              <w:spacing w:line="360" w:lineRule="auto"/>
              <w:ind w:firstLine="422" w:firstLineChars="200"/>
              <w:rPr>
                <w:rFonts w:hint="eastAsia" w:ascii="宋体" w:hAnsi="宋体" w:eastAsia="宋体" w:cs="宋体"/>
                <w:b/>
                <w:bCs/>
                <w:color w:val="000000" w:themeColor="text1"/>
                <w:sz w:val="21"/>
                <w:szCs w:val="21"/>
                <w:lang w:eastAsia="zh-CN"/>
                <w14:textFill>
                  <w14:solidFill>
                    <w14:schemeClr w14:val="tx1"/>
                  </w14:solidFill>
                </w14:textFill>
              </w:rPr>
            </w:pPr>
            <w:r>
              <w:rPr>
                <w:rFonts w:hint="eastAsia" w:ascii="宋体" w:hAnsi="宋体" w:eastAsia="宋体" w:cs="宋体"/>
                <w:b/>
                <w:bCs/>
                <w:color w:val="000000" w:themeColor="text1"/>
                <w:sz w:val="21"/>
                <w:szCs w:val="21"/>
                <w:lang w:eastAsia="zh-CN"/>
                <w14:textFill>
                  <w14:solidFill>
                    <w14:schemeClr w14:val="tx1"/>
                  </w14:solidFill>
                </w14:textFill>
              </w:rPr>
              <w:t>七、品牌及质量要求：</w:t>
            </w:r>
          </w:p>
          <w:p w14:paraId="3A0D6354">
            <w:pPr>
              <w:numPr>
                <w:ilvl w:val="0"/>
                <w:numId w:val="0"/>
              </w:numPr>
              <w:tabs>
                <w:tab w:val="left" w:pos="889"/>
                <w:tab w:val="left" w:pos="1031"/>
              </w:tabs>
              <w:spacing w:line="360" w:lineRule="auto"/>
              <w:ind w:firstLine="420" w:firstLineChars="200"/>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招标人对以下材料、设备有品牌要求，投标人报价时可参照或不低于材料、设备品牌表要求选择。招标人在实施过程中保留调整工程量清单或改变主要材料、设备等供应方式的权利。所有材料、设备等进场前必须报招标人和监理确认品牌和质量后方可批量进场，否则一切后果自行承担。</w:t>
            </w:r>
          </w:p>
          <w:tbl>
            <w:tblPr>
              <w:tblStyle w:val="8"/>
              <w:tblW w:w="92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6"/>
              <w:gridCol w:w="2322"/>
              <w:gridCol w:w="2767"/>
              <w:gridCol w:w="3597"/>
            </w:tblGrid>
            <w:tr w14:paraId="74C4C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noWrap w:val="0"/>
                  <w:tcMar>
                    <w:top w:w="15" w:type="dxa"/>
                    <w:left w:w="15" w:type="dxa"/>
                    <w:right w:w="15" w:type="dxa"/>
                  </w:tcMar>
                  <w:vAlign w:val="center"/>
                </w:tcPr>
                <w:p w14:paraId="7D4786A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序号</w:t>
                  </w:r>
                </w:p>
              </w:tc>
              <w:tc>
                <w:tcPr>
                  <w:tcW w:w="2322" w:type="dxa"/>
                  <w:noWrap w:val="0"/>
                  <w:tcMar>
                    <w:top w:w="15" w:type="dxa"/>
                    <w:left w:w="15" w:type="dxa"/>
                    <w:right w:w="15" w:type="dxa"/>
                  </w:tcMar>
                  <w:vAlign w:val="center"/>
                </w:tcPr>
                <w:p w14:paraId="2F45CB42">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材料名称</w:t>
                  </w:r>
                </w:p>
              </w:tc>
              <w:tc>
                <w:tcPr>
                  <w:tcW w:w="2767" w:type="dxa"/>
                  <w:noWrap w:val="0"/>
                  <w:tcMar>
                    <w:top w:w="15" w:type="dxa"/>
                    <w:left w:w="15" w:type="dxa"/>
                    <w:right w:w="15" w:type="dxa"/>
                  </w:tcMar>
                  <w:vAlign w:val="center"/>
                </w:tcPr>
                <w:p w14:paraId="4D84AB2F">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材料品牌或型号</w:t>
                  </w:r>
                </w:p>
              </w:tc>
              <w:tc>
                <w:tcPr>
                  <w:tcW w:w="3597" w:type="dxa"/>
                  <w:noWrap w:val="0"/>
                  <w:vAlign w:val="center"/>
                </w:tcPr>
                <w:p w14:paraId="1A38D19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备注</w:t>
                  </w:r>
                </w:p>
              </w:tc>
            </w:tr>
            <w:tr w14:paraId="099DC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7DB1AA06">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1</w:t>
                  </w:r>
                </w:p>
              </w:tc>
              <w:tc>
                <w:tcPr>
                  <w:tcW w:w="2322" w:type="dxa"/>
                  <w:shd w:val="clear" w:color="auto" w:fill="auto"/>
                  <w:noWrap w:val="0"/>
                  <w:tcMar>
                    <w:top w:w="15" w:type="dxa"/>
                    <w:left w:w="15" w:type="dxa"/>
                    <w:right w:w="15" w:type="dxa"/>
                  </w:tcMar>
                  <w:vAlign w:val="center"/>
                </w:tcPr>
                <w:p w14:paraId="482D688F">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龙骨</w:t>
                  </w:r>
                </w:p>
              </w:tc>
              <w:tc>
                <w:tcPr>
                  <w:tcW w:w="2767" w:type="dxa"/>
                  <w:shd w:val="clear" w:color="auto" w:fill="auto"/>
                  <w:noWrap w:val="0"/>
                  <w:tcMar>
                    <w:top w:w="15" w:type="dxa"/>
                    <w:left w:w="15" w:type="dxa"/>
                    <w:right w:w="15" w:type="dxa"/>
                  </w:tcMar>
                  <w:vAlign w:val="center"/>
                </w:tcPr>
                <w:p w14:paraId="236BCE82">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泰山、龙牌、可耐福</w:t>
                  </w:r>
                </w:p>
              </w:tc>
              <w:tc>
                <w:tcPr>
                  <w:tcW w:w="3597" w:type="dxa"/>
                  <w:shd w:val="clear" w:color="auto" w:fill="auto"/>
                  <w:noWrap w:val="0"/>
                  <w:vAlign w:val="center"/>
                </w:tcPr>
                <w:p w14:paraId="42EB8E9B">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75型厚0.8</w:t>
                  </w:r>
                </w:p>
              </w:tc>
            </w:tr>
            <w:tr w14:paraId="267C4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0668FC05">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2</w:t>
                  </w:r>
                </w:p>
              </w:tc>
              <w:tc>
                <w:tcPr>
                  <w:tcW w:w="2322" w:type="dxa"/>
                  <w:shd w:val="clear" w:color="auto" w:fill="auto"/>
                  <w:noWrap w:val="0"/>
                  <w:tcMar>
                    <w:top w:w="15" w:type="dxa"/>
                    <w:left w:w="15" w:type="dxa"/>
                    <w:right w:w="15" w:type="dxa"/>
                  </w:tcMar>
                  <w:vAlign w:val="center"/>
                </w:tcPr>
                <w:p w14:paraId="4549B8DF">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石膏板</w:t>
                  </w:r>
                </w:p>
              </w:tc>
              <w:tc>
                <w:tcPr>
                  <w:tcW w:w="2767" w:type="dxa"/>
                  <w:shd w:val="clear" w:color="auto" w:fill="auto"/>
                  <w:noWrap w:val="0"/>
                  <w:tcMar>
                    <w:top w:w="15" w:type="dxa"/>
                    <w:left w:w="15" w:type="dxa"/>
                    <w:right w:w="15" w:type="dxa"/>
                  </w:tcMar>
                  <w:vAlign w:val="center"/>
                </w:tcPr>
                <w:p w14:paraId="5957C23A">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泰山、龙牌、可耐福</w:t>
                  </w:r>
                </w:p>
              </w:tc>
              <w:tc>
                <w:tcPr>
                  <w:tcW w:w="3597" w:type="dxa"/>
                  <w:shd w:val="clear" w:color="auto" w:fill="auto"/>
                  <w:noWrap w:val="0"/>
                  <w:vAlign w:val="center"/>
                </w:tcPr>
                <w:p w14:paraId="5849EC98">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1200*2400*12mm</w:t>
                  </w:r>
                </w:p>
              </w:tc>
            </w:tr>
            <w:tr w14:paraId="0CEC4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015299B6">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3</w:t>
                  </w:r>
                </w:p>
              </w:tc>
              <w:tc>
                <w:tcPr>
                  <w:tcW w:w="2322" w:type="dxa"/>
                  <w:shd w:val="clear" w:color="auto" w:fill="auto"/>
                  <w:noWrap w:val="0"/>
                  <w:tcMar>
                    <w:top w:w="15" w:type="dxa"/>
                    <w:left w:w="15" w:type="dxa"/>
                    <w:right w:w="15" w:type="dxa"/>
                  </w:tcMar>
                  <w:vAlign w:val="center"/>
                </w:tcPr>
                <w:p w14:paraId="5B0B90C4">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木工板</w:t>
                  </w:r>
                </w:p>
              </w:tc>
              <w:tc>
                <w:tcPr>
                  <w:tcW w:w="2767" w:type="dxa"/>
                  <w:shd w:val="clear" w:color="auto" w:fill="auto"/>
                  <w:noWrap w:val="0"/>
                  <w:tcMar>
                    <w:top w:w="15" w:type="dxa"/>
                    <w:left w:w="15" w:type="dxa"/>
                    <w:right w:w="15" w:type="dxa"/>
                  </w:tcMar>
                  <w:vAlign w:val="center"/>
                </w:tcPr>
                <w:p w14:paraId="7ADACB73">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兔宝宝、莫干山、大王椰</w:t>
                  </w:r>
                </w:p>
              </w:tc>
              <w:tc>
                <w:tcPr>
                  <w:tcW w:w="3597" w:type="dxa"/>
                  <w:shd w:val="clear" w:color="auto" w:fill="auto"/>
                  <w:noWrap w:val="0"/>
                  <w:vAlign w:val="center"/>
                </w:tcPr>
                <w:p w14:paraId="2712C6E6">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2440*1220*18mm</w:t>
                  </w:r>
                </w:p>
              </w:tc>
            </w:tr>
            <w:tr w14:paraId="2C50D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50E81965">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4</w:t>
                  </w:r>
                </w:p>
              </w:tc>
              <w:tc>
                <w:tcPr>
                  <w:tcW w:w="2322" w:type="dxa"/>
                  <w:shd w:val="clear" w:color="auto" w:fill="auto"/>
                  <w:noWrap w:val="0"/>
                  <w:tcMar>
                    <w:top w:w="15" w:type="dxa"/>
                    <w:left w:w="15" w:type="dxa"/>
                    <w:right w:w="15" w:type="dxa"/>
                  </w:tcMar>
                  <w:vAlign w:val="center"/>
                </w:tcPr>
                <w:p w14:paraId="51D0289B">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灯具</w:t>
                  </w:r>
                </w:p>
              </w:tc>
              <w:tc>
                <w:tcPr>
                  <w:tcW w:w="2767" w:type="dxa"/>
                  <w:shd w:val="clear" w:color="auto" w:fill="auto"/>
                  <w:noWrap w:val="0"/>
                  <w:tcMar>
                    <w:top w:w="15" w:type="dxa"/>
                    <w:left w:w="15" w:type="dxa"/>
                    <w:right w:w="15" w:type="dxa"/>
                  </w:tcMar>
                  <w:vAlign w:val="center"/>
                </w:tcPr>
                <w:p w14:paraId="38BEC23B">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雷士、欧普、三极雄光</w:t>
                  </w:r>
                </w:p>
              </w:tc>
              <w:tc>
                <w:tcPr>
                  <w:tcW w:w="3597" w:type="dxa"/>
                  <w:shd w:val="clear" w:color="auto" w:fill="auto"/>
                  <w:noWrap w:val="0"/>
                  <w:vAlign w:val="center"/>
                </w:tcPr>
                <w:p w14:paraId="0A8C4AE2">
                  <w:pPr>
                    <w:jc w:val="center"/>
                    <w:rPr>
                      <w:rFonts w:hint="eastAsia" w:ascii="宋体" w:hAnsi="宋体" w:eastAsia="宋体" w:cs="宋体"/>
                      <w:color w:val="000000"/>
                      <w:sz w:val="21"/>
                      <w:szCs w:val="21"/>
                      <w:lang w:val="en-US" w:eastAsia="en-US"/>
                    </w:rPr>
                  </w:pPr>
                </w:p>
              </w:tc>
            </w:tr>
            <w:tr w14:paraId="229EE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7301057A">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5</w:t>
                  </w:r>
                </w:p>
              </w:tc>
              <w:tc>
                <w:tcPr>
                  <w:tcW w:w="2322" w:type="dxa"/>
                  <w:shd w:val="clear" w:color="auto" w:fill="auto"/>
                  <w:noWrap w:val="0"/>
                  <w:tcMar>
                    <w:top w:w="15" w:type="dxa"/>
                    <w:left w:w="15" w:type="dxa"/>
                    <w:right w:w="15" w:type="dxa"/>
                  </w:tcMar>
                  <w:vAlign w:val="center"/>
                </w:tcPr>
                <w:p w14:paraId="3ADEFD31">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电线</w:t>
                  </w:r>
                </w:p>
              </w:tc>
              <w:tc>
                <w:tcPr>
                  <w:tcW w:w="2767" w:type="dxa"/>
                  <w:shd w:val="clear" w:color="auto" w:fill="auto"/>
                  <w:noWrap w:val="0"/>
                  <w:tcMar>
                    <w:top w:w="15" w:type="dxa"/>
                    <w:left w:w="15" w:type="dxa"/>
                    <w:right w:w="15" w:type="dxa"/>
                  </w:tcMar>
                  <w:vAlign w:val="center"/>
                </w:tcPr>
                <w:p w14:paraId="752AB22D">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远东、江南、上上</w:t>
                  </w:r>
                </w:p>
              </w:tc>
              <w:tc>
                <w:tcPr>
                  <w:tcW w:w="3597" w:type="dxa"/>
                  <w:shd w:val="clear" w:color="auto" w:fill="auto"/>
                  <w:noWrap w:val="0"/>
                  <w:vAlign w:val="center"/>
                </w:tcPr>
                <w:p w14:paraId="7204DFDE">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NH-BV</w:t>
                  </w:r>
                </w:p>
              </w:tc>
            </w:tr>
            <w:tr w14:paraId="2D03B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657866BB">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6</w:t>
                  </w:r>
                </w:p>
              </w:tc>
              <w:tc>
                <w:tcPr>
                  <w:tcW w:w="2322" w:type="dxa"/>
                  <w:shd w:val="clear" w:color="auto" w:fill="auto"/>
                  <w:noWrap w:val="0"/>
                  <w:tcMar>
                    <w:top w:w="15" w:type="dxa"/>
                    <w:left w:w="15" w:type="dxa"/>
                    <w:right w:w="15" w:type="dxa"/>
                  </w:tcMar>
                  <w:vAlign w:val="center"/>
                </w:tcPr>
                <w:p w14:paraId="70F3B444">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开关面板</w:t>
                  </w:r>
                </w:p>
              </w:tc>
              <w:tc>
                <w:tcPr>
                  <w:tcW w:w="2767" w:type="dxa"/>
                  <w:shd w:val="clear" w:color="auto" w:fill="auto"/>
                  <w:noWrap w:val="0"/>
                  <w:tcMar>
                    <w:top w:w="15" w:type="dxa"/>
                    <w:left w:w="15" w:type="dxa"/>
                    <w:right w:w="15" w:type="dxa"/>
                  </w:tcMar>
                  <w:vAlign w:val="center"/>
                </w:tcPr>
                <w:p w14:paraId="3172F7D6">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施耐德、罗格朗、公牛</w:t>
                  </w:r>
                </w:p>
              </w:tc>
              <w:tc>
                <w:tcPr>
                  <w:tcW w:w="3597" w:type="dxa"/>
                  <w:noWrap w:val="0"/>
                  <w:vAlign w:val="center"/>
                </w:tcPr>
                <w:p w14:paraId="064448F5">
                  <w:pPr>
                    <w:jc w:val="center"/>
                    <w:rPr>
                      <w:rFonts w:hint="eastAsia" w:ascii="宋体" w:hAnsi="宋体" w:eastAsia="宋体" w:cs="宋体"/>
                      <w:color w:val="000000"/>
                      <w:sz w:val="21"/>
                      <w:szCs w:val="21"/>
                    </w:rPr>
                  </w:pPr>
                </w:p>
              </w:tc>
            </w:tr>
            <w:tr w14:paraId="2604C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3EDE8834">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7</w:t>
                  </w:r>
                </w:p>
              </w:tc>
              <w:tc>
                <w:tcPr>
                  <w:tcW w:w="2322" w:type="dxa"/>
                  <w:shd w:val="clear" w:color="auto" w:fill="auto"/>
                  <w:noWrap w:val="0"/>
                  <w:tcMar>
                    <w:top w:w="15" w:type="dxa"/>
                    <w:left w:w="15" w:type="dxa"/>
                    <w:right w:w="15" w:type="dxa"/>
                  </w:tcMar>
                  <w:vAlign w:val="center"/>
                </w:tcPr>
                <w:p w14:paraId="33BA0758">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电缆</w:t>
                  </w:r>
                </w:p>
              </w:tc>
              <w:tc>
                <w:tcPr>
                  <w:tcW w:w="2767" w:type="dxa"/>
                  <w:shd w:val="clear" w:color="auto" w:fill="auto"/>
                  <w:noWrap w:val="0"/>
                  <w:tcMar>
                    <w:top w:w="15" w:type="dxa"/>
                    <w:left w:w="15" w:type="dxa"/>
                    <w:right w:w="15" w:type="dxa"/>
                  </w:tcMar>
                  <w:vAlign w:val="center"/>
                </w:tcPr>
                <w:p w14:paraId="0F74CAF3">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远东、江南、上上</w:t>
                  </w:r>
                </w:p>
              </w:tc>
              <w:tc>
                <w:tcPr>
                  <w:tcW w:w="3597" w:type="dxa"/>
                  <w:noWrap w:val="0"/>
                  <w:vAlign w:val="center"/>
                </w:tcPr>
                <w:p w14:paraId="304595F3">
                  <w:pPr>
                    <w:jc w:val="center"/>
                    <w:rPr>
                      <w:rFonts w:hint="eastAsia" w:ascii="宋体" w:hAnsi="宋体" w:eastAsia="宋体" w:cs="宋体"/>
                      <w:color w:val="000000"/>
                      <w:sz w:val="21"/>
                      <w:szCs w:val="21"/>
                    </w:rPr>
                  </w:pPr>
                </w:p>
              </w:tc>
            </w:tr>
            <w:tr w14:paraId="6FC9F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35D64455">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8</w:t>
                  </w:r>
                </w:p>
              </w:tc>
              <w:tc>
                <w:tcPr>
                  <w:tcW w:w="2322" w:type="dxa"/>
                  <w:shd w:val="clear" w:color="auto" w:fill="auto"/>
                  <w:noWrap w:val="0"/>
                  <w:tcMar>
                    <w:top w:w="15" w:type="dxa"/>
                    <w:left w:w="15" w:type="dxa"/>
                    <w:right w:w="15" w:type="dxa"/>
                  </w:tcMar>
                  <w:vAlign w:val="center"/>
                </w:tcPr>
                <w:p w14:paraId="77BE5DB6">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电箱及空气开关</w:t>
                  </w:r>
                </w:p>
              </w:tc>
              <w:tc>
                <w:tcPr>
                  <w:tcW w:w="2767" w:type="dxa"/>
                  <w:shd w:val="clear" w:color="auto" w:fill="auto"/>
                  <w:noWrap w:val="0"/>
                  <w:tcMar>
                    <w:top w:w="15" w:type="dxa"/>
                    <w:left w:w="15" w:type="dxa"/>
                    <w:right w:w="15" w:type="dxa"/>
                  </w:tcMar>
                  <w:vAlign w:val="center"/>
                </w:tcPr>
                <w:p w14:paraId="3BB9F728">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施耐德、</w:t>
                  </w:r>
                  <w:r>
                    <w:rPr>
                      <w:rFonts w:hint="eastAsia" w:ascii="宋体" w:hAnsi="宋体" w:eastAsia="宋体" w:cs="宋体"/>
                      <w:color w:val="000000"/>
                      <w:sz w:val="21"/>
                      <w:szCs w:val="21"/>
                      <w:lang w:val="en-US" w:eastAsia="zh-CN"/>
                    </w:rPr>
                    <w:t>正泰</w:t>
                  </w:r>
                  <w:r>
                    <w:rPr>
                      <w:rFonts w:hint="eastAsia" w:ascii="宋体" w:hAnsi="宋体" w:eastAsia="宋体" w:cs="宋体"/>
                      <w:color w:val="000000"/>
                      <w:sz w:val="21"/>
                      <w:szCs w:val="21"/>
                    </w:rPr>
                    <w:t>、西门子</w:t>
                  </w:r>
                </w:p>
              </w:tc>
              <w:tc>
                <w:tcPr>
                  <w:tcW w:w="3597" w:type="dxa"/>
                  <w:noWrap w:val="0"/>
                  <w:vAlign w:val="center"/>
                </w:tcPr>
                <w:p w14:paraId="352E4C15">
                  <w:pPr>
                    <w:jc w:val="center"/>
                    <w:rPr>
                      <w:rFonts w:hint="eastAsia" w:ascii="宋体" w:hAnsi="宋体" w:eastAsia="宋体" w:cs="宋体"/>
                      <w:color w:val="000000"/>
                      <w:sz w:val="21"/>
                      <w:szCs w:val="21"/>
                    </w:rPr>
                  </w:pPr>
                </w:p>
              </w:tc>
            </w:tr>
            <w:tr w14:paraId="7FD5F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29B87472">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9</w:t>
                  </w:r>
                </w:p>
              </w:tc>
              <w:tc>
                <w:tcPr>
                  <w:tcW w:w="2322" w:type="dxa"/>
                  <w:shd w:val="clear" w:color="auto" w:fill="auto"/>
                  <w:noWrap w:val="0"/>
                  <w:tcMar>
                    <w:top w:w="15" w:type="dxa"/>
                    <w:left w:w="15" w:type="dxa"/>
                    <w:right w:w="15" w:type="dxa"/>
                  </w:tcMar>
                  <w:vAlign w:val="center"/>
                </w:tcPr>
                <w:p w14:paraId="4FD0445D">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插座</w:t>
                  </w:r>
                </w:p>
              </w:tc>
              <w:tc>
                <w:tcPr>
                  <w:tcW w:w="2767" w:type="dxa"/>
                  <w:shd w:val="clear" w:color="auto" w:fill="auto"/>
                  <w:noWrap w:val="0"/>
                  <w:tcMar>
                    <w:top w:w="15" w:type="dxa"/>
                    <w:left w:w="15" w:type="dxa"/>
                    <w:right w:w="15" w:type="dxa"/>
                  </w:tcMar>
                  <w:vAlign w:val="center"/>
                </w:tcPr>
                <w:p w14:paraId="2FEBF7F1">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西门子、施耐德、公牛</w:t>
                  </w:r>
                </w:p>
              </w:tc>
              <w:tc>
                <w:tcPr>
                  <w:tcW w:w="3597" w:type="dxa"/>
                  <w:noWrap w:val="0"/>
                  <w:vAlign w:val="center"/>
                </w:tcPr>
                <w:p w14:paraId="72CD3B95">
                  <w:pPr>
                    <w:jc w:val="center"/>
                    <w:rPr>
                      <w:rFonts w:hint="eastAsia" w:ascii="宋体" w:hAnsi="宋体" w:eastAsia="宋体" w:cs="宋体"/>
                      <w:color w:val="000000"/>
                      <w:sz w:val="21"/>
                      <w:szCs w:val="21"/>
                    </w:rPr>
                  </w:pPr>
                </w:p>
              </w:tc>
            </w:tr>
            <w:tr w14:paraId="6785D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5BA8AEE6">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10</w:t>
                  </w:r>
                </w:p>
              </w:tc>
              <w:tc>
                <w:tcPr>
                  <w:tcW w:w="2322" w:type="dxa"/>
                  <w:shd w:val="clear" w:color="auto" w:fill="auto"/>
                  <w:noWrap w:val="0"/>
                  <w:tcMar>
                    <w:top w:w="15" w:type="dxa"/>
                    <w:left w:w="15" w:type="dxa"/>
                    <w:right w:w="15" w:type="dxa"/>
                  </w:tcMar>
                  <w:vAlign w:val="center"/>
                </w:tcPr>
                <w:p w14:paraId="43BF402C">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水泥</w:t>
                  </w:r>
                </w:p>
              </w:tc>
              <w:tc>
                <w:tcPr>
                  <w:tcW w:w="2767" w:type="dxa"/>
                  <w:shd w:val="clear" w:color="auto" w:fill="auto"/>
                  <w:noWrap w:val="0"/>
                  <w:tcMar>
                    <w:top w:w="15" w:type="dxa"/>
                    <w:left w:w="15" w:type="dxa"/>
                    <w:right w:w="15" w:type="dxa"/>
                  </w:tcMar>
                  <w:vAlign w:val="center"/>
                </w:tcPr>
                <w:p w14:paraId="61ECD439">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海螺、雨花、中联</w:t>
                  </w:r>
                </w:p>
              </w:tc>
              <w:tc>
                <w:tcPr>
                  <w:tcW w:w="3597" w:type="dxa"/>
                  <w:noWrap w:val="0"/>
                  <w:vAlign w:val="center"/>
                </w:tcPr>
                <w:p w14:paraId="472926A7">
                  <w:pPr>
                    <w:jc w:val="center"/>
                    <w:rPr>
                      <w:rFonts w:hint="eastAsia" w:ascii="宋体" w:hAnsi="宋体" w:eastAsia="宋体" w:cs="宋体"/>
                      <w:color w:val="000000"/>
                      <w:sz w:val="21"/>
                      <w:szCs w:val="21"/>
                    </w:rPr>
                  </w:pPr>
                </w:p>
              </w:tc>
            </w:tr>
            <w:tr w14:paraId="3C17B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749FE0D2">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11</w:t>
                  </w:r>
                </w:p>
              </w:tc>
              <w:tc>
                <w:tcPr>
                  <w:tcW w:w="2322" w:type="dxa"/>
                  <w:shd w:val="clear" w:color="auto" w:fill="auto"/>
                  <w:noWrap w:val="0"/>
                  <w:tcMar>
                    <w:top w:w="15" w:type="dxa"/>
                    <w:left w:w="15" w:type="dxa"/>
                    <w:right w:w="15" w:type="dxa"/>
                  </w:tcMar>
                  <w:vAlign w:val="center"/>
                </w:tcPr>
                <w:p w14:paraId="233E94C0">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上、下水管材及配件</w:t>
                  </w:r>
                </w:p>
              </w:tc>
              <w:tc>
                <w:tcPr>
                  <w:tcW w:w="2767" w:type="dxa"/>
                  <w:shd w:val="clear" w:color="auto" w:fill="auto"/>
                  <w:noWrap w:val="0"/>
                  <w:tcMar>
                    <w:top w:w="15" w:type="dxa"/>
                    <w:left w:w="15" w:type="dxa"/>
                    <w:right w:w="15" w:type="dxa"/>
                  </w:tcMar>
                  <w:vAlign w:val="center"/>
                </w:tcPr>
                <w:p w14:paraId="364BC7D1">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伟星、公元、联塑、</w:t>
                  </w:r>
                </w:p>
              </w:tc>
              <w:tc>
                <w:tcPr>
                  <w:tcW w:w="3597" w:type="dxa"/>
                  <w:noWrap w:val="0"/>
                  <w:vAlign w:val="center"/>
                </w:tcPr>
                <w:p w14:paraId="7FE17E33">
                  <w:pPr>
                    <w:jc w:val="center"/>
                    <w:rPr>
                      <w:rFonts w:hint="eastAsia" w:ascii="宋体" w:hAnsi="宋体" w:eastAsia="宋体" w:cs="宋体"/>
                      <w:color w:val="000000"/>
                      <w:sz w:val="21"/>
                      <w:szCs w:val="21"/>
                    </w:rPr>
                  </w:pPr>
                </w:p>
              </w:tc>
            </w:tr>
            <w:tr w14:paraId="5D091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6" w:type="dxa"/>
                  <w:shd w:val="clear" w:color="auto" w:fill="auto"/>
                  <w:noWrap w:val="0"/>
                  <w:tcMar>
                    <w:top w:w="15" w:type="dxa"/>
                    <w:left w:w="15" w:type="dxa"/>
                    <w:right w:w="15" w:type="dxa"/>
                  </w:tcMar>
                  <w:vAlign w:val="center"/>
                </w:tcPr>
                <w:p w14:paraId="0B7FA7C2">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lang w:val="en-US" w:eastAsia="zh-CN"/>
                    </w:rPr>
                    <w:t>12</w:t>
                  </w:r>
                </w:p>
              </w:tc>
              <w:tc>
                <w:tcPr>
                  <w:tcW w:w="2322" w:type="dxa"/>
                  <w:shd w:val="clear" w:color="auto" w:fill="auto"/>
                  <w:noWrap w:val="0"/>
                  <w:tcMar>
                    <w:top w:w="15" w:type="dxa"/>
                    <w:left w:w="15" w:type="dxa"/>
                    <w:right w:w="15" w:type="dxa"/>
                  </w:tcMar>
                  <w:vAlign w:val="center"/>
                </w:tcPr>
                <w:p w14:paraId="417E30C0">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卫生洁具</w:t>
                  </w:r>
                </w:p>
              </w:tc>
              <w:tc>
                <w:tcPr>
                  <w:tcW w:w="2767" w:type="dxa"/>
                  <w:shd w:val="clear" w:color="auto" w:fill="auto"/>
                  <w:noWrap w:val="0"/>
                  <w:tcMar>
                    <w:top w:w="15" w:type="dxa"/>
                    <w:left w:w="15" w:type="dxa"/>
                    <w:right w:w="15" w:type="dxa"/>
                  </w:tcMar>
                  <w:vAlign w:val="center"/>
                </w:tcPr>
                <w:p w14:paraId="3D98C924">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lang w:val="en-US" w:eastAsia="zh-CN"/>
                    </w:rPr>
                    <w:t>九牧、恒洁、箭牌</w:t>
                  </w:r>
                </w:p>
              </w:tc>
              <w:tc>
                <w:tcPr>
                  <w:tcW w:w="3597" w:type="dxa"/>
                  <w:noWrap w:val="0"/>
                  <w:vAlign w:val="center"/>
                </w:tcPr>
                <w:p w14:paraId="4437D643">
                  <w:pPr>
                    <w:jc w:val="center"/>
                    <w:rPr>
                      <w:rFonts w:hint="eastAsia" w:ascii="宋体" w:hAnsi="宋体" w:eastAsia="宋体" w:cs="宋体"/>
                      <w:color w:val="000000"/>
                      <w:sz w:val="21"/>
                      <w:szCs w:val="21"/>
                      <w:lang w:val="en-US" w:eastAsia="zh-CN"/>
                    </w:rPr>
                  </w:pPr>
                </w:p>
              </w:tc>
            </w:tr>
            <w:tr w14:paraId="06CE7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03572498">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13</w:t>
                  </w:r>
                </w:p>
              </w:tc>
              <w:tc>
                <w:tcPr>
                  <w:tcW w:w="2322" w:type="dxa"/>
                  <w:shd w:val="clear" w:color="auto" w:fill="auto"/>
                  <w:noWrap w:val="0"/>
                  <w:tcMar>
                    <w:top w:w="15" w:type="dxa"/>
                    <w:left w:w="15" w:type="dxa"/>
                    <w:right w:w="15" w:type="dxa"/>
                  </w:tcMar>
                  <w:vAlign w:val="center"/>
                </w:tcPr>
                <w:p w14:paraId="29E6AA88">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换气扇</w:t>
                  </w:r>
                </w:p>
              </w:tc>
              <w:tc>
                <w:tcPr>
                  <w:tcW w:w="2767" w:type="dxa"/>
                  <w:shd w:val="clear" w:color="auto" w:fill="auto"/>
                  <w:noWrap w:val="0"/>
                  <w:tcMar>
                    <w:top w:w="15" w:type="dxa"/>
                    <w:left w:w="15" w:type="dxa"/>
                    <w:right w:w="15" w:type="dxa"/>
                  </w:tcMar>
                  <w:vAlign w:val="center"/>
                </w:tcPr>
                <w:p w14:paraId="45D1FF23">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松下</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绿岛风</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鸿雁</w:t>
                  </w:r>
                </w:p>
              </w:tc>
              <w:tc>
                <w:tcPr>
                  <w:tcW w:w="3597" w:type="dxa"/>
                  <w:noWrap w:val="0"/>
                  <w:vAlign w:val="center"/>
                </w:tcPr>
                <w:p w14:paraId="55DC03FD">
                  <w:pPr>
                    <w:jc w:val="center"/>
                    <w:rPr>
                      <w:rFonts w:hint="eastAsia" w:ascii="宋体" w:hAnsi="宋体" w:eastAsia="宋体" w:cs="宋体"/>
                      <w:color w:val="000000"/>
                      <w:sz w:val="21"/>
                      <w:szCs w:val="21"/>
                    </w:rPr>
                  </w:pPr>
                </w:p>
              </w:tc>
            </w:tr>
            <w:tr w14:paraId="0E0B8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7306E51D">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14</w:t>
                  </w:r>
                </w:p>
              </w:tc>
              <w:tc>
                <w:tcPr>
                  <w:tcW w:w="2322" w:type="dxa"/>
                  <w:shd w:val="clear" w:color="auto" w:fill="auto"/>
                  <w:noWrap w:val="0"/>
                  <w:tcMar>
                    <w:top w:w="15" w:type="dxa"/>
                    <w:left w:w="15" w:type="dxa"/>
                    <w:right w:w="15" w:type="dxa"/>
                  </w:tcMar>
                  <w:vAlign w:val="center"/>
                </w:tcPr>
                <w:p w14:paraId="108C7193">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走廊吊顶</w:t>
                  </w:r>
                </w:p>
              </w:tc>
              <w:tc>
                <w:tcPr>
                  <w:tcW w:w="2767" w:type="dxa"/>
                  <w:shd w:val="clear" w:color="auto" w:fill="auto"/>
                  <w:noWrap w:val="0"/>
                  <w:tcMar>
                    <w:top w:w="15" w:type="dxa"/>
                    <w:left w:w="15" w:type="dxa"/>
                    <w:right w:w="15" w:type="dxa"/>
                  </w:tcMar>
                  <w:vAlign w:val="center"/>
                </w:tcPr>
                <w:p w14:paraId="6A86A4AC">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美惠、益飞、通达</w:t>
                  </w:r>
                </w:p>
              </w:tc>
              <w:tc>
                <w:tcPr>
                  <w:tcW w:w="3597" w:type="dxa"/>
                  <w:noWrap w:val="0"/>
                  <w:vAlign w:val="center"/>
                </w:tcPr>
                <w:p w14:paraId="7F2329E3">
                  <w:pPr>
                    <w:jc w:val="center"/>
                    <w:rPr>
                      <w:rFonts w:hint="eastAsia" w:ascii="宋体" w:hAnsi="宋体" w:eastAsia="宋体" w:cs="宋体"/>
                      <w:color w:val="000000"/>
                      <w:sz w:val="21"/>
                      <w:szCs w:val="21"/>
                    </w:rPr>
                  </w:pPr>
                </w:p>
              </w:tc>
            </w:tr>
            <w:tr w14:paraId="3E39F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1390D248">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15</w:t>
                  </w:r>
                </w:p>
              </w:tc>
              <w:tc>
                <w:tcPr>
                  <w:tcW w:w="2322" w:type="dxa"/>
                  <w:shd w:val="clear" w:color="auto" w:fill="auto"/>
                  <w:noWrap w:val="0"/>
                  <w:tcMar>
                    <w:top w:w="15" w:type="dxa"/>
                    <w:left w:w="15" w:type="dxa"/>
                    <w:right w:w="15" w:type="dxa"/>
                  </w:tcMar>
                  <w:vAlign w:val="center"/>
                </w:tcPr>
                <w:p w14:paraId="2AF5A9D8">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走廊护墙板</w:t>
                  </w:r>
                </w:p>
              </w:tc>
              <w:tc>
                <w:tcPr>
                  <w:tcW w:w="2767" w:type="dxa"/>
                  <w:shd w:val="clear" w:color="auto" w:fill="auto"/>
                  <w:noWrap w:val="0"/>
                  <w:tcMar>
                    <w:top w:w="15" w:type="dxa"/>
                    <w:left w:w="15" w:type="dxa"/>
                    <w:right w:w="15" w:type="dxa"/>
                  </w:tcMar>
                  <w:vAlign w:val="center"/>
                </w:tcPr>
                <w:p w14:paraId="5E47904C">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富慧、双景、邦弛</w:t>
                  </w:r>
                </w:p>
              </w:tc>
              <w:tc>
                <w:tcPr>
                  <w:tcW w:w="3597" w:type="dxa"/>
                  <w:noWrap w:val="0"/>
                  <w:vAlign w:val="center"/>
                </w:tcPr>
                <w:p w14:paraId="2E877008">
                  <w:pPr>
                    <w:jc w:val="center"/>
                    <w:rPr>
                      <w:rFonts w:hint="eastAsia" w:ascii="宋体" w:hAnsi="宋体" w:eastAsia="宋体" w:cs="宋体"/>
                      <w:color w:val="000000"/>
                      <w:sz w:val="21"/>
                      <w:szCs w:val="21"/>
                    </w:rPr>
                  </w:pPr>
                </w:p>
              </w:tc>
            </w:tr>
            <w:tr w14:paraId="58EE4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15843155">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16</w:t>
                  </w:r>
                </w:p>
              </w:tc>
              <w:tc>
                <w:tcPr>
                  <w:tcW w:w="2322" w:type="dxa"/>
                  <w:shd w:val="clear" w:color="auto" w:fill="auto"/>
                  <w:noWrap w:val="0"/>
                  <w:tcMar>
                    <w:top w:w="15" w:type="dxa"/>
                    <w:left w:w="15" w:type="dxa"/>
                    <w:right w:w="15" w:type="dxa"/>
                  </w:tcMar>
                  <w:vAlign w:val="center"/>
                </w:tcPr>
                <w:p w14:paraId="6CA3EB86">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复合地板</w:t>
                  </w:r>
                </w:p>
              </w:tc>
              <w:tc>
                <w:tcPr>
                  <w:tcW w:w="2767" w:type="dxa"/>
                  <w:shd w:val="clear" w:color="auto" w:fill="auto"/>
                  <w:noWrap w:val="0"/>
                  <w:tcMar>
                    <w:top w:w="15" w:type="dxa"/>
                    <w:left w:w="15" w:type="dxa"/>
                    <w:right w:w="15" w:type="dxa"/>
                  </w:tcMar>
                  <w:vAlign w:val="center"/>
                </w:tcPr>
                <w:p w14:paraId="4E8E418F">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圣象</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菲林格尔</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大自然</w:t>
                  </w:r>
                </w:p>
              </w:tc>
              <w:tc>
                <w:tcPr>
                  <w:tcW w:w="3597" w:type="dxa"/>
                  <w:noWrap w:val="0"/>
                  <w:vAlign w:val="center"/>
                </w:tcPr>
                <w:p w14:paraId="1E75FBA6">
                  <w:pPr>
                    <w:jc w:val="center"/>
                    <w:rPr>
                      <w:rFonts w:hint="eastAsia" w:ascii="宋体" w:hAnsi="宋体" w:eastAsia="宋体" w:cs="宋体"/>
                      <w:color w:val="000000"/>
                      <w:sz w:val="21"/>
                      <w:szCs w:val="21"/>
                    </w:rPr>
                  </w:pPr>
                </w:p>
              </w:tc>
            </w:tr>
            <w:tr w14:paraId="13B3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19EC59F7">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17</w:t>
                  </w:r>
                </w:p>
              </w:tc>
              <w:tc>
                <w:tcPr>
                  <w:tcW w:w="2322" w:type="dxa"/>
                  <w:shd w:val="clear" w:color="auto" w:fill="auto"/>
                  <w:noWrap w:val="0"/>
                  <w:tcMar>
                    <w:top w:w="15" w:type="dxa"/>
                    <w:left w:w="15" w:type="dxa"/>
                    <w:right w:w="15" w:type="dxa"/>
                  </w:tcMar>
                  <w:vAlign w:val="center"/>
                </w:tcPr>
                <w:p w14:paraId="7E9A534E">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网线</w:t>
                  </w:r>
                </w:p>
              </w:tc>
              <w:tc>
                <w:tcPr>
                  <w:tcW w:w="2767" w:type="dxa"/>
                  <w:shd w:val="clear" w:color="auto" w:fill="auto"/>
                  <w:noWrap w:val="0"/>
                  <w:tcMar>
                    <w:top w:w="15" w:type="dxa"/>
                    <w:left w:w="15" w:type="dxa"/>
                    <w:right w:w="15" w:type="dxa"/>
                  </w:tcMar>
                  <w:vAlign w:val="center"/>
                </w:tcPr>
                <w:p w14:paraId="6B5AC256">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普天、安普</w:t>
                  </w:r>
                </w:p>
              </w:tc>
              <w:tc>
                <w:tcPr>
                  <w:tcW w:w="3597" w:type="dxa"/>
                  <w:noWrap w:val="0"/>
                  <w:vAlign w:val="center"/>
                </w:tcPr>
                <w:p w14:paraId="7318B2C7">
                  <w:pPr>
                    <w:jc w:val="center"/>
                    <w:rPr>
                      <w:rFonts w:hint="eastAsia" w:ascii="宋体" w:hAnsi="宋体" w:eastAsia="宋体" w:cs="宋体"/>
                      <w:color w:val="000000"/>
                      <w:sz w:val="21"/>
                      <w:szCs w:val="21"/>
                    </w:rPr>
                  </w:pPr>
                </w:p>
              </w:tc>
            </w:tr>
            <w:tr w14:paraId="581C4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3A8655B8">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18</w:t>
                  </w:r>
                </w:p>
              </w:tc>
              <w:tc>
                <w:tcPr>
                  <w:tcW w:w="2322" w:type="dxa"/>
                  <w:shd w:val="clear" w:color="auto" w:fill="auto"/>
                  <w:noWrap w:val="0"/>
                  <w:tcMar>
                    <w:top w:w="15" w:type="dxa"/>
                    <w:left w:w="15" w:type="dxa"/>
                    <w:right w:w="15" w:type="dxa"/>
                  </w:tcMar>
                  <w:vAlign w:val="center"/>
                </w:tcPr>
                <w:p w14:paraId="49BF2EC0">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木门</w:t>
                  </w:r>
                </w:p>
              </w:tc>
              <w:tc>
                <w:tcPr>
                  <w:tcW w:w="2767" w:type="dxa"/>
                  <w:shd w:val="clear" w:color="auto" w:fill="auto"/>
                  <w:noWrap w:val="0"/>
                  <w:tcMar>
                    <w:top w:w="15" w:type="dxa"/>
                    <w:left w:w="15" w:type="dxa"/>
                    <w:right w:w="15" w:type="dxa"/>
                  </w:tcMar>
                  <w:vAlign w:val="center"/>
                </w:tcPr>
                <w:p w14:paraId="6EB4FDE5">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盼盼 梦天 丰鸣木门</w:t>
                  </w:r>
                </w:p>
              </w:tc>
              <w:tc>
                <w:tcPr>
                  <w:tcW w:w="3597" w:type="dxa"/>
                  <w:noWrap w:val="0"/>
                  <w:vAlign w:val="center"/>
                </w:tcPr>
                <w:p w14:paraId="3C0F85DD">
                  <w:pPr>
                    <w:jc w:val="center"/>
                    <w:rPr>
                      <w:rFonts w:hint="eastAsia" w:ascii="宋体" w:hAnsi="宋体" w:eastAsia="宋体" w:cs="宋体"/>
                      <w:color w:val="000000"/>
                      <w:sz w:val="21"/>
                      <w:szCs w:val="21"/>
                    </w:rPr>
                  </w:pPr>
                </w:p>
              </w:tc>
            </w:tr>
            <w:tr w14:paraId="41415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75D95021">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19</w:t>
                  </w:r>
                </w:p>
              </w:tc>
              <w:tc>
                <w:tcPr>
                  <w:tcW w:w="2322" w:type="dxa"/>
                  <w:shd w:val="clear" w:color="auto" w:fill="auto"/>
                  <w:noWrap w:val="0"/>
                  <w:tcMar>
                    <w:top w:w="15" w:type="dxa"/>
                    <w:left w:w="15" w:type="dxa"/>
                    <w:right w:w="15" w:type="dxa"/>
                  </w:tcMar>
                  <w:vAlign w:val="center"/>
                </w:tcPr>
                <w:p w14:paraId="19A19E3A">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防火门</w:t>
                  </w:r>
                </w:p>
              </w:tc>
              <w:tc>
                <w:tcPr>
                  <w:tcW w:w="2767" w:type="dxa"/>
                  <w:shd w:val="clear" w:color="auto" w:fill="auto"/>
                  <w:noWrap w:val="0"/>
                  <w:tcMar>
                    <w:top w:w="15" w:type="dxa"/>
                    <w:left w:w="15" w:type="dxa"/>
                    <w:right w:w="15" w:type="dxa"/>
                  </w:tcMar>
                  <w:vAlign w:val="center"/>
                </w:tcPr>
                <w:p w14:paraId="373986B2">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上海森林 江苏集曼 万邦</w:t>
                  </w:r>
                </w:p>
              </w:tc>
              <w:tc>
                <w:tcPr>
                  <w:tcW w:w="3597" w:type="dxa"/>
                  <w:noWrap w:val="0"/>
                  <w:vAlign w:val="center"/>
                </w:tcPr>
                <w:p w14:paraId="6F658D27">
                  <w:pPr>
                    <w:jc w:val="center"/>
                    <w:rPr>
                      <w:rFonts w:hint="eastAsia" w:ascii="宋体" w:hAnsi="宋体" w:eastAsia="宋体" w:cs="宋体"/>
                      <w:color w:val="000000"/>
                      <w:sz w:val="21"/>
                      <w:szCs w:val="21"/>
                    </w:rPr>
                  </w:pPr>
                </w:p>
              </w:tc>
            </w:tr>
            <w:tr w14:paraId="482CC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0AD3C157">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20</w:t>
                  </w:r>
                </w:p>
              </w:tc>
              <w:tc>
                <w:tcPr>
                  <w:tcW w:w="2322" w:type="dxa"/>
                  <w:shd w:val="clear" w:color="auto" w:fill="auto"/>
                  <w:noWrap w:val="0"/>
                  <w:tcMar>
                    <w:top w:w="15" w:type="dxa"/>
                    <w:left w:w="15" w:type="dxa"/>
                    <w:right w:w="15" w:type="dxa"/>
                  </w:tcMar>
                  <w:vAlign w:val="center"/>
                </w:tcPr>
                <w:p w14:paraId="5B5EF03A">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地弹簧</w:t>
                  </w:r>
                </w:p>
              </w:tc>
              <w:tc>
                <w:tcPr>
                  <w:tcW w:w="2767" w:type="dxa"/>
                  <w:shd w:val="clear" w:color="auto" w:fill="auto"/>
                  <w:noWrap w:val="0"/>
                  <w:tcMar>
                    <w:top w:w="15" w:type="dxa"/>
                    <w:left w:w="15" w:type="dxa"/>
                    <w:right w:w="15" w:type="dxa"/>
                  </w:tcMar>
                  <w:vAlign w:val="center"/>
                </w:tcPr>
                <w:p w14:paraId="3C194281">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皇冠 坚朗 国强</w:t>
                  </w:r>
                </w:p>
              </w:tc>
              <w:tc>
                <w:tcPr>
                  <w:tcW w:w="3597" w:type="dxa"/>
                  <w:noWrap w:val="0"/>
                  <w:vAlign w:val="center"/>
                </w:tcPr>
                <w:p w14:paraId="1D92C596">
                  <w:pPr>
                    <w:jc w:val="center"/>
                    <w:rPr>
                      <w:rFonts w:hint="eastAsia" w:ascii="宋体" w:hAnsi="宋体" w:eastAsia="宋体" w:cs="宋体"/>
                      <w:color w:val="000000"/>
                      <w:sz w:val="21"/>
                      <w:szCs w:val="21"/>
                    </w:rPr>
                  </w:pPr>
                </w:p>
              </w:tc>
            </w:tr>
            <w:tr w14:paraId="3BE68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02A3AD7A">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21</w:t>
                  </w:r>
                </w:p>
              </w:tc>
              <w:tc>
                <w:tcPr>
                  <w:tcW w:w="2322" w:type="dxa"/>
                  <w:shd w:val="clear" w:color="auto" w:fill="auto"/>
                  <w:noWrap w:val="0"/>
                  <w:tcMar>
                    <w:top w:w="15" w:type="dxa"/>
                    <w:left w:w="15" w:type="dxa"/>
                    <w:right w:w="15" w:type="dxa"/>
                  </w:tcMar>
                  <w:vAlign w:val="center"/>
                </w:tcPr>
                <w:p w14:paraId="730A6822">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地弹簧门玻璃</w:t>
                  </w:r>
                </w:p>
              </w:tc>
              <w:tc>
                <w:tcPr>
                  <w:tcW w:w="2767" w:type="dxa"/>
                  <w:shd w:val="clear" w:color="auto" w:fill="auto"/>
                  <w:noWrap w:val="0"/>
                  <w:tcMar>
                    <w:top w:w="15" w:type="dxa"/>
                    <w:left w:w="15" w:type="dxa"/>
                    <w:right w:w="15" w:type="dxa"/>
                  </w:tcMar>
                  <w:vAlign w:val="center"/>
                </w:tcPr>
                <w:p w14:paraId="77381BD7">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信义 南玻 台玻</w:t>
                  </w:r>
                </w:p>
              </w:tc>
              <w:tc>
                <w:tcPr>
                  <w:tcW w:w="3597" w:type="dxa"/>
                  <w:noWrap w:val="0"/>
                  <w:vAlign w:val="center"/>
                </w:tcPr>
                <w:p w14:paraId="215088F5">
                  <w:pPr>
                    <w:jc w:val="center"/>
                    <w:rPr>
                      <w:rFonts w:hint="eastAsia" w:ascii="宋体" w:hAnsi="宋体" w:eastAsia="宋体" w:cs="宋体"/>
                      <w:color w:val="000000"/>
                      <w:sz w:val="21"/>
                      <w:szCs w:val="21"/>
                    </w:rPr>
                  </w:pPr>
                </w:p>
              </w:tc>
            </w:tr>
            <w:tr w14:paraId="70F03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1CBF5824">
                  <w:pPr>
                    <w:jc w:val="center"/>
                    <w:rPr>
                      <w:rFonts w:hint="eastAsia" w:ascii="宋体" w:hAnsi="宋体" w:eastAsia="宋体" w:cs="宋体"/>
                      <w:color w:val="000000"/>
                      <w:sz w:val="21"/>
                      <w:szCs w:val="21"/>
                      <w:lang w:val="en-US" w:eastAsia="zh-CN" w:bidi="en-US"/>
                    </w:rPr>
                  </w:pPr>
                  <w:r>
                    <w:rPr>
                      <w:rFonts w:hint="eastAsia" w:ascii="宋体" w:hAnsi="宋体" w:cs="宋体"/>
                      <w:color w:val="000000"/>
                      <w:sz w:val="21"/>
                      <w:szCs w:val="21"/>
                      <w:lang w:val="en-US" w:eastAsia="zh-CN"/>
                    </w:rPr>
                    <w:t>22</w:t>
                  </w:r>
                </w:p>
              </w:tc>
              <w:tc>
                <w:tcPr>
                  <w:tcW w:w="2322" w:type="dxa"/>
                  <w:shd w:val="clear" w:color="auto" w:fill="auto"/>
                  <w:noWrap w:val="0"/>
                  <w:tcMar>
                    <w:top w:w="15" w:type="dxa"/>
                    <w:left w:w="15" w:type="dxa"/>
                    <w:right w:w="15" w:type="dxa"/>
                  </w:tcMar>
                  <w:vAlign w:val="center"/>
                </w:tcPr>
                <w:p w14:paraId="57377C5D">
                  <w:pPr>
                    <w:jc w:val="center"/>
                    <w:rPr>
                      <w:rFonts w:hint="eastAsia" w:ascii="宋体" w:hAnsi="宋体" w:eastAsia="宋体" w:cs="宋体"/>
                      <w:color w:val="000000"/>
                      <w:sz w:val="21"/>
                      <w:szCs w:val="21"/>
                      <w:lang w:val="en-US" w:eastAsia="zh-CN" w:bidi="en-US"/>
                    </w:rPr>
                  </w:pPr>
                  <w:r>
                    <w:rPr>
                      <w:rFonts w:hint="eastAsia" w:ascii="宋体" w:hAnsi="宋体" w:eastAsia="宋体" w:cs="宋体"/>
                      <w:color w:val="000000"/>
                      <w:sz w:val="21"/>
                      <w:szCs w:val="21"/>
                    </w:rPr>
                    <w:t>钢板</w:t>
                  </w:r>
                </w:p>
              </w:tc>
              <w:tc>
                <w:tcPr>
                  <w:tcW w:w="2767" w:type="dxa"/>
                  <w:shd w:val="clear" w:color="auto" w:fill="auto"/>
                  <w:noWrap w:val="0"/>
                  <w:tcMar>
                    <w:top w:w="15" w:type="dxa"/>
                    <w:left w:w="15" w:type="dxa"/>
                    <w:right w:w="15" w:type="dxa"/>
                  </w:tcMar>
                  <w:vAlign w:val="center"/>
                </w:tcPr>
                <w:p w14:paraId="71A665E1">
                  <w:pPr>
                    <w:jc w:val="center"/>
                    <w:rPr>
                      <w:rFonts w:hint="eastAsia" w:ascii="宋体" w:hAnsi="宋体" w:eastAsia="宋体" w:cs="宋体"/>
                      <w:color w:val="000000"/>
                      <w:sz w:val="21"/>
                      <w:szCs w:val="21"/>
                      <w:lang w:val="en-US" w:eastAsia="zh-CN" w:bidi="en-US"/>
                    </w:rPr>
                  </w:pPr>
                  <w:r>
                    <w:rPr>
                      <w:rFonts w:hint="eastAsia" w:ascii="宋体" w:hAnsi="宋体" w:eastAsia="宋体" w:cs="宋体"/>
                      <w:color w:val="000000"/>
                      <w:sz w:val="21"/>
                      <w:szCs w:val="21"/>
                    </w:rPr>
                    <w:t>宝钢、南钢、马钢</w:t>
                  </w:r>
                </w:p>
              </w:tc>
              <w:tc>
                <w:tcPr>
                  <w:tcW w:w="3597" w:type="dxa"/>
                  <w:noWrap w:val="0"/>
                  <w:vAlign w:val="center"/>
                </w:tcPr>
                <w:p w14:paraId="7B8A88D7">
                  <w:pPr>
                    <w:jc w:val="center"/>
                    <w:rPr>
                      <w:rFonts w:hint="eastAsia" w:ascii="宋体" w:hAnsi="宋体" w:eastAsia="宋体" w:cs="宋体"/>
                      <w:color w:val="000000"/>
                      <w:sz w:val="21"/>
                      <w:szCs w:val="21"/>
                    </w:rPr>
                  </w:pPr>
                </w:p>
              </w:tc>
            </w:tr>
            <w:tr w14:paraId="2E97D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64884FC0">
                  <w:pPr>
                    <w:jc w:val="center"/>
                    <w:rPr>
                      <w:rFonts w:hint="eastAsia" w:ascii="宋体" w:hAnsi="宋体" w:eastAsia="宋体" w:cs="宋体"/>
                      <w:color w:val="000000"/>
                      <w:sz w:val="21"/>
                      <w:szCs w:val="21"/>
                      <w:lang w:val="en-US" w:eastAsia="zh-CN" w:bidi="en-US"/>
                    </w:rPr>
                  </w:pPr>
                  <w:r>
                    <w:rPr>
                      <w:rFonts w:hint="eastAsia" w:ascii="宋体" w:hAnsi="宋体" w:cs="宋体"/>
                      <w:color w:val="000000"/>
                      <w:sz w:val="21"/>
                      <w:szCs w:val="21"/>
                      <w:lang w:val="en-US" w:eastAsia="zh-CN"/>
                    </w:rPr>
                    <w:t>23</w:t>
                  </w:r>
                </w:p>
              </w:tc>
              <w:tc>
                <w:tcPr>
                  <w:tcW w:w="2322" w:type="dxa"/>
                  <w:shd w:val="clear" w:color="auto" w:fill="auto"/>
                  <w:noWrap w:val="0"/>
                  <w:tcMar>
                    <w:top w:w="15" w:type="dxa"/>
                    <w:left w:w="15" w:type="dxa"/>
                    <w:right w:w="15" w:type="dxa"/>
                  </w:tcMar>
                  <w:vAlign w:val="center"/>
                </w:tcPr>
                <w:p w14:paraId="5E3CFF9F">
                  <w:pPr>
                    <w:jc w:val="center"/>
                    <w:rPr>
                      <w:rFonts w:hint="eastAsia" w:ascii="宋体" w:hAnsi="宋体" w:eastAsia="宋体" w:cs="宋体"/>
                      <w:color w:val="000000"/>
                      <w:sz w:val="21"/>
                      <w:szCs w:val="21"/>
                      <w:lang w:val="en-US" w:eastAsia="zh-CN" w:bidi="en-US"/>
                    </w:rPr>
                  </w:pPr>
                  <w:r>
                    <w:rPr>
                      <w:rFonts w:hint="eastAsia" w:ascii="宋体" w:hAnsi="宋体" w:eastAsia="宋体" w:cs="宋体"/>
                      <w:color w:val="000000"/>
                      <w:sz w:val="21"/>
                      <w:szCs w:val="21"/>
                    </w:rPr>
                    <w:t>钢材</w:t>
                  </w:r>
                </w:p>
              </w:tc>
              <w:tc>
                <w:tcPr>
                  <w:tcW w:w="2767" w:type="dxa"/>
                  <w:shd w:val="clear" w:color="auto" w:fill="auto"/>
                  <w:noWrap w:val="0"/>
                  <w:tcMar>
                    <w:top w:w="15" w:type="dxa"/>
                    <w:left w:w="15" w:type="dxa"/>
                    <w:right w:w="15" w:type="dxa"/>
                  </w:tcMar>
                  <w:vAlign w:val="center"/>
                </w:tcPr>
                <w:p w14:paraId="4F78384E">
                  <w:pPr>
                    <w:jc w:val="center"/>
                    <w:rPr>
                      <w:rFonts w:hint="eastAsia" w:ascii="宋体" w:hAnsi="宋体" w:eastAsia="宋体" w:cs="宋体"/>
                      <w:color w:val="000000"/>
                      <w:sz w:val="21"/>
                      <w:szCs w:val="21"/>
                      <w:lang w:val="en-US" w:eastAsia="zh-CN" w:bidi="en-US"/>
                    </w:rPr>
                  </w:pPr>
                  <w:r>
                    <w:rPr>
                      <w:rFonts w:hint="eastAsia" w:ascii="宋体" w:hAnsi="宋体" w:eastAsia="宋体" w:cs="宋体"/>
                      <w:color w:val="000000"/>
                      <w:sz w:val="21"/>
                      <w:szCs w:val="21"/>
                    </w:rPr>
                    <w:t>南钢、马钢总厂、永钢</w:t>
                  </w:r>
                </w:p>
              </w:tc>
              <w:tc>
                <w:tcPr>
                  <w:tcW w:w="3597" w:type="dxa"/>
                  <w:noWrap w:val="0"/>
                  <w:vAlign w:val="center"/>
                </w:tcPr>
                <w:p w14:paraId="582BF61C">
                  <w:pPr>
                    <w:jc w:val="center"/>
                    <w:rPr>
                      <w:rFonts w:hint="eastAsia" w:ascii="宋体" w:hAnsi="宋体" w:eastAsia="宋体" w:cs="宋体"/>
                      <w:color w:val="000000"/>
                      <w:sz w:val="21"/>
                      <w:szCs w:val="21"/>
                    </w:rPr>
                  </w:pPr>
                </w:p>
              </w:tc>
            </w:tr>
            <w:tr w14:paraId="41EEB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4A3F7C84">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24</w:t>
                  </w:r>
                </w:p>
              </w:tc>
              <w:tc>
                <w:tcPr>
                  <w:tcW w:w="2322" w:type="dxa"/>
                  <w:shd w:val="clear" w:color="auto" w:fill="auto"/>
                  <w:noWrap w:val="0"/>
                  <w:tcMar>
                    <w:top w:w="15" w:type="dxa"/>
                    <w:left w:w="15" w:type="dxa"/>
                    <w:right w:w="15" w:type="dxa"/>
                  </w:tcMar>
                  <w:vAlign w:val="center"/>
                </w:tcPr>
                <w:p w14:paraId="2E1B3013">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钢筋</w:t>
                  </w:r>
                </w:p>
              </w:tc>
              <w:tc>
                <w:tcPr>
                  <w:tcW w:w="2767" w:type="dxa"/>
                  <w:shd w:val="clear" w:color="auto" w:fill="auto"/>
                  <w:noWrap w:val="0"/>
                  <w:tcMar>
                    <w:top w:w="15" w:type="dxa"/>
                    <w:left w:w="15" w:type="dxa"/>
                    <w:right w:w="15" w:type="dxa"/>
                  </w:tcMar>
                  <w:vAlign w:val="center"/>
                </w:tcPr>
                <w:p w14:paraId="1926354E">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南钢、马钢总厂、永钢</w:t>
                  </w:r>
                </w:p>
              </w:tc>
              <w:tc>
                <w:tcPr>
                  <w:tcW w:w="3597" w:type="dxa"/>
                  <w:noWrap w:val="0"/>
                  <w:vAlign w:val="center"/>
                </w:tcPr>
                <w:p w14:paraId="50E4A773">
                  <w:pPr>
                    <w:jc w:val="center"/>
                    <w:rPr>
                      <w:rFonts w:hint="eastAsia" w:ascii="宋体" w:hAnsi="宋体" w:eastAsia="宋体" w:cs="宋体"/>
                      <w:color w:val="000000"/>
                      <w:sz w:val="21"/>
                      <w:szCs w:val="21"/>
                    </w:rPr>
                  </w:pPr>
                </w:p>
              </w:tc>
            </w:tr>
            <w:tr w14:paraId="5DBE0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066979F8">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25</w:t>
                  </w:r>
                </w:p>
              </w:tc>
              <w:tc>
                <w:tcPr>
                  <w:tcW w:w="2322" w:type="dxa"/>
                  <w:shd w:val="clear" w:color="auto" w:fill="auto"/>
                  <w:noWrap w:val="0"/>
                  <w:tcMar>
                    <w:top w:w="15" w:type="dxa"/>
                    <w:left w:w="15" w:type="dxa"/>
                    <w:right w:w="15" w:type="dxa"/>
                  </w:tcMar>
                  <w:vAlign w:val="center"/>
                </w:tcPr>
                <w:p w14:paraId="75CF952C">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商品混凝土</w:t>
                  </w:r>
                </w:p>
              </w:tc>
              <w:tc>
                <w:tcPr>
                  <w:tcW w:w="2767" w:type="dxa"/>
                  <w:shd w:val="clear" w:color="auto" w:fill="auto"/>
                  <w:noWrap w:val="0"/>
                  <w:tcMar>
                    <w:top w:w="15" w:type="dxa"/>
                    <w:left w:w="15" w:type="dxa"/>
                    <w:right w:w="15" w:type="dxa"/>
                  </w:tcMar>
                  <w:vAlign w:val="center"/>
                </w:tcPr>
                <w:p w14:paraId="21FB1990">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中联、双龙、普迪</w:t>
                  </w:r>
                </w:p>
              </w:tc>
              <w:tc>
                <w:tcPr>
                  <w:tcW w:w="3597" w:type="dxa"/>
                  <w:noWrap w:val="0"/>
                  <w:vAlign w:val="center"/>
                </w:tcPr>
                <w:p w14:paraId="10FC3009">
                  <w:pPr>
                    <w:jc w:val="center"/>
                    <w:rPr>
                      <w:rFonts w:hint="eastAsia" w:ascii="宋体" w:hAnsi="宋体" w:eastAsia="宋体" w:cs="宋体"/>
                      <w:color w:val="000000"/>
                      <w:sz w:val="21"/>
                      <w:szCs w:val="21"/>
                    </w:rPr>
                  </w:pPr>
                </w:p>
              </w:tc>
            </w:tr>
            <w:tr w14:paraId="5949A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276FCAD8">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26</w:t>
                  </w:r>
                </w:p>
              </w:tc>
              <w:tc>
                <w:tcPr>
                  <w:tcW w:w="2322" w:type="dxa"/>
                  <w:shd w:val="clear" w:color="auto" w:fill="auto"/>
                  <w:noWrap w:val="0"/>
                  <w:tcMar>
                    <w:top w:w="15" w:type="dxa"/>
                    <w:left w:w="15" w:type="dxa"/>
                    <w:right w:w="15" w:type="dxa"/>
                  </w:tcMar>
                  <w:vAlign w:val="center"/>
                </w:tcPr>
                <w:p w14:paraId="7598A515">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预拌砂浆</w:t>
                  </w:r>
                </w:p>
              </w:tc>
              <w:tc>
                <w:tcPr>
                  <w:tcW w:w="2767" w:type="dxa"/>
                  <w:shd w:val="clear" w:color="auto" w:fill="auto"/>
                  <w:noWrap w:val="0"/>
                  <w:tcMar>
                    <w:top w:w="15" w:type="dxa"/>
                    <w:left w:w="15" w:type="dxa"/>
                    <w:right w:w="15" w:type="dxa"/>
                  </w:tcMar>
                  <w:vAlign w:val="center"/>
                </w:tcPr>
                <w:p w14:paraId="79123ADE">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中联、双龙、普迪</w:t>
                  </w:r>
                </w:p>
              </w:tc>
              <w:tc>
                <w:tcPr>
                  <w:tcW w:w="3597" w:type="dxa"/>
                  <w:noWrap w:val="0"/>
                  <w:vAlign w:val="center"/>
                </w:tcPr>
                <w:p w14:paraId="5B09503A">
                  <w:pPr>
                    <w:jc w:val="center"/>
                    <w:rPr>
                      <w:rFonts w:hint="eastAsia" w:ascii="宋体" w:hAnsi="宋体" w:eastAsia="宋体" w:cs="宋体"/>
                      <w:color w:val="000000"/>
                      <w:sz w:val="21"/>
                      <w:szCs w:val="21"/>
                    </w:rPr>
                  </w:pPr>
                </w:p>
              </w:tc>
            </w:tr>
            <w:tr w14:paraId="0C8E9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46D001CF">
                  <w:pPr>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27</w:t>
                  </w:r>
                </w:p>
              </w:tc>
              <w:tc>
                <w:tcPr>
                  <w:tcW w:w="2322" w:type="dxa"/>
                  <w:shd w:val="clear" w:color="auto" w:fill="auto"/>
                  <w:noWrap w:val="0"/>
                  <w:tcMar>
                    <w:top w:w="15" w:type="dxa"/>
                    <w:left w:w="15" w:type="dxa"/>
                    <w:right w:w="15" w:type="dxa"/>
                  </w:tcMar>
                  <w:vAlign w:val="center"/>
                </w:tcPr>
                <w:p w14:paraId="1FF60989">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聚氨酯防水涂料</w:t>
                  </w:r>
                </w:p>
              </w:tc>
              <w:tc>
                <w:tcPr>
                  <w:tcW w:w="2767" w:type="dxa"/>
                  <w:shd w:val="clear" w:color="auto" w:fill="auto"/>
                  <w:noWrap w:val="0"/>
                  <w:tcMar>
                    <w:top w:w="15" w:type="dxa"/>
                    <w:left w:w="15" w:type="dxa"/>
                    <w:right w:w="15" w:type="dxa"/>
                  </w:tcMar>
                  <w:vAlign w:val="center"/>
                </w:tcPr>
                <w:p w14:paraId="11395F29">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黑豹、赛力克、宇虹</w:t>
                  </w:r>
                </w:p>
              </w:tc>
              <w:tc>
                <w:tcPr>
                  <w:tcW w:w="3597" w:type="dxa"/>
                  <w:noWrap w:val="0"/>
                  <w:vAlign w:val="center"/>
                </w:tcPr>
                <w:p w14:paraId="4FA39E4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抗冻低于-10度以上，满足设计要求。</w:t>
                  </w:r>
                </w:p>
              </w:tc>
            </w:tr>
            <w:tr w14:paraId="4F7F1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18B94D75">
                  <w:pPr>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28</w:t>
                  </w:r>
                </w:p>
              </w:tc>
              <w:tc>
                <w:tcPr>
                  <w:tcW w:w="2322" w:type="dxa"/>
                  <w:shd w:val="clear" w:color="auto" w:fill="auto"/>
                  <w:noWrap w:val="0"/>
                  <w:tcMar>
                    <w:top w:w="15" w:type="dxa"/>
                    <w:left w:w="15" w:type="dxa"/>
                    <w:right w:w="15" w:type="dxa"/>
                  </w:tcMar>
                  <w:vAlign w:val="center"/>
                </w:tcPr>
                <w:p w14:paraId="4CDE669C">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自粘高分子防水卷材</w:t>
                  </w:r>
                </w:p>
              </w:tc>
              <w:tc>
                <w:tcPr>
                  <w:tcW w:w="2767" w:type="dxa"/>
                  <w:shd w:val="clear" w:color="auto" w:fill="auto"/>
                  <w:noWrap w:val="0"/>
                  <w:tcMar>
                    <w:top w:w="15" w:type="dxa"/>
                    <w:left w:w="15" w:type="dxa"/>
                    <w:right w:w="15" w:type="dxa"/>
                  </w:tcMar>
                  <w:vAlign w:val="center"/>
                </w:tcPr>
                <w:p w14:paraId="2005BB3F">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黑豹、赛力克、宇虹</w:t>
                  </w:r>
                </w:p>
              </w:tc>
              <w:tc>
                <w:tcPr>
                  <w:tcW w:w="3597" w:type="dxa"/>
                  <w:noWrap w:val="0"/>
                  <w:vAlign w:val="center"/>
                </w:tcPr>
                <w:p w14:paraId="05788D5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抗冻低于-10度以上，满足设计要求。</w:t>
                  </w:r>
                </w:p>
              </w:tc>
            </w:tr>
            <w:tr w14:paraId="38140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6296ECF8">
                  <w:pPr>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29</w:t>
                  </w:r>
                </w:p>
              </w:tc>
              <w:tc>
                <w:tcPr>
                  <w:tcW w:w="2322" w:type="dxa"/>
                  <w:shd w:val="clear" w:color="auto" w:fill="auto"/>
                  <w:noWrap w:val="0"/>
                  <w:tcMar>
                    <w:top w:w="15" w:type="dxa"/>
                    <w:left w:w="15" w:type="dxa"/>
                    <w:right w:w="15" w:type="dxa"/>
                  </w:tcMar>
                  <w:vAlign w:val="center"/>
                </w:tcPr>
                <w:p w14:paraId="2EC417CB">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水泥基聚合物防水涂料</w:t>
                  </w:r>
                </w:p>
              </w:tc>
              <w:tc>
                <w:tcPr>
                  <w:tcW w:w="2767" w:type="dxa"/>
                  <w:shd w:val="clear" w:color="auto" w:fill="auto"/>
                  <w:noWrap w:val="0"/>
                  <w:tcMar>
                    <w:top w:w="15" w:type="dxa"/>
                    <w:left w:w="15" w:type="dxa"/>
                    <w:right w:w="15" w:type="dxa"/>
                  </w:tcMar>
                  <w:vAlign w:val="center"/>
                </w:tcPr>
                <w:p w14:paraId="0D128986">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黑豹、赛力克、宇虹</w:t>
                  </w:r>
                </w:p>
              </w:tc>
              <w:tc>
                <w:tcPr>
                  <w:tcW w:w="3597" w:type="dxa"/>
                  <w:noWrap w:val="0"/>
                  <w:vAlign w:val="center"/>
                </w:tcPr>
                <w:p w14:paraId="773293E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抗冻低于-10度以上，满足设计要求。</w:t>
                  </w:r>
                </w:p>
              </w:tc>
            </w:tr>
            <w:tr w14:paraId="39346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43D5C81B">
                  <w:pPr>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30</w:t>
                  </w:r>
                </w:p>
              </w:tc>
              <w:tc>
                <w:tcPr>
                  <w:tcW w:w="2322" w:type="dxa"/>
                  <w:shd w:val="clear" w:color="auto" w:fill="auto"/>
                  <w:noWrap w:val="0"/>
                  <w:tcMar>
                    <w:top w:w="15" w:type="dxa"/>
                    <w:left w:w="15" w:type="dxa"/>
                    <w:right w:w="15" w:type="dxa"/>
                  </w:tcMar>
                  <w:vAlign w:val="center"/>
                </w:tcPr>
                <w:p w14:paraId="3FE55090">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瓷砖粘合剂</w:t>
                  </w:r>
                </w:p>
              </w:tc>
              <w:tc>
                <w:tcPr>
                  <w:tcW w:w="2767" w:type="dxa"/>
                  <w:shd w:val="clear" w:color="auto" w:fill="auto"/>
                  <w:noWrap w:val="0"/>
                  <w:tcMar>
                    <w:top w:w="15" w:type="dxa"/>
                    <w:left w:w="15" w:type="dxa"/>
                    <w:right w:w="15" w:type="dxa"/>
                  </w:tcMar>
                  <w:vAlign w:val="center"/>
                </w:tcPr>
                <w:p w14:paraId="107E9E4A">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汉高、德高、立邦</w:t>
                  </w:r>
                </w:p>
              </w:tc>
              <w:tc>
                <w:tcPr>
                  <w:tcW w:w="3597" w:type="dxa"/>
                  <w:noWrap w:val="0"/>
                  <w:vAlign w:val="center"/>
                </w:tcPr>
                <w:p w14:paraId="7A4DF294">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施工温度：5-35°C</w:t>
                  </w:r>
                </w:p>
              </w:tc>
            </w:tr>
            <w:tr w14:paraId="10844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350CBC73">
                  <w:pPr>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31</w:t>
                  </w:r>
                </w:p>
              </w:tc>
              <w:tc>
                <w:tcPr>
                  <w:tcW w:w="2322" w:type="dxa"/>
                  <w:shd w:val="clear" w:color="auto" w:fill="auto"/>
                  <w:noWrap w:val="0"/>
                  <w:tcMar>
                    <w:top w:w="15" w:type="dxa"/>
                    <w:left w:w="15" w:type="dxa"/>
                    <w:right w:w="15" w:type="dxa"/>
                  </w:tcMar>
                  <w:vAlign w:val="center"/>
                </w:tcPr>
                <w:p w14:paraId="5C0F4414">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闭门器</w:t>
                  </w:r>
                </w:p>
              </w:tc>
              <w:tc>
                <w:tcPr>
                  <w:tcW w:w="2767" w:type="dxa"/>
                  <w:shd w:val="clear" w:color="auto" w:fill="auto"/>
                  <w:noWrap w:val="0"/>
                  <w:tcMar>
                    <w:top w:w="15" w:type="dxa"/>
                    <w:left w:w="15" w:type="dxa"/>
                    <w:right w:w="15" w:type="dxa"/>
                  </w:tcMar>
                  <w:vAlign w:val="center"/>
                </w:tcPr>
                <w:p w14:paraId="4700392B">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盖泽、</w:t>
                  </w:r>
                  <w:r>
                    <w:rPr>
                      <w:rFonts w:hint="eastAsia" w:ascii="宋体" w:hAnsi="宋体" w:eastAsia="宋体" w:cs="宋体"/>
                      <w:color w:val="000000"/>
                      <w:sz w:val="21"/>
                      <w:szCs w:val="21"/>
                      <w:lang w:val="en-US" w:eastAsia="zh-CN"/>
                    </w:rPr>
                    <w:t>GMT</w:t>
                  </w:r>
                  <w:r>
                    <w:rPr>
                      <w:rFonts w:hint="eastAsia" w:ascii="宋体" w:hAnsi="宋体" w:eastAsia="宋体" w:cs="宋体"/>
                      <w:color w:val="000000"/>
                      <w:sz w:val="21"/>
                      <w:szCs w:val="21"/>
                    </w:rPr>
                    <w:t>、多玛</w:t>
                  </w:r>
                </w:p>
              </w:tc>
              <w:tc>
                <w:tcPr>
                  <w:tcW w:w="3597" w:type="dxa"/>
                  <w:noWrap w:val="0"/>
                  <w:vAlign w:val="center"/>
                </w:tcPr>
                <w:p w14:paraId="21D5446E">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材质：SUS304不锈钢。</w:t>
                  </w:r>
                </w:p>
              </w:tc>
            </w:tr>
            <w:tr w14:paraId="37069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2535B4AA">
                  <w:pPr>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32</w:t>
                  </w:r>
                </w:p>
              </w:tc>
              <w:tc>
                <w:tcPr>
                  <w:tcW w:w="2322" w:type="dxa"/>
                  <w:shd w:val="clear" w:color="auto" w:fill="auto"/>
                  <w:noWrap w:val="0"/>
                  <w:tcMar>
                    <w:top w:w="15" w:type="dxa"/>
                    <w:left w:w="15" w:type="dxa"/>
                    <w:right w:w="15" w:type="dxa"/>
                  </w:tcMar>
                  <w:vAlign w:val="center"/>
                </w:tcPr>
                <w:p w14:paraId="342AEAAF">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门锁</w:t>
                  </w:r>
                </w:p>
              </w:tc>
              <w:tc>
                <w:tcPr>
                  <w:tcW w:w="2767" w:type="dxa"/>
                  <w:shd w:val="clear" w:color="auto" w:fill="auto"/>
                  <w:noWrap w:val="0"/>
                  <w:tcMar>
                    <w:top w:w="15" w:type="dxa"/>
                    <w:left w:w="15" w:type="dxa"/>
                    <w:right w:w="15" w:type="dxa"/>
                  </w:tcMar>
                  <w:vAlign w:val="center"/>
                </w:tcPr>
                <w:p w14:paraId="21AFE98A">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保德安</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安恒</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安朗杰</w:t>
                  </w:r>
                </w:p>
              </w:tc>
              <w:tc>
                <w:tcPr>
                  <w:tcW w:w="3597" w:type="dxa"/>
                  <w:noWrap w:val="0"/>
                  <w:vAlign w:val="center"/>
                </w:tcPr>
                <w:p w14:paraId="465B7CA5">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把手：SUS304不锈钢，送样甲方确认。</w:t>
                  </w:r>
                </w:p>
                <w:p w14:paraId="647F2852">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锁芯：铜质C级锁芯</w:t>
                  </w:r>
                </w:p>
              </w:tc>
            </w:tr>
            <w:tr w14:paraId="34D9D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048748F1">
                  <w:pPr>
                    <w:jc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33</w:t>
                  </w:r>
                </w:p>
              </w:tc>
              <w:tc>
                <w:tcPr>
                  <w:tcW w:w="2322" w:type="dxa"/>
                  <w:shd w:val="clear" w:color="auto" w:fill="auto"/>
                  <w:noWrap w:val="0"/>
                  <w:tcMar>
                    <w:top w:w="15" w:type="dxa"/>
                    <w:left w:w="15" w:type="dxa"/>
                    <w:right w:w="15" w:type="dxa"/>
                  </w:tcMar>
                  <w:vAlign w:val="center"/>
                </w:tcPr>
                <w:p w14:paraId="596C2F35">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木门铰链</w:t>
                  </w:r>
                </w:p>
              </w:tc>
              <w:tc>
                <w:tcPr>
                  <w:tcW w:w="2767" w:type="dxa"/>
                  <w:shd w:val="clear" w:color="auto" w:fill="auto"/>
                  <w:noWrap w:val="0"/>
                  <w:tcMar>
                    <w:top w:w="15" w:type="dxa"/>
                    <w:left w:w="15" w:type="dxa"/>
                    <w:right w:w="15" w:type="dxa"/>
                  </w:tcMar>
                  <w:vAlign w:val="center"/>
                </w:tcPr>
                <w:p w14:paraId="0AB2724F">
                  <w:pPr>
                    <w:jc w:val="center"/>
                    <w:rPr>
                      <w:rFonts w:hint="eastAsia" w:ascii="宋体" w:hAnsi="宋体" w:eastAsia="宋体" w:cs="宋体"/>
                      <w:color w:val="000000"/>
                      <w:sz w:val="21"/>
                      <w:szCs w:val="21"/>
                      <w:lang w:val="en-US" w:eastAsia="zh-CN"/>
                    </w:rPr>
                  </w:pPr>
                </w:p>
              </w:tc>
              <w:tc>
                <w:tcPr>
                  <w:tcW w:w="3597" w:type="dxa"/>
                  <w:noWrap w:val="0"/>
                  <w:vAlign w:val="center"/>
                </w:tcPr>
                <w:p w14:paraId="4C264635">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材质：SUS304不锈钢，厚度3mm，四轴承合页。</w:t>
                  </w:r>
                </w:p>
              </w:tc>
            </w:tr>
            <w:tr w14:paraId="0461C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4CE7B5C3">
                  <w:pPr>
                    <w:jc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34</w:t>
                  </w:r>
                </w:p>
              </w:tc>
              <w:tc>
                <w:tcPr>
                  <w:tcW w:w="2322" w:type="dxa"/>
                  <w:shd w:val="clear" w:color="auto" w:fill="auto"/>
                  <w:noWrap w:val="0"/>
                  <w:tcMar>
                    <w:top w:w="15" w:type="dxa"/>
                    <w:left w:w="15" w:type="dxa"/>
                    <w:right w:w="15" w:type="dxa"/>
                  </w:tcMar>
                  <w:vAlign w:val="center"/>
                </w:tcPr>
                <w:p w14:paraId="4EF5C99B">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铝型材</w:t>
                  </w:r>
                </w:p>
              </w:tc>
              <w:tc>
                <w:tcPr>
                  <w:tcW w:w="2767" w:type="dxa"/>
                  <w:shd w:val="clear" w:color="auto" w:fill="auto"/>
                  <w:noWrap w:val="0"/>
                  <w:tcMar>
                    <w:top w:w="15" w:type="dxa"/>
                    <w:left w:w="15" w:type="dxa"/>
                    <w:right w:w="15" w:type="dxa"/>
                  </w:tcMar>
                  <w:vAlign w:val="center"/>
                </w:tcPr>
                <w:p w14:paraId="3267D399">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凤铝、亚铝、兴发</w:t>
                  </w:r>
                </w:p>
              </w:tc>
              <w:tc>
                <w:tcPr>
                  <w:tcW w:w="3597" w:type="dxa"/>
                  <w:shd w:val="clear" w:color="auto" w:fill="auto"/>
                  <w:noWrap w:val="0"/>
                  <w:vAlign w:val="center"/>
                </w:tcPr>
                <w:p w14:paraId="352422C4">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满足设计要求。</w:t>
                  </w:r>
                </w:p>
              </w:tc>
            </w:tr>
            <w:tr w14:paraId="6EDB5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3F66460A">
                  <w:pPr>
                    <w:jc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35</w:t>
                  </w:r>
                </w:p>
              </w:tc>
              <w:tc>
                <w:tcPr>
                  <w:tcW w:w="2322" w:type="dxa"/>
                  <w:shd w:val="clear" w:color="auto" w:fill="auto"/>
                  <w:noWrap w:val="0"/>
                  <w:tcMar>
                    <w:top w:w="15" w:type="dxa"/>
                    <w:left w:w="15" w:type="dxa"/>
                    <w:right w:w="15" w:type="dxa"/>
                  </w:tcMar>
                  <w:vAlign w:val="center"/>
                </w:tcPr>
                <w:p w14:paraId="3EE07532">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玻璃</w:t>
                  </w:r>
                </w:p>
              </w:tc>
              <w:tc>
                <w:tcPr>
                  <w:tcW w:w="2767" w:type="dxa"/>
                  <w:shd w:val="clear" w:color="auto" w:fill="auto"/>
                  <w:noWrap w:val="0"/>
                  <w:tcMar>
                    <w:top w:w="15" w:type="dxa"/>
                    <w:left w:w="15" w:type="dxa"/>
                    <w:right w:w="15" w:type="dxa"/>
                  </w:tcMar>
                  <w:vAlign w:val="center"/>
                </w:tcPr>
                <w:p w14:paraId="4E099FFD">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台玻、南玻、信义</w:t>
                  </w:r>
                </w:p>
              </w:tc>
              <w:tc>
                <w:tcPr>
                  <w:tcW w:w="3597" w:type="dxa"/>
                  <w:shd w:val="clear" w:color="auto" w:fill="auto"/>
                  <w:noWrap w:val="0"/>
                  <w:vAlign w:val="center"/>
                </w:tcPr>
                <w:p w14:paraId="2A55F7E0">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深加工厂：江苏飞天、上海耀皮、南京新宁耀。</w:t>
                  </w:r>
                </w:p>
              </w:tc>
            </w:tr>
            <w:tr w14:paraId="71495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0A59C7B1">
                  <w:pPr>
                    <w:jc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36</w:t>
                  </w:r>
                </w:p>
              </w:tc>
              <w:tc>
                <w:tcPr>
                  <w:tcW w:w="2322" w:type="dxa"/>
                  <w:shd w:val="clear" w:color="auto" w:fill="auto"/>
                  <w:noWrap w:val="0"/>
                  <w:tcMar>
                    <w:top w:w="15" w:type="dxa"/>
                    <w:left w:w="15" w:type="dxa"/>
                    <w:right w:w="15" w:type="dxa"/>
                  </w:tcMar>
                  <w:vAlign w:val="center"/>
                </w:tcPr>
                <w:p w14:paraId="411D7D25">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密封胶、结构胶</w:t>
                  </w:r>
                </w:p>
              </w:tc>
              <w:tc>
                <w:tcPr>
                  <w:tcW w:w="2767" w:type="dxa"/>
                  <w:shd w:val="clear" w:color="auto" w:fill="auto"/>
                  <w:noWrap w:val="0"/>
                  <w:tcMar>
                    <w:top w:w="15" w:type="dxa"/>
                    <w:left w:w="15" w:type="dxa"/>
                    <w:right w:w="15" w:type="dxa"/>
                  </w:tcMar>
                  <w:vAlign w:val="center"/>
                </w:tcPr>
                <w:p w14:paraId="0FDA2891">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杭州之江、广州白云、山东永安</w:t>
                  </w:r>
                </w:p>
              </w:tc>
              <w:tc>
                <w:tcPr>
                  <w:tcW w:w="3597" w:type="dxa"/>
                  <w:shd w:val="clear" w:color="auto" w:fill="auto"/>
                  <w:noWrap w:val="0"/>
                  <w:vAlign w:val="center"/>
                </w:tcPr>
                <w:p w14:paraId="52D9D25D">
                  <w:pPr>
                    <w:jc w:val="center"/>
                    <w:rPr>
                      <w:rFonts w:hint="eastAsia" w:ascii="宋体" w:hAnsi="宋体" w:eastAsia="宋体" w:cs="宋体"/>
                      <w:color w:val="000000"/>
                      <w:sz w:val="21"/>
                      <w:szCs w:val="21"/>
                      <w:lang w:val="en-US" w:eastAsia="en-US"/>
                    </w:rPr>
                  </w:pPr>
                </w:p>
              </w:tc>
            </w:tr>
            <w:tr w14:paraId="3CD29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2CD241D7">
                  <w:pPr>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37</w:t>
                  </w:r>
                </w:p>
              </w:tc>
              <w:tc>
                <w:tcPr>
                  <w:tcW w:w="2322" w:type="dxa"/>
                  <w:shd w:val="clear" w:color="auto" w:fill="auto"/>
                  <w:noWrap w:val="0"/>
                  <w:tcMar>
                    <w:top w:w="15" w:type="dxa"/>
                    <w:left w:w="15" w:type="dxa"/>
                    <w:right w:w="15" w:type="dxa"/>
                  </w:tcMar>
                  <w:vAlign w:val="center"/>
                </w:tcPr>
                <w:p w14:paraId="308A1CD9">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五金配件</w:t>
                  </w:r>
                </w:p>
              </w:tc>
              <w:tc>
                <w:tcPr>
                  <w:tcW w:w="2767" w:type="dxa"/>
                  <w:shd w:val="clear" w:color="auto" w:fill="auto"/>
                  <w:noWrap w:val="0"/>
                  <w:tcMar>
                    <w:top w:w="15" w:type="dxa"/>
                    <w:left w:w="15" w:type="dxa"/>
                    <w:right w:w="15" w:type="dxa"/>
                  </w:tcMar>
                  <w:vAlign w:val="center"/>
                </w:tcPr>
                <w:p w14:paraId="7F6DD602">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立兴杨氏、坚朗、丝吉利娅SIEGENIA、兴三星、诺托ROTO、</w:t>
                  </w:r>
                </w:p>
              </w:tc>
              <w:tc>
                <w:tcPr>
                  <w:tcW w:w="3597" w:type="dxa"/>
                  <w:shd w:val="clear" w:color="auto" w:fill="auto"/>
                  <w:noWrap w:val="0"/>
                  <w:vAlign w:val="center"/>
                </w:tcPr>
                <w:p w14:paraId="3E104D81">
                  <w:pPr>
                    <w:jc w:val="center"/>
                    <w:rPr>
                      <w:rFonts w:hint="eastAsia" w:ascii="宋体" w:hAnsi="宋体" w:eastAsia="宋体" w:cs="宋体"/>
                      <w:color w:val="000000"/>
                      <w:sz w:val="21"/>
                      <w:szCs w:val="21"/>
                      <w:lang w:val="en-US" w:eastAsia="en-US"/>
                    </w:rPr>
                  </w:pPr>
                </w:p>
              </w:tc>
            </w:tr>
            <w:tr w14:paraId="49979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39F8799C">
                  <w:pPr>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38</w:t>
                  </w:r>
                </w:p>
              </w:tc>
              <w:tc>
                <w:tcPr>
                  <w:tcW w:w="2322" w:type="dxa"/>
                  <w:shd w:val="clear" w:color="auto" w:fill="auto"/>
                  <w:noWrap w:val="0"/>
                  <w:tcMar>
                    <w:top w:w="15" w:type="dxa"/>
                    <w:left w:w="15" w:type="dxa"/>
                    <w:right w:w="15" w:type="dxa"/>
                  </w:tcMar>
                  <w:vAlign w:val="center"/>
                </w:tcPr>
                <w:p w14:paraId="4DA2914A">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铝板、穿孔铝板等铝质造型板</w:t>
                  </w:r>
                </w:p>
              </w:tc>
              <w:tc>
                <w:tcPr>
                  <w:tcW w:w="2767" w:type="dxa"/>
                  <w:shd w:val="clear" w:color="auto" w:fill="auto"/>
                  <w:noWrap w:val="0"/>
                  <w:tcMar>
                    <w:top w:w="15" w:type="dxa"/>
                    <w:left w:w="15" w:type="dxa"/>
                    <w:right w:w="15" w:type="dxa"/>
                  </w:tcMar>
                  <w:vAlign w:val="center"/>
                </w:tcPr>
                <w:p w14:paraId="7B38C014">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上海吉祥（原厂）、江阴利泰（海达）、聆听</w:t>
                  </w:r>
                </w:p>
              </w:tc>
              <w:tc>
                <w:tcPr>
                  <w:tcW w:w="3597" w:type="dxa"/>
                  <w:shd w:val="clear" w:color="auto" w:fill="auto"/>
                  <w:noWrap w:val="0"/>
                  <w:vAlign w:val="center"/>
                </w:tcPr>
                <w:p w14:paraId="0CA94B3D">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氟碳喷涂，满足设计要求。投标品牌不满足要求，在推荐品牌里另行选择。</w:t>
                  </w:r>
                </w:p>
              </w:tc>
            </w:tr>
            <w:tr w14:paraId="0A473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6EA4B0C8">
                  <w:pPr>
                    <w:jc w:val="center"/>
                    <w:rPr>
                      <w:rFonts w:hint="default" w:ascii="宋体" w:hAnsi="宋体" w:eastAsia="宋体" w:cs="宋体"/>
                      <w:color w:val="000000"/>
                      <w:sz w:val="21"/>
                      <w:szCs w:val="21"/>
                      <w:lang w:val="en-US" w:eastAsia="zh-CN" w:bidi="en-US"/>
                    </w:rPr>
                  </w:pPr>
                  <w:bookmarkStart w:id="0" w:name="_GoBack"/>
                  <w:bookmarkEnd w:id="0"/>
                  <w:r>
                    <w:rPr>
                      <w:rFonts w:hint="eastAsia" w:ascii="宋体" w:hAnsi="宋体" w:eastAsia="宋体" w:cs="宋体"/>
                      <w:color w:val="000000"/>
                      <w:sz w:val="21"/>
                      <w:szCs w:val="21"/>
                      <w:lang w:val="en-US" w:eastAsia="zh-CN"/>
                    </w:rPr>
                    <w:t>39</w:t>
                  </w:r>
                </w:p>
              </w:tc>
              <w:tc>
                <w:tcPr>
                  <w:tcW w:w="2322" w:type="dxa"/>
                  <w:shd w:val="clear" w:color="auto" w:fill="auto"/>
                  <w:noWrap w:val="0"/>
                  <w:tcMar>
                    <w:top w:w="15" w:type="dxa"/>
                    <w:left w:w="15" w:type="dxa"/>
                    <w:right w:w="15" w:type="dxa"/>
                  </w:tcMar>
                  <w:vAlign w:val="center"/>
                </w:tcPr>
                <w:p w14:paraId="6BD57441">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乳胶漆</w:t>
                  </w:r>
                </w:p>
              </w:tc>
              <w:tc>
                <w:tcPr>
                  <w:tcW w:w="2767" w:type="dxa"/>
                  <w:shd w:val="clear" w:color="auto" w:fill="auto"/>
                  <w:noWrap w:val="0"/>
                  <w:tcMar>
                    <w:top w:w="15" w:type="dxa"/>
                    <w:left w:w="15" w:type="dxa"/>
                    <w:right w:w="15" w:type="dxa"/>
                  </w:tcMar>
                  <w:vAlign w:val="center"/>
                </w:tcPr>
                <w:p w14:paraId="70E3BD16">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美涂士、雅乐士、欧龙</w:t>
                  </w:r>
                </w:p>
              </w:tc>
              <w:tc>
                <w:tcPr>
                  <w:tcW w:w="3597" w:type="dxa"/>
                  <w:shd w:val="clear" w:color="auto" w:fill="auto"/>
                  <w:noWrap w:val="0"/>
                  <w:vAlign w:val="center"/>
                </w:tcPr>
                <w:p w14:paraId="0B92FFEF">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满足国家标准GB/T 1741-2007《漆膜耐霉菌性测定法》、GB18582-2009室内装饰装修材料内墙涂料有害物质限量及GB/T 9756-2009合成树脂乳液内墙涂料要求，环保等级达到E0级。</w:t>
                  </w:r>
                </w:p>
              </w:tc>
            </w:tr>
            <w:tr w14:paraId="29D30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20B468FA">
                  <w:pPr>
                    <w:jc w:val="center"/>
                    <w:rPr>
                      <w:rFonts w:hint="default" w:ascii="宋体" w:hAnsi="宋体" w:eastAsia="宋体" w:cs="宋体"/>
                      <w:color w:val="000000"/>
                      <w:sz w:val="21"/>
                      <w:szCs w:val="21"/>
                      <w:lang w:val="en-US" w:eastAsia="zh-CN" w:bidi="en-US"/>
                    </w:rPr>
                  </w:pPr>
                  <w:r>
                    <w:rPr>
                      <w:rFonts w:hint="eastAsia" w:ascii="宋体" w:hAnsi="宋体" w:eastAsia="宋体" w:cs="宋体"/>
                      <w:color w:val="000000"/>
                      <w:sz w:val="21"/>
                      <w:szCs w:val="21"/>
                      <w:lang w:val="en-US" w:eastAsia="zh-CN"/>
                    </w:rPr>
                    <w:t>40</w:t>
                  </w:r>
                </w:p>
              </w:tc>
              <w:tc>
                <w:tcPr>
                  <w:tcW w:w="2322" w:type="dxa"/>
                  <w:shd w:val="clear" w:color="auto" w:fill="auto"/>
                  <w:noWrap w:val="0"/>
                  <w:tcMar>
                    <w:top w:w="15" w:type="dxa"/>
                    <w:left w:w="15" w:type="dxa"/>
                    <w:right w:w="15" w:type="dxa"/>
                  </w:tcMar>
                  <w:vAlign w:val="center"/>
                </w:tcPr>
                <w:p w14:paraId="2ACBB783">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无机涂料</w:t>
                  </w:r>
                </w:p>
              </w:tc>
              <w:tc>
                <w:tcPr>
                  <w:tcW w:w="2767" w:type="dxa"/>
                  <w:shd w:val="clear" w:color="auto" w:fill="auto"/>
                  <w:noWrap w:val="0"/>
                  <w:tcMar>
                    <w:top w:w="15" w:type="dxa"/>
                    <w:left w:w="15" w:type="dxa"/>
                    <w:right w:w="15" w:type="dxa"/>
                  </w:tcMar>
                  <w:vAlign w:val="center"/>
                </w:tcPr>
                <w:p w14:paraId="0C5F48C1">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美涂士、雅乐士、欧龙</w:t>
                  </w:r>
                </w:p>
              </w:tc>
              <w:tc>
                <w:tcPr>
                  <w:tcW w:w="3597" w:type="dxa"/>
                  <w:noWrap w:val="0"/>
                  <w:vAlign w:val="center"/>
                </w:tcPr>
                <w:p w14:paraId="6EFA9EEF">
                  <w:pPr>
                    <w:jc w:val="center"/>
                    <w:rPr>
                      <w:rFonts w:hint="eastAsia" w:ascii="宋体" w:hAnsi="宋体" w:eastAsia="宋体" w:cs="宋体"/>
                      <w:color w:val="000000"/>
                      <w:sz w:val="21"/>
                      <w:szCs w:val="21"/>
                    </w:rPr>
                  </w:pPr>
                </w:p>
              </w:tc>
            </w:tr>
            <w:tr w14:paraId="50514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09FF160A">
                  <w:pPr>
                    <w:jc w:val="center"/>
                    <w:rPr>
                      <w:rFonts w:hint="default" w:ascii="宋体" w:hAnsi="宋体" w:eastAsia="宋体" w:cs="宋体"/>
                      <w:color w:val="000000"/>
                      <w:sz w:val="21"/>
                      <w:szCs w:val="21"/>
                      <w:lang w:val="en-US" w:eastAsia="zh-CN" w:bidi="en-US"/>
                    </w:rPr>
                  </w:pPr>
                  <w:r>
                    <w:rPr>
                      <w:rFonts w:hint="eastAsia" w:ascii="宋体" w:hAnsi="宋体" w:eastAsia="宋体" w:cs="宋体"/>
                      <w:color w:val="000000"/>
                      <w:sz w:val="21"/>
                      <w:szCs w:val="21"/>
                      <w:lang w:val="en-US" w:eastAsia="zh-CN"/>
                    </w:rPr>
                    <w:t>41</w:t>
                  </w:r>
                </w:p>
              </w:tc>
              <w:tc>
                <w:tcPr>
                  <w:tcW w:w="2322" w:type="dxa"/>
                  <w:shd w:val="clear" w:color="auto" w:fill="auto"/>
                  <w:noWrap w:val="0"/>
                  <w:tcMar>
                    <w:top w:w="15" w:type="dxa"/>
                    <w:left w:w="15" w:type="dxa"/>
                    <w:right w:w="15" w:type="dxa"/>
                  </w:tcMar>
                  <w:vAlign w:val="center"/>
                </w:tcPr>
                <w:p w14:paraId="3EBCBD87">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无机涂料（A级）</w:t>
                  </w:r>
                </w:p>
              </w:tc>
              <w:tc>
                <w:tcPr>
                  <w:tcW w:w="2767" w:type="dxa"/>
                  <w:shd w:val="clear" w:color="auto" w:fill="auto"/>
                  <w:noWrap w:val="0"/>
                  <w:tcMar>
                    <w:top w:w="15" w:type="dxa"/>
                    <w:left w:w="15" w:type="dxa"/>
                    <w:right w:w="15" w:type="dxa"/>
                  </w:tcMar>
                  <w:vAlign w:val="center"/>
                </w:tcPr>
                <w:p w14:paraId="0AC649E7">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美涂士、雅乐士、欧龙</w:t>
                  </w:r>
                </w:p>
              </w:tc>
              <w:tc>
                <w:tcPr>
                  <w:tcW w:w="3597" w:type="dxa"/>
                  <w:noWrap w:val="0"/>
                  <w:vAlign w:val="center"/>
                </w:tcPr>
                <w:p w14:paraId="728F2D8D">
                  <w:pPr>
                    <w:jc w:val="center"/>
                    <w:rPr>
                      <w:rFonts w:hint="eastAsia" w:ascii="宋体" w:hAnsi="宋体" w:eastAsia="宋体" w:cs="宋体"/>
                      <w:color w:val="000000"/>
                      <w:sz w:val="21"/>
                      <w:szCs w:val="21"/>
                    </w:rPr>
                  </w:pPr>
                </w:p>
              </w:tc>
            </w:tr>
            <w:tr w14:paraId="68C75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53A7D43B">
                  <w:pPr>
                    <w:jc w:val="center"/>
                    <w:rPr>
                      <w:rFonts w:hint="default" w:ascii="宋体" w:hAnsi="宋体" w:eastAsia="宋体" w:cs="宋体"/>
                      <w:color w:val="000000"/>
                      <w:sz w:val="21"/>
                      <w:szCs w:val="21"/>
                      <w:lang w:val="en-US" w:eastAsia="zh-CN" w:bidi="en-US"/>
                    </w:rPr>
                  </w:pPr>
                  <w:r>
                    <w:rPr>
                      <w:rFonts w:hint="eastAsia" w:ascii="宋体" w:hAnsi="宋体" w:eastAsia="宋体" w:cs="宋体"/>
                      <w:color w:val="000000"/>
                      <w:sz w:val="21"/>
                      <w:szCs w:val="21"/>
                      <w:lang w:val="en-US" w:eastAsia="zh-CN"/>
                    </w:rPr>
                    <w:t>42</w:t>
                  </w:r>
                </w:p>
              </w:tc>
              <w:tc>
                <w:tcPr>
                  <w:tcW w:w="2322" w:type="dxa"/>
                  <w:shd w:val="clear" w:color="auto" w:fill="auto"/>
                  <w:noWrap w:val="0"/>
                  <w:tcMar>
                    <w:top w:w="15" w:type="dxa"/>
                    <w:left w:w="15" w:type="dxa"/>
                    <w:right w:w="15" w:type="dxa"/>
                  </w:tcMar>
                  <w:vAlign w:val="center"/>
                </w:tcPr>
                <w:p w14:paraId="11FFBB4C">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弹性涂料</w:t>
                  </w:r>
                </w:p>
              </w:tc>
              <w:tc>
                <w:tcPr>
                  <w:tcW w:w="2767" w:type="dxa"/>
                  <w:shd w:val="clear" w:color="auto" w:fill="auto"/>
                  <w:noWrap w:val="0"/>
                  <w:tcMar>
                    <w:top w:w="15" w:type="dxa"/>
                    <w:left w:w="15" w:type="dxa"/>
                    <w:right w:w="15" w:type="dxa"/>
                  </w:tcMar>
                  <w:vAlign w:val="center"/>
                </w:tcPr>
                <w:p w14:paraId="48BC59DF">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美涂士、雅乐士、欧龙</w:t>
                  </w:r>
                </w:p>
              </w:tc>
              <w:tc>
                <w:tcPr>
                  <w:tcW w:w="3597" w:type="dxa"/>
                  <w:shd w:val="clear" w:color="auto" w:fill="auto"/>
                  <w:noWrap w:val="0"/>
                  <w:vAlign w:val="center"/>
                </w:tcPr>
                <w:p w14:paraId="244F65EC">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满足国家标准。</w:t>
                  </w:r>
                </w:p>
              </w:tc>
            </w:tr>
            <w:tr w14:paraId="264B0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136F528B">
                  <w:pPr>
                    <w:jc w:val="center"/>
                    <w:rPr>
                      <w:rFonts w:hint="default" w:ascii="宋体" w:hAnsi="宋体" w:eastAsia="宋体" w:cs="宋体"/>
                      <w:color w:val="000000"/>
                      <w:sz w:val="21"/>
                      <w:szCs w:val="21"/>
                      <w:lang w:val="en-US" w:eastAsia="zh-CN" w:bidi="en-US"/>
                    </w:rPr>
                  </w:pPr>
                  <w:r>
                    <w:rPr>
                      <w:rFonts w:hint="eastAsia" w:ascii="宋体" w:hAnsi="宋体" w:eastAsia="宋体" w:cs="宋体"/>
                      <w:color w:val="000000"/>
                      <w:sz w:val="21"/>
                      <w:szCs w:val="21"/>
                      <w:lang w:val="en-US" w:eastAsia="zh-CN"/>
                    </w:rPr>
                    <w:t>43</w:t>
                  </w:r>
                </w:p>
              </w:tc>
              <w:tc>
                <w:tcPr>
                  <w:tcW w:w="2322" w:type="dxa"/>
                  <w:shd w:val="clear" w:color="auto" w:fill="auto"/>
                  <w:noWrap w:val="0"/>
                  <w:tcMar>
                    <w:top w:w="15" w:type="dxa"/>
                    <w:left w:w="15" w:type="dxa"/>
                    <w:right w:w="15" w:type="dxa"/>
                  </w:tcMar>
                  <w:vAlign w:val="center"/>
                </w:tcPr>
                <w:p w14:paraId="0E578D61">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墙、地砖</w:t>
                  </w:r>
                </w:p>
              </w:tc>
              <w:tc>
                <w:tcPr>
                  <w:tcW w:w="2767" w:type="dxa"/>
                  <w:shd w:val="clear" w:color="auto" w:fill="auto"/>
                  <w:noWrap w:val="0"/>
                  <w:tcMar>
                    <w:top w:w="15" w:type="dxa"/>
                    <w:left w:w="15" w:type="dxa"/>
                    <w:right w:w="15" w:type="dxa"/>
                  </w:tcMar>
                  <w:vAlign w:val="center"/>
                </w:tcPr>
                <w:p w14:paraId="210165BA">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博华、美陶、卡米亚</w:t>
                  </w:r>
                </w:p>
              </w:tc>
              <w:tc>
                <w:tcPr>
                  <w:tcW w:w="3597" w:type="dxa"/>
                  <w:shd w:val="clear" w:color="auto" w:fill="auto"/>
                  <w:noWrap w:val="0"/>
                  <w:vAlign w:val="center"/>
                </w:tcPr>
                <w:p w14:paraId="09AEDFDA">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1.满足GB/T 4100-2015标准和甲方需求，砖位置、颜色、尺寸详见设计说明及装修设计，材质除特殊要求外，均用抛光砖，瓷质砖。</w:t>
                  </w:r>
                </w:p>
                <w:p w14:paraId="18B06B4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2.根据具体使用位置明确档次。</w:t>
                  </w:r>
                </w:p>
                <w:p w14:paraId="74F92735">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3. 要求原厂生产，甲方可临时到厂家抽检，现场送样封样甲方认可。</w:t>
                  </w:r>
                </w:p>
              </w:tc>
            </w:tr>
            <w:tr w14:paraId="02BFA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1C6024C8">
                  <w:pPr>
                    <w:jc w:val="center"/>
                    <w:rPr>
                      <w:rFonts w:hint="default" w:ascii="宋体" w:hAnsi="宋体" w:eastAsia="宋体" w:cs="宋体"/>
                      <w:color w:val="000000"/>
                      <w:sz w:val="21"/>
                      <w:szCs w:val="21"/>
                      <w:lang w:val="en-US" w:eastAsia="zh-CN" w:bidi="en-US"/>
                    </w:rPr>
                  </w:pPr>
                  <w:r>
                    <w:rPr>
                      <w:rFonts w:hint="eastAsia" w:ascii="宋体" w:hAnsi="宋体" w:eastAsia="宋体" w:cs="宋体"/>
                      <w:color w:val="000000"/>
                      <w:sz w:val="21"/>
                      <w:szCs w:val="21"/>
                      <w:lang w:val="en-US" w:eastAsia="zh-CN"/>
                    </w:rPr>
                    <w:t>44</w:t>
                  </w:r>
                </w:p>
              </w:tc>
              <w:tc>
                <w:tcPr>
                  <w:tcW w:w="2322" w:type="dxa"/>
                  <w:shd w:val="clear" w:color="auto" w:fill="auto"/>
                  <w:noWrap w:val="0"/>
                  <w:tcMar>
                    <w:top w:w="15" w:type="dxa"/>
                    <w:left w:w="15" w:type="dxa"/>
                    <w:right w:w="15" w:type="dxa"/>
                  </w:tcMar>
                  <w:vAlign w:val="center"/>
                </w:tcPr>
                <w:p w14:paraId="7B7B7A34">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PVC地板</w:t>
                  </w:r>
                </w:p>
              </w:tc>
              <w:tc>
                <w:tcPr>
                  <w:tcW w:w="2767" w:type="dxa"/>
                  <w:shd w:val="clear" w:color="auto" w:fill="auto"/>
                  <w:noWrap w:val="0"/>
                  <w:tcMar>
                    <w:top w:w="15" w:type="dxa"/>
                    <w:left w:w="15" w:type="dxa"/>
                    <w:right w:w="15" w:type="dxa"/>
                  </w:tcMar>
                  <w:vAlign w:val="center"/>
                </w:tcPr>
                <w:p w14:paraId="055F3CC2">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LG、阿姆斯壮、洁福</w:t>
                  </w:r>
                </w:p>
              </w:tc>
              <w:tc>
                <w:tcPr>
                  <w:tcW w:w="3597" w:type="dxa"/>
                  <w:shd w:val="clear" w:color="auto" w:fill="auto"/>
                  <w:noWrap w:val="0"/>
                  <w:vAlign w:val="center"/>
                </w:tcPr>
                <w:p w14:paraId="79433FB3">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满足GB/T 4085-2015《半硬质聚氯乙烯块状地板》、GB 18586-2001《室内装饰装修材料 聚氯乙烯卷材地板中有害物质限量》、GB 8624-2012《建筑材料及制品燃烧性能分级》</w:t>
                  </w:r>
                </w:p>
              </w:tc>
            </w:tr>
            <w:tr w14:paraId="15DAB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701F3E1F">
                  <w:pPr>
                    <w:jc w:val="center"/>
                    <w:rPr>
                      <w:rFonts w:hint="default" w:ascii="宋体" w:hAnsi="宋体" w:eastAsia="宋体" w:cs="宋体"/>
                      <w:color w:val="000000"/>
                      <w:sz w:val="21"/>
                      <w:szCs w:val="21"/>
                      <w:lang w:val="en-US" w:eastAsia="zh-CN" w:bidi="en-US"/>
                    </w:rPr>
                  </w:pPr>
                  <w:r>
                    <w:rPr>
                      <w:rFonts w:hint="eastAsia" w:ascii="宋体" w:hAnsi="宋体" w:eastAsia="宋体" w:cs="宋体"/>
                      <w:color w:val="000000"/>
                      <w:sz w:val="21"/>
                      <w:szCs w:val="21"/>
                      <w:lang w:val="en-US" w:eastAsia="zh-CN"/>
                    </w:rPr>
                    <w:t>45</w:t>
                  </w:r>
                </w:p>
              </w:tc>
              <w:tc>
                <w:tcPr>
                  <w:tcW w:w="2322" w:type="dxa"/>
                  <w:shd w:val="clear" w:color="auto" w:fill="auto"/>
                  <w:noWrap w:val="0"/>
                  <w:tcMar>
                    <w:top w:w="15" w:type="dxa"/>
                    <w:left w:w="15" w:type="dxa"/>
                    <w:right w:w="15" w:type="dxa"/>
                  </w:tcMar>
                  <w:vAlign w:val="center"/>
                </w:tcPr>
                <w:p w14:paraId="36E6FE5D">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eastAsia="zh-CN"/>
                    </w:rPr>
                    <w:t>方块地毯</w:t>
                  </w:r>
                </w:p>
              </w:tc>
              <w:tc>
                <w:tcPr>
                  <w:tcW w:w="2767" w:type="dxa"/>
                  <w:shd w:val="clear" w:color="auto" w:fill="auto"/>
                  <w:noWrap w:val="0"/>
                  <w:tcMar>
                    <w:top w:w="15" w:type="dxa"/>
                    <w:left w:w="15" w:type="dxa"/>
                    <w:right w:w="15" w:type="dxa"/>
                  </w:tcMar>
                  <w:vAlign w:val="center"/>
                </w:tcPr>
                <w:p w14:paraId="3EDF579C">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 xml:space="preserve"> 林坤宏源</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高嘉</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大于</w:t>
                  </w:r>
                </w:p>
              </w:tc>
              <w:tc>
                <w:tcPr>
                  <w:tcW w:w="3597" w:type="dxa"/>
                  <w:shd w:val="clear" w:color="auto" w:fill="auto"/>
                  <w:noWrap w:val="0"/>
                  <w:vAlign w:val="center"/>
                </w:tcPr>
                <w:p w14:paraId="60A234F4">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满足GB18587-2001《室内装饰装修材料地毯、地毯衬垫及地毯胶粘剂有害物质释放限量》、QB/T 2755-2005《拼块地毯》、GB 8624-2012《建筑材料及制品燃烧性能分级》</w:t>
                  </w:r>
                </w:p>
              </w:tc>
            </w:tr>
            <w:tr w14:paraId="0788B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61334ED3">
                  <w:pPr>
                    <w:jc w:val="center"/>
                    <w:rPr>
                      <w:rFonts w:hint="default" w:ascii="宋体" w:hAnsi="宋体" w:eastAsia="宋体" w:cs="宋体"/>
                      <w:color w:val="000000"/>
                      <w:sz w:val="21"/>
                      <w:szCs w:val="21"/>
                      <w:lang w:val="en-US" w:eastAsia="zh-CN" w:bidi="en-US"/>
                    </w:rPr>
                  </w:pPr>
                  <w:r>
                    <w:rPr>
                      <w:rFonts w:hint="eastAsia" w:ascii="宋体" w:hAnsi="宋体" w:eastAsia="宋体" w:cs="宋体"/>
                      <w:color w:val="000000"/>
                      <w:sz w:val="21"/>
                      <w:szCs w:val="21"/>
                      <w:lang w:val="en-US" w:eastAsia="zh-CN"/>
                    </w:rPr>
                    <w:t>46</w:t>
                  </w:r>
                </w:p>
              </w:tc>
              <w:tc>
                <w:tcPr>
                  <w:tcW w:w="2322" w:type="dxa"/>
                  <w:shd w:val="clear" w:color="auto" w:fill="auto"/>
                  <w:noWrap w:val="0"/>
                  <w:tcMar>
                    <w:top w:w="15" w:type="dxa"/>
                    <w:left w:w="15" w:type="dxa"/>
                    <w:right w:w="15" w:type="dxa"/>
                  </w:tcMar>
                  <w:vAlign w:val="center"/>
                </w:tcPr>
                <w:p w14:paraId="4069DF33">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eastAsia="zh-CN"/>
                    </w:rPr>
                    <w:t>胶水</w:t>
                  </w:r>
                </w:p>
              </w:tc>
              <w:tc>
                <w:tcPr>
                  <w:tcW w:w="2767" w:type="dxa"/>
                  <w:shd w:val="clear" w:color="auto" w:fill="auto"/>
                  <w:noWrap w:val="0"/>
                  <w:tcMar>
                    <w:top w:w="15" w:type="dxa"/>
                    <w:left w:w="15" w:type="dxa"/>
                    <w:right w:w="15" w:type="dxa"/>
                  </w:tcMar>
                  <w:vAlign w:val="center"/>
                </w:tcPr>
                <w:p w14:paraId="4A2C80F4">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美圣雅恒</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康龙</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耐齐</w:t>
                  </w:r>
                </w:p>
              </w:tc>
              <w:tc>
                <w:tcPr>
                  <w:tcW w:w="3597" w:type="dxa"/>
                  <w:shd w:val="clear" w:color="auto" w:fill="auto"/>
                  <w:noWrap w:val="0"/>
                  <w:vAlign w:val="center"/>
                </w:tcPr>
                <w:p w14:paraId="76057C2B">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满足GB 18587-2001《室内装饰装修材料地毯、地毯衬垫及地毯胶粘剂有害物质释放限量》</w:t>
                  </w:r>
                </w:p>
              </w:tc>
            </w:tr>
            <w:tr w14:paraId="07A92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22C14F2A">
                  <w:pPr>
                    <w:jc w:val="center"/>
                    <w:rPr>
                      <w:rFonts w:hint="default" w:ascii="宋体" w:hAnsi="宋体" w:eastAsia="宋体" w:cs="宋体"/>
                      <w:color w:val="000000"/>
                      <w:sz w:val="21"/>
                      <w:szCs w:val="21"/>
                      <w:lang w:val="en-US" w:eastAsia="zh-CN" w:bidi="en-US"/>
                    </w:rPr>
                  </w:pPr>
                  <w:r>
                    <w:rPr>
                      <w:rFonts w:hint="eastAsia" w:ascii="宋体" w:hAnsi="宋体" w:eastAsia="宋体" w:cs="宋体"/>
                      <w:color w:val="000000"/>
                      <w:sz w:val="21"/>
                      <w:szCs w:val="21"/>
                      <w:lang w:val="en-US" w:eastAsia="zh-CN"/>
                    </w:rPr>
                    <w:t>47</w:t>
                  </w:r>
                </w:p>
              </w:tc>
              <w:tc>
                <w:tcPr>
                  <w:tcW w:w="2322" w:type="dxa"/>
                  <w:shd w:val="clear" w:color="auto" w:fill="auto"/>
                  <w:noWrap w:val="0"/>
                  <w:tcMar>
                    <w:top w:w="15" w:type="dxa"/>
                    <w:left w:w="15" w:type="dxa"/>
                    <w:right w:w="15" w:type="dxa"/>
                  </w:tcMar>
                  <w:vAlign w:val="center"/>
                </w:tcPr>
                <w:p w14:paraId="3C66A776">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吸音矿棉板</w:t>
                  </w:r>
                </w:p>
              </w:tc>
              <w:tc>
                <w:tcPr>
                  <w:tcW w:w="2767" w:type="dxa"/>
                  <w:shd w:val="clear" w:color="auto" w:fill="auto"/>
                  <w:noWrap w:val="0"/>
                  <w:tcMar>
                    <w:top w:w="15" w:type="dxa"/>
                    <w:left w:w="15" w:type="dxa"/>
                    <w:right w:w="15" w:type="dxa"/>
                  </w:tcMar>
                  <w:vAlign w:val="center"/>
                </w:tcPr>
                <w:p w14:paraId="37967664">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星牌优时吉、阿姆斯壮、龙牌</w:t>
                  </w:r>
                </w:p>
              </w:tc>
              <w:tc>
                <w:tcPr>
                  <w:tcW w:w="3597" w:type="dxa"/>
                  <w:shd w:val="clear" w:color="auto" w:fill="auto"/>
                  <w:noWrap w:val="0"/>
                  <w:vAlign w:val="center"/>
                </w:tcPr>
                <w:p w14:paraId="6216E47C">
                  <w:pPr>
                    <w:jc w:val="center"/>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rPr>
                    <w:t>.装饰效果：表面喷砂，呈现细腻效果；</w:t>
                  </w:r>
                </w:p>
                <w:p w14:paraId="0EDAC0C6">
                  <w:pPr>
                    <w:jc w:val="center"/>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.防潮等级：保证抗挠强度，板材防潮等级需达到RH99；</w:t>
                  </w:r>
                </w:p>
                <w:p w14:paraId="727C7040">
                  <w:pPr>
                    <w:jc w:val="center"/>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3</w:t>
                  </w:r>
                  <w:r>
                    <w:rPr>
                      <w:rFonts w:hint="eastAsia" w:ascii="宋体" w:hAnsi="宋体" w:eastAsia="宋体" w:cs="宋体"/>
                      <w:color w:val="000000"/>
                      <w:sz w:val="21"/>
                      <w:szCs w:val="21"/>
                    </w:rPr>
                    <w:t>.防火等级：矿棉板防火等级按设计；</w:t>
                  </w:r>
                </w:p>
                <w:p w14:paraId="25E92E12">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.烤漆龙骨用同品牌。</w:t>
                  </w:r>
                </w:p>
              </w:tc>
            </w:tr>
            <w:tr w14:paraId="2DA63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1ECA20FD">
                  <w:pPr>
                    <w:jc w:val="center"/>
                    <w:rPr>
                      <w:rFonts w:hint="default" w:ascii="宋体" w:hAnsi="宋体" w:eastAsia="宋体" w:cs="宋体"/>
                      <w:color w:val="000000"/>
                      <w:sz w:val="21"/>
                      <w:szCs w:val="21"/>
                      <w:lang w:val="en-US" w:eastAsia="zh-CN" w:bidi="en-US"/>
                    </w:rPr>
                  </w:pPr>
                  <w:r>
                    <w:rPr>
                      <w:rFonts w:hint="eastAsia" w:ascii="宋体" w:hAnsi="宋体" w:cs="宋体"/>
                      <w:color w:val="000000"/>
                      <w:sz w:val="21"/>
                      <w:szCs w:val="21"/>
                      <w:lang w:val="en-US" w:eastAsia="zh-CN"/>
                    </w:rPr>
                    <w:t>48</w:t>
                  </w:r>
                </w:p>
              </w:tc>
              <w:tc>
                <w:tcPr>
                  <w:tcW w:w="2322" w:type="dxa"/>
                  <w:shd w:val="clear" w:color="auto" w:fill="auto"/>
                  <w:noWrap w:val="0"/>
                  <w:tcMar>
                    <w:top w:w="15" w:type="dxa"/>
                    <w:left w:w="15" w:type="dxa"/>
                    <w:right w:w="15" w:type="dxa"/>
                  </w:tcMar>
                  <w:vAlign w:val="center"/>
                </w:tcPr>
                <w:p w14:paraId="37A0CF3B">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铝板吊顶</w:t>
                  </w:r>
                </w:p>
              </w:tc>
              <w:tc>
                <w:tcPr>
                  <w:tcW w:w="2767" w:type="dxa"/>
                  <w:shd w:val="clear" w:color="auto" w:fill="auto"/>
                  <w:noWrap w:val="0"/>
                  <w:tcMar>
                    <w:top w:w="15" w:type="dxa"/>
                    <w:left w:w="15" w:type="dxa"/>
                    <w:right w:w="15" w:type="dxa"/>
                  </w:tcMar>
                  <w:vAlign w:val="center"/>
                </w:tcPr>
                <w:p w14:paraId="321B618A">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华源、普瑞、欧斯宝</w:t>
                  </w:r>
                </w:p>
              </w:tc>
              <w:tc>
                <w:tcPr>
                  <w:tcW w:w="3597" w:type="dxa"/>
                  <w:shd w:val="clear" w:color="auto" w:fill="auto"/>
                  <w:noWrap w:val="0"/>
                  <w:vAlign w:val="center"/>
                </w:tcPr>
                <w:p w14:paraId="01080282">
                  <w:pPr>
                    <w:jc w:val="center"/>
                    <w:rPr>
                      <w:rFonts w:hint="eastAsia" w:ascii="宋体" w:hAnsi="宋体" w:eastAsia="宋体" w:cs="宋体"/>
                      <w:color w:val="000000"/>
                      <w:sz w:val="21"/>
                      <w:szCs w:val="21"/>
                      <w:lang w:val="en-US" w:eastAsia="en-US"/>
                    </w:rPr>
                  </w:pPr>
                </w:p>
              </w:tc>
            </w:tr>
            <w:tr w14:paraId="03B80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261CB864">
                  <w:pPr>
                    <w:jc w:val="center"/>
                    <w:rPr>
                      <w:rFonts w:hint="default" w:ascii="宋体" w:hAnsi="宋体" w:eastAsia="宋体" w:cs="宋体"/>
                      <w:color w:val="000000"/>
                      <w:sz w:val="21"/>
                      <w:szCs w:val="21"/>
                      <w:lang w:val="en-US" w:eastAsia="zh-CN" w:bidi="en-US"/>
                    </w:rPr>
                  </w:pPr>
                  <w:r>
                    <w:rPr>
                      <w:rFonts w:hint="eastAsia" w:ascii="宋体" w:hAnsi="宋体" w:cs="宋体"/>
                      <w:color w:val="000000"/>
                      <w:sz w:val="21"/>
                      <w:szCs w:val="21"/>
                      <w:lang w:val="en-US" w:eastAsia="zh-CN"/>
                    </w:rPr>
                    <w:t>49</w:t>
                  </w:r>
                </w:p>
              </w:tc>
              <w:tc>
                <w:tcPr>
                  <w:tcW w:w="2322" w:type="dxa"/>
                  <w:shd w:val="clear" w:color="auto" w:fill="auto"/>
                  <w:noWrap w:val="0"/>
                  <w:tcMar>
                    <w:top w:w="15" w:type="dxa"/>
                    <w:left w:w="15" w:type="dxa"/>
                    <w:right w:w="15" w:type="dxa"/>
                  </w:tcMar>
                  <w:vAlign w:val="center"/>
                </w:tcPr>
                <w:p w14:paraId="67372C16">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木夹板</w:t>
                  </w:r>
                </w:p>
              </w:tc>
              <w:tc>
                <w:tcPr>
                  <w:tcW w:w="2767" w:type="dxa"/>
                  <w:shd w:val="clear" w:color="auto" w:fill="auto"/>
                  <w:noWrap w:val="0"/>
                  <w:tcMar>
                    <w:top w:w="15" w:type="dxa"/>
                    <w:left w:w="15" w:type="dxa"/>
                    <w:right w:w="15" w:type="dxa"/>
                  </w:tcMar>
                  <w:vAlign w:val="center"/>
                </w:tcPr>
                <w:p w14:paraId="4963511B">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金秋、森美、万华</w:t>
                  </w:r>
                </w:p>
              </w:tc>
              <w:tc>
                <w:tcPr>
                  <w:tcW w:w="3597" w:type="dxa"/>
                  <w:shd w:val="clear" w:color="auto" w:fill="auto"/>
                  <w:noWrap w:val="0"/>
                  <w:vAlign w:val="center"/>
                </w:tcPr>
                <w:p w14:paraId="33E6F839">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环保等级ENF级，厚度见设计说明。</w:t>
                  </w:r>
                </w:p>
              </w:tc>
            </w:tr>
            <w:tr w14:paraId="2F3AC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2D725F8C">
                  <w:pPr>
                    <w:jc w:val="center"/>
                    <w:rPr>
                      <w:rFonts w:hint="default" w:ascii="宋体" w:hAnsi="宋体" w:eastAsia="宋体" w:cs="宋体"/>
                      <w:color w:val="000000"/>
                      <w:sz w:val="21"/>
                      <w:szCs w:val="21"/>
                      <w:lang w:val="en-US" w:eastAsia="zh-CN" w:bidi="en-US"/>
                    </w:rPr>
                  </w:pPr>
                  <w:r>
                    <w:rPr>
                      <w:rFonts w:hint="eastAsia" w:ascii="宋体" w:hAnsi="宋体" w:cs="宋体"/>
                      <w:color w:val="000000"/>
                      <w:sz w:val="21"/>
                      <w:szCs w:val="21"/>
                      <w:lang w:val="en-US" w:eastAsia="zh-CN"/>
                    </w:rPr>
                    <w:t>50</w:t>
                  </w:r>
                </w:p>
              </w:tc>
              <w:tc>
                <w:tcPr>
                  <w:tcW w:w="2322" w:type="dxa"/>
                  <w:shd w:val="clear" w:color="auto" w:fill="auto"/>
                  <w:noWrap w:val="0"/>
                  <w:tcMar>
                    <w:top w:w="15" w:type="dxa"/>
                    <w:left w:w="15" w:type="dxa"/>
                    <w:right w:w="15" w:type="dxa"/>
                  </w:tcMar>
                  <w:vAlign w:val="center"/>
                </w:tcPr>
                <w:p w14:paraId="20E9B32C">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石材</w:t>
                  </w:r>
                </w:p>
              </w:tc>
              <w:tc>
                <w:tcPr>
                  <w:tcW w:w="2767" w:type="dxa"/>
                  <w:shd w:val="clear" w:color="auto" w:fill="auto"/>
                  <w:noWrap w:val="0"/>
                  <w:tcMar>
                    <w:top w:w="15" w:type="dxa"/>
                    <w:left w:w="15" w:type="dxa"/>
                    <w:right w:w="15" w:type="dxa"/>
                  </w:tcMar>
                  <w:vAlign w:val="center"/>
                </w:tcPr>
                <w:p w14:paraId="4779EFE8">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产地：新疆、山东、福建</w:t>
                  </w:r>
                </w:p>
              </w:tc>
              <w:tc>
                <w:tcPr>
                  <w:tcW w:w="3597" w:type="dxa"/>
                  <w:shd w:val="clear" w:color="auto" w:fill="auto"/>
                  <w:noWrap w:val="0"/>
                  <w:vAlign w:val="center"/>
                </w:tcPr>
                <w:p w14:paraId="2605017C">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水性防护剂六面防护、抛光、洁晶处理；颜色尺寸厚度详设计说明及装修方案，送样甲方确认。</w:t>
                  </w:r>
                </w:p>
              </w:tc>
            </w:tr>
            <w:tr w14:paraId="1082A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50CCD6BE">
                  <w:pPr>
                    <w:jc w:val="center"/>
                    <w:rPr>
                      <w:rFonts w:hint="default" w:ascii="宋体" w:hAnsi="宋体" w:eastAsia="宋体" w:cs="宋体"/>
                      <w:color w:val="000000"/>
                      <w:sz w:val="21"/>
                      <w:szCs w:val="21"/>
                      <w:lang w:val="en-US" w:eastAsia="zh-CN" w:bidi="en-US"/>
                    </w:rPr>
                  </w:pPr>
                  <w:r>
                    <w:rPr>
                      <w:rFonts w:hint="eastAsia" w:ascii="宋体" w:hAnsi="宋体" w:cs="宋体"/>
                      <w:color w:val="000000"/>
                      <w:sz w:val="21"/>
                      <w:szCs w:val="21"/>
                      <w:lang w:val="en-US" w:eastAsia="zh-CN"/>
                    </w:rPr>
                    <w:t>51</w:t>
                  </w:r>
                </w:p>
              </w:tc>
              <w:tc>
                <w:tcPr>
                  <w:tcW w:w="2322" w:type="dxa"/>
                  <w:shd w:val="clear" w:color="auto" w:fill="auto"/>
                  <w:noWrap w:val="0"/>
                  <w:tcMar>
                    <w:top w:w="15" w:type="dxa"/>
                    <w:left w:w="15" w:type="dxa"/>
                    <w:right w:w="15" w:type="dxa"/>
                  </w:tcMar>
                  <w:vAlign w:val="center"/>
                </w:tcPr>
                <w:p w14:paraId="0E9B9188">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铝方通（金属格栅）</w:t>
                  </w:r>
                </w:p>
              </w:tc>
              <w:tc>
                <w:tcPr>
                  <w:tcW w:w="2767" w:type="dxa"/>
                  <w:shd w:val="clear" w:color="auto" w:fill="auto"/>
                  <w:noWrap w:val="0"/>
                  <w:tcMar>
                    <w:top w:w="15" w:type="dxa"/>
                    <w:left w:w="15" w:type="dxa"/>
                    <w:right w:w="15" w:type="dxa"/>
                  </w:tcMar>
                  <w:vAlign w:val="center"/>
                </w:tcPr>
                <w:p w14:paraId="7EF88265">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上海吉祥、艾普迈尔、聆听</w:t>
                  </w:r>
                </w:p>
              </w:tc>
              <w:tc>
                <w:tcPr>
                  <w:tcW w:w="3597" w:type="dxa"/>
                  <w:shd w:val="clear" w:color="auto" w:fill="auto"/>
                  <w:noWrap w:val="0"/>
                  <w:vAlign w:val="center"/>
                </w:tcPr>
                <w:p w14:paraId="740F4EC2">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按设计要求</w:t>
                  </w:r>
                </w:p>
              </w:tc>
            </w:tr>
            <w:tr w14:paraId="2534F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40D6291E">
                  <w:pPr>
                    <w:jc w:val="center"/>
                    <w:rPr>
                      <w:rFonts w:hint="default" w:ascii="宋体" w:hAnsi="宋体" w:eastAsia="宋体" w:cs="宋体"/>
                      <w:color w:val="000000"/>
                      <w:sz w:val="21"/>
                      <w:szCs w:val="21"/>
                      <w:lang w:val="en-US" w:eastAsia="zh-CN" w:bidi="en-US"/>
                    </w:rPr>
                  </w:pPr>
                  <w:r>
                    <w:rPr>
                      <w:rFonts w:hint="eastAsia" w:ascii="宋体" w:hAnsi="宋体" w:cs="宋体"/>
                      <w:color w:val="000000"/>
                      <w:sz w:val="21"/>
                      <w:szCs w:val="21"/>
                      <w:lang w:val="en-US" w:eastAsia="zh-CN"/>
                    </w:rPr>
                    <w:t>52</w:t>
                  </w:r>
                </w:p>
              </w:tc>
              <w:tc>
                <w:tcPr>
                  <w:tcW w:w="2322" w:type="dxa"/>
                  <w:shd w:val="clear" w:color="auto" w:fill="auto"/>
                  <w:noWrap w:val="0"/>
                  <w:tcMar>
                    <w:top w:w="15" w:type="dxa"/>
                    <w:left w:w="15" w:type="dxa"/>
                    <w:right w:w="15" w:type="dxa"/>
                  </w:tcMar>
                  <w:vAlign w:val="center"/>
                </w:tcPr>
                <w:p w14:paraId="5E69E6F3">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白色透光软膜</w:t>
                  </w:r>
                </w:p>
              </w:tc>
              <w:tc>
                <w:tcPr>
                  <w:tcW w:w="2767" w:type="dxa"/>
                  <w:shd w:val="clear" w:color="auto" w:fill="auto"/>
                  <w:noWrap w:val="0"/>
                  <w:tcMar>
                    <w:top w:w="15" w:type="dxa"/>
                    <w:left w:w="15" w:type="dxa"/>
                    <w:right w:w="15" w:type="dxa"/>
                  </w:tcMar>
                  <w:vAlign w:val="center"/>
                </w:tcPr>
                <w:p w14:paraId="4B16287F">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朗域、顶彩、沃朗</w:t>
                  </w:r>
                </w:p>
              </w:tc>
              <w:tc>
                <w:tcPr>
                  <w:tcW w:w="3597" w:type="dxa"/>
                  <w:shd w:val="clear" w:color="auto" w:fill="auto"/>
                  <w:noWrap w:val="0"/>
                  <w:vAlign w:val="center"/>
                </w:tcPr>
                <w:p w14:paraId="12A3C082">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防火达到A级；厚度0.2mm；布基纹理：斜纹；表面涂层：纳米无机材料；透光率：45%-60%。</w:t>
                  </w:r>
                </w:p>
              </w:tc>
            </w:tr>
            <w:tr w14:paraId="719BE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79032E77">
                  <w:pPr>
                    <w:jc w:val="center"/>
                    <w:rPr>
                      <w:rFonts w:hint="default" w:ascii="宋体" w:hAnsi="宋体" w:eastAsia="宋体" w:cs="宋体"/>
                      <w:color w:val="000000"/>
                      <w:sz w:val="21"/>
                      <w:szCs w:val="21"/>
                      <w:lang w:val="en-US" w:eastAsia="zh-CN" w:bidi="en-US"/>
                    </w:rPr>
                  </w:pPr>
                  <w:r>
                    <w:rPr>
                      <w:rFonts w:hint="eastAsia" w:ascii="宋体" w:hAnsi="宋体" w:cs="宋体"/>
                      <w:color w:val="000000"/>
                      <w:sz w:val="21"/>
                      <w:szCs w:val="21"/>
                      <w:lang w:val="en-US" w:eastAsia="zh-CN"/>
                    </w:rPr>
                    <w:t>53</w:t>
                  </w:r>
                </w:p>
              </w:tc>
              <w:tc>
                <w:tcPr>
                  <w:tcW w:w="2322" w:type="dxa"/>
                  <w:shd w:val="clear" w:color="auto" w:fill="auto"/>
                  <w:noWrap w:val="0"/>
                  <w:tcMar>
                    <w:top w:w="15" w:type="dxa"/>
                    <w:left w:w="15" w:type="dxa"/>
                    <w:right w:w="15" w:type="dxa"/>
                  </w:tcMar>
                  <w:vAlign w:val="center"/>
                </w:tcPr>
                <w:p w14:paraId="35A48341">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eastAsia="zh-CN"/>
                    </w:rPr>
                    <w:t>碳晶板饰面</w:t>
                  </w:r>
                </w:p>
              </w:tc>
              <w:tc>
                <w:tcPr>
                  <w:tcW w:w="2767" w:type="dxa"/>
                  <w:shd w:val="clear" w:color="auto" w:fill="auto"/>
                  <w:noWrap w:val="0"/>
                  <w:tcMar>
                    <w:top w:w="15" w:type="dxa"/>
                    <w:left w:w="15" w:type="dxa"/>
                    <w:right w:w="15" w:type="dxa"/>
                  </w:tcMar>
                  <w:vAlign w:val="center"/>
                </w:tcPr>
                <w:p w14:paraId="6E97E80F">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国产名优</w:t>
                  </w:r>
                </w:p>
              </w:tc>
              <w:tc>
                <w:tcPr>
                  <w:tcW w:w="3597" w:type="dxa"/>
                  <w:shd w:val="clear" w:color="auto" w:fill="auto"/>
                  <w:noWrap w:val="0"/>
                  <w:vAlign w:val="center"/>
                </w:tcPr>
                <w:p w14:paraId="71B7A321">
                  <w:pPr>
                    <w:jc w:val="center"/>
                    <w:rPr>
                      <w:rFonts w:hint="eastAsia" w:ascii="宋体" w:hAnsi="宋体" w:eastAsia="宋体" w:cs="宋体"/>
                      <w:color w:val="000000"/>
                      <w:sz w:val="21"/>
                      <w:szCs w:val="21"/>
                      <w:lang w:val="en-US" w:eastAsia="en-US"/>
                    </w:rPr>
                  </w:pPr>
                  <w:r>
                    <w:rPr>
                      <w:rFonts w:hint="eastAsia" w:ascii="宋体" w:hAnsi="宋体" w:eastAsia="宋体" w:cs="宋体"/>
                      <w:color w:val="000000"/>
                      <w:sz w:val="21"/>
                      <w:szCs w:val="21"/>
                    </w:rPr>
                    <w:t>GB 18580-2017《室内装饰装修材料 人造板及其制品中甲醛释放限量》，环保等级ENF级。</w:t>
                  </w:r>
                </w:p>
              </w:tc>
            </w:tr>
            <w:tr w14:paraId="4FE56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5EFC5500">
                  <w:pPr>
                    <w:jc w:val="center"/>
                    <w:rPr>
                      <w:rFonts w:hint="default" w:ascii="宋体" w:hAnsi="宋体" w:eastAsia="宋体" w:cs="宋体"/>
                      <w:color w:val="000000"/>
                      <w:sz w:val="21"/>
                      <w:szCs w:val="21"/>
                      <w:lang w:val="en-US" w:eastAsia="zh-CN" w:bidi="en-US"/>
                    </w:rPr>
                  </w:pPr>
                  <w:r>
                    <w:rPr>
                      <w:rFonts w:hint="eastAsia" w:ascii="宋体" w:hAnsi="宋体" w:cs="宋体"/>
                      <w:color w:val="000000"/>
                      <w:sz w:val="21"/>
                      <w:szCs w:val="21"/>
                      <w:lang w:val="en-US" w:eastAsia="zh-CN"/>
                    </w:rPr>
                    <w:t>54</w:t>
                  </w:r>
                </w:p>
              </w:tc>
              <w:tc>
                <w:tcPr>
                  <w:tcW w:w="2322" w:type="dxa"/>
                  <w:shd w:val="clear" w:color="auto" w:fill="auto"/>
                  <w:noWrap w:val="0"/>
                  <w:tcMar>
                    <w:top w:w="15" w:type="dxa"/>
                    <w:left w:w="15" w:type="dxa"/>
                    <w:right w:w="15" w:type="dxa"/>
                  </w:tcMar>
                  <w:vAlign w:val="center"/>
                </w:tcPr>
                <w:p w14:paraId="11754DA9">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美缝剂</w:t>
                  </w:r>
                </w:p>
              </w:tc>
              <w:tc>
                <w:tcPr>
                  <w:tcW w:w="2767" w:type="dxa"/>
                  <w:shd w:val="clear" w:color="auto" w:fill="auto"/>
                  <w:noWrap w:val="0"/>
                  <w:tcMar>
                    <w:top w:w="15" w:type="dxa"/>
                    <w:left w:w="15" w:type="dxa"/>
                    <w:right w:w="15" w:type="dxa"/>
                  </w:tcMar>
                  <w:vAlign w:val="center"/>
                </w:tcPr>
                <w:p w14:paraId="2B8C11E9">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德高、卓高、立邦</w:t>
                  </w:r>
                </w:p>
              </w:tc>
              <w:tc>
                <w:tcPr>
                  <w:tcW w:w="3597" w:type="dxa"/>
                  <w:shd w:val="clear" w:color="auto" w:fill="auto"/>
                  <w:noWrap w:val="0"/>
                  <w:vAlign w:val="center"/>
                </w:tcPr>
                <w:p w14:paraId="6ABBF145">
                  <w:pPr>
                    <w:jc w:val="center"/>
                    <w:rPr>
                      <w:rFonts w:hint="eastAsia" w:ascii="宋体" w:hAnsi="宋体" w:eastAsia="宋体" w:cs="宋体"/>
                      <w:color w:val="000000"/>
                      <w:sz w:val="21"/>
                      <w:szCs w:val="21"/>
                      <w:lang w:val="en-US" w:eastAsia="en-US"/>
                    </w:rPr>
                  </w:pPr>
                </w:p>
              </w:tc>
            </w:tr>
            <w:tr w14:paraId="244CE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6468E3B8">
                  <w:pPr>
                    <w:jc w:val="center"/>
                    <w:rPr>
                      <w:rFonts w:hint="default" w:ascii="宋体" w:hAnsi="宋体" w:eastAsia="宋体" w:cs="宋体"/>
                      <w:color w:val="000000"/>
                      <w:sz w:val="21"/>
                      <w:szCs w:val="21"/>
                      <w:lang w:val="en-US" w:eastAsia="zh-CN" w:bidi="en-US"/>
                    </w:rPr>
                  </w:pPr>
                  <w:r>
                    <w:rPr>
                      <w:rFonts w:hint="eastAsia" w:ascii="宋体" w:hAnsi="宋体" w:cs="宋体"/>
                      <w:color w:val="000000"/>
                      <w:sz w:val="21"/>
                      <w:szCs w:val="21"/>
                      <w:lang w:val="en-US" w:eastAsia="zh-CN"/>
                    </w:rPr>
                    <w:t>55</w:t>
                  </w:r>
                </w:p>
              </w:tc>
              <w:tc>
                <w:tcPr>
                  <w:tcW w:w="2322" w:type="dxa"/>
                  <w:shd w:val="clear" w:color="auto" w:fill="auto"/>
                  <w:noWrap w:val="0"/>
                  <w:tcMar>
                    <w:top w:w="15" w:type="dxa"/>
                    <w:left w:w="15" w:type="dxa"/>
                    <w:right w:w="15" w:type="dxa"/>
                  </w:tcMar>
                  <w:vAlign w:val="center"/>
                </w:tcPr>
                <w:p w14:paraId="69B7856E">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玻璃门轨道电机</w:t>
                  </w:r>
                </w:p>
              </w:tc>
              <w:tc>
                <w:tcPr>
                  <w:tcW w:w="2767" w:type="dxa"/>
                  <w:shd w:val="clear" w:color="auto" w:fill="auto"/>
                  <w:noWrap w:val="0"/>
                  <w:tcMar>
                    <w:top w:w="15" w:type="dxa"/>
                    <w:left w:w="15" w:type="dxa"/>
                    <w:right w:w="15" w:type="dxa"/>
                  </w:tcMar>
                  <w:vAlign w:val="center"/>
                </w:tcPr>
                <w:p w14:paraId="6A9DAE76">
                  <w:pPr>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松下、飞利浦、多玛</w:t>
                  </w:r>
                </w:p>
              </w:tc>
              <w:tc>
                <w:tcPr>
                  <w:tcW w:w="3597" w:type="dxa"/>
                  <w:shd w:val="clear" w:color="auto" w:fill="auto"/>
                  <w:noWrap w:val="0"/>
                  <w:vAlign w:val="center"/>
                </w:tcPr>
                <w:p w14:paraId="6EE5449D">
                  <w:pPr>
                    <w:jc w:val="center"/>
                    <w:rPr>
                      <w:rFonts w:hint="eastAsia" w:ascii="宋体" w:hAnsi="宋体" w:eastAsia="宋体" w:cs="宋体"/>
                      <w:color w:val="000000"/>
                      <w:sz w:val="21"/>
                      <w:szCs w:val="21"/>
                      <w:lang w:val="en-US" w:eastAsia="en-US"/>
                    </w:rPr>
                  </w:pPr>
                </w:p>
              </w:tc>
            </w:tr>
            <w:tr w14:paraId="146DF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1268A707">
                  <w:pPr>
                    <w:jc w:val="center"/>
                    <w:rPr>
                      <w:rFonts w:hint="default" w:ascii="宋体" w:hAnsi="宋体" w:eastAsia="宋体" w:cs="宋体"/>
                      <w:color w:val="000000"/>
                      <w:sz w:val="21"/>
                      <w:szCs w:val="21"/>
                      <w:lang w:val="en-US" w:eastAsia="zh-CN" w:bidi="en-US"/>
                    </w:rPr>
                  </w:pPr>
                  <w:r>
                    <w:rPr>
                      <w:rFonts w:hint="eastAsia" w:ascii="宋体" w:hAnsi="宋体" w:cs="宋体"/>
                      <w:color w:val="000000"/>
                      <w:sz w:val="21"/>
                      <w:szCs w:val="21"/>
                      <w:lang w:val="en-US" w:eastAsia="zh-CN"/>
                    </w:rPr>
                    <w:t>56</w:t>
                  </w:r>
                </w:p>
              </w:tc>
              <w:tc>
                <w:tcPr>
                  <w:tcW w:w="2322" w:type="dxa"/>
                  <w:shd w:val="clear" w:color="auto" w:fill="auto"/>
                  <w:noWrap w:val="0"/>
                  <w:tcMar>
                    <w:top w:w="15" w:type="dxa"/>
                    <w:left w:w="15" w:type="dxa"/>
                    <w:right w:w="15" w:type="dxa"/>
                  </w:tcMar>
                  <w:vAlign w:val="center"/>
                </w:tcPr>
                <w:p w14:paraId="1282B02E">
                  <w:pPr>
                    <w:jc w:val="center"/>
                    <w:rPr>
                      <w:rFonts w:hint="eastAsia" w:ascii="宋体" w:hAnsi="宋体" w:eastAsia="宋体" w:cs="宋体"/>
                      <w:color w:val="000000"/>
                      <w:sz w:val="21"/>
                      <w:szCs w:val="21"/>
                      <w:lang w:val="en-US" w:eastAsia="zh-CN" w:bidi="en-US"/>
                    </w:rPr>
                  </w:pPr>
                  <w:r>
                    <w:rPr>
                      <w:rFonts w:hint="eastAsia" w:ascii="宋体" w:hAnsi="宋体" w:eastAsia="宋体" w:cs="宋体"/>
                      <w:color w:val="000000"/>
                      <w:sz w:val="21"/>
                      <w:szCs w:val="21"/>
                    </w:rPr>
                    <w:t>桥架</w:t>
                  </w:r>
                </w:p>
              </w:tc>
              <w:tc>
                <w:tcPr>
                  <w:tcW w:w="2767" w:type="dxa"/>
                  <w:shd w:val="clear" w:color="auto" w:fill="auto"/>
                  <w:noWrap w:val="0"/>
                  <w:tcMar>
                    <w:top w:w="15" w:type="dxa"/>
                    <w:left w:w="15" w:type="dxa"/>
                    <w:right w:w="15" w:type="dxa"/>
                  </w:tcMar>
                  <w:vAlign w:val="center"/>
                </w:tcPr>
                <w:p w14:paraId="39E7B79B">
                  <w:pPr>
                    <w:jc w:val="center"/>
                    <w:rPr>
                      <w:rFonts w:hint="eastAsia" w:ascii="宋体" w:hAnsi="宋体" w:eastAsia="宋体" w:cs="宋体"/>
                      <w:color w:val="000000"/>
                      <w:sz w:val="21"/>
                      <w:szCs w:val="21"/>
                      <w:lang w:val="en-US" w:eastAsia="zh-CN" w:bidi="en-US"/>
                    </w:rPr>
                  </w:pPr>
                  <w:r>
                    <w:rPr>
                      <w:rFonts w:hint="eastAsia" w:ascii="宋体" w:hAnsi="宋体" w:cs="宋体"/>
                      <w:color w:val="000000"/>
                      <w:sz w:val="21"/>
                      <w:szCs w:val="21"/>
                      <w:lang w:val="en-US" w:eastAsia="zh-CN"/>
                    </w:rPr>
                    <w:t>国产名优</w:t>
                  </w:r>
                </w:p>
              </w:tc>
              <w:tc>
                <w:tcPr>
                  <w:tcW w:w="3597" w:type="dxa"/>
                  <w:shd w:val="clear" w:color="auto" w:fill="auto"/>
                  <w:noWrap w:val="0"/>
                  <w:vAlign w:val="center"/>
                </w:tcPr>
                <w:p w14:paraId="1B12DD86">
                  <w:pPr>
                    <w:jc w:val="left"/>
                    <w:rPr>
                      <w:rFonts w:hint="eastAsia" w:ascii="宋体" w:hAnsi="宋体" w:eastAsia="宋体" w:cs="宋体"/>
                      <w:color w:val="000000"/>
                      <w:sz w:val="21"/>
                      <w:szCs w:val="21"/>
                      <w:lang w:val="en-US" w:eastAsia="en-US" w:bidi="en-US"/>
                    </w:rPr>
                  </w:pPr>
                  <w:r>
                    <w:rPr>
                      <w:rFonts w:hint="eastAsia" w:ascii="宋体" w:hAnsi="宋体" w:eastAsia="宋体" w:cs="宋体"/>
                      <w:color w:val="000000"/>
                      <w:sz w:val="21"/>
                      <w:szCs w:val="21"/>
                    </w:rPr>
                    <w:t>板材要求（南钢Q235镀锌钢板）；</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钢制桥架（屋面等防腐场所要求热镀锌或不锈钢）；</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宽度小于100mm最小板材厚度1mm；</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宽度100（含100）~150最小板材厚度1.2mm；</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150（含150）~400最小板材厚度1.5mm；</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400（含400）~800最小板材厚度2mm；</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800（含800）以上板材厚度2.5mm。</w:t>
                  </w:r>
                </w:p>
              </w:tc>
            </w:tr>
            <w:tr w14:paraId="2CC68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119430EB">
                  <w:pPr>
                    <w:jc w:val="center"/>
                    <w:rPr>
                      <w:rFonts w:hint="default" w:ascii="宋体" w:hAnsi="宋体" w:eastAsia="宋体" w:cs="宋体"/>
                      <w:color w:val="000000"/>
                      <w:sz w:val="21"/>
                      <w:szCs w:val="21"/>
                      <w:lang w:val="en-US" w:eastAsia="zh-CN" w:bidi="en-US"/>
                    </w:rPr>
                  </w:pPr>
                  <w:r>
                    <w:rPr>
                      <w:rFonts w:hint="eastAsia" w:ascii="宋体" w:hAnsi="宋体" w:cs="宋体"/>
                      <w:color w:val="000000"/>
                      <w:sz w:val="21"/>
                      <w:szCs w:val="21"/>
                      <w:lang w:val="en-US" w:eastAsia="zh-CN"/>
                    </w:rPr>
                    <w:t>57</w:t>
                  </w:r>
                </w:p>
              </w:tc>
              <w:tc>
                <w:tcPr>
                  <w:tcW w:w="2322" w:type="dxa"/>
                  <w:shd w:val="clear" w:color="auto" w:fill="auto"/>
                  <w:noWrap w:val="0"/>
                  <w:tcMar>
                    <w:top w:w="15" w:type="dxa"/>
                    <w:left w:w="15" w:type="dxa"/>
                    <w:right w:w="15" w:type="dxa"/>
                  </w:tcMar>
                  <w:vAlign w:val="center"/>
                </w:tcPr>
                <w:p w14:paraId="6649B5B2">
                  <w:pPr>
                    <w:jc w:val="center"/>
                    <w:rPr>
                      <w:rFonts w:hint="eastAsia" w:ascii="宋体" w:hAnsi="宋体" w:eastAsia="宋体" w:cs="宋体"/>
                      <w:color w:val="000000"/>
                      <w:sz w:val="21"/>
                      <w:szCs w:val="21"/>
                      <w:lang w:val="en-US" w:eastAsia="zh-CN" w:bidi="en-US"/>
                    </w:rPr>
                  </w:pPr>
                  <w:r>
                    <w:rPr>
                      <w:rFonts w:hint="eastAsia" w:ascii="宋体" w:hAnsi="宋体" w:eastAsia="宋体" w:cs="宋体"/>
                      <w:color w:val="000000"/>
                      <w:sz w:val="21"/>
                      <w:szCs w:val="21"/>
                    </w:rPr>
                    <w:t>JDG管、KBG管</w:t>
                  </w:r>
                </w:p>
              </w:tc>
              <w:tc>
                <w:tcPr>
                  <w:tcW w:w="2767" w:type="dxa"/>
                  <w:shd w:val="clear" w:color="auto" w:fill="auto"/>
                  <w:noWrap w:val="0"/>
                  <w:tcMar>
                    <w:top w:w="15" w:type="dxa"/>
                    <w:left w:w="15" w:type="dxa"/>
                    <w:right w:w="15" w:type="dxa"/>
                  </w:tcMar>
                  <w:vAlign w:val="center"/>
                </w:tcPr>
                <w:p w14:paraId="60DE5A8B">
                  <w:pPr>
                    <w:jc w:val="center"/>
                    <w:rPr>
                      <w:rFonts w:hint="eastAsia" w:ascii="宋体" w:hAnsi="宋体" w:eastAsia="宋体" w:cs="宋体"/>
                      <w:color w:val="000000"/>
                      <w:sz w:val="21"/>
                      <w:szCs w:val="21"/>
                      <w:lang w:val="en-US" w:eastAsia="zh-CN" w:bidi="en-US"/>
                    </w:rPr>
                  </w:pPr>
                  <w:r>
                    <w:rPr>
                      <w:rFonts w:hint="eastAsia" w:ascii="宋体" w:hAnsi="宋体" w:eastAsia="宋体" w:cs="宋体"/>
                      <w:color w:val="000000"/>
                      <w:sz w:val="21"/>
                      <w:szCs w:val="21"/>
                    </w:rPr>
                    <w:t>上海万帆、河北宏强、北京泰瑞安</w:t>
                  </w:r>
                </w:p>
              </w:tc>
              <w:tc>
                <w:tcPr>
                  <w:tcW w:w="3597" w:type="dxa"/>
                  <w:shd w:val="clear" w:color="auto" w:fill="auto"/>
                  <w:noWrap w:val="0"/>
                  <w:vAlign w:val="center"/>
                </w:tcPr>
                <w:p w14:paraId="5F2DD5B6">
                  <w:pPr>
                    <w:jc w:val="center"/>
                    <w:rPr>
                      <w:rFonts w:hint="eastAsia" w:ascii="宋体" w:hAnsi="宋体" w:eastAsia="宋体" w:cs="宋体"/>
                      <w:color w:val="000000"/>
                      <w:sz w:val="21"/>
                      <w:szCs w:val="21"/>
                      <w:lang w:val="en-US" w:eastAsia="en-US" w:bidi="en-US"/>
                    </w:rPr>
                  </w:pPr>
                  <w:r>
                    <w:rPr>
                      <w:rFonts w:hint="eastAsia" w:ascii="宋体" w:hAnsi="宋体" w:eastAsia="宋体" w:cs="宋体"/>
                      <w:color w:val="000000"/>
                      <w:sz w:val="21"/>
                      <w:szCs w:val="21"/>
                    </w:rPr>
                    <w:t>国标</w:t>
                  </w:r>
                </w:p>
              </w:tc>
            </w:tr>
            <w:tr w14:paraId="280DA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3D63423B">
                  <w:pPr>
                    <w:jc w:val="center"/>
                    <w:rPr>
                      <w:rFonts w:hint="default" w:ascii="宋体" w:hAnsi="宋体" w:eastAsia="宋体" w:cs="宋体"/>
                      <w:color w:val="000000"/>
                      <w:sz w:val="21"/>
                      <w:szCs w:val="21"/>
                      <w:lang w:val="en-US" w:eastAsia="zh-CN" w:bidi="en-US"/>
                    </w:rPr>
                  </w:pPr>
                  <w:r>
                    <w:rPr>
                      <w:rFonts w:hint="eastAsia" w:ascii="宋体" w:hAnsi="宋体" w:cs="宋体"/>
                      <w:color w:val="000000"/>
                      <w:sz w:val="21"/>
                      <w:szCs w:val="21"/>
                      <w:lang w:val="en-US" w:eastAsia="zh-CN"/>
                    </w:rPr>
                    <w:t>58</w:t>
                  </w:r>
                </w:p>
              </w:tc>
              <w:tc>
                <w:tcPr>
                  <w:tcW w:w="2322" w:type="dxa"/>
                  <w:shd w:val="clear" w:color="auto" w:fill="auto"/>
                  <w:noWrap w:val="0"/>
                  <w:tcMar>
                    <w:top w:w="15" w:type="dxa"/>
                    <w:left w:w="15" w:type="dxa"/>
                    <w:right w:w="15" w:type="dxa"/>
                  </w:tcMar>
                  <w:vAlign w:val="center"/>
                </w:tcPr>
                <w:p w14:paraId="33679733">
                  <w:pPr>
                    <w:jc w:val="center"/>
                    <w:rPr>
                      <w:rFonts w:hint="eastAsia" w:ascii="宋体" w:hAnsi="宋体" w:eastAsia="宋体" w:cs="宋体"/>
                      <w:sz w:val="21"/>
                      <w:szCs w:val="21"/>
                      <w:lang w:val="en-US" w:eastAsia="zh-CN" w:bidi="en-US"/>
                    </w:rPr>
                  </w:pPr>
                  <w:r>
                    <w:rPr>
                      <w:rFonts w:hint="eastAsia" w:ascii="宋体" w:hAnsi="宋体" w:eastAsia="宋体" w:cs="宋体"/>
                      <w:sz w:val="21"/>
                      <w:szCs w:val="21"/>
                    </w:rPr>
                    <w:t>AP、AC控制器、POE交换机、网管系统、核心交换机、OLT</w:t>
                  </w:r>
                </w:p>
              </w:tc>
              <w:tc>
                <w:tcPr>
                  <w:tcW w:w="2767" w:type="dxa"/>
                  <w:shd w:val="clear" w:color="auto" w:fill="auto"/>
                  <w:noWrap w:val="0"/>
                  <w:tcMar>
                    <w:top w:w="15" w:type="dxa"/>
                    <w:left w:w="15" w:type="dxa"/>
                    <w:right w:w="15" w:type="dxa"/>
                  </w:tcMar>
                  <w:vAlign w:val="center"/>
                </w:tcPr>
                <w:p w14:paraId="748420A7">
                  <w:pPr>
                    <w:jc w:val="center"/>
                    <w:rPr>
                      <w:rFonts w:hint="eastAsia" w:ascii="宋体" w:hAnsi="宋体" w:eastAsia="宋体" w:cs="宋体"/>
                      <w:sz w:val="21"/>
                      <w:szCs w:val="21"/>
                      <w:lang w:val="en-US" w:eastAsia="zh-CN" w:bidi="en-US"/>
                    </w:rPr>
                  </w:pPr>
                  <w:r>
                    <w:rPr>
                      <w:rFonts w:hint="eastAsia" w:ascii="宋体" w:hAnsi="宋体" w:eastAsia="宋体" w:cs="宋体"/>
                      <w:sz w:val="21"/>
                      <w:szCs w:val="21"/>
                    </w:rPr>
                    <w:t>华为、中兴、H3C</w:t>
                  </w:r>
                </w:p>
              </w:tc>
              <w:tc>
                <w:tcPr>
                  <w:tcW w:w="3597" w:type="dxa"/>
                  <w:shd w:val="clear" w:color="auto" w:fill="auto"/>
                  <w:noWrap w:val="0"/>
                  <w:vAlign w:val="center"/>
                </w:tcPr>
                <w:p w14:paraId="1956DE2B">
                  <w:pPr>
                    <w:jc w:val="center"/>
                    <w:rPr>
                      <w:rFonts w:hint="eastAsia" w:ascii="宋体" w:hAnsi="宋体" w:eastAsia="宋体" w:cs="宋体"/>
                      <w:sz w:val="21"/>
                      <w:szCs w:val="21"/>
                      <w:lang w:val="en-US" w:eastAsia="en-US" w:bidi="en-US"/>
                    </w:rPr>
                  </w:pPr>
                  <w:r>
                    <w:rPr>
                      <w:rFonts w:hint="eastAsia" w:ascii="宋体" w:hAnsi="宋体" w:eastAsia="宋体" w:cs="宋体"/>
                      <w:sz w:val="21"/>
                      <w:szCs w:val="21"/>
                    </w:rPr>
                    <w:t>参数满足设计要求</w:t>
                  </w:r>
                </w:p>
              </w:tc>
            </w:tr>
            <w:tr w14:paraId="7CDC0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778459C7">
                  <w:pPr>
                    <w:jc w:val="center"/>
                    <w:rPr>
                      <w:rFonts w:hint="default" w:ascii="宋体" w:hAnsi="宋体" w:eastAsia="宋体" w:cs="宋体"/>
                      <w:color w:val="000000"/>
                      <w:sz w:val="21"/>
                      <w:szCs w:val="21"/>
                      <w:lang w:val="en-US" w:eastAsia="zh-CN" w:bidi="en-US"/>
                    </w:rPr>
                  </w:pPr>
                  <w:r>
                    <w:rPr>
                      <w:rFonts w:hint="eastAsia" w:ascii="宋体" w:hAnsi="宋体" w:cs="宋体"/>
                      <w:color w:val="000000"/>
                      <w:sz w:val="21"/>
                      <w:szCs w:val="21"/>
                      <w:lang w:val="en-US" w:eastAsia="zh-CN"/>
                    </w:rPr>
                    <w:t>59</w:t>
                  </w:r>
                </w:p>
              </w:tc>
              <w:tc>
                <w:tcPr>
                  <w:tcW w:w="2322" w:type="dxa"/>
                  <w:shd w:val="clear" w:color="auto" w:fill="auto"/>
                  <w:noWrap w:val="0"/>
                  <w:tcMar>
                    <w:top w:w="15" w:type="dxa"/>
                    <w:left w:w="15" w:type="dxa"/>
                    <w:right w:w="15" w:type="dxa"/>
                  </w:tcMar>
                  <w:vAlign w:val="center"/>
                </w:tcPr>
                <w:p w14:paraId="0467B190">
                  <w:pPr>
                    <w:jc w:val="center"/>
                    <w:rPr>
                      <w:rFonts w:hint="eastAsia" w:ascii="宋体" w:hAnsi="宋体" w:eastAsia="宋体" w:cs="宋体"/>
                      <w:sz w:val="21"/>
                      <w:szCs w:val="21"/>
                      <w:lang w:val="en-US" w:eastAsia="zh-CN" w:bidi="en-US"/>
                    </w:rPr>
                  </w:pPr>
                  <w:r>
                    <w:rPr>
                      <w:rFonts w:hint="eastAsia" w:ascii="宋体" w:hAnsi="宋体" w:eastAsia="宋体" w:cs="宋体"/>
                      <w:color w:val="000000"/>
                      <w:sz w:val="21"/>
                      <w:szCs w:val="21"/>
                    </w:rPr>
                    <w:t>网络线、光纤、光缆、数据配线架、光纤配线架、110配线架、网络跳线、语音跳线、尾纤、理线器、光纤连接盘、耦合器条、双绞线、语音大对数电缆、信息插座、信息模块、水晶头</w:t>
                  </w:r>
                </w:p>
              </w:tc>
              <w:tc>
                <w:tcPr>
                  <w:tcW w:w="2767" w:type="dxa"/>
                  <w:shd w:val="clear" w:color="auto" w:fill="auto"/>
                  <w:noWrap w:val="0"/>
                  <w:tcMar>
                    <w:top w:w="15" w:type="dxa"/>
                    <w:left w:w="15" w:type="dxa"/>
                    <w:right w:w="15" w:type="dxa"/>
                  </w:tcMar>
                  <w:vAlign w:val="center"/>
                </w:tcPr>
                <w:p w14:paraId="1375AE27">
                  <w:pPr>
                    <w:jc w:val="center"/>
                    <w:rPr>
                      <w:rFonts w:hint="eastAsia" w:ascii="宋体" w:hAnsi="宋体" w:eastAsia="宋体" w:cs="宋体"/>
                      <w:sz w:val="21"/>
                      <w:szCs w:val="21"/>
                      <w:lang w:val="en-US" w:eastAsia="zh-CN" w:bidi="en-US"/>
                    </w:rPr>
                  </w:pPr>
                  <w:r>
                    <w:rPr>
                      <w:rFonts w:hint="eastAsia" w:ascii="宋体" w:hAnsi="宋体" w:eastAsia="宋体" w:cs="宋体"/>
                      <w:color w:val="000000"/>
                      <w:sz w:val="21"/>
                      <w:szCs w:val="21"/>
                    </w:rPr>
                    <w:t>安普、普天、爱谱华顿</w:t>
                  </w:r>
                </w:p>
              </w:tc>
              <w:tc>
                <w:tcPr>
                  <w:tcW w:w="3597" w:type="dxa"/>
                  <w:shd w:val="clear" w:color="auto" w:fill="auto"/>
                  <w:noWrap w:val="0"/>
                  <w:vAlign w:val="center"/>
                </w:tcPr>
                <w:p w14:paraId="0330A384">
                  <w:pPr>
                    <w:jc w:val="center"/>
                    <w:rPr>
                      <w:rFonts w:hint="eastAsia" w:ascii="宋体" w:hAnsi="宋体" w:eastAsia="宋体" w:cs="宋体"/>
                      <w:sz w:val="21"/>
                      <w:szCs w:val="21"/>
                      <w:lang w:val="en-US" w:eastAsia="en-US" w:bidi="en-US"/>
                    </w:rPr>
                  </w:pPr>
                  <w:r>
                    <w:rPr>
                      <w:rFonts w:hint="eastAsia" w:ascii="宋体" w:hAnsi="宋体" w:eastAsia="宋体" w:cs="宋体"/>
                      <w:color w:val="000000"/>
                      <w:sz w:val="21"/>
                      <w:szCs w:val="21"/>
                    </w:rPr>
                    <w:t>参数满足设计要求</w:t>
                  </w:r>
                </w:p>
              </w:tc>
            </w:tr>
            <w:tr w14:paraId="796C5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21EF99A5">
                  <w:pPr>
                    <w:jc w:val="center"/>
                    <w:rPr>
                      <w:rFonts w:hint="default" w:ascii="宋体" w:hAnsi="宋体" w:eastAsia="宋体" w:cs="宋体"/>
                      <w:color w:val="000000"/>
                      <w:sz w:val="21"/>
                      <w:szCs w:val="21"/>
                      <w:lang w:val="en-US" w:eastAsia="zh-CN" w:bidi="en-US"/>
                    </w:rPr>
                  </w:pPr>
                  <w:r>
                    <w:rPr>
                      <w:rFonts w:hint="eastAsia" w:ascii="宋体" w:hAnsi="宋体" w:cs="宋体"/>
                      <w:color w:val="000000"/>
                      <w:sz w:val="21"/>
                      <w:szCs w:val="21"/>
                      <w:lang w:val="en-US" w:eastAsia="zh-CN"/>
                    </w:rPr>
                    <w:t>60</w:t>
                  </w:r>
                </w:p>
              </w:tc>
              <w:tc>
                <w:tcPr>
                  <w:tcW w:w="2322" w:type="dxa"/>
                  <w:shd w:val="clear" w:color="auto" w:fill="auto"/>
                  <w:noWrap w:val="0"/>
                  <w:tcMar>
                    <w:top w:w="15" w:type="dxa"/>
                    <w:left w:w="15" w:type="dxa"/>
                    <w:right w:w="15" w:type="dxa"/>
                  </w:tcMar>
                  <w:vAlign w:val="center"/>
                </w:tcPr>
                <w:p w14:paraId="21109718">
                  <w:pPr>
                    <w:jc w:val="center"/>
                    <w:rPr>
                      <w:rFonts w:hint="eastAsia" w:ascii="宋体" w:hAnsi="宋体" w:eastAsia="宋体" w:cs="宋体"/>
                      <w:color w:val="000000"/>
                      <w:sz w:val="21"/>
                      <w:szCs w:val="21"/>
                      <w:lang w:val="en-US" w:eastAsia="zh-CN" w:bidi="en-US"/>
                    </w:rPr>
                  </w:pPr>
                  <w:r>
                    <w:rPr>
                      <w:rFonts w:hint="eastAsia" w:ascii="宋体" w:hAnsi="宋体" w:eastAsia="宋体" w:cs="宋体"/>
                      <w:color w:val="000000"/>
                      <w:sz w:val="21"/>
                      <w:szCs w:val="21"/>
                    </w:rPr>
                    <w:t>机柜</w:t>
                  </w:r>
                </w:p>
              </w:tc>
              <w:tc>
                <w:tcPr>
                  <w:tcW w:w="2767" w:type="dxa"/>
                  <w:shd w:val="clear" w:color="auto" w:fill="auto"/>
                  <w:noWrap w:val="0"/>
                  <w:tcMar>
                    <w:top w:w="15" w:type="dxa"/>
                    <w:left w:w="15" w:type="dxa"/>
                    <w:right w:w="15" w:type="dxa"/>
                  </w:tcMar>
                  <w:vAlign w:val="center"/>
                </w:tcPr>
                <w:p w14:paraId="55637E7D">
                  <w:pPr>
                    <w:jc w:val="center"/>
                    <w:rPr>
                      <w:rFonts w:hint="eastAsia" w:ascii="宋体" w:hAnsi="宋体" w:eastAsia="宋体" w:cs="宋体"/>
                      <w:color w:val="000000"/>
                      <w:sz w:val="21"/>
                      <w:szCs w:val="21"/>
                      <w:lang w:val="en-US" w:eastAsia="zh-CN" w:bidi="en-US"/>
                    </w:rPr>
                  </w:pPr>
                  <w:r>
                    <w:rPr>
                      <w:rFonts w:hint="eastAsia" w:ascii="宋体" w:hAnsi="宋体" w:eastAsia="宋体" w:cs="宋体"/>
                      <w:color w:val="000000"/>
                      <w:sz w:val="21"/>
                      <w:szCs w:val="21"/>
                    </w:rPr>
                    <w:t>威图、图腾、天康</w:t>
                  </w:r>
                </w:p>
              </w:tc>
              <w:tc>
                <w:tcPr>
                  <w:tcW w:w="3597" w:type="dxa"/>
                  <w:shd w:val="clear" w:color="auto" w:fill="auto"/>
                  <w:noWrap w:val="0"/>
                  <w:vAlign w:val="center"/>
                </w:tcPr>
                <w:p w14:paraId="67686C22">
                  <w:pPr>
                    <w:jc w:val="center"/>
                    <w:rPr>
                      <w:rFonts w:hint="eastAsia" w:ascii="宋体" w:hAnsi="宋体" w:eastAsia="宋体" w:cs="宋体"/>
                      <w:color w:val="000000"/>
                      <w:sz w:val="21"/>
                      <w:szCs w:val="21"/>
                      <w:lang w:val="en-US" w:eastAsia="en-US" w:bidi="en-US"/>
                    </w:rPr>
                  </w:pPr>
                  <w:r>
                    <w:rPr>
                      <w:rFonts w:hint="eastAsia" w:ascii="宋体" w:hAnsi="宋体" w:eastAsia="宋体" w:cs="宋体"/>
                      <w:color w:val="000000"/>
                      <w:sz w:val="21"/>
                      <w:szCs w:val="21"/>
                    </w:rPr>
                    <w:t>规格型号满足设计要求</w:t>
                  </w:r>
                </w:p>
              </w:tc>
            </w:tr>
            <w:tr w14:paraId="1728A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37D69095">
                  <w:pPr>
                    <w:jc w:val="center"/>
                    <w:rPr>
                      <w:rFonts w:hint="default" w:ascii="宋体" w:hAnsi="宋体" w:eastAsia="宋体" w:cs="宋体"/>
                      <w:color w:val="000000"/>
                      <w:sz w:val="21"/>
                      <w:szCs w:val="21"/>
                      <w:lang w:val="en-US" w:eastAsia="zh-CN" w:bidi="en-US"/>
                    </w:rPr>
                  </w:pPr>
                  <w:r>
                    <w:rPr>
                      <w:rFonts w:hint="eastAsia" w:ascii="宋体" w:hAnsi="宋体" w:cs="宋体"/>
                      <w:color w:val="000000"/>
                      <w:sz w:val="21"/>
                      <w:szCs w:val="21"/>
                      <w:lang w:val="en-US" w:eastAsia="zh-CN"/>
                    </w:rPr>
                    <w:t>61</w:t>
                  </w:r>
                </w:p>
              </w:tc>
              <w:tc>
                <w:tcPr>
                  <w:tcW w:w="2322" w:type="dxa"/>
                  <w:shd w:val="clear" w:color="auto" w:fill="auto"/>
                  <w:noWrap w:val="0"/>
                  <w:tcMar>
                    <w:top w:w="15" w:type="dxa"/>
                    <w:left w:w="15" w:type="dxa"/>
                    <w:right w:w="15" w:type="dxa"/>
                  </w:tcMar>
                  <w:vAlign w:val="center"/>
                </w:tcPr>
                <w:p w14:paraId="4140A1C1">
                  <w:pPr>
                    <w:jc w:val="center"/>
                    <w:rPr>
                      <w:rFonts w:hint="eastAsia" w:ascii="宋体" w:hAnsi="宋体" w:eastAsia="宋体" w:cs="宋体"/>
                      <w:color w:val="000000"/>
                      <w:sz w:val="21"/>
                      <w:szCs w:val="21"/>
                      <w:lang w:val="en-US" w:eastAsia="zh-CN" w:bidi="en-US"/>
                    </w:rPr>
                  </w:pPr>
                  <w:r>
                    <w:rPr>
                      <w:rFonts w:hint="eastAsia" w:ascii="宋体" w:hAnsi="宋体" w:eastAsia="宋体" w:cs="宋体"/>
                      <w:color w:val="000000"/>
                      <w:sz w:val="21"/>
                      <w:szCs w:val="21"/>
                    </w:rPr>
                    <w:t>门禁控制器、门禁发卡器、门禁读卡器</w:t>
                  </w:r>
                </w:p>
              </w:tc>
              <w:tc>
                <w:tcPr>
                  <w:tcW w:w="2767" w:type="dxa"/>
                  <w:shd w:val="clear" w:color="auto" w:fill="auto"/>
                  <w:noWrap w:val="0"/>
                  <w:tcMar>
                    <w:top w:w="15" w:type="dxa"/>
                    <w:left w:w="15" w:type="dxa"/>
                    <w:right w:w="15" w:type="dxa"/>
                  </w:tcMar>
                  <w:vAlign w:val="center"/>
                </w:tcPr>
                <w:p w14:paraId="5B99100A">
                  <w:pPr>
                    <w:jc w:val="center"/>
                    <w:rPr>
                      <w:rFonts w:hint="eastAsia" w:ascii="宋体" w:hAnsi="宋体" w:eastAsia="宋体" w:cs="宋体"/>
                      <w:sz w:val="21"/>
                      <w:szCs w:val="21"/>
                      <w:lang w:val="en-US" w:eastAsia="zh-CN" w:bidi="en-US"/>
                    </w:rPr>
                  </w:pPr>
                  <w:r>
                    <w:rPr>
                      <w:rFonts w:hint="eastAsia" w:ascii="宋体" w:hAnsi="宋体" w:eastAsia="宋体" w:cs="宋体"/>
                      <w:sz w:val="21"/>
                      <w:szCs w:val="21"/>
                    </w:rPr>
                    <w:t>新开普、捷顺、汉军</w:t>
                  </w:r>
                  <w:r>
                    <w:rPr>
                      <w:rFonts w:hint="eastAsia" w:ascii="宋体" w:hAnsi="宋体" w:cs="宋体"/>
                      <w:sz w:val="21"/>
                      <w:szCs w:val="21"/>
                      <w:lang w:val="en-US" w:eastAsia="zh-CN"/>
                    </w:rPr>
                    <w:t>或其他同档次品牌</w:t>
                  </w:r>
                </w:p>
              </w:tc>
              <w:tc>
                <w:tcPr>
                  <w:tcW w:w="3597" w:type="dxa"/>
                  <w:shd w:val="clear" w:color="auto" w:fill="auto"/>
                  <w:noWrap w:val="0"/>
                  <w:vAlign w:val="center"/>
                </w:tcPr>
                <w:p w14:paraId="195E8F59">
                  <w:pPr>
                    <w:jc w:val="center"/>
                    <w:rPr>
                      <w:rFonts w:hint="eastAsia" w:ascii="宋体" w:hAnsi="宋体" w:eastAsia="宋体" w:cs="宋体"/>
                      <w:color w:val="000000"/>
                      <w:sz w:val="21"/>
                      <w:szCs w:val="21"/>
                      <w:lang w:val="en-US" w:eastAsia="en-US" w:bidi="en-US"/>
                    </w:rPr>
                  </w:pPr>
                  <w:r>
                    <w:rPr>
                      <w:rFonts w:hint="eastAsia" w:ascii="宋体" w:hAnsi="宋体" w:eastAsia="宋体" w:cs="宋体"/>
                      <w:color w:val="000000"/>
                      <w:sz w:val="21"/>
                      <w:szCs w:val="21"/>
                    </w:rPr>
                    <w:t>参数按设计要求</w:t>
                  </w:r>
                </w:p>
              </w:tc>
            </w:tr>
            <w:tr w14:paraId="31733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00C7EB92">
                  <w:pPr>
                    <w:jc w:val="center"/>
                    <w:rPr>
                      <w:rFonts w:hint="default" w:ascii="宋体" w:hAnsi="宋体" w:eastAsia="宋体" w:cs="宋体"/>
                      <w:color w:val="000000"/>
                      <w:sz w:val="21"/>
                      <w:szCs w:val="21"/>
                      <w:lang w:val="en-US" w:eastAsia="zh-CN" w:bidi="en-US"/>
                    </w:rPr>
                  </w:pPr>
                  <w:r>
                    <w:rPr>
                      <w:rFonts w:hint="eastAsia" w:ascii="宋体" w:hAnsi="宋体" w:cs="宋体"/>
                      <w:color w:val="000000"/>
                      <w:sz w:val="21"/>
                      <w:szCs w:val="21"/>
                      <w:lang w:val="en-US" w:eastAsia="zh-CN"/>
                    </w:rPr>
                    <w:t>62</w:t>
                  </w:r>
                </w:p>
              </w:tc>
              <w:tc>
                <w:tcPr>
                  <w:tcW w:w="2322" w:type="dxa"/>
                  <w:shd w:val="clear" w:color="auto" w:fill="auto"/>
                  <w:noWrap w:val="0"/>
                  <w:tcMar>
                    <w:top w:w="15" w:type="dxa"/>
                    <w:left w:w="15" w:type="dxa"/>
                    <w:right w:w="15" w:type="dxa"/>
                  </w:tcMar>
                  <w:vAlign w:val="center"/>
                </w:tcPr>
                <w:p w14:paraId="76FE66DF">
                  <w:pPr>
                    <w:jc w:val="center"/>
                    <w:rPr>
                      <w:rFonts w:hint="eastAsia" w:ascii="宋体" w:hAnsi="宋体" w:eastAsia="宋体" w:cs="宋体"/>
                      <w:color w:val="000000"/>
                      <w:sz w:val="21"/>
                      <w:szCs w:val="21"/>
                      <w:lang w:val="en-US" w:eastAsia="zh-CN" w:bidi="en-US"/>
                    </w:rPr>
                  </w:pPr>
                  <w:r>
                    <w:rPr>
                      <w:rFonts w:hint="eastAsia" w:ascii="宋体" w:hAnsi="宋体" w:eastAsia="宋体" w:cs="宋体"/>
                      <w:color w:val="000000"/>
                      <w:sz w:val="21"/>
                      <w:szCs w:val="21"/>
                    </w:rPr>
                    <w:t>磁力锁</w:t>
                  </w:r>
                </w:p>
              </w:tc>
              <w:tc>
                <w:tcPr>
                  <w:tcW w:w="2767" w:type="dxa"/>
                  <w:shd w:val="clear" w:color="auto" w:fill="auto"/>
                  <w:noWrap w:val="0"/>
                  <w:tcMar>
                    <w:top w:w="15" w:type="dxa"/>
                    <w:left w:w="15" w:type="dxa"/>
                    <w:right w:w="15" w:type="dxa"/>
                  </w:tcMar>
                  <w:vAlign w:val="center"/>
                </w:tcPr>
                <w:p w14:paraId="73AD401E">
                  <w:pPr>
                    <w:jc w:val="center"/>
                    <w:rPr>
                      <w:rFonts w:hint="eastAsia" w:ascii="宋体" w:hAnsi="宋体" w:eastAsia="宋体" w:cs="宋体"/>
                      <w:sz w:val="21"/>
                      <w:szCs w:val="21"/>
                      <w:lang w:val="en-US" w:eastAsia="zh-CN" w:bidi="en-US"/>
                    </w:rPr>
                  </w:pPr>
                  <w:r>
                    <w:rPr>
                      <w:rFonts w:hint="eastAsia" w:ascii="宋体" w:hAnsi="宋体" w:eastAsia="宋体" w:cs="宋体"/>
                      <w:color w:val="000000"/>
                      <w:sz w:val="21"/>
                      <w:szCs w:val="21"/>
                    </w:rPr>
                    <w:t>狄耐克、莱美福、宏泰</w:t>
                  </w:r>
                  <w:r>
                    <w:rPr>
                      <w:rFonts w:hint="eastAsia" w:ascii="宋体" w:hAnsi="宋体" w:cs="宋体"/>
                      <w:sz w:val="21"/>
                      <w:szCs w:val="21"/>
                      <w:lang w:val="en-US" w:eastAsia="zh-CN"/>
                    </w:rPr>
                    <w:t>或其他同档次品牌</w:t>
                  </w:r>
                </w:p>
              </w:tc>
              <w:tc>
                <w:tcPr>
                  <w:tcW w:w="3597" w:type="dxa"/>
                  <w:shd w:val="clear" w:color="auto" w:fill="auto"/>
                  <w:noWrap w:val="0"/>
                  <w:vAlign w:val="center"/>
                </w:tcPr>
                <w:p w14:paraId="0E6FD400">
                  <w:pPr>
                    <w:jc w:val="center"/>
                    <w:rPr>
                      <w:rFonts w:hint="eastAsia" w:ascii="宋体" w:hAnsi="宋体" w:eastAsia="宋体" w:cs="宋体"/>
                      <w:color w:val="000000"/>
                      <w:sz w:val="21"/>
                      <w:szCs w:val="21"/>
                      <w:lang w:val="en-US" w:eastAsia="en-US" w:bidi="en-US"/>
                    </w:rPr>
                  </w:pPr>
                  <w:r>
                    <w:rPr>
                      <w:rFonts w:hint="eastAsia" w:ascii="宋体" w:hAnsi="宋体" w:eastAsia="宋体" w:cs="宋体"/>
                      <w:color w:val="000000"/>
                      <w:sz w:val="21"/>
                      <w:szCs w:val="21"/>
                    </w:rPr>
                    <w:t>参数按设计要求</w:t>
                  </w:r>
                </w:p>
              </w:tc>
            </w:tr>
            <w:tr w14:paraId="23DD3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566" w:type="dxa"/>
                  <w:shd w:val="clear" w:color="auto" w:fill="auto"/>
                  <w:noWrap w:val="0"/>
                  <w:tcMar>
                    <w:top w:w="15" w:type="dxa"/>
                    <w:left w:w="15" w:type="dxa"/>
                    <w:right w:w="15" w:type="dxa"/>
                  </w:tcMar>
                  <w:vAlign w:val="center"/>
                </w:tcPr>
                <w:p w14:paraId="7A22E39C">
                  <w:pPr>
                    <w:jc w:val="center"/>
                    <w:rPr>
                      <w:rFonts w:hint="default" w:ascii="宋体" w:hAnsi="宋体" w:eastAsia="宋体" w:cs="宋体"/>
                      <w:color w:val="000000"/>
                      <w:sz w:val="21"/>
                      <w:szCs w:val="21"/>
                      <w:lang w:val="en-US" w:eastAsia="zh-CN" w:bidi="en-US"/>
                    </w:rPr>
                  </w:pPr>
                  <w:r>
                    <w:rPr>
                      <w:rFonts w:hint="eastAsia" w:ascii="宋体" w:hAnsi="宋体" w:cs="宋体"/>
                      <w:color w:val="000000"/>
                      <w:sz w:val="21"/>
                      <w:szCs w:val="21"/>
                      <w:lang w:val="en-US" w:eastAsia="zh-CN"/>
                    </w:rPr>
                    <w:t>63</w:t>
                  </w:r>
                </w:p>
              </w:tc>
              <w:tc>
                <w:tcPr>
                  <w:tcW w:w="2322" w:type="dxa"/>
                  <w:shd w:val="clear" w:color="auto" w:fill="auto"/>
                  <w:noWrap w:val="0"/>
                  <w:tcMar>
                    <w:top w:w="15" w:type="dxa"/>
                    <w:left w:w="15" w:type="dxa"/>
                    <w:right w:w="15" w:type="dxa"/>
                  </w:tcMar>
                  <w:vAlign w:val="center"/>
                </w:tcPr>
                <w:p w14:paraId="1A42EE21">
                  <w:pPr>
                    <w:jc w:val="center"/>
                    <w:rPr>
                      <w:rFonts w:hint="eastAsia" w:ascii="宋体" w:hAnsi="宋体" w:eastAsia="宋体" w:cs="宋体"/>
                      <w:color w:val="000000"/>
                      <w:sz w:val="21"/>
                      <w:szCs w:val="21"/>
                      <w:lang w:val="en-US" w:eastAsia="zh-CN" w:bidi="en-US"/>
                    </w:rPr>
                  </w:pPr>
                  <w:r>
                    <w:rPr>
                      <w:rFonts w:hint="eastAsia" w:ascii="宋体" w:hAnsi="宋体" w:eastAsia="宋体" w:cs="宋体"/>
                      <w:color w:val="000000"/>
                      <w:sz w:val="21"/>
                      <w:szCs w:val="21"/>
                    </w:rPr>
                    <w:t>人脸识别终端面板</w:t>
                  </w:r>
                </w:p>
              </w:tc>
              <w:tc>
                <w:tcPr>
                  <w:tcW w:w="2767" w:type="dxa"/>
                  <w:shd w:val="clear" w:color="auto" w:fill="auto"/>
                  <w:noWrap w:val="0"/>
                  <w:tcMar>
                    <w:top w:w="15" w:type="dxa"/>
                    <w:left w:w="15" w:type="dxa"/>
                    <w:right w:w="15" w:type="dxa"/>
                  </w:tcMar>
                  <w:vAlign w:val="center"/>
                </w:tcPr>
                <w:p w14:paraId="08E177F3">
                  <w:pPr>
                    <w:jc w:val="center"/>
                    <w:rPr>
                      <w:rFonts w:hint="eastAsia" w:ascii="宋体" w:hAnsi="宋体" w:eastAsia="宋体" w:cs="宋体"/>
                      <w:sz w:val="21"/>
                      <w:szCs w:val="21"/>
                      <w:lang w:val="en-US" w:eastAsia="zh-CN" w:bidi="en-US"/>
                    </w:rPr>
                  </w:pPr>
                  <w:r>
                    <w:rPr>
                      <w:rFonts w:hint="eastAsia" w:ascii="宋体" w:hAnsi="宋体" w:eastAsia="宋体" w:cs="宋体"/>
                      <w:sz w:val="21"/>
                      <w:szCs w:val="21"/>
                    </w:rPr>
                    <w:t>旷视、海康威视、大华</w:t>
                  </w:r>
                  <w:r>
                    <w:rPr>
                      <w:rFonts w:hint="eastAsia" w:ascii="宋体" w:hAnsi="宋体" w:cs="宋体"/>
                      <w:sz w:val="21"/>
                      <w:szCs w:val="21"/>
                      <w:lang w:val="en-US" w:eastAsia="zh-CN"/>
                    </w:rPr>
                    <w:t>或其他同档次品牌</w:t>
                  </w:r>
                </w:p>
              </w:tc>
              <w:tc>
                <w:tcPr>
                  <w:tcW w:w="3597" w:type="dxa"/>
                  <w:shd w:val="clear" w:color="auto" w:fill="auto"/>
                  <w:noWrap w:val="0"/>
                  <w:vAlign w:val="center"/>
                </w:tcPr>
                <w:p w14:paraId="1CF079B6">
                  <w:pPr>
                    <w:jc w:val="center"/>
                    <w:rPr>
                      <w:rFonts w:hint="eastAsia" w:ascii="宋体" w:hAnsi="宋体" w:eastAsia="宋体" w:cs="宋体"/>
                      <w:color w:val="000000"/>
                      <w:sz w:val="21"/>
                      <w:szCs w:val="21"/>
                      <w:lang w:val="en-US" w:eastAsia="en-US" w:bidi="en-US"/>
                    </w:rPr>
                  </w:pPr>
                  <w:r>
                    <w:rPr>
                      <w:rFonts w:hint="eastAsia" w:ascii="宋体" w:hAnsi="宋体" w:eastAsia="宋体" w:cs="宋体"/>
                      <w:color w:val="000000"/>
                      <w:sz w:val="21"/>
                      <w:szCs w:val="21"/>
                    </w:rPr>
                    <w:t>参数按设计要求</w:t>
                  </w:r>
                </w:p>
              </w:tc>
            </w:tr>
            <w:tr w14:paraId="260D4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9252" w:type="dxa"/>
                  <w:gridSpan w:val="4"/>
                  <w:shd w:val="clear" w:color="000000" w:fill="auto"/>
                  <w:noWrap/>
                  <w:vAlign w:val="center"/>
                </w:tcPr>
                <w:p w14:paraId="70F729C5">
                  <w:pPr>
                    <w:jc w:val="center"/>
                    <w:rPr>
                      <w:rFonts w:hint="eastAsia" w:ascii="宋体" w:hAnsi="宋体" w:eastAsia="宋体" w:cs="宋体"/>
                      <w:b/>
                      <w:color w:val="000000"/>
                      <w:sz w:val="24"/>
                      <w:szCs w:val="24"/>
                    </w:rPr>
                  </w:pPr>
                </w:p>
              </w:tc>
            </w:tr>
          </w:tbl>
          <w:p w14:paraId="6117273F">
            <w:pPr>
              <w:pStyle w:val="7"/>
              <w:ind w:firstLine="480" w:firstLineChars="200"/>
              <w:rPr>
                <w:rFonts w:hint="eastAsia" w:ascii="宋体" w:hAnsi="宋体" w:eastAsia="宋体" w:cs="宋体"/>
                <w:color w:val="000000" w:themeColor="text1"/>
                <w:sz w:val="24"/>
                <w:szCs w:val="24"/>
                <w:lang w:eastAsia="zh-CN"/>
                <w14:textFill>
                  <w14:solidFill>
                    <w14:schemeClr w14:val="tx1"/>
                  </w14:solidFill>
                </w14:textFill>
              </w:rPr>
            </w:pPr>
          </w:p>
        </w:tc>
      </w:tr>
    </w:tbl>
    <w:p w14:paraId="6A5DB82D">
      <w:pPr>
        <w:rPr>
          <w:lang w:eastAsia="zh-CN"/>
        </w:rPr>
      </w:pPr>
    </w:p>
    <w:sectPr>
      <w:headerReference r:id="rId5" w:type="default"/>
      <w:footerReference r:id="rId6" w:type="default"/>
      <w:pgSz w:w="11906" w:h="16838"/>
      <w:pgMar w:top="1418" w:right="1134" w:bottom="1247" w:left="1418" w:header="851" w:footer="737"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AD2CE">
    <w:pPr>
      <w:pStyle w:val="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4FA46">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8"/>
    <w:multiLevelType w:val="multilevel"/>
    <w:tmpl w:val="00000018"/>
    <w:lvl w:ilvl="0" w:tentative="0">
      <w:start w:val="1"/>
      <w:numFmt w:val="chineseCountingThousand"/>
      <w:pStyle w:val="2"/>
      <w:lvlText w:val="第%1部分."/>
      <w:lvlJc w:val="left"/>
      <w:pPr>
        <w:ind w:left="4500" w:firstLine="0"/>
      </w:pPr>
    </w:lvl>
    <w:lvl w:ilvl="1" w:tentative="0">
      <w:start w:val="1"/>
      <w:numFmt w:val="chineseCountingThousand"/>
      <w:lvlText w:val="%2、"/>
      <w:lvlJc w:val="left"/>
      <w:pPr>
        <w:ind w:left="0" w:firstLine="0"/>
      </w:pPr>
    </w:lvl>
    <w:lvl w:ilvl="2" w:tentative="0">
      <w:start w:val="1"/>
      <w:numFmt w:val="decimal"/>
      <w:isLgl/>
      <w:suff w:val="nothing"/>
      <w:lvlText w:val="%2.%3"/>
      <w:lvlJc w:val="left"/>
      <w:pPr>
        <w:ind w:left="0" w:firstLine="0"/>
      </w:pPr>
      <w:rPr>
        <w:rFonts w:hint="eastAsia"/>
      </w:rPr>
    </w:lvl>
    <w:lvl w:ilvl="3" w:tentative="0">
      <w:start w:val="1"/>
      <w:numFmt w:val="decimal"/>
      <w:isLgl/>
      <w:suff w:val="nothing"/>
      <w:lvlText w:val="%2.%3.%4"/>
      <w:lvlJc w:val="left"/>
      <w:pPr>
        <w:ind w:left="0" w:firstLine="0"/>
      </w:pPr>
      <w:rPr>
        <w:rFonts w:hint="eastAsia"/>
      </w:rPr>
    </w:lvl>
    <w:lvl w:ilvl="4" w:tentative="0">
      <w:start w:val="1"/>
      <w:numFmt w:val="decimal"/>
      <w:isLgl/>
      <w:lvlText w:val="%2.%3.%4.%5"/>
      <w:lvlJc w:val="left"/>
      <w:pPr>
        <w:ind w:left="0" w:firstLine="0"/>
      </w:pPr>
      <w:rPr>
        <w:rFonts w:hint="eastAsia"/>
      </w:rPr>
    </w:lvl>
    <w:lvl w:ilvl="5" w:tentative="0">
      <w:start w:val="1"/>
      <w:numFmt w:val="decimal"/>
      <w:isLgl/>
      <w:lvlText w:val="%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2OTE0ZmJkNzhlNDBmNzNjMjZhZGIzOTkwMjY2ZjMifQ=="/>
  </w:docVars>
  <w:rsids>
    <w:rsidRoot w:val="7C012017"/>
    <w:rsid w:val="00087252"/>
    <w:rsid w:val="00237AF4"/>
    <w:rsid w:val="003F41E3"/>
    <w:rsid w:val="00707C58"/>
    <w:rsid w:val="009504E7"/>
    <w:rsid w:val="009E2A37"/>
    <w:rsid w:val="00A26CA8"/>
    <w:rsid w:val="00A65C33"/>
    <w:rsid w:val="00B1497B"/>
    <w:rsid w:val="00B8101E"/>
    <w:rsid w:val="00EC2ED9"/>
    <w:rsid w:val="00FA68CC"/>
    <w:rsid w:val="0132783D"/>
    <w:rsid w:val="019B7050"/>
    <w:rsid w:val="02182ED7"/>
    <w:rsid w:val="034B2E38"/>
    <w:rsid w:val="04155920"/>
    <w:rsid w:val="047F2DDF"/>
    <w:rsid w:val="04FA68CE"/>
    <w:rsid w:val="05760F5F"/>
    <w:rsid w:val="05ED6429"/>
    <w:rsid w:val="067601CC"/>
    <w:rsid w:val="06925D5C"/>
    <w:rsid w:val="06AC5BD2"/>
    <w:rsid w:val="071D4AEC"/>
    <w:rsid w:val="076F6443"/>
    <w:rsid w:val="08183C31"/>
    <w:rsid w:val="082D7FAC"/>
    <w:rsid w:val="08DC4C5E"/>
    <w:rsid w:val="08EB4EA1"/>
    <w:rsid w:val="098D2B78"/>
    <w:rsid w:val="0A2E205F"/>
    <w:rsid w:val="0ABF11E9"/>
    <w:rsid w:val="0B382523"/>
    <w:rsid w:val="0BD07953"/>
    <w:rsid w:val="0C59200B"/>
    <w:rsid w:val="0CB20023"/>
    <w:rsid w:val="0D3D5EE8"/>
    <w:rsid w:val="0D5A0848"/>
    <w:rsid w:val="0E3A5F83"/>
    <w:rsid w:val="0F7645C2"/>
    <w:rsid w:val="0F8C5762"/>
    <w:rsid w:val="0FBD6E6C"/>
    <w:rsid w:val="106D0892"/>
    <w:rsid w:val="108871F8"/>
    <w:rsid w:val="11DF0AE6"/>
    <w:rsid w:val="12ED5CBA"/>
    <w:rsid w:val="133631BD"/>
    <w:rsid w:val="161E05A1"/>
    <w:rsid w:val="16C60CFC"/>
    <w:rsid w:val="17936C7F"/>
    <w:rsid w:val="182D0204"/>
    <w:rsid w:val="18B9039C"/>
    <w:rsid w:val="18EC5985"/>
    <w:rsid w:val="192D6E10"/>
    <w:rsid w:val="19D158F2"/>
    <w:rsid w:val="1A0758B3"/>
    <w:rsid w:val="1AE13C5B"/>
    <w:rsid w:val="1B83540D"/>
    <w:rsid w:val="1B974A15"/>
    <w:rsid w:val="1BD37BC7"/>
    <w:rsid w:val="1C73204A"/>
    <w:rsid w:val="1D7B3B6C"/>
    <w:rsid w:val="1DE026A3"/>
    <w:rsid w:val="1EB853CE"/>
    <w:rsid w:val="1F666BD8"/>
    <w:rsid w:val="1F7A6373"/>
    <w:rsid w:val="21221225"/>
    <w:rsid w:val="21D249F9"/>
    <w:rsid w:val="227E692E"/>
    <w:rsid w:val="22D85A67"/>
    <w:rsid w:val="23ED5B1A"/>
    <w:rsid w:val="24795A13"/>
    <w:rsid w:val="24F609FE"/>
    <w:rsid w:val="25205A7B"/>
    <w:rsid w:val="25341526"/>
    <w:rsid w:val="25DD571A"/>
    <w:rsid w:val="26451C3D"/>
    <w:rsid w:val="267316AD"/>
    <w:rsid w:val="26AD205A"/>
    <w:rsid w:val="2870595C"/>
    <w:rsid w:val="28E6484F"/>
    <w:rsid w:val="29AA1DB7"/>
    <w:rsid w:val="2AE71751"/>
    <w:rsid w:val="2BE041B6"/>
    <w:rsid w:val="2C7A14DB"/>
    <w:rsid w:val="2D6706EB"/>
    <w:rsid w:val="2D82061E"/>
    <w:rsid w:val="2E185C34"/>
    <w:rsid w:val="2E3D144C"/>
    <w:rsid w:val="2EA80FBB"/>
    <w:rsid w:val="2FA82A32"/>
    <w:rsid w:val="2FF67B04"/>
    <w:rsid w:val="30B25377"/>
    <w:rsid w:val="30B654E5"/>
    <w:rsid w:val="32D51429"/>
    <w:rsid w:val="360A500E"/>
    <w:rsid w:val="370C5E5F"/>
    <w:rsid w:val="379A760D"/>
    <w:rsid w:val="37CE1645"/>
    <w:rsid w:val="38EC7806"/>
    <w:rsid w:val="39453024"/>
    <w:rsid w:val="3AAA7E69"/>
    <w:rsid w:val="3B1039F4"/>
    <w:rsid w:val="3C3224E4"/>
    <w:rsid w:val="3C487939"/>
    <w:rsid w:val="3CB925E5"/>
    <w:rsid w:val="3CE57FED"/>
    <w:rsid w:val="3CF655E7"/>
    <w:rsid w:val="3CFE449C"/>
    <w:rsid w:val="3D8726E3"/>
    <w:rsid w:val="3DA037A5"/>
    <w:rsid w:val="3DFE0BF8"/>
    <w:rsid w:val="3EB07A18"/>
    <w:rsid w:val="3F5A5E96"/>
    <w:rsid w:val="3F6031EC"/>
    <w:rsid w:val="3F710F55"/>
    <w:rsid w:val="402D7572"/>
    <w:rsid w:val="413C29AE"/>
    <w:rsid w:val="41465083"/>
    <w:rsid w:val="41A41AB6"/>
    <w:rsid w:val="41D8350E"/>
    <w:rsid w:val="42391B2D"/>
    <w:rsid w:val="42B37AD7"/>
    <w:rsid w:val="43B9736F"/>
    <w:rsid w:val="45C2075D"/>
    <w:rsid w:val="46E91D19"/>
    <w:rsid w:val="47B038A3"/>
    <w:rsid w:val="482F48FE"/>
    <w:rsid w:val="48B3197F"/>
    <w:rsid w:val="49AE2DC6"/>
    <w:rsid w:val="4A2A4B22"/>
    <w:rsid w:val="4C602A7D"/>
    <w:rsid w:val="4D6328B7"/>
    <w:rsid w:val="4DF55447"/>
    <w:rsid w:val="4E086F29"/>
    <w:rsid w:val="50267B3A"/>
    <w:rsid w:val="51DF4444"/>
    <w:rsid w:val="527425D2"/>
    <w:rsid w:val="534E1882"/>
    <w:rsid w:val="543071D9"/>
    <w:rsid w:val="5549797F"/>
    <w:rsid w:val="555017F7"/>
    <w:rsid w:val="55AF2380"/>
    <w:rsid w:val="55DD54DC"/>
    <w:rsid w:val="567F6AD5"/>
    <w:rsid w:val="56E55706"/>
    <w:rsid w:val="59407906"/>
    <w:rsid w:val="5A785436"/>
    <w:rsid w:val="5AC62645"/>
    <w:rsid w:val="5B0D3AF2"/>
    <w:rsid w:val="5B7510F2"/>
    <w:rsid w:val="5BA12F2B"/>
    <w:rsid w:val="5CDC7EFE"/>
    <w:rsid w:val="5CE943C9"/>
    <w:rsid w:val="5D564C94"/>
    <w:rsid w:val="5EAE1426"/>
    <w:rsid w:val="5FE64BF0"/>
    <w:rsid w:val="606A75CF"/>
    <w:rsid w:val="611A33DE"/>
    <w:rsid w:val="62E33669"/>
    <w:rsid w:val="631D6B7A"/>
    <w:rsid w:val="65085E48"/>
    <w:rsid w:val="65A82571"/>
    <w:rsid w:val="663A3EE7"/>
    <w:rsid w:val="66E2557F"/>
    <w:rsid w:val="68142C42"/>
    <w:rsid w:val="6838686D"/>
    <w:rsid w:val="687E00BB"/>
    <w:rsid w:val="691E364C"/>
    <w:rsid w:val="69F85C4B"/>
    <w:rsid w:val="6A8D335E"/>
    <w:rsid w:val="6AF5521C"/>
    <w:rsid w:val="6B2F1B41"/>
    <w:rsid w:val="6C692E30"/>
    <w:rsid w:val="6D3C22F3"/>
    <w:rsid w:val="6FB3318E"/>
    <w:rsid w:val="6FF869A5"/>
    <w:rsid w:val="706310C2"/>
    <w:rsid w:val="72395053"/>
    <w:rsid w:val="729055BB"/>
    <w:rsid w:val="73B47087"/>
    <w:rsid w:val="74415BCF"/>
    <w:rsid w:val="7564688B"/>
    <w:rsid w:val="756A200E"/>
    <w:rsid w:val="758F1B5A"/>
    <w:rsid w:val="76A827A7"/>
    <w:rsid w:val="76DC4F4D"/>
    <w:rsid w:val="786A1FDA"/>
    <w:rsid w:val="78B95140"/>
    <w:rsid w:val="78BE62B2"/>
    <w:rsid w:val="79CC4220"/>
    <w:rsid w:val="79FD5087"/>
    <w:rsid w:val="7A1C5CB1"/>
    <w:rsid w:val="7A5A200A"/>
    <w:rsid w:val="7BDE0A0C"/>
    <w:rsid w:val="7C012017"/>
    <w:rsid w:val="7C075C86"/>
    <w:rsid w:val="7D1F7C67"/>
    <w:rsid w:val="7D5D03CB"/>
    <w:rsid w:val="7D782ED3"/>
    <w:rsid w:val="7DE77D14"/>
    <w:rsid w:val="7EAF0B77"/>
    <w:rsid w:val="7F97269F"/>
    <w:rsid w:val="7FBB1DCA"/>
    <w:rsid w:val="7FCE7723"/>
    <w:rsid w:val="7FDA4FE1"/>
    <w:rsid w:val="7FDF723A"/>
    <w:rsid w:val="7FF054F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line="360" w:lineRule="auto"/>
    </w:pPr>
    <w:rPr>
      <w:rFonts w:ascii="Verdana" w:hAnsi="Verdana" w:eastAsia="宋体" w:cs="Times New Roman"/>
      <w:sz w:val="24"/>
      <w:szCs w:val="22"/>
      <w:lang w:val="en-US" w:eastAsia="en-US" w:bidi="en-US"/>
    </w:rPr>
  </w:style>
  <w:style w:type="paragraph" w:styleId="2">
    <w:name w:val="heading 1"/>
    <w:basedOn w:val="1"/>
    <w:next w:val="1"/>
    <w:link w:val="13"/>
    <w:qFormat/>
    <w:uiPriority w:val="0"/>
    <w:pPr>
      <w:numPr>
        <w:ilvl w:val="0"/>
        <w:numId w:val="1"/>
      </w:numPr>
      <w:spacing w:beforeLines="30" w:afterLines="150"/>
      <w:jc w:val="center"/>
      <w:outlineLvl w:val="0"/>
    </w:pPr>
    <w:rPr>
      <w:rFonts w:eastAsia="黑体"/>
      <w:b/>
      <w:smallCaps/>
      <w:spacing w:val="5"/>
      <w:sz w:val="36"/>
      <w:szCs w:val="36"/>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Plain Text"/>
    <w:basedOn w:val="1"/>
    <w:qFormat/>
    <w:uiPriority w:val="0"/>
    <w:pPr>
      <w:widowControl w:val="0"/>
      <w:jc w:val="both"/>
    </w:pPr>
    <w:rPr>
      <w:rFonts w:ascii="宋体" w:hAnsi="Courier New"/>
      <w:kern w:val="2"/>
      <w:lang w:eastAsia="zh-CN" w:bidi="ar-SA"/>
    </w:rPr>
  </w:style>
  <w:style w:type="paragraph" w:styleId="4">
    <w:name w:val="footer"/>
    <w:basedOn w:val="1"/>
    <w:next w:val="1"/>
    <w:qFormat/>
    <w:uiPriority w:val="0"/>
    <w:pPr>
      <w:tabs>
        <w:tab w:val="center" w:pos="4153"/>
        <w:tab w:val="right" w:pos="8306"/>
      </w:tabs>
      <w:snapToGrid w:val="0"/>
      <w:spacing w:line="240" w:lineRule="auto"/>
    </w:pPr>
    <w:rPr>
      <w:sz w:val="18"/>
      <w:szCs w:val="18"/>
    </w:rPr>
  </w:style>
  <w:style w:type="paragraph" w:styleId="5">
    <w:name w:val="header"/>
    <w:basedOn w:val="1"/>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6">
    <w:name w:val="Normal (Web)"/>
    <w:basedOn w:val="1"/>
    <w:unhideWhenUsed/>
    <w:qFormat/>
    <w:uiPriority w:val="99"/>
    <w:pPr>
      <w:widowControl w:val="0"/>
      <w:spacing w:before="100" w:beforeAutospacing="1" w:after="100" w:afterAutospacing="1" w:line="240" w:lineRule="auto"/>
    </w:pPr>
    <w:rPr>
      <w:rFonts w:ascii="Calibri" w:hAnsi="Calibri"/>
      <w:szCs w:val="24"/>
      <w:lang w:eastAsia="zh-CN" w:bidi="ar-SA"/>
    </w:rPr>
  </w:style>
  <w:style w:type="paragraph" w:styleId="7">
    <w:name w:val="Title"/>
    <w:basedOn w:val="1"/>
    <w:next w:val="1"/>
    <w:qFormat/>
    <w:uiPriority w:val="0"/>
    <w:pPr>
      <w:spacing w:after="300" w:afterLines="0" w:line="240" w:lineRule="auto"/>
    </w:pPr>
    <w:rPr>
      <w:rFonts w:ascii="Verdana" w:hAnsi="Verdana" w:eastAsia="微软雅黑"/>
      <w:smallCaps/>
      <w:sz w:val="52"/>
      <w:szCs w:val="52"/>
      <w:lang w:val="en-US" w:eastAsia="en-US" w:bidi="en-US"/>
    </w:rPr>
  </w:style>
  <w:style w:type="character" w:styleId="10">
    <w:name w:val="Strong"/>
    <w:basedOn w:val="9"/>
    <w:qFormat/>
    <w:uiPriority w:val="0"/>
    <w:rPr>
      <w:b/>
    </w:rPr>
  </w:style>
  <w:style w:type="paragraph" w:styleId="11">
    <w:name w:val="List Paragraph"/>
    <w:basedOn w:val="1"/>
    <w:autoRedefine/>
    <w:unhideWhenUsed/>
    <w:qFormat/>
    <w:uiPriority w:val="99"/>
    <w:pPr>
      <w:ind w:firstLine="420" w:firstLineChars="200"/>
    </w:pPr>
  </w:style>
  <w:style w:type="paragraph" w:customStyle="1" w:styleId="12">
    <w:name w:val="Normal"/>
    <w:autoRedefine/>
    <w:qFormat/>
    <w:uiPriority w:val="0"/>
    <w:pPr>
      <w:jc w:val="both"/>
    </w:pPr>
    <w:rPr>
      <w:rFonts w:ascii="Calibri" w:hAnsi="Calibri" w:eastAsia="宋体" w:cs="Calibri"/>
      <w:kern w:val="2"/>
      <w:sz w:val="21"/>
      <w:szCs w:val="21"/>
      <w:lang w:val="en-US" w:eastAsia="zh-CN" w:bidi="ar-SA"/>
    </w:rPr>
  </w:style>
  <w:style w:type="character" w:customStyle="1" w:styleId="13">
    <w:name w:val="标题 1 Char"/>
    <w:link w:val="2"/>
    <w:autoRedefine/>
    <w:qFormat/>
    <w:uiPriority w:val="0"/>
    <w:rPr>
      <w:rFonts w:eastAsia="黑体"/>
      <w:b/>
      <w:smallCaps/>
      <w:spacing w:val="5"/>
      <w:sz w:val="36"/>
      <w:szCs w:val="3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5362</Words>
  <Characters>5908</Characters>
  <Lines>20</Lines>
  <Paragraphs>5</Paragraphs>
  <TotalTime>0</TotalTime>
  <ScaleCrop>false</ScaleCrop>
  <LinksUpToDate>false</LinksUpToDate>
  <CharactersWithSpaces>5945</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2022-06-10T03:59:00Z</dcterms:created>
  <dc:creator>Administrator</dc:creator>
  <cp:lastModifiedBy>三岁能喝一箱二锅头</cp:lastModifiedBy>
  <cp:lastPrinted>2023-09-12T02:03:00Z</cp:lastPrinted>
  <dcterms:modified xsi:type="dcterms:W3CDTF">2026-10-12T07:25:42Z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E36ECFAFC62040FF91A45A9204BD4827_13</vt:lpwstr>
  </property>
  <property fmtid="{D5CDD505-2E9C-101B-9397-08002B2CF9AE}" pid="4" name="KSOTemplateDocerSaveRecord">
    <vt:lpwstr>eyJoZGlkIjoiOWI5Mzk2ODQ2YTFkNDI0OWZhMTk4ZjJiMjZhMWI1ODUiLCJ1c2VySWQiOiIyODU3NTcxMDMifQ==</vt:lpwstr>
  </property>
</Properties>
</file>