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项目名称：连云区森林防灭火智能体预警系统</w:t>
      </w:r>
      <w:r/>
    </w:p>
    <w:p>
      <w:pPr>
        <w:jc w:val="center"/>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lang w:val="en-US" w:eastAsia="zh-CN"/>
        </w:rPr>
        <w:t xml:space="preserve">    </w:t>
      </w:r>
      <w:r>
        <w:rPr>
          <w:rFonts w:hint="eastAsia" w:ascii="Arial" w:hAnsi="Arial" w:eastAsia="宋体" w:cs="Times New Roman"/>
          <w:b/>
          <w:bCs/>
          <w:sz w:val="32"/>
          <w:szCs w:val="24"/>
        </w:rPr>
        <w:t xml:space="preserve">项目编号：JSZC-320703-KTKT-G2026-0008</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ind w:left="840" w:firstLine="420"/>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采   购   人：</w:t>
      </w:r>
      <w:r>
        <w:rPr>
          <w:rFonts w:hint="eastAsia" w:ascii="宋体" w:hAnsi="宋体"/>
          <w:b/>
          <w:bCs/>
          <w:color w:val="000000"/>
          <w:sz w:val="32"/>
          <w:szCs w:val="32"/>
          <w:highlight w:val="none"/>
          <w:lang w:eastAsia="zh-CN"/>
        </w:rPr>
        <w:t xml:space="preserve">连云港市连云区林业和海洋局</w:t>
      </w:r>
      <w:r/>
    </w:p>
    <w:p>
      <w:pPr>
        <w:ind w:left="840" w:firstLine="420"/>
        <w:jc w:val="both"/>
        <w:spacing w:before="120" w:after="120" w:line="360" w:lineRule="auto"/>
        <w:rPr>
          <w:rFonts w:ascii="黑体" w:hAnsi="Arial" w:eastAsia="黑体" w:cs="Times New Roman"/>
          <w:b/>
          <w:color w:val="000000"/>
          <w:sz w:val="44"/>
          <w:szCs w:val="21"/>
        </w:rPr>
      </w:pPr>
      <w:r>
        <w:rPr>
          <w:rFonts w:hint="eastAsia" w:ascii="宋体" w:hAnsi="宋体"/>
          <w:b/>
          <w:bCs/>
          <w:color w:val="000000"/>
          <w:sz w:val="32"/>
          <w:szCs w:val="32"/>
          <w:highlight w:val="none"/>
        </w:rPr>
        <w:t xml:space="preserve">采购代理机构：</w:t>
      </w:r>
      <w:r>
        <w:rPr>
          <w:rFonts w:hint="eastAsia" w:ascii="Arial" w:hAnsi="Arial" w:eastAsia="宋体" w:cs="Times New Roman"/>
          <w:b/>
          <w:bCs/>
          <w:color w:val="000000"/>
          <w:sz w:val="32"/>
          <w:szCs w:val="24"/>
          <w:lang w:eastAsia="zh-CN"/>
        </w:rPr>
        <w:t xml:space="preserve">江苏坤廷工程咨询管理有限公司</w:t>
      </w:r>
      <w:r/>
    </w:p>
    <w:p>
      <w:pPr>
        <w:jc w:val="center"/>
        <w:spacing w:before="120" w:after="120" w:line="480" w:lineRule="auto"/>
        <w:widowControl/>
      </w:pPr>
      <w:r>
        <w:rPr>
          <w:rFonts w:hint="eastAsia" w:ascii="Arial" w:hAnsi="Arial" w:eastAsia="宋体" w:cs="Times New Roman"/>
          <w:b/>
          <w:bCs/>
          <w:color w:val="000000"/>
          <w:sz w:val="32"/>
          <w:szCs w:val="24"/>
          <w:lang w:val="en-US" w:eastAsia="zh-CN"/>
        </w:rPr>
        <w:t xml:space="preserve"> 2026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lang w:val="en-US" w:eastAsia="zh-CN"/>
        </w:rPr>
        <w:t xml:space="preserve">9</w:t>
      </w:r>
      <w:r>
        <w:rPr>
          <w:rFonts w:hint="eastAsia" w:ascii="Arial" w:hAnsi="Arial" w:eastAsia="宋体" w:cs="Times New Roman"/>
          <w:b/>
          <w:bCs/>
          <w:color w:val="000000"/>
          <w:sz w:val="32"/>
          <w:szCs w:val="24"/>
        </w:rPr>
        <w:t xml:space="preserve">月</w:t>
      </w:r>
      <w:r>
        <w:br w:type="page" w:clear="all"/>
      </w:r>
      <w:r/>
    </w:p>
    <w:sdt>
      <w:sdtPr>
        <w15:appearance w15:val="boundingBox"/>
        <w15:color w:val="dbdbdb"/>
        <w:id w:val="147471069"/>
        <w:docPartObj>
          <w:docPartGallery w:val="Table of Contents"/>
          <w:docPartUnique w:val="true"/>
        </w:docPartObj>
        <w:rPr>
          <w:rFonts w:ascii="宋体" w:hAnsi="宋体" w:eastAsia="宋体" w:cstheme="minorBidi"/>
          <w:sz w:val="36"/>
          <w:szCs w:val="36"/>
          <w:lang w:val="en-US" w:eastAsia="zh-CN" w:bidi="ar-SA"/>
        </w:rPr>
      </w:sdtPr>
      <w:sdtContent>
        <w:p>
          <w:pPr>
            <w:ind w:left="0" w:right="0" w:firstLine="0"/>
            <w:jc w:val="center"/>
            <w:spacing w:before="0" w:after="0" w:line="240" w:lineRule="auto"/>
            <w:rPr>
              <w:rFonts w:hint="eastAsia" w:ascii="黑体" w:hAnsi="黑体" w:eastAsia="黑体" w:cs="黑体"/>
              <w:b/>
              <w:bCs/>
              <w:sz w:val="36"/>
              <w:szCs w:val="36"/>
            </w:rPr>
          </w:pPr>
          <w:r>
            <w:rPr>
              <w:rFonts w:hint="eastAsia" w:ascii="黑体" w:hAnsi="黑体" w:eastAsia="黑体" w:cs="黑体"/>
              <w:b/>
              <w:bCs/>
              <w:sz w:val="36"/>
              <w:szCs w:val="36"/>
            </w:rPr>
            <w:t xml:space="preserve">目录</w:t>
          </w:r>
          <w:r/>
        </w:p>
        <w:p>
          <w:pPr>
            <w:pStyle w:val="655"/>
            <w:tabs>
              <w:tab w:val="right" w:pos="8306" w:leader="dot"/>
            </w:tabs>
            <w:rPr>
              <w:rFonts w:hint="eastAsia" w:ascii="黑体" w:hAnsi="黑体" w:eastAsia="黑体" w:cs="黑体"/>
              <w:sz w:val="28"/>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TOC \o "1-1" \h \u </w:instrText>
          </w:r>
          <w:r>
            <w:rPr>
              <w:rFonts w:hint="eastAsia" w:ascii="黑体" w:hAnsi="黑体" w:eastAsia="黑体" w:cs="黑体"/>
              <w:sz w:val="28"/>
              <w:szCs w:val="28"/>
            </w:rPr>
            <w:fldChar w:fldCharType="separate"/>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_Toc22589 </w:instrText>
          </w:r>
          <w:r>
            <w:rPr>
              <w:rFonts w:hint="eastAsia" w:ascii="黑体" w:hAnsi="黑体" w:eastAsia="黑体" w:cs="黑体"/>
              <w:sz w:val="28"/>
              <w:szCs w:val="28"/>
            </w:rPr>
            <w:fldChar w:fldCharType="separate"/>
          </w:r>
          <w:r>
            <w:rPr>
              <w:rFonts w:hint="eastAsia" w:ascii="黑体" w:hAnsi="黑体" w:eastAsia="黑体" w:cs="黑体"/>
              <w:sz w:val="28"/>
              <w:szCs w:val="28"/>
            </w:rPr>
            <w:t xml:space="preserve">第一章  投标邀请</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_Toc22589 \h </w:instrText>
          </w:r>
          <w:r>
            <w:rPr>
              <w:rFonts w:hint="eastAsia" w:ascii="黑体" w:hAnsi="黑体" w:eastAsia="黑体" w:cs="黑体"/>
              <w:sz w:val="28"/>
              <w:szCs w:val="28"/>
            </w:rPr>
            <w:fldChar w:fldCharType="separate"/>
          </w:r>
          <w:r>
            <w:rPr>
              <w:rFonts w:hint="eastAsia" w:ascii="黑体" w:hAnsi="黑体" w:eastAsia="黑体" w:cs="黑体"/>
              <w:sz w:val="28"/>
              <w:szCs w:val="28"/>
            </w:rPr>
            <w:t xml:space="preserve">1</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r/>
        </w:p>
        <w:p>
          <w:pPr>
            <w:pStyle w:val="655"/>
            <w:tabs>
              <w:tab w:val="right" w:pos="8306" w:leader="dot"/>
            </w:tabs>
            <w:rPr>
              <w:rFonts w:hint="eastAsia" w:ascii="黑体" w:hAnsi="黑体" w:eastAsia="黑体" w:cs="黑体"/>
              <w:sz w:val="28"/>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_Toc4827 </w:instrText>
          </w:r>
          <w:r>
            <w:rPr>
              <w:rFonts w:hint="eastAsia" w:ascii="黑体" w:hAnsi="黑体" w:eastAsia="黑体" w:cs="黑体"/>
              <w:sz w:val="28"/>
              <w:szCs w:val="28"/>
            </w:rPr>
            <w:fldChar w:fldCharType="separate"/>
          </w:r>
          <w:r>
            <w:rPr>
              <w:rFonts w:hint="eastAsia" w:ascii="黑体" w:hAnsi="黑体" w:eastAsia="黑体" w:cs="黑体"/>
              <w:sz w:val="28"/>
              <w:szCs w:val="28"/>
            </w:rPr>
            <w:t xml:space="preserve">第二章  投标人须知</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_Toc4827 \h </w:instrText>
          </w:r>
          <w:r>
            <w:rPr>
              <w:rFonts w:hint="eastAsia" w:ascii="黑体" w:hAnsi="黑体" w:eastAsia="黑体" w:cs="黑体"/>
              <w:sz w:val="28"/>
              <w:szCs w:val="28"/>
            </w:rPr>
            <w:fldChar w:fldCharType="separate"/>
          </w:r>
          <w:r>
            <w:rPr>
              <w:rFonts w:hint="eastAsia" w:ascii="黑体" w:hAnsi="黑体" w:eastAsia="黑体" w:cs="黑体"/>
              <w:sz w:val="28"/>
              <w:szCs w:val="28"/>
            </w:rPr>
            <w:t xml:space="preserve">5</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r/>
        </w:p>
        <w:p>
          <w:pPr>
            <w:pStyle w:val="655"/>
            <w:tabs>
              <w:tab w:val="right" w:pos="8306" w:leader="dot"/>
            </w:tabs>
            <w:rPr>
              <w:rFonts w:hint="eastAsia" w:ascii="黑体" w:hAnsi="黑体" w:eastAsia="黑体" w:cs="黑体"/>
              <w:sz w:val="28"/>
              <w:szCs w:val="28"/>
              <w:lang w:val="en-US" w:eastAsia="zh-CN"/>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_Toc28065 </w:instrText>
          </w:r>
          <w:r>
            <w:rPr>
              <w:rFonts w:hint="eastAsia" w:ascii="黑体" w:hAnsi="黑体" w:eastAsia="黑体" w:cs="黑体"/>
              <w:sz w:val="28"/>
              <w:szCs w:val="28"/>
            </w:rPr>
            <w:fldChar w:fldCharType="separate"/>
          </w:r>
          <w:r>
            <w:rPr>
              <w:rFonts w:hint="eastAsia" w:ascii="黑体" w:hAnsi="黑体" w:eastAsia="黑体" w:cs="黑体"/>
              <w:sz w:val="28"/>
              <w:szCs w:val="28"/>
            </w:rPr>
            <w:t xml:space="preserve">第三章  合同文本</w:t>
          </w:r>
          <w:r>
            <w:rPr>
              <w:rFonts w:hint="eastAsia" w:ascii="黑体" w:hAnsi="黑体" w:eastAsia="黑体" w:cs="黑体"/>
              <w:sz w:val="28"/>
              <w:szCs w:val="28"/>
            </w:rPr>
            <w:tab/>
          </w:r>
          <w:r>
            <w:rPr>
              <w:rFonts w:hint="eastAsia" w:ascii="黑体" w:hAnsi="黑体" w:eastAsia="黑体" w:cs="黑体"/>
              <w:sz w:val="28"/>
              <w:szCs w:val="28"/>
              <w:lang w:val="en-US" w:eastAsia="zh-CN"/>
            </w:rPr>
            <w:t xml:space="preserve">2</w:t>
          </w:r>
          <w:r>
            <w:rPr>
              <w:rFonts w:hint="eastAsia" w:ascii="黑体" w:hAnsi="黑体" w:eastAsia="黑体" w:cs="黑体"/>
              <w:sz w:val="28"/>
              <w:szCs w:val="28"/>
            </w:rPr>
            <w:fldChar w:fldCharType="end"/>
          </w:r>
          <w:r>
            <w:rPr>
              <w:rFonts w:hint="eastAsia" w:ascii="黑体" w:hAnsi="黑体" w:eastAsia="黑体" w:cs="黑体"/>
              <w:sz w:val="28"/>
              <w:szCs w:val="28"/>
              <w:lang w:val="en-US" w:eastAsia="zh-CN"/>
            </w:rPr>
            <w:t xml:space="preserve">4</w:t>
          </w:r>
          <w:r/>
        </w:p>
        <w:p>
          <w:pPr>
            <w:pStyle w:val="655"/>
            <w:tabs>
              <w:tab w:val="right" w:pos="8306" w:leader="dot"/>
            </w:tabs>
            <w:rPr>
              <w:rFonts w:hint="eastAsia" w:ascii="黑体" w:hAnsi="黑体" w:eastAsia="黑体" w:cs="黑体"/>
              <w:sz w:val="28"/>
              <w:szCs w:val="28"/>
              <w:lang w:val="en-US" w:eastAsia="zh-CN"/>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_Toc16414 </w:instrText>
          </w:r>
          <w:r>
            <w:rPr>
              <w:rFonts w:hint="eastAsia" w:ascii="黑体" w:hAnsi="黑体" w:eastAsia="黑体" w:cs="黑体"/>
              <w:sz w:val="28"/>
              <w:szCs w:val="28"/>
            </w:rPr>
            <w:fldChar w:fldCharType="separate"/>
          </w:r>
          <w:r>
            <w:rPr>
              <w:rFonts w:hint="eastAsia" w:ascii="黑体" w:hAnsi="黑体" w:eastAsia="黑体" w:cs="黑体"/>
              <w:sz w:val="28"/>
              <w:szCs w:val="28"/>
            </w:rPr>
            <w:t xml:space="preserve">第四章  采购需求</w:t>
          </w:r>
          <w:r>
            <w:rPr>
              <w:rFonts w:hint="eastAsia" w:ascii="黑体" w:hAnsi="黑体" w:eastAsia="黑体" w:cs="黑体"/>
              <w:sz w:val="28"/>
              <w:szCs w:val="28"/>
            </w:rPr>
            <w:tab/>
          </w:r>
          <w:r>
            <w:rPr>
              <w:rFonts w:hint="eastAsia" w:ascii="黑体" w:hAnsi="黑体" w:eastAsia="黑体" w:cs="黑体"/>
              <w:sz w:val="28"/>
              <w:szCs w:val="28"/>
              <w:lang w:val="en-US" w:eastAsia="zh-CN"/>
            </w:rPr>
            <w:t xml:space="preserve">3</w:t>
          </w:r>
          <w:r>
            <w:rPr>
              <w:rFonts w:hint="eastAsia" w:ascii="黑体" w:hAnsi="黑体" w:eastAsia="黑体" w:cs="黑体"/>
              <w:sz w:val="28"/>
              <w:szCs w:val="28"/>
            </w:rPr>
            <w:fldChar w:fldCharType="end"/>
          </w:r>
          <w:r>
            <w:rPr>
              <w:rFonts w:hint="eastAsia" w:ascii="黑体" w:hAnsi="黑体" w:eastAsia="黑体" w:cs="黑体"/>
              <w:sz w:val="28"/>
              <w:szCs w:val="28"/>
              <w:lang w:val="en-US" w:eastAsia="zh-CN"/>
            </w:rPr>
            <w:t xml:space="preserve">0</w:t>
          </w:r>
          <w:r/>
        </w:p>
        <w:p>
          <w:pPr>
            <w:pStyle w:val="655"/>
            <w:tabs>
              <w:tab w:val="right" w:pos="8306" w:leader="dot"/>
            </w:tabs>
            <w:rPr>
              <w:rFonts w:hint="eastAsia" w:ascii="黑体" w:hAnsi="黑体" w:eastAsia="黑体" w:cs="黑体"/>
              <w:sz w:val="28"/>
              <w:szCs w:val="28"/>
              <w:lang w:val="en-US" w:eastAsia="zh-CN"/>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_Toc22575 </w:instrText>
          </w:r>
          <w:r>
            <w:rPr>
              <w:rFonts w:hint="eastAsia" w:ascii="黑体" w:hAnsi="黑体" w:eastAsia="黑体" w:cs="黑体"/>
              <w:sz w:val="28"/>
              <w:szCs w:val="28"/>
            </w:rPr>
            <w:fldChar w:fldCharType="separate"/>
          </w:r>
          <w:r>
            <w:rPr>
              <w:rFonts w:hint="eastAsia" w:ascii="黑体" w:hAnsi="黑体" w:eastAsia="黑体" w:cs="黑体"/>
              <w:sz w:val="28"/>
              <w:szCs w:val="28"/>
            </w:rPr>
            <w:t xml:space="preserve">第五章  评标方法与评标标准</w:t>
          </w:r>
          <w:r>
            <w:rPr>
              <w:rFonts w:hint="eastAsia" w:ascii="黑体" w:hAnsi="黑体" w:eastAsia="黑体" w:cs="黑体"/>
              <w:sz w:val="28"/>
              <w:szCs w:val="28"/>
            </w:rPr>
            <w:tab/>
          </w:r>
          <w:r>
            <w:rPr>
              <w:rFonts w:hint="eastAsia" w:ascii="黑体" w:hAnsi="黑体" w:eastAsia="黑体" w:cs="黑体"/>
              <w:sz w:val="28"/>
              <w:szCs w:val="28"/>
              <w:lang w:val="en-US" w:eastAsia="zh-CN"/>
            </w:rPr>
            <w:t xml:space="preserve">5</w:t>
          </w:r>
          <w:r>
            <w:rPr>
              <w:rFonts w:hint="eastAsia" w:ascii="黑体" w:hAnsi="黑体" w:eastAsia="黑体" w:cs="黑体"/>
              <w:sz w:val="28"/>
              <w:szCs w:val="28"/>
            </w:rPr>
            <w:fldChar w:fldCharType="end"/>
          </w:r>
          <w:r>
            <w:rPr>
              <w:rFonts w:hint="eastAsia" w:ascii="黑体" w:hAnsi="黑体" w:eastAsia="黑体" w:cs="黑体"/>
              <w:sz w:val="28"/>
              <w:szCs w:val="28"/>
              <w:lang w:val="en-US" w:eastAsia="zh-CN"/>
            </w:rPr>
            <w:t xml:space="preserve">4</w:t>
          </w:r>
          <w:r/>
        </w:p>
        <w:p>
          <w:pPr>
            <w:pStyle w:val="655"/>
            <w:tabs>
              <w:tab w:val="right" w:pos="8306" w:leader="dot"/>
            </w:tabs>
            <w:rPr>
              <w:rFonts w:hint="eastAsia" w:ascii="黑体" w:hAnsi="黑体" w:eastAsia="黑体" w:cs="黑体"/>
              <w:sz w:val="28"/>
              <w:szCs w:val="28"/>
              <w:lang w:val="en-US" w:eastAsia="zh-CN"/>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_Toc31121 </w:instrText>
          </w:r>
          <w:r>
            <w:rPr>
              <w:rFonts w:hint="eastAsia" w:ascii="黑体" w:hAnsi="黑体" w:eastAsia="黑体" w:cs="黑体"/>
              <w:sz w:val="28"/>
              <w:szCs w:val="28"/>
            </w:rPr>
            <w:fldChar w:fldCharType="separate"/>
          </w:r>
          <w:r>
            <w:rPr>
              <w:rFonts w:hint="eastAsia" w:ascii="黑体" w:hAnsi="黑体" w:eastAsia="黑体" w:cs="黑体"/>
              <w:sz w:val="28"/>
              <w:szCs w:val="28"/>
            </w:rPr>
            <w:t xml:space="preserve">第六章  投标文件格式</w:t>
          </w:r>
          <w:r>
            <w:rPr>
              <w:rFonts w:hint="eastAsia" w:ascii="黑体" w:hAnsi="黑体" w:eastAsia="黑体" w:cs="黑体"/>
              <w:sz w:val="28"/>
              <w:szCs w:val="28"/>
            </w:rPr>
            <w:tab/>
          </w:r>
          <w:r>
            <w:rPr>
              <w:rFonts w:hint="eastAsia" w:ascii="黑体" w:hAnsi="黑体" w:eastAsia="黑体" w:cs="黑体"/>
              <w:sz w:val="28"/>
              <w:szCs w:val="28"/>
              <w:lang w:val="en-US" w:eastAsia="zh-CN"/>
            </w:rPr>
            <w:t xml:space="preserve">5</w:t>
          </w:r>
          <w:r>
            <w:rPr>
              <w:rFonts w:hint="eastAsia" w:ascii="黑体" w:hAnsi="黑体" w:eastAsia="黑体" w:cs="黑体"/>
              <w:sz w:val="28"/>
              <w:szCs w:val="28"/>
            </w:rPr>
            <w:fldChar w:fldCharType="end"/>
          </w:r>
          <w:r>
            <w:rPr>
              <w:rFonts w:hint="eastAsia" w:ascii="黑体" w:hAnsi="黑体" w:eastAsia="黑体" w:cs="黑体"/>
              <w:sz w:val="28"/>
              <w:szCs w:val="28"/>
              <w:lang w:val="en-US" w:eastAsia="zh-CN"/>
            </w:rPr>
            <w:t xml:space="preserve">9</w:t>
          </w:r>
          <w:r/>
        </w:p>
        <w:p>
          <w:pPr>
            <w:jc w:val="center"/>
            <w:spacing w:before="120" w:after="120" w:line="480" w:lineRule="auto"/>
            <w:widowControl/>
            <w:rPr>
              <w:rFonts w:hint="eastAsia" w:ascii="黑体" w:hAnsi="黑体" w:eastAsia="黑体" w:cs="黑体"/>
              <w:sz w:val="28"/>
              <w:szCs w:val="28"/>
              <w:lang w:val="en-US" w:eastAsia="zh-CN" w:bidi="ar-SA"/>
            </w:rPr>
          </w:pPr>
          <w:r>
            <w:rPr>
              <w:rFonts w:hint="eastAsia" w:ascii="黑体" w:hAnsi="黑体" w:eastAsia="黑体" w:cs="黑体"/>
              <w:sz w:val="28"/>
              <w:szCs w:val="28"/>
            </w:rPr>
            <w:fldChar w:fldCharType="end"/>
          </w:r>
          <w:r/>
        </w:p>
      </w:sdtContent>
    </w:sdt>
    <w:p>
      <w:pPr>
        <w:jc w:val="center"/>
        <w:spacing w:before="120" w:after="120" w:line="480" w:lineRule="auto"/>
        <w:widowControl/>
        <w:rPr>
          <w:rFonts w:hint="eastAsia" w:asciiTheme="minorHAnsi" w:hAnsiTheme="minorHAnsi" w:eastAsiaTheme="minorEastAsia" w:cstheme="minorBidi"/>
          <w:sz w:val="21"/>
          <w:szCs w:val="22"/>
          <w:lang w:val="en-US" w:eastAsia="zh-CN" w:bidi="ar-SA"/>
        </w:rPr>
      </w:pPr>
      <w:r>
        <w:rPr>
          <w:rFonts w:hint="eastAsia" w:asciiTheme="minorHAnsi" w:hAnsiTheme="minorHAnsi" w:eastAsiaTheme="minorEastAsia" w:cstheme="minorBidi"/>
          <w:sz w:val="21"/>
          <w:szCs w:val="22"/>
          <w:lang w:val="en-US" w:eastAsia="zh-CN" w:bidi="ar-SA"/>
        </w:rPr>
      </w:r>
      <w:r/>
    </w:p>
    <w:p>
      <w:pPr>
        <w:pStyle w:val="643"/>
        <w:jc w:val="center"/>
        <w:spacing w:before="156" w:after="156" w:line="480" w:lineRule="auto"/>
        <w:rPr>
          <w:rFonts w:hint="eastAsia" w:ascii="黑体" w:hAnsi="黑体" w:eastAsia="黑体" w:cs="黑体"/>
          <w:b w:val="0"/>
          <w:sz w:val="24"/>
          <w:szCs w:val="2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cs="黑体"/>
          <w:b w:val="0"/>
          <w:sz w:val="24"/>
          <w:szCs w:val="24"/>
        </w:rPr>
      </w:r>
      <w:r/>
    </w:p>
    <w:p>
      <w:pPr>
        <w:pStyle w:val="643"/>
        <w:jc w:val="center"/>
        <w:spacing w:before="156" w:after="156" w:line="360" w:lineRule="auto"/>
        <w:rPr>
          <w:rFonts w:ascii="黑体" w:hAnsi="黑体" w:eastAsia="黑体"/>
          <w:b w:val="0"/>
        </w:rPr>
        <w:outlineLvl w:val="0"/>
      </w:pPr>
      <w:r/>
      <w:bookmarkStart w:id="0" w:name="_Toc12711"/>
      <w:r/>
      <w:bookmarkStart w:id="1" w:name="_Toc22589"/>
      <w:r>
        <w:rPr>
          <w:rFonts w:hint="eastAsia" w:ascii="黑体" w:hAnsi="黑体" w:eastAsia="黑体"/>
          <w:b w:val="0"/>
        </w:rPr>
        <w:t xml:space="preserve">第一章  投标邀请</w:t>
      </w:r>
      <w:bookmarkEnd w:id="0"/>
      <w:r/>
      <w:bookmarkEnd w:id="1"/>
      <w:r/>
      <w:r/>
    </w:p>
    <w:p>
      <w:pPr>
        <w:ind w:firstLine="480"/>
        <w:jc w:val="left"/>
        <w:spacing w:line="500" w:lineRule="exact"/>
        <w:rPr>
          <w:sz w:val="24"/>
          <w:szCs w:val="24"/>
        </w:rPr>
      </w:pPr>
      <w:r>
        <w:rPr>
          <w:rFonts w:hint="eastAsia"/>
          <w:sz w:val="24"/>
          <w:szCs w:val="24"/>
        </w:rPr>
        <w:t xml:space="preserve">受连云港市连云区林业和海洋局的委托，</w:t>
      </w:r>
      <w:r>
        <w:rPr>
          <w:rFonts w:hint="eastAsia"/>
          <w:sz w:val="24"/>
          <w:szCs w:val="24"/>
          <w:lang w:eastAsia="zh-CN"/>
        </w:rPr>
        <w:t xml:space="preserve">江苏坤廷工程咨询管理有限公司</w:t>
      </w:r>
      <w:r>
        <w:rPr>
          <w:rFonts w:hint="eastAsia"/>
          <w:sz w:val="24"/>
          <w:szCs w:val="24"/>
        </w:rPr>
        <w:t xml:space="preserve">就连云区森林防灭火智能体预警系统项目</w:t>
      </w:r>
      <w:r>
        <w:rPr>
          <w:rFonts w:hint="eastAsia"/>
          <w:sz w:val="24"/>
          <w:szCs w:val="24"/>
          <w:highlight w:val="none"/>
        </w:rPr>
        <w:t xml:space="preserve">（项目编号JSZC-320703-KTKT-G2026-0008</w:t>
      </w:r>
      <w:r>
        <w:rPr>
          <w:rFonts w:hint="eastAsia"/>
          <w:sz w:val="24"/>
          <w:szCs w:val="24"/>
        </w:rPr>
        <w:t xml:space="preserve">）进行公开招标采购，欢迎符合条件的</w:t>
      </w:r>
      <w:r>
        <w:rPr>
          <w:rFonts w:hint="eastAsia"/>
          <w:sz w:val="24"/>
          <w:szCs w:val="24"/>
          <w:lang w:eastAsia="zh-CN"/>
        </w:rPr>
        <w:t xml:space="preserve">投标人</w:t>
      </w:r>
      <w:r>
        <w:rPr>
          <w:rFonts w:hint="eastAsia"/>
          <w:sz w:val="24"/>
          <w:szCs w:val="24"/>
        </w:rPr>
        <w:t xml:space="preserve">投标。</w:t>
      </w:r>
      <w:r/>
    </w:p>
    <w:tbl>
      <w:tblPr>
        <w:tblStyle w:val="6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连云区森林防灭火智能体预警系统招标项目的潜在投标人应在江苏政府采购网自行免费下载招标文件，并于</w:t>
            </w:r>
            <w:r>
              <w:rPr>
                <w:rFonts w:hint="eastAsia" w:ascii="宋体" w:hAnsi="宋体"/>
                <w:color w:val="000000"/>
                <w:sz w:val="24"/>
                <w:highlight w:val="none"/>
                <w:u w:val="single"/>
              </w:rPr>
              <w:t xml:space="preserve">202</w:t>
            </w:r>
            <w:r>
              <w:rPr>
                <w:rFonts w:hint="eastAsia" w:ascii="宋体" w:hAnsi="宋体"/>
                <w:color w:val="000000"/>
                <w:sz w:val="24"/>
                <w:highlight w:val="none"/>
                <w:u w:val="single"/>
                <w:lang w:val="en-US" w:eastAsia="zh-CN"/>
              </w:rPr>
              <w:t xml:space="preserve">6</w:t>
            </w:r>
            <w:r>
              <w:rPr>
                <w:rFonts w:hint="eastAsia" w:ascii="宋体" w:hAnsi="宋体"/>
                <w:color w:val="000000"/>
                <w:sz w:val="24"/>
                <w:highlight w:val="none"/>
                <w:u w:val="single"/>
              </w:rPr>
              <w:t xml:space="preserve">年</w:t>
            </w:r>
            <w:r>
              <w:rPr>
                <w:rFonts w:hint="eastAsia" w:ascii="宋体" w:hAnsi="宋体"/>
                <w:color w:val="000000"/>
                <w:sz w:val="24"/>
                <w:highlight w:val="none"/>
                <w:u w:val="single"/>
                <w:lang w:val="en-US" w:eastAsia="zh-CN"/>
              </w:rPr>
              <w:t xml:space="preserve">10</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8</w:t>
            </w:r>
            <w:r>
              <w:rPr>
                <w:rFonts w:hint="eastAsia" w:ascii="宋体" w:hAnsi="宋体"/>
                <w:color w:val="000000"/>
                <w:sz w:val="24"/>
                <w:highlight w:val="none"/>
                <w:u w:val="single"/>
              </w:rPr>
              <w:t xml:space="preserve">日9点</w:t>
            </w:r>
            <w:r>
              <w:rPr>
                <w:rFonts w:hint="eastAsia" w:ascii="宋体" w:hAnsi="宋体"/>
                <w:color w:val="000000"/>
                <w:sz w:val="24"/>
                <w:highlight w:val="none"/>
                <w:u w:val="single"/>
                <w:lang w:val="en-US" w:eastAsia="zh-CN"/>
              </w:rPr>
              <w:t xml:space="preserve">0</w:t>
            </w:r>
            <w:r>
              <w:rPr>
                <w:rFonts w:hint="eastAsia" w:ascii="宋体" w:hAnsi="宋体"/>
                <w:color w:val="000000"/>
                <w:sz w:val="24"/>
                <w:highlight w:val="none"/>
                <w:u w:val="single"/>
              </w:rPr>
              <w:t xml:space="preserve">0分00秒</w:t>
            </w:r>
            <w:r>
              <w:rPr>
                <w:rFonts w:hint="eastAsia"/>
                <w:sz w:val="24"/>
                <w:szCs w:val="24"/>
              </w:rPr>
              <w:t xml:space="preserve">（北京时间）前递交（上传）投标文件。</w:t>
            </w:r>
            <w:r/>
          </w:p>
        </w:tc>
      </w:tr>
    </w:tbl>
    <w:p>
      <w:pPr>
        <w:pStyle w:val="644"/>
        <w:spacing w:before="0" w:after="0" w:line="360" w:lineRule="auto"/>
        <w:rPr>
          <w:rFonts w:ascii="黑体" w:hAnsi="黑体" w:eastAsia="黑体"/>
          <w:b w:val="0"/>
        </w:rPr>
        <w:outlineLvl w:val="1"/>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w:t>
      </w:r>
      <w:r>
        <w:rPr>
          <w:rFonts w:hint="eastAsia"/>
          <w:sz w:val="24"/>
          <w:szCs w:val="24"/>
          <w:highlight w:val="none"/>
        </w:rPr>
        <w:t xml:space="preserve">JSZC-320703-KTKT-G2026-0008</w:t>
      </w:r>
      <w:r/>
    </w:p>
    <w:p>
      <w:pPr>
        <w:ind w:firstLine="480"/>
        <w:jc w:val="left"/>
        <w:spacing w:line="500" w:lineRule="exact"/>
        <w:rPr>
          <w:sz w:val="24"/>
          <w:szCs w:val="24"/>
          <w:highlight w:val="none"/>
        </w:rPr>
      </w:pPr>
      <w:r>
        <w:rPr>
          <w:rFonts w:hint="eastAsia"/>
          <w:sz w:val="24"/>
          <w:szCs w:val="24"/>
        </w:rPr>
        <w:t xml:space="preserve">项目名称：</w:t>
      </w:r>
      <w:r>
        <w:rPr>
          <w:rFonts w:hint="eastAsia" w:ascii="宋体" w:hAnsi="宋体" w:eastAsia="宋体" w:cs="宋体"/>
          <w:spacing w:val="0"/>
          <w:sz w:val="24"/>
          <w:szCs w:val="24"/>
          <w:highlight w:val="none"/>
        </w:rPr>
        <w:t xml:space="preserve">连云区森林防灭火智能体预警系统</w:t>
      </w:r>
      <w:r/>
    </w:p>
    <w:p>
      <w:pPr>
        <w:ind w:firstLine="480"/>
        <w:jc w:val="left"/>
        <w:spacing w:line="500" w:lineRule="exact"/>
        <w:rPr>
          <w:rFonts w:hint="eastAsia" w:ascii="宋体" w:hAnsi="宋体"/>
          <w:color w:val="000000"/>
          <w:sz w:val="24"/>
          <w:highlight w:val="none"/>
        </w:rPr>
      </w:pPr>
      <w:r>
        <w:rPr>
          <w:rFonts w:hint="eastAsia"/>
          <w:sz w:val="24"/>
          <w:szCs w:val="24"/>
          <w:highlight w:val="none"/>
        </w:rPr>
        <w:t xml:space="preserve">最高限价：</w:t>
      </w:r>
      <w:r>
        <w:rPr>
          <w:rFonts w:hint="eastAsia"/>
          <w:sz w:val="24"/>
          <w:szCs w:val="24"/>
          <w:highlight w:val="none"/>
          <w:lang w:val="en-US" w:eastAsia="zh-CN"/>
        </w:rPr>
        <w:t xml:space="preserve">496万元，</w:t>
      </w:r>
      <w:r>
        <w:rPr>
          <w:rFonts w:hint="eastAsia" w:ascii="宋体" w:hAnsi="宋体"/>
          <w:color w:val="000000"/>
          <w:sz w:val="24"/>
          <w:highlight w:val="none"/>
        </w:rPr>
        <w:t xml:space="preserve">投标报价超过预算金额的投标无效。</w:t>
      </w:r>
      <w:r/>
    </w:p>
    <w:p>
      <w:pPr>
        <w:ind w:firstLine="480"/>
        <w:jc w:val="left"/>
        <w:spacing w:line="500" w:lineRule="exact"/>
        <w:rPr>
          <w:sz w:val="24"/>
          <w:szCs w:val="24"/>
          <w:highlight w:val="none"/>
        </w:rPr>
      </w:pPr>
      <w:r>
        <w:rPr>
          <w:rFonts w:hint="eastAsia"/>
          <w:sz w:val="24"/>
          <w:szCs w:val="24"/>
          <w:highlight w:val="none"/>
        </w:rPr>
        <w:t xml:space="preserve">采购方式：公开招标</w:t>
      </w:r>
      <w:r/>
    </w:p>
    <w:p>
      <w:pPr>
        <w:ind w:firstLine="480"/>
        <w:jc w:val="left"/>
        <w:spacing w:line="500" w:lineRule="exact"/>
        <w:rPr>
          <w:sz w:val="24"/>
          <w:szCs w:val="24"/>
        </w:rPr>
      </w:pPr>
      <w:r>
        <w:rPr>
          <w:rFonts w:hint="eastAsia"/>
          <w:sz w:val="24"/>
          <w:szCs w:val="24"/>
        </w:rPr>
        <w:t xml:space="preserve">采购需求：连云区森林防灭火智能体预警系统招标</w:t>
      </w:r>
      <w:r>
        <w:rPr>
          <w:rFonts w:hint="eastAsia" w:ascii="宋体" w:hAnsi="宋体"/>
          <w:sz w:val="24"/>
          <w:highlight w:val="none"/>
        </w:rPr>
        <w:t xml:space="preserve">。具体要求详见第四章项目需求</w:t>
      </w:r>
      <w:r/>
    </w:p>
    <w:p>
      <w:pPr>
        <w:ind w:firstLine="480"/>
        <w:jc w:val="left"/>
        <w:spacing w:line="500" w:lineRule="exact"/>
        <w:rPr>
          <w:rFonts w:hint="eastAsia"/>
          <w:b w:val="0"/>
          <w:bCs/>
          <w:sz w:val="24"/>
          <w:szCs w:val="24"/>
        </w:rPr>
      </w:pPr>
      <w:r>
        <w:rPr>
          <w:rFonts w:hint="eastAsia"/>
          <w:b w:val="0"/>
          <w:bCs/>
          <w:sz w:val="24"/>
          <w:szCs w:val="24"/>
        </w:rPr>
        <w:t xml:space="preserve">对本项目资格要求、采购需求、评标方法与评标标准等部分的询问、质疑请与采购人联系，由采购人负责答复。</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合同履行期限（服务期限）：</w:t>
      </w:r>
      <w:r>
        <w:rPr>
          <w:rFonts w:hint="eastAsia" w:ascii="宋体" w:hAnsi="宋体"/>
          <w:b/>
          <w:sz w:val="24"/>
          <w:highlight w:val="none"/>
          <w:lang w:val="en-US" w:eastAsia="zh-CN"/>
        </w:rPr>
        <w:t xml:space="preserve">自验收合格之日起3</w:t>
      </w:r>
      <w:r>
        <w:rPr>
          <w:rFonts w:hint="eastAsia" w:ascii="宋体" w:hAnsi="宋体"/>
          <w:b/>
          <w:sz w:val="24"/>
          <w:highlight w:val="none"/>
        </w:rPr>
        <w:t xml:space="preserve">年</w:t>
      </w:r>
      <w:r/>
    </w:p>
    <w:p>
      <w:pPr>
        <w:ind w:firstLine="482"/>
        <w:spacing w:line="360" w:lineRule="auto"/>
        <w:rPr>
          <w:rFonts w:hint="eastAsia" w:ascii="宋体" w:hAnsi="宋体"/>
          <w:b/>
          <w:bCs/>
          <w:sz w:val="24"/>
          <w:highlight w:val="none"/>
        </w:rPr>
      </w:pPr>
      <w:r>
        <w:rPr>
          <w:rFonts w:hint="eastAsia"/>
          <w:b/>
          <w:bCs/>
          <w:color w:val="000000"/>
          <w:sz w:val="24"/>
          <w:szCs w:val="24"/>
          <w:highlight w:val="none"/>
        </w:rPr>
        <w:t xml:space="preserve">交</w:t>
      </w:r>
      <w:r>
        <w:rPr>
          <w:rFonts w:hint="eastAsia"/>
          <w:b/>
          <w:bCs/>
          <w:color w:val="000000"/>
          <w:sz w:val="24"/>
          <w:szCs w:val="24"/>
          <w:highlight w:val="none"/>
          <w:lang w:val="en-US" w:eastAsia="zh-CN"/>
        </w:rPr>
        <w:t xml:space="preserve">付</w:t>
      </w:r>
      <w:r>
        <w:rPr>
          <w:rFonts w:hint="eastAsia"/>
          <w:b/>
          <w:bCs/>
          <w:color w:val="000000"/>
          <w:sz w:val="24"/>
          <w:szCs w:val="24"/>
          <w:highlight w:val="none"/>
        </w:rPr>
        <w:t xml:space="preserve">期：</w:t>
      </w:r>
      <w:r>
        <w:rPr>
          <w:rFonts w:hint="eastAsia" w:eastAsia="宋体"/>
          <w:b/>
          <w:bCs/>
          <w:color w:val="000000"/>
          <w:sz w:val="24"/>
          <w:szCs w:val="24"/>
          <w:highlight w:val="none"/>
        </w:rPr>
        <w:t xml:space="preserve">合同签订之日起</w:t>
      </w:r>
      <w:r>
        <w:rPr>
          <w:rFonts w:hint="eastAsia" w:eastAsia="宋体"/>
          <w:b/>
          <w:bCs/>
          <w:color w:val="000000"/>
          <w:sz w:val="24"/>
          <w:szCs w:val="24"/>
          <w:highlight w:val="none"/>
          <w:lang w:val="en-US" w:eastAsia="zh-CN"/>
        </w:rPr>
        <w:t xml:space="preserve">120</w:t>
      </w:r>
      <w:r>
        <w:rPr>
          <w:rFonts w:hint="eastAsia" w:eastAsia="宋体"/>
          <w:b/>
          <w:bCs/>
          <w:color w:val="000000"/>
          <w:sz w:val="24"/>
          <w:szCs w:val="24"/>
          <w:highlight w:val="none"/>
        </w:rPr>
        <w:t xml:space="preserve">日内完成安装、调试</w:t>
      </w:r>
      <w:r>
        <w:rPr>
          <w:rFonts w:hint="eastAsia"/>
          <w:b/>
          <w:bCs/>
          <w:color w:val="000000"/>
          <w:sz w:val="24"/>
          <w:szCs w:val="24"/>
          <w:highlight w:val="none"/>
          <w:lang w:val="en-US" w:eastAsia="zh-CN"/>
        </w:rPr>
        <w:t xml:space="preserve">和实现与连云区森林防火监测预警平台的互联互通</w:t>
      </w:r>
      <w:r>
        <w:rPr>
          <w:rFonts w:hint="eastAsia" w:ascii="宋体" w:hAnsi="宋体"/>
          <w:b/>
          <w:bCs/>
          <w:sz w:val="24"/>
          <w:highlight w:val="none"/>
        </w:rPr>
        <w:t xml:space="preserve">。</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644"/>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rFonts w:hint="eastAsia"/>
          <w:sz w:val="24"/>
          <w:szCs w:val="24"/>
          <w:highlight w:val="none"/>
        </w:rPr>
      </w:pPr>
      <w:r>
        <w:rPr>
          <w:rFonts w:hint="eastAsia" w:ascii="Calibri" w:hAnsi="Calibri" w:eastAsia="宋体" w:cs="Times New Roman"/>
          <w:sz w:val="24"/>
          <w:szCs w:val="24"/>
        </w:rPr>
        <w:t xml:space="preserve">7.资格审查现场查询信用中国、中国政府采购网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w:t>
      </w:r>
      <w:r>
        <w:rPr>
          <w:rFonts w:hint="eastAsia"/>
          <w:sz w:val="24"/>
          <w:szCs w:val="24"/>
          <w:highlight w:val="none"/>
        </w:rPr>
        <w:t xml:space="preserve">华人民共和国政府采购法》第二十二条规定情形</w:t>
      </w:r>
      <w:r>
        <w:rPr>
          <w:rFonts w:hint="eastAsia" w:ascii="Calibri" w:hAnsi="Calibri" w:eastAsia="宋体" w:cs="Times New Roman"/>
          <w:sz w:val="24"/>
          <w:szCs w:val="24"/>
          <w:highlight w:val="none"/>
        </w:rPr>
        <w:t xml:space="preserve">的，拒绝其参与政府采购活动。</w:t>
      </w:r>
      <w:r>
        <w:rPr>
          <w:rFonts w:hint="eastAsia"/>
          <w:sz w:val="24"/>
          <w:szCs w:val="24"/>
          <w:highlight w:val="none"/>
        </w:rPr>
        <w:t xml:space="preserve">（投标文件中无需提供证明材料）</w:t>
      </w:r>
      <w:r/>
    </w:p>
    <w:p>
      <w:pPr>
        <w:ind w:firstLine="480"/>
        <w:jc w:val="left"/>
        <w:spacing w:line="500" w:lineRule="exact"/>
        <w:rPr>
          <w:rFonts w:hint="eastAsia"/>
          <w:sz w:val="24"/>
          <w:szCs w:val="24"/>
          <w:highlight w:val="none"/>
        </w:rPr>
      </w:pPr>
      <w:r>
        <w:rPr>
          <w:rFonts w:hint="eastAsia" w:ascii="Calibri" w:hAnsi="Calibri" w:eastAsia="宋体" w:cs="Times New Roman"/>
          <w:sz w:val="24"/>
          <w:szCs w:val="24"/>
          <w:highlight w:val="none"/>
          <w:lang w:val="en-US" w:eastAsia="zh-CN"/>
        </w:rPr>
        <w:t xml:space="preserve">8</w:t>
      </w:r>
      <w:r>
        <w:rPr>
          <w:rFonts w:hint="eastAsia" w:ascii="Calibri" w:hAnsi="Calibri" w:eastAsia="宋体" w:cs="Times New Roman"/>
          <w:sz w:val="24"/>
          <w:szCs w:val="24"/>
          <w:highlight w:val="none"/>
        </w:rPr>
        <w:t xml:space="preserve">.</w:t>
      </w:r>
      <w:r>
        <w:rPr>
          <w:rFonts w:hint="eastAsia" w:ascii="宋体" w:hAnsi="宋体"/>
          <w:sz w:val="24"/>
          <w:highlight w:val="none"/>
        </w:rPr>
        <w:t xml:space="preserve">本项目不接受进口产品（进口产品是指通过中国海关报关验放进入中国境内且产自关境外的产品）投标，中标后不允许分包或转包。</w:t>
      </w:r>
      <w:r/>
    </w:p>
    <w:p>
      <w:pPr>
        <w:ind w:firstLine="480"/>
        <w:jc w:val="left"/>
        <w:spacing w:line="500" w:lineRule="exact"/>
        <w:rPr>
          <w:rFonts w:hint="eastAsia" w:eastAsiaTheme="minorEastAsia"/>
          <w:sz w:val="24"/>
          <w:szCs w:val="24"/>
          <w:highlight w:val="none"/>
          <w:lang w:eastAsia="zh-CN"/>
        </w:rPr>
      </w:pPr>
      <w:r>
        <w:rPr>
          <w:rFonts w:hint="eastAsia"/>
          <w:sz w:val="24"/>
          <w:szCs w:val="24"/>
          <w:highlight w:val="none"/>
        </w:rPr>
        <w:t xml:space="preserve">（二）落实政府采购政策需满足的资格要求：</w:t>
      </w:r>
      <w:r>
        <w:rPr>
          <w:rFonts w:hint="eastAsia"/>
          <w:sz w:val="24"/>
          <w:szCs w:val="24"/>
        </w:rPr>
        <w:t xml:space="preserve">本项目非专门面向中型企业、小型企业、微型企业、残疾人福利性单位、监狱企业采购。</w:t>
      </w:r>
      <w:r/>
    </w:p>
    <w:p>
      <w:pPr>
        <w:ind w:firstLine="480"/>
        <w:jc w:val="left"/>
        <w:spacing w:line="500" w:lineRule="exact"/>
        <w:rPr>
          <w:rFonts w:hint="eastAsia" w:eastAsiaTheme="minorEastAsia"/>
          <w:sz w:val="24"/>
          <w:szCs w:val="24"/>
          <w:lang w:val="en-US" w:eastAsia="zh-CN"/>
        </w:rPr>
      </w:pPr>
      <w:r>
        <w:rPr>
          <w:rFonts w:hint="eastAsia"/>
          <w:sz w:val="24"/>
          <w:szCs w:val="24"/>
        </w:rPr>
        <w:t xml:space="preserve">（三）本项目的特定资格要求：</w:t>
      </w:r>
      <w:r>
        <w:rPr>
          <w:rFonts w:hint="eastAsia"/>
          <w:sz w:val="24"/>
          <w:szCs w:val="24"/>
          <w:lang w:val="en-US" w:eastAsia="zh-CN"/>
        </w:rPr>
        <w:t xml:space="preserve">无。</w:t>
      </w:r>
      <w:r/>
    </w:p>
    <w:p>
      <w:pPr>
        <w:pStyle w:val="644"/>
        <w:spacing w:before="0" w:after="0" w:line="360" w:lineRule="auto"/>
        <w:rPr>
          <w:rFonts w:ascii="黑体" w:hAnsi="黑体" w:eastAsia="黑体"/>
          <w:b w:val="0"/>
        </w:rPr>
      </w:pPr>
      <w:r>
        <w:rPr>
          <w:rFonts w:hint="eastAsia" w:ascii="黑体" w:hAnsi="黑体" w:eastAsia="黑体"/>
          <w:b w:val="0"/>
        </w:rPr>
        <w:t xml:space="preserve">三、获取招标文件</w:t>
      </w:r>
      <w:r/>
    </w:p>
    <w:p>
      <w:pPr>
        <w:pStyle w:val="644"/>
        <w:ind w:firstLine="480"/>
        <w:keepLines/>
        <w:keepNext/>
        <w:pageBreakBefore w:val="0"/>
        <w:spacing w:before="0" w:after="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时间:自招标文件公告发布之日起5个工作日</w:t>
      </w:r>
      <w:r/>
    </w:p>
    <w:p>
      <w:pPr>
        <w:pStyle w:val="644"/>
        <w:ind w:firstLine="480"/>
        <w:keepLines/>
        <w:keepNext/>
        <w:pageBreakBefore w:val="0"/>
        <w:spacing w:before="0" w:after="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地点:“江苏政府采购‘苏采云’系统”自行免费下载</w:t>
      </w:r>
      <w:r/>
    </w:p>
    <w:p>
      <w:pPr>
        <w:pStyle w:val="644"/>
        <w:ind w:firstLine="480"/>
        <w:keepLines/>
        <w:keepNext/>
        <w:pageBreakBefore w:val="0"/>
        <w:spacing w:before="0" w:after="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方式:登录江苏政府采购网，点击"苏采云"使用CA锁登录系统(新用户应进行"平台用户注在"可参与项目"中选择"我要参与"，参与成功后到"已参与</w:t>
      </w:r>
      <w:r/>
    </w:p>
    <w:p>
      <w:pPr>
        <w:pStyle w:val="644"/>
        <w:ind w:firstLine="480"/>
        <w:keepLines/>
        <w:keepNext/>
        <w:pageBreakBefore w:val="0"/>
        <w:spacing w:before="0" w:after="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售价:0.00元</w:t>
      </w:r>
      <w:r/>
    </w:p>
    <w:p>
      <w:pPr>
        <w:pStyle w:val="644"/>
        <w:keepLines/>
        <w:keepNext/>
        <w:pageBreakBefore w:val="0"/>
        <w:spacing w:before="0" w:after="0" w:line="360" w:lineRule="auto"/>
        <w:widowControl w:val="off"/>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highlight w:val="none"/>
        </w:rPr>
      </w:pPr>
      <w:r>
        <w:rPr>
          <w:rFonts w:hint="eastAsia"/>
          <w:sz w:val="24"/>
          <w:szCs w:val="24"/>
        </w:rPr>
        <w:t xml:space="preserve">提交投标文件截止时</w:t>
      </w:r>
      <w:r>
        <w:rPr>
          <w:rFonts w:hint="eastAsia"/>
          <w:sz w:val="24"/>
          <w:szCs w:val="24"/>
          <w:highlight w:val="none"/>
        </w:rPr>
        <w:t xml:space="preserve">间：</w:t>
      </w:r>
      <w:r>
        <w:rPr>
          <w:rFonts w:hint="eastAsia" w:ascii="宋体" w:hAnsi="宋体"/>
          <w:color w:val="000000"/>
          <w:sz w:val="24"/>
          <w:highlight w:val="none"/>
          <w:u w:val="single"/>
        </w:rPr>
        <w:t xml:space="preserve">202</w:t>
      </w:r>
      <w:r>
        <w:rPr>
          <w:rFonts w:hint="eastAsia" w:ascii="宋体" w:hAnsi="宋体"/>
          <w:color w:val="000000"/>
          <w:sz w:val="24"/>
          <w:highlight w:val="none"/>
          <w:u w:val="single"/>
          <w:lang w:val="en-US" w:eastAsia="zh-CN"/>
        </w:rPr>
        <w:t xml:space="preserve">6</w:t>
      </w:r>
      <w:r>
        <w:rPr>
          <w:rFonts w:hint="eastAsia" w:ascii="宋体" w:hAnsi="宋体"/>
          <w:color w:val="000000"/>
          <w:sz w:val="24"/>
          <w:highlight w:val="none"/>
          <w:u w:val="single"/>
        </w:rPr>
        <w:t xml:space="preserve">年</w:t>
      </w:r>
      <w:r>
        <w:rPr>
          <w:rFonts w:hint="eastAsia" w:ascii="宋体" w:hAnsi="宋体"/>
          <w:color w:val="000000"/>
          <w:sz w:val="24"/>
          <w:highlight w:val="none"/>
          <w:u w:val="single"/>
          <w:lang w:val="en-US" w:eastAsia="zh-CN"/>
        </w:rPr>
        <w:t xml:space="preserve">10</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8</w:t>
      </w:r>
      <w:r>
        <w:rPr>
          <w:rFonts w:hint="eastAsia" w:ascii="宋体" w:hAnsi="宋体"/>
          <w:color w:val="000000"/>
          <w:sz w:val="24"/>
          <w:highlight w:val="none"/>
          <w:u w:val="single"/>
        </w:rPr>
        <w:t xml:space="preserve">日9点</w:t>
      </w:r>
      <w:r>
        <w:rPr>
          <w:rFonts w:hint="eastAsia" w:ascii="宋体" w:hAnsi="宋体"/>
          <w:color w:val="000000"/>
          <w:sz w:val="24"/>
          <w:highlight w:val="none"/>
          <w:u w:val="single"/>
          <w:lang w:val="en-US" w:eastAsia="zh-CN"/>
        </w:rPr>
        <w:t xml:space="preserve">0</w:t>
      </w:r>
      <w:r>
        <w:rPr>
          <w:rFonts w:hint="eastAsia" w:ascii="宋体" w:hAnsi="宋体"/>
          <w:color w:val="000000"/>
          <w:sz w:val="24"/>
          <w:highlight w:val="none"/>
          <w:u w:val="single"/>
        </w:rPr>
        <w:t xml:space="preserve">0分00秒</w:t>
      </w:r>
      <w:r>
        <w:rPr>
          <w:rFonts w:hint="eastAsia"/>
          <w:sz w:val="24"/>
          <w:szCs w:val="24"/>
          <w:highlight w:val="none"/>
        </w:rPr>
        <w:t xml:space="preserve">（北京时间）</w:t>
      </w:r>
      <w:r/>
    </w:p>
    <w:p>
      <w:pPr>
        <w:ind w:firstLine="480"/>
        <w:jc w:val="left"/>
        <w:spacing w:line="500" w:lineRule="exact"/>
        <w:rPr>
          <w:sz w:val="24"/>
          <w:szCs w:val="24"/>
        </w:rPr>
      </w:pPr>
      <w:r>
        <w:rPr>
          <w:rFonts w:hint="eastAsia"/>
          <w:sz w:val="24"/>
          <w:szCs w:val="24"/>
          <w:highlight w:val="none"/>
        </w:rPr>
        <w:t xml:space="preserve">开标时间：</w:t>
      </w:r>
      <w:r>
        <w:rPr>
          <w:rFonts w:hint="eastAsia" w:ascii="宋体" w:hAnsi="宋体"/>
          <w:color w:val="000000"/>
          <w:sz w:val="24"/>
          <w:highlight w:val="none"/>
          <w:u w:val="single"/>
        </w:rPr>
        <w:t xml:space="preserve">202</w:t>
      </w:r>
      <w:r>
        <w:rPr>
          <w:rFonts w:hint="eastAsia" w:ascii="宋体" w:hAnsi="宋体"/>
          <w:color w:val="000000"/>
          <w:sz w:val="24"/>
          <w:highlight w:val="none"/>
          <w:u w:val="single"/>
          <w:lang w:val="en-US" w:eastAsia="zh-CN"/>
        </w:rPr>
        <w:t xml:space="preserve">6</w:t>
      </w:r>
      <w:r>
        <w:rPr>
          <w:rFonts w:hint="eastAsia" w:ascii="宋体" w:hAnsi="宋体"/>
          <w:color w:val="000000"/>
          <w:sz w:val="24"/>
          <w:highlight w:val="none"/>
          <w:u w:val="single"/>
        </w:rPr>
        <w:t xml:space="preserve">年</w:t>
      </w:r>
      <w:r>
        <w:rPr>
          <w:rFonts w:hint="eastAsia" w:ascii="宋体" w:hAnsi="宋体"/>
          <w:color w:val="000000"/>
          <w:sz w:val="24"/>
          <w:highlight w:val="none"/>
          <w:u w:val="single"/>
          <w:lang w:val="en-US" w:eastAsia="zh-CN"/>
        </w:rPr>
        <w:t xml:space="preserve">10</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8</w:t>
      </w:r>
      <w:r>
        <w:rPr>
          <w:rFonts w:hint="eastAsia" w:ascii="宋体" w:hAnsi="宋体"/>
          <w:color w:val="000000"/>
          <w:sz w:val="24"/>
          <w:highlight w:val="none"/>
          <w:u w:val="single"/>
        </w:rPr>
        <w:t xml:space="preserve">日9点</w:t>
      </w:r>
      <w:r>
        <w:rPr>
          <w:rFonts w:hint="eastAsia" w:ascii="宋体" w:hAnsi="宋体"/>
          <w:color w:val="000000"/>
          <w:sz w:val="24"/>
          <w:highlight w:val="none"/>
          <w:u w:val="single"/>
          <w:lang w:val="en-US" w:eastAsia="zh-CN"/>
        </w:rPr>
        <w:t xml:space="preserve">0</w:t>
      </w:r>
      <w:r>
        <w:rPr>
          <w:rFonts w:hint="eastAsia" w:ascii="宋体" w:hAnsi="宋体"/>
          <w:color w:val="000000"/>
          <w:sz w:val="24"/>
          <w:highlight w:val="none"/>
          <w:u w:val="single"/>
        </w:rPr>
        <w:t xml:space="preserve">0分00秒</w:t>
      </w:r>
      <w:r>
        <w:rPr>
          <w:rFonts w:hint="eastAsia"/>
          <w:sz w:val="24"/>
          <w:szCs w:val="24"/>
          <w:highlight w:val="none"/>
        </w:rPr>
        <w:t xml:space="preserve">（北京时</w:t>
      </w:r>
      <w:r>
        <w:rPr>
          <w:rFonts w:hint="eastAsia"/>
          <w:sz w:val="24"/>
          <w:szCs w:val="24"/>
        </w:rPr>
        <w:t xml:space="preserve">间）</w:t>
      </w:r>
      <w:r/>
    </w:p>
    <w:p>
      <w:pPr>
        <w:ind w:firstLine="480"/>
        <w:jc w:val="left"/>
        <w:spacing w:line="500" w:lineRule="exact"/>
      </w:pPr>
      <w:r>
        <w:rPr>
          <w:rFonts w:hint="eastAsia"/>
          <w:sz w:val="24"/>
          <w:szCs w:val="24"/>
        </w:rPr>
        <w:t xml:space="preserve">开标地点：“苏采云”政府采购交易系统网上开标大厅</w:t>
      </w:r>
      <w:r/>
    </w:p>
    <w:p>
      <w:pPr>
        <w:pStyle w:val="644"/>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644"/>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64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名    称：</w:t>
      </w:r>
      <w:r>
        <w:rPr>
          <w:rFonts w:hint="eastAsia" w:ascii="宋体" w:hAnsi="宋体" w:eastAsia="宋体" w:cs="宋体"/>
          <w:sz w:val="24"/>
          <w:highlight w:val="none"/>
          <w:lang w:eastAsia="zh-CN"/>
        </w:rPr>
        <w:t xml:space="preserve">连云港市连云区林业和海洋局</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    址：</w:t>
      </w:r>
      <w:r>
        <w:rPr>
          <w:rFonts w:hint="eastAsia" w:ascii="宋体" w:hAnsi="宋体" w:eastAsia="宋体" w:cs="宋体"/>
          <w:sz w:val="24"/>
          <w:highlight w:val="none"/>
          <w:lang w:eastAsia="zh-CN"/>
        </w:rPr>
        <w:t xml:space="preserve">连云区金海路1号</w:t>
      </w:r>
      <w:r/>
    </w:p>
    <w:p>
      <w:pPr>
        <w:ind w:firstLine="480"/>
        <w:spacing w:line="360" w:lineRule="auto"/>
        <w:rPr>
          <w:rFonts w:hint="eastAsia" w:ascii="宋体" w:hAnsi="宋体" w:eastAsia="宋体" w:cs="宋体"/>
          <w:sz w:val="24"/>
          <w:highlight w:val="yellow"/>
          <w:lang w:val="en-US" w:eastAsia="zh-CN"/>
        </w:rPr>
      </w:pPr>
      <w:r>
        <w:rPr>
          <w:rFonts w:hint="eastAsia" w:ascii="宋体" w:hAnsi="宋体" w:eastAsia="宋体" w:cs="宋体"/>
          <w:sz w:val="24"/>
          <w:highlight w:val="none"/>
        </w:rPr>
        <w:t xml:space="preserve">联系方式：0518</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80701565</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江苏坤廷工程咨询管理有限公司</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址：中国（江苏）自由贸易试验区连云港片区经济技术开发区综合保税区综合楼401-277</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 系 人：汪工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联系电话：15950734780</w:t>
      </w:r>
      <w:r/>
    </w:p>
    <w:p>
      <w:pPr>
        <w:ind w:firstLine="480"/>
        <w:jc w:val="left"/>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邮箱地址：1269077546@qq.com</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highlight w:val="none"/>
          <w:lang w:val="en-US" w:eastAsia="zh-CN"/>
        </w:rPr>
        <w:t xml:space="preserve">胡栋良</w:t>
      </w:r>
      <w:r/>
    </w:p>
    <w:p>
      <w:pPr>
        <w:ind w:firstLine="480"/>
        <w:jc w:val="left"/>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电      话：</w:t>
      </w:r>
      <w:r>
        <w:rPr>
          <w:rFonts w:hint="eastAsia" w:ascii="宋体" w:hAnsi="宋体" w:eastAsia="宋体" w:cs="宋体"/>
          <w:sz w:val="24"/>
          <w:szCs w:val="24"/>
          <w:lang w:val="en-US" w:eastAsia="zh-CN"/>
        </w:rPr>
        <w:t xml:space="preserve">18066111116</w:t>
      </w:r>
      <w:r/>
    </w:p>
    <w:p>
      <w:pPr>
        <w:jc w:val="left"/>
        <w:widowControl/>
        <w:rPr>
          <w:rFonts w:ascii="黑体" w:hAnsi="黑体" w:eastAsia="黑体"/>
          <w:bCs/>
          <w:sz w:val="44"/>
          <w:szCs w:val="44"/>
        </w:rPr>
      </w:pPr>
      <w:r>
        <w:rPr>
          <w:rFonts w:ascii="黑体" w:hAnsi="黑体" w:eastAsia="黑体"/>
          <w:b/>
        </w:rPr>
        <w:br w:type="page" w:clear="all"/>
      </w:r>
      <w:r/>
    </w:p>
    <w:p>
      <w:pPr>
        <w:pStyle w:val="643"/>
        <w:jc w:val="center"/>
        <w:spacing w:before="156" w:after="156" w:line="360" w:lineRule="auto"/>
        <w:rPr>
          <w:rFonts w:ascii="黑体" w:hAnsi="黑体" w:eastAsia="黑体"/>
          <w:b w:val="0"/>
        </w:rPr>
      </w:pPr>
      <w:r/>
      <w:bookmarkStart w:id="2" w:name="_Toc27290"/>
      <w:r/>
      <w:bookmarkStart w:id="3" w:name="_Toc4827"/>
      <w:r>
        <w:rPr>
          <w:rFonts w:hint="eastAsia" w:ascii="黑体" w:hAnsi="黑体" w:eastAsia="黑体"/>
          <w:b w:val="0"/>
        </w:rPr>
        <w:t xml:space="preserve">第二章  投标人须知</w:t>
      </w:r>
      <w:bookmarkEnd w:id="2"/>
      <w:r/>
      <w:bookmarkEnd w:id="3"/>
      <w:r/>
      <w:r/>
    </w:p>
    <w:p>
      <w:pPr>
        <w:pStyle w:val="644"/>
        <w:spacing w:before="0" w:after="0" w:line="360" w:lineRule="auto"/>
        <w:rPr>
          <w:rFonts w:ascii="黑体" w:hAnsi="黑体" w:eastAsia="黑体"/>
          <w:b w:val="0"/>
        </w:rPr>
      </w:pPr>
      <w:r>
        <w:rPr>
          <w:rFonts w:hint="eastAsia" w:ascii="黑体" w:hAnsi="黑体" w:eastAsia="黑体"/>
          <w:b w:val="0"/>
        </w:rPr>
        <w:t xml:space="preserve">一、总则</w:t>
      </w:r>
      <w:r/>
    </w:p>
    <w:p>
      <w:pPr>
        <w:pStyle w:val="645"/>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645"/>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645"/>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645"/>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645"/>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644"/>
        <w:spacing w:before="0" w:after="0" w:line="360" w:lineRule="auto"/>
        <w:rPr>
          <w:rFonts w:ascii="黑体" w:hAnsi="黑体" w:eastAsia="黑体"/>
          <w:b w:val="0"/>
        </w:rPr>
      </w:pPr>
      <w:r>
        <w:rPr>
          <w:rFonts w:hint="eastAsia" w:ascii="黑体" w:hAnsi="黑体" w:eastAsia="黑体"/>
          <w:b w:val="0"/>
        </w:rPr>
        <w:t xml:space="preserve">二、招标文件</w:t>
      </w:r>
      <w:r/>
    </w:p>
    <w:p>
      <w:pPr>
        <w:pStyle w:val="645"/>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645"/>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645"/>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644"/>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645"/>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45"/>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645"/>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645"/>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645"/>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645"/>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645"/>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645"/>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45"/>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44"/>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645"/>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645"/>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645"/>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p>
    <w:p>
      <w:pPr>
        <w:pStyle w:val="645"/>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644"/>
        <w:spacing w:before="0" w:after="0" w:line="360" w:lineRule="auto"/>
        <w:rPr>
          <w:rFonts w:ascii="黑体" w:hAnsi="黑体" w:eastAsia="黑体"/>
          <w:b w:val="0"/>
        </w:rPr>
      </w:pPr>
      <w:r>
        <w:rPr>
          <w:rFonts w:hint="eastAsia" w:ascii="黑体" w:hAnsi="黑体" w:eastAsia="黑体"/>
          <w:b w:val="0"/>
        </w:rPr>
        <w:t xml:space="preserve">五、开标与评标</w:t>
      </w:r>
      <w:r/>
    </w:p>
    <w:p>
      <w:pPr>
        <w:pStyle w:val="645"/>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p>
    <w:p>
      <w:pPr>
        <w:pStyle w:val="645"/>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开标后，交易中心将组织评委会进行评标。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645"/>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645"/>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w:t>
      </w:r>
      <w:r>
        <w:rPr>
          <w:rFonts w:hint="eastAsia"/>
          <w:sz w:val="24"/>
          <w:szCs w:val="24"/>
          <w:lang w:eastAsia="zh-CN"/>
        </w:rPr>
        <w:t xml:space="preserve">投标人</w:t>
      </w:r>
      <w:r>
        <w:rPr>
          <w:rFonts w:hint="eastAsia"/>
          <w:sz w:val="24"/>
          <w:szCs w:val="24"/>
        </w:rPr>
        <w:t xml:space="preserve">进行澄清、说明或者补正的，评委会将通过“苏采云”系统向</w:t>
      </w:r>
      <w:r>
        <w:rPr>
          <w:rFonts w:hint="eastAsia"/>
          <w:sz w:val="24"/>
          <w:szCs w:val="24"/>
          <w:lang w:eastAsia="zh-CN"/>
        </w:rPr>
        <w:t xml:space="preserve">投标人</w:t>
      </w:r>
      <w:r>
        <w:rPr>
          <w:rFonts w:hint="eastAsia"/>
          <w:sz w:val="24"/>
          <w:szCs w:val="24"/>
        </w:rPr>
        <w:t xml:space="preserve">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645"/>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500" w:lineRule="exact"/>
        <w:rPr>
          <w:rFonts w:hint="eastAsia" w:eastAsiaTheme="minorEastAsia"/>
          <w:sz w:val="24"/>
          <w:szCs w:val="24"/>
          <w:lang w:eastAsia="zh-CN"/>
        </w:rPr>
      </w:pPr>
      <w:r>
        <w:rPr>
          <w:rFonts w:hint="eastAsia"/>
          <w:sz w:val="24"/>
          <w:szCs w:val="24"/>
        </w:rPr>
        <w:t xml:space="preserve">26.1 投标文件初审分为资格审查</w:t>
      </w:r>
      <w:r>
        <w:rPr>
          <w:rFonts w:hint="eastAsia"/>
          <w:sz w:val="24"/>
          <w:szCs w:val="24"/>
          <w:lang w:eastAsia="zh-CN"/>
        </w:rPr>
        <w:t xml:space="preserve">、</w:t>
      </w:r>
      <w:r>
        <w:rPr>
          <w:rFonts w:hint="eastAsia"/>
          <w:sz w:val="24"/>
          <w:szCs w:val="24"/>
        </w:rPr>
        <w:t xml:space="preserve">符合性审查</w:t>
      </w:r>
      <w:r>
        <w:rPr>
          <w:rFonts w:hint="eastAsia"/>
          <w:sz w:val="24"/>
          <w:szCs w:val="24"/>
          <w:lang w:val="en-US" w:eastAsia="zh-CN"/>
        </w:rPr>
        <w:t xml:space="preserve">和</w:t>
      </w:r>
      <w:r>
        <w:rPr>
          <w:rFonts w:hint="eastAsia"/>
          <w:sz w:val="24"/>
          <w:szCs w:val="24"/>
        </w:rPr>
        <w:t xml:space="preserve">政府采购异常低价审查</w:t>
      </w:r>
      <w:r>
        <w:rPr>
          <w:rFonts w:hint="eastAsia"/>
          <w:sz w:val="24"/>
          <w:szCs w:val="24"/>
          <w:lang w:eastAsia="zh-CN"/>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lang w:val="en-US" w:eastAsia="zh-CN"/>
        </w:rPr>
        <w:t xml:space="preserve">一</w:t>
      </w:r>
      <w:r>
        <w:rPr>
          <w:rFonts w:hint="eastAsia"/>
          <w:sz w:val="24"/>
          <w:szCs w:val="24"/>
        </w:rPr>
        <w:t xml:space="preserve">）资格审查：采购人依据法律法规和招标文件的规定，对投标文件中的资格证明文件进行审查。资格审查的结论，采购人以书面形式向评委会进行反馈。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w:t>
      </w:r>
      <w:r>
        <w:rPr>
          <w:rFonts w:hint="eastAsia"/>
          <w:sz w:val="24"/>
          <w:szCs w:val="24"/>
          <w:lang w:eastAsia="zh-CN"/>
        </w:rPr>
        <w:t xml:space="preserve">投标人</w:t>
      </w:r>
      <w:r>
        <w:rPr>
          <w:rFonts w:hint="eastAsia"/>
          <w:sz w:val="24"/>
          <w:szCs w:val="24"/>
        </w:rPr>
        <w:t xml:space="preserve">的身份共同参与政府采购活动的，联合体成员中任何一方存在不良信用记录的，视同联合体存在不良信用记录。</w:t>
      </w:r>
      <w:r/>
    </w:p>
    <w:p>
      <w:pPr>
        <w:numPr>
          <w:ilvl w:val="0"/>
          <w:numId w:val="0"/>
        </w:numPr>
        <w:ind w:firstLine="240"/>
        <w:jc w:val="left"/>
        <w:spacing w:line="500" w:lineRule="exact"/>
        <w:rPr>
          <w:rFonts w:hint="eastAsia"/>
          <w:sz w:val="24"/>
          <w:szCs w:val="24"/>
        </w:rPr>
      </w:pPr>
      <w:r>
        <w:rPr>
          <w:rFonts w:hint="eastAsia"/>
          <w:sz w:val="24"/>
          <w:szCs w:val="24"/>
          <w:lang w:eastAsia="zh-CN"/>
        </w:rPr>
        <w:t xml:space="preserve">（</w:t>
      </w:r>
      <w:r>
        <w:rPr>
          <w:rFonts w:hint="eastAsia"/>
          <w:sz w:val="24"/>
          <w:szCs w:val="24"/>
          <w:lang w:val="en-US" w:eastAsia="zh-CN"/>
        </w:rPr>
        <w:t xml:space="preserve">二）</w:t>
      </w:r>
      <w:r>
        <w:rPr>
          <w:rFonts w:hint="eastAsia"/>
          <w:sz w:val="24"/>
          <w:szCs w:val="24"/>
        </w:rPr>
        <w:t xml:space="preserve">符合性审查：评委会依据招标文件的规定，从投标文件的有效性、完整性和对招标文件的响应程度进行审查，以确定其是否对招标文件的全部实质性要求作出响应。</w:t>
      </w:r>
      <w:r/>
    </w:p>
    <w:p>
      <w:pPr>
        <w:numPr>
          <w:ilvl w:val="0"/>
          <w:numId w:val="0"/>
        </w:numPr>
        <w:ind w:firstLine="240"/>
        <w:jc w:val="left"/>
        <w:spacing w:line="500" w:lineRule="exact"/>
        <w:rPr>
          <w:rFonts w:hint="eastAsia"/>
          <w:sz w:val="24"/>
          <w:szCs w:val="24"/>
        </w:rPr>
      </w:pPr>
      <w:r>
        <w:rPr>
          <w:rFonts w:hint="eastAsia"/>
          <w:sz w:val="24"/>
          <w:szCs w:val="24"/>
          <w:lang w:eastAsia="zh-CN"/>
        </w:rPr>
        <w:t xml:space="preserve">（</w:t>
      </w:r>
      <w:r>
        <w:rPr>
          <w:rFonts w:hint="eastAsia"/>
          <w:sz w:val="24"/>
          <w:szCs w:val="24"/>
          <w:lang w:val="en-US" w:eastAsia="zh-CN"/>
        </w:rPr>
        <w:t xml:space="preserve">三）</w:t>
      </w:r>
      <w:r>
        <w:rPr>
          <w:rFonts w:hint="eastAsia"/>
          <w:sz w:val="24"/>
          <w:szCs w:val="24"/>
        </w:rPr>
        <w:t xml:space="preserve">政府采购异常低价审查：</w:t>
      </w:r>
      <w:r/>
    </w:p>
    <w:p>
      <w:pPr>
        <w:numPr>
          <w:ilvl w:val="0"/>
          <w:numId w:val="0"/>
        </w:numPr>
        <w:ind w:firstLine="720"/>
        <w:jc w:val="left"/>
        <w:spacing w:line="500" w:lineRule="exact"/>
        <w:rPr>
          <w:rFonts w:hint="eastAsia"/>
          <w:sz w:val="24"/>
          <w:szCs w:val="24"/>
        </w:rPr>
      </w:pPr>
      <w:r>
        <w:rPr>
          <w:rFonts w:hint="eastAsia"/>
          <w:sz w:val="24"/>
          <w:szCs w:val="24"/>
          <w:lang w:val="en-US" w:eastAsia="zh-CN"/>
        </w:rPr>
        <w:t xml:space="preserve">（1）、</w:t>
      </w:r>
      <w:r>
        <w:rPr>
          <w:rFonts w:hint="eastAsia"/>
          <w:sz w:val="24"/>
          <w:szCs w:val="24"/>
        </w:rPr>
        <w:t xml:space="preserve">评审过程中出现下列情形之一的，评审小组应当启动异常低价投标（响应）审查程序：</w:t>
      </w:r>
      <w:r/>
    </w:p>
    <w:p>
      <w:pPr>
        <w:numPr>
          <w:ilvl w:val="0"/>
          <w:numId w:val="0"/>
        </w:numPr>
        <w:ind w:firstLine="480"/>
        <w:jc w:val="left"/>
        <w:spacing w:line="500" w:lineRule="exact"/>
        <w:rPr>
          <w:rFonts w:hint="eastAsia"/>
          <w:sz w:val="24"/>
          <w:szCs w:val="24"/>
        </w:rPr>
      </w:pPr>
      <w:r>
        <w:rPr>
          <w:rFonts w:hint="eastAsia"/>
          <w:sz w:val="24"/>
          <w:szCs w:val="24"/>
        </w:rPr>
        <w:t xml:space="preserve">1）投标（响应）报价低于全部通过符合性审查</w:t>
      </w:r>
      <w:r>
        <w:rPr>
          <w:rFonts w:hint="eastAsia"/>
          <w:sz w:val="24"/>
          <w:szCs w:val="24"/>
          <w:lang w:eastAsia="zh-CN"/>
        </w:rPr>
        <w:t xml:space="preserve">投标人</w:t>
      </w:r>
      <w:r>
        <w:rPr>
          <w:rFonts w:hint="eastAsia"/>
          <w:sz w:val="24"/>
          <w:szCs w:val="24"/>
        </w:rPr>
        <w:t xml:space="preserve">投标（响应）报价平均值50%的，即投标（响应）报价&lt;全部通过符合性审查</w:t>
      </w:r>
      <w:r>
        <w:rPr>
          <w:rFonts w:hint="eastAsia"/>
          <w:sz w:val="24"/>
          <w:szCs w:val="24"/>
          <w:lang w:eastAsia="zh-CN"/>
        </w:rPr>
        <w:t xml:space="preserve">投标人</w:t>
      </w:r>
      <w:r>
        <w:rPr>
          <w:rFonts w:hint="eastAsia"/>
          <w:sz w:val="24"/>
          <w:szCs w:val="24"/>
        </w:rPr>
        <w:t xml:space="preserve">投标（响应）报价平均值×50%；</w:t>
      </w:r>
      <w:r/>
    </w:p>
    <w:p>
      <w:pPr>
        <w:numPr>
          <w:ilvl w:val="0"/>
          <w:numId w:val="0"/>
        </w:numPr>
        <w:ind w:firstLine="480"/>
        <w:jc w:val="left"/>
        <w:spacing w:line="500" w:lineRule="exact"/>
        <w:rPr>
          <w:rFonts w:hint="eastAsia"/>
          <w:sz w:val="24"/>
          <w:szCs w:val="24"/>
        </w:rPr>
      </w:pPr>
      <w:r>
        <w:rPr>
          <w:rFonts w:hint="eastAsia"/>
          <w:sz w:val="24"/>
          <w:szCs w:val="24"/>
        </w:rPr>
        <w:t xml:space="preserve">2）投标（响应）报价低于通过符合性审查的次低报价</w:t>
      </w:r>
      <w:r>
        <w:rPr>
          <w:rFonts w:hint="eastAsia"/>
          <w:sz w:val="24"/>
          <w:szCs w:val="24"/>
          <w:lang w:eastAsia="zh-CN"/>
        </w:rPr>
        <w:t xml:space="preserve">投标人</w:t>
      </w:r>
      <w:r>
        <w:rPr>
          <w:rFonts w:hint="eastAsia"/>
          <w:sz w:val="24"/>
          <w:szCs w:val="24"/>
        </w:rPr>
        <w:t xml:space="preserve">投标（响应）报价50%的，即投标（响应）报价&lt;通过符合性审查的次低报价</w:t>
      </w:r>
      <w:r>
        <w:rPr>
          <w:rFonts w:hint="eastAsia"/>
          <w:sz w:val="24"/>
          <w:szCs w:val="24"/>
          <w:lang w:eastAsia="zh-CN"/>
        </w:rPr>
        <w:t xml:space="preserve">投标人</w:t>
      </w:r>
      <w:r>
        <w:rPr>
          <w:rFonts w:hint="eastAsia"/>
          <w:sz w:val="24"/>
          <w:szCs w:val="24"/>
        </w:rPr>
        <w:t xml:space="preserve">投标（响应）报价×50%；</w:t>
      </w:r>
      <w:r/>
    </w:p>
    <w:p>
      <w:pPr>
        <w:numPr>
          <w:ilvl w:val="0"/>
          <w:numId w:val="0"/>
        </w:numPr>
        <w:ind w:firstLine="480"/>
        <w:jc w:val="left"/>
        <w:spacing w:line="500" w:lineRule="exact"/>
        <w:rPr>
          <w:rFonts w:hint="eastAsia"/>
          <w:sz w:val="24"/>
          <w:szCs w:val="24"/>
        </w:rPr>
      </w:pPr>
      <w:r>
        <w:rPr>
          <w:rFonts w:hint="eastAsia"/>
          <w:sz w:val="24"/>
          <w:szCs w:val="24"/>
        </w:rPr>
        <w:t xml:space="preserve">3）投标（响应）报价低于采购项目最高限价45%的，即投标（响应）报价&lt;采购项目最高限价×45%。</w:t>
      </w:r>
      <w:r/>
    </w:p>
    <w:p>
      <w:pPr>
        <w:numPr>
          <w:ilvl w:val="0"/>
          <w:numId w:val="0"/>
        </w:numPr>
        <w:ind w:firstLine="480"/>
        <w:jc w:val="left"/>
        <w:spacing w:line="500" w:lineRule="exact"/>
        <w:rPr>
          <w:rFonts w:hint="eastAsia"/>
          <w:sz w:val="24"/>
          <w:szCs w:val="24"/>
        </w:rPr>
      </w:pPr>
      <w:r>
        <w:rPr>
          <w:rFonts w:hint="eastAsia"/>
          <w:sz w:val="24"/>
          <w:szCs w:val="24"/>
        </w:rPr>
        <w:t xml:space="preserve">4) 评审委员会基于专业判断，认为</w:t>
      </w:r>
      <w:r>
        <w:rPr>
          <w:rFonts w:hint="eastAsia"/>
          <w:sz w:val="24"/>
          <w:szCs w:val="24"/>
          <w:lang w:eastAsia="zh-CN"/>
        </w:rPr>
        <w:t xml:space="preserve">投标人</w:t>
      </w:r>
      <w:r>
        <w:rPr>
          <w:rFonts w:hint="eastAsia"/>
          <w:sz w:val="24"/>
          <w:szCs w:val="24"/>
        </w:rPr>
        <w:t xml:space="preserve">报价过低，有可能影响产品质量或者不能诚信履约的其他情形。</w:t>
      </w:r>
      <w:r/>
    </w:p>
    <w:p>
      <w:pPr>
        <w:numPr>
          <w:ilvl w:val="0"/>
          <w:numId w:val="0"/>
        </w:numPr>
        <w:ind w:firstLine="480"/>
        <w:jc w:val="left"/>
        <w:spacing w:line="500" w:lineRule="exact"/>
        <w:rPr>
          <w:rFonts w:hint="eastAsia"/>
          <w:sz w:val="24"/>
          <w:szCs w:val="24"/>
        </w:rPr>
      </w:pPr>
      <w:r>
        <w:rPr>
          <w:rFonts w:hint="eastAsia"/>
          <w:sz w:val="24"/>
          <w:szCs w:val="24"/>
          <w:lang w:eastAsia="zh-CN"/>
        </w:rPr>
        <w:t xml:space="preserve">（</w:t>
      </w:r>
      <w:r>
        <w:rPr>
          <w:rFonts w:hint="eastAsia"/>
          <w:sz w:val="24"/>
          <w:szCs w:val="24"/>
        </w:rPr>
        <w:t xml:space="preserve">2</w:t>
      </w:r>
      <w:r>
        <w:rPr>
          <w:rFonts w:hint="eastAsia"/>
          <w:sz w:val="24"/>
          <w:szCs w:val="24"/>
          <w:lang w:eastAsia="zh-CN"/>
        </w:rPr>
        <w:t xml:space="preserve">）、</w:t>
      </w:r>
      <w:r>
        <w:rPr>
          <w:rFonts w:hint="eastAsia"/>
          <w:sz w:val="24"/>
          <w:szCs w:val="24"/>
        </w:rPr>
        <w:t xml:space="preserve">评审委员会启动异常低价投标（响应）审查后，属于前述第1）项至第4）项情形的，应当要求相关</w:t>
      </w:r>
      <w:r>
        <w:rPr>
          <w:rFonts w:hint="eastAsia"/>
          <w:sz w:val="24"/>
          <w:szCs w:val="24"/>
          <w:lang w:eastAsia="zh-CN"/>
        </w:rPr>
        <w:t xml:space="preserve">投标人</w:t>
      </w:r>
      <w:r>
        <w:rPr>
          <w:rFonts w:hint="eastAsia"/>
          <w:sz w:val="24"/>
          <w:szCs w:val="24"/>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sz w:val="24"/>
          <w:szCs w:val="24"/>
          <w:lang w:eastAsia="zh-CN"/>
        </w:rPr>
        <w:t xml:space="preserve">投标人</w:t>
      </w:r>
      <w:r>
        <w:rPr>
          <w:rFonts w:hint="eastAsia"/>
          <w:sz w:val="24"/>
          <w:szCs w:val="24"/>
        </w:rPr>
        <w:t xml:space="preserve">的合理时间一般不少于30分钟。其中，属于第3）项情形，</w:t>
      </w:r>
      <w:r>
        <w:rPr>
          <w:rFonts w:hint="eastAsia"/>
          <w:sz w:val="24"/>
          <w:szCs w:val="24"/>
          <w:lang w:eastAsia="zh-CN"/>
        </w:rPr>
        <w:t xml:space="preserve">投标人</w:t>
      </w:r>
      <w:r>
        <w:rPr>
          <w:rFonts w:hint="eastAsia"/>
          <w:sz w:val="24"/>
          <w:szCs w:val="24"/>
        </w:rPr>
        <w:t xml:space="preserve">已随投标（响应）文件一并提交相关书面说明及必要的证明材料的，在评审现场可不再重复提交。</w:t>
      </w:r>
      <w:r/>
    </w:p>
    <w:p>
      <w:pPr>
        <w:numPr>
          <w:ilvl w:val="0"/>
          <w:numId w:val="0"/>
        </w:numPr>
        <w:ind w:firstLine="480"/>
        <w:jc w:val="left"/>
        <w:spacing w:line="500" w:lineRule="exact"/>
        <w:rPr>
          <w:rFonts w:hint="eastAsia"/>
          <w:sz w:val="24"/>
          <w:szCs w:val="24"/>
        </w:rPr>
      </w:pPr>
      <w:r>
        <w:rPr>
          <w:rFonts w:hint="eastAsia"/>
          <w:sz w:val="24"/>
          <w:szCs w:val="24"/>
          <w:lang w:eastAsia="zh-CN"/>
        </w:rPr>
        <w:t xml:space="preserve">（</w:t>
      </w:r>
      <w:r>
        <w:rPr>
          <w:rFonts w:hint="eastAsia"/>
          <w:sz w:val="24"/>
          <w:szCs w:val="24"/>
        </w:rPr>
        <w:t xml:space="preserve">3</w:t>
      </w:r>
      <w:r>
        <w:rPr>
          <w:rFonts w:hint="eastAsia"/>
          <w:sz w:val="24"/>
          <w:szCs w:val="24"/>
          <w:lang w:eastAsia="zh-CN"/>
        </w:rPr>
        <w:t xml:space="preserve">）、</w:t>
      </w: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sz w:val="24"/>
          <w:szCs w:val="24"/>
          <w:lang w:eastAsia="zh-CN"/>
        </w:rPr>
        <w:t xml:space="preserve">投标人</w:t>
      </w:r>
      <w:r>
        <w:rPr>
          <w:rFonts w:hint="eastAsia"/>
          <w:sz w:val="24"/>
          <w:szCs w:val="24"/>
        </w:rPr>
        <w:t xml:space="preserve">不能提供书面说明、证明材料，或者提供的书面说明、证明材料不能证明其报价合理性的，评审委员会应当将其作为无效投标（响应）处理。</w:t>
      </w:r>
      <w:r/>
    </w:p>
    <w:p>
      <w:pPr>
        <w:numPr>
          <w:ilvl w:val="0"/>
          <w:numId w:val="0"/>
        </w:numPr>
        <w:ind w:firstLine="240"/>
        <w:jc w:val="left"/>
        <w:spacing w:line="500" w:lineRule="exact"/>
        <w:rPr>
          <w:rFonts w:hint="eastAsia"/>
          <w:sz w:val="24"/>
          <w:szCs w:val="24"/>
        </w:rPr>
      </w:pPr>
      <w:r>
        <w:rPr>
          <w:rFonts w:hint="eastAsia"/>
          <w:sz w:val="24"/>
          <w:szCs w:val="24"/>
          <w:lang w:val="en-US" w:eastAsia="zh-CN"/>
        </w:rPr>
        <w:t xml:space="preserve">(</w:t>
      </w:r>
      <w:r>
        <w:rPr>
          <w:rFonts w:hint="eastAsia"/>
          <w:sz w:val="24"/>
          <w:szCs w:val="24"/>
        </w:rPr>
        <w:t xml:space="preserve">4</w:t>
      </w:r>
      <w:r>
        <w:rPr>
          <w:rFonts w:hint="eastAsia"/>
          <w:sz w:val="24"/>
          <w:szCs w:val="24"/>
          <w:lang w:val="en-US" w:eastAsia="zh-CN"/>
        </w:rPr>
        <w:t xml:space="preserve">)</w:t>
      </w:r>
      <w:r>
        <w:rPr>
          <w:rFonts w:hint="eastAsia"/>
          <w:sz w:val="24"/>
          <w:szCs w:val="24"/>
          <w:lang w:eastAsia="zh-CN"/>
        </w:rPr>
        <w:t xml:space="preserve">、</w:t>
      </w:r>
      <w:r>
        <w:rPr>
          <w:rFonts w:hint="eastAsia"/>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firstLine="240"/>
        <w:jc w:val="left"/>
        <w:spacing w:line="500" w:lineRule="exact"/>
        <w:rPr>
          <w:rFonts w:hint="eastAsia"/>
          <w:sz w:val="24"/>
          <w:szCs w:val="24"/>
        </w:rPr>
      </w:pPr>
      <w:r>
        <w:rPr>
          <w:rFonts w:hint="eastAsia"/>
          <w:sz w:val="24"/>
          <w:szCs w:val="24"/>
          <w:lang w:val="en-US" w:eastAsia="zh-CN"/>
        </w:rPr>
        <w:t xml:space="preserve">(</w:t>
      </w:r>
      <w:r>
        <w:rPr>
          <w:rFonts w:hint="eastAsia"/>
          <w:sz w:val="24"/>
          <w:szCs w:val="24"/>
        </w:rPr>
        <w:t xml:space="preserve">5</w:t>
      </w:r>
      <w:r>
        <w:rPr>
          <w:rFonts w:hint="eastAsia"/>
          <w:sz w:val="24"/>
          <w:szCs w:val="24"/>
          <w:lang w:val="en-US" w:eastAsia="zh-CN"/>
        </w:rPr>
        <w:t xml:space="preserve">)</w:t>
      </w:r>
      <w:r>
        <w:rPr>
          <w:rFonts w:hint="eastAsia"/>
          <w:sz w:val="24"/>
          <w:szCs w:val="24"/>
          <w:lang w:eastAsia="zh-CN"/>
        </w:rPr>
        <w:t xml:space="preserve">、</w:t>
      </w:r>
      <w:r>
        <w:rPr>
          <w:rFonts w:hint="eastAsia"/>
          <w:sz w:val="24"/>
          <w:szCs w:val="24"/>
        </w:rPr>
        <w:t xml:space="preserve">异常低价投标（响应）审查的启动原因、审查意见和审查结果应当在评审报告中记录，并随</w:t>
      </w:r>
      <w:r>
        <w:rPr>
          <w:rFonts w:hint="eastAsia"/>
          <w:sz w:val="24"/>
          <w:szCs w:val="24"/>
          <w:lang w:eastAsia="zh-CN"/>
        </w:rPr>
        <w:t xml:space="preserve">投标人</w:t>
      </w:r>
      <w:r>
        <w:rPr>
          <w:rFonts w:hint="eastAsia"/>
          <w:sz w:val="24"/>
          <w:szCs w:val="24"/>
        </w:rPr>
        <w:t xml:space="preserve">提供的相关书面说明及证明材料，以及评审委员会有关互联网浏览、查询历史一并归档。</w:t>
      </w:r>
      <w:r/>
    </w:p>
    <w:p>
      <w:pPr>
        <w:numPr>
          <w:ilvl w:val="0"/>
          <w:numId w:val="0"/>
        </w:numPr>
        <w:ind w:firstLine="240"/>
        <w:jc w:val="left"/>
        <w:spacing w:line="500" w:lineRule="exact"/>
        <w:rPr>
          <w:rFonts w:hint="eastAsia"/>
          <w:sz w:val="24"/>
          <w:szCs w:val="24"/>
        </w:rPr>
      </w:pPr>
      <w:r>
        <w:rPr>
          <w:rFonts w:hint="eastAsia"/>
          <w:sz w:val="24"/>
          <w:szCs w:val="24"/>
          <w:lang w:val="en-US" w:eastAsia="zh-CN"/>
        </w:rPr>
        <w:t xml:space="preserve">(</w:t>
      </w:r>
      <w:r>
        <w:rPr>
          <w:rFonts w:hint="eastAsia"/>
          <w:sz w:val="24"/>
          <w:szCs w:val="24"/>
        </w:rPr>
        <w:t xml:space="preserve">6</w:t>
      </w:r>
      <w:r>
        <w:rPr>
          <w:rFonts w:hint="eastAsia"/>
          <w:sz w:val="24"/>
          <w:szCs w:val="24"/>
          <w:lang w:val="en-US" w:eastAsia="zh-CN"/>
        </w:rPr>
        <w:t xml:space="preserve">)</w:t>
      </w:r>
      <w:r>
        <w:rPr>
          <w:rFonts w:hint="eastAsia"/>
          <w:sz w:val="24"/>
          <w:szCs w:val="24"/>
          <w:lang w:eastAsia="zh-CN"/>
        </w:rPr>
        <w:t xml:space="preserve">、</w:t>
      </w:r>
      <w:r>
        <w:rPr>
          <w:rFonts w:hint="eastAsia"/>
          <w:sz w:val="24"/>
          <w:szCs w:val="24"/>
        </w:rPr>
        <w:t xml:space="preserve">评审委员会启动异常低价投标（响应）审查程序后，投标（响应）</w:t>
      </w:r>
      <w:r>
        <w:rPr>
          <w:rFonts w:hint="eastAsia"/>
          <w:sz w:val="24"/>
          <w:szCs w:val="24"/>
          <w:lang w:eastAsia="zh-CN"/>
        </w:rPr>
        <w:t xml:space="preserve">投标人</w:t>
      </w:r>
      <w:r>
        <w:rPr>
          <w:rFonts w:hint="eastAsia"/>
          <w:sz w:val="24"/>
          <w:szCs w:val="24"/>
        </w:rPr>
        <w:t xml:space="preserve">在评审现场合理的时间内，不能提供书面说明、证明材料，或者提供的书面说明、证明材料不能证明其报价合理性的，评审委员会应当将其作为无效投标（响应）处理。</w:t>
      </w:r>
      <w:r/>
    </w:p>
    <w:p>
      <w:pPr>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645"/>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w:t>
      </w:r>
      <w:r>
        <w:rPr>
          <w:rFonts w:hint="eastAsia"/>
          <w:sz w:val="24"/>
          <w:szCs w:val="24"/>
          <w:lang w:eastAsia="zh-CN"/>
        </w:rPr>
        <w:t xml:space="preserve">投标人</w:t>
      </w:r>
      <w:r>
        <w:rPr>
          <w:rFonts w:hint="eastAsia"/>
          <w:sz w:val="24"/>
          <w:szCs w:val="24"/>
        </w:rPr>
        <w:t xml:space="preserve">或者对招标文件作实质响应的</w:t>
      </w:r>
      <w:r>
        <w:rPr>
          <w:rFonts w:hint="eastAsia"/>
          <w:sz w:val="24"/>
          <w:szCs w:val="24"/>
          <w:lang w:eastAsia="zh-CN"/>
        </w:rPr>
        <w:t xml:space="preserve">投标人</w:t>
      </w:r>
      <w:r>
        <w:rPr>
          <w:rFonts w:hint="eastAsia"/>
          <w:sz w:val="24"/>
          <w:szCs w:val="24"/>
        </w:rPr>
        <w:t xml:space="preserve">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w:t>
      </w:r>
      <w:r>
        <w:rPr>
          <w:rFonts w:hint="eastAsia"/>
          <w:sz w:val="24"/>
          <w:szCs w:val="24"/>
          <w:lang w:eastAsia="zh-CN"/>
        </w:rPr>
        <w:t xml:space="preserve">投标人</w:t>
      </w:r>
      <w:r>
        <w:rPr>
          <w:rFonts w:hint="eastAsia"/>
          <w:sz w:val="24"/>
          <w:szCs w:val="24"/>
        </w:rPr>
        <w:t xml:space="preserve">或者在评标期间对招标文件做出实质响应的</w:t>
      </w:r>
      <w:r>
        <w:rPr>
          <w:rFonts w:hint="eastAsia"/>
          <w:sz w:val="24"/>
          <w:szCs w:val="24"/>
          <w:lang w:eastAsia="zh-CN"/>
        </w:rPr>
        <w:t xml:space="preserve">投标人</w:t>
      </w:r>
      <w:r>
        <w:rPr>
          <w:rFonts w:hint="eastAsia"/>
          <w:sz w:val="24"/>
          <w:szCs w:val="24"/>
        </w:rPr>
        <w:t xml:space="preserve">不足三家情况的，按照政府采购有关规定执行。</w:t>
      </w:r>
      <w:r/>
    </w:p>
    <w:p>
      <w:pPr>
        <w:pStyle w:val="644"/>
        <w:spacing w:before="0" w:after="0" w:line="360" w:lineRule="auto"/>
        <w:rPr>
          <w:rFonts w:ascii="黑体" w:hAnsi="黑体" w:eastAsia="黑体"/>
          <w:b w:val="0"/>
        </w:rPr>
      </w:pPr>
      <w:r>
        <w:rPr>
          <w:rFonts w:hint="eastAsia" w:ascii="黑体" w:hAnsi="黑体" w:eastAsia="黑体"/>
          <w:b w:val="0"/>
        </w:rPr>
        <w:t xml:space="preserve">六、定标</w:t>
      </w:r>
      <w:r/>
    </w:p>
    <w:p>
      <w:pPr>
        <w:pStyle w:val="645"/>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w:t>
      </w:r>
      <w:r>
        <w:rPr>
          <w:rFonts w:hint="eastAsia"/>
          <w:sz w:val="24"/>
          <w:szCs w:val="24"/>
          <w:lang w:eastAsia="zh-CN"/>
        </w:rPr>
        <w:t xml:space="preserve">投标人</w:t>
      </w:r>
      <w:r>
        <w:rPr>
          <w:rFonts w:hint="eastAsia"/>
          <w:sz w:val="24"/>
          <w:szCs w:val="24"/>
        </w:rPr>
        <w:t xml:space="preserve">的。</w:t>
      </w:r>
      <w:r/>
    </w:p>
    <w:p>
      <w:pPr>
        <w:ind w:firstLine="480"/>
        <w:jc w:val="left"/>
        <w:spacing w:line="500" w:lineRule="exact"/>
        <w:rPr>
          <w:sz w:val="24"/>
          <w:szCs w:val="24"/>
        </w:rPr>
      </w:pPr>
      <w:r>
        <w:rPr>
          <w:rFonts w:hint="eastAsia"/>
          <w:sz w:val="24"/>
          <w:szCs w:val="24"/>
        </w:rPr>
        <w:t xml:space="preserve">（3）与采购人、其他</w:t>
      </w:r>
      <w:r>
        <w:rPr>
          <w:rFonts w:hint="eastAsia"/>
          <w:sz w:val="24"/>
          <w:szCs w:val="24"/>
          <w:lang w:eastAsia="zh-CN"/>
        </w:rPr>
        <w:t xml:space="preserve">投标人</w:t>
      </w:r>
      <w:r>
        <w:rPr>
          <w:rFonts w:hint="eastAsia"/>
          <w:sz w:val="24"/>
          <w:szCs w:val="24"/>
        </w:rPr>
        <w:t xml:space="preserve">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645"/>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中标人应在中标后七个工作日内，向采购人和交易中心各提供一份与电子投标文件一致的纸质打印胶装投标文件，封面、骑缝需加盖公章。</w:t>
      </w:r>
      <w:r/>
    </w:p>
    <w:p>
      <w:pPr>
        <w:pStyle w:val="644"/>
        <w:spacing w:before="0" w:after="0" w:line="360" w:lineRule="auto"/>
        <w:rPr>
          <w:rFonts w:ascii="黑体" w:hAnsi="黑体" w:eastAsia="黑体"/>
          <w:b w:val="0"/>
        </w:rPr>
      </w:pPr>
      <w:r>
        <w:rPr>
          <w:rFonts w:hint="eastAsia" w:ascii="黑体" w:hAnsi="黑体" w:eastAsia="黑体"/>
          <w:b w:val="0"/>
        </w:rPr>
        <w:t xml:space="preserve">七、授予合同</w:t>
      </w:r>
      <w:r/>
    </w:p>
    <w:p>
      <w:pPr>
        <w:pStyle w:val="645"/>
        <w:ind w:firstLine="562"/>
        <w:jc w:val="left"/>
        <w:spacing w:before="0" w:after="0" w:line="360" w:lineRule="auto"/>
        <w:rPr>
          <w:sz w:val="28"/>
          <w:szCs w:val="28"/>
        </w:rPr>
      </w:pPr>
      <w:r>
        <w:rPr>
          <w:rFonts w:hint="eastAsia"/>
          <w:sz w:val="28"/>
          <w:szCs w:val="28"/>
        </w:rPr>
        <w:t xml:space="preserve">30、签订合同</w:t>
      </w:r>
      <w:r/>
    </w:p>
    <w:p>
      <w:pPr>
        <w:ind w:firstLine="480"/>
        <w:jc w:val="left"/>
        <w:spacing w:line="500" w:lineRule="exact"/>
        <w:rPr>
          <w:sz w:val="24"/>
          <w:szCs w:val="24"/>
        </w:rPr>
      </w:pPr>
      <w:r>
        <w:rPr>
          <w:rFonts w:hint="eastAsia"/>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spacing w:line="500" w:lineRule="exact"/>
        <w:rPr>
          <w:sz w:val="24"/>
          <w:szCs w:val="24"/>
        </w:rPr>
      </w:pPr>
      <w:r>
        <w:rPr>
          <w:rFonts w:hint="eastAsia"/>
          <w:sz w:val="24"/>
          <w:szCs w:val="24"/>
        </w:rPr>
        <w:t xml:space="preserve">30.4 采购人</w:t>
      </w:r>
      <w:r>
        <w:rPr>
          <w:sz w:val="24"/>
          <w:szCs w:val="24"/>
        </w:rPr>
        <w:t xml:space="preserve">应当在合同签订后</w:t>
      </w:r>
      <w:r>
        <w:rPr>
          <w:rFonts w:hint="eastAsia"/>
          <w:sz w:val="24"/>
          <w:szCs w:val="24"/>
        </w:rPr>
        <w:t xml:space="preserve">2日</w:t>
      </w:r>
      <w:r>
        <w:rPr>
          <w:sz w:val="24"/>
          <w:szCs w:val="24"/>
        </w:rPr>
        <w:t xml:space="preserve">内上传合同至苏采云</w:t>
      </w:r>
      <w:r>
        <w:rPr>
          <w:rFonts w:hint="eastAsia"/>
          <w:sz w:val="24"/>
          <w:szCs w:val="24"/>
        </w:rPr>
        <w:t xml:space="preserve">公示</w:t>
      </w:r>
      <w:r>
        <w:rPr>
          <w:sz w:val="24"/>
          <w:szCs w:val="24"/>
        </w:rPr>
        <w:t xml:space="preserve">。</w:t>
      </w:r>
      <w:r/>
    </w:p>
    <w:p>
      <w:pPr>
        <w:ind w:firstLine="480"/>
        <w:jc w:val="left"/>
        <w:spacing w:line="500" w:lineRule="exact"/>
        <w:rPr>
          <w:rFonts w:hint="eastAsia"/>
          <w:sz w:val="24"/>
          <w:szCs w:val="24"/>
          <w:lang w:eastAsia="zh-CN"/>
        </w:rPr>
      </w:pPr>
      <w:r>
        <w:rPr>
          <w:rFonts w:hint="eastAsia"/>
          <w:sz w:val="24"/>
          <w:szCs w:val="24"/>
        </w:rPr>
        <w:t xml:space="preserve">30.5履约保证金</w:t>
      </w:r>
      <w:r>
        <w:rPr>
          <w:rFonts w:hint="eastAsia"/>
          <w:sz w:val="24"/>
          <w:szCs w:val="24"/>
          <w:lang w:eastAsia="zh-CN"/>
        </w:rPr>
        <w:t xml:space="preserve">：</w:t>
      </w:r>
      <w:r/>
    </w:p>
    <w:p>
      <w:pPr>
        <w:ind w:firstLine="960"/>
        <w:jc w:val="left"/>
        <w:spacing w:line="500" w:lineRule="exact"/>
        <w:rPr>
          <w:rFonts w:hint="eastAsia"/>
          <w:sz w:val="24"/>
          <w:szCs w:val="24"/>
          <w:lang w:eastAsia="zh-CN"/>
        </w:rPr>
      </w:pPr>
      <w:r>
        <w:rPr>
          <w:rFonts w:hint="eastAsia"/>
          <w:sz w:val="24"/>
          <w:szCs w:val="24"/>
          <w:lang w:val="en-US" w:eastAsia="zh-CN"/>
        </w:rPr>
        <w:t xml:space="preserve">本项目</w:t>
      </w:r>
      <w:r>
        <w:rPr>
          <w:rFonts w:hint="eastAsia"/>
          <w:sz w:val="24"/>
          <w:szCs w:val="24"/>
        </w:rPr>
        <w:t xml:space="preserve">不收取履约保证金</w:t>
      </w:r>
      <w:r/>
    </w:p>
    <w:p>
      <w:pPr>
        <w:pStyle w:val="645"/>
        <w:ind w:firstLine="562"/>
        <w:jc w:val="left"/>
        <w:spacing w:before="0" w:after="0" w:line="360" w:lineRule="auto"/>
        <w:rPr>
          <w:sz w:val="28"/>
          <w:szCs w:val="28"/>
        </w:rPr>
      </w:pPr>
      <w:r>
        <w:rPr>
          <w:rFonts w:hint="eastAsia"/>
          <w:sz w:val="28"/>
          <w:szCs w:val="28"/>
        </w:rPr>
        <w:t xml:space="preserve">31、合同标的的追加</w:t>
      </w:r>
      <w:r/>
    </w:p>
    <w:p>
      <w:pPr>
        <w:ind w:firstLine="480"/>
        <w:jc w:val="left"/>
        <w:spacing w:line="500" w:lineRule="exact"/>
        <w:rPr>
          <w:sz w:val="24"/>
          <w:szCs w:val="24"/>
        </w:rPr>
      </w:pPr>
      <w:r>
        <w:rPr>
          <w:rFonts w:hint="eastAsia"/>
          <w:sz w:val="24"/>
          <w:szCs w:val="24"/>
        </w:rPr>
        <w:t xml:space="preserve">31.1 政府采购合同履行中，采购人需追加与合同标的相同的货物、工程或者服务的，在不改变合同其他条款的前提下，可以按照《中华人民共和国政府采购法》第四十九条规定，与</w:t>
      </w:r>
      <w:r>
        <w:rPr>
          <w:rFonts w:hint="eastAsia"/>
          <w:sz w:val="24"/>
          <w:szCs w:val="24"/>
          <w:lang w:eastAsia="zh-CN"/>
        </w:rPr>
        <w:t xml:space="preserve">投标人</w:t>
      </w:r>
      <w:r>
        <w:rPr>
          <w:rFonts w:hint="eastAsia"/>
          <w:sz w:val="24"/>
          <w:szCs w:val="24"/>
        </w:rPr>
        <w:t xml:space="preserve">协商签订补充合同，但所有补充合同的采购金额不得超过原合同采购金额的百分之十。</w:t>
      </w:r>
      <w:r/>
    </w:p>
    <w:p>
      <w:pPr>
        <w:pStyle w:val="645"/>
        <w:ind w:firstLine="562"/>
        <w:jc w:val="left"/>
        <w:spacing w:before="0" w:after="0" w:line="360" w:lineRule="auto"/>
        <w:rPr>
          <w:sz w:val="28"/>
          <w:szCs w:val="28"/>
        </w:rPr>
      </w:pPr>
      <w:r>
        <w:rPr>
          <w:rFonts w:hint="eastAsia"/>
          <w:sz w:val="28"/>
          <w:szCs w:val="28"/>
        </w:rPr>
        <w:t xml:space="preserve">32、政府采购履约资金扶持政策</w:t>
      </w:r>
      <w:r/>
    </w:p>
    <w:p>
      <w:pPr>
        <w:ind w:firstLine="480"/>
        <w:jc w:val="left"/>
        <w:spacing w:line="500" w:lineRule="exact"/>
        <w:rPr>
          <w:sz w:val="24"/>
          <w:szCs w:val="24"/>
        </w:rPr>
      </w:pPr>
      <w:r>
        <w:rPr>
          <w:rFonts w:hint="eastAsia"/>
          <w:sz w:val="24"/>
          <w:szCs w:val="24"/>
        </w:rPr>
        <w:t xml:space="preserve">32.1 中标人可凭政府采购合同办理融资贷款，详情请见江苏政府采购网“政采贷”专栏。</w:t>
      </w:r>
      <w:r/>
    </w:p>
    <w:p>
      <w:pPr>
        <w:pStyle w:val="644"/>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45"/>
        <w:ind w:firstLine="562"/>
        <w:jc w:val="left"/>
        <w:spacing w:before="0" w:after="0" w:line="360" w:lineRule="auto"/>
        <w:rPr>
          <w:sz w:val="28"/>
          <w:szCs w:val="28"/>
        </w:rPr>
      </w:pPr>
      <w:r>
        <w:rPr>
          <w:rFonts w:hint="eastAsia"/>
          <w:sz w:val="28"/>
          <w:szCs w:val="28"/>
        </w:rPr>
        <w:t xml:space="preserve">33、询问</w:t>
      </w:r>
      <w:r/>
    </w:p>
    <w:p>
      <w:pPr>
        <w:ind w:firstLine="480"/>
        <w:jc w:val="left"/>
        <w:spacing w:line="500" w:lineRule="exact"/>
        <w:rPr>
          <w:sz w:val="24"/>
          <w:szCs w:val="24"/>
        </w:rPr>
      </w:pPr>
      <w:r>
        <w:rPr>
          <w:rFonts w:hint="eastAsia"/>
          <w:sz w:val="24"/>
          <w:szCs w:val="24"/>
        </w:rPr>
        <w:t xml:space="preserve">33.1 </w:t>
      </w:r>
      <w:r>
        <w:rPr>
          <w:rFonts w:hint="eastAsia"/>
          <w:sz w:val="24"/>
          <w:szCs w:val="24"/>
          <w:lang w:eastAsia="zh-CN"/>
        </w:rPr>
        <w:t xml:space="preserve">投标人</w:t>
      </w:r>
      <w:r>
        <w:rPr>
          <w:rFonts w:hint="eastAsia"/>
          <w:sz w:val="24"/>
          <w:szCs w:val="24"/>
        </w:rPr>
        <w:t xml:space="preserve">对政府采购活动事项有疑问的，可以提出询问，采购人或者交易中心应当在3个工作日内对投标人依法提出的询问作出答复，但答复的内容不得涉及商业秘密。</w:t>
      </w:r>
      <w:r>
        <w:rPr>
          <w:rFonts w:hint="eastAsia"/>
          <w:sz w:val="24"/>
          <w:szCs w:val="24"/>
          <w:lang w:eastAsia="zh-CN"/>
        </w:rPr>
        <w:t xml:space="preserve">投标人</w:t>
      </w:r>
      <w:r>
        <w:rPr>
          <w:rFonts w:hint="eastAsia"/>
          <w:sz w:val="24"/>
          <w:szCs w:val="24"/>
        </w:rPr>
        <w:t xml:space="preserve">提出的询问超出采购人对交易中心委托授权范围的，交易中心应当告知其向采购人提出。</w:t>
      </w:r>
      <w:r/>
    </w:p>
    <w:p>
      <w:pPr>
        <w:pStyle w:val="645"/>
        <w:ind w:firstLine="562"/>
        <w:jc w:val="left"/>
        <w:spacing w:before="0" w:after="0" w:line="360" w:lineRule="auto"/>
        <w:rPr>
          <w:sz w:val="28"/>
          <w:szCs w:val="28"/>
        </w:rPr>
      </w:pPr>
      <w:r>
        <w:rPr>
          <w:rFonts w:hint="eastAsia"/>
          <w:sz w:val="28"/>
          <w:szCs w:val="28"/>
        </w:rPr>
        <w:t xml:space="preserve">34、质疑提出</w:t>
      </w:r>
      <w:r/>
    </w:p>
    <w:p>
      <w:pPr>
        <w:ind w:firstLine="480"/>
        <w:jc w:val="left"/>
        <w:spacing w:line="500" w:lineRule="exact"/>
        <w:rPr>
          <w:sz w:val="24"/>
          <w:szCs w:val="24"/>
        </w:rPr>
      </w:pPr>
      <w:r>
        <w:rPr>
          <w:rFonts w:hint="eastAsia"/>
          <w:sz w:val="24"/>
          <w:szCs w:val="24"/>
        </w:rPr>
        <w:t xml:space="preserve">34.1 提出质疑的</w:t>
      </w:r>
      <w:r>
        <w:rPr>
          <w:rFonts w:hint="eastAsia"/>
          <w:sz w:val="24"/>
          <w:szCs w:val="24"/>
          <w:lang w:eastAsia="zh-CN"/>
        </w:rPr>
        <w:t xml:space="preserve">投标人</w:t>
      </w:r>
      <w:r>
        <w:rPr>
          <w:rFonts w:hint="eastAsia"/>
          <w:sz w:val="24"/>
          <w:szCs w:val="24"/>
        </w:rPr>
        <w:t xml:space="preserve">应当是参与所质疑项目采购活动的</w:t>
      </w:r>
      <w:r>
        <w:rPr>
          <w:rFonts w:hint="eastAsia"/>
          <w:sz w:val="24"/>
          <w:szCs w:val="24"/>
          <w:lang w:eastAsia="zh-CN"/>
        </w:rPr>
        <w:t xml:space="preserve">投标人</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34.2 </w:t>
      </w:r>
      <w:r>
        <w:rPr>
          <w:rFonts w:hint="eastAsia"/>
          <w:sz w:val="24"/>
          <w:szCs w:val="24"/>
          <w:lang w:eastAsia="zh-CN"/>
        </w:rPr>
        <w:t xml:space="preserve">投标人</w:t>
      </w:r>
      <w:r>
        <w:rPr>
          <w:rFonts w:hint="eastAsia"/>
          <w:sz w:val="24"/>
          <w:szCs w:val="24"/>
        </w:rPr>
        <w:t xml:space="preserve">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lang w:eastAsia="zh-CN"/>
        </w:rPr>
        <w:t xml:space="preserve">投标人</w:t>
      </w:r>
      <w:r>
        <w:rPr>
          <w:rFonts w:hint="eastAsia"/>
          <w:sz w:val="24"/>
          <w:szCs w:val="24"/>
        </w:rPr>
        <w:t xml:space="preserve">应当在法定质疑期内一次性提出针对同一采购程序环节的质疑，</w:t>
      </w:r>
      <w:r>
        <w:rPr>
          <w:rFonts w:hint="eastAsia"/>
          <w:sz w:val="24"/>
          <w:szCs w:val="24"/>
          <w:lang w:eastAsia="zh-CN"/>
        </w:rPr>
        <w:t xml:space="preserve">投标人</w:t>
      </w:r>
      <w:r>
        <w:rPr>
          <w:rFonts w:hint="eastAsia"/>
          <w:sz w:val="24"/>
          <w:szCs w:val="24"/>
        </w:rPr>
        <w:t xml:space="preserve">如在法定期限内对同一采购程序环节提出多次质疑的，采购人、交易中心将只对</w:t>
      </w:r>
      <w:r>
        <w:rPr>
          <w:rFonts w:hint="eastAsia"/>
          <w:sz w:val="24"/>
          <w:szCs w:val="24"/>
          <w:lang w:eastAsia="zh-CN"/>
        </w:rPr>
        <w:t xml:space="preserve">投标人</w:t>
      </w:r>
      <w:r>
        <w:rPr>
          <w:rFonts w:hint="eastAsia"/>
          <w:sz w:val="24"/>
          <w:szCs w:val="24"/>
        </w:rPr>
        <w:t xml:space="preserve">第一次质疑作出答复。</w:t>
      </w:r>
      <w:r/>
    </w:p>
    <w:p>
      <w:pPr>
        <w:ind w:firstLine="480"/>
        <w:jc w:val="left"/>
        <w:spacing w:line="500" w:lineRule="exact"/>
        <w:rPr>
          <w:sz w:val="24"/>
          <w:szCs w:val="24"/>
        </w:rPr>
      </w:pPr>
      <w:r>
        <w:rPr>
          <w:rFonts w:hint="eastAsia"/>
          <w:sz w:val="24"/>
          <w:szCs w:val="24"/>
        </w:rPr>
        <w:t xml:space="preserve">未按照采购公告要求获取采购文件的</w:t>
      </w:r>
      <w:r>
        <w:rPr>
          <w:rFonts w:hint="eastAsia"/>
          <w:sz w:val="24"/>
          <w:szCs w:val="24"/>
          <w:lang w:eastAsia="zh-CN"/>
        </w:rPr>
        <w:t xml:space="preserve">投标人</w:t>
      </w:r>
      <w:r>
        <w:rPr>
          <w:rFonts w:hint="eastAsia"/>
          <w:sz w:val="24"/>
          <w:szCs w:val="24"/>
        </w:rPr>
        <w:t xml:space="preserve">，视为未参与该项目采购活动，不具备对该采购文件提出质疑的法定权利。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34.3 提出质疑时，必须坚持“实事求是”的原则，不能臆测。属于须由法定部门调查、侦查或先行作出相关认定的事项，质疑</w:t>
      </w:r>
      <w:r>
        <w:rPr>
          <w:rFonts w:hint="eastAsia"/>
          <w:sz w:val="24"/>
          <w:szCs w:val="24"/>
          <w:lang w:eastAsia="zh-CN"/>
        </w:rPr>
        <w:t xml:space="preserve">投标人</w:t>
      </w:r>
      <w:r>
        <w:rPr>
          <w:rFonts w:hint="eastAsia"/>
          <w:sz w:val="24"/>
          <w:szCs w:val="24"/>
        </w:rPr>
        <w:t xml:space="preserve">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34.4 质疑函的接收方式为</w:t>
      </w:r>
      <w:r>
        <w:rPr>
          <w:rFonts w:hint="eastAsia"/>
          <w:sz w:val="24"/>
          <w:szCs w:val="24"/>
          <w:lang w:eastAsia="zh-CN"/>
        </w:rPr>
        <w:t xml:space="preserve">投标人</w:t>
      </w:r>
      <w:r>
        <w:rPr>
          <w:rFonts w:hint="eastAsia"/>
          <w:sz w:val="24"/>
          <w:szCs w:val="24"/>
        </w:rPr>
        <w:t xml:space="preserve">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质疑函应当使用范本，详见招标文件第六章。</w:t>
      </w:r>
      <w:r>
        <w:rPr>
          <w:rFonts w:hint="eastAsia"/>
          <w:sz w:val="24"/>
          <w:szCs w:val="24"/>
          <w:lang w:eastAsia="zh-CN"/>
        </w:rPr>
        <w:t xml:space="preserve">投标人</w:t>
      </w:r>
      <w:r>
        <w:rPr>
          <w:rFonts w:hint="eastAsia"/>
          <w:sz w:val="24"/>
          <w:szCs w:val="24"/>
        </w:rPr>
        <w:t xml:space="preserve">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w:t>
      </w:r>
      <w:r>
        <w:rPr>
          <w:rFonts w:hint="eastAsia"/>
          <w:sz w:val="24"/>
          <w:szCs w:val="24"/>
          <w:lang w:eastAsia="zh-CN"/>
        </w:rPr>
        <w:t xml:space="preserve">投标人</w:t>
      </w:r>
      <w:r>
        <w:rPr>
          <w:rFonts w:hint="eastAsia"/>
          <w:sz w:val="24"/>
          <w:szCs w:val="24"/>
        </w:rPr>
        <w:t xml:space="preserve">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lang w:eastAsia="zh-CN"/>
        </w:rPr>
        <w:t xml:space="preserve">投标人</w:t>
      </w:r>
      <w:r>
        <w:rPr>
          <w:rFonts w:hint="eastAsia"/>
          <w:sz w:val="24"/>
          <w:szCs w:val="24"/>
        </w:rPr>
        <w:t xml:space="preserve">为自然人的，应当由本人签字；</w:t>
      </w:r>
      <w:r>
        <w:rPr>
          <w:rFonts w:hint="eastAsia"/>
          <w:sz w:val="24"/>
          <w:szCs w:val="24"/>
          <w:lang w:eastAsia="zh-CN"/>
        </w:rPr>
        <w:t xml:space="preserve">投标人</w:t>
      </w:r>
      <w:r>
        <w:rPr>
          <w:rFonts w:hint="eastAsia"/>
          <w:sz w:val="24"/>
          <w:szCs w:val="24"/>
        </w:rPr>
        <w:t xml:space="preserve">为法人或者其他组织的，应当由法定代表人、主要负责人，或者其委托代理人签字或者盖章，并加盖单位公章。</w:t>
      </w:r>
      <w:r/>
    </w:p>
    <w:p>
      <w:pPr>
        <w:pStyle w:val="645"/>
        <w:ind w:firstLine="562"/>
        <w:jc w:val="left"/>
        <w:spacing w:before="0" w:after="0" w:line="360" w:lineRule="auto"/>
        <w:rPr>
          <w:sz w:val="24"/>
          <w:szCs w:val="24"/>
        </w:rPr>
      </w:pPr>
      <w:r>
        <w:rPr>
          <w:rFonts w:hint="eastAsia"/>
          <w:sz w:val="28"/>
          <w:szCs w:val="28"/>
        </w:rPr>
        <w:t xml:space="preserve">35、质疑函的受理和答复</w:t>
      </w:r>
      <w:r/>
    </w:p>
    <w:p>
      <w:pPr>
        <w:ind w:firstLine="480"/>
        <w:jc w:val="left"/>
        <w:spacing w:line="500" w:lineRule="exact"/>
        <w:rPr>
          <w:sz w:val="24"/>
          <w:szCs w:val="24"/>
        </w:rPr>
      </w:pPr>
      <w:r>
        <w:rPr>
          <w:rFonts w:hint="eastAsia"/>
          <w:sz w:val="24"/>
          <w:szCs w:val="24"/>
        </w:rPr>
        <w:t xml:space="preserve">35.1 质疑</w:t>
      </w:r>
      <w:r>
        <w:rPr>
          <w:rFonts w:hint="eastAsia"/>
          <w:sz w:val="24"/>
          <w:szCs w:val="24"/>
          <w:lang w:eastAsia="zh-CN"/>
        </w:rPr>
        <w:t xml:space="preserve">投标人</w:t>
      </w:r>
      <w:r>
        <w:rPr>
          <w:rFonts w:hint="eastAsia"/>
          <w:sz w:val="24"/>
          <w:szCs w:val="24"/>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35.2 对符合法定要求的质疑，采购人、交易中心接收并登记《质疑函登记表》。在处理过程中，发现需要质疑</w:t>
      </w:r>
      <w:r>
        <w:rPr>
          <w:rFonts w:hint="eastAsia"/>
          <w:sz w:val="24"/>
          <w:szCs w:val="24"/>
          <w:lang w:eastAsia="zh-CN"/>
        </w:rPr>
        <w:t xml:space="preserve">投标人</w:t>
      </w:r>
      <w:r>
        <w:rPr>
          <w:rFonts w:hint="eastAsia"/>
          <w:sz w:val="24"/>
          <w:szCs w:val="24"/>
        </w:rPr>
        <w:t xml:space="preserve">进一步补充必要的证明材料的，质疑</w:t>
      </w:r>
      <w:r>
        <w:rPr>
          <w:rFonts w:hint="eastAsia"/>
          <w:sz w:val="24"/>
          <w:szCs w:val="24"/>
          <w:lang w:eastAsia="zh-CN"/>
        </w:rPr>
        <w:t xml:space="preserve">投标人</w:t>
      </w:r>
      <w:r>
        <w:rPr>
          <w:rFonts w:hint="eastAsia"/>
          <w:sz w:val="24"/>
          <w:szCs w:val="24"/>
        </w:rPr>
        <w:t xml:space="preserve">应在法定的时间内提供，质疑答复时间相应顺延。质疑</w:t>
      </w:r>
      <w:r>
        <w:rPr>
          <w:rFonts w:hint="eastAsia"/>
          <w:sz w:val="24"/>
          <w:szCs w:val="24"/>
          <w:lang w:eastAsia="zh-CN"/>
        </w:rPr>
        <w:t xml:space="preserve">投标人</w:t>
      </w:r>
      <w:r>
        <w:rPr>
          <w:rFonts w:hint="eastAsia"/>
          <w:sz w:val="24"/>
          <w:szCs w:val="24"/>
        </w:rPr>
        <w:t xml:space="preserve">不能按时提供必要的证明材料的，视同放弃质疑。</w:t>
      </w:r>
      <w:r/>
    </w:p>
    <w:p>
      <w:pPr>
        <w:ind w:firstLine="480"/>
        <w:jc w:val="left"/>
        <w:spacing w:line="500" w:lineRule="exact"/>
        <w:rPr>
          <w:sz w:val="24"/>
          <w:szCs w:val="24"/>
        </w:rPr>
      </w:pPr>
      <w:r>
        <w:rPr>
          <w:rFonts w:hint="eastAsia"/>
          <w:sz w:val="24"/>
          <w:szCs w:val="24"/>
        </w:rPr>
        <w:t xml:space="preserve">35.3 对不符合质疑要求的，采购人、交易中心有权要求其补充必要的证明材料，质疑</w:t>
      </w:r>
      <w:r>
        <w:rPr>
          <w:rFonts w:hint="eastAsia"/>
          <w:sz w:val="24"/>
          <w:szCs w:val="24"/>
          <w:lang w:eastAsia="zh-CN"/>
        </w:rPr>
        <w:t xml:space="preserve">投标人</w:t>
      </w:r>
      <w:r>
        <w:rPr>
          <w:rFonts w:hint="eastAsia"/>
          <w:sz w:val="24"/>
          <w:szCs w:val="24"/>
        </w:rPr>
        <w:t xml:space="preserve">未在法定时间内补充必要的证明材料的，视同放弃质疑。</w:t>
      </w:r>
      <w:r/>
    </w:p>
    <w:p>
      <w:pPr>
        <w:ind w:firstLine="480"/>
        <w:jc w:val="left"/>
        <w:spacing w:line="500" w:lineRule="exact"/>
        <w:rPr>
          <w:sz w:val="24"/>
          <w:szCs w:val="24"/>
        </w:rPr>
      </w:pPr>
      <w:r>
        <w:rPr>
          <w:rFonts w:hint="eastAsia"/>
          <w:sz w:val="24"/>
          <w:szCs w:val="24"/>
        </w:rPr>
        <w:t xml:space="preserve">35.4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w:t>
      </w:r>
      <w:r>
        <w:rPr>
          <w:rFonts w:hint="eastAsia"/>
          <w:sz w:val="24"/>
          <w:szCs w:val="24"/>
          <w:lang w:eastAsia="zh-CN"/>
        </w:rPr>
        <w:t xml:space="preserve">投标人</w:t>
      </w:r>
      <w:r>
        <w:rPr>
          <w:rFonts w:hint="eastAsia"/>
          <w:sz w:val="24"/>
          <w:szCs w:val="24"/>
        </w:rPr>
        <w:t xml:space="preserve">提出的质疑。</w:t>
      </w:r>
      <w:r/>
    </w:p>
    <w:p>
      <w:pPr>
        <w:ind w:firstLine="480"/>
        <w:jc w:val="left"/>
        <w:spacing w:line="500" w:lineRule="exact"/>
        <w:rPr>
          <w:sz w:val="24"/>
          <w:szCs w:val="24"/>
        </w:rPr>
      </w:pPr>
      <w:r>
        <w:rPr>
          <w:rFonts w:hint="eastAsia"/>
          <w:sz w:val="24"/>
          <w:szCs w:val="24"/>
        </w:rPr>
        <w:t xml:space="preserve">（5）</w:t>
      </w:r>
      <w:r>
        <w:rPr>
          <w:rFonts w:hint="eastAsia"/>
          <w:sz w:val="24"/>
          <w:szCs w:val="24"/>
          <w:lang w:eastAsia="zh-CN"/>
        </w:rPr>
        <w:t xml:space="preserve">投标人</w:t>
      </w:r>
      <w:r>
        <w:rPr>
          <w:rFonts w:hint="eastAsia"/>
          <w:sz w:val="24"/>
          <w:szCs w:val="24"/>
        </w:rPr>
        <w:t xml:space="preserve">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采购人、交易中心依法受理的质疑，将按照政府采购有关规定，在法定期限内作出答复。</w:t>
      </w:r>
      <w:r/>
    </w:p>
    <w:p>
      <w:pPr>
        <w:pStyle w:val="645"/>
        <w:ind w:firstLine="562"/>
        <w:jc w:val="left"/>
        <w:spacing w:before="0" w:after="0" w:line="360" w:lineRule="auto"/>
        <w:rPr>
          <w:sz w:val="28"/>
          <w:szCs w:val="28"/>
        </w:rPr>
      </w:pPr>
      <w:r>
        <w:rPr>
          <w:rFonts w:hint="eastAsia"/>
          <w:sz w:val="28"/>
          <w:szCs w:val="28"/>
        </w:rPr>
        <w:t xml:space="preserve">36、质疑处理</w:t>
      </w:r>
      <w:r/>
    </w:p>
    <w:p>
      <w:pPr>
        <w:ind w:firstLine="480"/>
        <w:jc w:val="left"/>
        <w:spacing w:line="500" w:lineRule="exact"/>
        <w:rPr>
          <w:sz w:val="24"/>
          <w:szCs w:val="24"/>
        </w:rPr>
      </w:pPr>
      <w:r>
        <w:rPr>
          <w:rFonts w:hint="eastAsia"/>
          <w:sz w:val="24"/>
          <w:szCs w:val="24"/>
        </w:rPr>
        <w:t xml:space="preserve">36.1 质疑</w:t>
      </w:r>
      <w:r>
        <w:rPr>
          <w:rFonts w:hint="eastAsia"/>
          <w:sz w:val="24"/>
          <w:szCs w:val="24"/>
          <w:lang w:eastAsia="zh-CN"/>
        </w:rPr>
        <w:t xml:space="preserve">投标人</w:t>
      </w:r>
      <w:r>
        <w:rPr>
          <w:rFonts w:hint="eastAsia"/>
          <w:sz w:val="24"/>
          <w:szCs w:val="24"/>
        </w:rPr>
        <w:t xml:space="preserve">未按照法定程序进行质疑投诉的，视为一般失信行为。</w:t>
      </w:r>
      <w:r/>
    </w:p>
    <w:p>
      <w:pPr>
        <w:ind w:firstLine="480"/>
        <w:jc w:val="left"/>
        <w:spacing w:line="500" w:lineRule="exact"/>
        <w:rPr>
          <w:sz w:val="24"/>
          <w:szCs w:val="24"/>
        </w:rPr>
      </w:pPr>
      <w:r>
        <w:rPr>
          <w:rFonts w:hint="eastAsia"/>
          <w:sz w:val="24"/>
          <w:szCs w:val="24"/>
        </w:rPr>
        <w:t xml:space="preserve">36.2 质疑</w:t>
      </w:r>
      <w:r>
        <w:rPr>
          <w:rFonts w:hint="eastAsia"/>
          <w:sz w:val="24"/>
          <w:szCs w:val="24"/>
          <w:lang w:eastAsia="zh-CN"/>
        </w:rPr>
        <w:t xml:space="preserve">投标人</w:t>
      </w:r>
      <w:r>
        <w:rPr>
          <w:rFonts w:hint="eastAsia"/>
          <w:sz w:val="24"/>
          <w:szCs w:val="24"/>
        </w:rPr>
        <w:t xml:space="preserve">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质疑</w:t>
      </w:r>
      <w:r>
        <w:rPr>
          <w:rFonts w:hint="eastAsia"/>
          <w:sz w:val="24"/>
          <w:szCs w:val="24"/>
          <w:lang w:eastAsia="zh-CN"/>
        </w:rPr>
        <w:t xml:space="preserve">投标人</w:t>
      </w:r>
      <w:r>
        <w:rPr>
          <w:rFonts w:hint="eastAsia"/>
          <w:sz w:val="24"/>
          <w:szCs w:val="24"/>
        </w:rPr>
        <w:t xml:space="preserve">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36.4 质疑</w:t>
      </w:r>
      <w:r>
        <w:rPr>
          <w:rFonts w:hint="eastAsia"/>
          <w:sz w:val="24"/>
          <w:szCs w:val="24"/>
          <w:lang w:eastAsia="zh-CN"/>
        </w:rPr>
        <w:t xml:space="preserve">投标人</w:t>
      </w:r>
      <w:r>
        <w:rPr>
          <w:rFonts w:hint="eastAsia"/>
          <w:sz w:val="24"/>
          <w:szCs w:val="24"/>
        </w:rPr>
        <w:t xml:space="preserve">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36.5 质疑</w:t>
      </w:r>
      <w:r>
        <w:rPr>
          <w:rFonts w:hint="eastAsia"/>
          <w:sz w:val="24"/>
          <w:szCs w:val="24"/>
          <w:lang w:eastAsia="zh-CN"/>
        </w:rPr>
        <w:t xml:space="preserve">投标人</w:t>
      </w:r>
      <w:r>
        <w:rPr>
          <w:rFonts w:hint="eastAsia"/>
          <w:sz w:val="24"/>
          <w:szCs w:val="24"/>
        </w:rPr>
        <w:t xml:space="preserve">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质疑</w:t>
      </w:r>
      <w:r>
        <w:rPr>
          <w:rFonts w:hint="eastAsia"/>
          <w:sz w:val="24"/>
          <w:szCs w:val="24"/>
          <w:lang w:eastAsia="zh-CN"/>
        </w:rPr>
        <w:t xml:space="preserve">投标人</w:t>
      </w:r>
      <w:r>
        <w:rPr>
          <w:rFonts w:hint="eastAsia"/>
          <w:sz w:val="24"/>
          <w:szCs w:val="24"/>
        </w:rPr>
        <w:t xml:space="preserve">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644"/>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45"/>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37.2 本项目对提供的服务全部由小型企业、微型企业、残疾人福利性单位和监狱企业承接的报价给予10%的扣除，用扣除后的价格参与评审。</w:t>
      </w:r>
      <w:r/>
    </w:p>
    <w:p>
      <w:pPr>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37.3 参加本项目政府采购活动的</w:t>
      </w:r>
      <w:r>
        <w:rPr>
          <w:rFonts w:hint="eastAsia"/>
          <w:sz w:val="24"/>
          <w:szCs w:val="24"/>
          <w:lang w:eastAsia="zh-CN"/>
        </w:rPr>
        <w:t xml:space="preserve">投标人</w:t>
      </w:r>
      <w:r>
        <w:rPr>
          <w:rFonts w:hint="eastAsia"/>
          <w:sz w:val="24"/>
          <w:szCs w:val="24"/>
        </w:rPr>
        <w:t xml:space="preserve">享受价格评审优惠的应当提供的材料： </w:t>
      </w:r>
      <w:r/>
    </w:p>
    <w:p>
      <w:pPr>
        <w:ind w:firstLine="480"/>
        <w:jc w:val="left"/>
        <w:spacing w:line="500" w:lineRule="exact"/>
        <w:rPr>
          <w:sz w:val="24"/>
          <w:szCs w:val="24"/>
        </w:rPr>
      </w:pPr>
      <w:r>
        <w:rPr>
          <w:rFonts w:hint="eastAsia"/>
          <w:sz w:val="24"/>
          <w:szCs w:val="24"/>
        </w:rPr>
        <w:t xml:space="preserve">（1）投标人为小型企业、微型企业的，提供《中小企业声明函》（第六章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37.5 享受扶持政策获得政府采购合同的，小微型企业不得将合同分包给大中型企业，中型企业不得将合同分包给大型企业。</w:t>
      </w:r>
      <w:r/>
    </w:p>
    <w:p>
      <w:pPr>
        <w:ind w:firstLine="482"/>
        <w:spacing w:line="500" w:lineRule="exact"/>
        <w:rPr>
          <w:rFonts w:hint="eastAsia" w:ascii="Calibri" w:hAnsi="Calibri" w:eastAsia="宋体" w:cs="Times New Roman"/>
          <w:b w:val="0"/>
          <w:bCs w:val="0"/>
          <w:color w:val="auto"/>
          <w:sz w:val="24"/>
          <w:szCs w:val="24"/>
        </w:rPr>
      </w:pPr>
      <w:r/>
      <w:bookmarkStart w:id="4" w:name="_Toc155796358"/>
      <w:r/>
      <w:bookmarkStart w:id="5" w:name="_Toc28065"/>
      <w:r/>
      <w:bookmarkStart w:id="6" w:name="_Toc32270"/>
      <w:r>
        <w:rPr>
          <w:rFonts w:hint="eastAsia" w:ascii="Calibri" w:hAnsi="Calibri" w:eastAsia="宋体" w:cs="Times New Roman"/>
          <w:b w:val="0"/>
          <w:bCs w:val="0"/>
          <w:color w:val="auto"/>
          <w:sz w:val="24"/>
          <w:szCs w:val="24"/>
        </w:rPr>
        <w:t xml:space="preserve">38、采购本国产品的支持政策</w:t>
      </w:r>
      <w:r/>
    </w:p>
    <w:p>
      <w:pPr>
        <w:ind w:firstLine="482"/>
        <w:spacing w:line="500" w:lineRule="exact"/>
        <w:rPr>
          <w:rFonts w:hint="eastAsia" w:ascii="Calibri" w:hAnsi="Calibri" w:eastAsia="宋体" w:cs="Times New Roman"/>
          <w:b w:val="0"/>
          <w:bCs w:val="0"/>
          <w:color w:val="auto"/>
          <w:sz w:val="24"/>
          <w:szCs w:val="24"/>
        </w:rPr>
      </w:pPr>
      <w:r>
        <w:rPr>
          <w:rFonts w:hint="eastAsia" w:ascii="Calibri" w:hAnsi="Calibri" w:eastAsia="宋体" w:cs="Times New Roman"/>
          <w:b w:val="0"/>
          <w:bCs w:val="0"/>
          <w:color w:val="auto"/>
          <w:sz w:val="24"/>
          <w:szCs w:val="24"/>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w:t>
      </w:r>
      <w:r>
        <w:rPr>
          <w:rFonts w:hint="eastAsia" w:ascii="Calibri" w:hAnsi="Calibri" w:eastAsia="宋体" w:cs="Times New Roman"/>
          <w:b w:val="0"/>
          <w:bCs w:val="0"/>
          <w:color w:val="auto"/>
          <w:sz w:val="24"/>
          <w:szCs w:val="24"/>
          <w:lang w:eastAsia="zh-CN"/>
        </w:rPr>
        <w:t xml:space="preserve">投标人</w:t>
      </w:r>
      <w:r>
        <w:rPr>
          <w:rFonts w:hint="eastAsia" w:ascii="Calibri" w:hAnsi="Calibri" w:eastAsia="宋体" w:cs="Times New Roman"/>
          <w:b w:val="0"/>
          <w:bCs w:val="0"/>
          <w:color w:val="auto"/>
          <w:sz w:val="24"/>
          <w:szCs w:val="24"/>
        </w:rPr>
        <w:t xml:space="preserve">的报价签订。 </w:t>
      </w:r>
      <w:r/>
    </w:p>
    <w:p>
      <w:pPr>
        <w:ind w:firstLine="482"/>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38.2 当采购项目或者采购包中含有多种产品，</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为该采购项目或者采购包提供的符合本国产品标准的产品成本之和占该</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提供的全部产品成本之和的比例达到80%以上时（</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需在“第六章 投标文件格式十</w:t>
      </w:r>
      <w:r>
        <w:rPr>
          <w:rFonts w:hint="eastAsia" w:ascii="宋体" w:hAnsi="宋体" w:eastAsia="宋体" w:cs="宋体"/>
          <w:b w:val="0"/>
          <w:bCs w:val="0"/>
          <w:color w:val="auto"/>
          <w:sz w:val="24"/>
          <w:szCs w:val="24"/>
          <w:lang w:val="en-US" w:eastAsia="zh-CN"/>
        </w:rPr>
        <w:t xml:space="preserve">一</w:t>
      </w:r>
      <w:r>
        <w:rPr>
          <w:rFonts w:hint="eastAsia" w:ascii="宋体" w:hAnsi="宋体" w:eastAsia="宋体" w:cs="宋体"/>
          <w:b w:val="0"/>
          <w:bCs w:val="0"/>
          <w:color w:val="auto"/>
          <w:sz w:val="24"/>
          <w:szCs w:val="24"/>
        </w:rPr>
        <w:t xml:space="preserve"> 投标分项报价表”中填写比例数值），依法对该</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提供的全部产品给予价格评审优惠，即对该</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提供的全部产品的总报价给予20%的价格扣除，用扣除后的价格参与评审。</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未填写比例数值，或比例数值未达到80%的，将不享受本国产品价格评审优惠。</w:t>
      </w:r>
      <w:r/>
    </w:p>
    <w:p>
      <w:pPr>
        <w:ind w:firstLine="482"/>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38.3 </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需按照招标文件的要求提供《关于符合本国产品标准的声明函》（以下简称《声明函》），如不提供将不享受本国产品价格评审优惠。</w:t>
      </w:r>
      <w:r/>
    </w:p>
    <w:p>
      <w:pPr>
        <w:ind w:firstLine="482"/>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38.4 </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jc w:val="both"/>
        <w:keepLines/>
        <w:keepNext/>
        <w:spacing w:before="0" w:after="0" w:line="360" w:lineRule="auto"/>
        <w:widowControl w:val="off"/>
        <w:rPr>
          <w:rFonts w:hint="eastAsia" w:ascii="宋体" w:hAnsi="宋体" w:eastAsia="宋体" w:cs="宋体"/>
          <w:b/>
          <w:bCs/>
          <w:color w:val="auto"/>
          <w:sz w:val="24"/>
          <w:szCs w:val="24"/>
          <w:lang w:val="en-US" w:eastAsia="zh-CN" w:bidi="ar-SA"/>
        </w:rPr>
        <w:outlineLvl w:val="2"/>
      </w:pPr>
      <w:r>
        <w:rPr>
          <w:rFonts w:hint="eastAsia" w:ascii="宋体" w:hAnsi="宋体" w:eastAsia="宋体" w:cs="宋体"/>
          <w:b w:val="0"/>
          <w:bCs w:val="0"/>
          <w:color w:val="auto"/>
          <w:sz w:val="24"/>
          <w:szCs w:val="24"/>
          <w:lang w:val="en-US" w:eastAsia="zh-CN" w:bidi="ar-SA"/>
        </w:rPr>
        <w:t xml:space="preserve">38.5政府采购中的本国产品标准及其他未尽事宜详见《国务院办公厅关于在政府采购中实施本国产品标准及相关政策的通知》（国办发〔2025〕34号）。 </w:t>
      </w:r>
      <w:r>
        <w:rPr>
          <w:rFonts w:hint="eastAsia" w:ascii="宋体" w:hAnsi="宋体" w:eastAsia="宋体" w:cs="宋体"/>
          <w:b/>
          <w:bCs/>
          <w:color w:val="auto"/>
          <w:sz w:val="24"/>
          <w:szCs w:val="24"/>
          <w:lang w:val="en-US" w:eastAsia="zh-CN" w:bidi="ar-SA"/>
        </w:rPr>
        <w:t xml:space="preserve"> </w:t>
      </w:r>
      <w:r/>
    </w:p>
    <w:p>
      <w:pPr>
        <w:ind w:firstLine="482"/>
        <w:jc w:val="both"/>
        <w:keepLines/>
        <w:keepNext/>
        <w:spacing w:before="0" w:after="0" w:line="360" w:lineRule="auto"/>
        <w:widowControl w:val="off"/>
        <w:rPr>
          <w:rFonts w:hint="default"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39、支持绿色发展</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562"/>
        <w:jc w:val="left"/>
        <w:keepLines/>
        <w:keepNext/>
        <w:spacing w:before="0" w:after="0" w:line="360" w:lineRule="auto"/>
        <w:widowControl w:val="off"/>
        <w:rPr>
          <w:rFonts w:hint="default"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40、政府采购需求标准</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本项目执行《绿色数据中心政府采购需求</w:t>
      </w:r>
      <w:r>
        <w:rPr>
          <w:rFonts w:hint="eastAsia" w:ascii="Calibri" w:hAnsi="Calibri" w:eastAsia="宋体" w:cs="Times New Roman"/>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rPr>
          <w:rFonts w:hint="eastAsia" w:ascii="黑体" w:hAnsi="黑体" w:eastAsia="黑体"/>
          <w:b w:val="0"/>
        </w:rPr>
      </w:pPr>
      <w:r>
        <w:rPr>
          <w:rFonts w:hint="eastAsia" w:ascii="黑体" w:hAnsi="黑体" w:eastAsia="黑体"/>
          <w:b w:val="0"/>
        </w:rPr>
        <w:br w:type="page" w:clear="all"/>
      </w:r>
      <w:r/>
    </w:p>
    <w:p>
      <w:pPr>
        <w:pStyle w:val="643"/>
        <w:jc w:val="center"/>
        <w:spacing w:before="156" w:after="156" w:line="360" w:lineRule="auto"/>
        <w:rPr>
          <w:rFonts w:ascii="黑体" w:hAnsi="黑体" w:eastAsia="黑体"/>
          <w:b w:val="0"/>
        </w:rPr>
        <w:outlineLvl w:val="0"/>
      </w:pPr>
      <w:r>
        <w:rPr>
          <w:rFonts w:hint="eastAsia" w:ascii="黑体" w:hAnsi="黑体" w:eastAsia="黑体"/>
          <w:b w:val="0"/>
        </w:rPr>
        <w:t xml:space="preserve">第三章  合同文本</w:t>
      </w:r>
      <w:bookmarkEnd w:id="4"/>
      <w:r/>
      <w:bookmarkEnd w:id="5"/>
      <w:r/>
      <w:bookmarkEnd w:id="6"/>
      <w:r/>
      <w:r/>
    </w:p>
    <w:p>
      <w:pPr>
        <w:jc w:val="center"/>
        <w:spacing w:line="500" w:lineRule="exact"/>
        <w:rPr>
          <w:rFonts w:hint="eastAsia" w:ascii="黑体" w:hAnsi="黑体" w:eastAsia="黑体"/>
          <w:sz w:val="32"/>
          <w:szCs w:val="24"/>
        </w:rPr>
      </w:pPr>
      <w:r>
        <w:rPr>
          <w:rFonts w:hint="eastAsia" w:ascii="黑体" w:hAnsi="黑体" w:eastAsia="黑体"/>
          <w:sz w:val="32"/>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rFonts w:hint="eastAsia"/>
          <w:sz w:val="24"/>
          <w:szCs w:val="24"/>
        </w:rPr>
      </w:pPr>
      <w:r>
        <w:rPr>
          <w:rFonts w:hint="eastAsia"/>
          <w:sz w:val="24"/>
          <w:szCs w:val="24"/>
        </w:rPr>
        <w:t xml:space="preserve">甲方：（买方）</w:t>
      </w:r>
      <w:r>
        <w:rPr>
          <w:sz w:val="24"/>
          <w:szCs w:val="24"/>
        </w:rPr>
        <w:t xml:space="preserve">_________</w:t>
      </w:r>
      <w:r/>
    </w:p>
    <w:p>
      <w:pPr>
        <w:jc w:val="left"/>
        <w:spacing w:line="500" w:lineRule="exact"/>
        <w:rPr>
          <w:sz w:val="24"/>
          <w:szCs w:val="24"/>
        </w:rPr>
      </w:pPr>
      <w:r>
        <w:rPr>
          <w:rFonts w:hint="eastAsia"/>
          <w:sz w:val="24"/>
          <w:szCs w:val="24"/>
        </w:rPr>
        <w:t xml:space="preserve">乙方：（卖方）</w:t>
      </w:r>
      <w:r>
        <w:rPr>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sz w:val="24"/>
          <w:szCs w:val="24"/>
          <w:u w:val="single"/>
        </w:rPr>
        <w:t xml:space="preserve">         </w:t>
      </w:r>
      <w:r>
        <w:rPr>
          <w:rFonts w:hint="eastAsia"/>
          <w:sz w:val="24"/>
          <w:szCs w:val="24"/>
        </w:rPr>
        <w:t xml:space="preserve">项目（项目编号：</w:t>
      </w:r>
      <w:r>
        <w:rPr>
          <w:sz w:val="24"/>
          <w:szCs w:val="24"/>
        </w:rPr>
        <w:t xml:space="preserve">             </w:t>
      </w:r>
      <w:r>
        <w:rPr>
          <w:rFonts w:hint="eastAsia"/>
          <w:sz w:val="24"/>
          <w:szCs w:val="24"/>
        </w:rPr>
        <w:t xml:space="preserve">）</w:t>
      </w:r>
      <w:r>
        <w:rPr>
          <w:rFonts w:hint="eastAsia"/>
          <w:sz w:val="24"/>
          <w:szCs w:val="24"/>
          <w:lang w:val="en-US" w:eastAsia="zh-CN"/>
        </w:rPr>
        <w:t xml:space="preserve">公开招标</w:t>
      </w:r>
      <w:r>
        <w:rPr>
          <w:rFonts w:hint="eastAsia"/>
          <w:sz w:val="24"/>
          <w:szCs w:val="24"/>
        </w:rPr>
        <w:t xml:space="preserve">采购的结果，签订本合同。</w:t>
      </w:r>
      <w:r/>
    </w:p>
    <w:p>
      <w:pPr>
        <w:ind w:firstLine="480"/>
        <w:jc w:val="left"/>
        <w:keepLines w:val="0"/>
        <w:keepNext w:val="0"/>
        <w:pageBreakBefore w:val="0"/>
        <w:spacing w:line="500" w:lineRule="exact"/>
        <w:widowControl w:val="off"/>
        <w:rPr>
          <w:rFonts w:ascii="黑体" w:hAnsi="黑体" w:eastAsia="黑体"/>
          <w:sz w:val="24"/>
          <w:szCs w:val="24"/>
        </w:rPr>
      </w:pPr>
      <w:r>
        <w:rPr>
          <w:rFonts w:hint="eastAsia" w:ascii="黑体" w:hAnsi="黑体" w:eastAsia="黑体"/>
          <w:sz w:val="24"/>
          <w:szCs w:val="24"/>
        </w:rPr>
        <w:t xml:space="preserve">一、合同内容</w:t>
      </w:r>
      <w:r/>
    </w:p>
    <w:p>
      <w:pPr>
        <w:ind w:firstLine="480"/>
        <w:jc w:val="left"/>
        <w:keepLines w:val="0"/>
        <w:keepNext w:val="0"/>
        <w:pageBreakBefore w:val="0"/>
        <w:spacing w:line="500" w:lineRule="exact"/>
        <w:widowControl w:val="off"/>
        <w:rPr>
          <w:rFonts w:hint="eastAsia"/>
          <w:sz w:val="24"/>
          <w:szCs w:val="24"/>
        </w:rPr>
      </w:pPr>
      <w:r>
        <w:rPr>
          <w:sz w:val="24"/>
          <w:szCs w:val="24"/>
        </w:rPr>
        <w:t xml:space="preserve">1.1 </w:t>
      </w:r>
      <w:r>
        <w:rPr>
          <w:rFonts w:hint="eastAsia"/>
          <w:sz w:val="24"/>
          <w:szCs w:val="24"/>
        </w:rPr>
        <w:t xml:space="preserve">服务内容：</w:t>
      </w:r>
      <w:r>
        <w:rPr>
          <w:sz w:val="24"/>
          <w:szCs w:val="24"/>
          <w:u w:val="single"/>
        </w:rPr>
        <w:t xml:space="preserve">  </w:t>
      </w:r>
      <w:r>
        <w:rPr>
          <w:rFonts w:hint="eastAsia"/>
          <w:sz w:val="24"/>
          <w:szCs w:val="24"/>
          <w:u w:val="single"/>
          <w:lang w:val="en-US" w:eastAsia="zh-CN"/>
        </w:rPr>
        <w:t xml:space="preserve">     </w:t>
      </w:r>
      <w:r>
        <w:rPr>
          <w:sz w:val="24"/>
          <w:szCs w:val="24"/>
          <w:u w:val="single"/>
        </w:rPr>
        <w:t xml:space="preserve">    </w:t>
      </w:r>
      <w:r>
        <w:rPr>
          <w:rFonts w:hint="eastAsia"/>
          <w:sz w:val="24"/>
          <w:szCs w:val="24"/>
        </w:rPr>
        <w:t xml:space="preserve">。</w:t>
      </w:r>
      <w:r/>
    </w:p>
    <w:p>
      <w:pPr>
        <w:pStyle w:val="670"/>
        <w:ind w:firstLine="480"/>
        <w:keepLines w:val="0"/>
        <w:keepNext w:val="0"/>
        <w:pageBreakBefore w:val="0"/>
        <w:spacing w:line="500" w:lineRule="exact"/>
        <w:widowControl w:val="off"/>
        <w:rPr>
          <w:rFonts w:hint="eastAsia" w:ascii="新宋体" w:hAnsi="新宋体" w:eastAsia="新宋体" w:cs="新宋体"/>
          <w:color w:val="auto"/>
          <w:sz w:val="28"/>
          <w:szCs w:val="28"/>
          <w:highlight w:val="none"/>
          <w:u w:val="single"/>
          <w:lang w:val="en-US" w:eastAsia="zh-CN"/>
        </w:rPr>
      </w:pPr>
      <w:r>
        <w:rPr>
          <w:sz w:val="24"/>
          <w:szCs w:val="24"/>
        </w:rPr>
        <w:t xml:space="preserve">1.2 </w:t>
      </w:r>
      <w:r>
        <w:rPr>
          <w:rFonts w:hint="eastAsia"/>
          <w:sz w:val="24"/>
          <w:szCs w:val="24"/>
        </w:rPr>
        <w:t xml:space="preserve">服务要求：</w:t>
      </w:r>
      <w:r>
        <w:rPr>
          <w:rFonts w:hint="eastAsia" w:ascii="宋体" w:hAnsi="宋体" w:cs="宋体" w:eastAsiaTheme="minorEastAsia"/>
          <w:color w:val="auto"/>
          <w:sz w:val="24"/>
          <w:szCs w:val="24"/>
          <w:highlight w:val="none"/>
          <w:u w:val="single"/>
          <w:lang w:val="en-US" w:eastAsia="zh-CN" w:bidi="ar-SA"/>
        </w:rPr>
        <w:t xml:space="preserve">          。</w:t>
      </w:r>
      <w:r/>
    </w:p>
    <w:p>
      <w:pPr>
        <w:ind w:firstLine="480"/>
        <w:jc w:val="left"/>
        <w:keepLines w:val="0"/>
        <w:keepNext w:val="0"/>
        <w:pageBreakBefore w:val="0"/>
        <w:spacing w:line="500" w:lineRule="exact"/>
        <w:widowControl w:val="off"/>
        <w:rPr>
          <w:color w:val="auto"/>
          <w:sz w:val="24"/>
          <w:szCs w:val="24"/>
          <w:highlight w:val="none"/>
        </w:rPr>
      </w:pPr>
      <w:r>
        <w:rPr>
          <w:color w:val="auto"/>
          <w:sz w:val="24"/>
          <w:szCs w:val="24"/>
          <w:highlight w:val="none"/>
        </w:rPr>
        <w:t xml:space="preserve">1.3 </w:t>
      </w:r>
      <w:r>
        <w:rPr>
          <w:rFonts w:hint="eastAsia"/>
          <w:color w:val="auto"/>
          <w:sz w:val="24"/>
          <w:szCs w:val="24"/>
          <w:highlight w:val="none"/>
        </w:rPr>
        <w:t xml:space="preserve">服务标准：</w:t>
      </w:r>
      <w:r>
        <w:rPr>
          <w:rFonts w:hint="eastAsia" w:ascii="宋体" w:hAnsi="宋体" w:cs="宋体" w:eastAsiaTheme="minorEastAsia"/>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cs="宋体" w:eastAsiaTheme="minorEastAsia"/>
          <w:color w:val="auto"/>
          <w:sz w:val="24"/>
          <w:szCs w:val="24"/>
          <w:highlight w:val="none"/>
          <w:u w:val="single"/>
          <w:lang w:val="en-US" w:eastAsia="zh-CN" w:bidi="ar-SA"/>
        </w:rPr>
        <w:t xml:space="preserve">    。</w:t>
      </w:r>
      <w:r/>
    </w:p>
    <w:p>
      <w:pPr>
        <w:ind w:firstLine="480"/>
        <w:jc w:val="left"/>
        <w:keepLines w:val="0"/>
        <w:keepNext w:val="0"/>
        <w:pageBreakBefore w:val="0"/>
        <w:spacing w:line="500" w:lineRule="exact"/>
        <w:widowControl w:val="off"/>
        <w:rPr>
          <w:sz w:val="24"/>
          <w:szCs w:val="24"/>
        </w:rPr>
      </w:pPr>
      <w:r>
        <w:rPr>
          <w:sz w:val="24"/>
          <w:szCs w:val="24"/>
        </w:rPr>
        <w:t xml:space="preserve">1.4 </w:t>
      </w:r>
      <w:r>
        <w:rPr>
          <w:rFonts w:hint="eastAsia"/>
          <w:sz w:val="24"/>
          <w:szCs w:val="24"/>
        </w:rPr>
        <w:t xml:space="preserve">补充条款：</w:t>
      </w:r>
      <w:r>
        <w:rPr>
          <w:sz w:val="24"/>
          <w:szCs w:val="24"/>
          <w:u w:val="single"/>
        </w:rPr>
        <w:t xml:space="preserve">      </w:t>
      </w:r>
      <w:r>
        <w:rPr>
          <w:rFonts w:hint="eastAsia"/>
          <w:sz w:val="24"/>
          <w:szCs w:val="24"/>
        </w:rPr>
        <w:t xml:space="preserve">。</w:t>
      </w:r>
      <w:r/>
    </w:p>
    <w:p>
      <w:pPr>
        <w:ind w:firstLine="480"/>
        <w:jc w:val="left"/>
        <w:keepLines w:val="0"/>
        <w:keepNext w:val="0"/>
        <w:pageBreakBefore w:val="0"/>
        <w:spacing w:line="500" w:lineRule="exact"/>
        <w:widowControl w:val="off"/>
        <w:rPr>
          <w:rFonts w:ascii="黑体" w:hAnsi="黑体" w:eastAsia="黑体"/>
          <w:sz w:val="24"/>
          <w:szCs w:val="24"/>
        </w:rPr>
      </w:pPr>
      <w:r>
        <w:rPr>
          <w:rFonts w:hint="eastAsia" w:ascii="黑体" w:hAnsi="黑体" w:eastAsia="黑体"/>
          <w:sz w:val="24"/>
          <w:szCs w:val="24"/>
        </w:rPr>
        <w:t xml:space="preserve">二、合同金额</w:t>
      </w:r>
      <w:r/>
    </w:p>
    <w:p>
      <w:pPr>
        <w:ind w:firstLine="480"/>
        <w:jc w:val="left"/>
        <w:keepLines w:val="0"/>
        <w:keepNext w:val="0"/>
        <w:pageBreakBefore w:val="0"/>
        <w:spacing w:line="500" w:lineRule="exact"/>
        <w:widowControl w:val="off"/>
        <w:rPr>
          <w:rFonts w:hint="eastAsia"/>
          <w:sz w:val="24"/>
          <w:szCs w:val="24"/>
        </w:rPr>
      </w:pPr>
      <w:r>
        <w:rPr>
          <w:sz w:val="24"/>
          <w:szCs w:val="24"/>
        </w:rPr>
        <w:t xml:space="preserve">2.1 </w:t>
      </w:r>
      <w:r>
        <w:rPr>
          <w:rFonts w:hint="eastAsia"/>
          <w:sz w:val="24"/>
          <w:szCs w:val="24"/>
        </w:rPr>
        <w:t xml:space="preserve">本合同金额为人民币（大写）：</w:t>
      </w:r>
      <w:r>
        <w:rPr>
          <w:sz w:val="24"/>
          <w:szCs w:val="24"/>
          <w:u w:val="single"/>
        </w:rPr>
        <w:t xml:space="preserve">     </w:t>
      </w:r>
      <w:r>
        <w:rPr>
          <w:rFonts w:hint="eastAsia"/>
          <w:sz w:val="24"/>
          <w:szCs w:val="24"/>
        </w:rPr>
        <w:t xml:space="preserve">元（</w:t>
      </w:r>
      <w:r>
        <w:rPr>
          <w:sz w:val="24"/>
          <w:szCs w:val="24"/>
        </w:rPr>
        <w:t xml:space="preserve">¥</w:t>
      </w:r>
      <w:r>
        <w:rPr>
          <w:sz w:val="24"/>
          <w:szCs w:val="24"/>
          <w:u w:val="single"/>
        </w:rPr>
        <w:t xml:space="preserve">     </w:t>
      </w:r>
      <w:r>
        <w:rPr>
          <w:rFonts w:hint="eastAsia"/>
          <w:sz w:val="24"/>
          <w:szCs w:val="24"/>
        </w:rPr>
        <w:t xml:space="preserve">）。</w:t>
      </w:r>
      <w:r/>
    </w:p>
    <w:p>
      <w:pPr>
        <w:ind w:firstLine="480"/>
        <w:jc w:val="left"/>
        <w:keepLines w:val="0"/>
        <w:keepNext w:val="0"/>
        <w:pageBreakBefore w:val="0"/>
        <w:spacing w:line="500" w:lineRule="exact"/>
        <w:widowControl w:val="off"/>
        <w:rPr>
          <w:sz w:val="24"/>
          <w:szCs w:val="24"/>
        </w:rPr>
      </w:pPr>
      <w:r>
        <w:rPr>
          <w:sz w:val="24"/>
          <w:szCs w:val="24"/>
        </w:rPr>
        <w:t xml:space="preserve">2.2 </w:t>
      </w:r>
      <w:r>
        <w:rPr>
          <w:rFonts w:hint="eastAsia"/>
          <w:sz w:val="24"/>
          <w:szCs w:val="24"/>
        </w:rPr>
        <w:t xml:space="preserve">本合同价款包含所有乙方提供合同约定服务的报酬及乙方提供合同约定服务所支出的必要费用，甲方在上述合同价款之外不再向乙方支付其他任何费用。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rFonts w:hint="eastAsia"/>
          <w:sz w:val="24"/>
          <w:szCs w:val="24"/>
        </w:rPr>
      </w:pPr>
      <w:r>
        <w:rPr>
          <w:sz w:val="24"/>
          <w:szCs w:val="24"/>
        </w:rPr>
        <w:t xml:space="preserve">3.1 </w:t>
      </w:r>
      <w:r>
        <w:rPr>
          <w:rFonts w:hint="eastAsia"/>
          <w:sz w:val="24"/>
          <w:szCs w:val="24"/>
        </w:rPr>
        <w:t xml:space="preserve">乙方应按采购文件规定的时间向甲方提供有关技术资料。</w:t>
      </w:r>
      <w:r/>
    </w:p>
    <w:p>
      <w:pPr>
        <w:ind w:firstLine="480"/>
        <w:jc w:val="left"/>
        <w:spacing w:line="500" w:lineRule="exact"/>
        <w:rPr>
          <w:sz w:val="24"/>
          <w:szCs w:val="24"/>
        </w:rPr>
      </w:pPr>
      <w:r>
        <w:rPr>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rFonts w:hint="eastAsia"/>
          <w:sz w:val="24"/>
          <w:szCs w:val="24"/>
        </w:rPr>
      </w:pPr>
      <w:r>
        <w:rPr>
          <w:sz w:val="24"/>
          <w:szCs w:val="24"/>
        </w:rPr>
        <w:t xml:space="preserve">4.1 </w:t>
      </w:r>
      <w:r>
        <w:rPr>
          <w:rFonts w:hint="eastAsia"/>
          <w:sz w:val="24"/>
          <w:szCs w:val="24"/>
        </w:rPr>
        <w:t xml:space="preserve">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rFonts w:hint="eastAsia"/>
          <w:sz w:val="24"/>
          <w:szCs w:val="24"/>
        </w:rPr>
      </w:pPr>
      <w:r>
        <w:rPr>
          <w:sz w:val="24"/>
          <w:szCs w:val="24"/>
        </w:rPr>
        <w:t xml:space="preserve">5.1 </w:t>
      </w:r>
      <w:r>
        <w:rPr>
          <w:rFonts w:hint="eastAsia"/>
          <w:sz w:val="24"/>
          <w:szCs w:val="24"/>
        </w:rPr>
        <w:t xml:space="preserve">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rFonts w:hint="eastAsia"/>
          <w:sz w:val="24"/>
          <w:szCs w:val="24"/>
        </w:rPr>
      </w:pPr>
      <w:r>
        <w:rPr>
          <w:sz w:val="24"/>
          <w:szCs w:val="24"/>
        </w:rPr>
        <w:t xml:space="preserve">6.1 </w:t>
      </w:r>
      <w:r>
        <w:rPr>
          <w:rFonts w:hint="eastAsia"/>
          <w:sz w:val="24"/>
          <w:szCs w:val="24"/>
        </w:rPr>
        <w:t xml:space="preserve">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rFonts w:hint="eastAsia"/>
          <w:sz w:val="24"/>
          <w:szCs w:val="24"/>
        </w:rPr>
      </w:pPr>
      <w:r>
        <w:rPr>
          <w:sz w:val="24"/>
          <w:szCs w:val="24"/>
        </w:rPr>
        <w:t xml:space="preserve">7.1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sz w:val="24"/>
          <w:szCs w:val="24"/>
        </w:rPr>
        <w:t xml:space="preserve">7.2 </w:t>
      </w:r>
      <w:r>
        <w:rPr>
          <w:rFonts w:hint="eastAsia"/>
          <w:sz w:val="24"/>
          <w:szCs w:val="24"/>
        </w:rPr>
        <w:t xml:space="preserve">如有转让和未经甲方同意的分包行为，甲方有权终止合同。</w:t>
      </w:r>
      <w:r/>
    </w:p>
    <w:p>
      <w:pPr>
        <w:ind w:firstLine="480"/>
        <w:jc w:val="left"/>
        <w:keepLines w:val="0"/>
        <w:keepNext w:val="0"/>
        <w:pageBreakBefore w:val="0"/>
        <w:spacing w:line="500" w:lineRule="exact"/>
        <w:widowControl w:val="off"/>
        <w:rPr>
          <w:rFonts w:ascii="黑体" w:hAnsi="黑体" w:eastAsia="黑体"/>
          <w:sz w:val="24"/>
          <w:szCs w:val="24"/>
        </w:rPr>
      </w:pPr>
      <w:r>
        <w:rPr>
          <w:rFonts w:hint="eastAsia" w:ascii="黑体" w:hAnsi="黑体" w:eastAsia="黑体"/>
          <w:sz w:val="24"/>
          <w:szCs w:val="24"/>
        </w:rPr>
        <w:t xml:space="preserve">八、服务时间</w:t>
      </w:r>
      <w:r/>
    </w:p>
    <w:p>
      <w:pPr>
        <w:pStyle w:val="670"/>
        <w:ind w:firstLine="480"/>
        <w:keepLines w:val="0"/>
        <w:keepNext w:val="0"/>
        <w:pageBreakBefore w:val="0"/>
        <w:spacing w:line="500" w:lineRule="exact"/>
        <w:widowControl w:val="off"/>
        <w:rPr>
          <w:rFonts w:hint="default" w:ascii="黑体" w:hAnsi="黑体" w:eastAsia="宋体"/>
          <w:sz w:val="24"/>
          <w:szCs w:val="24"/>
          <w:highlight w:val="none"/>
          <w:lang w:val="en-US" w:eastAsia="zh-CN"/>
        </w:rPr>
      </w:pPr>
      <w:r>
        <w:rPr>
          <w:sz w:val="24"/>
          <w:szCs w:val="24"/>
        </w:rPr>
        <w:t xml:space="preserve">8.</w:t>
      </w:r>
      <w:r>
        <w:rPr>
          <w:sz w:val="24"/>
          <w:szCs w:val="24"/>
          <w:highlight w:val="none"/>
        </w:rPr>
        <w:t xml:space="preserve">1 </w:t>
      </w:r>
      <w:r>
        <w:rPr>
          <w:rFonts w:hint="eastAsia"/>
          <w:sz w:val="24"/>
          <w:szCs w:val="24"/>
          <w:highlight w:val="none"/>
        </w:rPr>
        <w:t xml:space="preserve">服务时间：</w:t>
      </w:r>
      <w:r>
        <w:rPr>
          <w:rFonts w:hint="eastAsia"/>
          <w:color w:val="auto"/>
          <w:sz w:val="24"/>
          <w:szCs w:val="24"/>
          <w:highlight w:val="none"/>
          <w:u w:val="single"/>
          <w:lang w:val="en-US" w:eastAsia="zh-CN"/>
        </w:rPr>
        <w:t xml:space="preserve"> 自验收合格</w:t>
      </w:r>
      <w:r>
        <w:rPr>
          <w:rFonts w:hint="eastAsia" w:ascii="宋体" w:hAnsi="宋体" w:eastAsia="宋体" w:cs="宋体"/>
          <w:color w:val="auto"/>
          <w:sz w:val="24"/>
          <w:szCs w:val="24"/>
          <w:highlight w:val="none"/>
          <w:u w:val="single"/>
          <w:lang w:val="en-US" w:eastAsia="zh-CN"/>
        </w:rPr>
        <w:t xml:space="preserve">之日起3年</w:t>
      </w:r>
      <w:r>
        <w:rPr>
          <w:rFonts w:hint="eastAsia"/>
          <w:color w:val="auto"/>
          <w:sz w:val="24"/>
          <w:szCs w:val="24"/>
          <w:highlight w:val="none"/>
          <w:u w:val="single"/>
          <w:lang w:val="en-US" w:eastAsia="zh-CN"/>
        </w:rPr>
        <w:t xml:space="preserve"> </w:t>
      </w:r>
      <w:r>
        <w:rPr>
          <w:rFonts w:hint="eastAsia" w:ascii="宋体" w:hAnsi="宋体" w:cs="宋体" w:eastAsiaTheme="minorEastAsia"/>
          <w:color w:val="auto"/>
          <w:sz w:val="24"/>
          <w:szCs w:val="24"/>
          <w:highlight w:val="none"/>
          <w:u w:val="single"/>
          <w:lang w:val="en-US" w:eastAsia="zh-CN" w:bidi="ar-SA"/>
        </w:rPr>
        <w:t xml:space="preserve">。</w:t>
      </w:r>
      <w:r/>
    </w:p>
    <w:p>
      <w:pPr>
        <w:pStyle w:val="670"/>
        <w:ind w:firstLine="480"/>
        <w:keepLines w:val="0"/>
        <w:keepNext w:val="0"/>
        <w:pageBreakBefore w:val="0"/>
        <w:spacing w:line="500" w:lineRule="exact"/>
        <w:widowControl w:val="off"/>
        <w:rPr>
          <w:rFonts w:hint="eastAsia" w:ascii="黑体" w:hAnsi="黑体" w:eastAsia="黑体"/>
          <w:sz w:val="24"/>
          <w:szCs w:val="24"/>
        </w:rPr>
      </w:pPr>
      <w:r>
        <w:rPr>
          <w:rFonts w:hint="eastAsia" w:ascii="黑体" w:hAnsi="黑体" w:eastAsia="黑体"/>
          <w:sz w:val="24"/>
          <w:szCs w:val="24"/>
        </w:rPr>
        <w:t xml:space="preserve">九、合同内容的交付</w:t>
      </w:r>
      <w:r/>
    </w:p>
    <w:p>
      <w:pPr>
        <w:ind w:firstLine="480"/>
        <w:jc w:val="left"/>
        <w:keepLines w:val="0"/>
        <w:keepNext w:val="0"/>
        <w:pageBreakBefore w:val="0"/>
        <w:spacing w:line="500" w:lineRule="exact"/>
        <w:widowControl w:val="off"/>
        <w:rPr>
          <w:rFonts w:hint="default" w:eastAsiaTheme="minorEastAsia"/>
          <w:sz w:val="24"/>
          <w:szCs w:val="24"/>
          <w:highlight w:val="none"/>
          <w:u w:val="single"/>
          <w:lang w:val="en-US" w:eastAsia="zh-CN"/>
        </w:rPr>
      </w:pPr>
      <w:r>
        <w:rPr>
          <w:sz w:val="24"/>
          <w:szCs w:val="24"/>
        </w:rPr>
        <w:t xml:space="preserve">9.1</w:t>
      </w:r>
      <w:r>
        <w:rPr>
          <w:sz w:val="24"/>
          <w:szCs w:val="24"/>
          <w:highlight w:val="none"/>
        </w:rPr>
        <w:t xml:space="preserve"> </w:t>
      </w:r>
      <w:r>
        <w:rPr>
          <w:rFonts w:hint="eastAsia"/>
          <w:sz w:val="24"/>
          <w:szCs w:val="24"/>
          <w:highlight w:val="none"/>
        </w:rPr>
        <w:t xml:space="preserve">交</w:t>
      </w:r>
      <w:r>
        <w:rPr>
          <w:sz w:val="24"/>
          <w:szCs w:val="24"/>
          <w:highlight w:val="none"/>
        </w:rPr>
        <w:t xml:space="preserve"> </w:t>
      </w:r>
      <w:r>
        <w:rPr>
          <w:rFonts w:hint="eastAsia"/>
          <w:sz w:val="24"/>
          <w:szCs w:val="24"/>
          <w:highlight w:val="none"/>
        </w:rPr>
        <w:t xml:space="preserve">付</w:t>
      </w:r>
      <w:r>
        <w:rPr>
          <w:sz w:val="24"/>
          <w:szCs w:val="24"/>
          <w:highlight w:val="none"/>
        </w:rPr>
        <w:t xml:space="preserve"> </w:t>
      </w:r>
      <w:r>
        <w:rPr>
          <w:rFonts w:hint="eastAsia"/>
          <w:sz w:val="24"/>
          <w:szCs w:val="24"/>
          <w:highlight w:val="none"/>
        </w:rPr>
        <w:t xml:space="preserve">期：</w:t>
      </w:r>
      <w:r>
        <w:rPr>
          <w:rFonts w:hint="eastAsia"/>
          <w:sz w:val="24"/>
          <w:szCs w:val="24"/>
          <w:highlight w:val="none"/>
          <w:u w:val="single"/>
          <w:lang w:val="en-US" w:eastAsia="zh-CN"/>
        </w:rPr>
        <w:t xml:space="preserve">合同签订之日起120日内完成安装、调试和实现与连云区森林防火监测预警平台的互联互通。</w:t>
      </w:r>
      <w:r/>
    </w:p>
    <w:p>
      <w:pPr>
        <w:ind w:firstLine="480"/>
        <w:jc w:val="left"/>
        <w:spacing w:line="500" w:lineRule="exact"/>
        <w:rPr>
          <w:sz w:val="24"/>
          <w:szCs w:val="24"/>
        </w:rPr>
      </w:pPr>
      <w:r>
        <w:rPr>
          <w:sz w:val="24"/>
          <w:szCs w:val="24"/>
        </w:rPr>
        <w:t xml:space="preserve">9.2 </w:t>
      </w:r>
      <w:r>
        <w:rPr>
          <w:rFonts w:hint="eastAsia"/>
          <w:sz w:val="24"/>
          <w:szCs w:val="24"/>
        </w:rPr>
        <w:t xml:space="preserve">交付方式：</w:t>
      </w:r>
      <w:r>
        <w:rPr>
          <w:rFonts w:hint="eastAsia"/>
          <w:sz w:val="24"/>
          <w:szCs w:val="24"/>
          <w:u w:val="single"/>
        </w:rPr>
        <w:t xml:space="preserve">项目需求单位指定方式。</w:t>
      </w:r>
      <w:r/>
    </w:p>
    <w:p>
      <w:pPr>
        <w:ind w:firstLine="480"/>
        <w:jc w:val="left"/>
        <w:spacing w:line="500" w:lineRule="exact"/>
        <w:rPr>
          <w:sz w:val="24"/>
          <w:szCs w:val="24"/>
        </w:rPr>
      </w:pPr>
      <w:r>
        <w:rPr>
          <w:sz w:val="24"/>
          <w:szCs w:val="24"/>
        </w:rPr>
        <w:t xml:space="preserve">9.3 </w:t>
      </w:r>
      <w:r>
        <w:rPr>
          <w:rFonts w:hint="eastAsia"/>
          <w:sz w:val="24"/>
          <w:szCs w:val="24"/>
        </w:rPr>
        <w:t xml:space="preserve">交付地点：</w:t>
      </w:r>
      <w:r>
        <w:rPr>
          <w:rFonts w:hint="eastAsia"/>
          <w:sz w:val="24"/>
          <w:szCs w:val="24"/>
          <w:u w:val="single"/>
        </w:rPr>
        <w:t xml:space="preserve">项目需求单位指定地点。</w:t>
      </w:r>
      <w:r/>
    </w:p>
    <w:p>
      <w:pPr>
        <w:ind w:firstLine="480"/>
        <w:jc w:val="left"/>
        <w:spacing w:line="500" w:lineRule="exact"/>
        <w:rPr>
          <w:sz w:val="24"/>
          <w:szCs w:val="24"/>
        </w:rPr>
      </w:pPr>
      <w:r>
        <w:rPr>
          <w:sz w:val="24"/>
          <w:szCs w:val="24"/>
        </w:rPr>
        <w:t xml:space="preserve">9.4 </w:t>
      </w:r>
      <w:r>
        <w:rPr>
          <w:rFonts w:hint="eastAsia"/>
          <w:sz w:val="24"/>
          <w:szCs w:val="24"/>
        </w:rPr>
        <w:t xml:space="preserve">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 </w:t>
      </w:r>
      <w:r>
        <w:rPr>
          <w:rFonts w:hint="eastAsia"/>
          <w:sz w:val="24"/>
          <w:szCs w:val="24"/>
        </w:rPr>
        <w:t xml:space="preserve">乙方在合同标的交付甲方</w:t>
      </w:r>
      <w:r>
        <w:rPr>
          <w:sz w:val="24"/>
          <w:szCs w:val="24"/>
        </w:rPr>
        <w:t xml:space="preserve">48</w:t>
      </w:r>
      <w:r>
        <w:rPr>
          <w:rFonts w:hint="eastAsia"/>
          <w:sz w:val="24"/>
          <w:szCs w:val="24"/>
        </w:rPr>
        <w:t xml:space="preserve">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rFonts w:hint="eastAsia"/>
          <w:sz w:val="24"/>
          <w:szCs w:val="24"/>
          <w:highlight w:val="none"/>
          <w:u w:val="none"/>
        </w:rPr>
      </w:pPr>
      <w:r>
        <w:rPr>
          <w:sz w:val="24"/>
          <w:szCs w:val="24"/>
          <w:highlight w:val="none"/>
        </w:rPr>
        <w:t xml:space="preserve">10.1 </w:t>
      </w:r>
      <w:r>
        <w:rPr>
          <w:rFonts w:hint="eastAsia"/>
          <w:sz w:val="24"/>
          <w:szCs w:val="24"/>
          <w:highlight w:val="none"/>
        </w:rPr>
        <w:t xml:space="preserve">付款方式：</w:t>
      </w:r>
      <w:r>
        <w:rPr>
          <w:rFonts w:hint="eastAsia"/>
          <w:sz w:val="24"/>
          <w:szCs w:val="24"/>
          <w:highlight w:val="none"/>
          <w:u w:val="single"/>
          <w:lang w:val="en-US" w:eastAsia="zh-CN"/>
        </w:rPr>
        <w:t xml:space="preserve">合同签订后30个工作日内支付合同价款总额的40%；验收合格后支付至合同价款的90%；验收合格满一年后付清余款。</w:t>
      </w:r>
      <w:r/>
    </w:p>
    <w:p>
      <w:pPr>
        <w:ind w:firstLine="480"/>
        <w:jc w:val="left"/>
        <w:spacing w:line="500" w:lineRule="exact"/>
        <w:rPr>
          <w:sz w:val="24"/>
          <w:szCs w:val="24"/>
        </w:rPr>
      </w:pPr>
      <w:r>
        <w:rPr>
          <w:sz w:val="24"/>
          <w:szCs w:val="24"/>
        </w:rPr>
        <w:t xml:space="preserve">10.2 </w:t>
      </w:r>
      <w:r>
        <w:rPr>
          <w:rFonts w:hint="eastAsia"/>
          <w:sz w:val="24"/>
          <w:szCs w:val="24"/>
        </w:rPr>
        <w:t xml:space="preserve">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rFonts w:hint="eastAsia"/>
          <w:sz w:val="24"/>
          <w:szCs w:val="24"/>
        </w:rPr>
      </w:pPr>
      <w:r>
        <w:rPr>
          <w:sz w:val="24"/>
          <w:szCs w:val="24"/>
        </w:rPr>
        <w:t xml:space="preserve">11.1 </w:t>
      </w:r>
      <w:r>
        <w:rPr>
          <w:rFonts w:hint="eastAsia"/>
          <w:sz w:val="24"/>
          <w:szCs w:val="24"/>
        </w:rPr>
        <w:t xml:space="preserve">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rFonts w:hint="eastAsia"/>
          <w:sz w:val="24"/>
          <w:szCs w:val="24"/>
        </w:rPr>
      </w:pPr>
      <w:r>
        <w:rPr>
          <w:sz w:val="24"/>
          <w:szCs w:val="24"/>
        </w:rPr>
        <w:t xml:space="preserve">12.1 </w:t>
      </w:r>
      <w:r>
        <w:rPr>
          <w:rFonts w:hint="eastAsia"/>
          <w:sz w:val="24"/>
          <w:szCs w:val="24"/>
        </w:rPr>
        <w:t xml:space="preserve">乙方应按采购文件规定和响应文件承诺的性能、技术要求、质量标准向甲方提供服务。</w:t>
      </w:r>
      <w:r/>
    </w:p>
    <w:p>
      <w:pPr>
        <w:ind w:firstLine="480"/>
        <w:jc w:val="left"/>
        <w:spacing w:line="500" w:lineRule="exact"/>
        <w:rPr>
          <w:sz w:val="24"/>
          <w:szCs w:val="24"/>
        </w:rPr>
      </w:pPr>
      <w:r>
        <w:rPr>
          <w:sz w:val="24"/>
          <w:szCs w:val="24"/>
        </w:rPr>
        <w:t xml:space="preserve">12.2 </w:t>
      </w:r>
      <w:r>
        <w:rPr>
          <w:rFonts w:hint="eastAsia"/>
          <w:sz w:val="24"/>
          <w:szCs w:val="24"/>
        </w:rPr>
        <w:t xml:space="preserve">乙方提供的服务在服务期内因其本身出现质量问题，根据实际情况，经双方协商，可按以下办法处理：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sz w:val="24"/>
          <w:szCs w:val="24"/>
        </w:rPr>
        <w:t xml:space="preserve">12.3 </w:t>
      </w:r>
      <w:r>
        <w:rPr>
          <w:rFonts w:hint="eastAsia"/>
          <w:sz w:val="24"/>
          <w:szCs w:val="24"/>
        </w:rPr>
        <w:t xml:space="preserve">如在使用过程中发生质量问题，乙方在接到甲方通知后</w:t>
      </w:r>
      <w:r>
        <w:rPr>
          <w:sz w:val="24"/>
          <w:szCs w:val="24"/>
          <w:highlight w:val="none"/>
          <w:u w:val="single"/>
        </w:rPr>
        <w:t xml:space="preserve"> </w:t>
      </w:r>
      <w:r>
        <w:rPr>
          <w:rFonts w:hint="eastAsia"/>
          <w:sz w:val="24"/>
          <w:szCs w:val="24"/>
          <w:highlight w:val="none"/>
          <w:u w:val="single"/>
          <w:lang w:val="en-US" w:eastAsia="zh-CN"/>
        </w:rPr>
        <w:t xml:space="preserve">2</w:t>
      </w:r>
      <w:r>
        <w:rPr>
          <w:sz w:val="24"/>
          <w:szCs w:val="24"/>
          <w:highlight w:val="none"/>
          <w:u w:val="single"/>
        </w:rPr>
        <w:t xml:space="preserve">  </w:t>
      </w:r>
      <w:r>
        <w:rPr>
          <w:rFonts w:hint="eastAsia"/>
          <w:sz w:val="24"/>
          <w:szCs w:val="24"/>
          <w:highlight w:val="none"/>
        </w:rPr>
        <w:t xml:space="preserve">小</w:t>
      </w:r>
      <w:r>
        <w:rPr>
          <w:rFonts w:hint="eastAsia"/>
          <w:sz w:val="24"/>
          <w:szCs w:val="24"/>
        </w:rPr>
        <w:t xml:space="preserve">时内到达甲方现场。</w:t>
      </w:r>
      <w:r/>
    </w:p>
    <w:p>
      <w:pPr>
        <w:ind w:firstLine="480"/>
        <w:jc w:val="left"/>
        <w:spacing w:line="500" w:lineRule="exact"/>
        <w:rPr>
          <w:sz w:val="24"/>
          <w:szCs w:val="24"/>
        </w:rPr>
      </w:pPr>
      <w:r>
        <w:rPr>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rFonts w:hint="eastAsia"/>
          <w:sz w:val="24"/>
          <w:szCs w:val="24"/>
        </w:rPr>
      </w:pPr>
      <w:r>
        <w:rPr>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sz w:val="24"/>
          <w:szCs w:val="24"/>
        </w:rPr>
        <w:t xml:space="preserve">13.4 </w:t>
      </w:r>
      <w:r>
        <w:rPr>
          <w:rFonts w:hint="eastAsia"/>
          <w:sz w:val="24"/>
          <w:szCs w:val="24"/>
        </w:rPr>
        <w:t xml:space="preserve">如有必要，甲方邀请参加本项目的其他</w:t>
      </w:r>
      <w:r>
        <w:rPr>
          <w:rFonts w:hint="eastAsia"/>
          <w:sz w:val="24"/>
          <w:szCs w:val="24"/>
          <w:lang w:eastAsia="zh-CN"/>
        </w:rPr>
        <w:t xml:space="preserve">投标人</w:t>
      </w:r>
      <w:r>
        <w:rPr>
          <w:rFonts w:hint="eastAsia"/>
          <w:sz w:val="24"/>
          <w:szCs w:val="24"/>
        </w:rPr>
        <w:t xml:space="preserve">或第三方专业机构及专家参与验收，相关意见将作为验收书的参考资料。</w:t>
      </w:r>
      <w:r/>
    </w:p>
    <w:p>
      <w:pPr>
        <w:ind w:firstLine="480"/>
        <w:jc w:val="left"/>
        <w:spacing w:line="500" w:lineRule="exact"/>
        <w:rPr>
          <w:sz w:val="24"/>
          <w:szCs w:val="24"/>
        </w:rPr>
      </w:pPr>
      <w:r>
        <w:rPr>
          <w:sz w:val="24"/>
          <w:szCs w:val="24"/>
        </w:rPr>
        <w:t xml:space="preserve">13.5 </w:t>
      </w:r>
      <w:r>
        <w:rPr>
          <w:rFonts w:hint="eastAsia"/>
          <w:sz w:val="24"/>
          <w:szCs w:val="24"/>
        </w:rPr>
        <w:t xml:space="preserve">甲方成立验收小组，按照采购合同的约定对乙方的履约情况进行验收。验收时间、验收标准见采购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80"/>
        <w:jc w:val="left"/>
        <w:spacing w:line="500" w:lineRule="exact"/>
        <w:rPr>
          <w:sz w:val="24"/>
          <w:szCs w:val="24"/>
        </w:rPr>
      </w:pPr>
      <w:r>
        <w:rPr>
          <w:sz w:val="24"/>
          <w:szCs w:val="24"/>
        </w:rPr>
        <w:t xml:space="preserve">13.6 </w:t>
      </w:r>
      <w:r>
        <w:rPr>
          <w:rFonts w:hint="eastAsia"/>
          <w:sz w:val="24"/>
          <w:szCs w:val="24"/>
        </w:rPr>
        <w:t xml:space="preserve">验收合格的项目，甲方根据采购合同的约定及时向乙方支付合同款项、。验收不合格的项目，甲方依法及时处理。采购合同的履行、违约责任和解决争议的方式等适用《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rFonts w:hint="eastAsia"/>
          <w:sz w:val="24"/>
          <w:szCs w:val="24"/>
        </w:rPr>
      </w:pPr>
      <w:r>
        <w:rPr>
          <w:sz w:val="24"/>
          <w:szCs w:val="24"/>
        </w:rPr>
        <w:t xml:space="preserve">14.1 </w:t>
      </w:r>
      <w:r>
        <w:rPr>
          <w:rFonts w:hint="eastAsia"/>
          <w:sz w:val="24"/>
          <w:szCs w:val="24"/>
        </w:rPr>
        <w:t xml:space="preserve">甲方无正当理由拒收的，甲方向乙方偿付拒收标的总额</w:t>
      </w:r>
      <w:r>
        <w:rPr>
          <w:sz w:val="24"/>
          <w:szCs w:val="24"/>
          <w:u w:val="single"/>
        </w:rPr>
        <w:t xml:space="preserve"> </w:t>
      </w:r>
      <w:r>
        <w:rPr>
          <w:rFonts w:hint="eastAsia"/>
          <w:sz w:val="24"/>
          <w:szCs w:val="24"/>
          <w:u w:val="single"/>
        </w:rPr>
        <w:t xml:space="preserve">百分之五</w:t>
      </w:r>
      <w:r>
        <w:rPr>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sz w:val="24"/>
          <w:szCs w:val="24"/>
        </w:rPr>
        <w:t xml:space="preserve">14.2 </w:t>
      </w:r>
      <w:r>
        <w:rPr>
          <w:rFonts w:hint="eastAsia"/>
          <w:sz w:val="24"/>
          <w:szCs w:val="24"/>
        </w:rPr>
        <w:t xml:space="preserve">甲方无故逾期验收和办理合同款支付手续的，甲方应按逾期付款总额每日</w:t>
      </w:r>
      <w:r>
        <w:rPr>
          <w:sz w:val="24"/>
          <w:szCs w:val="24"/>
          <w:u w:val="single"/>
        </w:rPr>
        <w:t xml:space="preserve"> </w:t>
      </w:r>
      <w:r>
        <w:rPr>
          <w:rFonts w:hint="eastAsia"/>
          <w:sz w:val="24"/>
          <w:szCs w:val="24"/>
          <w:u w:val="single"/>
        </w:rPr>
        <w:t xml:space="preserve">万分之五</w:t>
      </w:r>
      <w:r>
        <w:rPr>
          <w:sz w:val="24"/>
          <w:szCs w:val="24"/>
          <w:u w:val="single"/>
        </w:rPr>
        <w:t xml:space="preserve"> </w:t>
      </w:r>
      <w:r>
        <w:rPr>
          <w:rFonts w:hint="eastAsia"/>
          <w:sz w:val="24"/>
          <w:szCs w:val="24"/>
        </w:rPr>
        <w:t xml:space="preserve">向乙方支付违约金。</w:t>
      </w:r>
      <w:r/>
    </w:p>
    <w:p>
      <w:pPr>
        <w:ind w:firstLine="480"/>
        <w:jc w:val="left"/>
        <w:spacing w:line="500" w:lineRule="exact"/>
        <w:rPr>
          <w:sz w:val="24"/>
          <w:szCs w:val="24"/>
        </w:rPr>
      </w:pPr>
      <w:r>
        <w:rPr>
          <w:sz w:val="24"/>
          <w:szCs w:val="24"/>
        </w:rPr>
        <w:t xml:space="preserve">14.3 </w:t>
      </w:r>
      <w:r>
        <w:rPr>
          <w:rFonts w:hint="eastAsia"/>
          <w:sz w:val="24"/>
          <w:szCs w:val="24"/>
        </w:rPr>
        <w:t xml:space="preserve">乙方逾期交付合同标的的，乙方应按逾期交付总额每日</w:t>
      </w:r>
      <w:r>
        <w:rPr>
          <w:sz w:val="24"/>
          <w:szCs w:val="24"/>
          <w:u w:val="single"/>
        </w:rPr>
        <w:t xml:space="preserve"> </w:t>
      </w:r>
      <w:r>
        <w:rPr>
          <w:rFonts w:hint="eastAsia"/>
          <w:sz w:val="24"/>
          <w:szCs w:val="24"/>
          <w:u w:val="single"/>
        </w:rPr>
        <w:t xml:space="preserve">千分之六</w:t>
      </w:r>
      <w:r>
        <w:rPr>
          <w:sz w:val="24"/>
          <w:szCs w:val="24"/>
          <w:u w:val="single"/>
        </w:rPr>
        <w:t xml:space="preserve"> </w:t>
      </w:r>
      <w:r>
        <w:rPr>
          <w:rFonts w:hint="eastAsia"/>
          <w:sz w:val="24"/>
          <w:szCs w:val="24"/>
        </w:rPr>
        <w:t xml:space="preserve">向甲方支付违约金，由甲方从待付合同款中扣除。逾期超过约定日期</w:t>
      </w:r>
      <w:r>
        <w:rPr>
          <w:sz w:val="24"/>
          <w:szCs w:val="24"/>
          <w:u w:val="single"/>
        </w:rPr>
        <w:t xml:space="preserve"> 10</w:t>
      </w:r>
      <w:r>
        <w:rPr>
          <w:rFonts w:hint="eastAsia"/>
          <w:sz w:val="24"/>
          <w:szCs w:val="24"/>
          <w:u w:val="single"/>
        </w:rPr>
        <w:t xml:space="preserve">个工作日</w:t>
      </w:r>
      <w:r>
        <w:rPr>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sz w:val="24"/>
          <w:szCs w:val="24"/>
          <w:u w:val="single"/>
        </w:rPr>
        <w:t xml:space="preserve"> </w:t>
      </w:r>
      <w:r>
        <w:rPr>
          <w:rFonts w:hint="eastAsia"/>
          <w:sz w:val="24"/>
          <w:szCs w:val="24"/>
          <w:u w:val="single"/>
        </w:rPr>
        <w:t xml:space="preserve">百分之五</w:t>
      </w:r>
      <w:r>
        <w:rPr>
          <w:sz w:val="24"/>
          <w:szCs w:val="24"/>
          <w:u w:val="single"/>
        </w:rPr>
        <w:t xml:space="preserve"> </w:t>
      </w:r>
      <w:r>
        <w:rPr>
          <w:rFonts w:hint="eastAsia"/>
          <w:sz w:val="24"/>
          <w:szCs w:val="24"/>
        </w:rPr>
        <w:t xml:space="preserve">的违约金，如造成甲方损失超过违约金的，超出部分由乙方继续承担赔偿责任。</w:t>
      </w:r>
      <w:r>
        <w:rPr>
          <w:sz w:val="24"/>
          <w:szCs w:val="24"/>
        </w:rPr>
        <w:t xml:space="preserve"> </w:t>
      </w:r>
      <w:r/>
    </w:p>
    <w:p>
      <w:pPr>
        <w:ind w:firstLine="480"/>
        <w:jc w:val="left"/>
        <w:spacing w:line="500" w:lineRule="exact"/>
        <w:rPr>
          <w:sz w:val="24"/>
          <w:szCs w:val="24"/>
        </w:rPr>
      </w:pPr>
      <w:r>
        <w:rPr>
          <w:sz w:val="24"/>
          <w:szCs w:val="24"/>
        </w:rPr>
        <w:t xml:space="preserve">14.4 </w:t>
      </w:r>
      <w:r>
        <w:rPr>
          <w:rFonts w:hint="eastAsia"/>
          <w:sz w:val="24"/>
          <w:szCs w:val="24"/>
        </w:rPr>
        <w:t xml:space="preserve">乙方交付的产品或服务不符合采购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rFonts w:hint="eastAsia"/>
          <w:sz w:val="24"/>
          <w:szCs w:val="24"/>
        </w:rPr>
      </w:pPr>
      <w:r>
        <w:rPr>
          <w:sz w:val="24"/>
          <w:szCs w:val="24"/>
        </w:rPr>
        <w:t xml:space="preserve">15.1 </w:t>
      </w:r>
      <w:r>
        <w:rPr>
          <w:rFonts w:hint="eastAsia"/>
          <w:sz w:val="24"/>
          <w:szCs w:val="24"/>
        </w:rPr>
        <w:t xml:space="preserve">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sz w:val="24"/>
          <w:szCs w:val="24"/>
        </w:rPr>
        <w:t xml:space="preserve">15.2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sz w:val="24"/>
          <w:szCs w:val="24"/>
        </w:rPr>
        <w:t xml:space="preserve">15.3 </w:t>
      </w:r>
      <w:r>
        <w:rPr>
          <w:rFonts w:hint="eastAsia"/>
          <w:sz w:val="24"/>
          <w:szCs w:val="24"/>
        </w:rPr>
        <w:t xml:space="preserve">不可抗力事件延续</w:t>
      </w:r>
      <w:r>
        <w:rPr>
          <w:sz w:val="24"/>
          <w:szCs w:val="24"/>
        </w:rPr>
        <w:t xml:space="preserve">120</w:t>
      </w:r>
      <w:r>
        <w:rPr>
          <w:rFonts w:hint="eastAsia"/>
          <w:sz w:val="24"/>
          <w:szCs w:val="24"/>
        </w:rPr>
        <w:t xml:space="preserve">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rFonts w:hint="eastAsia"/>
          <w:sz w:val="24"/>
          <w:szCs w:val="24"/>
        </w:rPr>
      </w:pPr>
      <w:r>
        <w:rPr>
          <w:sz w:val="24"/>
          <w:szCs w:val="24"/>
        </w:rPr>
        <w:t xml:space="preserve">16.1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sz w:val="24"/>
          <w:szCs w:val="24"/>
          <w:u w:val="single"/>
        </w:rPr>
        <w:t xml:space="preserve">2</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）向合同签订地法院起诉，合同签订地在此约定为连云港市</w:t>
      </w:r>
      <w:r>
        <w:rPr>
          <w:rFonts w:hint="eastAsia"/>
          <w:sz w:val="24"/>
          <w:szCs w:val="24"/>
          <w:lang w:val="en-US" w:eastAsia="zh-CN"/>
        </w:rPr>
        <w:t xml:space="preserve">连云区</w:t>
      </w:r>
      <w:r>
        <w:rPr>
          <w:rFonts w:hint="eastAsia"/>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十七、保密条款</w:t>
      </w:r>
      <w:r/>
    </w:p>
    <w:p>
      <w:pPr>
        <w:ind w:firstLine="480"/>
        <w:jc w:val="left"/>
        <w:spacing w:line="560" w:lineRule="exact"/>
        <w:rPr>
          <w:rFonts w:hint="eastAsia" w:ascii="宋体" w:hAnsi="宋体"/>
          <w:sz w:val="24"/>
          <w:szCs w:val="24"/>
        </w:rPr>
      </w:pPr>
      <w:r>
        <w:rPr>
          <w:rFonts w:hint="eastAsia" w:ascii="宋体" w:hAnsi="宋体"/>
          <w:sz w:val="24"/>
          <w:szCs w:val="24"/>
        </w:rPr>
        <w:t xml:space="preserve">17.1 未经甲方的事先书面批准，乙方不得以任何形式或任何方式将实施过程中接触到的信息或其中的任何部分，披露或透露给任何第三方。乙方有义务妥善保管保密信息，不得复制、泄漏或遗失。乙方亦不得依据保密信息，就任何问题，向任何第三方做出任何建议。</w:t>
      </w:r>
      <w:r/>
    </w:p>
    <w:p>
      <w:pPr>
        <w:ind w:firstLine="480"/>
        <w:jc w:val="left"/>
        <w:spacing w:line="560" w:lineRule="exact"/>
        <w:rPr>
          <w:rFonts w:hint="eastAsia" w:ascii="宋体" w:hAnsi="宋体"/>
          <w:sz w:val="24"/>
          <w:szCs w:val="24"/>
        </w:rPr>
      </w:pPr>
      <w:r>
        <w:rPr>
          <w:rFonts w:hint="eastAsia" w:ascii="宋体" w:hAnsi="宋体"/>
          <w:sz w:val="24"/>
          <w:szCs w:val="24"/>
        </w:rPr>
        <w:t xml:space="preserve">17.2 本保密条款在双方合作项目变更、解除、终止后十年内依然有效。本保密协议效力不因双方合作项目主协议的无效、撤销或变更而改变。甲方保留在甲方认为必要的情况下收回所提供的保密信息及其使用权的权利。</w:t>
      </w:r>
      <w:r/>
    </w:p>
    <w:p>
      <w:pPr>
        <w:ind w:firstLine="480"/>
        <w:jc w:val="left"/>
        <w:spacing w:line="560" w:lineRule="exact"/>
        <w:rPr>
          <w:rFonts w:hint="eastAsia" w:eastAsiaTheme="minorEastAsia"/>
          <w:lang w:eastAsia="zh-CN"/>
        </w:rPr>
      </w:pPr>
      <w:r>
        <w:rPr>
          <w:rFonts w:hint="eastAsia" w:ascii="宋体" w:hAnsi="宋体"/>
          <w:sz w:val="24"/>
          <w:szCs w:val="24"/>
        </w:rPr>
        <w:t xml:space="preserve">17.3 如任何一方违反本协议，违约方应按照《中华人民共和国民法典》的相关规定承担违约责任，另一方有权根据其违反的程度以及造成的损害后果要求对方赔偿因此遭受的损失</w:t>
      </w:r>
      <w:r>
        <w:rPr>
          <w:rFonts w:hint="eastAsia" w:ascii="宋体" w:hAnsi="宋体"/>
          <w:sz w:val="24"/>
          <w:szCs w:val="24"/>
          <w:lang w:eastAsia="zh-CN"/>
        </w:rPr>
        <w:t xml:space="preserve">。</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十八、合同生效及其他</w:t>
      </w:r>
      <w:r/>
    </w:p>
    <w:p>
      <w:pPr>
        <w:ind w:firstLine="480"/>
        <w:jc w:val="left"/>
        <w:spacing w:line="500" w:lineRule="exact"/>
        <w:rPr>
          <w:rFonts w:hint="eastAsia"/>
          <w:sz w:val="24"/>
          <w:szCs w:val="24"/>
        </w:rPr>
      </w:pPr>
      <w:r>
        <w:rPr>
          <w:sz w:val="24"/>
          <w:szCs w:val="24"/>
        </w:rPr>
        <w:t xml:space="preserve">18.1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sz w:val="24"/>
          <w:szCs w:val="24"/>
        </w:rPr>
        <w:t xml:space="preserve">18.2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sz w:val="24"/>
          <w:szCs w:val="24"/>
        </w:rPr>
        <w:t xml:space="preserve">18.3 </w:t>
      </w:r>
      <w:r>
        <w:rPr>
          <w:rFonts w:hint="eastAsia"/>
          <w:sz w:val="24"/>
          <w:szCs w:val="24"/>
        </w:rPr>
        <w:t xml:space="preserve">本合同正本一式</w:t>
      </w:r>
      <w:r>
        <w:rPr>
          <w:sz w:val="24"/>
          <w:szCs w:val="24"/>
          <w:u w:val="single"/>
        </w:rPr>
        <w:t xml:space="preserve">  </w:t>
      </w:r>
      <w:r>
        <w:rPr>
          <w:rFonts w:hint="eastAsia"/>
          <w:sz w:val="24"/>
          <w:szCs w:val="24"/>
          <w:u w:val="single"/>
          <w:lang w:val="en-US" w:eastAsia="zh-CN"/>
        </w:rPr>
        <w:t xml:space="preserve">四</w:t>
      </w:r>
      <w:r>
        <w:rPr>
          <w:sz w:val="24"/>
          <w:szCs w:val="24"/>
          <w:u w:val="single"/>
        </w:rPr>
        <w:t xml:space="preserve"> </w:t>
      </w:r>
      <w:r>
        <w:rPr>
          <w:rFonts w:hint="eastAsia"/>
          <w:sz w:val="24"/>
          <w:szCs w:val="24"/>
        </w:rPr>
        <w:t xml:space="preserve">份，具有同等法律效力，甲方执</w:t>
      </w:r>
      <w:r>
        <w:rPr>
          <w:sz w:val="24"/>
          <w:szCs w:val="24"/>
          <w:u w:val="single"/>
        </w:rPr>
        <w:t xml:space="preserve">   </w:t>
      </w:r>
      <w:r>
        <w:rPr>
          <w:rFonts w:hint="eastAsia"/>
          <w:sz w:val="24"/>
          <w:szCs w:val="24"/>
        </w:rPr>
        <w:t xml:space="preserve">份、乙方执</w:t>
      </w:r>
      <w:r>
        <w:rPr>
          <w:sz w:val="24"/>
          <w:szCs w:val="24"/>
          <w:u w:val="single"/>
        </w:rPr>
        <w:t xml:space="preserve">   </w:t>
      </w:r>
      <w:r>
        <w:rPr>
          <w:rFonts w:hint="eastAsia"/>
          <w:sz w:val="24"/>
          <w:szCs w:val="24"/>
        </w:rPr>
        <w:t xml:space="preserve">份，甲方报一份至政府采购监督管理部门。</w:t>
      </w:r>
      <w:r/>
    </w:p>
    <w:p>
      <w:pPr>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643"/>
        <w:jc w:val="center"/>
        <w:spacing w:before="156" w:after="156" w:line="360" w:lineRule="auto"/>
        <w:rPr>
          <w:rFonts w:ascii="黑体" w:hAnsi="黑体" w:eastAsia="黑体"/>
          <w:b w:val="0"/>
        </w:rPr>
      </w:pPr>
      <w:r/>
      <w:bookmarkStart w:id="7" w:name="_Toc31989"/>
      <w:r/>
      <w:bookmarkStart w:id="8" w:name="_Toc165205797"/>
      <w:r/>
      <w:bookmarkStart w:id="9" w:name="_Toc16414"/>
      <w:r>
        <w:rPr>
          <w:rFonts w:hint="eastAsia" w:ascii="黑体" w:hAnsi="黑体" w:eastAsia="黑体"/>
          <w:b w:val="0"/>
        </w:rPr>
        <w:t xml:space="preserve">第四章  采购需求</w:t>
      </w:r>
      <w:bookmarkEnd w:id="7"/>
      <w:r/>
      <w:bookmarkEnd w:id="8"/>
      <w:r/>
      <w:bookmarkEnd w:id="9"/>
      <w:r/>
      <w:r/>
    </w:p>
    <w:p>
      <w:pPr>
        <w:ind w:firstLine="480"/>
        <w:jc w:val="left"/>
        <w:spacing w:line="500" w:lineRule="exact"/>
        <w:rPr>
          <w:rFonts w:hint="eastAsia" w:eastAsia="宋体"/>
          <w:sz w:val="24"/>
          <w:szCs w:val="24"/>
          <w:highlight w:val="none"/>
          <w:lang w:eastAsia="zh-CN"/>
        </w:rPr>
      </w:pPr>
      <w:r>
        <w:rPr>
          <w:rFonts w:hint="eastAsia" w:ascii="宋体" w:hAnsi="宋体" w:cs="宋体"/>
          <w:color w:val="000000"/>
          <w:sz w:val="24"/>
          <w:highlight w:val="none"/>
        </w:rPr>
        <w:t xml:space="preserve">说明：</w:t>
      </w:r>
      <w:r>
        <w:rPr>
          <w:rFonts w:hint="eastAsia"/>
          <w:sz w:val="24"/>
          <w:szCs w:val="24"/>
          <w:highlight w:val="none"/>
        </w:rPr>
        <w:t xml:space="preserve">本</w:t>
      </w:r>
      <w:r>
        <w:rPr>
          <w:rFonts w:hint="eastAsia"/>
          <w:sz w:val="24"/>
          <w:szCs w:val="24"/>
          <w:highlight w:val="none"/>
          <w:lang w:val="en-US" w:eastAsia="zh-CN"/>
        </w:rPr>
        <w:t xml:space="preserve">项目为公开招标，</w:t>
      </w:r>
      <w:r>
        <w:rPr>
          <w:rFonts w:hint="eastAsia"/>
          <w:sz w:val="24"/>
          <w:szCs w:val="24"/>
          <w:highlight w:val="none"/>
        </w:rPr>
        <w:t xml:space="preserve">项目属性为</w:t>
      </w:r>
      <w:r>
        <w:rPr>
          <w:rFonts w:hint="eastAsia"/>
          <w:b/>
          <w:sz w:val="24"/>
          <w:szCs w:val="24"/>
          <w:highlight w:val="none"/>
        </w:rPr>
        <w:t xml:space="preserve">服务</w:t>
      </w:r>
      <w:r>
        <w:rPr>
          <w:rFonts w:hint="eastAsia"/>
          <w:sz w:val="24"/>
          <w:szCs w:val="24"/>
          <w:highlight w:val="none"/>
        </w:rPr>
        <w:t xml:space="preserve">，采购标的对应的中小企业划分标准所属行业为：</w:t>
      </w:r>
      <w:r>
        <w:rPr>
          <w:rFonts w:hint="eastAsia"/>
          <w:b/>
          <w:bCs/>
          <w:sz w:val="24"/>
          <w:szCs w:val="24"/>
          <w:highlight w:val="none"/>
          <w:u w:val="single"/>
        </w:rPr>
        <w:t xml:space="preserve">软件和信息技术服务业</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1、根据《政府采购需求管理办法》等有关规定，采购人确定采购需求。</w:t>
      </w:r>
      <w:r/>
    </w:p>
    <w:p>
      <w:pPr>
        <w:ind w:firstLine="480"/>
        <w:jc w:val="left"/>
        <w:spacing w:line="500" w:lineRule="exact"/>
        <w:rPr>
          <w:rFonts w:ascii="MS Mincho" w:hAnsi="Calibri" w:eastAsia="宋体" w:cs="Times New Roman"/>
          <w:color w:val="000000"/>
          <w:szCs w:val="24"/>
          <w:highlight w:val="none"/>
        </w:rPr>
      </w:pPr>
      <w:r>
        <w:rPr>
          <w:rFonts w:hint="eastAsia"/>
          <w:sz w:val="24"/>
          <w:szCs w:val="24"/>
          <w:highlight w:val="none"/>
        </w:rPr>
        <w:t xml:space="preserve">2、</w:t>
      </w:r>
      <w:r>
        <w:rPr>
          <w:rFonts w:hint="eastAsia"/>
          <w:b/>
          <w:sz w:val="24"/>
          <w:szCs w:val="24"/>
          <w:highlight w:val="none"/>
        </w:rPr>
        <w:t xml:space="preserve">本</w:t>
      </w:r>
      <w:r>
        <w:rPr>
          <w:rFonts w:hint="eastAsia"/>
          <w:b/>
          <w:sz w:val="24"/>
          <w:szCs w:val="24"/>
          <w:highlight w:val="none"/>
          <w:lang w:val="en-US" w:eastAsia="zh-CN"/>
        </w:rPr>
        <w:t xml:space="preserve">项目需求</w:t>
      </w:r>
      <w:r>
        <w:rPr>
          <w:rFonts w:hint="eastAsia"/>
          <w:b/>
          <w:sz w:val="24"/>
          <w:szCs w:val="24"/>
          <w:highlight w:val="none"/>
        </w:rPr>
        <w:t xml:space="preserve">中</w:t>
      </w:r>
      <w:r>
        <w:rPr>
          <w:rFonts w:hint="eastAsia"/>
          <w:b/>
          <w:sz w:val="24"/>
          <w:szCs w:val="24"/>
          <w:highlight w:val="none"/>
          <w:lang w:val="en-US" w:eastAsia="zh-CN"/>
        </w:rPr>
        <w:t xml:space="preserve">标注★号</w:t>
      </w:r>
      <w:r>
        <w:rPr>
          <w:rFonts w:hint="eastAsia"/>
          <w:b/>
          <w:sz w:val="24"/>
          <w:szCs w:val="24"/>
          <w:highlight w:val="none"/>
        </w:rPr>
        <w:t xml:space="preserve">为实质性要求和条件</w:t>
      </w:r>
      <w:r>
        <w:rPr>
          <w:rFonts w:hint="eastAsia"/>
          <w:sz w:val="24"/>
          <w:szCs w:val="24"/>
          <w:highlight w:val="none"/>
        </w:rPr>
        <w:t xml:space="preserve">，由采购人根据实际情况设置，投标人须逐条明确作出满足实质性要求和条件的响应，否则将按无效响应处理。</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ind w:firstLine="420"/>
        <w:spacing w:line="360" w:lineRule="auto"/>
        <w:rPr>
          <w:rFonts w:ascii="Times New Roman" w:hAnsi="Times New Roman" w:eastAsia="宋体" w:cs="Times New Roman"/>
          <w:b/>
          <w:sz w:val="28"/>
          <w:szCs w:val="28"/>
          <w:highlight w:val="none"/>
        </w:rPr>
        <w:outlineLvl w:val="1"/>
      </w:pPr>
      <w:r>
        <w:rPr>
          <w:rFonts w:hint="eastAsia" w:ascii="Times New Roman" w:hAnsi="Times New Roman" w:eastAsia="宋体" w:cs="Times New Roman"/>
          <w:b/>
          <w:sz w:val="28"/>
          <w:szCs w:val="28"/>
          <w:highlight w:val="none"/>
        </w:rPr>
        <w:t xml:space="preserve">一、项目概况</w:t>
      </w:r>
      <w:r/>
    </w:p>
    <w:p>
      <w:pPr>
        <w:ind w:firstLine="480"/>
        <w:jc w:val="left"/>
        <w:spacing w:line="500" w:lineRule="exact"/>
        <w:rPr>
          <w:rFonts w:hint="eastAsia"/>
          <w:sz w:val="24"/>
          <w:szCs w:val="24"/>
          <w:highlight w:val="none"/>
        </w:rPr>
      </w:pPr>
      <w:r>
        <w:rPr>
          <w:rFonts w:hint="eastAsia"/>
          <w:sz w:val="24"/>
          <w:szCs w:val="24"/>
          <w:highlight w:val="none"/>
        </w:rPr>
        <w:t xml:space="preserve">本项目在连云区森林防火智慧监测预警系统、重点坟区热源感知预警系统已建成成果基础上实施升级建设，通过在坟区进山关键路口新建 AI 智能双</w:t>
      </w:r>
      <w:r>
        <w:rPr>
          <w:rFonts w:hint="eastAsia"/>
          <w:sz w:val="24"/>
          <w:szCs w:val="24"/>
          <w:highlight w:val="none"/>
        </w:rPr>
        <w:t xml:space="preserve">目摄像机、布设全自动无人机巢矩阵，部署多模态大模型研判中枢、坟区电子围栏管控、三维一张图指挥调度等软硬件，构建 “高塔瞭望、地面智控、坟区精防、低空巡防” 四网协同、空天地人智一体的全域防控体系。项目将实现进山源头人车智能管控、复杂地形低空补盲、违规祭祀行为自动告警、火情高精研判与空地联动处置，打通 “感知 — 识别 — 预警 — 劝导 — 调度 — 处置 — 追溯” 全业务闭环，推动森林防火模式由 “人防为主” 向科技赋能、精准防控、空地协同、自主研判转型，系统须与连云区森林防火监测预警平台实现互联互通。</w:t>
      </w:r>
      <w:r/>
    </w:p>
    <w:p>
      <w:pPr>
        <w:ind w:firstLine="480"/>
        <w:jc w:val="left"/>
        <w:spacing w:line="500" w:lineRule="exact"/>
        <w:rPr>
          <w:rFonts w:hint="eastAsia"/>
          <w:sz w:val="24"/>
          <w:szCs w:val="24"/>
          <w:highlight w:val="none"/>
        </w:rPr>
      </w:pPr>
      <w:r>
        <w:rPr>
          <w:rFonts w:hint="eastAsia"/>
          <w:sz w:val="24"/>
          <w:szCs w:val="24"/>
          <w:highlight w:val="none"/>
        </w:rPr>
        <w:t xml:space="preserve">本项目相关网络安全硬件（防火墙、视频网闸、安全审计日志设备）已在前期连云区森林防火智慧监测预警系统中完成采购部署并投入常态化运行，既有安全防护能力可满足本项目新建业务系统的网络边界隔离、视频安全交换、安全日志审计等防护需求，本项目不再重复采购上述网络安全硬件设备。投标人须完成本期业务系统与前期已建安全硬件设备的对接适配，落实账号权限管理、访问控制、日志留存、数据加密等应用层面安全配置，保障整体系统安全防护等级符合国家及行业相关业务规范要求。</w:t>
      </w:r>
      <w:r/>
    </w:p>
    <w:p>
      <w:pPr>
        <w:ind w:firstLine="480"/>
        <w:jc w:val="left"/>
        <w:spacing w:line="500" w:lineRule="exact"/>
        <w:rPr>
          <w:rFonts w:hint="eastAsia"/>
          <w:sz w:val="24"/>
          <w:szCs w:val="24"/>
          <w:highlight w:val="none"/>
        </w:rPr>
      </w:pPr>
      <w:r>
        <w:rPr>
          <w:rFonts w:hint="eastAsia"/>
          <w:sz w:val="24"/>
          <w:szCs w:val="24"/>
          <w:highlight w:val="none"/>
        </w:rPr>
        <w:t xml:space="preserve">【项目名称说明】本项目发改立项、可行性研究报告批复法定名称为：连云区森林防灭火智能体预警系统（项目代码：XXXX）。为避免AI智能体（Agent）概念歧义，政府采购合同对外业务名称为：连云区森林防灭火多模态智慧预警指挥系统。本项目建设内容、建设规模、总投资、实施地点与原立项、可研批复完全保持一致，不属于项目内容变更。项目法定审批效力以发改立项、可研批复文件为准。</w:t>
      </w:r>
      <w:r>
        <w:rPr>
          <w:rFonts w:hint="eastAsia"/>
          <w:sz w:val="24"/>
          <w:szCs w:val="24"/>
          <w:highlight w:val="none"/>
        </w:rPr>
        <w:br/>
      </w:r>
      <w:r/>
    </w:p>
    <w:p>
      <w:pPr>
        <w:pStyle w:val="644"/>
        <w:numPr>
          <w:ilvl w:val="0"/>
          <w:numId w:val="0"/>
        </w:numPr>
        <w:ind w:firstLine="420"/>
        <w:jc w:val="left"/>
        <w:keepLines/>
        <w:keepNext/>
        <w:pageBreakBefore w:val="0"/>
        <w:spacing w:before="0" w:after="0" w:line="360" w:lineRule="auto"/>
        <w:widowControl w:val="off"/>
        <w:rPr>
          <w:rFonts w:hint="default" w:ascii="仿宋_GB2312" w:hAnsi="Times New Roman" w:eastAsia="仿宋_GB2312" w:cs="Times New Roman"/>
          <w:b/>
          <w:bCs/>
          <w:color w:val="auto"/>
          <w:sz w:val="28"/>
          <w:szCs w:val="28"/>
          <w:highlight w:val="none"/>
          <w:lang w:val="en-US" w:eastAsia="zh-CN" w:bidi="ar-SA"/>
        </w:rPr>
        <w:outlineLvl w:val="1"/>
      </w:pPr>
      <w:r>
        <w:rPr>
          <w:rFonts w:hint="eastAsia" w:hAnsi="Times New Roman" w:cs="Times New Roman"/>
          <w:b/>
          <w:bCs/>
          <w:sz w:val="28"/>
          <w:szCs w:val="28"/>
          <w:highlight w:val="none"/>
          <w:lang w:val="en-US" w:eastAsia="zh-CN"/>
        </w:rPr>
        <w:t xml:space="preserve">二、服务内容</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2.1服务说明</w:t>
      </w:r>
      <w:r/>
    </w:p>
    <w:p>
      <w:pPr>
        <w:numPr>
          <w:ilvl w:val="0"/>
          <w:numId w:val="0"/>
        </w:numPr>
        <w:ind w:firstLine="480"/>
        <w:keepLines w:val="0"/>
        <w:keepNext w:val="0"/>
        <w:pageBreakBefore w:val="0"/>
        <w:spacing w:line="360" w:lineRule="auto"/>
        <w:widowControl w:val="off"/>
        <w:rPr>
          <w:rFonts w:hint="default" w:ascii="宋体" w:hAnsi="宋体" w:eastAsia="宋体" w:cs="宋体"/>
          <w:b w:val="0"/>
          <w:bCs w:val="0"/>
          <w:sz w:val="24"/>
          <w:szCs w:val="24"/>
          <w:highlight w:val="none"/>
          <w:lang w:val="en-US" w:eastAsia="zh-CN"/>
        </w:rPr>
        <w:outlineLvl w:val="9"/>
      </w:pPr>
      <w:r>
        <w:rPr>
          <w:rFonts w:hint="default" w:ascii="宋体" w:hAnsi="宋体" w:eastAsia="宋体" w:cs="宋体"/>
          <w:b w:val="0"/>
          <w:bCs w:val="0"/>
          <w:sz w:val="24"/>
          <w:szCs w:val="24"/>
          <w:highlight w:val="none"/>
          <w:lang w:val="en-US" w:eastAsia="zh-CN"/>
        </w:rPr>
        <w:t xml:space="preserve">负责连云区森林防灭火智能体预警系统从建设到日常运营的全套管理工作，组织推进78台AI智能摄像机、10台坟区电子围栏摄像机、6套无人机自动机巢及后台</w:t>
      </w:r>
      <w:r>
        <w:rPr>
          <w:rFonts w:hint="eastAsia" w:ascii="宋体" w:hAnsi="宋体" w:eastAsia="宋体" w:cs="宋体"/>
          <w:b w:val="0"/>
          <w:bCs w:val="0"/>
          <w:sz w:val="24"/>
          <w:szCs w:val="24"/>
          <w:highlight w:val="none"/>
          <w:lang w:val="en-US" w:eastAsia="zh-CN"/>
        </w:rPr>
        <w:t xml:space="preserve">大模型、结构化分析等</w:t>
      </w:r>
      <w:r>
        <w:rPr>
          <w:rFonts w:hint="default" w:ascii="宋体" w:hAnsi="宋体" w:eastAsia="宋体" w:cs="宋体"/>
          <w:b w:val="0"/>
          <w:bCs w:val="0"/>
          <w:sz w:val="24"/>
          <w:szCs w:val="24"/>
          <w:highlight w:val="none"/>
          <w:lang w:val="en-US" w:eastAsia="zh-CN"/>
        </w:rPr>
        <w:t xml:space="preserve">服务器的安装上线，通过远程监控、自动故障检测等手段，保障系统持续稳定运行。</w:t>
      </w:r>
      <w:r/>
    </w:p>
    <w:p>
      <w:pPr>
        <w:numPr>
          <w:ilvl w:val="0"/>
          <w:numId w:val="0"/>
        </w:numPr>
        <w:ind w:firstLine="480"/>
        <w:keepLines w:val="0"/>
        <w:keepNext w:val="0"/>
        <w:pageBreakBefore w:val="0"/>
        <w:spacing w:line="360" w:lineRule="auto"/>
        <w:widowControl w:val="off"/>
        <w:rPr>
          <w:rFonts w:hint="default" w:ascii="宋体" w:hAnsi="宋体" w:eastAsia="宋体" w:cs="宋体"/>
          <w:b w:val="0"/>
          <w:bCs w:val="0"/>
          <w:sz w:val="24"/>
          <w:szCs w:val="24"/>
          <w:highlight w:val="none"/>
          <w:lang w:val="en-US" w:eastAsia="zh-CN"/>
        </w:rPr>
        <w:outlineLvl w:val="9"/>
      </w:pPr>
      <w:r>
        <w:rPr>
          <w:rFonts w:hint="default" w:ascii="宋体" w:hAnsi="宋体" w:eastAsia="宋体" w:cs="宋体"/>
          <w:b w:val="0"/>
          <w:bCs w:val="0"/>
          <w:sz w:val="24"/>
          <w:szCs w:val="24"/>
          <w:highlight w:val="none"/>
          <w:lang w:val="en-US" w:eastAsia="zh-CN"/>
        </w:rPr>
        <w:t xml:space="preserve">系统建成后，AI大模型将对前端视频进行实时分析，自动识别违规祭祀用火、异常热源等隐患，一旦发现风险立即触发警报，通过三维电子地图指挥平台第一时间通知林业、应急、消防等部门协同处置，实现从“发现问题”到“处置完毕”的全流程管控。</w:t>
      </w:r>
      <w:r/>
    </w:p>
    <w:p>
      <w:pPr>
        <w:numPr>
          <w:ilvl w:val="0"/>
          <w:numId w:val="0"/>
        </w:numPr>
        <w:ind w:firstLine="480"/>
        <w:keepLines w:val="0"/>
        <w:keepNext w:val="0"/>
        <w:pageBreakBefore w:val="0"/>
        <w:spacing w:line="360" w:lineRule="auto"/>
        <w:widowControl w:val="off"/>
        <w:rPr>
          <w:rFonts w:hint="default" w:ascii="宋体" w:hAnsi="宋体" w:eastAsia="宋体" w:cs="宋体"/>
          <w:b w:val="0"/>
          <w:bCs w:val="0"/>
          <w:sz w:val="24"/>
          <w:szCs w:val="24"/>
          <w:highlight w:val="none"/>
          <w:lang w:val="en-US" w:eastAsia="zh-CN"/>
        </w:rPr>
        <w:outlineLvl w:val="9"/>
      </w:pPr>
      <w:r>
        <w:rPr>
          <w:rFonts w:hint="default" w:ascii="宋体" w:hAnsi="宋体" w:eastAsia="宋体" w:cs="宋体"/>
          <w:b w:val="0"/>
          <w:bCs w:val="0"/>
          <w:sz w:val="24"/>
          <w:szCs w:val="24"/>
          <w:highlight w:val="none"/>
          <w:lang w:val="en-US" w:eastAsia="zh-CN"/>
        </w:rPr>
        <w:t xml:space="preserve">系统对全区所有感知设备进行运维及诊断，发现故障及时预警，同步更新设备台账，并持续对AI识别算法进行优化迭代，确保识别精度越用越准。</w:t>
      </w:r>
      <w:r/>
    </w:p>
    <w:p>
      <w:pPr>
        <w:numPr>
          <w:ilvl w:val="0"/>
          <w:numId w:val="0"/>
        </w:numPr>
        <w:ind w:firstLine="480"/>
        <w:keepLines w:val="0"/>
        <w:keepNext w:val="0"/>
        <w:pageBreakBefore w:val="0"/>
        <w:spacing w:line="360" w:lineRule="auto"/>
        <w:widowControl w:val="off"/>
        <w:rPr>
          <w:rFonts w:hint="default" w:ascii="宋体" w:hAnsi="宋体" w:eastAsia="宋体" w:cs="宋体"/>
          <w:b w:val="0"/>
          <w:bCs w:val="0"/>
          <w:sz w:val="24"/>
          <w:szCs w:val="24"/>
          <w:highlight w:val="none"/>
          <w:lang w:val="en-US" w:eastAsia="zh-CN"/>
        </w:rPr>
        <w:outlineLvl w:val="9"/>
      </w:pPr>
      <w:r>
        <w:rPr>
          <w:rFonts w:hint="default" w:ascii="宋体" w:hAnsi="宋体" w:eastAsia="宋体" w:cs="宋体"/>
          <w:b w:val="0"/>
          <w:bCs w:val="0"/>
          <w:sz w:val="24"/>
          <w:szCs w:val="24"/>
          <w:highlight w:val="none"/>
          <w:lang w:val="en-US" w:eastAsia="zh-CN"/>
        </w:rPr>
        <w:t xml:space="preserve">通过统一视频管理平台，将高塔监控、坟区热成像、进山路口摄像、无人机视频等各类资源统一接入，各部门可按权限随时调看。同时，依托全区森林防火大数据底座，汇聚地形地貌、坟区分布、设备点位、应急资源等全量基础数据，为日常防火研判和应急决策提供准确可靠的数据支撑。</w:t>
      </w:r>
      <w:r/>
    </w:p>
    <w:p>
      <w:pPr>
        <w:numPr>
          <w:ilvl w:val="0"/>
          <w:numId w:val="0"/>
        </w:numPr>
        <w:ind w:firstLine="480"/>
        <w:keepLines w:val="0"/>
        <w:keepNext w:val="0"/>
        <w:pageBreakBefore w:val="0"/>
        <w:spacing w:line="360" w:lineRule="auto"/>
        <w:widowControl w:val="off"/>
        <w:rPr>
          <w:rFonts w:hint="default" w:ascii="宋体" w:hAnsi="宋体" w:eastAsia="宋体" w:cs="宋体"/>
          <w:b w:val="0"/>
          <w:bCs w:val="0"/>
          <w:sz w:val="24"/>
          <w:szCs w:val="24"/>
          <w:highlight w:val="none"/>
          <w:lang w:val="en-US" w:eastAsia="zh-CN"/>
        </w:rPr>
        <w:outlineLvl w:val="9"/>
      </w:pPr>
      <w:r>
        <w:rPr>
          <w:rFonts w:hint="default" w:ascii="宋体" w:hAnsi="宋体" w:eastAsia="宋体" w:cs="宋体"/>
          <w:b w:val="0"/>
          <w:bCs w:val="0"/>
          <w:sz w:val="24"/>
          <w:szCs w:val="24"/>
          <w:highlight w:val="none"/>
          <w:lang w:val="en-US" w:eastAsia="zh-CN"/>
        </w:rPr>
        <w:t xml:space="preserve">此外，面向各级防火部门、街道网格员和一线护林员提供系统操作培训、AI智能问答、移动端使用指导及远程故障协助等服务。</w:t>
      </w:r>
      <w:r/>
    </w:p>
    <w:p>
      <w:pPr>
        <w:numPr>
          <w:ilvl w:val="0"/>
          <w:numId w:val="0"/>
        </w:numPr>
        <w:ind w:firstLine="420"/>
        <w:spacing w:line="360" w:lineRule="auto"/>
        <w:rPr>
          <w:rFonts w:hint="eastAsia" w:ascii="Times New Roman" w:hAnsi="Times New Roman"/>
          <w:b/>
          <w:sz w:val="28"/>
          <w:szCs w:val="28"/>
          <w:highlight w:val="none"/>
        </w:rPr>
        <w:outlineLvl w:val="9"/>
      </w:pPr>
      <w:r>
        <w:rPr>
          <w:rFonts w:hint="eastAsia" w:ascii="宋体" w:hAnsi="宋体" w:eastAsia="宋体" w:cs="宋体"/>
          <w:b/>
          <w:bCs/>
          <w:sz w:val="28"/>
          <w:szCs w:val="28"/>
          <w:highlight w:val="none"/>
          <w:lang w:val="en-US" w:eastAsia="zh-CN"/>
        </w:rPr>
        <w:t xml:space="preserve">2.</w:t>
      </w:r>
      <w:r>
        <w:rPr>
          <w:rFonts w:hint="eastAsia" w:ascii="宋体" w:hAnsi="宋体" w:cs="宋体"/>
          <w:b/>
          <w:bCs/>
          <w:sz w:val="28"/>
          <w:szCs w:val="28"/>
          <w:highlight w:val="none"/>
          <w:lang w:val="en-US" w:eastAsia="zh-CN"/>
        </w:rPr>
        <w:t xml:space="preserve">2</w:t>
      </w:r>
      <w:r>
        <w:rPr>
          <w:rFonts w:hint="eastAsia" w:ascii="Times New Roman" w:hAnsi="Times New Roman"/>
          <w:b/>
          <w:sz w:val="28"/>
          <w:szCs w:val="28"/>
          <w:highlight w:val="none"/>
        </w:rPr>
        <w:t xml:space="preserve">技术参数</w:t>
      </w:r>
      <w:r>
        <w:rPr>
          <w:rFonts w:hint="eastAsia" w:ascii="Times New Roman" w:hAnsi="Times New Roman"/>
          <w:b/>
          <w:sz w:val="28"/>
          <w:szCs w:val="28"/>
          <w:highlight w:val="none"/>
          <w:lang w:val="en-US" w:eastAsia="zh-CN"/>
        </w:rPr>
        <w:t xml:space="preserve">及</w:t>
      </w:r>
      <w:r>
        <w:rPr>
          <w:rFonts w:hint="eastAsia" w:ascii="Times New Roman" w:hAnsi="Times New Roman"/>
          <w:b/>
          <w:sz w:val="28"/>
          <w:szCs w:val="28"/>
          <w:highlight w:val="none"/>
        </w:rPr>
        <w:t xml:space="preserve">功能指标</w:t>
      </w:r>
      <w:r/>
    </w:p>
    <w:tbl>
      <w:tblPr>
        <w:tblStyle w:val="64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26"/>
        <w:gridCol w:w="651"/>
        <w:gridCol w:w="1366"/>
        <w:gridCol w:w="4684"/>
        <w:gridCol w:w="671"/>
        <w:gridCol w:w="721"/>
      </w:tblGrid>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系统名称</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功能模块</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trHeight w:val="519"/>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一．软件清单</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融合检索</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人员检索应用</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支持按人员属性、时间地点、人员特征检索；支持按人员姓名、人员编号查询检索人员档案，人员类型支持自定义分配；支持以图搜人</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人员通行记录查询</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支持人员抓拍记录按图片列表按时间排序展示，支持查看抓拍详情，包括抓拍场景图、抓拍时间、地点、事件类型和抓拍特征；支持场景图放缩查看、抓拍历史录像回放和抓拍场景图下载到本地</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人员目标布控</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针对快速选择人员库一键布控，该人员下次出现时及时告警提示</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非机动车检索应用</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按时间地点、车辆特征检索非机动车抓拍记录；支持上传车辆图片、设置最低匹配相似度，结合时间、地点条件，进行以图搜索非机动车抓拍记录，支持对上传的图片自动扫描目标检测，可快速选择目标进行检索，也支持手动框非机动车目标检索；支持非机动车抓拍记录按图片列表按时间排序展示，可以查看抓拍详情</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机动车检索应用</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按车辆属性检索，输入车牌号码检索车辆档案；支持按时间地点、车辆特征检索；支持上传车辆图片、设置最低匹配相似度，结合时间、地点条件，进行以图搜索车辆抓拍记录，支持对上传的图片自动扫描目标检测，可快速选择目标进行检索，也支持手动框车辆目标检索</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人员轨迹</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支持展示轨迹信息列表，包括融合轨迹、车辆轨迹和人员轨迹；支持按时间和地点条件调整更新轨迹信息列表，轨迹按时间逆序展示</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三维建模地图</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三维地图融合应用</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支持基于服务器端/云端的渲染服务方式</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支持1K、2K、4K等多种高清分辨率的画面输出，提供完整的后台服务管理，包含：用户管理、权限管理、菜单管理、日志管理、图层管理</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支持多种类的数据融合与发布，包含影像/高程数据、三维模型数据、倾斜摄影数据、矢量图层数据及业务图层数据的融合与发布</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支持三维地图浏览、飞行漫游、飞行定位、放大、缩小、改变相机视角等三维应用操作功能；支持三维地图量算分析功能，含水平测量、垂直测量、面积测量</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支持多种类地图场景特效，如晴天、雨、雪、雾、多云、白天、黑夜渲染的模拟；支持控制场景的日照变化，表达从清晨、黄昏到夜间的场景效果</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支持通过点击地图场景的特定元素，能够迅速放大至聚焦特写视图，为用户提供详细的局部信息；同时，配备复位按钮功能，用户可一键恢复到全局视角，快速概览整个场景</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支持沿路线漫游，漫游路线场景自定义绘制、路线点位编辑（漫游路线节点经纬度坐标、高程编辑）、漫游类型（行人、飞行漫游模式）、航速；支持路线管理，线路名称修改、路线删除，漫游开始、暂停、退出</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支持在三维场景中，可以创建并管理视点，包括视点的序号、名称、角度等信息；支持通过视点可以快速切换至相应的区域</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支持点位和模型场景的收藏功能；用户可将感兴趣的点位或模型场景添加至收藏夹，便于快速定位和查看相关信息</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在三维场景中展示各种接入的视频点位设备（不大于300个点位接入）；支持在三维场景中的点击视频点位，打开监控视频（实时视频、录像回放、云台操作），并支持多选操作，支持划选（点选，圈选，框选）打开周边视频，多边形框选打开</w:t>
            </w:r>
            <w:r/>
          </w:p>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在三维地图上绘制巡检路线，设定巡检时间、巡检距离、巡检路线名称、巡检倍数（0.5/1/2/4）、第一人称/第三人称，通过巡检列表进入巡检功能，当巡检至关键点位时，自动打开监控播放画面，整个巡检速度可调整，支持两种视角模式，跟随视角、场景视角（俯瞰整个巡检路线）</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三维地图建模</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无人机数据采集：（1）航向重叠度不小于80%，旁边重叠度不小于70%，采集的数据地面分辨率优于5-7cm；（2）采集到的影像质量要求影像清晰、反差适中、颜色饱和、色彩鲜明、色调一致，层次丰富</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要求根据《数字航空摄影测量控制测量规范》进行控制点测量，平面精度以及建筑的高程精度，中误差不大于±20cm</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参考坐标系：（1）坐标系统：CGCS2000国家大地坐标系；（2）高程基准：大地高</w:t>
            </w:r>
            <w:r/>
          </w:p>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模型质量要求：（1）数据成果完整、明亮美观、无严重色差拼接自然、无严重破面、无冗余数据；（2）水面平整无漏洞；（3）数据格式为osgb</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三维地图控制</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支持二维地图和三维地图模式切换，模式切换后保持相同区域查看；支持三维视角控制，可通过鼠标调节俯仰角度和视角距离</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三维地图资源展示</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支持在三维地图上查看高塔、无人机、人员卡口、车辆卡口、水源地等防火资源点位和信息</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支持在三维地图上展示无人机、移动终端的动态位置信息；支持在三维地图上展示高塔、热成像、人员卡口、车辆卡口、无人机等报警信息</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支持测量三维地形多点贴地距离和贴地面积；支持在三维地形中选择上报人工火情点位</w:t>
            </w:r>
            <w:r/>
          </w:p>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支持在三维地形中进行矢量标记，可录入备注信息；支持在三维地图中显示无人机飞行轨迹；支持在三维地图进行态势标绘；资源展示支持随着三维地图视角转变而进行变换</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无人机巡航联动</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无人机信息统览</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支持查看无人机整体情况，统计无人机离线数、在线率、在线数；支持通过组织选择无人机，进行信息查看</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离线状态无人机展示信息包含责任人、联系方式、设备名称、设备状态、最大速度、最大高度、续航里程；在线状态无人机展示信息包含责任人、联系方式、飞行速度、飞行高度、飞行里程、飞行模式、剩余电量</w:t>
            </w:r>
            <w:r/>
          </w:p>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支持展示在线无人机的电量信息；电量10%及以下为红色图标；20%及以下为黄色图标，其他为蓝色</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无人机报警</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支持展示无人机传回的报警信息，包括报警时间、地点、报警图片</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无人机飞行统计</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支持选择近一年月份，展示无人机飞行总次数，总里程，总时长</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无人机飞行记录</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支持滚动展示无人机编号、无人机名称、飞行里程、详情及轨迹；详情展示当次无人机飞行开始结束时间、飞行里程和最大飞行高度；轨迹可展示无人机已飞行路径</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无人机资源库</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支持无人机资源按组织树结构展示和选择，并可在地图上定位到无人机；支持根据在地图上圈定的半径，搜索出该区域内的所有无人机</w:t>
            </w:r>
            <w:r/>
          </w:p>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支持无人机资源地图点位展示，支持气泡展示无人机名称、责任人、电话、最大速度、最大高度信息，支持查看实时视频</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无人机巡航</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支持根据林区/坟区防火工作需求自定义巡航任务，在巡航任务执行过程中可根据无人机电量情况自主选择返航充电，无人机完成充电后可继续执行防火巡航任务</w:t>
            </w:r>
            <w:r/>
          </w:p>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支持烟火报警进行二次大模型分析进行精准研判；支持无人机状态及任务列表在一张图实时动态呈现；支持无人机信息在三维地图上实时呈现</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无人机联动应用</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支持在三维地图上划分巡航区域，支持区域内烟火告警联动无人机执行现场复核任务</w:t>
            </w:r>
            <w:r/>
          </w:p>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支持根据无人机电量情况决策任务执行可行性；支持人工切换调用相邻区域无人机执行联动任务</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无人机围栏应用</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支持区域内祭祀用品携带告警联动无人机执行现场劝阻任务；支持根据无人机电量情况决策任务执行可行性</w:t>
            </w:r>
            <w:r/>
          </w:p>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支持人工介入手动操控无人机；支持无人机自主喊话及人员喊话</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移动端</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移动端信息处置</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支持接收最新的报警信息展示，展示报警类型和报警时间信息，报警信息包含报警经纬度信息，报警点位最佳到达路线，并需人工确认接收</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支持消息查看列表功能，支持查看火情类型、报警等级、报警设备、报警时间，支持根据待研判、待签收、待处置、已完成进行分类查看消息，支持根据报警开始结束时间、处理状态条件筛选和模糊查询</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支持报警督办、报警处置环节生成任务消息，通过APP消息进行通知提醒，个人可以看到对应任务处置状态，并能够根据时间和处置状态进行筛选</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支持实时展示移动端在三维地图上的位置信息，支持查看移动端信息，包含人员编码，联系方式及所执行的任务</w:t>
            </w:r>
            <w:r/>
          </w:p>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支持移动端处置火情信息，并进行任务下发，任务处置流程同步指挥中心驾驶舱</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场景化播报</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无人机空中播报</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无人机飞行平台支持地空联动，采用场景化语音播报或远程喊话；人员携带祭祀用品进入坟区，无人机飞达现场进行祭祀危险行为劝阻提醒；坟区发现人员祭祀点火，无人机飞达现场进行祭祀危险行为劝阻提醒</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坟区场景化播报</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坟区热成像双目摄像机支持场景化播报，采用前置AI算法检测烟火，采用边缘AI算法检测人员结构化目标；发现人员进入坟区，摄像机进行防火安全语音播报，发现烟火后，摄像机进行危险报警并进行及时劝阻</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人员卡口场景化播报</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坟区电子围栏人员卡口支持场景化播报，采用视频结构化检测人员目标，无异常情况则进行防火安全语音播报，有异常（携带祭祀用品）则进行劝阻播报，语音播报根据多模态大模型进行长尾场景分析，并支持算法效果训练提升，高效检测人员祭祀危险行为</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可视化驾驶舱</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坟区网格化管理</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林区散坟网格化管理，提供坟区编号、网格员信息、散坟信息编辑展示；支持在三维地图上进行坟区资源展示；支持人员库与坟区绑定；支持祭祀用品携带识别告警，支持算法能力训练提升，支持联动无人机系统现场劝阻，支持联动移动端现场处置</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坟区可视化管理</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支持坟区管理可视化，展示坟区情况、坟区监控、气象传感设备在线情况及移动端在线情况；展示坟区火情信息、坟区电子围栏报警信息（携带祭祀用品）及视频轮巡监控画面</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报警分类分级</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系统报警分类展示，结构化相机（人车卡口）抓拍预警信息在人车卡口驾驶舱进行展示，热成像相机烟火告警/人员入侵信息在坟区管理驾驶舱进行展示，高塔云台相机烟火告警在高塔监控驾驶舱进行展示；结构化预警信息分级展示为坟区绑定人员/携带祭祀用品人员，热成像告警信息分级展示为人员入侵/烟火告警</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三维地图路网展示</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支持在三维地图上展示坟区/林区的路网信息；支持在三维地图上展示人员动态轨迹信息；支持提供报警点位最佳路线信息，路线信息可在一张图展示并支持下发到移动端</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防火一张图应用</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提供三维地图可视化驾驶舱，包含人车卡口驾驶舱、态势感知驾驶舱、坟区管理驾驶舱、高塔监控驾驶舱、报警研判驾驶舱、指挥救援驾驶舱</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驾驶舱支持加载天空塔地设备资源实时动态数据，支持驾驶舱页面UI效果可视化定制服务，满足新型防火一张图可视化应用需求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驾驶舱支持汇聚展示移动端、无人机动态信息、灭火资源信息、应急预案全流程信息，指挥救援全流程信息</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多模态大模型</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多模态问答</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针对连云区森林防灭火智能体预警系统需求，结合实际应用场景，实现</w:t>
            </w:r>
            <w:r>
              <w:rPr>
                <w:rFonts w:hint="eastAsia" w:ascii="宋体" w:hAnsi="宋体" w:eastAsia="宋体" w:cs="宋体"/>
                <w:color w:val="000000"/>
                <w:sz w:val="20"/>
                <w:szCs w:val="20"/>
                <w:highlight w:val="none"/>
                <w:lang w:bidi="ar"/>
              </w:rPr>
              <w:t xml:space="preserve">文本、图像、视频等异构输入的多模态统一理解与对话交互；支持对长句、复杂句式的查询意图解析，并支持本地历史对话记录的自动存储、索引，并提供多条件快速检索功能</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视图数据理解</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支持对</w:t>
            </w:r>
            <w:r>
              <w:rPr>
                <w:rFonts w:hint="eastAsia" w:ascii="宋体" w:hAnsi="宋体" w:eastAsia="宋体" w:cs="宋体"/>
                <w:color w:val="000000"/>
                <w:sz w:val="20"/>
                <w:szCs w:val="20"/>
                <w:highlight w:val="none"/>
                <w:lang w:bidi="ar"/>
              </w:rPr>
              <w:t xml:space="preserve">连云区森林防灭火智能体预警系统的前端结构化相机</w:t>
            </w:r>
            <w:r>
              <w:rPr>
                <w:rFonts w:hint="eastAsia" w:ascii="宋体" w:hAnsi="宋体" w:eastAsia="宋体" w:cs="宋体"/>
                <w:color w:val="000000"/>
                <w:sz w:val="20"/>
                <w:szCs w:val="20"/>
                <w:highlight w:val="none"/>
                <w:lang w:bidi="ar"/>
              </w:rPr>
              <w:t xml:space="preserve">图像内容的深度像素级解析；结构化提取图像中的物体、场景、文字、人物等维度的语义特征信息；支持视频流数据抽帧分析，自动识别动态事件、行为模式及异常情况</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color w:val="000000"/>
                <w:sz w:val="20"/>
                <w:szCs w:val="20"/>
                <w:highlight w:val="none"/>
                <w:lang w:bidi="ar"/>
              </w:rPr>
              <w:t xml:space="preserve">3</w:t>
            </w:r>
            <w:r>
              <w:rPr>
                <w:rFonts w:hint="eastAsia" w:ascii="宋体" w:hAnsi="宋体" w:eastAsia="宋体" w:cs="宋体"/>
                <w:color w:val="000000"/>
                <w:sz w:val="20"/>
                <w:szCs w:val="20"/>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事件二次研判分析</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针对连云区森林防灭火智能体预警系统需求，结合实际应用场景，实现</w:t>
            </w:r>
            <w:r>
              <w:rPr>
                <w:rFonts w:hint="eastAsia" w:ascii="宋体" w:hAnsi="宋体" w:eastAsia="宋体" w:cs="宋体"/>
                <w:color w:val="000000"/>
                <w:sz w:val="20"/>
                <w:szCs w:val="20"/>
                <w:highlight w:val="none"/>
                <w:lang w:bidi="ar"/>
              </w:rPr>
              <w:t xml:space="preserve">前端设备轻量模型初筛与中心大模型复核的大小模型两级联动机制，达到人员携带祭祀用品等全域潜在风险事件有效识别；并运用中心大模型对初筛事件进行语义关联与上下文深度分析，过滤误报</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零样本长尾场景分析</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针对连云区森林防灭火智能体预警系统需求，结合实际应用场景，基于</w:t>
            </w:r>
            <w:r>
              <w:rPr>
                <w:rFonts w:hint="eastAsia" w:ascii="宋体" w:hAnsi="宋体" w:eastAsia="宋体" w:cs="宋体"/>
                <w:color w:val="000000"/>
                <w:sz w:val="20"/>
                <w:szCs w:val="20"/>
                <w:highlight w:val="none"/>
                <w:lang w:bidi="ar"/>
              </w:rPr>
              <w:t xml:space="preserve">零样本学习技术，通过自然语言描述实现危险祭祀行为的“即定义、即识别”，无需针对性样本标注与训练，即可快速生成针对长尾场景的识别算法</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算法任务配置</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针对连云区森林防灭火智能体预警系统的祭祀行为分析预警，</w:t>
            </w:r>
            <w:r>
              <w:rPr>
                <w:rFonts w:hint="eastAsia" w:ascii="宋体" w:hAnsi="宋体" w:eastAsia="宋体" w:cs="宋体"/>
                <w:color w:val="000000"/>
                <w:sz w:val="20"/>
                <w:szCs w:val="20"/>
                <w:highlight w:val="none"/>
                <w:lang w:bidi="ar"/>
              </w:rPr>
              <w:t xml:space="preserve">提供提示词优化工具，支持快速生成、场景化配置及自定义模式；支持提示词的版本管理与回退机制，确保模型调优过程的可追溯性</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AI标签与识别信息质量诊断</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支持按规则自动诊断设备图像质量，定期分析画面的语义清晰度、细节损失及噪点信息；针对画面遮挡、模糊等导致识别失效的设备，自动触发高优先级运维提醒</w:t>
            </w:r>
            <w:r>
              <w:rPr>
                <w:rFonts w:hint="eastAsia" w:ascii="宋体" w:hAnsi="宋体" w:eastAsia="宋体" w:cs="宋体"/>
                <w:color w:val="000000"/>
                <w:sz w:val="20"/>
                <w:szCs w:val="2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报警合并与档案</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针对</w:t>
            </w:r>
            <w:r>
              <w:rPr>
                <w:rFonts w:hint="eastAsia" w:ascii="宋体" w:hAnsi="宋体" w:eastAsia="宋体" w:cs="宋体"/>
                <w:color w:val="000000"/>
                <w:sz w:val="20"/>
                <w:szCs w:val="20"/>
                <w:highlight w:val="none"/>
                <w:lang w:bidi="ar"/>
              </w:rPr>
              <w:t xml:space="preserve">连云区森林防灭火智能体预警系统的场景内</w:t>
            </w:r>
            <w:r>
              <w:rPr>
                <w:rFonts w:hint="eastAsia" w:ascii="宋体" w:hAnsi="宋体" w:eastAsia="宋体" w:cs="宋体"/>
                <w:color w:val="000000"/>
                <w:sz w:val="20"/>
                <w:szCs w:val="20"/>
                <w:highlight w:val="none"/>
                <w:lang w:bidi="ar"/>
              </w:rPr>
              <w:t xml:space="preserve">相同时间窗、空间邻近的报警信息进行智能聚合，合并冗余重复事件；建立报警事件演变轨迹，支持在聚合卡片中查看同一事件的整体变化趋势</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报警统计与报告模块</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支持按组织、资源类型、报警类型、时间等条件统计报警数量，自动生成含统计表格与数据可视化元素的格式化报表</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能智能筛选关键报警数据，确保统计准确，为管理人员汇报工作、辅助决策提供清晰依据，全面、细致地统计分析防火场景中的报警数据，灵活地进行报警数量统计，智能筛选关键报警数据，剔除无效或重复信息，保障统计结果准确性与可靠性</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运维驾驶舱</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支持异构计算资源的统一管理、实时监控与动态调度；具备算力任务负载均衡与故障转移功能，支持任务在多算力卡间智能路由；提供监控可视化驾驶舱，实时展示CPU、存储、网络等关键基础设施指标</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AI算法管理</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AI算法管理模块</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支持展示算法训练设备总数，包括在线设备数、离线和异常设备数；支持展示算法训练任务数，包括已完成训练任务数、训练中任务数；针对在线设备，展示GPU，内存，磁盘的使用量/总量比值</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支持查看中心智能相关的算力资源情况，包括：智能卡CPU分配率，总量、使用量及剩余量</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支持查看系统中的算法使用情况，包括专业/开放算法总数，算法任务总数，启动中算法任务总数，当前在执行通道数</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支持对中心智能支持的专业算法列表查询；支持对算法报警类型进行预关联</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事件类、结构类算法任务创建，包括算法选择、报警类型选择，自定义报警类型、待分析视频通道选择、基于所选算法和所选设备通道进行算法详细规则绘制；支持便捷、随时的算法任务维度的智能分忻启停执行操作和通道维度的智能分析启停操作；支持算法任务概览信息查看，包括算法任务名称、关联算法名称、关联报警类型、执行通道数等信息</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事件类、结构类算法任务管理，支持算法任务详情查看，包括算法任务名称、关联算法名称、关联报警类型、执行通道等信息；支持算法任务编辑；支持查看算法任务中各个设备通道的智能分析执行情况；支持随时手动开启/停止单个、批量智能分析任务执行</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支持展示专业算法仓和开放算法仓；支持上传算法到算法仓中；支持管理相应的算法并下发到指定的端边智能设备中</w:t>
            </w:r>
            <w:r/>
          </w:p>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支持管理端边智能设备，并支持跳转设备web端进行算法升级</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184"/>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AI算法训练模块</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支持系统操作流程顺序说明，包括：素材导入、算法训练、算法配置、报警类型配置、中心智能算法配置、端边智能算法下发以及报警联动配置；支持快捷接入对应操作步骤的功能界面</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支持按通道、报警类型、报警处理状态、报警时间查询报警抓拍图片；支持报警图片预览；支持单张/批量报警图片上传到训练中心的数据集中，或者导出到本地；支持训练中心数据集新增操作</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支持通过指定抓图频率、抓图通道制作抓图计划；支持查看抓图计划所抓图片；支持定时抓图图片预览；支持单张/批量定时抓图上传到训练中心的数据集中，或者导出到本地</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历史报警/定时抓图导入训练中心的记录查看；支持对导入情况进行查看，包括导入中、导入成功、导入失败；支持单个或批量对上传失败图片进行重传；支持查看导入失败图片详情，包括图片名称、图片失败原因；支持对上传失败且不符合训练要求的图片进行删除操作</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支持新增、修改、查询、删除数据集</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将标注类型列表中的标注类型添加到当前数据集的标注类型中；支持已标注、未标注、全部图片分类查询；支持对图片根据标注类型进行标注；支持将多张图片添加到新数据集或已有数据集；支持1:1复位图片比例；支持复制上一张图片的标注；支持删除当前图片全部标注框；支持快捷键操作提示，支持快捷键操作</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选择方案，支持选择该方案下关联的训练数据、算法模块、目标类型、推理平台选择;支持训练数据集多选；支持网络模式选择;支持迭代次数选择，默认300次；支持最优模型选择，效果最优或者是最后一个模型最优；支持查询训练任务，删除训练任务；支持训练任务详情展示</w:t>
            </w:r>
            <w:r/>
          </w:p>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算法模型列表展示；支持单个算法模型删除；支持多个算法模型删除；支持新建验证任务，支持现有数据集中选择验证素材、支持本地上传验证素材支持验证任务列表展示；支持验证任务详情展示；支持验证任务删除</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视频感知管理</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视频监控通道接入管理</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支持窗口分割、浏览/抓图、快速录像、轮巡、鱼眼模式、音频/对讲等功能</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支持热成像报警、雷达报警；支持云台抢占、云台锁定；支持云台八方向控制，支持守望功能</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支持录像查询及显示、回放控制、录像下载、录像存储</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支持即时上墙；支持上墙轮巡计划；支持屏幕开关、电视墙任务；支持开窗，分割，清屏功能；支持上墙回显；支持开启所有屏幕通道轮巡</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支持热成像预览实时测温；支持热图分析</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支持视频流转发，录像回放和下载，发送RTSP协议实时码流；支持HLS/FLV/RTMP协议码流转发</w:t>
            </w:r>
            <w:r/>
          </w:p>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提升现有防火监管平台视频监控通道接入管理能力，实现视频感知管理系统平滑升级</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300</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视频监控通道运维管理</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支持视频通道在线状态、视频点播状态（实时视频拉流结果）、实时录像状态、昨日录像完整性、录像保存天数完整性检测，并支持对以上异常故障的报警及可视化报表统计</w:t>
            </w:r>
            <w:r/>
          </w:p>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提升现有防火监管平台视频监控通道运维管理能力，实现视频感知管理系统平滑升级</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300</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视频监控画面诊断管理</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对视频通道进行视频冻结、视频丢失、视频抖动、视频遮挡、条纹干扰、画面模糊、对比度异常、画面过暗、画面过亮、画面偏色、噪声干扰、场景变化、黑白图像、视频剧变、雪花屏、视频卡顿、视频丢帧、视频频闪、树叶遮挡、码流异常、蜘蛛网遮挡、镜头脏污、保护膜未撕、定位遮挡、紫边异常、云台控制失效共26种图像质量异常情况进行巡检</w:t>
            </w:r>
            <w:r/>
          </w:p>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提升现有防火监管平台视频监控画面诊断管理能力，实现视频感知管理系统平滑升级</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300</w:t>
            </w:r>
            <w:r/>
          </w:p>
        </w:tc>
      </w:tr>
      <w:tr>
        <w:trPr>
          <w:trHeight w:val="519"/>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二．硬件设备</w:t>
            </w:r>
            <w:r/>
          </w:p>
        </w:tc>
      </w:tr>
      <w:tr>
        <w:trPr>
          <w:trHeight w:val="519"/>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1.前端设备</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AI智能云台双目摄像机</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全景通道采用≥1/1.8英寸400万像素CMOS图像传感器，分辨率≥2688*1520；细节通道采用≥1/1.8英寸400万像素CMOS图像传感器，分辨率≥2688*1520</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全景通道支持星光照度彩色≤0.001Lx，黑白≤0.0001Lx；细节通道支持星光照度彩色≤0.001Lx，黑白≤0.0001Lx</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全景通道内置≥2颗暖光补光灯，细节通道内置≥3颗柔光双色灯，支持夜视补光距离不低于100米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▲支持智能分区补光，实现画面多区域补光独立控制，并支持根据画面变化进行自动调节补光强度（</w:t>
            </w:r>
            <w:r>
              <w:rPr>
                <w:rFonts w:hint="eastAsia" w:ascii="宋体" w:hAnsi="宋体" w:eastAsia="宋体" w:cs="宋体"/>
                <w:sz w:val="20"/>
                <w:szCs w:val="20"/>
                <w:highlight w:val="none"/>
              </w:rPr>
              <w:t xml:space="preserve">提供</w:t>
            </w:r>
            <w:r>
              <w:rPr>
                <w:rFonts w:hint="eastAsia" w:ascii="宋体" w:hAnsi="宋体" w:eastAsia="宋体" w:cs="宋体"/>
                <w:sz w:val="20"/>
                <w:szCs w:val="20"/>
                <w:highlight w:val="none"/>
                <w:lang w:val="en-US" w:eastAsia="zh-CN"/>
              </w:rPr>
              <w:t xml:space="preserve">第三方检查机构</w:t>
            </w:r>
            <w:r>
              <w:rPr>
                <w:rFonts w:hint="eastAsia" w:ascii="宋体" w:hAnsi="宋体" w:eastAsia="宋体" w:cs="宋体"/>
                <w:sz w:val="20"/>
                <w:szCs w:val="20"/>
                <w:highlight w:val="none"/>
              </w:rPr>
              <w:t xml:space="preserve">检测报告复印件并加盖投标人公章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color w:val="000000"/>
                <w:sz w:val="20"/>
                <w:szCs w:val="20"/>
                <w:highlight w:val="none"/>
                <w:lang w:bidi="ar"/>
              </w:rPr>
              <w:t xml:space="preserve">全景镜头支持垂直旋转角度范围不小于-5°~30°；细节镜头支持垂直旋转角度范围不小于-5°~30°，水平旋转范围不小于-90°~90°（横杆安装）/0°~355°（吊装）</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支持通过浏览器自定义旋转角度，可一键调节云台至设置的角度</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全景镜头焦距≤3.6mm，细节镜头内置电动变焦镜头，焦距范围不小于8mm~32mm</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支持视频结构化，人脸检测，人脸识别，通用行为分析，道路监控，人数统计，热度图</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支持H.265；H.264；H.264H；H.264B；MJPEG（仅辅码流支持）；支持AI智能编码</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内置双MIC、拾音器</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要求机身外壳内嵌圆形水平仪，可检测样机前后方向、左右方向的水平程度</w:t>
            </w:r>
            <w:r/>
          </w:p>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lang w:bidi="ar"/>
              </w:rPr>
              <w:t xml:space="preserve">支持DC12V供电，支持IP67防护等级</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散坟区电子围栏摄像机</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采用400万像≥1/2.7英寸CMOS图像传感器，分辨率≥2688*1520</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支持星光照度彩色≤0.002Lx，黑白≤0.0002Lx</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内置≥4颗（多晶（红外+暖光）灯），支持红外补光距离不少于60米，暖光补光距离不小于30米</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具备周界防范功能，支持绊线入侵；区域入侵；快速移动（三项均支持人车分类）；徘徊检测；人员聚集；停车检测</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内置双MIC，扬声器</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支持定时语音播报功能，最大可支持添加10个不同语音文件，可设置时间优先、次数优先，播放间隔可设置并单独配置播放时间计划</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具备音频1进1出，报警2进2出，DC12V电源返送</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镜头前盖玻璃呈倾斜状，侧视图中镜头前盖玻璃与垂面之间存在夹角，可改变沿镜头光轴方向入射光束的反射光方向</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支持IP67防护等级，工作温度-40℃～+60℃</w:t>
            </w:r>
            <w:r/>
          </w:p>
          <w:p>
            <w:pPr>
              <w:jc w:val="left"/>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支持DC12V/POE供电</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无人机库</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无人机库监管相机</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采用400万像≥1/2.7英寸CMOS图像传感器，分辨率≥2688*1520</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支持星光照度彩色≤0.002Lx，黑白≤0.0002Lx</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内置≥4颗（多晶（红外+暖光）灯），支持红外补光距离不少于60米，暖光补光距离不小于30米</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具备周界防范功能，支持绊线入侵；区域入侵；快速移动（三项均支持人车分类）；徘徊检测；人员聚集；停车检测</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内置双MIC，扬声器</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具备音频1进1出，报警2进2出，DC12V电源返送</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支持IP67防护等级，工作温度-40℃～+60℃</w:t>
            </w:r>
            <w:r/>
          </w:p>
          <w:p>
            <w:pPr>
              <w:jc w:val="left"/>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支持DC12V/POE供电</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四旋翼无人机</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应是四旋翼无人机；对称点击轴距应≤1000mm</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无人机最大起飞重量应≥10kg；无人机最大负载重量≥3kg；在标准飞行工况下，最大飞行续航时间应≥55min；无人机起降和飞行抗风能力应能达到7级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▲检验设备应支持全商视觉感知系统避障能力、TOF避障系统，TOF避障距离0.5m~10m（</w:t>
            </w:r>
            <w:r>
              <w:rPr>
                <w:rFonts w:hint="eastAsia" w:ascii="宋体" w:hAnsi="宋体" w:eastAsia="宋体" w:cs="宋体"/>
                <w:sz w:val="20"/>
                <w:szCs w:val="20"/>
                <w:highlight w:val="none"/>
              </w:rPr>
              <w:t xml:space="preserve">提供具有CMA</w:t>
            </w:r>
            <w:r>
              <w:rPr>
                <w:rFonts w:hint="eastAsia" w:ascii="宋体" w:hAnsi="宋体" w:eastAsia="宋体" w:cs="宋体"/>
                <w:sz w:val="20"/>
                <w:szCs w:val="20"/>
                <w:highlight w:val="none"/>
                <w:lang w:val="en-US" w:eastAsia="zh-CN"/>
              </w:rPr>
              <w:t xml:space="preserve">/</w:t>
            </w:r>
            <w:r>
              <w:rPr>
                <w:rFonts w:hint="eastAsia" w:ascii="宋体" w:hAnsi="宋体" w:eastAsia="宋体" w:cs="宋体"/>
                <w:sz w:val="20"/>
                <w:szCs w:val="20"/>
                <w:highlight w:val="none"/>
              </w:rPr>
              <w:t xml:space="preserve">CNAS标识的第三方检测机构出具的检测报告复印件并加盖投标人公章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color w:val="000000"/>
                <w:sz w:val="20"/>
                <w:szCs w:val="20"/>
                <w:highlight w:val="none"/>
                <w:lang w:bidi="ar"/>
              </w:rPr>
              <w:t xml:space="preserve">无人机应应支持前视FPV，分辨率不小于1080</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无人机防护等级应为≥IP55；无人机最大起飞海拔高度≥5000m</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多旋翼无人机平均无故障时间应≥50h</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应具备RTK定位功能、失控保护功能、低电量保护功能、航线飞行功能、自主起降功能、禁飞区设置功能、电子围栏功能、航向锁定功能、返航点、锁定功能、热点环绕功能、断桨保护、辅助定高功能</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无人机最大水平飞行速度≥25m/s；应支持无GPS精准返航，飞行高度500m内，无GPS精准返航，返航点水平误差应≤30cm</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应最大支持下置双云台+上置单云台，三云台挂载</w:t>
            </w:r>
            <w:r/>
          </w:p>
          <w:p>
            <w:pPr>
              <w:jc w:val="left"/>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应支持电池热插拔，当飞行器降落需要更换电池时可不关闭飞行器电源</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自动机库</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无人机机库闭合状态下尺寸≤800mm×1100mm×1430mm；无人机机库展开状态下尺寸≤1900mm×1100mm×840mm；无人机机库总重量≤180kg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▲图传与控制距离：≥8km（空旷无干扰最远距离）；无人机机库防护等级≥IP54；检验设备飞行器电池电量从10%充至90%，无人机电池充电时间≤25min（</w:t>
            </w:r>
            <w:r>
              <w:rPr>
                <w:rFonts w:hint="eastAsia" w:ascii="宋体" w:hAnsi="宋体" w:eastAsia="宋体" w:cs="宋体"/>
                <w:sz w:val="20"/>
                <w:szCs w:val="20"/>
                <w:highlight w:val="none"/>
              </w:rPr>
              <w:t xml:space="preserve">提供具有CMA</w:t>
            </w:r>
            <w:r>
              <w:rPr>
                <w:rFonts w:hint="eastAsia" w:ascii="宋体" w:hAnsi="宋体" w:eastAsia="宋体" w:cs="宋体"/>
                <w:sz w:val="20"/>
                <w:szCs w:val="20"/>
                <w:highlight w:val="none"/>
                <w:lang w:val="en-US" w:eastAsia="zh-CN"/>
              </w:rPr>
              <w:t xml:space="preserve">/</w:t>
            </w:r>
            <w:r>
              <w:rPr>
                <w:rFonts w:hint="eastAsia" w:ascii="宋体" w:hAnsi="宋体" w:eastAsia="宋体" w:cs="宋体"/>
                <w:sz w:val="20"/>
                <w:szCs w:val="20"/>
                <w:highlight w:val="none"/>
              </w:rPr>
              <w:t xml:space="preserve">CNAS标识的第三方检测机构出具的检测报告复印件并加盖投标人公章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▲检验设备应具备风速、雨量、温度、湿度、气压感知功能；检验设备应具备链路中断返航、断点续飞、自动备降功能，无人机降落失败时，可自动备降到预设地点并告警功能（</w:t>
            </w:r>
            <w:r>
              <w:rPr>
                <w:rFonts w:hint="eastAsia" w:ascii="宋体" w:hAnsi="宋体" w:eastAsia="宋体" w:cs="宋体"/>
                <w:sz w:val="20"/>
                <w:szCs w:val="20"/>
                <w:highlight w:val="none"/>
              </w:rPr>
              <w:t xml:space="preserve">提供具有CMA</w:t>
            </w:r>
            <w:r>
              <w:rPr>
                <w:rFonts w:hint="eastAsia" w:ascii="宋体" w:hAnsi="宋体" w:eastAsia="宋体" w:cs="宋体"/>
                <w:sz w:val="20"/>
                <w:szCs w:val="20"/>
                <w:highlight w:val="none"/>
                <w:lang w:val="en-US" w:eastAsia="zh-CN"/>
              </w:rPr>
              <w:t xml:space="preserve">/</w:t>
            </w:r>
            <w:r>
              <w:rPr>
                <w:rFonts w:hint="eastAsia" w:ascii="宋体" w:hAnsi="宋体" w:eastAsia="宋体" w:cs="宋体"/>
                <w:sz w:val="20"/>
                <w:szCs w:val="20"/>
                <w:highlight w:val="none"/>
              </w:rPr>
              <w:t xml:space="preserve">CNAS标识的第三方检测机构出具的检测报告复印件并加盖投标人公章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color w:val="000000"/>
                <w:sz w:val="20"/>
                <w:szCs w:val="20"/>
                <w:highlight w:val="none"/>
                <w:lang w:bidi="ar"/>
              </w:rPr>
              <w:t xml:space="preserve">机库自带监控设备，可见光分辨率≥1920X1080P</w:t>
            </w:r>
            <w:r>
              <w:rPr>
                <w:rFonts w:hint="eastAsia" w:ascii="宋体" w:hAnsi="宋体" w:eastAsia="宋体" w:cs="宋体"/>
                <w:color w:val="000000"/>
                <w:sz w:val="20"/>
                <w:szCs w:val="20"/>
                <w:highlight w:val="none"/>
                <w:lang w:bidi="ar"/>
              </w:rPr>
              <w:br/>
            </w:r>
            <w:r>
              <w:rPr>
                <w:rFonts w:hint="eastAsia" w:ascii="宋体" w:hAnsi="宋体" w:eastAsia="宋体" w:cs="宋体"/>
                <w:color w:val="000000"/>
                <w:sz w:val="20"/>
                <w:szCs w:val="20"/>
                <w:highlight w:val="none"/>
                <w:lang w:bidi="ar"/>
              </w:rPr>
              <w:t xml:space="preserve">无人机机库外部供电中断时，UPS维持机库稳定运行时间≥30min；机库设备工作温度应满足-30℃至+50°℃</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机库设备供电电压应符合100~240VAC，47~63Hz</w:t>
            </w:r>
            <w:r/>
          </w:p>
          <w:p>
            <w:pPr>
              <w:jc w:val="left"/>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无人机水平降落精度≤±0.1m；机库支持舱外显示屏，尺寸应≥21.5寸</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jc w:val="left"/>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电池容量</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8000mAh</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四光云台相机</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长焦相机传感器≥1/2 " CMOS，有效像素≥4800 万，光学变焦≥25倍；广角可见光相机传感器1/1.32 " CMOS，有效像素≥4800万；红外热成像分辨率：≥640×512</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长焦相机录像分辨率不小于7680*4320，最大图像分辨率应≥8000*6000；广角相机录像分辨率不小于3840*2160，最大图像分辨率应≥8000*6000</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支持中心测温/指点测温/矩形框测温；应支持低温模式：-20°C~+150°C，高温模式：0°C~+550°C</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激光测距仪测量范围≥1500m，测量精度＜400m 精度≤1米；&gt;400m距离，精度≤ ±0.4%</w:t>
            </w:r>
            <w:r/>
          </w:p>
          <w:p>
            <w:pPr>
              <w:jc w:val="left"/>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应符合工作温度为-20℃至+55°℃；整机重量：≤800g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▲设备应支持前智能边缘计算能力功能，算力≥10.8T，设备应具备人脸比对、车牌识别、人车目标跟踪、烟火检测4种前智能算法（</w:t>
            </w:r>
            <w:r>
              <w:rPr>
                <w:rFonts w:hint="eastAsia" w:ascii="宋体" w:hAnsi="宋体" w:eastAsia="宋体" w:cs="宋体"/>
                <w:sz w:val="20"/>
                <w:szCs w:val="20"/>
                <w:highlight w:val="none"/>
              </w:rPr>
              <w:t xml:space="preserve">提供具有CMA</w:t>
            </w:r>
            <w:r>
              <w:rPr>
                <w:rFonts w:hint="eastAsia" w:ascii="宋体" w:hAnsi="宋体" w:eastAsia="宋体" w:cs="宋体"/>
                <w:sz w:val="20"/>
                <w:szCs w:val="20"/>
                <w:highlight w:val="none"/>
                <w:lang w:val="en-US" w:eastAsia="zh-CN"/>
              </w:rPr>
              <w:t xml:space="preserve">/</w:t>
            </w:r>
            <w:r>
              <w:rPr>
                <w:rFonts w:hint="eastAsia" w:ascii="宋体" w:hAnsi="宋体" w:eastAsia="宋体" w:cs="宋体"/>
                <w:sz w:val="20"/>
                <w:szCs w:val="20"/>
                <w:highlight w:val="none"/>
              </w:rPr>
              <w:t xml:space="preserve">CNAS标识的第三方检测机构出具的检测报告复印件并加盖投标人公章</w:t>
            </w: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喊话器</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喊话器重量应≤600g；喊话器声压应≥130dB</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喊话器有效广播距离应≥550米；喊话器云台角度应可以通过遥控设备进行俯仰调节，调节角度范围不小于0~90°</w:t>
            </w:r>
            <w:r/>
          </w:p>
          <w:p>
            <w:pPr>
              <w:jc w:val="left"/>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喊话器应符合实时喊话，录音上传，音频文件播放，背景音乐(自动闪避)，文字转语音(支持多方言)；音频格式应支持MP3、wav、m4a、flac、aac</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太阳能智慧供电系统</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太阳能供电</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jc w:val="left"/>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标称容量：80AH；峰值功率及类型：150W 单晶硅</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r>
      <w:tr>
        <w:trPr>
          <w:trHeight w:val="519"/>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2.后端设备</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应用存储服务</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多模态大模型服务器</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内置 2 颗国产化 ARM 架构处理器，单颗 CPU≥24 核，主频≥2.6GHz；板载BMC管理芯片；≥2块480GB SSD硬盘，≥2块960GB SSD硬盘，8槽位；配置≥256G内存；94408i RAID标卡，支持RAID 0,1,10</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配置≥4个热插拔的风扇，支持单风扇失效，支持N+1冗余</w:t>
            </w:r>
            <w:r/>
          </w:p>
          <w:p>
            <w:pPr>
              <w:jc w:val="left"/>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配置≥4张国产化智能卡，单卡算力140TFLOPS（FP16），单卡内存容量96GB；提供≥4个GE网口，支持自适应10/100/1000M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在通道画面或采集图像中配置识别区域/裁剪区域，并支持识别框开关和识别结果图片查看；对检测的目标以矩形框、类别或坐标等方式进行可视化标注（提供第三方检查机构检测报告复印件并加盖投标人公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查看事件二次研判和大模型分析结果，结果可按列表或卡片方式展示，并支持按来源设备，日期范围，报警类型，AI研判状态等条件查询、重置和分页浏览；支持结果导出、详情查看、Prompt查看、AI研判详情查看、人工研判、复核确认和归档处置，可形成从模型分析到人工确认的结果闭环。（提供第三方检查机构检测报告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边缘结构化分析服务器</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具备≥16个算力为22TOPS的GPU芯片；具有≥4个RJ45网络接口、≥1个VGA接口、≥2个USB2.0接口、≥2个USB3.0接口、≥1个RS232接口、≥1个RS485接口、≥16个SATA3.0接口、≥1个eSATA接口、≥16路开关量报警输入、≥8路开关量报警输出</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支持≥256路H.264/H.265混合接入，网络带宽768Mbps接入；768Mbps存储；768Mbps转发</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支持选配≥16类算法，支持展示所有安装的算法及版本，展示算法状态，可对已安装的算法进行手动更新</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通过客户端和本地显示器预览界面显示目标跟踪框并可接收实时报警弹窗消息,支持按照通道、时间、事件检索报警结果；可查看报警图片和关联的报警录像并支持导出excel数据、视频和图片等报警记录；支持联动录像、抓图、蜂鸣报警、预置点、邮件、本地报警输出、IPC外部输出、门禁、音频；支持抓拍库存储≥5000万条精准车牌识别抓拍历史记录</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通过业务平台给样机发送智能分析任务，可动态获取任务，并显示任务分析状态；可向业务平台上报抠图、全景图、属性、特征向量和特征向量版本；通过以图搜图方式搜索，并可在客户端软件上形成人员的运动轨迹</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支持在预览/回放界面，柜选目标后，选择人脸/人体目标类型，可快速针对所选类型目标检索全通道7天内符合相似度的抓拍图片，检索给果支持关联录像回放/导出</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支持人脸图片自动建模，导入100000张人脸图片建模成功率不低于99.99%；并支持通过视图库接入前端或其他设备，支持人脸、人体、机动车和非机动车以及图片上报</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通过28181或onvif同时添加前端进行前端视频拉流，支持单独只通过视图库协议添加前端或其他存储设备，开启人脸识别可将图片与样本库或路人库中进行人脸比对，开启车牌识别后，可与黑名单或白名单库中进行比对</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支持触发报警时可联动蜂鸣、日志记录、抓拍图片、I/O接口报警信号输出、调预置点、发送邮件、语音播报输出、报警上传</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▲可配合平台接入多台设备实现智能分析集群化管理，可通过平台上传人脸图片、关联多台设备人脸库，</w:t>
            </w:r>
            <w:r>
              <w:rPr>
                <w:rFonts w:hint="eastAsia" w:ascii="宋体" w:hAnsi="宋体" w:eastAsia="宋体" w:cs="宋体"/>
                <w:color w:val="000000"/>
                <w:sz w:val="20"/>
                <w:szCs w:val="20"/>
                <w:highlight w:val="none"/>
                <w:lang w:val="en-US" w:eastAsia="zh-CN" w:bidi="ar"/>
              </w:rPr>
              <w:t xml:space="preserve">并</w:t>
            </w:r>
            <w:r>
              <w:rPr>
                <w:rFonts w:hint="eastAsia" w:ascii="宋体" w:hAnsi="宋体" w:eastAsia="宋体" w:cs="宋体"/>
                <w:color w:val="000000"/>
                <w:sz w:val="20"/>
                <w:szCs w:val="20"/>
                <w:highlight w:val="none"/>
                <w:lang w:bidi="ar"/>
              </w:rPr>
              <w:t xml:space="preserve">发进行搜图，展示结果；可上传、删除、编辑摄像机语音文件；可设置联动前端设备的语音播放次数；可设置联动前端设备的</w:t>
            </w:r>
            <w:r>
              <w:rPr>
                <w:rFonts w:hint="eastAsia" w:ascii="宋体" w:hAnsi="宋体" w:eastAsia="宋体" w:cs="宋体"/>
                <w:color w:val="000000"/>
                <w:sz w:val="20"/>
                <w:szCs w:val="20"/>
                <w:highlight w:val="none"/>
                <w:lang w:val="en-US" w:eastAsia="zh-CN" w:bidi="ar"/>
              </w:rPr>
              <w:t xml:space="preserve">警戒</w:t>
            </w:r>
            <w:r>
              <w:rPr>
                <w:rFonts w:hint="eastAsia" w:ascii="宋体" w:hAnsi="宋体" w:eastAsia="宋体" w:cs="宋体"/>
                <w:color w:val="000000"/>
                <w:sz w:val="20"/>
                <w:szCs w:val="20"/>
                <w:highlight w:val="none"/>
                <w:lang w:bidi="ar"/>
              </w:rPr>
              <w:t xml:space="preserve">灯为闪烁或常亮模式，闪烁模式下可设置闪烁频率和持续时间（提供第三方检查机构检测报告复印件并加盖投标人公章）</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eastAsia="zh-CN" w:bidi="ar"/>
              </w:rPr>
              <w:suppressLineNumbers w:val="0"/>
            </w:pPr>
            <w:r>
              <w:rPr>
                <w:rFonts w:hint="eastAsia" w:ascii="宋体" w:hAnsi="宋体" w:eastAsia="宋体" w:cs="宋体"/>
                <w:color w:val="000000"/>
                <w:sz w:val="20"/>
                <w:szCs w:val="20"/>
                <w:highlight w:val="none"/>
                <w:lang w:bidi="ar"/>
              </w:rPr>
              <w:t xml:space="preserve">▲在电子地图界面可通过文搜</w:t>
            </w:r>
            <w:r>
              <w:rPr>
                <w:rFonts w:hint="eastAsia" w:ascii="宋体" w:hAnsi="宋体" w:eastAsia="宋体" w:cs="宋体"/>
                <w:color w:val="000000"/>
                <w:sz w:val="20"/>
                <w:szCs w:val="20"/>
                <w:highlight w:val="none"/>
                <w:lang w:val="en-US" w:eastAsia="zh-CN" w:bidi="ar"/>
              </w:rPr>
              <w:t xml:space="preserve">图</w:t>
            </w:r>
            <w:r>
              <w:rPr>
                <w:rFonts w:hint="eastAsia" w:ascii="宋体" w:hAnsi="宋体" w:eastAsia="宋体" w:cs="宋体"/>
                <w:color w:val="000000"/>
                <w:sz w:val="20"/>
                <w:szCs w:val="20"/>
                <w:highlight w:val="none"/>
                <w:lang w:bidi="ar"/>
              </w:rPr>
              <w:t xml:space="preserve">结果对目标进行历史轨迹查询，并展示人/车/动物的行动轨迹，轨迹的起始应有明显的标记，鼠标移动到地图标记上时，标记颜色</w:t>
            </w:r>
            <w:r>
              <w:rPr>
                <w:rFonts w:hint="eastAsia" w:ascii="宋体" w:hAnsi="宋体" w:eastAsia="宋体" w:cs="宋体"/>
                <w:color w:val="000000"/>
                <w:sz w:val="20"/>
                <w:szCs w:val="20"/>
                <w:highlight w:val="none"/>
                <w:lang w:val="en-US" w:eastAsia="zh-CN" w:bidi="ar"/>
              </w:rPr>
              <w:t xml:space="preserve">应</w:t>
            </w:r>
            <w:r>
              <w:rPr>
                <w:rFonts w:hint="eastAsia" w:ascii="宋体" w:hAnsi="宋体" w:eastAsia="宋体" w:cs="宋体"/>
                <w:color w:val="000000"/>
                <w:sz w:val="20"/>
                <w:szCs w:val="20"/>
                <w:highlight w:val="none"/>
                <w:lang w:bidi="ar"/>
              </w:rPr>
              <w:t xml:space="preserve">变化(默认红色，选中蓝色)，且光标处会展示该标记的通道号、通道名称、轨迹编号</w:t>
            </w:r>
            <w:r>
              <w:rPr>
                <w:rFonts w:hint="eastAsia" w:ascii="宋体" w:hAnsi="宋体" w:eastAsia="宋体" w:cs="宋体"/>
                <w:color w:val="000000"/>
                <w:sz w:val="20"/>
                <w:szCs w:val="20"/>
                <w:highlight w:val="none"/>
                <w:lang w:eastAsia="zh-CN" w:bidi="ar"/>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lang w:bidi="ar"/>
              </w:rPr>
              <w:t xml:space="preserve">具有独立的文搜应用模块，可通过文字语义描述检索样机功能，通过用户输入所需功能，可生成与该功能相关的软件界面</w:t>
            </w:r>
            <w:r>
              <w:rPr>
                <w:rFonts w:hint="eastAsia" w:ascii="宋体" w:hAnsi="宋体" w:eastAsia="宋体" w:cs="宋体"/>
                <w:color w:val="000000"/>
                <w:sz w:val="20"/>
                <w:szCs w:val="20"/>
                <w:highlight w:val="none"/>
                <w:lang w:val="en-US" w:eastAsia="zh-CN" w:bidi="ar"/>
              </w:rPr>
              <w:t xml:space="preserve">链</w:t>
            </w:r>
            <w:r>
              <w:rPr>
                <w:rFonts w:hint="eastAsia" w:ascii="宋体" w:hAnsi="宋体" w:eastAsia="宋体" w:cs="宋体"/>
                <w:color w:val="000000"/>
                <w:sz w:val="20"/>
                <w:szCs w:val="20"/>
                <w:highlight w:val="none"/>
                <w:lang w:bidi="ar"/>
              </w:rPr>
              <w:t xml:space="preserve">接列表，并根据相似度进行优先排序（提供第三方检查机构检测报告复印件并加盖投标人公章）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无人机管控服务器</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≥四核处理器，≥32GB内存，≥4个2.5G电口，支持流媒体性能≥700M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▲支持AR全景低空融合，高空监测地空联动一图总览，预警联动，高空指挥语音喊话等（</w:t>
            </w:r>
            <w:r>
              <w:rPr>
                <w:rFonts w:hint="eastAsia" w:ascii="宋体" w:hAnsi="宋体" w:eastAsia="宋体" w:cs="宋体"/>
                <w:sz w:val="20"/>
                <w:szCs w:val="20"/>
                <w:highlight w:val="none"/>
              </w:rPr>
              <w:t xml:space="preserve">提供具有CMA</w:t>
            </w:r>
            <w:r>
              <w:rPr>
                <w:rFonts w:hint="eastAsia" w:ascii="宋体" w:hAnsi="宋体" w:eastAsia="宋体" w:cs="宋体"/>
                <w:sz w:val="20"/>
                <w:szCs w:val="20"/>
                <w:highlight w:val="none"/>
                <w:lang w:val="en-US" w:eastAsia="zh-CN"/>
              </w:rPr>
              <w:t xml:space="preserve">/</w:t>
            </w:r>
            <w:r>
              <w:rPr>
                <w:rFonts w:hint="eastAsia" w:ascii="宋体" w:hAnsi="宋体" w:eastAsia="宋体" w:cs="宋体"/>
                <w:sz w:val="20"/>
                <w:szCs w:val="20"/>
                <w:highlight w:val="none"/>
              </w:rPr>
              <w:t xml:space="preserve">CNAS标识的第三方检测机构出具的检测报告复印件并加盖投标人公章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color w:val="000000"/>
                <w:sz w:val="20"/>
                <w:szCs w:val="20"/>
                <w:highlight w:val="none"/>
                <w:lang w:bidi="ar"/>
              </w:rPr>
              <w:t xml:space="preserve">支持平台远程控制喊话，支持文本转语音、支持导入音频文件等</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通过算法模型识别到报警，无人机可自动执行飞行任务，自动喊话，喊话内容需根据识别报警类型自动调整</w:t>
            </w:r>
            <w:r/>
          </w:p>
          <w:p>
            <w:pPr>
              <w:jc w:val="left"/>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支持事件管理网格化部署设备，可看到所属网格中发生的上报事件，逐级复核管理</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中心业务服务器</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2U机架式服务器机箱；≥1 颗国产化 ARM 架构处理器，24 核，主频≥2.5GHz，24核 主频2.5GHz；配置128G内存</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内置≥2块4T 3.5英寸SATA 热插拔机械硬盘， 2个900W交流电源模块，支持1+1冗余；4个热拔插风扇，支持N+1冗余</w:t>
            </w:r>
            <w:r/>
          </w:p>
          <w:p>
            <w:pPr>
              <w:jc w:val="left"/>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RAID卡：SAS3908 4G缓存，支持RAID 0,1,10,5,6,50,60</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0980"/>
                      <wp:effectExtent l="0" t="0" r="0" b="0"/>
                      <wp:wrapNone/>
                      <wp:docPr id="1" name="Picture_48"/>
                      <wp:cNvGraphicFramePr/>
                      <a:graphic xmlns:a="http://schemas.openxmlformats.org/drawingml/2006/main">
                        <a:graphicData uri="http://schemas.openxmlformats.org/drawingml/2006/picture">
                          <pic:pic xmlns:pic="http://schemas.openxmlformats.org/drawingml/2006/picture">
                            <pic:nvPicPr>
                              <pic:cNvPr id="1073742870" name="Picture_48"/>
                              <pic:cNvPicPr>
                                <a:picLocks noChangeArrowheads="1"/>
                              </pic:cNvPicPr>
                              <pic:nvPr/>
                            </pic:nvPicPr>
                            <pic:blipFill>
                              <a:blip r:embed="rId12"/>
                              <a:stretch/>
                            </pic:blipFill>
                            <pic:spPr bwMode="auto">
                              <a:xfrm>
                                <a:off x="0" y="19444335"/>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0980"/>
                      <wp:effectExtent l="0" t="0" r="0" b="0"/>
                      <wp:wrapNone/>
                      <wp:docPr id="2" name="Picture_31"/>
                      <wp:cNvGraphicFramePr/>
                      <a:graphic xmlns:a="http://schemas.openxmlformats.org/drawingml/2006/main">
                        <a:graphicData uri="http://schemas.openxmlformats.org/drawingml/2006/picture">
                          <pic:pic xmlns:pic="http://schemas.openxmlformats.org/drawingml/2006/picture">
                            <pic:nvPicPr>
                              <pic:cNvPr id="1073742871" name="Picture_31"/>
                              <pic:cNvPicPr>
                                <a:picLocks noChangeArrowheads="1"/>
                              </pic:cNvPicPr>
                              <pic:nvPr/>
                            </pic:nvPicPr>
                            <pic:blipFill>
                              <a:blip r:embed="rId12"/>
                              <a:stretch/>
                            </pic:blipFill>
                            <pic:spPr bwMode="auto">
                              <a:xfrm>
                                <a:off x="0" y="19444335"/>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0980"/>
                      <wp:effectExtent l="0" t="0" r="0" b="0"/>
                      <wp:wrapNone/>
                      <wp:docPr id="3" name="Picture_41"/>
                      <wp:cNvGraphicFramePr/>
                      <a:graphic xmlns:a="http://schemas.openxmlformats.org/drawingml/2006/main">
                        <a:graphicData uri="http://schemas.openxmlformats.org/drawingml/2006/picture">
                          <pic:pic xmlns:pic="http://schemas.openxmlformats.org/drawingml/2006/picture">
                            <pic:nvPicPr>
                              <pic:cNvPr id="1073742872" name="Picture_41"/>
                              <pic:cNvPicPr>
                                <a:picLocks noChangeArrowheads="1"/>
                              </pic:cNvPicPr>
                              <pic:nvPr/>
                            </pic:nvPicPr>
                            <pic:blipFill>
                              <a:blip r:embed="rId12"/>
                              <a:stretch/>
                            </pic:blipFill>
                            <pic:spPr bwMode="auto">
                              <a:xfrm>
                                <a:off x="0" y="19444335"/>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0980"/>
                      <wp:effectExtent l="0" t="0" r="0" b="0"/>
                      <wp:wrapNone/>
                      <wp:docPr id="4" name="Picture_33"/>
                      <wp:cNvGraphicFramePr/>
                      <a:graphic xmlns:a="http://schemas.openxmlformats.org/drawingml/2006/main">
                        <a:graphicData uri="http://schemas.openxmlformats.org/drawingml/2006/picture">
                          <pic:pic xmlns:pic="http://schemas.openxmlformats.org/drawingml/2006/picture">
                            <pic:nvPicPr>
                              <pic:cNvPr id="1073742873" name="Picture_33"/>
                              <pic:cNvPicPr>
                                <a:picLocks noChangeArrowheads="1"/>
                              </pic:cNvPicPr>
                              <pic:nvPr/>
                            </pic:nvPicPr>
                            <pic:blipFill>
                              <a:blip r:embed="rId12"/>
                              <a:stretch/>
                            </pic:blipFill>
                            <pic:spPr bwMode="auto">
                              <a:xfrm>
                                <a:off x="0" y="19444335"/>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0980"/>
                      <wp:effectExtent l="0" t="0" r="0" b="0"/>
                      <wp:wrapNone/>
                      <wp:docPr id="5" name="Picture_37"/>
                      <wp:cNvGraphicFramePr/>
                      <a:graphic xmlns:a="http://schemas.openxmlformats.org/drawingml/2006/main">
                        <a:graphicData uri="http://schemas.openxmlformats.org/drawingml/2006/picture">
                          <pic:pic xmlns:pic="http://schemas.openxmlformats.org/drawingml/2006/picture">
                            <pic:nvPicPr>
                              <pic:cNvPr id="1073742874" name="Picture_37"/>
                              <pic:cNvPicPr>
                                <a:picLocks noChangeArrowheads="1"/>
                              </pic:cNvPicPr>
                              <pic:nvPr/>
                            </pic:nvPicPr>
                            <pic:blipFill>
                              <a:blip r:embed="rId12"/>
                              <a:stretch/>
                            </pic:blipFill>
                            <pic:spPr bwMode="auto">
                              <a:xfrm>
                                <a:off x="0" y="19444335"/>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0980"/>
                      <wp:effectExtent l="0" t="0" r="0" b="0"/>
                      <wp:wrapNone/>
                      <wp:docPr id="6" name="Picture_44"/>
                      <wp:cNvGraphicFramePr/>
                      <a:graphic xmlns:a="http://schemas.openxmlformats.org/drawingml/2006/main">
                        <a:graphicData uri="http://schemas.openxmlformats.org/drawingml/2006/picture">
                          <pic:pic xmlns:pic="http://schemas.openxmlformats.org/drawingml/2006/picture">
                            <pic:nvPicPr>
                              <pic:cNvPr id="1073742875" name="Picture_44"/>
                              <pic:cNvPicPr>
                                <a:picLocks noChangeArrowheads="1"/>
                              </pic:cNvPicPr>
                              <pic:nvPr/>
                            </pic:nvPicPr>
                            <pic:blipFill>
                              <a:blip r:embed="rId12"/>
                              <a:stretch/>
                            </pic:blipFill>
                            <pic:spPr bwMode="auto">
                              <a:xfrm>
                                <a:off x="0" y="19444335"/>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0980"/>
                      <wp:effectExtent l="0" t="0" r="0" b="0"/>
                      <wp:wrapNone/>
                      <wp:docPr id="7" name="Picture_39"/>
                      <wp:cNvGraphicFramePr/>
                      <a:graphic xmlns:a="http://schemas.openxmlformats.org/drawingml/2006/main">
                        <a:graphicData uri="http://schemas.openxmlformats.org/drawingml/2006/picture">
                          <pic:pic xmlns:pic="http://schemas.openxmlformats.org/drawingml/2006/picture">
                            <pic:nvPicPr>
                              <pic:cNvPr id="1073742876" name="Picture_39"/>
                              <pic:cNvPicPr>
                                <a:picLocks noChangeArrowheads="1"/>
                              </pic:cNvPicPr>
                              <pic:nvPr/>
                            </pic:nvPicPr>
                            <pic:blipFill>
                              <a:blip r:embed="rId12"/>
                              <a:stretch/>
                            </pic:blipFill>
                            <pic:spPr bwMode="auto">
                              <a:xfrm>
                                <a:off x="0" y="19444335"/>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0980"/>
                      <wp:effectExtent l="0" t="0" r="0" b="0"/>
                      <wp:wrapNone/>
                      <wp:docPr id="8" name="Picture_38"/>
                      <wp:cNvGraphicFramePr/>
                      <a:graphic xmlns:a="http://schemas.openxmlformats.org/drawingml/2006/main">
                        <a:graphicData uri="http://schemas.openxmlformats.org/drawingml/2006/picture">
                          <pic:pic xmlns:pic="http://schemas.openxmlformats.org/drawingml/2006/picture">
                            <pic:nvPicPr>
                              <pic:cNvPr id="1073742877" name="Picture_38"/>
                              <pic:cNvPicPr>
                                <a:picLocks noChangeArrowheads="1"/>
                              </pic:cNvPicPr>
                              <pic:nvPr/>
                            </pic:nvPicPr>
                            <pic:blipFill>
                              <a:blip r:embed="rId12"/>
                              <a:stretch/>
                            </pic:blipFill>
                            <pic:spPr bwMode="auto">
                              <a:xfrm>
                                <a:off x="0" y="19444335"/>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0980"/>
                      <wp:effectExtent l="0" t="0" r="0" b="0"/>
                      <wp:wrapNone/>
                      <wp:docPr id="9" name="Picture_34"/>
                      <wp:cNvGraphicFramePr/>
                      <a:graphic xmlns:a="http://schemas.openxmlformats.org/drawingml/2006/main">
                        <a:graphicData uri="http://schemas.openxmlformats.org/drawingml/2006/picture">
                          <pic:pic xmlns:pic="http://schemas.openxmlformats.org/drawingml/2006/picture">
                            <pic:nvPicPr>
                              <pic:cNvPr id="1073742878" name="Picture_34"/>
                              <pic:cNvPicPr>
                                <a:picLocks noChangeArrowheads="1"/>
                              </pic:cNvPicPr>
                              <pic:nvPr/>
                            </pic:nvPicPr>
                            <pic:blipFill>
                              <a:blip r:embed="rId12"/>
                              <a:stretch/>
                            </pic:blipFill>
                            <pic:spPr bwMode="auto">
                              <a:xfrm>
                                <a:off x="0" y="19444335"/>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0980"/>
                      <wp:effectExtent l="0" t="0" r="0" b="0"/>
                      <wp:wrapNone/>
                      <wp:docPr id="10" name="Picture_49"/>
                      <wp:cNvGraphicFramePr/>
                      <a:graphic xmlns:a="http://schemas.openxmlformats.org/drawingml/2006/main">
                        <a:graphicData uri="http://schemas.openxmlformats.org/drawingml/2006/picture">
                          <pic:pic xmlns:pic="http://schemas.openxmlformats.org/drawingml/2006/picture">
                            <pic:nvPicPr>
                              <pic:cNvPr id="1073742879" name="Picture_49"/>
                              <pic:cNvPicPr>
                                <a:picLocks noChangeArrowheads="1"/>
                              </pic:cNvPicPr>
                              <pic:nvPr/>
                            </pic:nvPicPr>
                            <pic:blipFill>
                              <a:blip r:embed="rId12"/>
                              <a:stretch/>
                            </pic:blipFill>
                            <pic:spPr bwMode="auto">
                              <a:xfrm>
                                <a:off x="0" y="19444335"/>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0980"/>
                      <wp:effectExtent l="0" t="0" r="0" b="0"/>
                      <wp:wrapNone/>
                      <wp:docPr id="11" name="Picture_47"/>
                      <wp:cNvGraphicFramePr/>
                      <a:graphic xmlns:a="http://schemas.openxmlformats.org/drawingml/2006/main">
                        <a:graphicData uri="http://schemas.openxmlformats.org/drawingml/2006/picture">
                          <pic:pic xmlns:pic="http://schemas.openxmlformats.org/drawingml/2006/picture">
                            <pic:nvPicPr>
                              <pic:cNvPr id="1073742880" name="Picture_47"/>
                              <pic:cNvPicPr>
                                <a:picLocks noChangeArrowheads="1"/>
                              </pic:cNvPicPr>
                              <pic:nvPr/>
                            </pic:nvPicPr>
                            <pic:blipFill>
                              <a:blip r:embed="rId12"/>
                              <a:stretch/>
                            </pic:blipFill>
                            <pic:spPr bwMode="auto">
                              <a:xfrm>
                                <a:off x="0" y="19444335"/>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0980"/>
                      <wp:effectExtent l="0" t="0" r="0" b="0"/>
                      <wp:wrapNone/>
                      <wp:docPr id="12" name="Picture_36"/>
                      <wp:cNvGraphicFramePr/>
                      <a:graphic xmlns:a="http://schemas.openxmlformats.org/drawingml/2006/main">
                        <a:graphicData uri="http://schemas.openxmlformats.org/drawingml/2006/picture">
                          <pic:pic xmlns:pic="http://schemas.openxmlformats.org/drawingml/2006/picture">
                            <pic:nvPicPr>
                              <pic:cNvPr id="1073742881" name="Picture_36"/>
                              <pic:cNvPicPr>
                                <a:picLocks noChangeArrowheads="1"/>
                              </pic:cNvPicPr>
                              <pic:nvPr/>
                            </pic:nvPicPr>
                            <pic:blipFill>
                              <a:blip r:embed="rId12"/>
                              <a:stretch/>
                            </pic:blipFill>
                            <pic:spPr bwMode="auto">
                              <a:xfrm>
                                <a:off x="0" y="19444335"/>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0980"/>
                      <wp:effectExtent l="0" t="0" r="0" b="0"/>
                      <wp:wrapNone/>
                      <wp:docPr id="13" name="Picture_32"/>
                      <wp:cNvGraphicFramePr/>
                      <a:graphic xmlns:a="http://schemas.openxmlformats.org/drawingml/2006/main">
                        <a:graphicData uri="http://schemas.openxmlformats.org/drawingml/2006/picture">
                          <pic:pic xmlns:pic="http://schemas.openxmlformats.org/drawingml/2006/picture">
                            <pic:nvPicPr>
                              <pic:cNvPr id="1073742882" name="Picture_32"/>
                              <pic:cNvPicPr>
                                <a:picLocks noChangeArrowheads="1"/>
                              </pic:cNvPicPr>
                              <pic:nvPr/>
                            </pic:nvPicPr>
                            <pic:blipFill>
                              <a:blip r:embed="rId12"/>
                              <a:stretch/>
                            </pic:blipFill>
                            <pic:spPr bwMode="auto">
                              <a:xfrm>
                                <a:off x="0" y="19444335"/>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0980"/>
                      <wp:effectExtent l="0" t="0" r="0" b="0"/>
                      <wp:wrapNone/>
                      <wp:docPr id="14" name="Picture_46"/>
                      <wp:cNvGraphicFramePr/>
                      <a:graphic xmlns:a="http://schemas.openxmlformats.org/drawingml/2006/main">
                        <a:graphicData uri="http://schemas.openxmlformats.org/drawingml/2006/picture">
                          <pic:pic xmlns:pic="http://schemas.openxmlformats.org/drawingml/2006/picture">
                            <pic:nvPicPr>
                              <pic:cNvPr id="1073742883" name="Picture_46"/>
                              <pic:cNvPicPr>
                                <a:picLocks noChangeArrowheads="1"/>
                              </pic:cNvPicPr>
                              <pic:nvPr/>
                            </pic:nvPicPr>
                            <pic:blipFill>
                              <a:blip r:embed="rId12"/>
                              <a:stretch/>
                            </pic:blipFill>
                            <pic:spPr bwMode="auto">
                              <a:xfrm>
                                <a:off x="0" y="19444335"/>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0980"/>
                      <wp:effectExtent l="0" t="0" r="0" b="0"/>
                      <wp:wrapNone/>
                      <wp:docPr id="15" name="Picture_42"/>
                      <wp:cNvGraphicFramePr/>
                      <a:graphic xmlns:a="http://schemas.openxmlformats.org/drawingml/2006/main">
                        <a:graphicData uri="http://schemas.openxmlformats.org/drawingml/2006/picture">
                          <pic:pic xmlns:pic="http://schemas.openxmlformats.org/drawingml/2006/picture">
                            <pic:nvPicPr>
                              <pic:cNvPr id="1073742884" name="Picture_42"/>
                              <pic:cNvPicPr>
                                <a:picLocks noChangeArrowheads="1"/>
                              </pic:cNvPicPr>
                              <pic:nvPr/>
                            </pic:nvPicPr>
                            <pic:blipFill>
                              <a:blip r:embed="rId12"/>
                              <a:stretch/>
                            </pic:blipFill>
                            <pic:spPr bwMode="auto">
                              <a:xfrm>
                                <a:off x="0" y="19444335"/>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0980"/>
                      <wp:effectExtent l="0" t="0" r="0" b="0"/>
                      <wp:wrapNone/>
                      <wp:docPr id="16" name="Picture_43"/>
                      <wp:cNvGraphicFramePr/>
                      <a:graphic xmlns:a="http://schemas.openxmlformats.org/drawingml/2006/main">
                        <a:graphicData uri="http://schemas.openxmlformats.org/drawingml/2006/picture">
                          <pic:pic xmlns:pic="http://schemas.openxmlformats.org/drawingml/2006/picture">
                            <pic:nvPicPr>
                              <pic:cNvPr id="1073742885" name="Picture_43"/>
                              <pic:cNvPicPr>
                                <a:picLocks noChangeArrowheads="1"/>
                              </pic:cNvPicPr>
                              <pic:nvPr/>
                            </pic:nvPicPr>
                            <pic:blipFill>
                              <a:blip r:embed="rId12"/>
                              <a:stretch/>
                            </pic:blipFill>
                            <pic:spPr bwMode="auto">
                              <a:xfrm>
                                <a:off x="0" y="19444335"/>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集中存储服务器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36盘位磁盘阵列；采用LINUX操作系统，具有1个控制单元，1个64位六核处理器，8GB内存，可扩展至128GB，具有128GBSSD固态硬盘，可扩展至2个512GBSSD固态硬盘</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具有磁盘指示灯、告警指示灯、网络指示灯、电源指示灯、磁盘上电指示灯及磁盘读写指示灯</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支持512路（1024Mbps）前端接入、存储、转发，32路（64Mbps）网络回放</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可批量添加、修改接入的前端摄像机IP地址，并可对已添加的前端摄像机IP进行过滤</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支持单个SAMBA共享文件夹，可对128个用户同时进行管理；支持单个ftp共享文件夹，可对128个用户同时进行管理</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可在设备前面板自带的液晶屏上，显示时间、设备信息、网卡状态、远程设备状态、录像状态、Raid状态、硬盘状态、环控信息、报警信息</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支持对用户操作设备过程中涉及到的敏感数据采用数字信封技术加密后在网络中传输；支持采用AES加密算法加密视频码流并在网络中传输；支持码流采用TLS通道加密技术加密后在网络中传输</w:t>
            </w:r>
            <w:r/>
          </w:p>
          <w:p>
            <w:pPr>
              <w:ind w:firstLine="0"/>
              <w:jc w:val="left"/>
              <w:keepLines w:val="0"/>
              <w:keepNext w:val="0"/>
              <w:pageBreakBefore w:val="0"/>
              <w:spacing w:line="240" w:lineRule="auto"/>
              <w:widowControl/>
              <w:rPr>
                <w:rFonts w:hint="eastAsia" w:ascii="宋体" w:hAnsi="宋体" w:eastAsia="宋体" w:cs="宋体"/>
                <w:color w:val="000000"/>
                <w:sz w:val="20"/>
                <w:szCs w:val="20"/>
                <w:highlight w:val="none"/>
                <w:lang w:bidi="ar"/>
              </w:rPr>
              <w:suppressLineNumbers w:val="0"/>
            </w:pPr>
            <w:r>
              <w:rPr>
                <w:rFonts w:hint="eastAsia" w:ascii="宋体" w:hAnsi="宋体" w:eastAsia="宋体" w:cs="宋体"/>
                <w:color w:val="000000"/>
                <w:sz w:val="20"/>
                <w:szCs w:val="20"/>
                <w:highlight w:val="none"/>
                <w:lang w:bidi="ar"/>
              </w:rPr>
              <w:t xml:space="preserve">支持配置文件和数据导出功能，且支持配置文件和数据加密导出；支持后台配置数据、账户数据和密钥数据均采用AES加密算法进行存储</w:t>
            </w:r>
            <w:r/>
          </w:p>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具有独立的以文搜图应用展示界面，支持开放语义检索，可通过输入文字语义描述(最多支持64个字、默认合规性检测自动过滤敏感内容)，结合目标类型、时间段、通道范围、事件类型、相似度等选项进行视频中目标检索。支持搜索结果按相似度、时间正序、时间倒序排列展示，根据搜索结果可查看报警详情（关联录像、目标图片、目标属性），关联录像回放、下载、以图搜图、导出、收藏等（提供第三方检查机构检测报告复印件并加盖投标人公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▲可直接基于场景图片放大、视频冻结自动或手动框选多个不同目标进行跨通道二次精准搜索，还原目标跨通道行动轨迹（提供第三方检查机构检测报告复印件并加盖投标人公章）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★支持无缝接入至现有存储系统，实现系统存储能力平滑升级（投标单位提供承诺函并盖章）</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8600"/>
                      <wp:effectExtent l="0" t="0" r="0" b="0"/>
                      <wp:wrapNone/>
                      <wp:docPr id="17" name="Picture_51"/>
                      <wp:cNvGraphicFramePr/>
                      <a:graphic xmlns:a="http://schemas.openxmlformats.org/drawingml/2006/main">
                        <a:graphicData uri="http://schemas.openxmlformats.org/drawingml/2006/picture">
                          <pic:pic xmlns:pic="http://schemas.openxmlformats.org/drawingml/2006/picture">
                            <pic:nvPicPr>
                              <pic:cNvPr id="1073742886" name="Picture_51"/>
                              <pic:cNvPicPr>
                                <a:picLocks noChangeArrowheads="1"/>
                              </pic:cNvPicPr>
                              <pic:nvPr/>
                            </pic:nvPicPr>
                            <pic:blipFill>
                              <a:blip r:embed="rId13"/>
                              <a:stretch/>
                            </pic:blipFill>
                            <pic:spPr bwMode="auto">
                              <a:xfrm>
                                <a:off x="0" y="19773900"/>
                                <a:ext cx="83820" cy="228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0.0pt;mso-position-horizontal:absolute;mso-position-vertical-relative:text;margin-top:0.0pt;mso-position-vertical:absolute;width:6.6pt;height:18.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8600"/>
                      <wp:effectExtent l="0" t="0" r="0" b="0"/>
                      <wp:wrapNone/>
                      <wp:docPr id="18" name="Picture_52"/>
                      <wp:cNvGraphicFramePr/>
                      <a:graphic xmlns:a="http://schemas.openxmlformats.org/drawingml/2006/main">
                        <a:graphicData uri="http://schemas.openxmlformats.org/drawingml/2006/picture">
                          <pic:pic xmlns:pic="http://schemas.openxmlformats.org/drawingml/2006/picture">
                            <pic:nvPicPr>
                              <pic:cNvPr id="1073742887" name="Picture_52"/>
                              <pic:cNvPicPr>
                                <a:picLocks noChangeArrowheads="1"/>
                              </pic:cNvPicPr>
                              <pic:nvPr/>
                            </pic:nvPicPr>
                            <pic:blipFill>
                              <a:blip r:embed="rId13"/>
                              <a:stretch/>
                            </pic:blipFill>
                            <pic:spPr bwMode="auto">
                              <a:xfrm>
                                <a:off x="0" y="19773900"/>
                                <a:ext cx="83820" cy="228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0.0pt;mso-position-horizontal:absolute;mso-position-vertical-relative:text;margin-top:0.0pt;mso-position-vertical:absolute;width:6.6pt;height:18.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8600"/>
                      <wp:effectExtent l="0" t="0" r="0" b="0"/>
                      <wp:wrapNone/>
                      <wp:docPr id="19" name="Picture_54"/>
                      <wp:cNvGraphicFramePr/>
                      <a:graphic xmlns:a="http://schemas.openxmlformats.org/drawingml/2006/main">
                        <a:graphicData uri="http://schemas.openxmlformats.org/drawingml/2006/picture">
                          <pic:pic xmlns:pic="http://schemas.openxmlformats.org/drawingml/2006/picture">
                            <pic:nvPicPr>
                              <pic:cNvPr id="1073742888" name="Picture_54"/>
                              <pic:cNvPicPr>
                                <a:picLocks noChangeArrowheads="1"/>
                              </pic:cNvPicPr>
                              <pic:nvPr/>
                            </pic:nvPicPr>
                            <pic:blipFill>
                              <a:blip r:embed="rId13"/>
                              <a:stretch/>
                            </pic:blipFill>
                            <pic:spPr bwMode="auto">
                              <a:xfrm>
                                <a:off x="0" y="19773900"/>
                                <a:ext cx="83820" cy="228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0.0pt;mso-position-horizontal:absolute;mso-position-vertical-relative:text;margin-top:0.0pt;mso-position-vertical:absolute;width:6.6pt;height:18.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8600"/>
                      <wp:effectExtent l="0" t="0" r="0" b="0"/>
                      <wp:wrapNone/>
                      <wp:docPr id="20" name="Picture_53"/>
                      <wp:cNvGraphicFramePr/>
                      <a:graphic xmlns:a="http://schemas.openxmlformats.org/drawingml/2006/main">
                        <a:graphicData uri="http://schemas.openxmlformats.org/drawingml/2006/picture">
                          <pic:pic xmlns:pic="http://schemas.openxmlformats.org/drawingml/2006/picture">
                            <pic:nvPicPr>
                              <pic:cNvPr id="1073742889" name="Picture_53"/>
                              <pic:cNvPicPr>
                                <a:picLocks noChangeArrowheads="1"/>
                              </pic:cNvPicPr>
                              <pic:nvPr/>
                            </pic:nvPicPr>
                            <pic:blipFill>
                              <a:blip r:embed="rId13"/>
                              <a:stretch/>
                            </pic:blipFill>
                            <pic:spPr bwMode="auto">
                              <a:xfrm>
                                <a:off x="0" y="19773900"/>
                                <a:ext cx="83820" cy="228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0.0pt;mso-position-horizontal:absolute;mso-position-vertical-relative:text;margin-top:0.0pt;mso-position-vertical:absolute;width:6.6pt;height:18.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企业级硬盘</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jc w:val="left"/>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 xml:space="preserve">单盘容量：</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8TB；缓存：</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256MB；转速：</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7200RPM；硬盘接口：SATA</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r>
      <w:tr>
        <w:trPr>
          <w:trHeight w:val="519"/>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三．配套服务</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无人机保险服务</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无人机保险</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需提供无人机机损险，意外损失或毁坏，包括被保险飞机失踪，具体以保单为准</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无人机保险</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50万三责险，具体以保单为准</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施工管线辅材</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平面安装支架</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AI智能云台双摄相机平面安装支架，支持三维调节</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抱箍安装支架</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抱箍支架，支持横杆装安装方式，抱箍范围Φ60~150 mm</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监控立杆</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3.5米热镀锌监控立杆</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1、尺寸：300mm×400mm×180mm（高x宽x深）； 2、材质：不锈钢； 3、元器件：2P 10A空开1个，2P，3位5孔插排1个。</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19200</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42U 600*1000*2055</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40硅芯管</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40*3.0厚</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19200</w:t>
            </w:r>
            <w:r/>
          </w:p>
        </w:tc>
      </w:tr>
      <w:tr>
        <w:trPr>
          <w:trHeight w:val="151"/>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室外防水网线</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护套材质：PE；护套颜色：黑色；电缆外径：6.1±0.3mm；护套厚度：0.6±0.05mm；导体材质：无氧圆铜；导体直径：23AWG；导体绝缘外径：1.01±0.05mm ；绝缘材料 HDPE（实心聚烯烃）；带撕裂绳；含有十字骨架；芯数：4对8芯</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水晶头、扎带、胶带、模板，钢管，脚扣等辅材</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系统集成线路服务</w:t>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安装调试费</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基础开挖浇制、立杆、安装、调试</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10M专线租赁</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10M运营商数据专线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上下带宽测速达到签约带宽的90%；平均时延≤20ms；平均丢包率≤0.5%；站点可用率≥99%</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条/3年</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30M专线租赁</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30M运营商数据专线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上下带宽测速达到签约带宽的90%；平均时延≤20ms；平均丢包率≤0.5%；站点可用率≥99%</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条/3年</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电费</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100个设备3年供电服务</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短信服务费</w:t>
            </w:r>
            <w:r/>
          </w:p>
        </w:tc>
        <w:tc>
          <w:tcPr>
            <w:shd w:val="clear" w:color="auto" w:fill="auto"/>
            <w:tcBorders>
              <w:top w:val="single" w:color="000000" w:sz="4" w:space="0"/>
              <w:left w:val="single" w:color="000000" w:sz="4" w:space="0"/>
              <w:bottom w:val="single" w:color="000000" w:sz="4" w:space="0"/>
              <w:right w:val="single" w:color="000000" w:sz="4" w:space="0"/>
            </w:tcBorders>
            <w:tcW w:w="2749" w:type="pct"/>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100000条报警短信</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p>
        </w:tc>
      </w:tr>
    </w:tbl>
    <w:p>
      <w:pPr>
        <w:numPr>
          <w:ilvl w:val="0"/>
          <w:numId w:val="0"/>
        </w:numPr>
        <w:jc w:val="left"/>
        <w:spacing w:line="360" w:lineRule="auto"/>
        <w:rPr>
          <w:rFonts w:hint="eastAsia" w:ascii="宋体" w:hAnsi="宋体" w:eastAsia="宋体" w:cs="Times New Roman"/>
          <w:b/>
          <w:bCs/>
          <w:sz w:val="28"/>
          <w:szCs w:val="28"/>
          <w:highlight w:val="none"/>
          <w:lang w:val="en-US" w:eastAsia="zh-CN"/>
        </w:rPr>
        <w:outlineLvl w:val="9"/>
      </w:pPr>
      <w:r/>
      <w:bookmarkStart w:id="10" w:name="_Toc139967216"/>
      <w:r/>
      <w:bookmarkStart w:id="11" w:name="_Toc139966432"/>
      <w:r/>
      <w:r/>
    </w:p>
    <w:p>
      <w:pPr>
        <w:numPr>
          <w:ilvl w:val="0"/>
          <w:numId w:val="0"/>
        </w:numPr>
        <w:jc w:val="left"/>
        <w:spacing w:line="360" w:lineRule="auto"/>
        <w:rPr>
          <w:rFonts w:hint="eastAsia" w:ascii="宋体" w:hAnsi="宋体" w:eastAsia="宋体" w:cs="Times New Roman"/>
          <w:b/>
          <w:bCs/>
          <w:sz w:val="28"/>
          <w:szCs w:val="28"/>
          <w:highlight w:val="none"/>
          <w:lang w:val="en-US" w:eastAsia="zh-CN"/>
        </w:rPr>
        <w:outlineLvl w:val="9"/>
      </w:pPr>
      <w:r>
        <w:rPr>
          <w:rFonts w:hint="eastAsia" w:ascii="宋体" w:hAnsi="宋体" w:eastAsia="宋体" w:cs="Times New Roman"/>
          <w:b/>
          <w:bCs/>
          <w:sz w:val="28"/>
          <w:szCs w:val="28"/>
          <w:highlight w:val="none"/>
          <w:lang w:val="en-US" w:eastAsia="zh-CN"/>
        </w:rPr>
      </w:r>
      <w:r/>
    </w:p>
    <w:p>
      <w:pPr>
        <w:numPr>
          <w:ilvl w:val="0"/>
          <w:numId w:val="0"/>
        </w:numPr>
        <w:jc w:val="left"/>
        <w:spacing w:line="360" w:lineRule="auto"/>
        <w:rPr>
          <w:rFonts w:hint="eastAsia" w:ascii="宋体" w:hAnsi="宋体" w:eastAsia="宋体" w:cs="Times New Roman"/>
          <w:b/>
          <w:bCs/>
          <w:sz w:val="28"/>
          <w:szCs w:val="28"/>
          <w:highlight w:val="none"/>
          <w:lang w:val="en-US" w:eastAsia="zh-CN"/>
        </w:rPr>
        <w:outlineLvl w:val="1"/>
      </w:pPr>
      <w:r>
        <w:rPr>
          <w:rFonts w:hint="eastAsia" w:ascii="宋体" w:hAnsi="宋体" w:eastAsia="宋体" w:cs="Times New Roman"/>
          <w:b/>
          <w:bCs/>
          <w:sz w:val="28"/>
          <w:szCs w:val="28"/>
          <w:highlight w:val="none"/>
          <w:lang w:val="en-US" w:eastAsia="zh-CN"/>
        </w:rPr>
        <w:t xml:space="preserve">2.3卡口位置</w:t>
      </w:r>
      <w:r/>
    </w:p>
    <w:tbl>
      <w:tblPr>
        <w:tblStyle w:val="647"/>
        <w:tblW w:w="8589" w:type="dxa"/>
        <w:tblInd w:w="-1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888"/>
        <w:gridCol w:w="2737"/>
        <w:gridCol w:w="2076"/>
        <w:gridCol w:w="1888"/>
      </w:tblGrid>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街道</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卡口名称</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经度</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纬度</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连岛街道</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东连岛卡口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119.486037</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34.753933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镇海寺卡口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119.465961</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34.753657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白沙卡口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119.459578</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34.758492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大路口卡口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119.454287</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34.763155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阅海楼卡口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119.444937</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34.768614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西连岛后山卡口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119.446409</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34.773625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北固山公园</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电视台卡口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119.356644</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34.749131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五连卡口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119.353895</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34.761163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西大堤卡口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119.364864</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34.76252561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海州湾街道</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海运公司卡口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119.3434985</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34.76115617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龙头石卡口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119.33907</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34.756698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公营庄卡口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119.345281</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34.748617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鸡心沟卡口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119.350227</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34.749155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永昌路口卡口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119.351666</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34.759192</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长虹路卡口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119.361432</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34.750617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景观轴卡口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119.356494</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34.754027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墟沟街道</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大岭头卡口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119.357185</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34.731345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黑洞沟卡口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119.364288</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34.734136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耿庄卡口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119.367926</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34.732946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樱桃墩卡口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119.3719132</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34.73043571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张大岭</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119.37364</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34.730734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外冷卡口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119.377864</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34.739228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长流沟卡口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119.380011</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34.728832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边检卡口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119.380377</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34.738893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中煤卡口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119.3852573</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34.73723804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连云街道</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连云中学卡口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119.445794</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34.729078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小团山卡口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119.452572</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34.727392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院墙路卡口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119.4534127</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34.726252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磨刀塘卡口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119.463183</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34.728672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马腰卡口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119.43975</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34.734536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天河公墓卡口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119.395554</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34.732152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连云中煤卡口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119.3877978</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34.73870204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胡大岭卡口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119.405753</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34.731788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岛山卡口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119.415455</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34.730824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黑桃林卡口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119.421593</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34.731198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荷花池卡口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119.429044</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34.733808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洞山卡口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119.437887</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34.734061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西山卡口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119.445389</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34.73167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高公岛街道</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柳河村花卉园卡口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119.4634</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34.703261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黄窝村南山卡口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119.468468</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34.717114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高公岛社区西山卡口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119.473962</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34.702773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高公岛社区后山卡口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119.478191</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34.706092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柳河村南山卡口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119.464419</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34.696913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宿城街道</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东崖屋陶庵卡口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119.441873</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34.697578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东崖屋北山卡口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119.439204</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34.699218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夏庄卡口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119.436678</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34.702414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宝山水库卡口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119.422019</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34.698035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留云岭子午亭卡口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119.410264</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34.699268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宝山万寿谷卡口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119.422376</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34.704896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宝山崖屋卡口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119.424529</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34.705151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留云岭西北山卡口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119.4076</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34.707062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大竹园卡口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119.429141</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34.707869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高庄南山湾</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119.44128</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34.679214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高庄教堂卡口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119.429438</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34.694643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西南山卡口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119.4068906</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34.70630005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虎口岭卡口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119.402495</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34.694442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云山街道</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水厂卡口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119.43128</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34.678302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上卓卡口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119.415577</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34.688298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民爆站卡口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119.406122</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34.691516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大沙涧卡口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119.375721</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34.705802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刘庄卡口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119.37745</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34.704594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大庵东卡口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119.384746</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34.700932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大金湾卡口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119.39448</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34.697939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二组卡口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119.350374</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34.721486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黄墓庄卡口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119.351892</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34.719165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云山西山卡口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119.357941</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34.715234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蔡庄卡口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119.362234</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34.714682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东山卡口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119.366926</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34.71031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架马沟卡口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119.370226</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34.710409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弹药库卡口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119.354744</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34.72559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板桥街道</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山南路卡口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119.410907</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34.654797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围山河卡口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119.406445</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34.656893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山北路卡口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119.414885</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34.6579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高浦湾卡口</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119.410828</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34.663183</w:t>
            </w:r>
            <w:r/>
          </w:p>
        </w:tc>
      </w:tr>
    </w:tbl>
    <w:p>
      <w:pPr>
        <w:numPr>
          <w:ilvl w:val="0"/>
          <w:numId w:val="0"/>
        </w:numPr>
        <w:jc w:val="left"/>
        <w:spacing w:line="360" w:lineRule="auto"/>
        <w:rPr>
          <w:rFonts w:hint="eastAsia" w:ascii="宋体" w:hAnsi="宋体" w:eastAsia="宋体" w:cs="Times New Roman"/>
          <w:b/>
          <w:bCs/>
          <w:sz w:val="28"/>
          <w:szCs w:val="28"/>
          <w:highlight w:val="none"/>
          <w:lang w:val="en-US" w:eastAsia="zh-CN"/>
        </w:rPr>
        <w:outlineLvl w:val="9"/>
      </w:pPr>
      <w:r>
        <w:rPr>
          <w:rFonts w:hint="eastAsia" w:ascii="宋体" w:hAnsi="宋体" w:eastAsia="宋体" w:cs="Times New Roman"/>
          <w:b/>
          <w:bCs/>
          <w:sz w:val="28"/>
          <w:szCs w:val="28"/>
          <w:highlight w:val="none"/>
          <w:lang w:val="en-US" w:eastAsia="zh-CN"/>
        </w:rPr>
      </w:r>
      <w:r/>
    </w:p>
    <w:p>
      <w:pPr>
        <w:numPr>
          <w:ilvl w:val="0"/>
          <w:numId w:val="0"/>
        </w:numPr>
        <w:jc w:val="left"/>
        <w:spacing w:line="360" w:lineRule="auto"/>
        <w:rPr>
          <w:rFonts w:hint="eastAsia" w:ascii="宋体" w:hAnsi="宋体" w:eastAsia="宋体" w:cs="Times New Roman"/>
          <w:b/>
          <w:bCs/>
          <w:sz w:val="28"/>
          <w:szCs w:val="28"/>
          <w:highlight w:val="none"/>
          <w:lang w:val="en-US" w:eastAsia="zh-CN"/>
        </w:rPr>
        <w:outlineLvl w:val="9"/>
      </w:pPr>
      <w:r>
        <w:rPr>
          <w:rFonts w:hint="eastAsia" w:ascii="宋体" w:hAnsi="宋体" w:eastAsia="宋体" w:cs="Times New Roman"/>
          <w:b/>
          <w:bCs/>
          <w:sz w:val="28"/>
          <w:szCs w:val="28"/>
          <w:highlight w:val="none"/>
          <w:lang w:val="en-US" w:eastAsia="zh-CN"/>
        </w:rPr>
      </w:r>
      <w:r/>
    </w:p>
    <w:p>
      <w:pPr>
        <w:numPr>
          <w:ilvl w:val="0"/>
          <w:numId w:val="0"/>
        </w:numPr>
        <w:jc w:val="left"/>
        <w:spacing w:line="360" w:lineRule="auto"/>
        <w:rPr>
          <w:rFonts w:hint="eastAsia" w:ascii="宋体" w:hAnsi="宋体" w:eastAsia="宋体" w:cs="Times New Roman"/>
          <w:b/>
          <w:bCs/>
          <w:sz w:val="28"/>
          <w:szCs w:val="28"/>
          <w:highlight w:val="none"/>
          <w:lang w:val="en-US" w:eastAsia="zh-CN"/>
        </w:rPr>
        <w:outlineLvl w:val="9"/>
      </w:pPr>
      <w:r>
        <w:rPr>
          <w:rFonts w:hint="eastAsia" w:ascii="宋体" w:hAnsi="宋体" w:eastAsia="宋体" w:cs="Times New Roman"/>
          <w:b/>
          <w:bCs/>
          <w:sz w:val="28"/>
          <w:szCs w:val="28"/>
          <w:highlight w:val="none"/>
          <w:lang w:val="en-US" w:eastAsia="zh-CN"/>
        </w:rPr>
      </w:r>
      <w:r/>
    </w:p>
    <w:p>
      <w:pPr>
        <w:numPr>
          <w:ilvl w:val="0"/>
          <w:numId w:val="0"/>
        </w:numPr>
        <w:jc w:val="left"/>
        <w:spacing w:line="360" w:lineRule="auto"/>
        <w:rPr>
          <w:rFonts w:hint="eastAsia" w:ascii="宋体" w:hAnsi="宋体" w:eastAsia="宋体" w:cs="Times New Roman"/>
          <w:b/>
          <w:bCs/>
          <w:sz w:val="28"/>
          <w:szCs w:val="28"/>
          <w:highlight w:val="none"/>
          <w:lang w:val="en-US" w:eastAsia="zh-CN"/>
        </w:rPr>
        <w:outlineLvl w:val="9"/>
      </w:pPr>
      <w:r>
        <w:rPr>
          <w:rFonts w:hint="eastAsia" w:ascii="宋体" w:hAnsi="宋体" w:eastAsia="宋体" w:cs="Times New Roman"/>
          <w:b/>
          <w:bCs/>
          <w:sz w:val="28"/>
          <w:szCs w:val="28"/>
          <w:highlight w:val="none"/>
          <w:lang w:val="en-US" w:eastAsia="zh-CN"/>
        </w:rPr>
      </w:r>
      <w:r/>
    </w:p>
    <w:p>
      <w:pPr>
        <w:numPr>
          <w:ilvl w:val="0"/>
          <w:numId w:val="0"/>
        </w:numPr>
        <w:jc w:val="left"/>
        <w:spacing w:line="360" w:lineRule="auto"/>
        <w:rPr>
          <w:rFonts w:hint="default" w:ascii="宋体" w:hAnsi="宋体" w:eastAsia="宋体" w:cs="Times New Roman"/>
          <w:b/>
          <w:bCs/>
          <w:sz w:val="28"/>
          <w:szCs w:val="28"/>
          <w:highlight w:val="none"/>
          <w:lang w:val="en-US" w:eastAsia="zh-CN"/>
        </w:rPr>
        <w:outlineLvl w:val="1"/>
      </w:pPr>
      <w:r>
        <w:rPr>
          <w:rFonts w:hint="eastAsia" w:ascii="宋体" w:hAnsi="宋体" w:eastAsia="宋体" w:cs="Times New Roman"/>
          <w:b/>
          <w:bCs/>
          <w:sz w:val="28"/>
          <w:szCs w:val="28"/>
          <w:highlight w:val="none"/>
          <w:lang w:val="en-US" w:eastAsia="zh-CN"/>
        </w:rPr>
        <w:t xml:space="preserve">2.4 坟区位置</w:t>
      </w:r>
      <w:r/>
    </w:p>
    <w:tbl>
      <w:tblPr>
        <w:tblStyle w:val="647"/>
        <w:tblW w:w="84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88"/>
        <w:gridCol w:w="2738"/>
        <w:gridCol w:w="3950"/>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bottom"/>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街道</w:t>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坟区名称</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中心点坐标</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连岛街道</w:t>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东连岛村坟区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119.48528035,34.75417554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沙湾村集中坟区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119.47344722,34.75520157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镇海寺坟区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119.46588384,34.75617607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白沙坟区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119.45798278,34.76218697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大路口坟区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119.45655987,34.76343855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阅海楼坟区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119.44474734,34.76889096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西连岛后山坟区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119.44735566,34.77255226</w:t>
            </w:r>
            <w:r/>
          </w:p>
        </w:tc>
      </w:tr>
      <w:tr>
        <w:trPr>
          <w:trHeight w:val="288"/>
        </w:trPr>
        <w:tc>
          <w:tcPr>
            <w:shd w:val="clear" w:color="auto" w:fill="auto"/>
            <w:tcBorders>
              <w:top w:val="single" w:color="000000" w:sz="4" w:space="0"/>
              <w:left w:val="single" w:color="000000" w:sz="4" w:space="0"/>
              <w:right w:val="single" w:color="000000" w:sz="4" w:space="0"/>
            </w:tcBorders>
            <w:tcW w:w="17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北固山街道</w:t>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北固山电视台坟区1</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119.35589192,34.74883086</w:t>
            </w:r>
            <w:r/>
          </w:p>
        </w:tc>
      </w:tr>
      <w:tr>
        <w:trPr>
          <w:trHeight w:val="288"/>
        </w:trPr>
        <w:tc>
          <w:tcPr>
            <w:shd w:val="clear" w:color="auto" w:fill="auto"/>
            <w:tcBorders>
              <w:left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北固山电视台坟区2</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119.35950703,34.75026833</w:t>
            </w:r>
            <w:r/>
          </w:p>
        </w:tc>
      </w:tr>
      <w:tr>
        <w:trPr>
          <w:trHeight w:val="288"/>
        </w:trPr>
        <w:tc>
          <w:tcPr>
            <w:shd w:val="clear" w:color="auto" w:fill="auto"/>
            <w:tcBorders>
              <w:left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北固山电视台坟区3</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119.35400466,34.75109652</w:t>
            </w:r>
            <w:r/>
          </w:p>
        </w:tc>
      </w:tr>
      <w:tr>
        <w:trPr>
          <w:trHeight w:val="288"/>
        </w:trPr>
        <w:tc>
          <w:tcPr>
            <w:shd w:val="clear" w:color="auto" w:fill="auto"/>
            <w:tcBorders>
              <w:left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北固山电视台坟区4</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119.35340119,34.75244726</w:t>
            </w:r>
            <w:r/>
          </w:p>
        </w:tc>
      </w:tr>
      <w:tr>
        <w:trPr>
          <w:trHeight w:val="288"/>
        </w:trPr>
        <w:tc>
          <w:tcPr>
            <w:shd w:val="clear" w:color="auto" w:fill="auto"/>
            <w:tcBorders>
              <w:left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西大提坟区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119.36130255,34.76307497</w:t>
            </w:r>
            <w:r/>
          </w:p>
        </w:tc>
      </w:tr>
      <w:tr>
        <w:trPr>
          <w:trHeight w:val="288"/>
        </w:trPr>
        <w:tc>
          <w:tcPr>
            <w:shd w:val="clear" w:color="auto" w:fill="auto"/>
            <w:tcBorders>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五连坟区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119.35137699,34.76188288</w:t>
            </w:r>
            <w:r/>
          </w:p>
        </w:tc>
      </w:tr>
      <w:tr>
        <w:trPr>
          <w:trHeight w:val="288"/>
        </w:trPr>
        <w:tc>
          <w:tcPr>
            <w:shd w:val="clear" w:color="auto" w:fill="auto"/>
            <w:tcBorders>
              <w:top w:val="single" w:color="000000" w:sz="4" w:space="0"/>
              <w:left w:val="single" w:color="000000" w:sz="4" w:space="0"/>
              <w:right w:val="single" w:color="000000" w:sz="4" w:space="0"/>
            </w:tcBorders>
            <w:tcW w:w="1788" w:type="dxa"/>
            <w:vAlign w:val="center"/>
            <w:vMerge w:val="restart"/>
            <w:textDirection w:val="lrTb"/>
            <w:noWrap/>
          </w:tcPr>
          <w:p>
            <w:pPr>
              <w:jc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海州湾街道</w:t>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海运公司</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119.34536325,34.76272431</w:t>
            </w:r>
            <w:r/>
          </w:p>
        </w:tc>
      </w:tr>
      <w:tr>
        <w:trPr>
          <w:trHeight w:val="288"/>
        </w:trPr>
        <w:tc>
          <w:tcPr>
            <w:shd w:val="clear" w:color="auto" w:fill="auto"/>
            <w:tcBorders>
              <w:left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公营庄1</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119.34501752,34.74903326</w:t>
            </w:r>
            <w:r/>
          </w:p>
        </w:tc>
      </w:tr>
      <w:tr>
        <w:trPr>
          <w:trHeight w:val="288"/>
        </w:trPr>
        <w:tc>
          <w:tcPr>
            <w:shd w:val="clear" w:color="auto" w:fill="auto"/>
            <w:tcBorders>
              <w:left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公营庄</w:t>
            </w:r>
            <w:r>
              <w:rPr>
                <w:rFonts w:hint="default" w:ascii="Calibri" w:hAnsi="Calibri" w:eastAsia="宋体" w:cs="Calibri"/>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119.34751734,34.74872687</w:t>
            </w:r>
            <w:r/>
          </w:p>
        </w:tc>
      </w:tr>
      <w:tr>
        <w:trPr>
          <w:trHeight w:val="288"/>
        </w:trPr>
        <w:tc>
          <w:tcPr>
            <w:shd w:val="clear" w:color="auto" w:fill="auto"/>
            <w:tcBorders>
              <w:left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鸡心沟坟区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119.35049382,34.74926242</w:t>
            </w:r>
            <w:r/>
          </w:p>
        </w:tc>
      </w:tr>
      <w:tr>
        <w:trPr>
          <w:trHeight w:val="288"/>
        </w:trPr>
        <w:tc>
          <w:tcPr>
            <w:shd w:val="clear" w:color="auto" w:fill="auto"/>
            <w:tcBorders>
              <w:left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龙头石坟区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119.34100140,34.75606982</w:t>
            </w:r>
            <w:r/>
          </w:p>
        </w:tc>
      </w:tr>
      <w:tr>
        <w:trPr>
          <w:trHeight w:val="288"/>
        </w:trPr>
        <w:tc>
          <w:tcPr>
            <w:shd w:val="clear" w:color="auto" w:fill="auto"/>
            <w:tcBorders>
              <w:left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景观轴坟区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119.35303063,34.75612909</w:t>
            </w:r>
            <w:r/>
          </w:p>
        </w:tc>
      </w:tr>
      <w:tr>
        <w:trPr>
          <w:trHeight w:val="288"/>
        </w:trPr>
        <w:tc>
          <w:tcPr>
            <w:shd w:val="clear" w:color="auto" w:fill="auto"/>
            <w:tcBorders>
              <w:left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永昌路坟区1</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119.34896125,34.75755697</w:t>
            </w:r>
            <w:r/>
          </w:p>
        </w:tc>
      </w:tr>
      <w:tr>
        <w:trPr>
          <w:trHeight w:val="288"/>
        </w:trPr>
        <w:tc>
          <w:tcPr>
            <w:shd w:val="clear" w:color="auto" w:fill="auto"/>
            <w:tcBorders>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永昌路坟区2</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119.34784591,34.75835499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墟沟街道</w:t>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大岭头坟区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119.35713338,34.73027541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耿庄坟区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119.36805298,34.73196330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樱桃墩坟区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119.37000327,34.72948850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黑洞沟坟区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119.36227901,34.73263325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张大岭坟区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119.37402421,34.72846111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长流沟坟区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119.37819103,34.72727060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外冷坟区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119.37864266,34.73838110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边检坟区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119.38062123,34.73747499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中煤坟区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119.38485976,34.73585733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连云街道</w:t>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天河公墓坟区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119.39663442,34.73103586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黄草沟采石场坟区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119.39046324,34.72941132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胡大岭坟区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119.40564216,34.72974394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庞南山坟区</w:t>
            </w:r>
            <w:r>
              <w:rPr>
                <w:rFonts w:hint="default" w:ascii="Calibri" w:hAnsi="Calibri" w:eastAsia="宋体" w:cs="Calibri"/>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119.41086576,34.73219956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庞南山坟区</w:t>
            </w:r>
            <w:r>
              <w:rPr>
                <w:rFonts w:hint="default" w:ascii="Calibri" w:hAnsi="Calibri" w:eastAsia="宋体" w:cs="Calibri"/>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119.41079870,34.73125941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岛山坟区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119.41395147,34.73176876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西山坟区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119.44396153,34.73074339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远大海难纪念亭坟区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119.45179581,34.72651939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小团山坟区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119.45227861,34.72695491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马腰坟区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119.44048601,34.73359128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洞山坟区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119.43655925,34.73397640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连云中学坟区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119.45070826,34.72644514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黑桃林坟区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119.42150092,34.72903995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荷花池坟区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119.42710670,34.73298431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院墙路坟区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119.45334970,34.72590887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金色港湾小区西南坟区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119.45841014,34.72622267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逼死猫坟区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119.45547357,34.72600854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旗台坟区1</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119.46652171,34.72722718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旗台坟区2</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119.46907371,34.72611215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打靶场坟区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119.45971909,34.72574075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宿城街道</w:t>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夏庄望崖坟区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119.43050622,34.70676058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夏庄上家半山坟区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119.43666941,34.70426065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东崖屋北山坟区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119.43861899,34.70068341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东崖屋村陶庵坟区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119.44296741,34.69945494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东崖屋村船山坟区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119.44538355,34.69892658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留云岭西南山坟区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119.40603225,34.70591373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留云岭村西北山坟区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119.41028658,34.70658585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宝山村南山坟区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119.41766034,34.69873438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宝山村北山坟区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119.42451418,34.70586054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宝山村万寿谷坟区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119.41935416,34.70601228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高庄村教堂坟区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119.42797284,34.69439250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高庄村南山湾坟区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119.43919780,34.67956628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大竹园村接官厅坟区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119.42554012,34.71375298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大竹园村鹿场坟区1</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119.43326622,34.71378275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大竹园村鹿场坟区2</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119.43557762,34.71444143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大竹园村鹿场坟区3</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119.43637356,34.71638547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大竹园村阮岭头坟区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119.44025606,34.70669293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restart"/>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云山街道</w:t>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弹药库</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119.35649098,34.72616192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default" w:ascii="Calibri" w:hAnsi="Calibri" w:cs="Calibri"/>
                <w:i w:val="0"/>
                <w:iCs w:val="0"/>
                <w:color w:val="000000"/>
                <w:sz w:val="22"/>
                <w:szCs w:val="22"/>
                <w:highlight w:val="none"/>
                <w:u w:val="none"/>
              </w:rPr>
            </w:pPr>
            <w:r>
              <w:rPr>
                <w:rFonts w:hint="default" w:ascii="Calibri" w:hAnsi="Calibri" w:cs="Calibri"/>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黄墓庄坟区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119.35274094,34.71865962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default" w:ascii="Calibri" w:hAnsi="Calibri" w:cs="Calibri"/>
                <w:i w:val="0"/>
                <w:iCs w:val="0"/>
                <w:color w:val="000000"/>
                <w:sz w:val="22"/>
                <w:szCs w:val="22"/>
                <w:highlight w:val="none"/>
                <w:u w:val="none"/>
              </w:rPr>
            </w:pPr>
            <w:r>
              <w:rPr>
                <w:rFonts w:hint="default" w:ascii="Calibri" w:hAnsi="Calibri" w:cs="Calibri"/>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驾马沟</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119.36892971,34.71259615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default" w:ascii="Calibri" w:hAnsi="Calibri" w:cs="Calibri"/>
                <w:i w:val="0"/>
                <w:iCs w:val="0"/>
                <w:color w:val="000000"/>
                <w:sz w:val="22"/>
                <w:szCs w:val="22"/>
                <w:highlight w:val="none"/>
                <w:u w:val="none"/>
              </w:rPr>
            </w:pPr>
            <w:r>
              <w:rPr>
                <w:rFonts w:hint="default" w:ascii="Calibri" w:hAnsi="Calibri" w:cs="Calibri"/>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王山顶坟区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119.37299699,34.70704793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default" w:ascii="Calibri" w:hAnsi="Calibri" w:cs="Calibri"/>
                <w:i w:val="0"/>
                <w:iCs w:val="0"/>
                <w:color w:val="000000"/>
                <w:sz w:val="22"/>
                <w:szCs w:val="22"/>
                <w:highlight w:val="none"/>
                <w:u w:val="none"/>
              </w:rPr>
            </w:pPr>
            <w:r>
              <w:rPr>
                <w:rFonts w:hint="default" w:ascii="Calibri" w:hAnsi="Calibri" w:cs="Calibri"/>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刘庄坟区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119.37819779,34.70497192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高公岛街道</w:t>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柳河南山集中坟区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119.46154198,34.69766766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后山</w:t>
            </w:r>
            <w:r>
              <w:rPr>
                <w:rFonts w:hint="default" w:ascii="Calibri" w:hAnsi="Calibri" w:eastAsia="宋体" w:cs="Calibri"/>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集中坟区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119.47700039,34.70752165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后山</w:t>
            </w:r>
            <w:r>
              <w:rPr>
                <w:rFonts w:hint="default" w:ascii="Calibri" w:hAnsi="Calibri" w:eastAsia="宋体" w:cs="Calibri"/>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集中坟区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119.47535611,34.70762141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黄窝集中坟区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119.46759446,34.71612101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花卉园坟区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119.46397282,34.70387988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板桥街道</w:t>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围山河集中坟区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119.40523130,34.65727402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8"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山北路山南路集中坟区</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bottom"/>
            <w:textDirection w:val="lrTb"/>
            <w:noWrap/>
          </w:tcPr>
          <w:p>
            <w:pPr>
              <w:jc w:val="center"/>
              <w:keepLines w:val="0"/>
              <w:keepNext w:val="0"/>
              <w:widowControl/>
              <w:rPr>
                <w:rFonts w:hint="default" w:ascii="Calibri" w:hAnsi="Calibri" w:cs="Calibri"/>
                <w:i w:val="0"/>
                <w:iCs w:val="0"/>
                <w:color w:val="000000"/>
                <w:sz w:val="22"/>
                <w:szCs w:val="22"/>
                <w:highlight w:val="none"/>
                <w:u w:val="none"/>
              </w:rPr>
              <w:suppressLineNumbers w:val="0"/>
            </w:pPr>
            <w:r>
              <w:rPr>
                <w:rFonts w:hint="default" w:ascii="Calibri" w:hAnsi="Calibri" w:eastAsia="宋体" w:cs="Calibri"/>
                <w:i w:val="0"/>
                <w:iCs w:val="0"/>
                <w:color w:val="000000"/>
                <w:sz w:val="22"/>
                <w:szCs w:val="22"/>
                <w:highlight w:val="none"/>
                <w:u w:val="none"/>
                <w:lang w:val="en-US" w:eastAsia="zh-CN" w:bidi="ar"/>
              </w:rPr>
              <w:t xml:space="preserve">119.41240683,34.65643981</w:t>
            </w:r>
            <w:r/>
          </w:p>
        </w:tc>
      </w:tr>
    </w:tbl>
    <w:p>
      <w:pPr>
        <w:numPr>
          <w:ilvl w:val="0"/>
          <w:numId w:val="0"/>
        </w:numPr>
        <w:jc w:val="left"/>
        <w:spacing w:line="360" w:lineRule="auto"/>
        <w:rPr>
          <w:rFonts w:hint="eastAsia" w:ascii="宋体" w:hAnsi="宋体" w:eastAsia="宋体" w:cs="Times New Roman"/>
          <w:b/>
          <w:bCs/>
          <w:sz w:val="28"/>
          <w:szCs w:val="28"/>
          <w:highlight w:val="none"/>
          <w:lang w:val="en-US" w:eastAsia="zh-CN"/>
        </w:rPr>
        <w:outlineLvl w:val="1"/>
      </w:pPr>
      <w:r>
        <w:rPr>
          <w:rFonts w:hint="eastAsia" w:ascii="宋体" w:hAnsi="宋体" w:eastAsia="宋体" w:cs="Times New Roman"/>
          <w:b/>
          <w:bCs/>
          <w:sz w:val="28"/>
          <w:szCs w:val="28"/>
          <w:highlight w:val="none"/>
          <w:lang w:val="en-US" w:eastAsia="zh-CN"/>
        </w:rPr>
        <w:t xml:space="preserve">2.5 连云区森林防灭火智能体预警系统接口文档见附件：</w:t>
      </w:r>
      <w:bookmarkStart w:id="31" w:name="_GoBack"/>
      <w:r/>
      <w:bookmarkEnd w:id="31"/>
      <w:r>
        <w:rPr>
          <w:rFonts w:hint="eastAsia" w:ascii="宋体" w:hAnsi="宋体" w:eastAsia="宋体" w:cs="Times New Roman"/>
          <w:b/>
          <w:bCs/>
          <w:sz w:val="28"/>
          <w:szCs w:val="28"/>
          <w:highlight w:val="none"/>
          <w:lang w:val="en-US" w:eastAsia="zh-CN"/>
        </w:rPr>
        <w:t xml:space="preserve">1</w:t>
      </w:r>
      <w:r/>
    </w:p>
    <w:p>
      <w:pPr>
        <w:numPr>
          <w:ilvl w:val="0"/>
          <w:numId w:val="0"/>
        </w:numPr>
        <w:ind w:firstLine="562"/>
        <w:jc w:val="left"/>
        <w:spacing w:line="360" w:lineRule="auto"/>
        <w:rPr>
          <w:rFonts w:hint="default" w:ascii="宋体" w:hAnsi="宋体" w:eastAsia="宋体" w:cs="Times New Roman"/>
          <w:b/>
          <w:bCs/>
          <w:sz w:val="28"/>
          <w:szCs w:val="28"/>
          <w:highlight w:val="none"/>
          <w:lang w:val="en-US" w:eastAsia="zh-CN"/>
        </w:rPr>
        <w:outlineLvl w:val="1"/>
      </w:pPr>
      <w:r>
        <w:rPr>
          <w:rFonts w:hint="eastAsia" w:ascii="宋体" w:hAnsi="宋体" w:eastAsia="宋体" w:cs="Times New Roman"/>
          <w:b/>
          <w:bCs/>
          <w:sz w:val="28"/>
          <w:szCs w:val="28"/>
          <w:highlight w:val="none"/>
          <w:lang w:val="en-US" w:eastAsia="zh-CN"/>
        </w:rPr>
        <w:t xml:space="preserve">三维地图范围见附件：2</w:t>
      </w:r>
      <w:r/>
      <w:r>
        <w:rPr>
          <w:rFonts w:hint="eastAsia" w:ascii="宋体" w:hAnsi="宋体" w:eastAsia="宋体" w:cs="Times New Roman"/>
          <w:b w:val="0"/>
          <w:bCs w:val="0"/>
          <w:sz w:val="28"/>
          <w:szCs w:val="28"/>
          <w:highlight w:val="none"/>
          <w:lang w:val="en-US" w:eastAsia="zh-CN"/>
        </w:rPr>
      </w:r>
      <w:r/>
      <w:r>
        <w:rPr>
          <w:rFonts w:hint="default" w:ascii="宋体" w:hAnsi="宋体" w:eastAsia="宋体" w:cs="Times New Roman"/>
          <w:b/>
          <w:bCs/>
          <w:sz w:val="28"/>
          <w:szCs w:val="28"/>
          <w:highlight w:val="none"/>
          <w:lang w:val="en-US" w:eastAsia="zh-CN"/>
        </w:rPr>
      </w:r>
    </w:p>
    <w:p>
      <w:pPr>
        <w:numPr>
          <w:ilvl w:val="0"/>
          <w:numId w:val="1"/>
        </w:numPr>
        <w:ind w:firstLine="420"/>
        <w:jc w:val="left"/>
        <w:spacing w:line="360" w:lineRule="auto"/>
        <w:rPr>
          <w:rFonts w:hint="eastAsia" w:ascii="宋体" w:hAnsi="宋体" w:eastAsia="宋体" w:cs="Times New Roman"/>
          <w:b/>
          <w:bCs/>
          <w:sz w:val="28"/>
          <w:szCs w:val="28"/>
          <w:highlight w:val="none"/>
        </w:rPr>
        <w:outlineLvl w:val="1"/>
      </w:pPr>
      <w:r>
        <w:rPr>
          <w:rFonts w:hint="eastAsia" w:ascii="宋体" w:hAnsi="宋体" w:eastAsia="宋体" w:cs="Times New Roman"/>
          <w:b/>
          <w:bCs/>
          <w:sz w:val="28"/>
          <w:szCs w:val="28"/>
          <w:highlight w:val="none"/>
        </w:rPr>
        <w:t xml:space="preserve">项目进度安排</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★签订合同后</w:t>
      </w:r>
      <w:r>
        <w:rPr>
          <w:rFonts w:hint="eastAsia" w:ascii="宋体" w:hAnsi="宋体" w:eastAsia="宋体" w:cs="Times New Roman"/>
          <w:sz w:val="24"/>
          <w:szCs w:val="24"/>
          <w:highlight w:val="none"/>
          <w:lang w:val="en-US" w:eastAsia="zh-CN"/>
        </w:rPr>
        <w:t xml:space="preserve">12</w:t>
      </w:r>
      <w:r>
        <w:rPr>
          <w:rFonts w:hint="eastAsia" w:ascii="宋体" w:hAnsi="宋体" w:eastAsia="宋体" w:cs="Times New Roman"/>
          <w:sz w:val="24"/>
          <w:szCs w:val="24"/>
          <w:highlight w:val="none"/>
        </w:rPr>
        <w:t xml:space="preserve">0日内完成与连云区森林防火监测预警平台</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森林坟区热源感知预警系统</w:t>
      </w:r>
      <w:r>
        <w:rPr>
          <w:rFonts w:hint="eastAsia" w:ascii="宋体" w:hAnsi="宋体" w:eastAsia="宋体" w:cs="Times New Roman"/>
          <w:sz w:val="24"/>
          <w:szCs w:val="24"/>
          <w:highlight w:val="none"/>
        </w:rPr>
        <w:t xml:space="preserve">互联互通。</w:t>
      </w:r>
      <w:r/>
    </w:p>
    <w:p>
      <w:pPr>
        <w:ind w:firstLine="562"/>
        <w:jc w:val="left"/>
        <w:spacing w:line="360" w:lineRule="auto"/>
        <w:rPr>
          <w:rFonts w:ascii="Times New Roman" w:hAnsi="Times New Roman" w:eastAsia="宋体" w:cs="Times New Roman"/>
          <w:b/>
          <w:sz w:val="28"/>
          <w:szCs w:val="28"/>
          <w:highlight w:val="none"/>
        </w:rPr>
        <w:outlineLvl w:val="1"/>
      </w:pPr>
      <w:r>
        <w:rPr>
          <w:rFonts w:hint="eastAsia" w:ascii="Times New Roman" w:hAnsi="Times New Roman" w:eastAsia="宋体" w:cs="Times New Roman"/>
          <w:b/>
          <w:sz w:val="28"/>
          <w:szCs w:val="28"/>
          <w:highlight w:val="none"/>
          <w:lang w:val="en-US" w:eastAsia="zh-CN"/>
        </w:rPr>
        <w:t xml:space="preserve">四</w:t>
      </w:r>
      <w:r>
        <w:rPr>
          <w:rFonts w:hint="eastAsia" w:ascii="Times New Roman" w:hAnsi="Times New Roman" w:eastAsia="宋体" w:cs="Times New Roman"/>
          <w:b/>
          <w:sz w:val="28"/>
          <w:szCs w:val="28"/>
          <w:highlight w:val="none"/>
        </w:rPr>
        <w:t xml:space="preserve">、履约验收要求</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建设期完成，</w:t>
      </w:r>
      <w:r>
        <w:rPr>
          <w:rFonts w:hint="eastAsia" w:ascii="宋体" w:hAnsi="宋体" w:eastAsia="宋体" w:cs="宋体"/>
          <w:sz w:val="24"/>
          <w:szCs w:val="24"/>
          <w:highlight w:val="none"/>
        </w:rPr>
        <w:t xml:space="preserve">采购人</w:t>
      </w:r>
      <w:r>
        <w:rPr>
          <w:rFonts w:ascii="宋体" w:hAnsi="宋体" w:eastAsia="宋体" w:cs="宋体"/>
          <w:sz w:val="24"/>
          <w:szCs w:val="24"/>
          <w:highlight w:val="none"/>
        </w:rPr>
        <w:t xml:space="preserve">对</w:t>
      </w:r>
      <w:r>
        <w:rPr>
          <w:rFonts w:hint="eastAsia" w:ascii="宋体" w:hAnsi="宋体" w:eastAsia="宋体" w:cs="宋体"/>
          <w:sz w:val="24"/>
          <w:szCs w:val="24"/>
          <w:highlight w:val="none"/>
        </w:rPr>
        <w:t xml:space="preserve">中标人</w:t>
      </w:r>
      <w:r>
        <w:rPr>
          <w:rFonts w:ascii="宋体" w:hAnsi="宋体" w:eastAsia="宋体" w:cs="宋体"/>
          <w:sz w:val="24"/>
          <w:szCs w:val="24"/>
          <w:highlight w:val="none"/>
        </w:rPr>
        <w:t xml:space="preserve">提交的产品或服务依据招标文件上的项目需求要求、</w:t>
      </w:r>
      <w:r>
        <w:rPr>
          <w:rFonts w:hint="eastAsia" w:ascii="宋体" w:hAnsi="宋体" w:eastAsia="宋体" w:cs="宋体"/>
          <w:sz w:val="24"/>
          <w:szCs w:val="24"/>
          <w:highlight w:val="none"/>
        </w:rPr>
        <w:t xml:space="preserve">中标人</w:t>
      </w:r>
      <w:r>
        <w:rPr>
          <w:rFonts w:ascii="宋体" w:hAnsi="宋体" w:eastAsia="宋体" w:cs="宋体"/>
          <w:sz w:val="24"/>
          <w:szCs w:val="24"/>
          <w:highlight w:val="none"/>
        </w:rPr>
        <w:t xml:space="preserve">响应文件及国家有关质量标准进行验收。</w:t>
      </w:r>
      <w:r/>
    </w:p>
    <w:p>
      <w:pPr>
        <w:ind w:firstLine="480"/>
        <w:spacing w:line="36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.中标人</w:t>
      </w:r>
      <w:r>
        <w:rPr>
          <w:rFonts w:ascii="宋体" w:hAnsi="宋体" w:eastAsia="宋体" w:cs="宋体"/>
          <w:sz w:val="24"/>
          <w:szCs w:val="24"/>
          <w:highlight w:val="none"/>
        </w:rPr>
        <w:t xml:space="preserve">交付前应对产品或服务作出全面检查和对验收文件进行整理，并列出清单，作为</w:t>
      </w:r>
      <w:r>
        <w:rPr>
          <w:rFonts w:hint="eastAsia" w:ascii="宋体" w:hAnsi="宋体" w:eastAsia="宋体" w:cs="宋体"/>
          <w:sz w:val="24"/>
          <w:szCs w:val="24"/>
          <w:highlight w:val="none"/>
        </w:rPr>
        <w:t xml:space="preserve">采购人</w:t>
      </w:r>
      <w:r>
        <w:rPr>
          <w:rFonts w:ascii="宋体" w:hAnsi="宋体" w:eastAsia="宋体" w:cs="宋体"/>
          <w:sz w:val="24"/>
          <w:szCs w:val="24"/>
          <w:highlight w:val="none"/>
        </w:rPr>
        <w:t xml:space="preserve">验收和使用的技术条件依据</w:t>
      </w:r>
      <w:r>
        <w:rPr>
          <w:rFonts w:hint="eastAsia" w:ascii="宋体" w:hAnsi="宋体" w:eastAsia="宋体" w:cs="宋体"/>
          <w:sz w:val="24"/>
          <w:szCs w:val="24"/>
          <w:highlight w:val="none"/>
          <w:lang w:eastAsia="zh-CN"/>
        </w:rPr>
        <w:t xml:space="preserve">。</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.采购人</w:t>
      </w:r>
      <w:r>
        <w:rPr>
          <w:rFonts w:ascii="宋体" w:hAnsi="宋体" w:eastAsia="宋体" w:cs="宋体"/>
          <w:sz w:val="24"/>
          <w:szCs w:val="24"/>
          <w:highlight w:val="none"/>
        </w:rPr>
        <w:t xml:space="preserve">对</w:t>
      </w:r>
      <w:r>
        <w:rPr>
          <w:rFonts w:hint="eastAsia" w:ascii="宋体" w:hAnsi="宋体" w:eastAsia="宋体" w:cs="宋体"/>
          <w:sz w:val="24"/>
          <w:szCs w:val="24"/>
          <w:highlight w:val="none"/>
        </w:rPr>
        <w:t xml:space="preserve">中标人</w:t>
      </w:r>
      <w:r>
        <w:rPr>
          <w:rFonts w:ascii="宋体" w:hAnsi="宋体" w:eastAsia="宋体" w:cs="宋体"/>
          <w:sz w:val="24"/>
          <w:szCs w:val="24"/>
          <w:highlight w:val="none"/>
        </w:rPr>
        <w:t xml:space="preserve">提供的产品或服务在使用前，</w:t>
      </w:r>
      <w:r>
        <w:rPr>
          <w:rFonts w:hint="eastAsia" w:ascii="宋体" w:hAnsi="宋体" w:eastAsia="宋体" w:cs="宋体"/>
          <w:sz w:val="24"/>
          <w:szCs w:val="24"/>
          <w:highlight w:val="none"/>
        </w:rPr>
        <w:t xml:space="preserve">中标人</w:t>
      </w:r>
      <w:r>
        <w:rPr>
          <w:rFonts w:ascii="宋体" w:hAnsi="宋体" w:eastAsia="宋体" w:cs="宋体"/>
          <w:sz w:val="24"/>
          <w:szCs w:val="24"/>
          <w:highlight w:val="none"/>
        </w:rPr>
        <w:t xml:space="preserve">需负责培训</w:t>
      </w:r>
      <w:r>
        <w:rPr>
          <w:rFonts w:hint="eastAsia" w:ascii="宋体" w:hAnsi="宋体" w:eastAsia="宋体" w:cs="宋体"/>
          <w:sz w:val="24"/>
          <w:szCs w:val="24"/>
          <w:highlight w:val="none"/>
        </w:rPr>
        <w:t xml:space="preserve">采购人</w:t>
      </w:r>
      <w:r>
        <w:rPr>
          <w:rFonts w:ascii="宋体" w:hAnsi="宋体" w:eastAsia="宋体" w:cs="宋体"/>
          <w:sz w:val="24"/>
          <w:szCs w:val="24"/>
          <w:highlight w:val="none"/>
        </w:rPr>
        <w:t xml:space="preserve">的使用操作人员，并协助</w:t>
      </w:r>
      <w:r>
        <w:rPr>
          <w:rFonts w:hint="eastAsia" w:ascii="宋体" w:hAnsi="宋体" w:eastAsia="宋体" w:cs="宋体"/>
          <w:sz w:val="24"/>
          <w:szCs w:val="24"/>
          <w:highlight w:val="none"/>
          <w:lang w:val="en-US" w:eastAsia="zh-CN"/>
        </w:rPr>
        <w:t xml:space="preserve">采购人</w:t>
      </w:r>
      <w:r>
        <w:rPr>
          <w:rFonts w:ascii="宋体" w:hAnsi="宋体" w:eastAsia="宋体" w:cs="宋体"/>
          <w:sz w:val="24"/>
          <w:szCs w:val="24"/>
          <w:highlight w:val="none"/>
        </w:rPr>
        <w:t xml:space="preserve">一起试用，直到符合技术要求，</w:t>
      </w:r>
      <w:r>
        <w:rPr>
          <w:rFonts w:hint="eastAsia" w:ascii="宋体" w:hAnsi="宋体" w:eastAsia="宋体" w:cs="宋体"/>
          <w:sz w:val="24"/>
          <w:szCs w:val="24"/>
          <w:highlight w:val="none"/>
        </w:rPr>
        <w:t xml:space="preserve">采购人</w:t>
      </w:r>
      <w:r>
        <w:rPr>
          <w:rFonts w:ascii="宋体" w:hAnsi="宋体" w:eastAsia="宋体" w:cs="宋体"/>
          <w:sz w:val="24"/>
          <w:szCs w:val="24"/>
          <w:highlight w:val="none"/>
        </w:rPr>
        <w:t xml:space="preserve">才做最终验收。</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.采购人</w:t>
      </w:r>
      <w:r>
        <w:rPr>
          <w:rFonts w:ascii="宋体" w:hAnsi="宋体" w:eastAsia="宋体" w:cs="宋体"/>
          <w:sz w:val="24"/>
          <w:szCs w:val="24"/>
          <w:highlight w:val="none"/>
        </w:rPr>
        <w:t xml:space="preserve">可请系统使用人员或组织业内专家进行项目验收，并出具验收报告。</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验收时</w:t>
      </w:r>
      <w:r>
        <w:rPr>
          <w:rFonts w:hint="eastAsia" w:ascii="宋体" w:hAnsi="宋体" w:eastAsia="宋体" w:cs="宋体"/>
          <w:sz w:val="24"/>
          <w:szCs w:val="24"/>
          <w:highlight w:val="none"/>
        </w:rPr>
        <w:t xml:space="preserve">中标人</w:t>
      </w:r>
      <w:r>
        <w:rPr>
          <w:rFonts w:ascii="宋体" w:hAnsi="宋体" w:eastAsia="宋体" w:cs="宋体"/>
          <w:sz w:val="24"/>
          <w:szCs w:val="24"/>
          <w:highlight w:val="none"/>
        </w:rPr>
        <w:t xml:space="preserve">必须在现场，验收完毕后</w:t>
      </w:r>
      <w:r>
        <w:rPr>
          <w:rFonts w:hint="eastAsia" w:ascii="宋体" w:hAnsi="宋体" w:eastAsia="宋体" w:cs="宋体"/>
          <w:sz w:val="24"/>
          <w:szCs w:val="24"/>
          <w:highlight w:val="none"/>
          <w:lang w:val="en-US" w:eastAsia="zh-CN"/>
        </w:rPr>
        <w:t xml:space="preserve">出具</w:t>
      </w:r>
      <w:r>
        <w:rPr>
          <w:rFonts w:ascii="宋体" w:hAnsi="宋体" w:eastAsia="宋体" w:cs="宋体"/>
          <w:sz w:val="24"/>
          <w:szCs w:val="24"/>
          <w:highlight w:val="none"/>
        </w:rPr>
        <w:t xml:space="preserve">验收结果报告。</w:t>
      </w:r>
      <w:r/>
    </w:p>
    <w:p>
      <w:pPr>
        <w:ind w:firstLine="562"/>
        <w:jc w:val="left"/>
        <w:spacing w:line="360" w:lineRule="auto"/>
        <w:rPr>
          <w:rFonts w:ascii="Times New Roman" w:hAnsi="Times New Roman" w:eastAsia="宋体" w:cs="Times New Roman"/>
          <w:sz w:val="24"/>
          <w:szCs w:val="24"/>
          <w:highlight w:val="none"/>
        </w:rPr>
        <w:outlineLvl w:val="1"/>
      </w:pPr>
      <w:r>
        <w:rPr>
          <w:rFonts w:hint="eastAsia" w:ascii="Times New Roman" w:hAnsi="Times New Roman" w:eastAsia="宋体" w:cs="Times New Roman"/>
          <w:b/>
          <w:sz w:val="28"/>
          <w:szCs w:val="28"/>
          <w:highlight w:val="none"/>
          <w:lang w:val="en-US" w:eastAsia="zh-CN"/>
        </w:rPr>
        <w:t xml:space="preserve">五</w:t>
      </w:r>
      <w:r>
        <w:rPr>
          <w:rFonts w:hint="eastAsia" w:ascii="Times New Roman" w:hAnsi="Times New Roman" w:eastAsia="宋体" w:cs="Times New Roman"/>
          <w:b/>
          <w:sz w:val="28"/>
          <w:szCs w:val="28"/>
          <w:highlight w:val="none"/>
        </w:rPr>
        <w:t xml:space="preserve">、售后服务要求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w:t>
      </w:r>
      <w:r>
        <w:rPr>
          <w:rFonts w:hint="eastAsia" w:ascii="宋体" w:hAnsi="宋体" w:eastAsia="宋体" w:cs="宋体"/>
          <w:sz w:val="24"/>
          <w:szCs w:val="24"/>
          <w:highlight w:val="none"/>
          <w:lang w:val="en-US" w:eastAsia="zh-CN"/>
        </w:rPr>
        <w:t xml:space="preserve">自验收合格起3</w:t>
      </w:r>
      <w:r>
        <w:rPr>
          <w:rFonts w:hint="eastAsia" w:ascii="宋体" w:hAnsi="宋体" w:eastAsia="宋体" w:cs="宋体"/>
          <w:sz w:val="24"/>
          <w:szCs w:val="24"/>
          <w:highlight w:val="none"/>
        </w:rPr>
        <w:t xml:space="preserve">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质保期间，中标人承担维修、保养、安检、调换等，相关费用包含在预算内，采购方不再支付任何费用；对于</w:t>
      </w:r>
      <w:r>
        <w:rPr>
          <w:rFonts w:hint="eastAsia" w:ascii="宋体" w:hAnsi="宋体" w:eastAsia="宋体" w:cs="宋体"/>
          <w:sz w:val="24"/>
          <w:szCs w:val="24"/>
          <w:highlight w:val="none"/>
          <w:lang w:val="en-US" w:eastAsia="zh-CN"/>
        </w:rPr>
        <w:t xml:space="preserve">非中标方</w:t>
      </w:r>
      <w:r>
        <w:rPr>
          <w:rFonts w:hint="eastAsia" w:ascii="宋体" w:hAnsi="宋体" w:eastAsia="宋体" w:cs="宋体"/>
          <w:sz w:val="24"/>
          <w:szCs w:val="24"/>
          <w:highlight w:val="none"/>
        </w:rPr>
        <w:t xml:space="preserve">原因造成的故障，中标人只收取维保成本费用。</w:t>
      </w:r>
      <w:r/>
    </w:p>
    <w:p>
      <w:pPr>
        <w:ind w:firstLine="562"/>
        <w:jc w:val="left"/>
        <w:spacing w:line="360" w:lineRule="auto"/>
        <w:rPr>
          <w:rFonts w:ascii="Times New Roman" w:hAnsi="Times New Roman" w:eastAsia="宋体" w:cs="Times New Roman"/>
          <w:b/>
          <w:sz w:val="28"/>
          <w:szCs w:val="28"/>
          <w:highlight w:val="none"/>
        </w:rPr>
        <w:outlineLvl w:val="1"/>
      </w:pPr>
      <w:r>
        <w:rPr>
          <w:rFonts w:hint="eastAsia" w:ascii="Times New Roman" w:hAnsi="Times New Roman" w:eastAsia="宋体" w:cs="Times New Roman"/>
          <w:b/>
          <w:sz w:val="28"/>
          <w:szCs w:val="28"/>
          <w:highlight w:val="none"/>
          <w:lang w:val="en-US" w:eastAsia="zh-CN"/>
        </w:rPr>
        <w:t xml:space="preserve">六</w:t>
      </w:r>
      <w:r>
        <w:rPr>
          <w:rFonts w:hint="eastAsia" w:ascii="Times New Roman" w:hAnsi="Times New Roman" w:eastAsia="宋体" w:cs="Times New Roman"/>
          <w:b/>
          <w:sz w:val="28"/>
          <w:szCs w:val="28"/>
          <w:highlight w:val="none"/>
        </w:rPr>
        <w:t xml:space="preserve">、其他服务要求</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default" w:ascii="宋体" w:hAnsi="宋体" w:eastAsia="宋体" w:cs="宋体"/>
          <w:sz w:val="24"/>
          <w:szCs w:val="24"/>
          <w:highlight w:val="none"/>
          <w:lang w:val="en-US" w:eastAsia="zh-CN"/>
        </w:rPr>
        <w:t xml:space="preserve">服务期内对</w:t>
      </w:r>
      <w:r>
        <w:rPr>
          <w:rFonts w:hint="eastAsia" w:ascii="宋体" w:hAnsi="宋体" w:eastAsia="宋体" w:cs="宋体"/>
          <w:b w:val="0"/>
          <w:bCs w:val="0"/>
          <w:sz w:val="24"/>
          <w:szCs w:val="24"/>
          <w:highlight w:val="none"/>
          <w:lang w:val="en-US" w:eastAsia="zh-CN"/>
        </w:rPr>
        <w:t xml:space="preserve">78台AI智能双目摄像机和10台散坟区电子围栏摄像机、6套全自动无人机巢</w:t>
      </w:r>
      <w:r>
        <w:rPr>
          <w:rFonts w:hint="default" w:ascii="宋体" w:hAnsi="宋体" w:eastAsia="宋体" w:cs="宋体"/>
          <w:sz w:val="24"/>
          <w:szCs w:val="24"/>
          <w:highlight w:val="none"/>
          <w:lang w:val="en-US" w:eastAsia="zh-CN"/>
        </w:rPr>
        <w:t xml:space="preserve">等相关设备提供 7×24 小时运维支持，包含日常清洁保养、参数校准、故障应急抢修与零部件更换。同时按规范开展定期巡检，核查设备探测精度、数据传输、网络连通性及防雷供电等配套设施状态，确保前端设备在线率达标，系统持续满足森林</w:t>
      </w:r>
      <w:r>
        <w:rPr>
          <w:rFonts w:hint="eastAsia" w:ascii="宋体" w:hAnsi="宋体" w:eastAsia="宋体" w:cs="宋体"/>
          <w:sz w:val="24"/>
          <w:szCs w:val="24"/>
          <w:highlight w:val="none"/>
          <w:lang w:val="en-US" w:eastAsia="zh-CN"/>
        </w:rPr>
        <w:t xml:space="preserve">防灭火智能体</w:t>
      </w:r>
      <w:r>
        <w:rPr>
          <w:rFonts w:hint="default" w:ascii="宋体" w:hAnsi="宋体" w:eastAsia="宋体" w:cs="宋体"/>
          <w:sz w:val="24"/>
          <w:szCs w:val="24"/>
          <w:highlight w:val="none"/>
          <w:lang w:val="en-US" w:eastAsia="zh-CN"/>
        </w:rPr>
        <w:t xml:space="preserve">24小时智能监测与预警需求。</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2.故障修复响应：</w:t>
      </w:r>
      <w:r/>
    </w:p>
    <w:tbl>
      <w:tblPr>
        <w:tblStyle w:val="6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11"/>
        <w:gridCol w:w="3070"/>
        <w:gridCol w:w="2841"/>
      </w:tblGrid>
      <w:tr>
        <w:trPr/>
        <w:tc>
          <w:tcPr>
            <w:tcW w:w="2611" w:type="dxa"/>
            <w:textDirection w:val="lrTb"/>
            <w:noWrap w:val="false"/>
          </w:tcPr>
          <w:p>
            <w:pPr>
              <w:ind w:right="0"/>
              <w:jc w:val="center"/>
              <w:keepLines w:val="0"/>
              <w:keepNext w:val="0"/>
              <w:pageBreakBefore w:val="0"/>
              <w:spacing w:before="0" w:beforeAutospacing="0" w:after="0" w:afterAutospacing="0" w:line="360" w:lineRule="auto"/>
              <w:widowControl/>
              <w:rPr>
                <w:rFonts w:hint="default" w:ascii="宋体" w:hAnsi="宋体" w:eastAsia="宋体" w:cs="宋体"/>
                <w:sz w:val="24"/>
                <w:szCs w:val="24"/>
                <w:highlight w:val="none"/>
                <w:vertAlign w:val="baseline"/>
                <w:lang w:val="en-US" w:eastAsia="zh-CN" w:bidi="ar"/>
              </w:rPr>
              <w:suppressLineNumbers w:val="0"/>
            </w:pPr>
            <w:r>
              <w:rPr>
                <w:rFonts w:hint="eastAsia" w:ascii="宋体" w:hAnsi="宋体" w:eastAsia="宋体" w:cs="宋体"/>
                <w:sz w:val="24"/>
                <w:szCs w:val="24"/>
                <w:highlight w:val="none"/>
                <w:vertAlign w:val="baseline"/>
                <w:lang w:val="en-US" w:eastAsia="zh-CN" w:bidi="ar"/>
              </w:rPr>
              <w:t xml:space="preserve">故障等级</w:t>
            </w:r>
            <w:r/>
          </w:p>
        </w:tc>
        <w:tc>
          <w:tcPr>
            <w:tcW w:w="3070" w:type="dxa"/>
            <w:textDirection w:val="lrTb"/>
            <w:noWrap w:val="false"/>
          </w:tcPr>
          <w:p>
            <w:pPr>
              <w:ind w:right="0"/>
              <w:jc w:val="center"/>
              <w:keepLines w:val="0"/>
              <w:keepNext w:val="0"/>
              <w:pageBreakBefore w:val="0"/>
              <w:spacing w:before="0" w:beforeAutospacing="0" w:after="0" w:afterAutospacing="0" w:line="360" w:lineRule="auto"/>
              <w:widowControl/>
              <w:rPr>
                <w:rFonts w:hint="default" w:ascii="宋体" w:hAnsi="宋体" w:eastAsia="宋体" w:cs="宋体"/>
                <w:sz w:val="24"/>
                <w:szCs w:val="24"/>
                <w:highlight w:val="none"/>
                <w:vertAlign w:val="baseline"/>
                <w:lang w:val="en-US" w:eastAsia="zh-CN" w:bidi="ar"/>
              </w:rPr>
              <w:suppressLineNumbers w:val="0"/>
            </w:pPr>
            <w:r>
              <w:rPr>
                <w:rFonts w:hint="eastAsia" w:ascii="宋体" w:hAnsi="宋体" w:eastAsia="宋体" w:cs="宋体"/>
                <w:sz w:val="24"/>
                <w:szCs w:val="24"/>
                <w:highlight w:val="none"/>
                <w:vertAlign w:val="baseline"/>
                <w:lang w:val="en-US" w:eastAsia="zh-CN" w:bidi="ar"/>
              </w:rPr>
              <w:t xml:space="preserve">故障内容</w:t>
            </w:r>
            <w:r/>
          </w:p>
        </w:tc>
        <w:tc>
          <w:tcPr>
            <w:tcW w:w="2841" w:type="dxa"/>
            <w:textDirection w:val="lrTb"/>
            <w:noWrap w:val="false"/>
          </w:tcPr>
          <w:p>
            <w:pPr>
              <w:ind w:right="0"/>
              <w:jc w:val="center"/>
              <w:keepLines w:val="0"/>
              <w:keepNext w:val="0"/>
              <w:pageBreakBefore w:val="0"/>
              <w:spacing w:before="0" w:beforeAutospacing="0" w:after="0" w:afterAutospacing="0" w:line="360" w:lineRule="auto"/>
              <w:widowControl/>
              <w:rPr>
                <w:rFonts w:hint="default" w:ascii="宋体" w:hAnsi="宋体" w:eastAsia="宋体" w:cs="宋体"/>
                <w:sz w:val="24"/>
                <w:szCs w:val="24"/>
                <w:highlight w:val="none"/>
                <w:vertAlign w:val="baseline"/>
                <w:lang w:val="en-US" w:eastAsia="zh-CN" w:bidi="ar"/>
              </w:rPr>
              <w:suppressLineNumbers w:val="0"/>
            </w:pPr>
            <w:r>
              <w:rPr>
                <w:rFonts w:hint="eastAsia" w:ascii="宋体" w:hAnsi="宋体" w:eastAsia="宋体" w:cs="宋体"/>
                <w:sz w:val="24"/>
                <w:szCs w:val="24"/>
                <w:highlight w:val="none"/>
                <w:vertAlign w:val="baseline"/>
                <w:lang w:val="en-US" w:eastAsia="zh-CN" w:bidi="ar"/>
              </w:rPr>
              <w:t xml:space="preserve">响应时间</w:t>
            </w:r>
            <w:r/>
          </w:p>
        </w:tc>
      </w:tr>
      <w:tr>
        <w:trPr/>
        <w:tc>
          <w:tcPr>
            <w:tcW w:w="2611"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val="0"/>
                <w:bCs/>
                <w:sz w:val="24"/>
                <w:szCs w:val="24"/>
                <w:highlight w:val="none"/>
                <w:vertAlign w:val="baseline"/>
                <w:lang w:val="en-US" w:eastAsia="zh-CN" w:bidi="ar"/>
              </w:rPr>
              <w:suppressLineNumbers w:val="0"/>
            </w:pPr>
            <w:r>
              <w:rPr>
                <w:rStyle w:val="658"/>
                <w:rFonts w:hint="eastAsia" w:ascii="宋体" w:hAnsi="宋体" w:eastAsia="宋体" w:cs="宋体"/>
                <w:b w:val="0"/>
                <w:bCs/>
                <w:sz w:val="24"/>
                <w:szCs w:val="24"/>
                <w:highlight w:val="none"/>
                <w:lang w:val="en-US" w:eastAsia="zh-CN" w:bidi="ar"/>
              </w:rPr>
              <w:t xml:space="preserve">一级故障</w:t>
            </w:r>
            <w:r/>
          </w:p>
        </w:tc>
        <w:tc>
          <w:tcPr>
            <w:tcW w:w="3070" w:type="dxa"/>
            <w:vAlign w:val="center"/>
            <w:textDirection w:val="lrTb"/>
            <w:noWrap w:val="false"/>
          </w:tcPr>
          <w:p>
            <w:pPr>
              <w:ind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4"/>
                <w:szCs w:val="24"/>
                <w:highlight w:val="none"/>
                <w:vertAlign w:val="baseline"/>
                <w:lang w:val="en-US" w:eastAsia="zh-CN" w:bidi="ar"/>
              </w:rPr>
              <w:suppressLineNumbers w:val="0"/>
            </w:pPr>
            <w:r>
              <w:rPr>
                <w:rStyle w:val="658"/>
                <w:rFonts w:hint="eastAsia" w:ascii="宋体" w:hAnsi="宋体" w:eastAsia="宋体" w:cs="宋体"/>
                <w:b w:val="0"/>
                <w:bCs/>
                <w:sz w:val="24"/>
                <w:szCs w:val="24"/>
                <w:highlight w:val="none"/>
                <w:lang w:val="en-US" w:eastAsia="zh-CN" w:bidi="ar"/>
              </w:rPr>
              <w:t xml:space="preserve">系统整体瘫痪、全部核心业务不可用</w:t>
            </w:r>
            <w:r/>
          </w:p>
        </w:tc>
        <w:tc>
          <w:tcPr>
            <w:tcW w:w="2841"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val="0"/>
                <w:bCs/>
                <w:sz w:val="24"/>
                <w:szCs w:val="24"/>
                <w:highlight w:val="none"/>
                <w:vertAlign w:val="baseline"/>
                <w:lang w:val="en-US" w:eastAsia="zh-CN" w:bidi="ar"/>
              </w:rPr>
              <w:suppressLineNumbers w:val="0"/>
            </w:pPr>
            <w:r>
              <w:rPr>
                <w:rFonts w:hint="eastAsia" w:ascii="宋体" w:hAnsi="宋体" w:eastAsia="宋体" w:cs="宋体"/>
                <w:b w:val="0"/>
                <w:bCs/>
                <w:sz w:val="24"/>
                <w:szCs w:val="24"/>
                <w:highlight w:val="none"/>
                <w:vertAlign w:val="baseline"/>
                <w:lang w:val="en-US" w:eastAsia="zh-CN" w:bidi="ar"/>
              </w:rPr>
              <w:t xml:space="preserve">0.5小时内</w:t>
            </w:r>
            <w:r/>
          </w:p>
        </w:tc>
      </w:tr>
      <w:tr>
        <w:trPr/>
        <w:tc>
          <w:tcPr>
            <w:tcW w:w="2611"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val="0"/>
                <w:bCs/>
                <w:sz w:val="24"/>
                <w:szCs w:val="24"/>
                <w:highlight w:val="none"/>
                <w:vertAlign w:val="baseline"/>
                <w:lang w:val="en-US" w:eastAsia="zh-CN" w:bidi="ar"/>
              </w:rPr>
              <w:suppressLineNumbers w:val="0"/>
            </w:pPr>
            <w:r>
              <w:rPr>
                <w:rStyle w:val="658"/>
                <w:rFonts w:hint="eastAsia" w:ascii="宋体" w:hAnsi="宋体" w:eastAsia="宋体" w:cs="宋体"/>
                <w:b w:val="0"/>
                <w:bCs/>
                <w:sz w:val="24"/>
                <w:szCs w:val="24"/>
                <w:highlight w:val="none"/>
                <w:lang w:val="en-US" w:eastAsia="zh-CN" w:bidi="ar"/>
              </w:rPr>
              <w:t xml:space="preserve">二级故障</w:t>
            </w:r>
            <w:r/>
          </w:p>
        </w:tc>
        <w:tc>
          <w:tcPr>
            <w:tcW w:w="3070" w:type="dxa"/>
            <w:vAlign w:val="center"/>
            <w:textDirection w:val="lrTb"/>
            <w:noWrap w:val="false"/>
          </w:tcPr>
          <w:p>
            <w:pPr>
              <w:ind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4"/>
                <w:szCs w:val="24"/>
                <w:highlight w:val="none"/>
                <w:vertAlign w:val="baseline"/>
                <w:lang w:val="en-US" w:eastAsia="zh-CN" w:bidi="ar"/>
              </w:rPr>
              <w:suppressLineNumbers w:val="0"/>
            </w:pPr>
            <w:r>
              <w:rPr>
                <w:rStyle w:val="658"/>
                <w:rFonts w:hint="eastAsia" w:ascii="宋体" w:hAnsi="宋体" w:eastAsia="宋体" w:cs="宋体"/>
                <w:b w:val="0"/>
                <w:bCs/>
                <w:sz w:val="24"/>
                <w:szCs w:val="24"/>
                <w:highlight w:val="none"/>
                <w:lang w:val="en-US" w:eastAsia="zh-CN" w:bidi="ar"/>
              </w:rPr>
              <w:t xml:space="preserve">部分核心功能失效、部分前端大规模离线</w:t>
            </w:r>
            <w:r/>
          </w:p>
        </w:tc>
        <w:tc>
          <w:tcPr>
            <w:tcW w:w="2841"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val="0"/>
                <w:bCs/>
                <w:sz w:val="24"/>
                <w:szCs w:val="24"/>
                <w:highlight w:val="none"/>
                <w:vertAlign w:val="baseline"/>
                <w:lang w:val="en-US" w:eastAsia="zh-CN" w:bidi="ar"/>
              </w:rPr>
              <w:suppressLineNumbers w:val="0"/>
            </w:pPr>
            <w:r>
              <w:rPr>
                <w:rFonts w:hint="eastAsia" w:ascii="宋体" w:hAnsi="宋体" w:eastAsia="宋体" w:cs="宋体"/>
                <w:b w:val="0"/>
                <w:bCs/>
                <w:sz w:val="24"/>
                <w:szCs w:val="24"/>
                <w:highlight w:val="none"/>
                <w:vertAlign w:val="baseline"/>
                <w:lang w:val="en-US" w:eastAsia="zh-CN" w:bidi="ar"/>
              </w:rPr>
              <w:t xml:space="preserve">8小时内</w:t>
            </w:r>
            <w:r/>
          </w:p>
        </w:tc>
      </w:tr>
      <w:tr>
        <w:trPr/>
        <w:tc>
          <w:tcPr>
            <w:tcW w:w="2611"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val="0"/>
                <w:bCs/>
                <w:sz w:val="24"/>
                <w:szCs w:val="24"/>
                <w:highlight w:val="none"/>
                <w:vertAlign w:val="baseline"/>
                <w:lang w:val="en-US" w:eastAsia="zh-CN" w:bidi="ar"/>
              </w:rPr>
              <w:suppressLineNumbers w:val="0"/>
            </w:pPr>
            <w:r>
              <w:rPr>
                <w:rStyle w:val="658"/>
                <w:rFonts w:hint="eastAsia" w:ascii="宋体" w:hAnsi="宋体" w:eastAsia="宋体" w:cs="宋体"/>
                <w:b w:val="0"/>
                <w:bCs/>
                <w:sz w:val="24"/>
                <w:szCs w:val="24"/>
                <w:highlight w:val="none"/>
                <w:lang w:val="en-US" w:eastAsia="zh-CN" w:bidi="ar"/>
              </w:rPr>
              <w:t xml:space="preserve">三级故障</w:t>
            </w:r>
            <w:r/>
          </w:p>
        </w:tc>
        <w:tc>
          <w:tcPr>
            <w:tcW w:w="3070" w:type="dxa"/>
            <w:vAlign w:val="center"/>
            <w:textDirection w:val="lrTb"/>
            <w:noWrap w:val="false"/>
          </w:tcPr>
          <w:p>
            <w:pPr>
              <w:ind w:right="0"/>
              <w:jc w:val="both"/>
              <w:keepLines w:val="0"/>
              <w:keepNext w:val="0"/>
              <w:pageBreakBefore w:val="0"/>
              <w:spacing w:before="0" w:beforeAutospacing="0" w:after="0" w:afterAutospacing="0" w:line="360" w:lineRule="auto"/>
              <w:widowControl/>
              <w:rPr>
                <w:rFonts w:hint="eastAsia" w:ascii="宋体" w:hAnsi="宋体" w:eastAsia="宋体" w:cs="宋体"/>
                <w:b w:val="0"/>
                <w:bCs/>
                <w:sz w:val="24"/>
                <w:szCs w:val="24"/>
                <w:highlight w:val="none"/>
                <w:vertAlign w:val="baseline"/>
                <w:lang w:val="en-US" w:eastAsia="zh-CN" w:bidi="ar"/>
              </w:rPr>
              <w:suppressLineNumbers w:val="0"/>
            </w:pPr>
            <w:r>
              <w:rPr>
                <w:rStyle w:val="658"/>
                <w:rFonts w:hint="eastAsia" w:ascii="宋体" w:hAnsi="宋体" w:eastAsia="宋体" w:cs="宋体"/>
                <w:b w:val="0"/>
                <w:bCs/>
                <w:sz w:val="24"/>
                <w:szCs w:val="24"/>
                <w:highlight w:val="none"/>
                <w:lang w:val="en-US" w:eastAsia="zh-CN" w:bidi="ar"/>
              </w:rPr>
              <w:t xml:space="preserve">单台设备故障、不影响整体系统运行的一般性故障</w:t>
            </w:r>
            <w:r/>
          </w:p>
        </w:tc>
        <w:tc>
          <w:tcPr>
            <w:tcW w:w="2841"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val="0"/>
                <w:bCs/>
                <w:sz w:val="24"/>
                <w:szCs w:val="24"/>
                <w:highlight w:val="none"/>
                <w:vertAlign w:val="baseline"/>
                <w:lang w:val="en-US" w:eastAsia="zh-CN" w:bidi="ar"/>
              </w:rPr>
              <w:suppressLineNumbers w:val="0"/>
            </w:pPr>
            <w:r>
              <w:rPr>
                <w:rFonts w:hint="eastAsia" w:ascii="宋体" w:hAnsi="宋体" w:eastAsia="宋体" w:cs="宋体"/>
                <w:b w:val="0"/>
                <w:bCs/>
                <w:sz w:val="24"/>
                <w:szCs w:val="24"/>
                <w:highlight w:val="none"/>
                <w:vertAlign w:val="baseline"/>
                <w:lang w:val="en-US" w:eastAsia="zh-CN" w:bidi="ar"/>
              </w:rPr>
              <w:t xml:space="preserve">24小时内</w:t>
            </w:r>
            <w:r/>
          </w:p>
        </w:tc>
      </w:tr>
    </w:tbl>
    <w:p>
      <w:pPr>
        <w:ind w:right="0"/>
        <w:jc w:val="left"/>
        <w:keepLines w:val="0"/>
        <w:keepNext w:val="0"/>
        <w:pageBreakBefore w:val="0"/>
        <w:spacing w:before="0" w:beforeAutospacing="0" w:after="0" w:afterAutospacing="0" w:line="360" w:lineRule="auto"/>
        <w:widowControl/>
        <w:rPr>
          <w:rFonts w:hint="default" w:ascii="宋体" w:hAnsi="宋体" w:eastAsia="宋体" w:cs="宋体"/>
          <w:sz w:val="24"/>
          <w:szCs w:val="24"/>
          <w:highlight w:val="none"/>
          <w:lang w:val="en-US" w:eastAsia="zh-CN" w:bidi="ar"/>
        </w:rPr>
        <w:pBdr>
          <w:left w:val="none" w:color="auto" w:sz="0" w:space="0"/>
        </w:pBdr>
        <w:suppressLineNumbers w:val="0"/>
      </w:pPr>
      <w:r>
        <w:rPr>
          <w:rFonts w:hint="default" w:ascii="宋体" w:hAnsi="宋体" w:eastAsia="宋体" w:cs="宋体"/>
          <w:sz w:val="24"/>
          <w:szCs w:val="24"/>
          <w:highlight w:val="none"/>
          <w:lang w:val="en-US" w:eastAsia="zh-CN" w:bidi="ar"/>
        </w:rPr>
      </w:r>
      <w:r/>
    </w:p>
    <w:p>
      <w:pPr>
        <w:ind w:firstLine="562"/>
        <w:jc w:val="left"/>
        <w:spacing w:line="360" w:lineRule="auto"/>
        <w:rPr>
          <w:rFonts w:ascii="Times New Roman" w:hAnsi="Times New Roman" w:eastAsia="宋体" w:cs="Times New Roman"/>
          <w:b/>
          <w:sz w:val="28"/>
          <w:szCs w:val="28"/>
          <w:highlight w:val="none"/>
        </w:rPr>
        <w:outlineLvl w:val="1"/>
      </w:pPr>
      <w:r>
        <w:rPr>
          <w:rFonts w:hint="eastAsia" w:ascii="Times New Roman" w:hAnsi="Times New Roman" w:eastAsia="宋体" w:cs="Times New Roman"/>
          <w:b/>
          <w:sz w:val="28"/>
          <w:szCs w:val="28"/>
          <w:highlight w:val="none"/>
          <w:lang w:val="en-US" w:eastAsia="zh-CN"/>
        </w:rPr>
        <w:t xml:space="preserve">七</w:t>
      </w:r>
      <w:r>
        <w:rPr>
          <w:rFonts w:hint="eastAsia" w:ascii="Times New Roman" w:hAnsi="Times New Roman" w:eastAsia="宋体" w:cs="Times New Roman"/>
          <w:b/>
          <w:sz w:val="28"/>
          <w:szCs w:val="28"/>
          <w:highlight w:val="none"/>
        </w:rPr>
        <w:t xml:space="preserve">、施工和安全要求</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.所有安装施工材料质量必须严格按照国家规范的有关要求执行。</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.设备在安装时，应根据生产厂家所提供的产品安装说明书施工，安装辅材必须采用优质产品。</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中标投标人</w:t>
      </w:r>
      <w:r>
        <w:rPr>
          <w:rFonts w:hint="eastAsia" w:ascii="宋体" w:hAnsi="宋体" w:eastAsia="宋体" w:cs="宋体"/>
          <w:sz w:val="24"/>
          <w:szCs w:val="24"/>
          <w:highlight w:val="none"/>
        </w:rPr>
        <w:t xml:space="preserve">应对安装施工质量全面负责，文明、安全施工，如</w:t>
      </w:r>
      <w:r>
        <w:rPr>
          <w:rFonts w:hint="eastAsia" w:ascii="宋体" w:hAnsi="宋体" w:eastAsia="宋体" w:cs="宋体"/>
          <w:sz w:val="24"/>
          <w:szCs w:val="24"/>
          <w:highlight w:val="none"/>
          <w:lang w:eastAsia="zh-CN"/>
        </w:rPr>
        <w:t xml:space="preserve">中标单位</w:t>
      </w:r>
      <w:r>
        <w:rPr>
          <w:rFonts w:hint="eastAsia" w:ascii="宋体" w:hAnsi="宋体" w:eastAsia="宋体" w:cs="宋体"/>
          <w:sz w:val="24"/>
          <w:szCs w:val="24"/>
          <w:highlight w:val="none"/>
        </w:rPr>
        <w:t xml:space="preserve">原因造成质量事故、</w:t>
      </w:r>
      <w:r>
        <w:rPr>
          <w:rFonts w:hint="eastAsia" w:ascii="宋体" w:hAnsi="宋体" w:eastAsia="宋体" w:cs="宋体"/>
          <w:sz w:val="24"/>
          <w:szCs w:val="24"/>
          <w:highlight w:val="none"/>
          <w:lang w:eastAsia="zh-CN"/>
        </w:rPr>
        <w:t xml:space="preserve">中标单位</w:t>
      </w:r>
      <w:r>
        <w:rPr>
          <w:rFonts w:hint="eastAsia" w:ascii="宋体" w:hAnsi="宋体" w:eastAsia="宋体" w:cs="宋体"/>
          <w:sz w:val="24"/>
          <w:szCs w:val="24"/>
          <w:highlight w:val="none"/>
        </w:rPr>
        <w:t xml:space="preserve">承担一切经济法律责任。中标单位在实施过程中，严格按照国家规范、施工图设计施工，加强安全管理工作，确保安全文明施工，所有该工程的安全文明施工措施费用均含在总报价中。</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.在安装施工期间，</w:t>
      </w:r>
      <w:r>
        <w:rPr>
          <w:rFonts w:hint="eastAsia" w:ascii="宋体" w:hAnsi="宋体" w:eastAsia="宋体" w:cs="宋体"/>
          <w:sz w:val="24"/>
          <w:szCs w:val="24"/>
          <w:highlight w:val="none"/>
          <w:lang w:eastAsia="zh-CN"/>
        </w:rPr>
        <w:t xml:space="preserve">中标投标人</w:t>
      </w:r>
      <w:r>
        <w:rPr>
          <w:rFonts w:hint="eastAsia" w:ascii="宋体" w:hAnsi="宋体" w:eastAsia="宋体" w:cs="宋体"/>
          <w:sz w:val="24"/>
          <w:szCs w:val="24"/>
          <w:highlight w:val="none"/>
        </w:rPr>
        <w:t xml:space="preserve">应无条件的遵守施工现场的各项规章制度。</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.在安装施工期间，</w:t>
      </w:r>
      <w:r>
        <w:rPr>
          <w:rFonts w:hint="eastAsia" w:ascii="宋体" w:hAnsi="宋体" w:eastAsia="宋体" w:cs="宋体"/>
          <w:sz w:val="24"/>
          <w:szCs w:val="24"/>
          <w:highlight w:val="none"/>
          <w:lang w:eastAsia="zh-CN"/>
        </w:rPr>
        <w:t xml:space="preserve">中标投标人</w:t>
      </w:r>
      <w:r>
        <w:rPr>
          <w:rFonts w:hint="eastAsia" w:ascii="宋体" w:hAnsi="宋体" w:eastAsia="宋体" w:cs="宋体"/>
          <w:sz w:val="24"/>
          <w:szCs w:val="24"/>
          <w:highlight w:val="none"/>
        </w:rPr>
        <w:t xml:space="preserve">应无条件的接受采购方的质量监督，提出的质量问题要及时整改，整改完毕后通知采购方检查验收，合格后书面报送采购方备案。</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中标投标人</w:t>
      </w:r>
      <w:r>
        <w:rPr>
          <w:rFonts w:hint="eastAsia" w:ascii="宋体" w:hAnsi="宋体" w:eastAsia="宋体" w:cs="宋体"/>
          <w:sz w:val="24"/>
          <w:szCs w:val="24"/>
          <w:highlight w:val="none"/>
        </w:rPr>
        <w:t xml:space="preserve">必须按照工程设计和技术标准施工，不得擅自修改工程设计，不得偷工减料。</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中标投标人</w:t>
      </w:r>
      <w:r>
        <w:rPr>
          <w:rFonts w:hint="eastAsia" w:ascii="宋体" w:hAnsi="宋体" w:eastAsia="宋体" w:cs="宋体"/>
          <w:sz w:val="24"/>
          <w:szCs w:val="24"/>
          <w:highlight w:val="none"/>
        </w:rPr>
        <w:t xml:space="preserve">必须建立健全质量检查制度，严格工序管理，隐蔽工程在隐蔽前应通知采购方检查验收；本着谁施工谁负责产品保护，谁破坏产品谁负责赔偿的原则，</w:t>
      </w:r>
      <w:r>
        <w:rPr>
          <w:rFonts w:hint="eastAsia" w:ascii="宋体" w:hAnsi="宋体" w:eastAsia="宋体" w:cs="宋体"/>
          <w:sz w:val="24"/>
          <w:szCs w:val="24"/>
          <w:highlight w:val="none"/>
          <w:lang w:eastAsia="zh-CN"/>
        </w:rPr>
        <w:t xml:space="preserve">中标单位</w:t>
      </w:r>
      <w:r>
        <w:rPr>
          <w:rFonts w:hint="eastAsia" w:ascii="宋体" w:hAnsi="宋体" w:eastAsia="宋体" w:cs="宋体"/>
          <w:sz w:val="24"/>
          <w:szCs w:val="24"/>
          <w:highlight w:val="none"/>
        </w:rPr>
        <w:t xml:space="preserve">必须采取切实有效的产品保护措施，并编制相应的产品保护方案报采购单位批准同意后组织实施。</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中标投标人</w:t>
      </w:r>
      <w:r>
        <w:rPr>
          <w:rFonts w:hint="eastAsia" w:ascii="宋体" w:hAnsi="宋体" w:eastAsia="宋体" w:cs="宋体"/>
          <w:sz w:val="24"/>
          <w:szCs w:val="24"/>
          <w:highlight w:val="none"/>
        </w:rPr>
        <w:t xml:space="preserve">必须负责安装过程中对采购单位原有装修的破坏进行修复，恢复原状，该费用包含于总投标报价中。</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中标投标人</w:t>
      </w:r>
      <w:r>
        <w:rPr>
          <w:rFonts w:hint="eastAsia" w:ascii="宋体" w:hAnsi="宋体" w:eastAsia="宋体" w:cs="宋体"/>
          <w:sz w:val="24"/>
          <w:szCs w:val="24"/>
          <w:highlight w:val="none"/>
        </w:rPr>
        <w:t xml:space="preserve">安装设备所需电源，由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自行接线且保持场地美观。</w:t>
      </w:r>
      <w:r/>
    </w:p>
    <w:p>
      <w:pPr>
        <w:ind w:left="0" w:right="0" w:firstLine="480"/>
        <w:jc w:val="left"/>
        <w:keepLines w:val="0"/>
        <w:keepNext w:val="0"/>
        <w:pageBreakBefore w:val="0"/>
        <w:spacing w:before="0" w:beforeAutospacing="0" w:after="0" w:afterAutospacing="0" w:line="360" w:lineRule="auto"/>
        <w:widowControl/>
        <w:rPr>
          <w:rFonts w:ascii="Times New Roman" w:hAnsi="Times New Roman" w:eastAsia="宋体" w:cs="Times New Roman"/>
          <w:b/>
          <w:sz w:val="28"/>
          <w:szCs w:val="28"/>
          <w:highlight w:val="none"/>
        </w:rPr>
        <w:pBdr>
          <w:left w:val="none" w:color="auto" w:sz="0" w:space="0"/>
        </w:pBdr>
        <w:outlineLvl w:val="1"/>
        <w:suppressLineNumbers w:val="0"/>
      </w:pPr>
      <w:r>
        <w:rPr>
          <w:rFonts w:hint="eastAsia" w:ascii="Times New Roman" w:hAnsi="Times New Roman" w:eastAsia="宋体" w:cs="Times New Roman"/>
          <w:b/>
          <w:sz w:val="28"/>
          <w:szCs w:val="28"/>
          <w:highlight w:val="none"/>
          <w:lang w:val="en-US" w:eastAsia="zh-CN"/>
        </w:rPr>
        <w:t xml:space="preserve">八</w:t>
      </w:r>
      <w:r>
        <w:rPr>
          <w:rFonts w:hint="eastAsia" w:ascii="Times New Roman" w:hAnsi="Times New Roman" w:eastAsia="宋体" w:cs="Times New Roman"/>
          <w:b/>
          <w:sz w:val="28"/>
          <w:szCs w:val="28"/>
          <w:highlight w:val="none"/>
        </w:rPr>
        <w:t xml:space="preserve">、付款方式与履约保证金</w:t>
      </w:r>
      <w:r/>
    </w:p>
    <w:p>
      <w:pPr>
        <w:ind w:firstLine="480"/>
        <w:jc w:val="left"/>
        <w:spacing w:line="360" w:lineRule="auto"/>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1、付款方式</w:t>
      </w:r>
      <w:r/>
    </w:p>
    <w:p>
      <w:pPr>
        <w:ind w:firstLine="480"/>
        <w:jc w:val="left"/>
        <w:spacing w:line="360" w:lineRule="auto"/>
        <w:rPr>
          <w:rFonts w:hint="eastAsia" w:cs="Times New Roman" w:asciiTheme="minorEastAsia" w:hAnsiTheme="minorEastAsia"/>
          <w:sz w:val="24"/>
          <w:szCs w:val="24"/>
          <w:highlight w:val="none"/>
          <w:lang w:eastAsia="zh-CN"/>
        </w:rPr>
      </w:pPr>
      <w:r>
        <w:rPr>
          <w:rFonts w:hint="eastAsia" w:cs="Times New Roman" w:asciiTheme="minorEastAsia" w:hAnsiTheme="minorEastAsia"/>
          <w:sz w:val="24"/>
          <w:szCs w:val="24"/>
          <w:highlight w:val="none"/>
          <w:lang w:eastAsia="zh-CN"/>
        </w:rPr>
        <w:t xml:space="preserve">合同签订后30个工作日内支付合同价款总额的40%；验收合格后支付至合同价款的90%；验收合格满一年后付清余款。</w:t>
      </w:r>
      <w:r/>
    </w:p>
    <w:p>
      <w:pPr>
        <w:ind w:firstLine="480"/>
        <w:jc w:val="left"/>
        <w:spacing w:line="360" w:lineRule="auto"/>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2、履约保证金</w:t>
      </w:r>
      <w:r/>
    </w:p>
    <w:p>
      <w:pPr>
        <w:ind w:firstLine="480"/>
        <w:jc w:val="left"/>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本项目不收取履约保证金。</w:t>
      </w:r>
      <w:r/>
    </w:p>
    <w:p>
      <w:pPr>
        <w:pStyle w:val="644"/>
        <w:numPr>
          <w:ilvl w:val="0"/>
          <w:numId w:val="0"/>
        </w:numPr>
        <w:ind w:firstLine="562"/>
        <w:jc w:val="left"/>
        <w:keepLines/>
        <w:keepNext/>
        <w:pageBreakBefore w:val="0"/>
        <w:spacing w:before="0" w:after="0" w:line="360" w:lineRule="auto"/>
        <w:widowControl w:val="off"/>
        <w:rPr>
          <w:rFonts w:ascii="Times New Roman" w:hAnsi="Times New Roman" w:eastAsia="宋体" w:cs="Times New Roman"/>
          <w:b/>
          <w:sz w:val="28"/>
          <w:szCs w:val="28"/>
          <w:highlight w:val="none"/>
        </w:rPr>
        <w:outlineLvl w:val="1"/>
      </w:pPr>
      <w:r>
        <w:rPr>
          <w:rFonts w:hint="eastAsia" w:ascii="Times New Roman" w:hAnsi="Times New Roman" w:eastAsia="宋体" w:cs="Times New Roman"/>
          <w:b/>
          <w:sz w:val="28"/>
          <w:szCs w:val="28"/>
          <w:highlight w:val="none"/>
          <w:lang w:val="en-US" w:eastAsia="zh-CN"/>
        </w:rPr>
        <w:t xml:space="preserve">九</w:t>
      </w:r>
      <w:r>
        <w:rPr>
          <w:rFonts w:hint="eastAsia" w:ascii="Times New Roman" w:hAnsi="Times New Roman" w:eastAsia="宋体" w:cs="Times New Roman"/>
          <w:b/>
          <w:sz w:val="28"/>
          <w:szCs w:val="28"/>
          <w:highlight w:val="none"/>
        </w:rPr>
        <w:t xml:space="preserve">、报价要求</w:t>
      </w:r>
      <w:r/>
    </w:p>
    <w:p>
      <w:pPr>
        <w:ind w:firstLine="480"/>
        <w:spacing w:line="360" w:lineRule="auto"/>
        <w:rPr>
          <w:rFonts w:hint="eastAsia" w:cs="Times New Roman" w:asciiTheme="minorEastAsia" w:hAnsiTheme="minorEastAsia"/>
          <w:sz w:val="24"/>
          <w:szCs w:val="24"/>
          <w:highlight w:val="none"/>
        </w:rPr>
      </w:pPr>
      <w:r>
        <w:rPr>
          <w:rFonts w:hint="eastAsia" w:ascii="宋体" w:hAnsi="宋体" w:eastAsia="宋体" w:cs="宋体"/>
          <w:b w:val="0"/>
          <w:bCs/>
          <w:i w:val="0"/>
          <w:iCs w:val="0"/>
          <w:sz w:val="24"/>
          <w:szCs w:val="24"/>
          <w:highlight w:val="none"/>
          <w:u w:val="none"/>
        </w:rPr>
        <w:t xml:space="preserve">投标报价须包含但不限于全部设备、材料备品备件、包装费、运杂费（运抵现场）、卸货费、现场保管费、运输保险费、成品保护费、安装费、调试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服务的单价和总价，详细分析各项费用组成。</w:t>
      </w:r>
      <w:r/>
    </w:p>
    <w:p>
      <w:pPr>
        <w:ind w:firstLine="562"/>
        <w:jc w:val="left"/>
        <w:spacing w:line="360" w:lineRule="auto"/>
        <w:rPr>
          <w:rFonts w:ascii="Times New Roman" w:hAnsi="Times New Roman" w:eastAsia="宋体" w:cs="Times New Roman"/>
          <w:b/>
          <w:sz w:val="28"/>
          <w:szCs w:val="28"/>
          <w:highlight w:val="none"/>
        </w:rPr>
        <w:outlineLvl w:val="1"/>
      </w:pPr>
      <w:r>
        <w:rPr>
          <w:rFonts w:hint="eastAsia" w:ascii="Times New Roman" w:hAnsi="Times New Roman" w:eastAsia="宋体" w:cs="Times New Roman"/>
          <w:b/>
          <w:sz w:val="28"/>
          <w:szCs w:val="28"/>
          <w:highlight w:val="none"/>
        </w:rPr>
        <w:t xml:space="preserve">十、其他</w:t>
      </w:r>
      <w:bookmarkEnd w:id="10"/>
      <w:r/>
      <w:bookmarkEnd w:id="11"/>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本项目报价不得超过预算价（最高限价）。</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特别提醒投标人：应根据国家收费标准并结合市场实际进行报价，总价包干。</w:t>
      </w:r>
      <w:r/>
    </w:p>
    <w:p>
      <w:pPr>
        <w:ind w:firstLine="480"/>
        <w:spacing w:line="360" w:lineRule="auto"/>
        <w:rPr>
          <w:sz w:val="24"/>
          <w:szCs w:val="24"/>
          <w:highlight w:val="none"/>
        </w:rPr>
      </w:pPr>
      <w:r>
        <w:rPr>
          <w:rFonts w:hint="eastAsia" w:ascii="宋体" w:hAnsi="宋体" w:eastAsia="宋体" w:cs="Times New Roman"/>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center"/>
        <w:widowControl/>
        <w:rPr>
          <w:rFonts w:ascii="黑体" w:hAnsi="黑体" w:eastAsia="黑体"/>
          <w:b w:val="0"/>
          <w:highlight w:val="none"/>
        </w:rPr>
        <w:outlineLvl w:val="0"/>
      </w:pPr>
      <w:r/>
      <w:bookmarkStart w:id="12" w:name="_Toc155796360"/>
      <w:r>
        <w:rPr>
          <w:rFonts w:ascii="黑体" w:hAnsi="黑体" w:eastAsia="黑体"/>
          <w:b/>
          <w:highlight w:val="none"/>
        </w:rPr>
        <w:br w:type="page" w:clear="all"/>
      </w:r>
      <w:bookmarkEnd w:id="12"/>
      <w:r/>
      <w:bookmarkStart w:id="13" w:name="_Toc14315"/>
      <w:r/>
      <w:bookmarkStart w:id="14" w:name="_Toc22575"/>
      <w:r>
        <w:rPr>
          <w:rFonts w:ascii="黑体" w:hAnsi="黑体" w:eastAsia="黑体"/>
          <w:b w:val="0"/>
          <w:sz w:val="44"/>
          <w:szCs w:val="44"/>
          <w:highlight w:val="none"/>
        </w:rPr>
        <w:t xml:space="preserve">第五章</w:t>
      </w:r>
      <w:r>
        <w:rPr>
          <w:rFonts w:hint="eastAsia" w:ascii="黑体" w:hAnsi="黑体" w:eastAsia="黑体"/>
          <w:b w:val="0"/>
          <w:sz w:val="44"/>
          <w:szCs w:val="44"/>
          <w:highlight w:val="none"/>
        </w:rPr>
        <w:t xml:space="preserve">  评标方法与评标标准</w:t>
      </w:r>
      <w:bookmarkEnd w:id="13"/>
      <w:r/>
      <w:bookmarkEnd w:id="14"/>
      <w:r/>
      <w:r/>
    </w:p>
    <w:p>
      <w:pPr>
        <w:ind w:firstLine="482"/>
        <w:jc w:val="left"/>
        <w:spacing w:line="500" w:lineRule="exact"/>
        <w:rPr>
          <w:rFonts w:ascii="黑体" w:hAnsi="黑体" w:eastAsia="黑体"/>
          <w:b/>
          <w:bCs/>
          <w:sz w:val="24"/>
          <w:szCs w:val="24"/>
          <w:highlight w:val="none"/>
        </w:rPr>
      </w:pPr>
      <w:r>
        <w:rPr>
          <w:rFonts w:hint="eastAsia" w:ascii="黑体" w:hAnsi="黑体" w:eastAsia="黑体"/>
          <w:b/>
          <w:bCs/>
          <w:sz w:val="24"/>
          <w:szCs w:val="24"/>
          <w:highlight w:val="none"/>
        </w:rPr>
        <w:t xml:space="preserve">一、评标方法</w:t>
      </w:r>
      <w:r/>
    </w:p>
    <w:p>
      <w:pPr>
        <w:ind w:firstLine="480"/>
        <w:jc w:val="left"/>
        <w:spacing w:line="500" w:lineRule="exact"/>
        <w:rPr>
          <w:rFonts w:hint="eastAsia"/>
          <w:sz w:val="24"/>
          <w:szCs w:val="24"/>
          <w:highlight w:val="none"/>
        </w:rP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根据财政部令第87号第31条：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keepLines w:val="0"/>
        <w:keepNext w:val="0"/>
        <w:pageBreakBefore w:val="0"/>
        <w:spacing w:line="360" w:lineRule="auto"/>
        <w:widowControl/>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rPr>
        <w:t xml:space="preserve">二、评标委员会构成</w:t>
      </w:r>
      <w:r/>
    </w:p>
    <w:p>
      <w:pPr>
        <w:ind w:firstLine="480"/>
        <w:keepLines w:val="0"/>
        <w:keepNext w:val="0"/>
        <w:pageBreakBefore w:val="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本采购项目评标委员会的评委由采购人代表和评审专家组成。</w:t>
      </w:r>
      <w:r/>
    </w:p>
    <w:p>
      <w:pPr>
        <w:ind w:firstLine="420"/>
        <w:keepLines w:val="0"/>
        <w:keepNext w:val="0"/>
        <w:pageBreakBefore w:val="0"/>
        <w:spacing w:line="360" w:lineRule="auto"/>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rPr>
        <w:t xml:space="preserve">三、</w:t>
      </w:r>
      <w:r>
        <w:rPr>
          <w:rFonts w:hint="eastAsia" w:ascii="黑体" w:hAnsi="黑体" w:eastAsia="黑体" w:cs="黑体"/>
          <w:b/>
          <w:bCs/>
          <w:color w:val="000000"/>
          <w:sz w:val="24"/>
          <w:szCs w:val="24"/>
          <w:highlight w:val="none"/>
        </w:rPr>
        <w:t xml:space="preserve">评标原则</w:t>
      </w:r>
      <w:r/>
    </w:p>
    <w:p>
      <w:pPr>
        <w:ind w:firstLine="480"/>
        <w:keepLines w:val="0"/>
        <w:keepNext w:val="0"/>
        <w:pageBreakBefore w:val="0"/>
        <w:spacing w:line="360" w:lineRule="auto"/>
        <w:rPr>
          <w:rFonts w:hint="eastAsia"/>
          <w:sz w:val="24"/>
          <w:szCs w:val="24"/>
          <w:highlight w:val="none"/>
        </w:rPr>
      </w:pPr>
      <w:r>
        <w:rPr>
          <w:rFonts w:hint="eastAsia" w:ascii="宋体" w:hAnsi="宋体"/>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接触。</w:t>
      </w:r>
      <w:r/>
    </w:p>
    <w:p>
      <w:pPr>
        <w:ind w:firstLine="482"/>
        <w:jc w:val="left"/>
        <w:spacing w:line="500" w:lineRule="exact"/>
        <w:rPr>
          <w:rFonts w:ascii="黑体" w:hAnsi="黑体" w:eastAsia="黑体"/>
          <w:b/>
          <w:bCs/>
          <w:sz w:val="24"/>
          <w:szCs w:val="24"/>
          <w:highlight w:val="none"/>
        </w:rPr>
      </w:pPr>
      <w:r>
        <w:rPr>
          <w:rFonts w:hint="eastAsia" w:ascii="黑体" w:hAnsi="黑体" w:eastAsia="黑体"/>
          <w:b/>
          <w:bCs/>
          <w:sz w:val="24"/>
          <w:szCs w:val="24"/>
          <w:highlight w:val="none"/>
          <w:lang w:val="en-US" w:eastAsia="zh-CN"/>
        </w:rPr>
        <w:t xml:space="preserve">四</w:t>
      </w:r>
      <w:r>
        <w:rPr>
          <w:rFonts w:ascii="黑体" w:hAnsi="黑体" w:eastAsia="黑体"/>
          <w:b/>
          <w:bCs/>
          <w:sz w:val="24"/>
          <w:szCs w:val="24"/>
          <w:highlight w:val="none"/>
        </w:rPr>
        <w:t xml:space="preserve">、评标标准</w:t>
      </w:r>
      <w:r/>
    </w:p>
    <w:p>
      <w:pPr>
        <w:ind w:firstLine="480"/>
        <w:jc w:val="left"/>
        <w:spacing w:line="500" w:lineRule="exact"/>
        <w:rPr>
          <w:sz w:val="24"/>
          <w:szCs w:val="24"/>
          <w:highlight w:val="none"/>
        </w:rPr>
      </w:pPr>
      <w:r>
        <w:rPr>
          <w:rFonts w:hint="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highlight w:val="none"/>
        </w:rPr>
      </w:pPr>
      <w:r>
        <w:rPr>
          <w:rFonts w:hint="eastAsia"/>
          <w:sz w:val="24"/>
          <w:szCs w:val="24"/>
          <w:highlight w:val="none"/>
        </w:rPr>
        <w:t xml:space="preserve">（2）本项目评分总分为100分，按四舍五入取至小数点后两位。</w:t>
      </w:r>
      <w:r/>
    </w:p>
    <w:p>
      <w:pPr>
        <w:ind w:firstLine="480"/>
        <w:jc w:val="left"/>
        <w:spacing w:line="500" w:lineRule="exact"/>
        <w:rPr>
          <w:sz w:val="24"/>
          <w:szCs w:val="24"/>
          <w:highlight w:val="none"/>
        </w:rPr>
      </w:pPr>
      <w:r>
        <w:rPr>
          <w:rFonts w:hint="eastAsia"/>
          <w:sz w:val="24"/>
          <w:szCs w:val="24"/>
          <w:highlight w:val="none"/>
        </w:rPr>
        <w:t xml:space="preserve">（3）总得分=价格分+技术分+商务分。</w:t>
      </w:r>
      <w:r/>
    </w:p>
    <w:p>
      <w:pPr>
        <w:rPr>
          <w:rFonts w:hint="eastAsia" w:ascii="黑体" w:hAnsi="黑体" w:eastAsia="黑体"/>
          <w:sz w:val="32"/>
          <w:szCs w:val="24"/>
          <w:highlight w:val="none"/>
        </w:rPr>
      </w:pPr>
      <w:r>
        <w:rPr>
          <w:rFonts w:hint="eastAsia" w:ascii="黑体" w:hAnsi="黑体" w:eastAsia="黑体"/>
          <w:sz w:val="32"/>
          <w:szCs w:val="24"/>
          <w:highlight w:val="none"/>
        </w:rPr>
        <w:br w:type="page" w:clear="all"/>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p>
    <w:p>
      <w:pPr>
        <w:ind w:firstLine="480"/>
        <w:jc w:val="left"/>
        <w:spacing w:line="500" w:lineRule="exact"/>
        <w:rPr>
          <w:sz w:val="24"/>
          <w:szCs w:val="24"/>
          <w:highlight w:val="none"/>
        </w:rPr>
      </w:pPr>
      <w:r>
        <w:rPr>
          <w:rFonts w:hint="eastAsia"/>
          <w:sz w:val="24"/>
          <w:szCs w:val="24"/>
          <w:highlight w:val="none"/>
        </w:rPr>
        <w:t xml:space="preserve">（1）价格分（</w:t>
      </w:r>
      <w:r>
        <w:rPr>
          <w:rFonts w:hint="eastAsia"/>
          <w:sz w:val="24"/>
          <w:szCs w:val="24"/>
          <w:highlight w:val="none"/>
          <w:lang w:val="en-US" w:eastAsia="zh-CN"/>
        </w:rPr>
        <w:t xml:space="preserve">1</w:t>
      </w:r>
      <w:r>
        <w:rPr>
          <w:rFonts w:hint="eastAsia"/>
          <w:sz w:val="24"/>
          <w:szCs w:val="24"/>
          <w:highlight w:val="none"/>
        </w:rPr>
        <w:t xml:space="preserve">0分）</w:t>
      </w:r>
      <w:r/>
    </w:p>
    <w:p>
      <w:pPr>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w:t>
      </w:r>
      <w:r>
        <w:rPr>
          <w:rFonts w:hint="eastAsia"/>
          <w:sz w:val="24"/>
          <w:szCs w:val="24"/>
          <w:highlight w:val="none"/>
          <w:lang w:val="en-US" w:eastAsia="zh-CN"/>
        </w:rPr>
        <w:t xml:space="preserve">1</w:t>
      </w:r>
      <w:r>
        <w:rPr>
          <w:rFonts w:hint="eastAsia"/>
          <w:sz w:val="24"/>
          <w:szCs w:val="24"/>
          <w:highlight w:val="none"/>
        </w:rPr>
        <w:t xml:space="preserve">0分</w:t>
      </w:r>
      <w:r/>
    </w:p>
    <w:p>
      <w:pPr>
        <w:ind w:firstLine="480"/>
        <w:jc w:val="left"/>
        <w:spacing w:line="500" w:lineRule="exact"/>
        <w:rPr>
          <w:rFonts w:hint="eastAsia"/>
          <w:sz w:val="24"/>
          <w:szCs w:val="24"/>
          <w:highlight w:val="none"/>
        </w:rPr>
      </w:pPr>
      <w:r>
        <w:rPr>
          <w:rFonts w:hint="eastAsia"/>
          <w:sz w:val="24"/>
          <w:szCs w:val="24"/>
          <w:highlight w:val="none"/>
        </w:rPr>
        <w:t xml:space="preserve">因落实政府采购政策进行价格调整的，以调整后的价格计算评标基准价和投标报价，小数点后保留两位。</w:t>
      </w:r>
      <w:r/>
    </w:p>
    <w:p>
      <w:pPr>
        <w:numPr>
          <w:ilvl w:val="0"/>
          <w:numId w:val="2"/>
        </w:numPr>
        <w:ind w:firstLine="480"/>
        <w:jc w:val="left"/>
        <w:spacing w:line="500" w:lineRule="exact"/>
        <w:rPr>
          <w:rFonts w:hint="eastAsia"/>
          <w:sz w:val="24"/>
          <w:szCs w:val="24"/>
          <w:highlight w:val="none"/>
        </w:rPr>
      </w:pPr>
      <w:r>
        <w:rPr>
          <w:rFonts w:hint="eastAsia"/>
          <w:sz w:val="24"/>
          <w:szCs w:val="24"/>
          <w:highlight w:val="none"/>
        </w:rPr>
        <w:t xml:space="preserve">技术分（</w:t>
      </w:r>
      <w:r>
        <w:rPr>
          <w:rFonts w:hint="eastAsia"/>
          <w:sz w:val="24"/>
          <w:szCs w:val="24"/>
          <w:highlight w:val="none"/>
          <w:lang w:val="en-US" w:eastAsia="zh-CN"/>
        </w:rPr>
        <w:t xml:space="preserve">60</w:t>
      </w:r>
      <w:r>
        <w:rPr>
          <w:rFonts w:hint="eastAsia"/>
          <w:sz w:val="24"/>
          <w:szCs w:val="24"/>
          <w:highlight w:val="none"/>
        </w:rPr>
        <w:t xml:space="preserve">分）</w:t>
      </w:r>
      <w:r/>
    </w:p>
    <w:tbl>
      <w:tblPr>
        <w:tblStyle w:val="64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7"/>
        <w:gridCol w:w="6833"/>
      </w:tblGrid>
      <w:tr>
        <w:trPr>
          <w:jc w:val="center"/>
          <w:trHeight w:val="621"/>
        </w:trPr>
        <w:tc>
          <w:tcPr>
            <w:tcW w:w="990" w:type="pct"/>
            <w:vAlign w:val="bottom"/>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评审因素</w:t>
            </w:r>
            <w:r/>
          </w:p>
        </w:tc>
        <w:tc>
          <w:tcPr>
            <w:tcW w:w="4009" w:type="pct"/>
            <w:vAlign w:val="bottom"/>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评审标准</w:t>
            </w:r>
            <w:r/>
          </w:p>
        </w:tc>
      </w:tr>
      <w:tr>
        <w:trPr>
          <w:jc w:val="center"/>
          <w:trHeight w:val="621"/>
        </w:trPr>
        <w:tc>
          <w:tcPr>
            <w:tcW w:w="990" w:type="pct"/>
            <w:vAlign w:val="center"/>
            <w:textDirection w:val="lrTb"/>
            <w:noWrap w:val="false"/>
          </w:tcPr>
          <w:p>
            <w:pPr>
              <w:jc w:val="center"/>
              <w:spacing w:line="360" w:lineRule="auto"/>
              <w:rPr>
                <w:rStyle w:val="660"/>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技术响应</w:t>
            </w:r>
            <w:r/>
          </w:p>
          <w:p>
            <w:pPr>
              <w:jc w:val="center"/>
              <w:spacing w:line="360" w:lineRule="auto"/>
              <w:rPr>
                <w:rFonts w:hint="eastAsia" w:asciiTheme="majorEastAsia" w:hAnsiTheme="majorEastAsia" w:eastAsiaTheme="majorEastAsia" w:cstheme="majorEastAsia"/>
                <w:sz w:val="21"/>
                <w:szCs w:val="21"/>
                <w:highlight w:val="none"/>
              </w:rPr>
            </w:pPr>
            <w:r>
              <w:rPr>
                <w:rStyle w:val="660"/>
                <w:rFonts w:hint="eastAsia" w:asciiTheme="majorEastAsia" w:hAnsiTheme="majorEastAsia" w:eastAsiaTheme="majorEastAsia" w:cstheme="majorEastAsia"/>
                <w:sz w:val="21"/>
                <w:szCs w:val="21"/>
                <w:highlight w:val="none"/>
              </w:rPr>
              <w:t xml:space="preserve">（</w:t>
            </w:r>
            <w:r>
              <w:rPr>
                <w:rStyle w:val="660"/>
                <w:rFonts w:hint="eastAsia" w:asciiTheme="majorEastAsia" w:hAnsiTheme="majorEastAsia" w:eastAsiaTheme="majorEastAsia" w:cstheme="majorEastAsia"/>
                <w:sz w:val="21"/>
                <w:szCs w:val="21"/>
                <w:highlight w:val="none"/>
                <w:lang w:val="en-US" w:eastAsia="zh-CN"/>
              </w:rPr>
              <w:t xml:space="preserve">10</w:t>
            </w:r>
            <w:r>
              <w:rPr>
                <w:rStyle w:val="660"/>
                <w:rFonts w:hint="eastAsia" w:asciiTheme="majorEastAsia" w:hAnsiTheme="majorEastAsia" w:eastAsiaTheme="majorEastAsia" w:cstheme="majorEastAsia"/>
                <w:sz w:val="21"/>
                <w:szCs w:val="21"/>
                <w:highlight w:val="none"/>
              </w:rPr>
              <w:t xml:space="preserve">分）</w:t>
            </w:r>
            <w:r/>
          </w:p>
        </w:tc>
        <w:tc>
          <w:tcPr>
            <w:tcW w:w="4009" w:type="pct"/>
            <w:vAlign w:val="center"/>
            <w:textDirection w:val="lrTb"/>
            <w:noWrap w:val="false"/>
          </w:tcPr>
          <w:p>
            <w:pPr>
              <w:jc w:val="left"/>
              <w:spacing w:line="360" w:lineRule="auto"/>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设备技术参数全部满足招标文件要求的得 </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10</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分；标有▲的参数每有一项负偏离扣</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分，其他负偏离每一项扣0.5分，扣完为止。本项最高得</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10</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分，最低得0分</w:t>
            </w:r>
            <w:r/>
          </w:p>
          <w:p>
            <w:pPr>
              <w:jc w:val="left"/>
              <w:spacing w:line="360" w:lineRule="auto"/>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注：要求提供证明材料的参数，未提供证明材料或所提供材料与招标文件要求不一致的视为负偏离。指标优于招标文件要求的为正偏离，不扣分；如内容表述不完全一致但功能等效，投标人可提交等效说明佐证材料，由评标委员会综合评判。</w:t>
            </w:r>
            <w:r/>
          </w:p>
        </w:tc>
      </w:tr>
      <w:tr>
        <w:trPr>
          <w:jc w:val="center"/>
          <w:trHeight w:val="621"/>
        </w:trPr>
        <w:tc>
          <w:tcPr>
            <w:tcW w:w="168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技术方案</w:t>
            </w:r>
            <w:r/>
          </w:p>
          <w:p>
            <w:pPr>
              <w:jc w:val="center"/>
              <w:spacing w:line="360" w:lineRule="auto"/>
              <w:rPr>
                <w:rFonts w:hint="eastAsia" w:ascii="宋体" w:hAnsi="宋体" w:eastAsia="宋体"/>
                <w:sz w:val="21"/>
                <w:szCs w:val="21"/>
                <w:highlight w:val="none"/>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W w:w="6833" w:type="dxa"/>
            <w:vAlign w:val="center"/>
            <w:textDirection w:val="lrTb"/>
            <w:noWrap w:val="false"/>
          </w:tcPr>
          <w:p>
            <w:pPr>
              <w:pStyle w:val="670"/>
              <w:keepLines w:val="0"/>
              <w:keepNext w:val="0"/>
              <w:pageBreakBefore w:val="0"/>
              <w:spacing w:line="360" w:lineRule="auto"/>
              <w:rPr>
                <w:rFonts w:hint="eastAsia" w:ascii="宋体" w:hAnsi="宋体" w:cs="宋体"/>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投标方须深入理解本项目</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的</w:t>
            </w:r>
            <w:r>
              <w:rPr>
                <w:rFonts w:hint="eastAsia" w:ascii="宋体" w:hAnsi="宋体" w:cs="宋体"/>
                <w:color w:val="000000" w:themeColor="text1"/>
                <w:sz w:val="21"/>
                <w:szCs w:val="21"/>
                <w:highlight w:val="none"/>
                <w:lang w:bidi="ar"/>
                <w14:textFill>
                  <w14:solidFill>
                    <w14:schemeClr w14:val="tx1"/>
                  </w14:solidFill>
                </w14:textFill>
              </w:rPr>
              <w:t xml:space="preserve">核心建设背景与实际需求，提出切实可行的整体技术方案。方案应涵盖但不限于：</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项目</w:t>
            </w:r>
            <w:r>
              <w:rPr>
                <w:rFonts w:hint="eastAsia" w:ascii="宋体" w:hAnsi="宋体" w:cs="宋体"/>
                <w:color w:val="000000" w:themeColor="text1"/>
                <w:sz w:val="21"/>
                <w:szCs w:val="21"/>
                <w:highlight w:val="none"/>
                <w:lang w:bidi="ar"/>
                <w14:textFill>
                  <w14:solidFill>
                    <w14:schemeClr w14:val="tx1"/>
                  </w14:solidFill>
                </w14:textFill>
              </w:rPr>
              <w:t xml:space="preserve">总体架构设计、多模态大模型研判中枢技术方案、空地联动与无人机自主巡防方案、项目实施计划、组织管理制度、人员职责分工、质量控制措施及技术保障体系等核心内容。</w:t>
            </w:r>
            <w:r/>
          </w:p>
          <w:p>
            <w:pPr>
              <w:pStyle w:val="670"/>
              <w:keepLines w:val="0"/>
              <w:keepNext w:val="0"/>
              <w:pageBreakBefore w:val="0"/>
              <w:spacing w:line="360" w:lineRule="auto"/>
              <w:rPr>
                <w:rFonts w:hint="eastAsia" w:ascii="宋体" w:hAnsi="宋体" w:cs="宋体"/>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1.技术方案架构清晰、层次分明，</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整体</w:t>
            </w:r>
            <w:r>
              <w:rPr>
                <w:rFonts w:hint="eastAsia" w:ascii="宋体" w:hAnsi="宋体" w:cs="宋体"/>
                <w:color w:val="000000" w:themeColor="text1"/>
                <w:sz w:val="21"/>
                <w:szCs w:val="21"/>
                <w:highlight w:val="none"/>
                <w:lang w:bidi="ar"/>
                <w14:textFill>
                  <w14:solidFill>
                    <w14:schemeClr w14:val="tx1"/>
                  </w14:solidFill>
                </w14:textFill>
              </w:rPr>
              <w:t xml:space="preserve">设计逻辑完整、各模块描述具体详尽，多模态大模型、无人机联动等核心子系统解决方案针对性强、科学合理，得10分；</w:t>
            </w:r>
            <w:r/>
          </w:p>
          <w:p>
            <w:pPr>
              <w:pStyle w:val="670"/>
              <w:keepLines w:val="0"/>
              <w:keepNext w:val="0"/>
              <w:pageBreakBefore w:val="0"/>
              <w:spacing w:line="360" w:lineRule="auto"/>
              <w:rPr>
                <w:rFonts w:hint="eastAsia" w:ascii="宋体" w:hAnsi="宋体" w:cs="宋体"/>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2. 方案内容基本完整，相关设计有所体现，但深度或针对性有所欠缺，得</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8</w:t>
            </w:r>
            <w:r>
              <w:rPr>
                <w:rFonts w:hint="eastAsia" w:ascii="宋体" w:hAnsi="宋体" w:cs="宋体"/>
                <w:color w:val="000000" w:themeColor="text1"/>
                <w:sz w:val="21"/>
                <w:szCs w:val="21"/>
                <w:highlight w:val="none"/>
                <w:lang w:bidi="ar"/>
                <w14:textFill>
                  <w14:solidFill>
                    <w14:schemeClr w14:val="tx1"/>
                  </w14:solidFill>
                </w14:textFill>
              </w:rPr>
              <w:t xml:space="preserve">分；</w:t>
            </w:r>
            <w:r/>
          </w:p>
          <w:p>
            <w:pPr>
              <w:pStyle w:val="670"/>
              <w:keepLines w:val="0"/>
              <w:keepNext w:val="0"/>
              <w:pageBreakBefore w:val="0"/>
              <w:spacing w:line="360" w:lineRule="auto"/>
              <w:rPr>
                <w:rFonts w:hint="eastAsia" w:ascii="宋体" w:hAnsi="宋体" w:cs="宋体"/>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3. 方案内容较为笼统，内容缺失或描述过于简单，可操作性不足，得</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6</w:t>
            </w:r>
            <w:r>
              <w:rPr>
                <w:rFonts w:hint="eastAsia" w:ascii="宋体" w:hAnsi="宋体" w:cs="宋体"/>
                <w:color w:val="000000" w:themeColor="text1"/>
                <w:sz w:val="21"/>
                <w:szCs w:val="21"/>
                <w:highlight w:val="none"/>
                <w:lang w:bidi="ar"/>
                <w14:textFill>
                  <w14:solidFill>
                    <w14:schemeClr w14:val="tx1"/>
                  </w14:solidFill>
                </w14:textFill>
              </w:rPr>
              <w:t xml:space="preserve">分；</w:t>
            </w:r>
            <w:r/>
          </w:p>
          <w:p>
            <w:pPr>
              <w:pStyle w:val="670"/>
              <w:keepLines w:val="0"/>
              <w:keepNext w:val="0"/>
              <w:pageBreakBefore w:val="0"/>
              <w:spacing w:line="360" w:lineRule="auto"/>
              <w:rPr>
                <w:rFonts w:hint="eastAsia" w:ascii="宋体" w:hAnsi="宋体" w:cs="宋体"/>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未提供相关内容，不得分。</w:t>
            </w:r>
            <w:r/>
          </w:p>
        </w:tc>
      </w:tr>
      <w:tr>
        <w:trPr>
          <w:jc w:val="center"/>
          <w:trHeight w:val="621"/>
        </w:trPr>
        <w:tc>
          <w:tcPr>
            <w:tcW w:w="990" w:type="pct"/>
            <w:vAlign w:val="center"/>
            <w:textDirection w:val="lrTb"/>
            <w:noWrap w:val="false"/>
          </w:tcPr>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点位设计</w:t>
            </w:r>
            <w:r/>
          </w:p>
          <w:p>
            <w:pPr>
              <w:pStyle w:val="670"/>
              <w:jc w:val="center"/>
              <w:rPr>
                <w:rFonts w:hint="default"/>
                <w:sz w:val="21"/>
                <w:szCs w:val="21"/>
                <w:highlight w:val="none"/>
                <w:lang w:val="en-US" w:eastAsia="zh-CN"/>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（10）</w:t>
            </w:r>
            <w:r/>
          </w:p>
        </w:tc>
        <w:tc>
          <w:tcPr>
            <w:tcW w:w="4009" w:type="pct"/>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方须结合项目实地情况，提供详细的现场勘察设计方案，内容涵盖但不限于进山道路AI监测点位布设、无人机库选址分布、各点位经纬度坐标、无人机巡防区域覆盖规划、取电方式设计及数据专线组网方案等。</w:t>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1、方案设计全面系统，点位布设完整合理，坐标信息精确，巡防覆盖区域无明显盲区，取电方案切实可行，数据专线设计符合技术规范要求，完整满足招标文件技术标准，得 10分；</w:t>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2、方案设计基本完整，各项内容较为完善，坐标信息较为准确，覆盖范围、取电及专线方案基本合理，总体满足招标文件技术标准要求，得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3、方案设计较为简单，存在点位缺失、坐标信息不完整、覆盖区域不合理或取电、专线方案明显欠缺等问题，仅部分满足招标文件技术标准要求，得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未提供相关内容，不得分。</w:t>
            </w:r>
            <w:r/>
          </w:p>
        </w:tc>
      </w:tr>
      <w:tr>
        <w:trPr>
          <w:jc w:val="center"/>
          <w:trHeight w:val="621"/>
        </w:trPr>
        <w:tc>
          <w:tcPr>
            <w:tcW w:w="1687" w:type="dxa"/>
            <w:vAlign w:val="center"/>
            <w:textDirection w:val="lrTb"/>
            <w:noWrap w:val="false"/>
          </w:tcPr>
          <w:p>
            <w:pPr>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安装及调试</w:t>
            </w:r>
            <w:r>
              <w:rPr>
                <w:rFonts w:hint="eastAsia" w:ascii="宋体" w:hAnsi="宋体" w:eastAsia="宋体"/>
                <w:sz w:val="21"/>
                <w:szCs w:val="21"/>
                <w:highlight w:val="none"/>
              </w:rPr>
              <w:t xml:space="preserve">方案</w:t>
            </w:r>
            <w:r/>
          </w:p>
          <w:p>
            <w:pPr>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10</w:t>
            </w:r>
            <w:r>
              <w:rPr>
                <w:rFonts w:hint="eastAsia" w:ascii="宋体" w:hAnsi="宋体" w:eastAsia="宋体"/>
                <w:sz w:val="21"/>
                <w:szCs w:val="21"/>
                <w:highlight w:val="none"/>
              </w:rPr>
              <w:t xml:space="preserve">分）</w:t>
            </w:r>
            <w:r/>
          </w:p>
        </w:tc>
        <w:tc>
          <w:tcPr>
            <w:tcW w:w="6833" w:type="dxa"/>
            <w:vAlign w:val="center"/>
            <w:textDirection w:val="lrTb"/>
            <w:noWrap w:val="false"/>
          </w:tcPr>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投标方须提交完整、详细且具备实际可操作性的安装调试实施方案，内容涵盖但不限于：前端监控设备安装调试方案、无人机库安装调试方案、软件系统部署调试方案、安装施工进度计划及保障措施、安全文明施工管理要求等。</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default" w:ascii="宋体" w:hAnsi="宋体" w:eastAsia="宋体" w:cs="宋体"/>
                <w:color w:val="000000" w:themeColor="text1"/>
                <w:sz w:val="21"/>
                <w:szCs w:val="21"/>
                <w:highlight w:val="none"/>
                <w14:textFill>
                  <w14:solidFill>
                    <w14:schemeClr w14:val="tx1"/>
                  </w14:solidFill>
                </w14:textFill>
              </w:rPr>
              <w:t xml:space="preserve">方案思路清晰、内容完整，前端监控设备、无人机库、软件系统等各专项安装调试方案详细具体，施工组织合理，进度安排科学，安全措施到位，整体方案切实可行，完整满足招标文件技术标准要求，得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default" w:ascii="宋体" w:hAnsi="宋体" w:eastAsia="宋体" w:cs="宋体"/>
                <w:color w:val="000000" w:themeColor="text1"/>
                <w:sz w:val="21"/>
                <w:szCs w:val="21"/>
                <w:highlight w:val="none"/>
                <w14:textFill>
                  <w14:solidFill>
                    <w14:schemeClr w14:val="tx1"/>
                  </w14:solidFill>
                </w14:textFill>
              </w:rPr>
              <w:t xml:space="preserve">分；</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default" w:ascii="宋体" w:hAnsi="宋体" w:eastAsia="宋体" w:cs="宋体"/>
                <w:color w:val="000000" w:themeColor="text1"/>
                <w:sz w:val="21"/>
                <w:szCs w:val="21"/>
                <w:highlight w:val="none"/>
                <w14:textFill>
                  <w14:solidFill>
                    <w14:schemeClr w14:val="tx1"/>
                  </w14:solidFill>
                </w14:textFill>
              </w:rPr>
              <w:t xml:space="preserve">方案内容基本完整，各专项方案有所阐述，施工组织较为合理，进度安排基本科学，安全措施有所体现，整体具备一定可行性，但在深度或细节上有所欠缺，总体满足招标文件技术标准要求，得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default" w:ascii="宋体" w:hAnsi="宋体" w:eastAsia="宋体" w:cs="宋体"/>
                <w:color w:val="000000" w:themeColor="text1"/>
                <w:sz w:val="21"/>
                <w:szCs w:val="21"/>
                <w:highlight w:val="none"/>
                <w14:textFill>
                  <w14:solidFill>
                    <w14:schemeClr w14:val="tx1"/>
                  </w14:solidFill>
                </w14:textFill>
              </w:rPr>
              <w:t xml:space="preserve">分；</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default" w:ascii="宋体" w:hAnsi="宋体" w:eastAsia="宋体" w:cs="宋体"/>
                <w:color w:val="000000" w:themeColor="text1"/>
                <w:sz w:val="21"/>
                <w:szCs w:val="21"/>
                <w:highlight w:val="none"/>
                <w14:textFill>
                  <w14:solidFill>
                    <w14:schemeClr w14:val="tx1"/>
                  </w14:solidFill>
                </w14:textFill>
              </w:rPr>
              <w:t xml:space="preserve">方案内容较为简单，部分专项内容缺失或描述过于笼统，施工组织、进度安排、验收标准或安全措施存在明显欠缺，可行性一般，难以有效指导实施，仅部分满足招标文件技术标准要求，得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default" w:ascii="宋体" w:hAnsi="宋体" w:eastAsia="宋体" w:cs="宋体"/>
                <w:color w:val="000000" w:themeColor="text1"/>
                <w:sz w:val="21"/>
                <w:szCs w:val="21"/>
                <w:highlight w:val="none"/>
                <w14:textFill>
                  <w14:solidFill>
                    <w14:schemeClr w14:val="tx1"/>
                  </w14:solidFill>
                </w14:textFill>
              </w:rPr>
              <w:t xml:space="preserve">分；未提供相关内容，不得分</w:t>
            </w:r>
            <w:r/>
          </w:p>
        </w:tc>
      </w:tr>
      <w:tr>
        <w:trPr>
          <w:jc w:val="center"/>
          <w:trHeight w:val="401"/>
        </w:trPr>
        <w:tc>
          <w:tcPr>
            <w:tcW w:w="1687" w:type="dxa"/>
            <w:vAlign w:val="center"/>
            <w:textDirection w:val="lrTb"/>
            <w:noWrap w:val="false"/>
          </w:tcPr>
          <w:p>
            <w:pPr>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售后服务方案</w:t>
            </w:r>
            <w:r/>
          </w:p>
          <w:p>
            <w:pPr>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5</w:t>
            </w:r>
            <w:r>
              <w:rPr>
                <w:rFonts w:hint="eastAsia" w:ascii="宋体" w:hAnsi="宋体" w:eastAsia="宋体"/>
                <w:sz w:val="21"/>
                <w:szCs w:val="21"/>
                <w:highlight w:val="none"/>
              </w:rPr>
              <w:t xml:space="preserve">分）</w:t>
            </w:r>
            <w:r/>
          </w:p>
        </w:tc>
        <w:tc>
          <w:tcPr>
            <w:tcW w:w="6833" w:type="dxa"/>
            <w:vAlign w:val="center"/>
            <w:textDirection w:val="lrTb"/>
            <w:noWrap w:val="false"/>
          </w:tcPr>
          <w:p>
            <w:pPr>
              <w:numPr>
                <w:ilvl w:val="0"/>
                <w:numId w:val="0"/>
              </w:num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投标人提供售后服务及维保方案，方案包括但不限于售后服务内容、售后服务响应时间及方式、质保内容、质保期满后维保方案等内容。</w:t>
            </w:r>
            <w:r/>
          </w:p>
          <w:p>
            <w:pPr>
              <w:numPr>
                <w:ilvl w:val="0"/>
                <w:numId w:val="0"/>
              </w:num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方案内容详实完整，售后服务内容明确具体，响应时间及方式清晰可行，质保内容全面，质保期满后维保方案合理可行，整体方案叙述清楚且切实可行，得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numPr>
                <w:ilvl w:val="0"/>
                <w:numId w:val="0"/>
              </w:num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方案内容基本完整，售后服务内容、响应时间及方式、质保内容、质保期满后维保方案均有所阐述，整体方案基本可行、基本清楚，但在深度或细节上有所欠缺，得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numPr>
                <w:ilvl w:val="0"/>
                <w:numId w:val="0"/>
              </w:numPr>
              <w:ind w:left="0" w:firstLine="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 方案内容较为简单，部分内容缺失或描述过于笼统，响应时间、质保范围或维保方案不够明确，整体方案可行性不足或叙述不够清楚，得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i w:val="0"/>
                <w:iCs w:val="0"/>
                <w:color w:val="000000"/>
                <w:sz w:val="22"/>
                <w:szCs w:val="22"/>
                <w:highlight w:val="none"/>
                <w:u w:val="none"/>
                <w:lang w:val="en-US" w:eastAsia="zh-CN" w:bidi="ar"/>
              </w:rPr>
              <w:t xml:space="preserve">未见阐述不得分。</w:t>
            </w:r>
            <w:r/>
          </w:p>
        </w:tc>
      </w:tr>
      <w:tr>
        <w:trPr>
          <w:jc w:val="center"/>
          <w:trHeight w:val="446"/>
        </w:trPr>
        <w:tc>
          <w:tcPr>
            <w:tcW w:w="1687" w:type="dxa"/>
            <w:vAlign w:val="center"/>
            <w:textDirection w:val="lrTb"/>
            <w:noWrap w:val="false"/>
          </w:tcPr>
          <w:p>
            <w:pPr>
              <w:pStyle w:val="670"/>
              <w:jc w:val="center"/>
              <w:rPr>
                <w:rFonts w:hint="eastAsia" w:ascii="宋体" w:hAnsi="宋体"/>
                <w:sz w:val="21"/>
                <w:szCs w:val="21"/>
                <w:highlight w:val="none"/>
                <w:lang w:val="en-US" w:eastAsia="zh-CN"/>
              </w:rPr>
            </w:pPr>
            <w:r>
              <w:rPr>
                <w:rFonts w:hint="eastAsia" w:ascii="宋体" w:hAnsi="宋体" w:eastAsia="宋体" w:cs="宋体"/>
                <w:i w:val="0"/>
                <w:iCs w:val="0"/>
                <w:color w:val="000000"/>
                <w:sz w:val="22"/>
                <w:szCs w:val="22"/>
                <w:highlight w:val="none"/>
                <w:u w:val="none"/>
                <w:lang w:val="en-US" w:eastAsia="zh-CN" w:bidi="ar"/>
              </w:rPr>
              <w:t xml:space="preserve">培训方案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（5分）</w:t>
            </w:r>
            <w:r/>
          </w:p>
        </w:tc>
        <w:tc>
          <w:tcPr>
            <w:tcW w:w="6833" w:type="dxa"/>
            <w:vAlign w:val="center"/>
            <w:textDirection w:val="lrTb"/>
            <w:noWrap w:val="false"/>
          </w:tcPr>
          <w:p>
            <w:pPr>
              <w:jc w:val="left"/>
              <w:spacing w:line="360" w:lineRule="auto"/>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根据投标人提供的培训方案进行评分，内容包括但不限于培训计划、培训内容、培训对象等。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1、培训方案内容丰富完整，培训计划科学合理，培训内容详实具体，培训对象划分清晰，培训形式多样，整体方案科学合理且具有可操作性，得 5分；</w:t>
            </w:r>
            <w:r/>
          </w:p>
          <w:p>
            <w:pPr>
              <w:jc w:val="left"/>
              <w:spacing w:line="360" w:lineRule="auto"/>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2、培训方案内容较为完整，培训计划较为合理，培训内容有所阐述，培训对象基本明确，培训形式有所体现，整体方案较为合理且可操作性较强，但在深度或细节上有所欠缺，得 4分；</w:t>
            </w:r>
            <w:r/>
          </w:p>
          <w:p>
            <w:pPr>
              <w:jc w:val="left"/>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sz w:val="22"/>
                <w:szCs w:val="22"/>
                <w:highlight w:val="none"/>
                <w:u w:val="none"/>
                <w:lang w:val="en-US" w:eastAsia="zh-CN" w:bidi="ar"/>
              </w:rPr>
              <w:t xml:space="preserve">3、培训方案内容较为简单，培训计划不够具体，培训内容描述笼统，培训对象划分不清晰，培训形式单一，整体方案合理性一般、可操作性不足，得3分；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未见阐述不得分。</w:t>
            </w:r>
            <w:r/>
          </w:p>
        </w:tc>
      </w:tr>
      <w:tr>
        <w:trPr>
          <w:jc w:val="center"/>
          <w:trHeight w:val="446"/>
        </w:trPr>
        <w:tc>
          <w:tcPr>
            <w:tcW w:w="1687" w:type="dxa"/>
            <w:vAlign w:val="center"/>
            <w:textDirection w:val="lrTb"/>
            <w:noWrap w:val="false"/>
          </w:tcPr>
          <w:p>
            <w:pPr>
              <w:jc w:val="center"/>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与防火平台</w:t>
            </w:r>
            <w:r/>
          </w:p>
          <w:p>
            <w:pPr>
              <w:jc w:val="center"/>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对接方案</w:t>
            </w:r>
            <w:r/>
          </w:p>
          <w:p>
            <w:pPr>
              <w:pStyle w:val="670"/>
              <w:jc w:val="center"/>
              <w:rPr>
                <w:rFonts w:hint="default"/>
                <w:sz w:val="21"/>
                <w:szCs w:val="21"/>
                <w:highlight w:val="none"/>
                <w:lang w:val="en-US" w:eastAsia="zh-CN"/>
              </w:rPr>
            </w:pPr>
            <w:r>
              <w:rPr>
                <w:rFonts w:hint="eastAsia" w:ascii="宋体" w:hAnsi="宋体"/>
                <w:sz w:val="21"/>
                <w:szCs w:val="21"/>
                <w:highlight w:val="none"/>
                <w:lang w:val="en-US" w:eastAsia="zh-CN"/>
              </w:rPr>
              <w:t xml:space="preserve">（10分）</w:t>
            </w:r>
            <w:r/>
          </w:p>
        </w:tc>
        <w:tc>
          <w:tcPr>
            <w:tcW w:w="6833"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投标方须根据采购需求，提供与连云区森林防火监测预警平台的完整对接方案，内容涵盖但不限于接口对接逻辑设计、数据交互方式及字段规范设计等。</w:t>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方案内容全面系统，接口对接逻辑清晰合理，数据交互方式科学规范，字段设计完整准确，完整满足平台对接技术要求，得 10分；</w:t>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方案内容较为完整，接口对接逻辑基本合理，数据交互方式较为科学，字段设计基本满足要求，整体方案有所阐述，但在深度或细节上有所欠缺，总体满足平台对接技术要求，得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方案内容不够全面，接口对接逻辑存在明显缺陷或描述过于简单，数据交互方式欠妥或缺乏关键设计，字段设计不够合理或内容缺失，仅部分满足平台对接技术要求，得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未提供相关内容，不得分。</w:t>
            </w:r>
            <w:r/>
          </w:p>
        </w:tc>
      </w:tr>
    </w:tbl>
    <w:p>
      <w:pPr>
        <w:numPr>
          <w:ilvl w:val="0"/>
          <w:numId w:val="0"/>
        </w:numPr>
        <w:jc w:val="left"/>
        <w:spacing w:line="500" w:lineRule="exact"/>
        <w:rPr>
          <w:rFonts w:hint="eastAsia"/>
          <w:sz w:val="24"/>
          <w:szCs w:val="24"/>
          <w:highlight w:val="none"/>
        </w:rPr>
      </w:pPr>
      <w:r>
        <w:rPr>
          <w:rFonts w:hint="eastAsia"/>
          <w:sz w:val="24"/>
          <w:szCs w:val="24"/>
          <w:highlight w:val="none"/>
        </w:rPr>
      </w:r>
      <w:r/>
    </w:p>
    <w:p>
      <w:pPr>
        <w:ind w:firstLine="480"/>
        <w:jc w:val="left"/>
        <w:spacing w:line="500" w:lineRule="exact"/>
        <w:rPr>
          <w:sz w:val="24"/>
          <w:szCs w:val="24"/>
          <w:highlight w:val="none"/>
        </w:rPr>
      </w:pPr>
      <w:r>
        <w:rPr>
          <w:rFonts w:hint="eastAsia"/>
          <w:sz w:val="24"/>
          <w:szCs w:val="24"/>
          <w:highlight w:val="none"/>
        </w:rPr>
        <w:t xml:space="preserve">（3）商务分（</w:t>
      </w:r>
      <w:r>
        <w:rPr>
          <w:rFonts w:hint="eastAsia"/>
          <w:sz w:val="24"/>
          <w:szCs w:val="24"/>
          <w:highlight w:val="none"/>
          <w:lang w:val="en-US" w:eastAsia="zh-CN"/>
        </w:rPr>
        <w:t xml:space="preserve">30</w:t>
      </w:r>
      <w:r>
        <w:rPr>
          <w:rFonts w:hint="eastAsia"/>
          <w:sz w:val="24"/>
          <w:szCs w:val="24"/>
          <w:highlight w:val="none"/>
        </w:rPr>
        <w:t xml:space="preserve">分）</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8"/>
        <w:gridCol w:w="6777"/>
      </w:tblGrid>
      <w:tr>
        <w:trPr>
          <w:jc w:val="center"/>
          <w:trHeight w:val="621"/>
        </w:trPr>
        <w:tc>
          <w:tcPr>
            <w:tcW w:w="172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评审因素</w:t>
            </w:r>
            <w:r/>
          </w:p>
        </w:tc>
        <w:tc>
          <w:tcPr>
            <w:tcW w:w="677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评审标准</w:t>
            </w:r>
            <w:r/>
          </w:p>
        </w:tc>
      </w:tr>
      <w:tr>
        <w:trPr>
          <w:jc w:val="center"/>
          <w:trHeight w:val="621"/>
        </w:trPr>
        <w:tc>
          <w:tcPr>
            <w:tcW w:w="1728" w:type="dxa"/>
            <w:vAlign w:val="center"/>
            <w:textDirection w:val="lrTb"/>
            <w:noWrap w:val="false"/>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管理体系与服务能力（15）</w:t>
            </w:r>
            <w:r/>
          </w:p>
        </w:tc>
        <w:tc>
          <w:tcPr>
            <w:tcW w:w="6777" w:type="dxa"/>
            <w:vAlign w:val="center"/>
            <w:textDirection w:val="lrTb"/>
            <w:noWrap w:val="false"/>
          </w:tcPr>
          <w:p>
            <w:pPr>
              <w:numPr>
                <w:ilvl w:val="0"/>
                <w:numId w:val="0"/>
              </w:numPr>
              <w:jc w:val="left"/>
              <w:keepLines w:val="0"/>
              <w:keepNext w:val="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1、投标人具有有效期内的质量管理体系认证得 3分。</w:t>
            </w:r>
            <w:r/>
          </w:p>
          <w:p>
            <w:pPr>
              <w:numPr>
                <w:ilvl w:val="0"/>
                <w:numId w:val="0"/>
              </w:numPr>
              <w:jc w:val="left"/>
              <w:keepLines w:val="0"/>
              <w:keepNext w:val="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2、投标人具有有效期内的职业健康安全管理体系认证得 3分。</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3、投标人具有有效期内的信息安全管理体系认证得 3分。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4、投标人具有CCRC信息安全服务资质得3分。</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5、投标人具有ITSS信息技术服务（运行维护）标准符合性证书的得3分。</w:t>
            </w:r>
            <w:r/>
          </w:p>
          <w:p>
            <w:pPr>
              <w:numPr>
                <w:ilvl w:val="0"/>
                <w:numId w:val="0"/>
              </w:numPr>
              <w:ind w:left="0" w:firstLine="0"/>
              <w:jc w:val="left"/>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注：提供证书扫描件及认证机构在线查询完整截图，必须包含完整网址，未按要求提供或者不能有效核查一律视为未提供，加盖投标人公章。</w:t>
            </w:r>
            <w:r/>
          </w:p>
        </w:tc>
      </w:tr>
      <w:tr>
        <w:trPr>
          <w:jc w:val="center"/>
          <w:trHeight w:val="621"/>
        </w:trPr>
        <w:tc>
          <w:tcPr>
            <w:tcW w:w="172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bidi="ar"/>
                <w14:textFill>
                  <w14:solidFill>
                    <w14:schemeClr w14:val="tx1"/>
                  </w14:solidFill>
                </w14:textFill>
              </w:rPr>
              <w:t xml:space="preserve">项目组成员能力</w:t>
            </w:r>
            <w:r/>
          </w:p>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color w:val="000000" w:themeColor="text1"/>
                <w:sz w:val="21"/>
                <w:szCs w:val="21"/>
                <w:highlight w:val="none"/>
                <w:lang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9</w:t>
            </w:r>
            <w:r>
              <w:rPr>
                <w:rFonts w:hint="eastAsia" w:ascii="宋体" w:hAnsi="宋体" w:eastAsia="宋体" w:cs="宋体"/>
                <w:color w:val="000000" w:themeColor="text1"/>
                <w:sz w:val="21"/>
                <w:szCs w:val="21"/>
                <w:highlight w:val="none"/>
                <w:lang w:bidi="ar"/>
                <w14:textFill>
                  <w14:solidFill>
                    <w14:schemeClr w14:val="tx1"/>
                  </w14:solidFill>
                </w14:textFill>
              </w:rPr>
              <w:t xml:space="preserve">分）</w:t>
            </w:r>
            <w:r/>
          </w:p>
        </w:tc>
        <w:tc>
          <w:tcPr>
            <w:tcW w:w="6777" w:type="dxa"/>
            <w:vAlign w:val="center"/>
            <w:textDirection w:val="lrTb"/>
            <w:noWrap w:val="false"/>
          </w:tcPr>
          <w:p>
            <w:pPr>
              <w:numPr>
                <w:ilvl w:val="0"/>
                <w:numId w:val="3"/>
              </w:numPr>
              <w:jc w:val="left"/>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项目负责人具备以下证书的，每提供一项证书得1分，最多得3分：中级(或以上)电子信息类职称证书、信息系统项目管理师、IT服务工程师(ITSS)证书、信创集成项目管理师。</w:t>
            </w:r>
            <w:r/>
          </w:p>
          <w:p>
            <w:pPr>
              <w:numPr>
                <w:ilvl w:val="0"/>
                <w:numId w:val="0"/>
              </w:numPr>
              <w:jc w:val="left"/>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2、项目组技术团队（除项目负责人）具有中级及以上网络技术工程师证书，每有1人得2分，最多得6分。同一人员具有不同证书的，不重复计算。</w:t>
            </w:r>
            <w:r/>
          </w:p>
          <w:p>
            <w:pPr>
              <w:numPr>
                <w:ilvl w:val="0"/>
                <w:numId w:val="0"/>
              </w:numPr>
              <w:ind w:left="0" w:firstLine="0"/>
              <w:jc w:val="left"/>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sz w:val="21"/>
                <w:szCs w:val="21"/>
                <w:highlight w:val="none"/>
              </w:rPr>
              <w:t xml:space="preserve">注：提供有效相关证书扫描件加盖单位公章，并提供单位为其缴纳的近6个月内至少1个月的社保缴纳证明材料，否则不得分。</w:t>
            </w:r>
            <w:r/>
          </w:p>
        </w:tc>
      </w:tr>
      <w:tr>
        <w:trPr>
          <w:jc w:val="center"/>
          <w:trHeight w:val="621"/>
        </w:trPr>
        <w:tc>
          <w:tcPr>
            <w:tcW w:w="1728" w:type="dxa"/>
            <w:vAlign w:val="center"/>
            <w:textDirection w:val="lrTb"/>
            <w:noWrap w:val="false"/>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业绩案例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（6分）</w:t>
            </w:r>
            <w:r/>
          </w:p>
        </w:tc>
        <w:tc>
          <w:tcPr>
            <w:tcW w:w="6777" w:type="dxa"/>
            <w:vAlign w:val="center"/>
            <w:textDirection w:val="lrTb"/>
            <w:noWrap w:val="false"/>
          </w:tcPr>
          <w:p>
            <w:pPr>
              <w:jc w:val="left"/>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投标人提供自2023年9月1日（以签订合同时间为准）至今具有的类似项目业绩的（相关行业、规模、技术类型），每提供一个得3分，最高得6分。</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投标文件中提供合同扫描件、验收报告等并加盖投标人公章，否则不得分。时间、服务内容以合同为准。</w:t>
            </w:r>
            <w:r/>
          </w:p>
        </w:tc>
      </w:tr>
    </w:tbl>
    <w:p>
      <w:pPr>
        <w:jc w:val="left"/>
        <w:widowControl/>
        <w:rPr>
          <w:sz w:val="24"/>
          <w:szCs w:val="24"/>
          <w:highlight w:val="none"/>
        </w:rPr>
      </w:pPr>
      <w:r>
        <w:rPr>
          <w:sz w:val="24"/>
          <w:szCs w:val="24"/>
          <w:highlight w:val="none"/>
        </w:rPr>
        <w:br w:type="page" w:clear="all"/>
      </w:r>
      <w:r/>
    </w:p>
    <w:p>
      <w:pPr>
        <w:pStyle w:val="643"/>
        <w:jc w:val="center"/>
        <w:spacing w:before="156" w:after="156" w:line="360" w:lineRule="auto"/>
        <w:rPr>
          <w:rFonts w:ascii="黑体" w:hAnsi="黑体" w:eastAsia="黑体"/>
          <w:b w:val="0"/>
          <w:highlight w:val="none"/>
        </w:rPr>
      </w:pPr>
      <w:r/>
      <w:bookmarkStart w:id="15" w:name="_Toc155796361"/>
      <w:r/>
      <w:bookmarkStart w:id="16" w:name="_Toc31121"/>
      <w:r/>
      <w:bookmarkStart w:id="17" w:name="_Toc30140"/>
      <w:r>
        <w:rPr>
          <w:rFonts w:hint="eastAsia" w:ascii="黑体" w:hAnsi="黑体" w:eastAsia="黑体"/>
          <w:b w:val="0"/>
          <w:highlight w:val="none"/>
        </w:rPr>
        <w:t xml:space="preserve">第六章  投标文件格式</w:t>
      </w:r>
      <w:bookmarkEnd w:id="15"/>
      <w:r/>
      <w:bookmarkEnd w:id="16"/>
      <w:r/>
      <w:bookmarkEnd w:id="17"/>
      <w:r/>
      <w:r/>
    </w:p>
    <w:p>
      <w:pPr>
        <w:jc w:val="left"/>
        <w:spacing w:line="500" w:lineRule="exact"/>
        <w:rPr>
          <w:sz w:val="24"/>
          <w:szCs w:val="24"/>
          <w:highlight w:val="none"/>
        </w:rPr>
      </w:pPr>
      <w:r>
        <w:rPr>
          <w:sz w:val="24"/>
          <w:szCs w:val="24"/>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ind w:firstLine="1084"/>
        <w:rPr>
          <w:rFonts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t xml:space="preserve">项 目 名 称：</w:t>
      </w:r>
      <w:r>
        <w:rPr>
          <w:rFonts w:hint="eastAsia" w:ascii="宋体" w:hAnsi="宋体" w:eastAsia="宋体" w:cs="Times New Roman"/>
          <w:b/>
          <w:color w:val="000000"/>
          <w:sz w:val="36"/>
          <w:szCs w:val="21"/>
          <w:highlight w:val="none"/>
          <w:u w:val="single"/>
        </w:rPr>
        <w:t xml:space="preserve">                   </w:t>
      </w:r>
      <w:r/>
    </w:p>
    <w:p>
      <w:pPr>
        <w:ind w:firstLine="1084"/>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项 目 编 号：</w:t>
      </w:r>
      <w:r>
        <w:rPr>
          <w:rFonts w:hint="eastAsia" w:ascii="宋体" w:hAnsi="宋体" w:eastAsia="宋体" w:cs="Times New Roman"/>
          <w:b/>
          <w:color w:val="000000"/>
          <w:sz w:val="36"/>
          <w:szCs w:val="21"/>
          <w:highlight w:val="none"/>
          <w:u w:val="single"/>
        </w:rPr>
        <w:t xml:space="preserve">                   </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投标人名称 ：</w:t>
      </w:r>
      <w:r>
        <w:rPr>
          <w:rFonts w:hint="eastAsia" w:ascii="宋体" w:hAnsi="宋体" w:eastAsia="宋体" w:cs="Times New Roman"/>
          <w:b/>
          <w:color w:val="000000"/>
          <w:sz w:val="36"/>
          <w:szCs w:val="21"/>
          <w:highlight w:val="none"/>
          <w:u w:val="single"/>
        </w:rPr>
        <w:t xml:space="preserve">（加盖CA电子公章）</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日      期 ：</w:t>
      </w:r>
      <w:r>
        <w:rPr>
          <w:rFonts w:hint="eastAsia" w:ascii="宋体" w:hAnsi="宋体" w:eastAsia="宋体" w:cs="Times New Roman"/>
          <w:b/>
          <w:color w:val="000000"/>
          <w:sz w:val="36"/>
          <w:szCs w:val="21"/>
          <w:highlight w:val="none"/>
          <w:u w:val="single"/>
        </w:rPr>
        <w:t xml:space="preserve">                   </w:t>
      </w:r>
      <w:r/>
    </w:p>
    <w:p>
      <w:pPr>
        <w:jc w:val="center"/>
        <w:spacing w:line="440" w:lineRule="exact"/>
        <w:rPr>
          <w:rFonts w:ascii="宋体" w:hAnsi="宋体" w:eastAsia="宋体" w:cs="Times New Roman"/>
          <w:b/>
          <w:bCs/>
          <w:color w:val="000000"/>
          <w:sz w:val="32"/>
          <w:szCs w:val="32"/>
          <w:highlight w:val="none"/>
        </w:rPr>
      </w:pPr>
      <w:r>
        <w:rPr>
          <w:rFonts w:ascii="宋体" w:hAnsi="宋体" w:eastAsia="宋体" w:cs="Times New Roman"/>
          <w:b/>
          <w:bCs/>
          <w:color w:val="000000"/>
          <w:sz w:val="32"/>
          <w:szCs w:val="32"/>
          <w:highlight w:val="none"/>
        </w:rPr>
      </w:r>
      <w:r/>
    </w:p>
    <w:p>
      <w:pPr>
        <w:spacing w:line="44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keepLines/>
        <w:keepNext/>
        <w:spacing w:before="360" w:after="200" w:line="360" w:lineRule="auto"/>
        <w:rPr>
          <w:rFonts w:ascii="宋体" w:hAnsi="宋体" w:eastAsia="宋体" w:cs="宋体"/>
          <w:i/>
          <w:sz w:val="36"/>
          <w:szCs w:val="36"/>
          <w:highlight w:val="none"/>
          <w:u w:val="single"/>
        </w:rPr>
        <w:outlineLvl w:val="1"/>
      </w:pPr>
      <w:r>
        <w:rPr>
          <w:rFonts w:hint="eastAsia" w:ascii="宋体" w:hAnsi="宋体" w:eastAsia="宋体" w:cs="宋体"/>
          <w:i/>
          <w:sz w:val="36"/>
          <w:szCs w:val="36"/>
          <w:highlight w:val="none"/>
          <w:u w:val="single"/>
        </w:rPr>
        <w:t xml:space="preserve">一、法人或者其他组织的营业执照等证明文件，自然人的身份证明</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sz w:val="36"/>
          <w:highlight w:val="none"/>
          <w:u w:val="single"/>
        </w:rPr>
        <w:outlineLvl w:val="1"/>
      </w:pPr>
      <w:r>
        <w:rPr>
          <w:rFonts w:hint="eastAsia" w:ascii="Arial" w:hAnsi="Arial" w:eastAsia="宋体" w:cs="Arial"/>
          <w:i/>
          <w:sz w:val="36"/>
          <w:highlight w:val="none"/>
          <w:u w:val="single"/>
        </w:rPr>
        <w:t xml:space="preserve">二、上一年度的财务状况报告</w:t>
      </w:r>
      <w:r/>
    </w:p>
    <w:p>
      <w:pPr>
        <w:ind w:firstLine="480"/>
        <w:jc w:val="left"/>
        <w:spacing w:line="500" w:lineRule="exact"/>
        <w:rPr>
          <w:sz w:val="24"/>
          <w:szCs w:val="24"/>
          <w:highlight w:val="none"/>
        </w:rPr>
      </w:pPr>
      <w:r>
        <w:rPr>
          <w:rFonts w:hint="eastAsia"/>
          <w:sz w:val="24"/>
          <w:szCs w:val="24"/>
          <w:highlight w:val="none"/>
        </w:rPr>
        <w:t xml:space="preserve">（成立不满一年无需提供）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三、依法缴纳税收和社会保障资金的相关材料</w:t>
      </w:r>
      <w:r/>
    </w:p>
    <w:p>
      <w:pPr>
        <w:ind w:firstLine="480"/>
        <w:jc w:val="left"/>
        <w:spacing w:line="500" w:lineRule="exact"/>
        <w:rPr>
          <w:sz w:val="24"/>
          <w:szCs w:val="24"/>
          <w:highlight w:val="none"/>
        </w:rPr>
      </w:pPr>
      <w:r>
        <w:rPr>
          <w:rFonts w:hint="eastAsia"/>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highlight w:val="none"/>
        </w:rPr>
      </w:pPr>
      <w:r>
        <w:rPr>
          <w:highlight w:val="none"/>
        </w:rPr>
      </w:r>
      <w:r/>
    </w:p>
    <w:p>
      <w:pPr>
        <w:rPr>
          <w:highlight w:val="none"/>
        </w:rPr>
      </w:pPr>
      <w:r>
        <w:rPr>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i/>
          <w:sz w:val="24"/>
          <w:szCs w:val="24"/>
          <w:highlight w:val="none"/>
          <w:u w:val="single"/>
        </w:rPr>
        <w:t xml:space="preserve">采购人名称</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eastAsia="宋体"/>
          <w:i/>
          <w:sz w:val="24"/>
          <w:szCs w:val="24"/>
          <w:highlight w:val="none"/>
          <w:u w:val="single"/>
          <w:lang w:eastAsia="zh-CN"/>
        </w:rPr>
        <w:t xml:space="preserve">投标人</w:t>
      </w:r>
      <w:r>
        <w:rPr>
          <w:rFonts w:hint="eastAsia" w:ascii="Calibri" w:hAnsi="Calibri" w:eastAsia="宋体" w:cs="Times New Roman"/>
          <w:i/>
          <w:sz w:val="24"/>
          <w:szCs w:val="24"/>
          <w:highlight w:val="none"/>
          <w:u w:val="single"/>
        </w:rPr>
        <w:t xml:space="preserve">名称</w:t>
      </w:r>
      <w:r>
        <w:rPr>
          <w:rFonts w:hint="eastAsia" w:ascii="Calibri" w:hAnsi="Calibri" w:eastAsia="宋体" w:cs="Times New Roman"/>
          <w:sz w:val="24"/>
          <w:szCs w:val="24"/>
          <w:highlight w:val="none"/>
        </w:rPr>
        <w:t xml:space="preserve">参加</w:t>
      </w:r>
      <w:r>
        <w:rPr>
          <w:rFonts w:hint="eastAsia" w:ascii="Calibri" w:hAnsi="Calibri" w:eastAsia="宋体" w:cs="Times New Roman"/>
          <w:i/>
          <w:sz w:val="24"/>
          <w:szCs w:val="24"/>
          <w:highlight w:val="none"/>
          <w:u w:val="single"/>
        </w:rPr>
        <w:t xml:space="preserve">项目名称</w:t>
      </w:r>
      <w:r>
        <w:rPr>
          <w:rFonts w:hint="eastAsia" w:ascii="Calibri" w:hAnsi="Calibri" w:eastAsia="宋体" w:cs="Times New Roman"/>
          <w:sz w:val="24"/>
          <w:szCs w:val="24"/>
          <w:highlight w:val="none"/>
        </w:rPr>
        <w:t xml:space="preserve">（项目编号：</w:t>
      </w:r>
      <w:r>
        <w:rPr>
          <w:rFonts w:hint="eastAsia" w:ascii="Calibri" w:hAnsi="Calibri" w:eastAsia="宋体" w:cs="Times New Roman"/>
          <w:i/>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w:t>
      </w:r>
      <w:r>
        <w:rPr>
          <w:rFonts w:hint="eastAsia" w:ascii="Calibri" w:hAnsi="Calibri" w:eastAsia="宋体" w:cs="Times New Roman"/>
          <w:sz w:val="24"/>
          <w:szCs w:val="24"/>
          <w:highlight w:val="none"/>
          <w:lang w:eastAsia="zh-CN"/>
        </w:rPr>
        <w:t xml:space="preserve">投标人</w:t>
      </w:r>
      <w:r>
        <w:rPr>
          <w:rFonts w:hint="eastAsia" w:ascii="Calibri" w:hAnsi="Calibri" w:eastAsia="宋体" w:cs="Times New Roman"/>
          <w:sz w:val="24"/>
          <w:szCs w:val="24"/>
          <w:highlight w:val="none"/>
        </w:rPr>
        <w:t xml:space="preserve">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lang w:eastAsia="zh-CN"/>
        </w:rPr>
        <w:t xml:space="preserve">投标人</w:t>
      </w:r>
      <w:r>
        <w:rPr>
          <w:rFonts w:hint="eastAsia" w:ascii="Calibri" w:hAnsi="Calibri" w:eastAsia="宋体" w:cs="Times New Roman"/>
          <w:sz w:val="24"/>
          <w:szCs w:val="24"/>
          <w:highlight w:val="none"/>
        </w:rPr>
        <w:t xml:space="preserve">（公章）：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主要设备有：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主要专业技术能力有：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八、特定资格要求的证明文件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单位</w:t>
      </w:r>
      <w:r>
        <w:rPr>
          <w:rFonts w:ascii="Calibri" w:hAnsi="Calibri" w:eastAsia="宋体" w:cs="Times New Roman"/>
          <w:sz w:val="24"/>
          <w:szCs w:val="24"/>
          <w:highlight w:val="none"/>
        </w:rPr>
        <w:t xml:space="preserve">负责人）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授权，以我方名义签署、澄清确认、递交、撤回、修改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 xml:space="preserve">项目（项目编号：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w:t>
      </w:r>
      <w:r>
        <w:rPr>
          <w:rFonts w:hint="eastAsia" w:ascii="Calibri" w:hAnsi="Calibri" w:eastAsia="宋体" w:cs="Times New Roman"/>
          <w:sz w:val="24"/>
          <w:szCs w:val="24"/>
          <w:highlight w:val="none"/>
        </w:rPr>
        <w:t xml:space="preserve">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ascii="Calibri" w:hAnsi="Calibri" w:eastAsia="宋体" w:cs="Times New Roman"/>
          <w:sz w:val="24"/>
          <w:szCs w:val="24"/>
          <w:highlight w:val="none"/>
        </w:rPr>
        <w:b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w:t>
      </w:r>
      <w:r>
        <w:rPr>
          <w:rFonts w:ascii="Calibri" w:hAnsi="Calibri" w:eastAsia="宋体" w:cs="Times New Roman"/>
          <w:sz w:val="24"/>
          <w:szCs w:val="24"/>
          <w:highlight w:val="none"/>
        </w:rPr>
        <w:t xml:space="preserve">名称（加盖公章）：</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法定代表人（单位负责人）（签字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法定代表人（单位负责人）有效期内的身份证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填报说明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1、若</w:t>
      </w:r>
      <w:r>
        <w:rPr>
          <w:rFonts w:hint="eastAsia" w:ascii="Calibri" w:hAnsi="Calibri" w:eastAsia="宋体" w:cs="Times New Roman"/>
          <w:sz w:val="24"/>
          <w:szCs w:val="24"/>
          <w:highlight w:val="none"/>
          <w:lang w:eastAsia="zh-CN"/>
        </w:rPr>
        <w:t xml:space="preserve">投标人</w:t>
      </w:r>
      <w:r>
        <w:rPr>
          <w:rFonts w:ascii="Calibri" w:hAnsi="Calibri" w:eastAsia="宋体" w:cs="Times New Roman"/>
          <w:sz w:val="24"/>
          <w:szCs w:val="24"/>
          <w:highlight w:val="none"/>
        </w:rPr>
        <w:t xml:space="preserve">为事业单位或其他组织或分支机构（仅当</w:t>
      </w:r>
      <w:r>
        <w:rPr>
          <w:rFonts w:hint="eastAsia" w:ascii="Calibri" w:hAnsi="Calibri" w:eastAsia="宋体" w:cs="Times New Roman"/>
          <w:sz w:val="24"/>
          <w:szCs w:val="24"/>
          <w:highlight w:val="none"/>
        </w:rPr>
        <w:t xml:space="preserve">招标</w:t>
      </w:r>
      <w:r>
        <w:rPr>
          <w:rFonts w:ascii="Calibri" w:hAnsi="Calibri" w:eastAsia="宋体" w:cs="Times New Roman"/>
          <w:sz w:val="24"/>
          <w:szCs w:val="24"/>
          <w:highlight w:val="none"/>
        </w:rPr>
        <w:t xml:space="preserve">文件注明允许分支机构</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的），则法定代表人（单位负责人）</w:t>
      </w:r>
      <w:r>
        <w:rPr>
          <w:rFonts w:hint="eastAsia" w:ascii="Calibri" w:hAnsi="Calibri" w:eastAsia="宋体" w:cs="Times New Roman"/>
          <w:sz w:val="24"/>
          <w:szCs w:val="24"/>
          <w:highlight w:val="none"/>
        </w:rPr>
        <w:t xml:space="preserve">处</w:t>
      </w:r>
      <w:r>
        <w:rPr>
          <w:rFonts w:ascii="Calibri" w:hAnsi="Calibri" w:eastAsia="宋体" w:cs="Times New Roman"/>
          <w:sz w:val="24"/>
          <w:szCs w:val="24"/>
          <w:highlight w:val="none"/>
        </w:rPr>
        <w:t xml:space="preserve">的签署人可为单位负责人</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ascii="Calibri" w:hAnsi="Calibri" w:eastAsia="宋体" w:cs="Times New Roman"/>
          <w:sz w:val="24"/>
          <w:szCs w:val="24"/>
          <w:highlight w:val="none"/>
        </w:rPr>
        <w:t xml:space="preserve">若</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文件中全部签字之处均为法定代表人（单位负责人）本人签署，则可不提供本《</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》，但须提供</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法定代表人（单位负责人）身份证</w:t>
      </w:r>
      <w:r>
        <w:rPr>
          <w:rFonts w:hint="eastAsia" w:ascii="Calibri" w:hAnsi="Calibri" w:eastAsia="宋体" w:cs="Times New Roman"/>
          <w:sz w:val="24"/>
          <w:szCs w:val="24"/>
          <w:highlight w:val="none"/>
        </w:rPr>
        <w:t xml:space="preserve">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lang w:eastAsia="zh-CN"/>
        </w:rPr>
        <w:t xml:space="preserve">投标人</w:t>
      </w:r>
      <w:r>
        <w:rPr>
          <w:rFonts w:hint="eastAsia" w:ascii="Calibri" w:hAnsi="Calibri" w:eastAsia="宋体" w:cs="Times New Roman"/>
          <w:sz w:val="24"/>
          <w:szCs w:val="24"/>
          <w:highlight w:val="none"/>
        </w:rPr>
        <w:t xml:space="preserve">为自然人的情形，可不提供本</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w:t>
      </w:r>
      <w:r/>
    </w:p>
    <w:p>
      <w:pPr>
        <w:rPr>
          <w:highlight w:val="none"/>
        </w:rPr>
      </w:pPr>
      <w:r>
        <w:rPr>
          <w:highlight w:val="none"/>
        </w:rPr>
      </w:r>
      <w:r/>
    </w:p>
    <w:p>
      <w:pPr>
        <w:rPr>
          <w:highlight w:val="none"/>
        </w:rPr>
      </w:pPr>
      <w:r>
        <w:rPr>
          <w:highlight w:val="none"/>
        </w:rPr>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p>
    <w:p>
      <w:pPr>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致：</w:t>
      </w:r>
      <w:r>
        <w:rPr>
          <w:rFonts w:hint="eastAsia" w:ascii="Times New Roman" w:hAnsi="Times New Roman" w:eastAsia="宋体" w:cs="Times New Roman"/>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姓名</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性别：</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年龄：</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职务：</w:t>
      </w:r>
      <w:r>
        <w:rPr>
          <w:rFonts w:hint="eastAsia" w:ascii="宋体" w:hAnsi="宋体" w:eastAsia="宋体" w:cs="Times New Roman"/>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系</w:t>
      </w:r>
      <w:r>
        <w:rPr>
          <w:rFonts w:hint="eastAsia" w:ascii="宋体" w:hAnsi="宋体"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ascii="宋体" w:hAnsi="宋体" w:eastAsia="宋体" w:cs="Times New Roman"/>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6"/>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w:t>
      </w:r>
      <w:r>
        <w:rPr>
          <w:rFonts w:ascii="宋体" w:hAnsi="宋体" w:eastAsia="宋体" w:cs="Times New Roman"/>
          <w:sz w:val="24"/>
          <w:szCs w:val="24"/>
          <w:highlight w:val="none"/>
        </w:rPr>
        <w:t xml:space="preserve">（</w:t>
      </w:r>
      <w:r>
        <w:rPr>
          <w:rFonts w:ascii="宋体" w:hAnsi="宋体" w:eastAsia="宋体" w:cs="Times New Roman"/>
          <w:spacing w:val="-3"/>
          <w:sz w:val="24"/>
          <w:szCs w:val="24"/>
          <w:highlight w:val="none"/>
        </w:rPr>
        <w:t xml:space="preserve">单</w:t>
      </w:r>
      <w:r>
        <w:rPr>
          <w:rFonts w:ascii="宋体" w:hAnsi="宋体" w:eastAsia="宋体" w:cs="Times New Roman"/>
          <w:sz w:val="24"/>
          <w:szCs w:val="24"/>
          <w:highlight w:val="none"/>
        </w:rPr>
        <w:t xml:space="preserve">位</w:t>
      </w:r>
      <w:r>
        <w:rPr>
          <w:rFonts w:ascii="宋体" w:hAnsi="宋体" w:eastAsia="宋体" w:cs="Times New Roman"/>
          <w:spacing w:val="-3"/>
          <w:sz w:val="24"/>
          <w:szCs w:val="24"/>
          <w:highlight w:val="none"/>
        </w:rPr>
        <w:t xml:space="preserve">负</w:t>
      </w:r>
      <w:r>
        <w:rPr>
          <w:rFonts w:ascii="宋体" w:hAnsi="宋体" w:eastAsia="宋体" w:cs="Times New Roman"/>
          <w:sz w:val="24"/>
          <w:szCs w:val="24"/>
          <w:highlight w:val="none"/>
        </w:rPr>
        <w:t xml:space="preserve">责人</w:t>
      </w:r>
      <w:r>
        <w:rPr>
          <w:rFonts w:ascii="宋体" w:hAnsi="宋体" w:eastAsia="宋体" w:cs="Times New Roman"/>
          <w:spacing w:val="-3"/>
          <w:sz w:val="24"/>
          <w:szCs w:val="24"/>
          <w:highlight w:val="none"/>
        </w:rPr>
        <w:t xml:space="preserve">）有效期内的身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ind w:right="4305"/>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r>
      <w:r/>
    </w:p>
    <w:p>
      <w:pPr>
        <w:spacing w:line="360" w:lineRule="auto"/>
        <w:rPr>
          <w:rFonts w:ascii="Calibri" w:hAnsi="Calibri" w:eastAsia="宋体" w:cs="Times New Roman"/>
          <w:sz w:val="24"/>
          <w:szCs w:val="24"/>
          <w:highlight w:val="none"/>
        </w:rPr>
      </w:pPr>
      <w:r>
        <w:rPr>
          <w:rFonts w:hint="eastAsia" w:ascii="宋体" w:hAnsi="宋体" w:eastAsia="宋体" w:cs="Times New Roman"/>
          <w:color w:val="000000"/>
          <w:sz w:val="24"/>
          <w:szCs w:val="24"/>
          <w:highlight w:val="none"/>
        </w:rPr>
        <w:t xml:space="preserve">投标人</w:t>
      </w:r>
      <w:r>
        <w:rPr>
          <w:rFonts w:ascii="宋体" w:hAnsi="宋体" w:eastAsia="宋体" w:cs="Times New Roman"/>
          <w:color w:val="000000"/>
          <w:sz w:val="24"/>
          <w:szCs w:val="24"/>
          <w:highlight w:val="none"/>
        </w:rPr>
        <w:t xml:space="preserve">名称（加盖公章）</w:t>
      </w:r>
      <w:r>
        <w:rPr>
          <w:rFonts w:ascii="宋体" w:hAnsi="宋体" w:eastAsia="宋体" w:cs="Times New Roman"/>
          <w:color w:val="000000"/>
          <w:sz w:val="24"/>
          <w:szCs w:val="24"/>
          <w:highlight w:val="none"/>
          <w:lang w:val="zh-CN"/>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宋体" w:hAnsi="宋体" w:eastAsia="宋体" w:cs="Times New Roman"/>
          <w:spacing w:val="-3"/>
          <w:sz w:val="24"/>
          <w:szCs w:val="24"/>
          <w:highlight w:val="none"/>
        </w:rPr>
        <w:t xml:space="preserve">法定代表人（</w:t>
      </w:r>
      <w:r>
        <w:rPr>
          <w:rFonts w:ascii="宋体" w:hAnsi="宋体" w:eastAsia="宋体" w:cs="Times New Roman"/>
          <w:sz w:val="24"/>
          <w:szCs w:val="24"/>
          <w:highlight w:val="none"/>
        </w:rPr>
        <w:t xml:space="preserve">单位负责人</w:t>
      </w:r>
      <w:r>
        <w:rPr>
          <w:rFonts w:hint="eastAsia" w:ascii="宋体" w:hAnsi="宋体" w:eastAsia="宋体" w:cs="Times New Roman"/>
          <w:spacing w:val="-3"/>
          <w:sz w:val="24"/>
          <w:szCs w:val="24"/>
          <w:highlight w:val="none"/>
        </w:rPr>
        <w:t xml:space="preserve">）（签字、签章或印鉴）：</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260" w:after="260" w:line="416" w:lineRule="auto"/>
        <w:rPr>
          <w:rFonts w:ascii="黑体" w:hAnsi="黑体" w:eastAsia="黑体" w:cs="Times New Roman"/>
          <w:b/>
          <w:i/>
          <w:color w:val="000000"/>
          <w:sz w:val="32"/>
          <w:szCs w:val="32"/>
          <w:highlight w:val="none"/>
          <w:u w:val="single"/>
        </w:rPr>
        <w:outlineLvl w:val="1"/>
      </w:pPr>
      <w:r>
        <w:rPr>
          <w:rFonts w:hint="eastAsia" w:ascii="Arial" w:hAnsi="Arial" w:eastAsia="宋体" w:cs="Arial"/>
          <w:i/>
          <w:iCs/>
          <w:sz w:val="36"/>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highlight w:val="none"/>
        </w:rPr>
      </w:pPr>
      <w:r>
        <w:rPr>
          <w:rFonts w:hint="eastAsia" w:ascii="黑体" w:hAnsi="黑体" w:eastAsia="黑体" w:cs="宋体"/>
          <w:bCs/>
          <w:sz w:val="36"/>
          <w:szCs w:val="28"/>
          <w:highlight w:val="none"/>
        </w:rPr>
        <w:t xml:space="preserve">投标函</w:t>
      </w:r>
      <w:r/>
    </w:p>
    <w:p>
      <w:pPr>
        <w:jc w:val="left"/>
        <w:spacing w:line="500"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rPr>
        <w:t xml:space="preserve">致：</w:t>
      </w:r>
      <w:r>
        <w:rPr>
          <w:rFonts w:hint="eastAsia" w:ascii="宋体" w:hAnsi="宋体" w:eastAsia="宋体" w:cs="Times New Roman"/>
          <w:color w:val="000000"/>
          <w:sz w:val="24"/>
          <w:szCs w:val="21"/>
          <w:highlight w:val="none"/>
          <w:lang w:val="en-US" w:eastAsia="zh-CN"/>
        </w:rPr>
        <w:t xml:space="preserve">采购人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highlight w:val="none"/>
        </w:rPr>
        <w:t xml:space="preserve">5</w:t>
      </w:r>
      <w:r>
        <w:rPr>
          <w:rFonts w:hint="eastAsia" w:ascii="宋体" w:hAnsi="宋体" w:eastAsia="宋体" w:cs="Times New Roman"/>
          <w:color w:val="000000"/>
          <w:sz w:val="24"/>
          <w:szCs w:val="21"/>
          <w:highlight w:val="none"/>
        </w:rPr>
        <w:t xml:space="preserve">.同意向贵方提供贵方可能另外要求的与投标有关</w:t>
      </w:r>
      <w:r>
        <w:rPr>
          <w:rFonts w:hint="eastAsia" w:ascii="宋体" w:hAnsi="宋体" w:eastAsia="宋体" w:cs="Times New Roman"/>
          <w:color w:val="000000"/>
          <w:sz w:val="24"/>
          <w:szCs w:val="21"/>
        </w:rPr>
        <w:t xml:space="preserve">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一</w:t>
      </w:r>
      <w:r>
        <w:rPr>
          <w:rFonts w:hint="eastAsia" w:ascii="Arial" w:hAnsi="Arial" w:eastAsia="宋体" w:cs="Arial"/>
          <w:i/>
          <w:iCs/>
          <w:sz w:val="36"/>
          <w:u w:val="single"/>
        </w:rPr>
        <w:t xml:space="preserve">、投标分项报价表（分包号：**）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64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二</w:t>
      </w:r>
      <w:r>
        <w:rPr>
          <w:rFonts w:hint="eastAsia" w:ascii="Arial" w:hAnsi="Arial" w:eastAsia="宋体" w:cs="Arial"/>
          <w:i/>
          <w:iCs/>
          <w:sz w:val="36"/>
          <w:u w:val="single"/>
        </w:rPr>
        <w:t xml:space="preserve">、技术要求响应及偏离表（分包号：**）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jc w:val="left"/>
        <w:keepLines/>
        <w:keepNext/>
        <w:spacing w:before="360" w:after="200" w:line="360" w:lineRule="auto"/>
        <w:rPr>
          <w:rFonts w:ascii="Arial" w:hAnsi="Arial" w:eastAsia="宋体" w:cs="Arial"/>
          <w:i/>
          <w:iCs/>
          <w:sz w:val="36"/>
          <w:u w:val="single"/>
        </w:rPr>
        <w:outlineLvl w:val="1"/>
      </w:pPr>
      <w:r/>
      <w:bookmarkStart w:id="18" w:name="_Hlt26955054"/>
      <w:r/>
      <w:bookmarkEnd w:id="18"/>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三</w:t>
      </w:r>
      <w:r>
        <w:rPr>
          <w:rFonts w:hint="eastAsia" w:ascii="Arial" w:hAnsi="Arial" w:eastAsia="宋体" w:cs="Arial"/>
          <w:i/>
          <w:iCs/>
          <w:sz w:val="36"/>
          <w:u w:val="single"/>
        </w:rPr>
        <w:t xml:space="preserve">、商务要求响应及偏离表（分包号：**）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9" w:name="_Hlt26955064"/>
            <w:r/>
            <w:bookmarkEnd w:id="19"/>
            <w:r/>
            <w:bookmarkStart w:id="20" w:name="_Hlt26580838"/>
            <w:r/>
            <w:bookmarkEnd w:id="20"/>
            <w:r/>
            <w:bookmarkStart w:id="21" w:name="_Hlt26609391"/>
            <w:r/>
            <w:bookmarkEnd w:id="21"/>
            <w:r/>
            <w:bookmarkStart w:id="22" w:name="_Hlt26782999"/>
            <w:r/>
            <w:bookmarkEnd w:id="22"/>
            <w:r/>
            <w:bookmarkStart w:id="23" w:name="_Hlt24879081"/>
            <w:r/>
            <w:bookmarkEnd w:id="23"/>
            <w:r/>
            <w:bookmarkStart w:id="24" w:name="_Hlt26671343"/>
            <w:r/>
            <w:bookmarkEnd w:id="24"/>
            <w:r/>
            <w:bookmarkStart w:id="25" w:name="_Hlt26955056"/>
            <w:r/>
            <w:bookmarkEnd w:id="25"/>
            <w:r/>
            <w:bookmarkStart w:id="26" w:name="_Hlt26671372"/>
            <w:r/>
            <w:bookmarkEnd w:id="26"/>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7" w:name="_Hlt26955066"/>
      <w:r/>
      <w:bookmarkEnd w:id="27"/>
      <w:r/>
      <w:bookmarkStart w:id="28" w:name="_Hlt26671374"/>
      <w:r/>
      <w:bookmarkEnd w:id="28"/>
      <w:r/>
      <w:bookmarkStart w:id="29" w:name="_Hlt26609389"/>
      <w:r/>
      <w:bookmarkEnd w:id="29"/>
      <w:r/>
      <w:bookmarkStart w:id="30" w:name="_格式2__法定代表人授权书"/>
      <w:r/>
      <w:bookmarkEnd w:id="30"/>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四</w:t>
      </w:r>
      <w:r>
        <w:rPr>
          <w:rFonts w:hint="eastAsia" w:ascii="Arial" w:hAnsi="Arial" w:eastAsia="宋体" w:cs="Arial"/>
          <w:i/>
          <w:iCs/>
          <w:sz w:val="36"/>
          <w:u w:val="single"/>
        </w:rPr>
        <w:t xml:space="preserve">、类似项目业绩一览表（分包号：**</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五</w:t>
      </w:r>
      <w:r>
        <w:rPr>
          <w:rFonts w:hint="eastAsia" w:ascii="Arial" w:hAnsi="Arial" w:eastAsia="宋体" w:cs="Arial"/>
          <w:i/>
          <w:iCs/>
          <w:sz w:val="36"/>
          <w:u w:val="single"/>
        </w:rPr>
        <w:t xml:space="preserve">、项目团队人员一览表（分包号：**）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eastAsia="宋体" w:cs="Arial"/>
          <w:i/>
          <w:sz w:val="36"/>
          <w:u w:val="single"/>
          <w:lang w:val="en-US" w:eastAsia="zh-CN"/>
        </w:rPr>
        <w:t xml:space="preserve">六</w:t>
      </w:r>
      <w:r>
        <w:rPr>
          <w:rFonts w:hint="eastAsia" w:ascii="Arial" w:hAnsi="Arial" w:eastAsia="宋体" w:cs="Arial"/>
          <w:i/>
          <w:sz w:val="36"/>
          <w:u w:val="single"/>
        </w:rPr>
        <w:t xml:space="preserve">、开标一览表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6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keepLines/>
        <w:keepNext/>
        <w:spacing w:before="360" w:after="200" w:line="360" w:lineRule="auto"/>
        <w:rPr>
          <w:rFonts w:hint="eastAsia" w:ascii="Arial" w:hAnsi="Arial" w:eastAsia="宋体" w:cs="Arial"/>
          <w:i/>
          <w:iCs/>
          <w:sz w:val="36"/>
          <w:u w:val="single"/>
        </w:rPr>
        <w:outlineLvl w:val="1"/>
      </w:pPr>
      <w:r>
        <w:rPr>
          <w:rFonts w:hint="eastAsia" w:ascii="宋体" w:hAnsi="宋体" w:eastAsia="宋体" w:cs="宋体"/>
          <w:bCs/>
          <w:i/>
          <w:color w:val="000000"/>
          <w:sz w:val="36"/>
          <w:szCs w:val="36"/>
          <w:u w:val="single"/>
        </w:rPr>
        <w:t xml:space="preserve">十</w:t>
      </w:r>
      <w:r>
        <w:rPr>
          <w:rFonts w:hint="eastAsia" w:ascii="宋体" w:hAnsi="宋体" w:eastAsia="宋体" w:cs="宋体"/>
          <w:bCs/>
          <w:i/>
          <w:color w:val="000000"/>
          <w:sz w:val="36"/>
          <w:szCs w:val="36"/>
          <w:u w:val="single"/>
          <w:lang w:val="en-US" w:eastAsia="zh-CN"/>
        </w:rPr>
        <w:t xml:space="preserve">七</w:t>
      </w:r>
      <w:r>
        <w:rPr>
          <w:rFonts w:hint="eastAsia" w:ascii="宋体" w:hAnsi="宋体" w:eastAsia="宋体" w:cs="宋体"/>
          <w:bCs/>
          <w:i/>
          <w:color w:val="000000"/>
          <w:sz w:val="36"/>
          <w:szCs w:val="36"/>
          <w:u w:val="single"/>
        </w:rPr>
        <w:t xml:space="preserve">、</w:t>
      </w:r>
      <w:r>
        <w:rPr>
          <w:rFonts w:hint="eastAsia" w:ascii="Arial" w:hAnsi="Arial" w:eastAsia="宋体" w:cs="Arial"/>
          <w:i/>
          <w:iCs/>
          <w:sz w:val="36"/>
          <w:u w:val="single"/>
        </w:rPr>
        <w:t xml:space="preserve">中小微企业声明函（服务类项目）（采购包号：**）</w:t>
      </w:r>
      <w:r/>
    </w:p>
    <w:p>
      <w:pPr>
        <w:pStyle w:val="656"/>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65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投标人</w:t>
      </w:r>
      <w:r>
        <w:rPr>
          <w:rFonts w:hint="eastAsia" w:ascii="宋体" w:hAnsi="宋体" w:eastAsia="宋体" w:cs="宋体"/>
          <w:color w:val="000000"/>
          <w:sz w:val="24"/>
          <w:szCs w:val="24"/>
          <w:u w:val="single"/>
        </w:rPr>
        <w:t xml:space="preserve">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65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投标人</w:t>
      </w:r>
      <w:r>
        <w:rPr>
          <w:rFonts w:hint="eastAsia" w:ascii="宋体" w:hAnsi="宋体" w:eastAsia="宋体" w:cs="宋体"/>
          <w:color w:val="000000"/>
          <w:sz w:val="24"/>
          <w:szCs w:val="24"/>
          <w:u w:val="single"/>
        </w:rPr>
        <w:t xml:space="preserve">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65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65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5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656"/>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6"/>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656"/>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65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65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65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如不提供此声明函，则不能通过资格审查；非专门面向中小微型企业采购的项目，</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如不提供此声明函，价格将不做相应扣除。</w:t>
      </w:r>
      <w:r/>
    </w:p>
    <w:p>
      <w:pPr>
        <w:pStyle w:val="65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lang w:val="en-US" w:eastAsia="zh-CN"/>
        </w:rPr>
        <w:t xml:space="preserve">十八、</w:t>
      </w:r>
      <w:r>
        <w:rPr>
          <w:rFonts w:hint="eastAsia" w:ascii="Arial" w:hAnsi="Arial" w:eastAsia="宋体" w:cs="Arial"/>
          <w:i/>
          <w:iCs/>
          <w:sz w:val="36"/>
          <w:u w:val="single"/>
        </w:rPr>
        <w:t xml:space="preserve">残疾人福利性单位声明函（服务类项目）（采购包号：**）</w:t>
      </w:r>
      <w:r/>
    </w:p>
    <w:p>
      <w:pPr>
        <w:pStyle w:val="656"/>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65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65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65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为残疾人福利性单位并提供服务的必须提供此声明函，否则将不能通过资格审查。</w:t>
      </w:r>
      <w:r/>
    </w:p>
    <w:p>
      <w:pPr>
        <w:pStyle w:val="65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如不提供此声明函，价格将不做相应扣除。</w:t>
      </w:r>
      <w:r/>
    </w:p>
    <w:p>
      <w:pPr>
        <w:pStyle w:val="65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为残疾人福利性单位的，此声明函将随中标/成交结果同时公告，接受社会监督</w:t>
      </w:r>
      <w:r/>
    </w:p>
    <w:p>
      <w:pPr>
        <w:pStyle w:val="656"/>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6"/>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全称（加盖CA电子公章）：</w:t>
      </w:r>
      <w:r/>
    </w:p>
    <w:p>
      <w:pPr>
        <w:pStyle w:val="656"/>
        <w:ind w:left="0" w:right="1559" w:firstLine="480"/>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   </w:t>
      </w:r>
      <w:r/>
    </w:p>
    <w:p>
      <w:pPr>
        <w:pStyle w:val="656"/>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ind w:firstLine="1200"/>
        <w:jc w:val="left"/>
        <w:keepLines/>
        <w:keepNext/>
        <w:spacing w:before="360" w:after="200" w:line="360" w:lineRule="auto"/>
        <w:rPr>
          <w:rFonts w:hint="eastAsia" w:ascii="Arial" w:hAnsi="Arial" w:eastAsia="宋体" w:cs="Arial"/>
          <w:i/>
          <w:iCs/>
          <w:sz w:val="36"/>
          <w:u w:val="single"/>
        </w:rPr>
        <w:outlineLvl w:val="1"/>
      </w:pPr>
      <w:r>
        <w:rPr>
          <w:rFonts w:hint="eastAsia" w:ascii="黑体" w:hAnsi="黑体" w:eastAsia="黑体" w:cs="仿宋"/>
          <w:bCs/>
          <w:color w:val="000000"/>
          <w:sz w:val="40"/>
          <w:szCs w:val="32"/>
        </w:rPr>
        <w:br w:type="page" w:clear="all"/>
      </w:r>
      <w:r>
        <w:rPr>
          <w:rFonts w:hint="eastAsia" w:ascii="Arial" w:hAnsi="Arial" w:eastAsia="宋体" w:cs="Arial"/>
          <w:i/>
          <w:iCs/>
          <w:sz w:val="36"/>
          <w:u w:val="single"/>
          <w:lang w:val="en-US" w:eastAsia="zh-CN"/>
        </w:rPr>
        <w:t xml:space="preserve">十九、</w:t>
      </w:r>
      <w:r>
        <w:rPr>
          <w:rFonts w:hint="eastAsia" w:ascii="Arial" w:hAnsi="Arial" w:eastAsia="宋体" w:cs="Arial"/>
          <w:i/>
          <w:iCs/>
          <w:sz w:val="36"/>
          <w:u w:val="single"/>
        </w:rPr>
        <w:t xml:space="preserve">关于符合本国产品标准的声明函</w:t>
      </w:r>
      <w:r/>
    </w:p>
    <w:p>
      <w:pPr>
        <w:pStyle w:val="656"/>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56"/>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5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65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65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65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65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56"/>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656"/>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65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5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5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65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65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65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65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65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65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65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56"/>
        <w:jc w:val="both"/>
        <w:keepLines w:val="0"/>
        <w:keepNext w:val="0"/>
        <w:spacing w:before="0" w:beforeAutospacing="0" w:after="0" w:afterAutospacing="0"/>
        <w:widowControl w:val="off"/>
        <w:rPr>
          <w:rFonts w:hint="eastAsia" w:ascii="黑体" w:hAnsi="黑体" w:eastAsia="黑体" w:cs="仿宋"/>
          <w:bCs/>
          <w:color w:val="000000"/>
          <w:sz w:val="40"/>
          <w:szCs w:val="32"/>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6"/>
        <w:jc w:val="both"/>
        <w:keepLines w:val="0"/>
        <w:keepNext w:val="0"/>
        <w:spacing w:before="0" w:beforeAutospacing="0" w:after="0" w:afterAutospacing="0"/>
        <w:widowControl w:val="off"/>
        <w:rPr>
          <w:rFonts w:hint="eastAsia" w:ascii="黑体" w:hAnsi="黑体" w:eastAsia="黑体" w:cs="仿宋"/>
          <w:bCs/>
          <w:color w:val="000000"/>
          <w:sz w:val="40"/>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w:t>
      </w:r>
      <w:r>
        <w:rPr>
          <w:rFonts w:hint="eastAsia" w:ascii="黑体" w:hAnsi="黑体" w:eastAsia="黑体" w:cs="仿宋"/>
          <w:bCs/>
          <w:color w:val="000000"/>
          <w:sz w:val="24"/>
          <w:szCs w:val="24"/>
          <w:lang w:eastAsia="zh-CN"/>
        </w:rPr>
        <w:t xml:space="preserve">投标人</w:t>
      </w:r>
      <w:r>
        <w:rPr>
          <w:rFonts w:hint="eastAsia" w:ascii="黑体" w:hAnsi="黑体" w:eastAsia="黑体" w:cs="仿宋"/>
          <w:bCs/>
          <w:color w:val="000000"/>
          <w:sz w:val="24"/>
          <w:szCs w:val="24"/>
        </w:rPr>
        <w:t xml:space="preserve">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w:t>
      </w:r>
      <w:r>
        <w:rPr>
          <w:rFonts w:hint="eastAsia" w:ascii="宋体" w:hAnsi="宋体" w:eastAsia="宋体" w:cs="仿宋"/>
          <w:color w:val="000000"/>
          <w:sz w:val="24"/>
          <w:szCs w:val="24"/>
          <w:lang w:eastAsia="zh-CN"/>
        </w:rPr>
        <w:t xml:space="preserve">投标人</w:t>
      </w: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若委托代理人进行质疑的，质疑函应按要求列明“授权代表”的有关内容，并在附件中提交由质疑</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签署的授权委托书。授权委托书应载明代理人的姓名或者名称、代理事项、具体权限、期限和相关事项。</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为自然人的，应当由本人签字；</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w:t>
      </w:r>
      <w:r>
        <w:rPr>
          <w:rFonts w:hint="eastAsia" w:ascii="宋体" w:hAnsi="宋体" w:eastAsia="宋体" w:cs="Times New Roman"/>
          <w:b/>
          <w:color w:val="ff0000"/>
          <w:sz w:val="24"/>
          <w:szCs w:val="24"/>
          <w:lang w:eastAsia="zh-CN"/>
        </w:rPr>
        <w:t xml:space="preserve">投标人</w:t>
      </w:r>
      <w:r>
        <w:rPr>
          <w:rFonts w:hint="eastAsia" w:ascii="宋体" w:hAnsi="宋体" w:eastAsia="宋体" w:cs="Times New Roman"/>
          <w:b/>
          <w:color w:val="ff0000"/>
          <w:sz w:val="24"/>
          <w:szCs w:val="24"/>
        </w:rPr>
        <w:t xml:space="preserve">为自然人的，质疑函应附自然人身份证明复印件并由本人签字；质疑</w:t>
      </w:r>
      <w:r>
        <w:rPr>
          <w:rFonts w:hint="eastAsia" w:ascii="宋体" w:hAnsi="宋体" w:eastAsia="宋体" w:cs="Times New Roman"/>
          <w:b/>
          <w:color w:val="ff0000"/>
          <w:sz w:val="24"/>
          <w:szCs w:val="24"/>
          <w:lang w:eastAsia="zh-CN"/>
        </w:rPr>
        <w:t xml:space="preserve">投标人</w:t>
      </w:r>
      <w:r>
        <w:rPr>
          <w:rFonts w:hint="eastAsia" w:ascii="宋体" w:hAnsi="宋体" w:eastAsia="宋体" w:cs="Times New Roman"/>
          <w:b/>
          <w:color w:val="ff0000"/>
          <w:sz w:val="24"/>
          <w:szCs w:val="24"/>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仿宋_GB2312">
    <w:panose1 w:val="02010609060101010101"/>
  </w:font>
  <w:font w:name="黑体">
    <w:panose1 w:val="02010609060101010101"/>
  </w:font>
  <w:font w:name="新宋体">
    <w:panose1 w:val="0201060903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jc w:val="center"/>
    </w:pPr>
    <w:r/>
    <w:r/>
  </w:p>
  <w:p>
    <w:pPr>
      <w:pStyle w:val="6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53"/>
          <w:jc w:val="center"/>
        </w:pPr>
        <w:r>
          <w:fldChar w:fldCharType="begin"/>
        </w:r>
        <w:r>
          <w:instrText xml:space="preserve"> PAGE   \* MERGEFORMAT </w:instrText>
        </w:r>
        <w:r>
          <w:fldChar w:fldCharType="separate"/>
        </w:r>
        <w:r>
          <w:rPr>
            <w:lang w:val="zh-CN"/>
          </w:rPr>
          <w:t xml:space="preserve">16</w:t>
        </w:r>
        <w:r>
          <w:rPr>
            <w:lang w:val="zh-CN"/>
          </w:rPr>
          <w:fldChar w:fldCharType="end"/>
        </w:r>
        <w:r/>
      </w:p>
    </w:sdtContent>
  </w:sdt>
  <w:p>
    <w:pPr>
      <w:pStyle w:val="6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6"/>
    <w:link w:val="643"/>
    <w:uiPriority w:val="9"/>
    <w:rPr>
      <w:rFonts w:ascii="Arial" w:hAnsi="Arial" w:eastAsia="Arial" w:cs="Arial"/>
      <w:sz w:val="40"/>
      <w:szCs w:val="40"/>
    </w:rPr>
  </w:style>
  <w:style w:type="character" w:styleId="15">
    <w:name w:val="Heading 2 Char"/>
    <w:basedOn w:val="646"/>
    <w:link w:val="644"/>
    <w:uiPriority w:val="9"/>
    <w:rPr>
      <w:rFonts w:ascii="Arial" w:hAnsi="Arial" w:eastAsia="Arial" w:cs="Arial"/>
      <w:sz w:val="34"/>
    </w:rPr>
  </w:style>
  <w:style w:type="character" w:styleId="17">
    <w:name w:val="Heading 3 Char"/>
    <w:basedOn w:val="646"/>
    <w:link w:val="645"/>
    <w:uiPriority w:val="9"/>
    <w:rPr>
      <w:rFonts w:ascii="Arial" w:hAnsi="Arial" w:eastAsia="Arial" w:cs="Arial"/>
      <w:sz w:val="30"/>
      <w:szCs w:val="30"/>
    </w:rPr>
  </w:style>
  <w:style w:type="paragraph" w:styleId="18">
    <w:name w:val="Heading 4"/>
    <w:basedOn w:val="642"/>
    <w:next w:val="6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6"/>
    <w:link w:val="18"/>
    <w:uiPriority w:val="9"/>
    <w:rPr>
      <w:rFonts w:ascii="Arial" w:hAnsi="Arial" w:eastAsia="Arial" w:cs="Arial"/>
      <w:b/>
      <w:bCs/>
      <w:sz w:val="26"/>
      <w:szCs w:val="26"/>
    </w:rPr>
  </w:style>
  <w:style w:type="paragraph" w:styleId="20">
    <w:name w:val="Heading 5"/>
    <w:basedOn w:val="642"/>
    <w:next w:val="6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6"/>
    <w:link w:val="20"/>
    <w:uiPriority w:val="9"/>
    <w:rPr>
      <w:rFonts w:ascii="Arial" w:hAnsi="Arial" w:eastAsia="Arial" w:cs="Arial"/>
      <w:b/>
      <w:bCs/>
      <w:sz w:val="24"/>
      <w:szCs w:val="24"/>
    </w:rPr>
  </w:style>
  <w:style w:type="paragraph" w:styleId="22">
    <w:name w:val="Heading 6"/>
    <w:basedOn w:val="642"/>
    <w:next w:val="6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6"/>
    <w:link w:val="22"/>
    <w:uiPriority w:val="9"/>
    <w:rPr>
      <w:rFonts w:ascii="Arial" w:hAnsi="Arial" w:eastAsia="Arial" w:cs="Arial"/>
      <w:b/>
      <w:bCs/>
      <w:sz w:val="22"/>
      <w:szCs w:val="22"/>
    </w:rPr>
  </w:style>
  <w:style w:type="paragraph" w:styleId="24">
    <w:name w:val="Heading 7"/>
    <w:basedOn w:val="642"/>
    <w:next w:val="6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6"/>
    <w:link w:val="24"/>
    <w:uiPriority w:val="9"/>
    <w:rPr>
      <w:rFonts w:ascii="Arial" w:hAnsi="Arial" w:eastAsia="Arial" w:cs="Arial"/>
      <w:b/>
      <w:bCs/>
      <w:i/>
      <w:iCs/>
      <w:sz w:val="22"/>
      <w:szCs w:val="22"/>
    </w:rPr>
  </w:style>
  <w:style w:type="paragraph" w:styleId="26">
    <w:name w:val="Heading 8"/>
    <w:basedOn w:val="642"/>
    <w:next w:val="6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6"/>
    <w:link w:val="26"/>
    <w:uiPriority w:val="9"/>
    <w:rPr>
      <w:rFonts w:ascii="Arial" w:hAnsi="Arial" w:eastAsia="Arial" w:cs="Arial"/>
      <w:i/>
      <w:iCs/>
      <w:sz w:val="22"/>
      <w:szCs w:val="22"/>
    </w:rPr>
  </w:style>
  <w:style w:type="paragraph" w:styleId="28">
    <w:name w:val="Heading 9"/>
    <w:basedOn w:val="642"/>
    <w:next w:val="6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6"/>
    <w:link w:val="28"/>
    <w:uiPriority w:val="9"/>
    <w:rPr>
      <w:rFonts w:ascii="Arial" w:hAnsi="Arial" w:eastAsia="Arial" w:cs="Arial"/>
      <w:i/>
      <w:iCs/>
      <w:sz w:val="21"/>
      <w:szCs w:val="21"/>
    </w:rPr>
  </w:style>
  <w:style w:type="paragraph" w:styleId="30">
    <w:name w:val="List Paragraph"/>
    <w:basedOn w:val="64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2"/>
    <w:next w:val="642"/>
    <w:link w:val="34"/>
    <w:uiPriority w:val="10"/>
    <w:qFormat/>
    <w:pPr>
      <w:contextualSpacing/>
      <w:spacing w:before="300" w:after="200"/>
    </w:pPr>
    <w:rPr>
      <w:sz w:val="48"/>
      <w:szCs w:val="48"/>
    </w:rPr>
  </w:style>
  <w:style w:type="character" w:styleId="34">
    <w:name w:val="Title Char"/>
    <w:basedOn w:val="646"/>
    <w:link w:val="33"/>
    <w:uiPriority w:val="10"/>
    <w:rPr>
      <w:sz w:val="48"/>
      <w:szCs w:val="48"/>
    </w:rPr>
  </w:style>
  <w:style w:type="paragraph" w:styleId="35">
    <w:name w:val="Subtitle"/>
    <w:basedOn w:val="642"/>
    <w:next w:val="642"/>
    <w:link w:val="36"/>
    <w:uiPriority w:val="11"/>
    <w:qFormat/>
    <w:pPr>
      <w:spacing w:before="200" w:after="200"/>
    </w:pPr>
    <w:rPr>
      <w:sz w:val="24"/>
      <w:szCs w:val="24"/>
    </w:rPr>
  </w:style>
  <w:style w:type="character" w:styleId="36">
    <w:name w:val="Subtitle Char"/>
    <w:basedOn w:val="646"/>
    <w:link w:val="35"/>
    <w:uiPriority w:val="11"/>
    <w:rPr>
      <w:sz w:val="24"/>
      <w:szCs w:val="24"/>
    </w:rPr>
  </w:style>
  <w:style w:type="paragraph" w:styleId="37">
    <w:name w:val="Quote"/>
    <w:basedOn w:val="642"/>
    <w:next w:val="642"/>
    <w:link w:val="38"/>
    <w:uiPriority w:val="29"/>
    <w:qFormat/>
    <w:pPr>
      <w:ind w:left="720" w:right="720"/>
    </w:pPr>
    <w:rPr>
      <w:i/>
    </w:rPr>
  </w:style>
  <w:style w:type="character" w:styleId="38">
    <w:name w:val="Quote Char"/>
    <w:link w:val="37"/>
    <w:uiPriority w:val="29"/>
    <w:rPr>
      <w:i/>
    </w:rPr>
  </w:style>
  <w:style w:type="paragraph" w:styleId="39">
    <w:name w:val="Intense Quote"/>
    <w:basedOn w:val="642"/>
    <w:next w:val="6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6"/>
    <w:link w:val="654"/>
    <w:uiPriority w:val="99"/>
  </w:style>
  <w:style w:type="character" w:styleId="44">
    <w:name w:val="Footer Char"/>
    <w:basedOn w:val="646"/>
    <w:link w:val="653"/>
    <w:uiPriority w:val="99"/>
  </w:style>
  <w:style w:type="paragraph" w:styleId="45">
    <w:name w:val="Caption"/>
    <w:basedOn w:val="642"/>
    <w:next w:val="642"/>
    <w:uiPriority w:val="35"/>
    <w:semiHidden/>
    <w:unhideWhenUsed/>
    <w:qFormat/>
    <w:pPr>
      <w:spacing w:line="276" w:lineRule="auto"/>
    </w:pPr>
    <w:rPr>
      <w:b/>
      <w:bCs/>
      <w:color w:val="4f81bd" w:themeColor="accent1"/>
      <w:sz w:val="18"/>
      <w:szCs w:val="18"/>
    </w:rPr>
  </w:style>
  <w:style w:type="character" w:styleId="46">
    <w:name w:val="Caption Char"/>
    <w:basedOn w:val="45"/>
    <w:link w:val="653"/>
    <w:uiPriority w:val="99"/>
  </w:style>
  <w:style w:type="table" w:styleId="48">
    <w:name w:val="Table Grid Light"/>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6"/>
    <w:uiPriority w:val="99"/>
    <w:unhideWhenUsed/>
    <w:rPr>
      <w:vertAlign w:val="superscript"/>
    </w:rPr>
  </w:style>
  <w:style w:type="paragraph" w:styleId="177">
    <w:name w:val="endnote text"/>
    <w:basedOn w:val="6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6"/>
    <w:uiPriority w:val="99"/>
    <w:semiHidden/>
    <w:unhideWhenUsed/>
    <w:rPr>
      <w:vertAlign w:val="superscript"/>
    </w:rPr>
  </w:style>
  <w:style w:type="paragraph" w:styleId="181">
    <w:name w:val="toc 2"/>
    <w:basedOn w:val="642"/>
    <w:next w:val="642"/>
    <w:uiPriority w:val="39"/>
    <w:unhideWhenUsed/>
    <w:pPr>
      <w:ind w:left="283" w:right="0" w:firstLine="0"/>
      <w:spacing w:after="57"/>
    </w:pPr>
  </w:style>
  <w:style w:type="paragraph" w:styleId="182">
    <w:name w:val="toc 3"/>
    <w:basedOn w:val="642"/>
    <w:next w:val="642"/>
    <w:uiPriority w:val="39"/>
    <w:unhideWhenUsed/>
    <w:pPr>
      <w:ind w:left="567" w:right="0" w:firstLine="0"/>
      <w:spacing w:after="57"/>
    </w:pPr>
  </w:style>
  <w:style w:type="paragraph" w:styleId="183">
    <w:name w:val="toc 4"/>
    <w:basedOn w:val="642"/>
    <w:next w:val="642"/>
    <w:uiPriority w:val="39"/>
    <w:unhideWhenUsed/>
    <w:pPr>
      <w:ind w:left="850" w:right="0" w:firstLine="0"/>
      <w:spacing w:after="57"/>
    </w:pPr>
  </w:style>
  <w:style w:type="paragraph" w:styleId="184">
    <w:name w:val="toc 5"/>
    <w:basedOn w:val="642"/>
    <w:next w:val="642"/>
    <w:uiPriority w:val="39"/>
    <w:unhideWhenUsed/>
    <w:pPr>
      <w:ind w:left="1134" w:right="0" w:firstLine="0"/>
      <w:spacing w:after="57"/>
    </w:pPr>
  </w:style>
  <w:style w:type="paragraph" w:styleId="185">
    <w:name w:val="toc 6"/>
    <w:basedOn w:val="642"/>
    <w:next w:val="642"/>
    <w:uiPriority w:val="39"/>
    <w:unhideWhenUsed/>
    <w:pPr>
      <w:ind w:left="1417" w:right="0" w:firstLine="0"/>
      <w:spacing w:after="57"/>
    </w:pPr>
  </w:style>
  <w:style w:type="paragraph" w:styleId="186">
    <w:name w:val="toc 7"/>
    <w:basedOn w:val="642"/>
    <w:next w:val="642"/>
    <w:uiPriority w:val="39"/>
    <w:unhideWhenUsed/>
    <w:pPr>
      <w:ind w:left="1701" w:right="0" w:firstLine="0"/>
      <w:spacing w:after="57"/>
    </w:pPr>
  </w:style>
  <w:style w:type="paragraph" w:styleId="187">
    <w:name w:val="toc 8"/>
    <w:basedOn w:val="642"/>
    <w:next w:val="642"/>
    <w:uiPriority w:val="39"/>
    <w:unhideWhenUsed/>
    <w:pPr>
      <w:ind w:left="1984" w:right="0" w:firstLine="0"/>
      <w:spacing w:after="57"/>
    </w:pPr>
  </w:style>
  <w:style w:type="paragraph" w:styleId="188">
    <w:name w:val="toc 9"/>
    <w:basedOn w:val="642"/>
    <w:next w:val="6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2"/>
    <w:next w:val="642"/>
    <w:uiPriority w:val="99"/>
    <w:unhideWhenUsed/>
    <w:pPr>
      <w:spacing w:after="0" w:afterAutospacing="0"/>
    </w:pPr>
  </w:style>
  <w:style w:type="paragraph" w:styleId="64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3">
    <w:name w:val="Heading 1"/>
    <w:basedOn w:val="642"/>
    <w:next w:val="642"/>
    <w:link w:val="663"/>
    <w:uiPriority w:val="9"/>
    <w:qFormat/>
    <w:pPr>
      <w:keepLines/>
      <w:keepNext/>
      <w:spacing w:before="340" w:after="330" w:line="578" w:lineRule="auto"/>
      <w:outlineLvl w:val="0"/>
    </w:pPr>
    <w:rPr>
      <w:b/>
      <w:bCs/>
      <w:sz w:val="44"/>
      <w:szCs w:val="44"/>
    </w:rPr>
  </w:style>
  <w:style w:type="paragraph" w:styleId="644">
    <w:name w:val="Heading 2"/>
    <w:basedOn w:val="642"/>
    <w:next w:val="642"/>
    <w:link w:val="66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5">
    <w:name w:val="Heading 3"/>
    <w:basedOn w:val="642"/>
    <w:next w:val="642"/>
    <w:link w:val="666"/>
    <w:uiPriority w:val="9"/>
    <w:unhideWhenUsed/>
    <w:qFormat/>
    <w:pPr>
      <w:keepLines/>
      <w:keepNext/>
      <w:spacing w:before="260" w:after="260" w:line="416" w:lineRule="auto"/>
      <w:outlineLvl w:val="2"/>
    </w:pPr>
    <w:rPr>
      <w:b/>
      <w:bCs/>
      <w:sz w:val="32"/>
      <w:szCs w:val="32"/>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Document Map"/>
    <w:basedOn w:val="642"/>
    <w:link w:val="664"/>
    <w:uiPriority w:val="99"/>
    <w:semiHidden/>
    <w:unhideWhenUsed/>
    <w:qFormat/>
    <w:rPr>
      <w:rFonts w:ascii="宋体" w:eastAsia="宋体"/>
      <w:sz w:val="18"/>
      <w:szCs w:val="18"/>
    </w:rPr>
  </w:style>
  <w:style w:type="paragraph" w:styleId="649">
    <w:name w:val="annotation text"/>
    <w:basedOn w:val="642"/>
    <w:link w:val="668"/>
    <w:uiPriority w:val="0"/>
    <w:qFormat/>
    <w:pPr>
      <w:ind w:firstLine="922"/>
      <w:jc w:val="left"/>
      <w:spacing w:line="360" w:lineRule="auto"/>
    </w:pPr>
    <w:rPr>
      <w:rFonts w:ascii="Times New Roman" w:hAnsi="Times New Roman" w:eastAsia="宋体" w:cs="Times New Roman"/>
      <w:szCs w:val="24"/>
    </w:rPr>
  </w:style>
  <w:style w:type="paragraph" w:styleId="650">
    <w:name w:val="Plain Text"/>
    <w:basedOn w:val="642"/>
    <w:link w:val="672"/>
    <w:uiPriority w:val="0"/>
    <w:qFormat/>
    <w:rPr>
      <w:rFonts w:ascii="宋体" w:hAnsi="Courier New" w:eastAsia="宋体" w:cs="Times New Roman"/>
      <w:szCs w:val="20"/>
    </w:rPr>
  </w:style>
  <w:style w:type="paragraph" w:styleId="651">
    <w:name w:val="Date"/>
    <w:basedOn w:val="642"/>
    <w:next w:val="642"/>
    <w:link w:val="667"/>
    <w:uiPriority w:val="99"/>
    <w:semiHidden/>
    <w:unhideWhenUsed/>
    <w:qFormat/>
    <w:pPr>
      <w:ind w:left="100"/>
    </w:pPr>
  </w:style>
  <w:style w:type="paragraph" w:styleId="652">
    <w:name w:val="Balloon Text"/>
    <w:basedOn w:val="642"/>
    <w:link w:val="669"/>
    <w:uiPriority w:val="99"/>
    <w:semiHidden/>
    <w:unhideWhenUsed/>
    <w:qFormat/>
    <w:rPr>
      <w:sz w:val="18"/>
      <w:szCs w:val="18"/>
    </w:rPr>
  </w:style>
  <w:style w:type="paragraph" w:styleId="653">
    <w:name w:val="Footer"/>
    <w:basedOn w:val="642"/>
    <w:link w:val="662"/>
    <w:uiPriority w:val="99"/>
    <w:unhideWhenUsed/>
    <w:qFormat/>
    <w:pPr>
      <w:jc w:val="left"/>
      <w:tabs>
        <w:tab w:val="center" w:pos="4153" w:leader="none"/>
        <w:tab w:val="right" w:pos="8306" w:leader="none"/>
      </w:tabs>
    </w:pPr>
    <w:rPr>
      <w:sz w:val="18"/>
      <w:szCs w:val="18"/>
    </w:rPr>
  </w:style>
  <w:style w:type="paragraph" w:styleId="654">
    <w:name w:val="Header"/>
    <w:basedOn w:val="642"/>
    <w:link w:val="66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55">
    <w:name w:val="toc 1"/>
    <w:basedOn w:val="642"/>
    <w:next w:val="642"/>
    <w:uiPriority w:val="39"/>
    <w:unhideWhenUsed/>
    <w:qFormat/>
  </w:style>
  <w:style w:type="paragraph" w:styleId="656">
    <w:name w:val="Normal (Web)"/>
    <w:basedOn w:val="642"/>
    <w:uiPriority w:val="99"/>
    <w:semiHidden/>
    <w:unhideWhenUsed/>
    <w:pPr>
      <w:ind w:left="0" w:right="0"/>
      <w:jc w:val="left"/>
      <w:spacing w:before="0" w:beforeAutospacing="1" w:after="0" w:afterAutospacing="1"/>
    </w:pPr>
    <w:rPr>
      <w:sz w:val="24"/>
      <w:lang w:val="en-US" w:eastAsia="zh-CN" w:bidi="ar"/>
    </w:rPr>
  </w:style>
  <w:style w:type="table" w:styleId="657">
    <w:name w:val="Table Grid"/>
    <w:basedOn w:val="6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8">
    <w:name w:val="Strong"/>
    <w:basedOn w:val="646"/>
    <w:uiPriority w:val="0"/>
    <w:qFormat/>
    <w:rPr>
      <w:b/>
    </w:rPr>
  </w:style>
  <w:style w:type="character" w:styleId="659">
    <w:name w:val="Hyperlink"/>
    <w:uiPriority w:val="99"/>
    <w:qFormat/>
    <w:rPr>
      <w:color w:val="0000ff"/>
      <w:u w:val="none"/>
    </w:rPr>
  </w:style>
  <w:style w:type="character" w:styleId="660">
    <w:name w:val="annotation reference"/>
    <w:uiPriority w:val="0"/>
    <w:qFormat/>
    <w:rPr>
      <w:sz w:val="21"/>
      <w:szCs w:val="21"/>
    </w:rPr>
  </w:style>
  <w:style w:type="character" w:styleId="661" w:customStyle="1">
    <w:name w:val="页眉 字符"/>
    <w:basedOn w:val="646"/>
    <w:link w:val="654"/>
    <w:uiPriority w:val="99"/>
    <w:qFormat/>
    <w:rPr>
      <w:sz w:val="18"/>
      <w:szCs w:val="18"/>
    </w:rPr>
  </w:style>
  <w:style w:type="character" w:styleId="662" w:customStyle="1">
    <w:name w:val="页脚 字符"/>
    <w:basedOn w:val="646"/>
    <w:link w:val="653"/>
    <w:uiPriority w:val="99"/>
    <w:qFormat/>
    <w:rPr>
      <w:sz w:val="18"/>
      <w:szCs w:val="18"/>
    </w:rPr>
  </w:style>
  <w:style w:type="character" w:styleId="663" w:customStyle="1">
    <w:name w:val="标题 1 字符"/>
    <w:basedOn w:val="646"/>
    <w:link w:val="643"/>
    <w:uiPriority w:val="9"/>
    <w:qFormat/>
    <w:rPr>
      <w:b/>
      <w:bCs/>
      <w:sz w:val="44"/>
      <w:szCs w:val="44"/>
    </w:rPr>
  </w:style>
  <w:style w:type="character" w:styleId="664" w:customStyle="1">
    <w:name w:val="文档结构图 字符"/>
    <w:basedOn w:val="646"/>
    <w:link w:val="648"/>
    <w:uiPriority w:val="99"/>
    <w:semiHidden/>
    <w:qFormat/>
    <w:rPr>
      <w:rFonts w:ascii="宋体" w:eastAsia="宋体"/>
      <w:sz w:val="18"/>
      <w:szCs w:val="18"/>
    </w:rPr>
  </w:style>
  <w:style w:type="character" w:styleId="665" w:customStyle="1">
    <w:name w:val="标题 2 字符"/>
    <w:basedOn w:val="646"/>
    <w:link w:val="644"/>
    <w:uiPriority w:val="9"/>
    <w:qFormat/>
    <w:rPr>
      <w:rFonts w:asciiTheme="majorHAnsi" w:hAnsiTheme="majorHAnsi" w:eastAsiaTheme="majorEastAsia" w:cstheme="majorBidi"/>
      <w:b/>
      <w:bCs/>
      <w:sz w:val="32"/>
      <w:szCs w:val="32"/>
    </w:rPr>
  </w:style>
  <w:style w:type="character" w:styleId="666" w:customStyle="1">
    <w:name w:val="标题 3 字符"/>
    <w:basedOn w:val="646"/>
    <w:link w:val="645"/>
    <w:uiPriority w:val="9"/>
    <w:qFormat/>
    <w:rPr>
      <w:b/>
      <w:bCs/>
      <w:sz w:val="32"/>
      <w:szCs w:val="32"/>
    </w:rPr>
  </w:style>
  <w:style w:type="character" w:styleId="667" w:customStyle="1">
    <w:name w:val="日期 字符"/>
    <w:basedOn w:val="646"/>
    <w:link w:val="651"/>
    <w:uiPriority w:val="99"/>
    <w:semiHidden/>
    <w:qFormat/>
  </w:style>
  <w:style w:type="character" w:styleId="668" w:customStyle="1">
    <w:name w:val="批注文字 字符"/>
    <w:basedOn w:val="646"/>
    <w:link w:val="649"/>
    <w:uiPriority w:val="0"/>
    <w:qFormat/>
    <w:rPr>
      <w:rFonts w:ascii="Times New Roman" w:hAnsi="Times New Roman" w:eastAsia="宋体" w:cs="Times New Roman"/>
      <w:szCs w:val="24"/>
    </w:rPr>
  </w:style>
  <w:style w:type="character" w:styleId="669" w:customStyle="1">
    <w:name w:val="批注框文本 字符"/>
    <w:basedOn w:val="646"/>
    <w:link w:val="652"/>
    <w:uiPriority w:val="99"/>
    <w:semiHidden/>
    <w:qFormat/>
    <w:rPr>
      <w:sz w:val="18"/>
      <w:szCs w:val="18"/>
    </w:rPr>
  </w:style>
  <w:style w:type="paragraph" w:styleId="670" w:customStyle="1">
    <w:name w:val="Default"/>
    <w:link w:val="671"/>
    <w:uiPriority w:val="99"/>
    <w:qFormat/>
    <w:pPr>
      <w:widowControl w:val="off"/>
    </w:pPr>
    <w:rPr>
      <w:rFonts w:ascii="MS Mincho" w:hAnsi="Calibri" w:eastAsia="宋体" w:cs="Times New Roman"/>
      <w:color w:val="000000"/>
      <w:sz w:val="21"/>
      <w:szCs w:val="24"/>
      <w:lang w:val="en-US" w:eastAsia="zh-CN" w:bidi="ar-SA"/>
    </w:rPr>
  </w:style>
  <w:style w:type="character" w:styleId="671" w:customStyle="1">
    <w:name w:val="Default Char"/>
    <w:link w:val="670"/>
    <w:uiPriority w:val="99"/>
    <w:qFormat/>
    <w:rPr>
      <w:rFonts w:ascii="MS Mincho" w:hAnsi="Calibri" w:eastAsia="宋体" w:cs="Times New Roman"/>
      <w:color w:val="000000"/>
      <w:szCs w:val="24"/>
    </w:rPr>
  </w:style>
  <w:style w:type="character" w:styleId="672" w:customStyle="1">
    <w:name w:val="纯文本 字符"/>
    <w:basedOn w:val="646"/>
    <w:link w:val="650"/>
    <w:uiPriority w:val="0"/>
    <w:qFormat/>
    <w:rPr>
      <w:rFonts w:ascii="宋体" w:hAnsi="Courier New" w:eastAsia="宋体" w:cs="Times New Roman"/>
      <w:szCs w:val="20"/>
    </w:rPr>
  </w:style>
  <w:style w:type="character" w:styleId="673" w:customStyle="1">
    <w:name w:val="font21"/>
    <w:basedOn w:val="646"/>
    <w:uiPriority w:val="0"/>
    <w:qFormat/>
    <w:rPr>
      <w:rFonts w:hint="eastAsia" w:ascii="宋体" w:hAnsi="宋体" w:eastAsia="宋体" w:cs="宋体"/>
      <w:color w:val="000000"/>
      <w:sz w:val="22"/>
      <w:szCs w:val="22"/>
      <w:u w:val="none"/>
    </w:rPr>
  </w:style>
  <w:style w:type="character" w:styleId="674" w:customStyle="1">
    <w:name w:val="font01"/>
    <w:basedOn w:val="646"/>
    <w:uiPriority w:val="0"/>
    <w:qFormat/>
    <w:rPr>
      <w:rFonts w:hint="default" w:ascii="Calibri" w:hAnsi="Calibri" w:cs="Calibri"/>
      <w:color w:val="000000"/>
      <w:sz w:val="22"/>
      <w:szCs w:val="22"/>
      <w:u w:val="none"/>
    </w:rPr>
  </w:style>
  <w:style w:type="numbering" w:styleId="177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12841C-52CB-4BE3-8093-FF3B3446BC3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江苏坤廷</cp:lastModifiedBy>
  <cp:revision>5</cp:revision>
  <dcterms:created xsi:type="dcterms:W3CDTF">2024-01-04T03:50:00Z</dcterms:created>
  <dcterms:modified xsi:type="dcterms:W3CDTF">2026-09-18T04:54:18Z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eyJoZGlkIjoiZTNiMmJjMGUyMDNhMGI0MjllZTc4OTE3ODRjOTBjMWQiLCJ1c2VySWQiOiIxMDM2ODg0NDAyIn0=</vt:lpwstr>
  </property>
  <property fmtid="{D5CDD505-2E9C-101B-9397-08002B2CF9AE}" pid="3" name="KSOProductBuildVer">
    <vt:lpwstr>2052-12.1.0.28505</vt:lpwstr>
  </property>
  <property fmtid="{D5CDD505-2E9C-101B-9397-08002B2CF9AE}" pid="4" name="ICV">
    <vt:lpwstr>DE891D708DF54D84872DB9043361AD1E_13</vt:lpwstr>
  </property>
</Properties>
</file>