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1"/>
        <w:ind w:firstLine="0"/>
        <w:rPr>
          <w:rFonts w:ascii="Times New Roman" w:hAnsi="Times New Roman" w:eastAsia="黑体"/>
          <w:b/>
          <w:bCs/>
          <w:color w:val="000000" w:themeColor="text1"/>
          <w:sz w:val="84"/>
          <w:highlight w:val="none"/>
          <w14:textFill>
            <w14:solidFill>
              <w14:schemeClr w14:val="tx1"/>
            </w14:solidFill>
          </w14:textFill>
        </w:rPr>
      </w:pPr>
      <w:r>
        <w:rPr>
          <w:rFonts w:ascii="Times New Roman" w:hAnsi="Times New Roman" w:eastAsia="黑体"/>
          <w:b/>
          <w:bCs/>
          <w:color w:val="000000" w:themeColor="text1"/>
          <w:sz w:val="84"/>
          <w:highlight w:val="none"/>
          <w14:textFill>
            <w14:solidFill>
              <w14:schemeClr w14:val="tx1"/>
            </w14:solidFill>
          </w14:textFill>
        </w:rPr>
      </w:r>
      <w:r/>
    </w:p>
    <w:p>
      <w:pPr>
        <w:pStyle w:val="1091"/>
        <w:ind w:firstLine="0"/>
        <w:jc w:val="center"/>
        <w:rPr>
          <w:rFonts w:ascii="Times New Roman" w:hAnsi="Times New Roman" w:eastAsia="黑体"/>
          <w:b/>
          <w:bCs/>
          <w:color w:val="000000" w:themeColor="text1"/>
          <w:sz w:val="84"/>
          <w:highlight w:val="none"/>
          <w14:textFill>
            <w14:solidFill>
              <w14:schemeClr w14:val="tx1"/>
            </w14:solidFill>
          </w14:textFill>
        </w:rPr>
      </w:pPr>
      <w:r>
        <w:rPr>
          <w:rFonts w:hint="eastAsia" w:ascii="Times New Roman" w:hAnsi="Times New Roman" w:eastAsia="黑体"/>
          <w:b/>
          <w:bCs/>
          <w:color w:val="000000" w:themeColor="text1"/>
          <w:sz w:val="84"/>
          <w:highlight w:val="none"/>
          <w14:textFill>
            <w14:solidFill>
              <w14:schemeClr w14:val="tx1"/>
            </w14:solidFill>
          </w14:textFill>
        </w:rPr>
        <w:t xml:space="preserve">招　标　文　件</w:t>
      </w:r>
      <w:r/>
    </w:p>
    <w:p>
      <w:pPr>
        <w:pStyle w:val="1091"/>
        <w:ind w:firstLine="0"/>
        <w:jc w:val="center"/>
        <w:rPr>
          <w:rFonts w:ascii="Times New Roman" w:hAnsi="Times New Roman"/>
          <w:b/>
          <w:bCs/>
          <w:color w:val="000000" w:themeColor="text1"/>
          <w:sz w:val="32"/>
          <w:highlight w:val="none"/>
          <w14:textFill>
            <w14:solidFill>
              <w14:schemeClr w14:val="tx1"/>
            </w14:solidFill>
          </w14:textFill>
        </w:rPr>
      </w:pPr>
      <w:r>
        <w:rPr>
          <w:rFonts w:ascii="Times New Roman" w:hAnsi="Times New Roman"/>
          <w:b/>
          <w:bCs/>
          <w:color w:val="000000" w:themeColor="text1"/>
          <w:sz w:val="32"/>
          <w:highlight w:val="none"/>
          <w14:textFill>
            <w14:solidFill>
              <w14:schemeClr w14:val="tx1"/>
            </w14:solidFill>
          </w14:textFill>
        </w:rPr>
      </w:r>
      <w:r/>
    </w:p>
    <w:p>
      <w:pPr>
        <w:pStyle w:val="1091"/>
        <w:ind w:firstLine="0"/>
        <w:jc w:val="center"/>
        <w:rPr>
          <w:rFonts w:ascii="Times New Roman" w:hAnsi="Times New Roman"/>
          <w:b/>
          <w:bCs/>
          <w:color w:val="000000" w:themeColor="text1"/>
          <w:sz w:val="32"/>
          <w:highlight w:val="none"/>
          <w14:textFill>
            <w14:solidFill>
              <w14:schemeClr w14:val="tx1"/>
            </w14:solidFill>
          </w14:textFill>
        </w:rPr>
      </w:pPr>
      <w:r>
        <w:rPr>
          <w:rFonts w:ascii="Times New Roman" w:hAnsi="Times New Roman"/>
          <w:b/>
          <w:bCs/>
          <w:color w:val="000000" w:themeColor="text1"/>
          <w:sz w:val="32"/>
          <w:highlight w:val="none"/>
          <w14:textFill>
            <w14:solidFill>
              <w14:schemeClr w14:val="tx1"/>
            </w14:solidFill>
          </w14:textFill>
        </w:rPr>
      </w:r>
      <w:r/>
    </w:p>
    <w:p>
      <w:pPr>
        <w:ind w:left="1925" w:hanging="1606"/>
        <w:rPr>
          <w:b/>
          <w:bCs/>
          <w:color w:val="000000" w:themeColor="text1"/>
          <w:sz w:val="32"/>
          <w:highlight w:val="none"/>
          <w14:textFill>
            <w14:solidFill>
              <w14:schemeClr w14:val="tx1"/>
            </w14:solidFill>
          </w14:textFill>
        </w:rPr>
      </w:pPr>
      <w:r>
        <w:rPr>
          <w:rFonts w:hint="eastAsia"/>
          <w:b/>
          <w:bCs/>
          <w:color w:val="000000" w:themeColor="text1"/>
          <w:sz w:val="32"/>
          <w:highlight w:val="none"/>
          <w14:textFill>
            <w14:solidFill>
              <w14:schemeClr w14:val="tx1"/>
            </w14:solidFill>
          </w14:textFill>
        </w:rPr>
        <w:t xml:space="preserve">项目名称：开展泗阳县城镇、农用地和集体建设用地基准地价更新等工作采购项目</w:t>
      </w:r>
      <w:r/>
    </w:p>
    <w:p>
      <w:pPr>
        <w:ind w:firstLine="321"/>
        <w:rPr>
          <w:rFonts w:hint="eastAsia"/>
          <w:b/>
          <w:bCs/>
          <w:color w:val="000000" w:themeColor="text1"/>
          <w:sz w:val="32"/>
          <w:highlight w:val="none"/>
          <w14:textFill>
            <w14:solidFill>
              <w14:schemeClr w14:val="tx1"/>
            </w14:solidFill>
          </w14:textFill>
        </w:rPr>
      </w:pPr>
      <w:r>
        <w:rPr>
          <w:rFonts w:hint="eastAsia"/>
          <w:b/>
          <w:bCs/>
          <w:color w:val="000000" w:themeColor="text1"/>
          <w:sz w:val="32"/>
          <w:highlight w:val="none"/>
          <w14:textFill>
            <w14:solidFill>
              <w14:schemeClr w14:val="tx1"/>
            </w14:solidFill>
          </w14:textFill>
        </w:rPr>
        <w:t xml:space="preserve">项目编号：JSZC-321323-NJJK-G2026-0014</w:t>
      </w:r>
      <w:r/>
    </w:p>
    <w:p>
      <w:pPr>
        <w:jc w:val="center"/>
        <w:rPr>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t xml:space="preserve">（服务类项目</w:t>
      </w:r>
      <w:r>
        <w:rPr>
          <w:b/>
          <w:color w:val="000000" w:themeColor="text1"/>
          <w:sz w:val="30"/>
          <w:szCs w:val="30"/>
          <w:highlight w:val="none"/>
          <w14:textFill>
            <w14:solidFill>
              <w14:schemeClr w14:val="tx1"/>
            </w14:solidFill>
          </w14:textFill>
        </w:rPr>
        <w:t xml:space="preserve">，</w:t>
      </w:r>
      <w:r>
        <w:rPr>
          <w:rFonts w:hint="eastAsia"/>
          <w:b/>
          <w:color w:val="000000" w:themeColor="text1"/>
          <w:sz w:val="30"/>
          <w:szCs w:val="30"/>
          <w:highlight w:val="none"/>
          <w14:textFill>
            <w14:solidFill>
              <w14:schemeClr w14:val="tx1"/>
            </w14:solidFill>
          </w14:textFill>
        </w:rPr>
        <w:t xml:space="preserve">本项目专门面向中小企业）</w:t>
      </w:r>
      <w:r/>
    </w:p>
    <w:p>
      <w:pPr>
        <w:pStyle w:val="1091"/>
        <w:ind w:firstLine="0"/>
        <w:spacing w:before="0" w:after="0"/>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r>
      <w:r/>
    </w:p>
    <w:p>
      <w:pPr>
        <w:pStyle w:val="1091"/>
        <w:ind w:firstLine="0"/>
        <w:spacing w:before="0" w:after="0"/>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r>
      <w:r/>
    </w:p>
    <w:p>
      <w:pPr>
        <w:pStyle w:val="1091"/>
        <w:ind w:firstLine="0"/>
        <w:spacing w:before="0" w:after="0"/>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r>
      <w:r/>
    </w:p>
    <w:p>
      <w:pPr>
        <w:pStyle w:val="1091"/>
        <w:ind w:firstLine="0"/>
        <w:spacing w:before="0" w:after="0"/>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r>
      <w:r/>
    </w:p>
    <w:p>
      <w:pPr>
        <w:pStyle w:val="1091"/>
        <w:ind w:firstLine="0"/>
        <w:spacing w:before="0" w:after="0"/>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r>
      <w:r/>
    </w:p>
    <w:p>
      <w:pPr>
        <w:pStyle w:val="1091"/>
        <w:ind w:firstLine="0"/>
        <w:spacing w:before="0" w:after="0"/>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r>
      <w:r/>
    </w:p>
    <w:p>
      <w:pPr>
        <w:pStyle w:val="1091"/>
        <w:ind w:firstLine="1054"/>
        <w:jc w:val="both"/>
        <w:rPr>
          <w:b/>
          <w:bCs/>
          <w:color w:val="000000" w:themeColor="text1"/>
          <w:sz w:val="32"/>
          <w:highlight w:val="none"/>
          <w:u w:val="single"/>
          <w14:textFill>
            <w14:solidFill>
              <w14:schemeClr w14:val="tx1"/>
            </w14:solidFill>
          </w14:textFill>
        </w:rPr>
      </w:pPr>
      <w:r>
        <w:rPr>
          <w:rFonts w:hint="eastAsia"/>
          <w:b/>
          <w:bCs/>
          <w:color w:val="000000" w:themeColor="text1"/>
          <w:sz w:val="32"/>
          <w:highlight w:val="none"/>
          <w14:textFill>
            <w14:solidFill>
              <w14:schemeClr w14:val="tx1"/>
            </w14:solidFill>
          </w14:textFill>
        </w:rPr>
        <w:t xml:space="preserve">采   购   人：</w:t>
      </w:r>
      <w:r>
        <w:rPr>
          <w:rFonts w:hint="eastAsia"/>
          <w:b/>
          <w:bCs/>
          <w:color w:val="000000" w:themeColor="text1"/>
          <w:sz w:val="32"/>
          <w:highlight w:val="none"/>
          <w:u w:val="single"/>
          <w14:textFill>
            <w14:solidFill>
              <w14:schemeClr w14:val="tx1"/>
            </w14:solidFill>
          </w14:textFill>
        </w:rPr>
        <w:t xml:space="preserve"> 泗阳县自然资源和规划局   </w:t>
      </w:r>
      <w:r/>
    </w:p>
    <w:p>
      <w:pPr>
        <w:pStyle w:val="1091"/>
        <w:ind w:firstLine="1054"/>
        <w:jc w:val="both"/>
        <w:rPr>
          <w:b/>
          <w:bCs/>
          <w:color w:val="000000" w:themeColor="text1"/>
          <w:sz w:val="32"/>
          <w:highlight w:val="none"/>
          <w:u w:val="single"/>
          <w14:textFill>
            <w14:solidFill>
              <w14:schemeClr w14:val="tx1"/>
            </w14:solidFill>
          </w14:textFill>
        </w:rPr>
      </w:pPr>
      <w:r>
        <w:rPr>
          <w:rFonts w:hint="eastAsia"/>
          <w:b/>
          <w:bCs/>
          <w:color w:val="000000" w:themeColor="text1"/>
          <w:sz w:val="32"/>
          <w:highlight w:val="none"/>
          <w14:textFill>
            <w14:solidFill>
              <w14:schemeClr w14:val="tx1"/>
            </w14:solidFill>
          </w14:textFill>
        </w:rPr>
        <w:t xml:space="preserve">采购代理机构：</w:t>
      </w:r>
      <w:r>
        <w:rPr>
          <w:rFonts w:hint="eastAsia"/>
          <w:b/>
          <w:bCs/>
          <w:color w:val="000000" w:themeColor="text1"/>
          <w:sz w:val="32"/>
          <w:highlight w:val="none"/>
          <w:u w:val="single"/>
          <w14:textFill>
            <w14:solidFill>
              <w14:schemeClr w14:val="tx1"/>
            </w14:solidFill>
          </w14:textFill>
        </w:rPr>
        <w:t xml:space="preserve"> </w:t>
      </w:r>
      <w:r>
        <w:rPr>
          <w:rFonts w:hint="eastAsia" w:ascii="宋体" w:hAnsi="宋体" w:cs="宋体"/>
          <w:b/>
          <w:color w:val="000000"/>
          <w:sz w:val="32"/>
          <w:highlight w:val="none"/>
          <w:u w:val="single"/>
        </w:rPr>
        <w:t xml:space="preserve">南京建凯建设项目管理有限公司</w:t>
      </w:r>
      <w:r>
        <w:rPr>
          <w:rFonts w:hint="eastAsia"/>
          <w:b/>
          <w:bCs/>
          <w:color w:val="000000" w:themeColor="text1"/>
          <w:sz w:val="32"/>
          <w:highlight w:val="none"/>
          <w:u w:val="single"/>
          <w14:textFill>
            <w14:solidFill>
              <w14:schemeClr w14:val="tx1"/>
            </w14:solidFill>
          </w14:textFill>
        </w:rPr>
        <w:t xml:space="preserve">  </w:t>
      </w:r>
      <w:r/>
    </w:p>
    <w:p>
      <w:pPr>
        <w:pStyle w:val="1091"/>
        <w:ind w:firstLine="3213"/>
        <w:jc w:val="both"/>
        <w:rPr>
          <w:rFonts w:ascii="Times New Roman" w:hAnsi="Times New Roman"/>
          <w:b/>
          <w:bCs/>
          <w:color w:val="000000" w:themeColor="text1"/>
          <w:sz w:val="32"/>
          <w:highlight w:val="none"/>
          <w14:textFill>
            <w14:solidFill>
              <w14:schemeClr w14:val="tx1"/>
            </w14:solidFill>
          </w14:textFill>
        </w:rPr>
      </w:pPr>
      <w:r>
        <w:rPr>
          <w:rFonts w:ascii="Times New Roman" w:hAnsi="Times New Roman"/>
          <w:b/>
          <w:bCs/>
          <w:color w:val="000000" w:themeColor="text1"/>
          <w:sz w:val="32"/>
          <w:highlight w:val="none"/>
          <w14:textFill>
            <w14:solidFill>
              <w14:schemeClr w14:val="tx1"/>
            </w14:solidFill>
          </w14:textFill>
        </w:rPr>
      </w:r>
      <w:r/>
    </w:p>
    <w:p>
      <w:pPr>
        <w:pStyle w:val="1091"/>
        <w:ind w:firstLine="3213"/>
        <w:jc w:val="both"/>
        <w:rPr>
          <w:rFonts w:ascii="Times New Roman" w:hAnsi="Times New Roman"/>
          <w:b/>
          <w:bCs/>
          <w:color w:val="000000" w:themeColor="text1"/>
          <w:sz w:val="32"/>
          <w:highlight w:val="none"/>
          <w14:textFill>
            <w14:solidFill>
              <w14:schemeClr w14:val="tx1"/>
            </w14:solidFill>
          </w14:textFill>
        </w:rPr>
      </w:pPr>
      <w:r>
        <w:rPr>
          <w:rFonts w:ascii="Times New Roman" w:hAnsi="Times New Roman"/>
          <w:b/>
          <w:bCs/>
          <w:color w:val="000000" w:themeColor="text1"/>
          <w:sz w:val="32"/>
          <w:highlight w:val="none"/>
          <w14:textFill>
            <w14:solidFill>
              <w14:schemeClr w14:val="tx1"/>
            </w14:solidFill>
          </w14:textFill>
        </w:rPr>
        <w:t xml:space="preserve">202</w:t>
      </w:r>
      <w:r>
        <w:rPr>
          <w:rFonts w:hint="eastAsia" w:ascii="Times New Roman" w:hAnsi="Times New Roman"/>
          <w:b/>
          <w:bCs/>
          <w:color w:val="000000" w:themeColor="text1"/>
          <w:sz w:val="32"/>
          <w:highlight w:val="none"/>
          <w14:textFill>
            <w14:solidFill>
              <w14:schemeClr w14:val="tx1"/>
            </w14:solidFill>
          </w14:textFill>
        </w:rPr>
        <w:t xml:space="preserve">6年</w:t>
      </w:r>
      <w:r>
        <w:rPr>
          <w:rFonts w:hint="eastAsia" w:ascii="Times New Roman" w:hAnsi="Times New Roman"/>
          <w:b/>
          <w:bCs/>
          <w:color w:val="000000" w:themeColor="text1"/>
          <w:sz w:val="32"/>
          <w:highlight w:val="none"/>
          <w:lang w:val="en-US" w:eastAsia="zh-CN"/>
          <w14:textFill>
            <w14:solidFill>
              <w14:schemeClr w14:val="tx1"/>
            </w14:solidFill>
          </w14:textFill>
        </w:rPr>
        <w:t xml:space="preserve">9</w:t>
      </w:r>
      <w:r>
        <w:rPr>
          <w:rFonts w:hint="eastAsia" w:ascii="Times New Roman" w:hAnsi="Times New Roman"/>
          <w:b/>
          <w:bCs/>
          <w:color w:val="000000" w:themeColor="text1"/>
          <w:sz w:val="32"/>
          <w:highlight w:val="none"/>
          <w14:textFill>
            <w14:solidFill>
              <w14:schemeClr w14:val="tx1"/>
            </w14:solidFill>
          </w14:textFill>
        </w:rPr>
        <w:t xml:space="preserve">月24</w:t>
      </w:r>
      <w:r>
        <w:rPr>
          <w:rFonts w:hint="eastAsia" w:ascii="Times New Roman" w:hAnsi="Times New Roman"/>
          <w:b/>
          <w:bCs/>
          <w:color w:val="000000" w:themeColor="text1"/>
          <w:sz w:val="32"/>
          <w:highlight w:val="none"/>
          <w14:textFill>
            <w14:solidFill>
              <w14:schemeClr w14:val="tx1"/>
            </w14:solidFill>
          </w14:textFill>
        </w:rPr>
        <w:t xml:space="preserve">日</w:t>
      </w:r>
      <w:r/>
    </w:p>
    <w:p>
      <w:pPr>
        <w:pStyle w:val="1091"/>
        <w:ind w:firstLine="0"/>
        <w:rPr>
          <w:rFonts w:ascii="Times New Roman" w:hAnsi="Times New Roman"/>
          <w:color w:val="000000" w:themeColor="text1"/>
          <w:highlight w:val="none"/>
          <w:u w:val="singl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t xml:space="preserve">                        </w:t>
      </w:r>
      <w:r/>
    </w:p>
    <w:p>
      <w:pPr>
        <w:pStyle w:val="1091"/>
        <w:ind w:firstLine="0"/>
        <w:jc w:val="center"/>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r>
      <w:r/>
    </w:p>
    <w:p>
      <w:pPr>
        <w:pStyle w:val="1003"/>
        <w:rPr>
          <w:rFonts w:ascii="Times New Roman" w:eastAsia="黑体"/>
          <w:color w:val="000000" w:themeColor="text1"/>
          <w:sz w:val="44"/>
          <w:szCs w:val="44"/>
          <w:highlight w:val="none"/>
          <w14:textFill>
            <w14:solidFill>
              <w14:schemeClr w14:val="tx1"/>
            </w14:solidFill>
          </w14:textFill>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pPr>
      <w:r/>
      <w:bookmarkStart w:id="0" w:name="_Toc120614210"/>
      <w:r/>
      <w:bookmarkStart w:id="1" w:name="_Toc513029200"/>
      <w:r/>
      <w:bookmarkStart w:id="2" w:name="_Toc16938516"/>
      <w:r/>
      <w:bookmarkStart w:id="3" w:name="_Toc479757206"/>
      <w:r/>
      <w:bookmarkStart w:id="4" w:name="_Toc20823272"/>
      <w:r/>
      <w:bookmarkStart w:id="5" w:name="_Toc523127445"/>
      <w:r/>
      <w:r/>
    </w:p>
    <w:p>
      <w:pPr>
        <w:jc w:val="center"/>
        <w:spacing w:line="480" w:lineRule="auto"/>
        <w:rPr>
          <w:rFonts w:hint="eastAsia" w:eastAsia="黑体"/>
          <w:b/>
          <w:sz w:val="44"/>
          <w:highlight w:val="none"/>
        </w:rPr>
        <w:outlineLvl w:val="0"/>
      </w:pPr>
      <w:r>
        <w:rPr>
          <w:rFonts w:hint="eastAsia"/>
          <w:highlight w:val="none"/>
        </w:rPr>
        <w:t xml:space="preserve"> </w:t>
      </w:r>
      <w:r>
        <w:rPr>
          <w:rFonts w:hint="eastAsia" w:eastAsia="黑体"/>
          <w:b/>
          <w:sz w:val="44"/>
          <w:highlight w:val="none"/>
        </w:rPr>
        <w:t xml:space="preserve">总  目  录</w:t>
      </w:r>
      <w:r/>
    </w:p>
    <w:p>
      <w:pPr>
        <w:spacing w:line="480" w:lineRule="auto"/>
        <w:rPr>
          <w:rFonts w:hint="eastAsia" w:eastAsia="仿宋_GB2312"/>
          <w:b/>
          <w:sz w:val="28"/>
          <w:highlight w:val="none"/>
        </w:rPr>
      </w:pPr>
      <w:r>
        <w:rPr>
          <w:rFonts w:hint="eastAsia" w:eastAsia="仿宋_GB2312"/>
          <w:b/>
          <w:sz w:val="28"/>
          <w:highlight w:val="none"/>
        </w:rPr>
      </w:r>
      <w:r/>
    </w:p>
    <w:p>
      <w:pPr>
        <w:numPr>
          <w:ilvl w:val="0"/>
          <w:numId w:val="4"/>
        </w:numPr>
        <w:spacing w:line="480" w:lineRule="auto"/>
        <w:rPr>
          <w:rFonts w:hint="eastAsia" w:eastAsia="黑体"/>
          <w:sz w:val="32"/>
          <w:highlight w:val="none"/>
        </w:rPr>
        <w:outlineLvl w:val="0"/>
      </w:pPr>
      <w:r>
        <w:rPr>
          <w:rFonts w:hint="eastAsia" w:eastAsia="黑体"/>
          <w:sz w:val="36"/>
          <w:highlight w:val="none"/>
        </w:rPr>
        <w:t xml:space="preserve">投标邀请 </w:t>
      </w:r>
      <w:r/>
    </w:p>
    <w:p>
      <w:pPr>
        <w:numPr>
          <w:ilvl w:val="0"/>
          <w:numId w:val="4"/>
        </w:numPr>
        <w:spacing w:line="480" w:lineRule="auto"/>
        <w:rPr>
          <w:rFonts w:hint="eastAsia" w:eastAsia="黑体"/>
          <w:sz w:val="36"/>
          <w:highlight w:val="none"/>
        </w:rPr>
        <w:outlineLvl w:val="0"/>
      </w:pPr>
      <w:r>
        <w:rPr>
          <w:rFonts w:hint="eastAsia" w:eastAsia="黑体"/>
          <w:bCs/>
          <w:sz w:val="36"/>
          <w:szCs w:val="36"/>
          <w:highlight w:val="none"/>
        </w:rPr>
        <w:t xml:space="preserve">投标人须知</w:t>
      </w:r>
      <w:r>
        <w:rPr>
          <w:rFonts w:hint="eastAsia" w:eastAsia="黑体"/>
          <w:sz w:val="36"/>
          <w:highlight w:val="none"/>
        </w:rPr>
        <w:t xml:space="preserve">  </w:t>
      </w:r>
      <w:r/>
    </w:p>
    <w:p>
      <w:pPr>
        <w:numPr>
          <w:ilvl w:val="0"/>
          <w:numId w:val="4"/>
        </w:numPr>
        <w:spacing w:line="480" w:lineRule="auto"/>
        <w:rPr>
          <w:rFonts w:hint="eastAsia" w:eastAsia="黑体"/>
          <w:sz w:val="36"/>
          <w:highlight w:val="none"/>
        </w:rPr>
        <w:outlineLvl w:val="0"/>
      </w:pPr>
      <w:r>
        <w:rPr>
          <w:rFonts w:hint="eastAsia" w:eastAsia="黑体"/>
          <w:sz w:val="36"/>
          <w:highlight w:val="none"/>
        </w:rPr>
        <w:t xml:space="preserve">合同文本</w:t>
      </w:r>
      <w:r/>
    </w:p>
    <w:p>
      <w:pPr>
        <w:numPr>
          <w:ilvl w:val="0"/>
          <w:numId w:val="4"/>
        </w:numPr>
        <w:spacing w:line="480" w:lineRule="auto"/>
        <w:rPr>
          <w:rFonts w:hint="eastAsia" w:eastAsia="黑体"/>
          <w:sz w:val="36"/>
          <w:highlight w:val="none"/>
        </w:rPr>
        <w:outlineLvl w:val="0"/>
      </w:pPr>
      <w:r>
        <w:rPr>
          <w:rFonts w:hint="eastAsia" w:eastAsia="黑体"/>
          <w:sz w:val="36"/>
          <w:highlight w:val="none"/>
        </w:rPr>
        <w:t xml:space="preserve">采购需求</w:t>
      </w:r>
      <w:r/>
    </w:p>
    <w:p>
      <w:pPr>
        <w:numPr>
          <w:ilvl w:val="0"/>
          <w:numId w:val="4"/>
        </w:numPr>
        <w:spacing w:line="480" w:lineRule="auto"/>
        <w:rPr>
          <w:rFonts w:hint="eastAsia" w:eastAsia="黑体"/>
          <w:sz w:val="36"/>
          <w:highlight w:val="none"/>
        </w:rPr>
        <w:outlineLvl w:val="0"/>
      </w:pPr>
      <w:r>
        <w:rPr>
          <w:rFonts w:hint="eastAsia" w:eastAsia="黑体"/>
          <w:bCs/>
          <w:sz w:val="36"/>
          <w:szCs w:val="36"/>
          <w:highlight w:val="none"/>
        </w:rPr>
        <w:t xml:space="preserve">评标方法与评标标准</w:t>
      </w:r>
      <w:r/>
    </w:p>
    <w:p>
      <w:pPr>
        <w:numPr>
          <w:ilvl w:val="0"/>
          <w:numId w:val="4"/>
        </w:numPr>
        <w:spacing w:line="480" w:lineRule="auto"/>
        <w:rPr>
          <w:rFonts w:hint="eastAsia" w:eastAsia="黑体"/>
          <w:sz w:val="36"/>
          <w:highlight w:val="none"/>
        </w:rPr>
        <w:outlineLvl w:val="0"/>
      </w:pPr>
      <w:r>
        <w:rPr>
          <w:rFonts w:hint="eastAsia" w:eastAsia="黑体"/>
          <w:sz w:val="36"/>
          <w:highlight w:val="none"/>
        </w:rPr>
        <w:t xml:space="preserve">投标文件格式</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1003"/>
        <w:rPr>
          <w:rFonts w:hint="eastAsia" w:ascii="Times New Roman" w:eastAsia="黑体"/>
          <w:color w:val="000000" w:themeColor="text1"/>
          <w:sz w:val="44"/>
          <w:szCs w:val="44"/>
          <w:highlight w:val="none"/>
          <w14:textFill>
            <w14:solidFill>
              <w14:schemeClr w14:val="tx1"/>
            </w14:solidFill>
          </w14:textFill>
        </w:rPr>
      </w:pPr>
      <w:r>
        <w:rPr>
          <w:rFonts w:hint="eastAsia" w:ascii="Times New Roman" w:eastAsia="黑体"/>
          <w:color w:val="000000" w:themeColor="text1"/>
          <w:sz w:val="44"/>
          <w:szCs w:val="44"/>
          <w:highlight w:val="none"/>
          <w14:textFill>
            <w14:solidFill>
              <w14:schemeClr w14:val="tx1"/>
            </w14:solidFill>
          </w14:textFill>
        </w:rPr>
      </w:r>
      <w:r/>
    </w:p>
    <w:p>
      <w:pPr>
        <w:pStyle w:val="1003"/>
        <w:rPr>
          <w:rFonts w:hint="eastAsia" w:ascii="Times New Roman" w:eastAsia="黑体"/>
          <w:color w:val="000000" w:themeColor="text1"/>
          <w:sz w:val="44"/>
          <w:szCs w:val="44"/>
          <w:highlight w:val="none"/>
          <w14:textFill>
            <w14:solidFill>
              <w14:schemeClr w14:val="tx1"/>
            </w14:solidFill>
          </w14:textFill>
        </w:rPr>
      </w:pPr>
      <w:r>
        <w:rPr>
          <w:rFonts w:hint="eastAsia" w:ascii="Times New Roman" w:eastAsia="黑体"/>
          <w:color w:val="000000" w:themeColor="text1"/>
          <w:sz w:val="44"/>
          <w:szCs w:val="44"/>
          <w:highlight w:val="none"/>
          <w14:textFill>
            <w14:solidFill>
              <w14:schemeClr w14:val="tx1"/>
            </w14:solidFill>
          </w14:textFill>
        </w:rPr>
      </w:r>
      <w:r/>
    </w:p>
    <w:p>
      <w:pPr>
        <w:pStyle w:val="1003"/>
        <w:rPr>
          <w:rFonts w:hint="eastAsia" w:ascii="Times New Roman" w:eastAsia="黑体"/>
          <w:color w:val="000000" w:themeColor="text1"/>
          <w:sz w:val="44"/>
          <w:szCs w:val="44"/>
          <w:highlight w:val="none"/>
          <w14:textFill>
            <w14:solidFill>
              <w14:schemeClr w14:val="tx1"/>
            </w14:solidFill>
          </w14:textFill>
        </w:rPr>
      </w:pPr>
      <w:r>
        <w:rPr>
          <w:rFonts w:hint="eastAsia" w:ascii="Times New Roman" w:eastAsia="黑体"/>
          <w:color w:val="000000" w:themeColor="text1"/>
          <w:sz w:val="44"/>
          <w:szCs w:val="44"/>
          <w:highlight w:val="none"/>
          <w14:textFill>
            <w14:solidFill>
              <w14:schemeClr w14:val="tx1"/>
            </w14:solidFill>
          </w14:textFill>
        </w:rPr>
      </w:r>
      <w:r/>
    </w:p>
    <w:p>
      <w:pPr>
        <w:pStyle w:val="1003"/>
        <w:rPr>
          <w:rFonts w:hint="eastAsia" w:ascii="Times New Roman" w:eastAsia="黑体"/>
          <w:color w:val="000000" w:themeColor="text1"/>
          <w:sz w:val="44"/>
          <w:szCs w:val="44"/>
          <w:highlight w:val="none"/>
          <w14:textFill>
            <w14:solidFill>
              <w14:schemeClr w14:val="tx1"/>
            </w14:solidFill>
          </w14:textFill>
        </w:rPr>
      </w:pPr>
      <w:r>
        <w:rPr>
          <w:rFonts w:hint="eastAsia" w:ascii="Times New Roman" w:eastAsia="黑体"/>
          <w:color w:val="000000" w:themeColor="text1"/>
          <w:sz w:val="44"/>
          <w:szCs w:val="44"/>
          <w:highlight w:val="none"/>
          <w14:textFill>
            <w14:solidFill>
              <w14:schemeClr w14:val="tx1"/>
            </w14:solidFill>
          </w14:textFill>
        </w:rPr>
      </w:r>
      <w:r/>
    </w:p>
    <w:p>
      <w:pPr>
        <w:pStyle w:val="1003"/>
        <w:jc w:val="both"/>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pStyle w:val="1003"/>
        <w:rPr>
          <w:rFonts w:hint="eastAsia" w:ascii="Times New Roman" w:eastAsia="黑体"/>
          <w:color w:val="000000" w:themeColor="text1"/>
          <w:sz w:val="44"/>
          <w:szCs w:val="44"/>
          <w:highlight w:val="none"/>
          <w14:textFill>
            <w14:solidFill>
              <w14:schemeClr w14:val="tx1"/>
            </w14:solidFill>
          </w14:textFill>
        </w:rPr>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720" w:equalWidth="1"/>
          <w:docGrid w:linePitch="360"/>
          <w:titlePg/>
        </w:sectPr>
      </w:pPr>
      <w:r>
        <w:rPr>
          <w:rFonts w:hint="eastAsia" w:ascii="Times New Roman" w:eastAsia="黑体"/>
          <w:color w:val="000000" w:themeColor="text1"/>
          <w:sz w:val="44"/>
          <w:szCs w:val="44"/>
          <w:highlight w:val="none"/>
          <w14:textFill>
            <w14:solidFill>
              <w14:schemeClr w14:val="tx1"/>
            </w14:solidFill>
          </w14:textFill>
        </w:rPr>
      </w:r>
      <w:r/>
    </w:p>
    <w:p>
      <w:pPr>
        <w:pStyle w:val="1003"/>
        <w:rPr>
          <w:rFonts w:ascii="Times New Roman" w:eastAsia="黑体"/>
          <w:bCs/>
          <w:color w:val="000000" w:themeColor="text1"/>
          <w:sz w:val="44"/>
          <w:szCs w:val="44"/>
          <w:highlight w:val="none"/>
          <w14:textFill>
            <w14:solidFill>
              <w14:schemeClr w14:val="tx1"/>
            </w14:solidFill>
          </w14:textFill>
        </w:rPr>
      </w:pPr>
      <w:r>
        <w:rPr>
          <w:rFonts w:hint="eastAsia" w:ascii="Times New Roman" w:eastAsia="黑体"/>
          <w:color w:val="000000" w:themeColor="text1"/>
          <w:sz w:val="44"/>
          <w:szCs w:val="44"/>
          <w:highlight w:val="none"/>
          <w14:textFill>
            <w14:solidFill>
              <w14:schemeClr w14:val="tx1"/>
            </w14:solidFill>
          </w14:textFill>
        </w:rPr>
        <w:t xml:space="preserve">第一章  </w:t>
      </w:r>
      <w:bookmarkEnd w:id="0"/>
      <w:r>
        <w:rPr>
          <w:rFonts w:hint="eastAsia" w:ascii="Times New Roman" w:eastAsia="黑体"/>
          <w:color w:val="000000" w:themeColor="text1"/>
          <w:sz w:val="44"/>
          <w:szCs w:val="44"/>
          <w:highlight w:val="none"/>
          <w14:textFill>
            <w14:solidFill>
              <w14:schemeClr w14:val="tx1"/>
            </w14:solidFill>
          </w14:textFill>
        </w:rPr>
        <w:t xml:space="preserve">投标邀请</w:t>
      </w:r>
      <w:r/>
    </w:p>
    <w:p>
      <w:pPr>
        <w:ind w:firstLine="482"/>
        <w:spacing w:line="52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受</w:t>
      </w:r>
      <w:r>
        <w:rPr>
          <w:rFonts w:hint="eastAsia" w:ascii="宋体" w:hAnsi="宋体" w:cs="仿宋_GB2312"/>
          <w:color w:val="000000" w:themeColor="text1"/>
          <w:sz w:val="24"/>
          <w:szCs w:val="24"/>
          <w:highlight w:val="none"/>
          <w:u w:val="single"/>
          <w14:textFill>
            <w14:solidFill>
              <w14:schemeClr w14:val="tx1"/>
            </w14:solidFill>
          </w14:textFill>
        </w:rPr>
        <w:t xml:space="preserve">泗阳县自然资源和规划局</w:t>
      </w:r>
      <w:r>
        <w:rPr>
          <w:rFonts w:hint="eastAsia"/>
          <w:color w:val="000000" w:themeColor="text1"/>
          <w:sz w:val="24"/>
          <w:szCs w:val="24"/>
          <w:highlight w:val="none"/>
          <w14:textFill>
            <w14:solidFill>
              <w14:schemeClr w14:val="tx1"/>
            </w14:solidFill>
          </w14:textFill>
        </w:rPr>
        <w:t xml:space="preserve">的委托，</w:t>
      </w:r>
      <w:r>
        <w:rPr>
          <w:rFonts w:hint="eastAsia" w:ascii="宋体" w:hAnsi="宋体" w:cs="宋体"/>
          <w:color w:val="000000"/>
          <w:sz w:val="24"/>
          <w:highlight w:val="none"/>
          <w:u w:val="single"/>
        </w:rPr>
        <w:t xml:space="preserve">南京建凯建设项目管理有限公司</w:t>
      </w:r>
      <w:r>
        <w:rPr>
          <w:rFonts w:hint="eastAsia"/>
          <w:color w:val="000000" w:themeColor="text1"/>
          <w:sz w:val="24"/>
          <w:szCs w:val="24"/>
          <w:highlight w:val="none"/>
          <w14:textFill>
            <w14:solidFill>
              <w14:schemeClr w14:val="tx1"/>
            </w14:solidFill>
          </w14:textFill>
        </w:rPr>
        <w:t xml:space="preserve">就</w:t>
      </w:r>
      <w:r>
        <w:rPr>
          <w:rFonts w:hint="eastAsia"/>
          <w:color w:val="000000" w:themeColor="text1"/>
          <w:sz w:val="24"/>
          <w:szCs w:val="24"/>
          <w:highlight w:val="none"/>
          <w:u w:val="single"/>
          <w14:textFill>
            <w14:solidFill>
              <w14:schemeClr w14:val="tx1"/>
            </w14:solidFill>
          </w14:textFill>
        </w:rPr>
        <w:t xml:space="preserve">开展泗阳县城镇、农用地和集体建设用地基准地价更新等工作采购项目([项目编号：JSZC-321323-NJJK-G2026-0014)</w:t>
      </w:r>
      <w:r>
        <w:rPr>
          <w:rFonts w:hint="eastAsia"/>
          <w:color w:val="000000" w:themeColor="text1"/>
          <w:sz w:val="24"/>
          <w:szCs w:val="24"/>
          <w:highlight w:val="none"/>
          <w14:textFill>
            <w14:solidFill>
              <w14:schemeClr w14:val="tx1"/>
            </w14:solidFill>
          </w14:textFill>
        </w:rPr>
        <w:t xml:space="preserve">进行公开招标采购，欢迎符合条件的投标人投标。</w:t>
      </w:r>
      <w:r/>
    </w:p>
    <w:p>
      <w:pPr>
        <w:ind w:firstLine="482"/>
        <w:spacing w:line="520" w:lineRule="exact"/>
        <w:rPr>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color w:val="000000" w:themeColor="text1"/>
          <w:sz w:val="24"/>
          <w:szCs w:val="24"/>
          <w:highlight w:val="none"/>
          <w14:textFill>
            <w14:solidFill>
              <w14:schemeClr w14:val="tx1"/>
            </w14:solidFill>
          </w14:textFill>
        </w:rPr>
        <w:t xml:space="preserve">项目概况</w:t>
      </w:r>
      <w:r/>
    </w:p>
    <w:p>
      <w:pPr>
        <w:ind w:firstLine="482"/>
        <w:spacing w:line="520" w:lineRule="exact"/>
        <w:rPr>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color w:val="000000" w:themeColor="text1"/>
          <w:sz w:val="24"/>
          <w:szCs w:val="24"/>
          <w:highlight w:val="none"/>
          <w:u w:val="single"/>
          <w14:textFill>
            <w14:solidFill>
              <w14:schemeClr w14:val="tx1"/>
            </w14:solidFill>
          </w14:textFill>
        </w:rPr>
        <w:t xml:space="preserve"> 开展泗阳县城镇、农用地和集体建设用地基准地价更新等工作采购项目</w:t>
      </w:r>
      <w:r>
        <w:rPr>
          <w:rFonts w:hint="eastAsia"/>
          <w:color w:val="000000" w:themeColor="text1"/>
          <w:sz w:val="24"/>
          <w:szCs w:val="24"/>
          <w:highlight w:val="none"/>
          <w14:textFill>
            <w14:solidFill>
              <w14:schemeClr w14:val="tx1"/>
            </w14:solidFill>
          </w14:textFill>
        </w:rPr>
        <w:t xml:space="preserve">招标项目的潜在投标人可在</w:t>
      </w:r>
      <w:r>
        <w:rPr>
          <w:rFonts w:hint="eastAsia"/>
          <w:color w:val="000000" w:themeColor="text1"/>
          <w:sz w:val="24"/>
          <w:szCs w:val="24"/>
          <w:highlight w:val="none"/>
          <w:u w:val="single"/>
          <w14:textFill>
            <w14:solidFill>
              <w14:schemeClr w14:val="tx1"/>
            </w14:solidFill>
          </w14:textFill>
        </w:rPr>
        <w:t xml:space="preserve">“宿迁市政府采购网”自行免费下载</w:t>
      </w:r>
      <w:r>
        <w:rPr>
          <w:rFonts w:hint="eastAsia"/>
          <w:color w:val="000000" w:themeColor="text1"/>
          <w:sz w:val="24"/>
          <w:szCs w:val="24"/>
          <w:highlight w:val="none"/>
          <w14:textFill>
            <w14:solidFill>
              <w14:schemeClr w14:val="tx1"/>
            </w14:solidFill>
          </w14:textFill>
        </w:rPr>
        <w:t xml:space="preserve">招标文件，并</w:t>
      </w:r>
      <w:r>
        <w:rPr>
          <w:rFonts w:hint="eastAsia"/>
          <w:color w:val="000000" w:themeColor="text1"/>
          <w:sz w:val="24"/>
          <w:szCs w:val="24"/>
          <w:highlight w:val="none"/>
          <w14:textFill>
            <w14:solidFill>
              <w14:schemeClr w14:val="tx1"/>
            </w14:solidFill>
          </w14:textFill>
        </w:rPr>
        <w:t xml:space="preserve">于</w:t>
      </w:r>
      <w:r>
        <w:rPr>
          <w:color w:val="000000" w:themeColor="text1"/>
          <w:sz w:val="24"/>
          <w:szCs w:val="24"/>
          <w:highlight w:val="none"/>
          <w:u w:val="single"/>
          <w14:textFill>
            <w14:solidFill>
              <w14:schemeClr w14:val="tx1"/>
            </w14:solidFill>
          </w14:textFill>
        </w:rPr>
        <w:t xml:space="preserve">202</w:t>
      </w:r>
      <w:r>
        <w:rPr>
          <w:rFonts w:hint="eastAsia"/>
          <w:color w:val="000000" w:themeColor="text1"/>
          <w:sz w:val="24"/>
          <w:szCs w:val="24"/>
          <w:highlight w:val="none"/>
          <w:u w:val="single"/>
          <w14:textFill>
            <w14:solidFill>
              <w14:schemeClr w14:val="tx1"/>
            </w14:solidFill>
          </w14:textFill>
        </w:rPr>
        <w:t xml:space="preserve">6</w:t>
      </w:r>
      <w:r>
        <w:rPr>
          <w:rFonts w:hint="eastAsia"/>
          <w:bCs/>
          <w:color w:val="000000" w:themeColor="text1"/>
          <w:sz w:val="24"/>
          <w:szCs w:val="24"/>
          <w:highlight w:val="none"/>
          <w:u w:val="single"/>
          <w14:textFill>
            <w14:solidFill>
              <w14:schemeClr w14:val="tx1"/>
            </w14:solidFill>
          </w14:textFill>
        </w:rPr>
        <w:t xml:space="preserve">年10月   19日9</w:t>
      </w:r>
      <w:r>
        <w:rPr>
          <w:rFonts w:hint="eastAsia"/>
          <w:bCs/>
          <w:color w:val="000000" w:themeColor="text1"/>
          <w:sz w:val="24"/>
          <w:szCs w:val="24"/>
          <w:highlight w:val="none"/>
          <w:u w:val="single"/>
          <w14:textFill>
            <w14:solidFill>
              <w14:schemeClr w14:val="tx1"/>
            </w14:solidFill>
          </w14:textFill>
        </w:rPr>
        <w:t xml:space="preserve">点</w:t>
      </w:r>
      <w:r>
        <w:rPr>
          <w:bCs/>
          <w:color w:val="000000" w:themeColor="text1"/>
          <w:sz w:val="24"/>
          <w:szCs w:val="24"/>
          <w:highlight w:val="none"/>
          <w:u w:val="single"/>
          <w14:textFill>
            <w14:solidFill>
              <w14:schemeClr w14:val="tx1"/>
            </w14:solidFill>
          </w14:textFill>
        </w:rPr>
        <w:t xml:space="preserve">00</w:t>
      </w:r>
      <w:r>
        <w:rPr>
          <w:rFonts w:hint="eastAsia"/>
          <w:bCs/>
          <w:color w:val="000000" w:themeColor="text1"/>
          <w:sz w:val="24"/>
          <w:szCs w:val="24"/>
          <w:highlight w:val="none"/>
          <w:u w:val="single"/>
          <w14:textFill>
            <w14:solidFill>
              <w14:schemeClr w14:val="tx1"/>
            </w14:solidFill>
          </w14:textFill>
        </w:rPr>
        <w:t xml:space="preserve">分</w:t>
      </w:r>
      <w:r>
        <w:rPr>
          <w:rFonts w:hint="eastAsia"/>
          <w:bCs/>
          <w:color w:val="000000" w:themeColor="text1"/>
          <w:sz w:val="24"/>
          <w:szCs w:val="24"/>
          <w:highlight w:val="none"/>
          <w:u w:val="single"/>
          <w14:textFill>
            <w14:solidFill>
              <w14:schemeClr w14:val="tx1"/>
            </w14:solidFill>
          </w14:textFill>
        </w:rPr>
        <w:t xml:space="preserve">（</w:t>
      </w:r>
      <w:r>
        <w:rPr>
          <w:rFonts w:hint="eastAsia"/>
          <w:bCs/>
          <w:color w:val="000000" w:themeColor="text1"/>
          <w:sz w:val="24"/>
          <w:szCs w:val="24"/>
          <w:highlight w:val="none"/>
          <w14:textFill>
            <w14:solidFill>
              <w14:schemeClr w14:val="tx1"/>
            </w14:solidFill>
          </w14:textFill>
        </w:rPr>
        <w:t xml:space="preserve">北京时间）前递交投标</w:t>
      </w:r>
      <w:r>
        <w:rPr>
          <w:bCs/>
          <w:color w:val="000000" w:themeColor="text1"/>
          <w:sz w:val="24"/>
          <w:szCs w:val="24"/>
          <w:highlight w:val="none"/>
          <w14:textFill>
            <w14:solidFill>
              <w14:schemeClr w14:val="tx1"/>
            </w14:solidFill>
          </w14:textFill>
        </w:rPr>
        <w:t xml:space="preserve">文件</w:t>
      </w:r>
      <w:r>
        <w:rPr>
          <w:rFonts w:hint="eastAsia"/>
          <w:color w:val="000000" w:themeColor="text1"/>
          <w:sz w:val="24"/>
          <w:szCs w:val="24"/>
          <w:highlight w:val="none"/>
          <w14:textFill>
            <w14:solidFill>
              <w14:schemeClr w14:val="tx1"/>
            </w14:solidFill>
          </w14:textFill>
        </w:rPr>
        <w:t xml:space="preserve">。</w:t>
      </w:r>
      <w:r>
        <w:rPr>
          <w:highlight w:val="none"/>
        </w:rPr>
      </w:r>
      <w:r/>
    </w:p>
    <w:p>
      <w:pPr>
        <w:pStyle w:val="1005"/>
        <w:ind w:firstLine="498"/>
        <w:spacing w:before="0" w:after="0" w:line="520" w:lineRule="exact"/>
        <w:rPr>
          <w:color w:val="000000" w:themeColor="text1"/>
          <w:highlight w:val="none"/>
          <w14:textFill>
            <w14:solidFill>
              <w14:schemeClr w14:val="tx1"/>
            </w14:solidFill>
          </w14:textFill>
        </w:rPr>
      </w:pPr>
      <w:r/>
      <w:bookmarkStart w:id="6" w:name="_Toc28359002"/>
      <w:r/>
      <w:bookmarkStart w:id="7" w:name="_Toc35393790"/>
      <w:r/>
      <w:bookmarkStart w:id="8" w:name="_Toc28359079"/>
      <w:r/>
      <w:bookmarkStart w:id="9" w:name="_Toc38985263"/>
      <w:r/>
      <w:bookmarkStart w:id="10" w:name="_Toc35393621"/>
      <w:r/>
      <w:bookmarkStart w:id="11" w:name="_Hlk24379207"/>
      <w:r>
        <w:rPr>
          <w:rFonts w:hint="eastAsia"/>
          <w:color w:val="000000" w:themeColor="text1"/>
          <w:highlight w:val="none"/>
          <w14:textFill>
            <w14:solidFill>
              <w14:schemeClr w14:val="tx1"/>
            </w14:solidFill>
          </w14:textFill>
        </w:rPr>
        <w:t xml:space="preserve">一、项目基本情况</w:t>
      </w:r>
      <w:bookmarkEnd w:id="6"/>
      <w:r/>
      <w:bookmarkEnd w:id="7"/>
      <w:r/>
      <w:bookmarkEnd w:id="8"/>
      <w:r/>
      <w:bookmarkEnd w:id="9"/>
      <w:r/>
      <w:bookmarkEnd w:id="10"/>
      <w:r/>
      <w:r/>
    </w:p>
    <w:p>
      <w:pPr>
        <w:ind w:firstLine="482"/>
        <w:spacing w:line="52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1.项目编号：JSZC-321323-NJJK-G2026-0014</w:t>
      </w:r>
      <w:r/>
    </w:p>
    <w:p>
      <w:pPr>
        <w:ind w:firstLine="482"/>
        <w:spacing w:line="52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2.项目名称：开展泗阳县城镇、农用地和集体建设用地基准地价更新等工作采购项目</w:t>
      </w:r>
      <w:bookmarkEnd w:id="11"/>
      <w:r/>
      <w:r/>
    </w:p>
    <w:p>
      <w:pPr>
        <w:ind w:firstLine="482"/>
        <w:spacing w:line="52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3.预算金额：100</w:t>
      </w:r>
      <w:r>
        <w:rPr>
          <w:rFonts w:hint="eastAsia"/>
          <w:color w:val="000000" w:themeColor="text1"/>
          <w:sz w:val="24"/>
          <w:szCs w:val="24"/>
          <w:highlight w:val="none"/>
          <w:lang w:val="en-US" w:eastAsia="zh-CN"/>
          <w14:textFill>
            <w14:solidFill>
              <w14:schemeClr w14:val="tx1"/>
            </w14:solidFill>
          </w14:textFill>
        </w:rPr>
        <w:t xml:space="preserve">.00</w:t>
      </w:r>
      <w:r>
        <w:rPr>
          <w:rFonts w:hint="eastAsia"/>
          <w:color w:val="000000" w:themeColor="text1"/>
          <w:sz w:val="24"/>
          <w:szCs w:val="24"/>
          <w:highlight w:val="none"/>
          <w14:textFill>
            <w14:solidFill>
              <w14:schemeClr w14:val="tx1"/>
            </w14:solidFill>
          </w14:textFill>
        </w:rPr>
        <w:t xml:space="preserve">万元</w:t>
      </w:r>
      <w:r/>
    </w:p>
    <w:p>
      <w:pPr>
        <w:ind w:firstLine="482"/>
        <w:spacing w:line="52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4.本项目设定最高限价：100</w:t>
      </w:r>
      <w:r>
        <w:rPr>
          <w:rFonts w:hint="eastAsia"/>
          <w:color w:val="000000" w:themeColor="text1"/>
          <w:sz w:val="24"/>
          <w:szCs w:val="24"/>
          <w:highlight w:val="none"/>
          <w:lang w:val="en-US" w:eastAsia="zh-CN"/>
          <w14:textFill>
            <w14:solidFill>
              <w14:schemeClr w14:val="tx1"/>
            </w14:solidFill>
          </w14:textFill>
        </w:rPr>
        <w:t xml:space="preserve">.00</w:t>
      </w:r>
      <w:r>
        <w:rPr>
          <w:rFonts w:hint="eastAsia"/>
          <w:color w:val="000000" w:themeColor="text1"/>
          <w:sz w:val="24"/>
          <w:szCs w:val="24"/>
          <w:highlight w:val="none"/>
          <w14:textFill>
            <w14:solidFill>
              <w14:schemeClr w14:val="tx1"/>
            </w14:solidFill>
          </w14:textFill>
        </w:rPr>
        <w:t xml:space="preserve">万元。</w:t>
      </w:r>
      <w:r/>
    </w:p>
    <w:p>
      <w:pPr>
        <w:ind w:firstLine="482"/>
        <w:spacing w:line="52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采购需求：为切实加强地价管理，规范土地价格体系，根据国家和省相关文件要求，现开展3年一次的基准地价全面更新工作，主要包括以下五方面工作：1、2026年度泗阳县农用地基准地价评估(更新工作)；2、2026年度泗阳县集体建设用地基准地价评估(更新工作)；3、2026年度泗阳县城镇基准地价评估(商服、住宅、工业、公共管理与公共服务用地更新)；4、2026-2028年泗阳县城区地价动态监测；5、2026-2028年泗阳县城区标定地价评估。具体内容详见采购需求部分。</w:t>
      </w:r>
      <w:r/>
    </w:p>
    <w:p>
      <w:pPr>
        <w:ind w:firstLine="480"/>
        <w:spacing w:line="52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合同履行期限：在2026年12月31日、2027年12月31日和2028年12月31日前完成2026-2028年度城市地价动态监测工作，在2027年6月30日前完成城镇建设用地基准地价、集体建设用地基准地价、农用地基准地价、2026年度城镇标定地价、更新工作，在2028年6月30日和2029 年5月20日前完成2027和2028年度标定地价成果并确保上述成果通过主管部门验收或备案。</w:t>
      </w:r>
      <w:r/>
    </w:p>
    <w:p>
      <w:pPr>
        <w:ind w:firstLine="480"/>
        <w:spacing w:line="52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7. 本项目</w:t>
      </w:r>
      <w:r>
        <w:rPr>
          <w:rFonts w:hint="eastAsia"/>
          <w:color w:val="000000" w:themeColor="text1"/>
          <w:sz w:val="24"/>
          <w:szCs w:val="24"/>
          <w:highlight w:val="none"/>
          <w:u w:val="single"/>
          <w14:textFill>
            <w14:solidFill>
              <w14:schemeClr w14:val="tx1"/>
            </w14:solidFill>
          </w14:textFill>
        </w:rPr>
        <w:t xml:space="preserve">不接受</w:t>
      </w:r>
      <w:r>
        <w:rPr>
          <w:rFonts w:hint="eastAsia"/>
          <w:color w:val="000000" w:themeColor="text1"/>
          <w:sz w:val="24"/>
          <w:szCs w:val="24"/>
          <w:highlight w:val="none"/>
          <w14:textFill>
            <w14:solidFill>
              <w14:schemeClr w14:val="tx1"/>
            </w14:solidFill>
          </w14:textFill>
        </w:rPr>
        <w:t xml:space="preserve">联合体投标。</w:t>
      </w:r>
      <w:r/>
    </w:p>
    <w:p>
      <w:pPr>
        <w:pStyle w:val="1005"/>
        <w:ind w:firstLine="498"/>
        <w:spacing w:before="0" w:after="0" w:line="520" w:lineRule="exact"/>
        <w:rPr>
          <w:color w:val="000000" w:themeColor="text1"/>
          <w:highlight w:val="none"/>
          <w14:textFill>
            <w14:solidFill>
              <w14:schemeClr w14:val="tx1"/>
            </w14:solidFill>
          </w14:textFill>
        </w:rPr>
      </w:pPr>
      <w:r/>
      <w:bookmarkStart w:id="12" w:name="_Toc35393622"/>
      <w:r/>
      <w:bookmarkStart w:id="13" w:name="_Toc28359080"/>
      <w:r/>
      <w:bookmarkStart w:id="14" w:name="_Toc38985264"/>
      <w:r/>
      <w:bookmarkStart w:id="15" w:name="_Toc35393791"/>
      <w:r/>
      <w:bookmarkStart w:id="16" w:name="_Toc28359003"/>
      <w:r>
        <w:rPr>
          <w:rFonts w:hint="eastAsia"/>
          <w:color w:val="000000" w:themeColor="text1"/>
          <w:highlight w:val="none"/>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20" w:lineRule="exact"/>
        <w:rPr>
          <w:color w:val="000000" w:themeColor="text1"/>
          <w:sz w:val="24"/>
          <w:szCs w:val="24"/>
          <w:highlight w:val="none"/>
          <w14:textFill>
            <w14:solidFill>
              <w14:schemeClr w14:val="tx1"/>
            </w14:solidFill>
          </w14:textFill>
        </w:rPr>
      </w:pPr>
      <w:r/>
      <w:bookmarkStart w:id="17" w:name="_Toc28359004"/>
      <w:r/>
      <w:bookmarkStart w:id="18" w:name="_Toc35393792"/>
      <w:r/>
      <w:bookmarkStart w:id="19" w:name="_Toc35393623"/>
      <w:r/>
      <w:bookmarkStart w:id="20" w:name="_Toc28359081"/>
      <w:r/>
      <w:bookmarkStart w:id="21" w:name="_Toc38985265"/>
      <w:r>
        <w:rPr>
          <w:rFonts w:hint="eastAsia"/>
          <w:color w:val="000000" w:themeColor="text1"/>
          <w:sz w:val="24"/>
          <w:szCs w:val="24"/>
          <w:highlight w:val="none"/>
          <w14:textFill>
            <w14:solidFill>
              <w14:schemeClr w14:val="tx1"/>
            </w14:solidFill>
          </w14:textFill>
        </w:rPr>
        <w:t xml:space="preserve">（一</w:t>
      </w:r>
      <w:r>
        <w:rPr>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通用</w:t>
      </w:r>
      <w:r>
        <w:rPr>
          <w:color w:val="000000" w:themeColor="text1"/>
          <w:sz w:val="24"/>
          <w:szCs w:val="24"/>
          <w:highlight w:val="none"/>
          <w14:textFill>
            <w14:solidFill>
              <w14:schemeClr w14:val="tx1"/>
            </w14:solidFill>
          </w14:textFill>
        </w:rPr>
        <w:t xml:space="preserve">资格要求</w:t>
      </w:r>
      <w:r/>
    </w:p>
    <w:p>
      <w:pPr>
        <w:ind w:firstLine="480"/>
        <w:spacing w:line="52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1.具备《中华人民共和国政府采购法》第二十二条第一款规定的6项条件（按要求提供投标声明及承诺函）。</w:t>
      </w:r>
      <w:r/>
    </w:p>
    <w:p>
      <w:pPr>
        <w:ind w:firstLine="480"/>
        <w:spacing w:line="52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2.信用信息。信用信息查询渠道：“信用中国”网（www.creditchina.gov.cn）、“中国政府采购”网（www.ccgp.gov.cn）、江苏政府采购网（www.ccgp-jiangsu.gov.cn）。    </w:t>
      </w:r>
      <w:r/>
    </w:p>
    <w:p>
      <w:pPr>
        <w:ind w:firstLine="480"/>
        <w:spacing w:line="520" w:lineRule="exact"/>
        <w:rPr>
          <w:color w:val="000000" w:themeColor="text1"/>
          <w:sz w:val="36"/>
          <w:szCs w:val="36"/>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spacing w:line="520" w:lineRule="exact"/>
        <w:rPr>
          <w:rFonts w:cs="宋体"/>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3.落实政府采购政策需满足的资格要求：</w:t>
      </w:r>
      <w:r>
        <w:rPr>
          <w:rFonts w:hint="eastAsia"/>
          <w:bCs/>
          <w:color w:val="000000" w:themeColor="text1"/>
          <w:sz w:val="24"/>
          <w:szCs w:val="24"/>
          <w:highlight w:val="none"/>
          <w14:textFill>
            <w14:solidFill>
              <w14:schemeClr w14:val="tx1"/>
            </w14:solidFill>
          </w14:textFill>
        </w:rPr>
        <w:t xml:space="preserve">本项目属于专门面向中小企业采购的项目,供应商应为中小微企业、监狱企业、残疾人福利性单位（须提供《中小企业或残疾人福利性单位声明函》）。非中小型企业参与本项目投标，将作无效标处理。</w:t>
      </w:r>
      <w:r/>
    </w:p>
    <w:p>
      <w:pPr>
        <w:ind w:firstLine="480"/>
        <w:spacing w:line="52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（二）</w:t>
      </w:r>
      <w:r>
        <w:rPr>
          <w:rFonts w:hint="eastAsia"/>
          <w:b/>
          <w:bCs/>
          <w:color w:val="000000" w:themeColor="text1"/>
          <w:sz w:val="24"/>
          <w:szCs w:val="24"/>
          <w:highlight w:val="none"/>
          <w14:textFill>
            <w14:solidFill>
              <w14:schemeClr w14:val="tx1"/>
            </w14:solidFill>
          </w14:textFill>
        </w:rPr>
        <w:t xml:space="preserve">本项目的特定资格要求</w:t>
      </w:r>
      <w:r>
        <w:rPr>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14:textFill>
            <w14:solidFill>
              <w14:schemeClr w14:val="tx1"/>
            </w14:solidFill>
          </w14:textFill>
        </w:rPr>
        <w:t xml:space="preserve">供应商须经过企业注册所在地省级及以上自然资源主管部门备案的土地估价机构</w:t>
      </w:r>
      <w:r>
        <w:rPr>
          <w:rFonts w:hint="eastAsia"/>
          <w:b/>
          <w:bCs/>
          <w:color w:val="000000" w:themeColor="text1"/>
          <w:sz w:val="24"/>
          <w:szCs w:val="24"/>
          <w:highlight w:val="none"/>
          <w14:textFill>
            <w14:solidFill>
              <w14:schemeClr w14:val="tx1"/>
            </w14:solidFill>
          </w14:textFill>
        </w:rPr>
        <w:t xml:space="preserve">。</w:t>
      </w:r>
      <w:r/>
    </w:p>
    <w:p>
      <w:pPr>
        <w:ind w:firstLine="480"/>
        <w:spacing w:line="520" w:lineRule="exact"/>
        <w:rPr>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 xml:space="preserve">三、获取招标文件</w:t>
      </w:r>
      <w:bookmarkEnd w:id="17"/>
      <w:r/>
      <w:bookmarkEnd w:id="18"/>
      <w:r/>
      <w:bookmarkEnd w:id="19"/>
      <w:r/>
      <w:bookmarkEnd w:id="20"/>
      <w:r/>
      <w:bookmarkEnd w:id="21"/>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bookmarkStart w:id="22" w:name="_Toc28359005"/>
      <w:r/>
      <w:bookmarkStart w:id="23" w:name="_Toc28359082"/>
      <w:r/>
      <w:bookmarkStart w:id="24" w:name="_Toc38985266"/>
      <w:r/>
      <w:bookmarkStart w:id="25" w:name="_Toc35393793"/>
      <w:r/>
      <w:bookmarkStart w:id="26" w:name="_Toc35393624"/>
      <w:r>
        <w:rPr>
          <w:rFonts w:hint="eastAsia" w:cs="宋体"/>
          <w:color w:val="000000" w:themeColor="text1"/>
          <w:sz w:val="24"/>
          <w:szCs w:val="24"/>
          <w:highlight w:val="none"/>
          <w14:textFill>
            <w14:solidFill>
              <w14:schemeClr w14:val="tx1"/>
            </w14:solidFill>
          </w14:textFill>
        </w:rPr>
        <w:t xml:space="preserve">1.</w:t>
      </w:r>
      <w:r>
        <w:rPr>
          <w:rFonts w:hint="eastAsia" w:ascii="宋体" w:hAnsi="宋体" w:cs="宋体"/>
          <w:sz w:val="24"/>
          <w:szCs w:val="24"/>
          <w:highlight w:val="none"/>
        </w:rPr>
        <w:t xml:space="preserve">时间：自招标文件公告发布之日起5个工作日</w:t>
      </w:r>
      <w:r>
        <w:rPr>
          <w:rFonts w:ascii="SimSun" w:hAnsi="SimSun" w:eastAsia="SimSun" w:cs="SimSun"/>
          <w:color w:val="000000"/>
          <w:sz w:val="24"/>
        </w:rPr>
        <w:t xml:space="preserve">，自2026年09月28日09:00至2026年10月09日17:30分。</w:t>
      </w:r>
      <w:r>
        <w:rPr>
          <w:sz w:val="22"/>
        </w:rPr>
      </w:r>
      <w:r/>
    </w:p>
    <w:p>
      <w:pPr>
        <w:ind w:firstLine="480"/>
        <w:spacing w:line="520" w:lineRule="exact"/>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520" w:lineRule="exact"/>
        <w:rPr>
          <w:rFonts w:cs="宋体"/>
          <w:color w:val="000000" w:themeColor="text1"/>
          <w:sz w:val="24"/>
          <w:szCs w:val="24"/>
          <w:highlight w:val="none"/>
          <w14:textFill>
            <w14:solidFill>
              <w14:schemeClr w14:val="tx1"/>
            </w14:solidFill>
          </w14:textFill>
        </w:rPr>
      </w:pPr>
      <w:r/>
      <w:bookmarkStart w:id="27" w:name="EB0c44ff4da61f4af989d119fe214be450"/>
      <w:r>
        <w:rPr>
          <w:rFonts w:hint="eastAsia" w:cs="宋体"/>
          <w:color w:val="000000" w:themeColor="text1"/>
          <w:sz w:val="24"/>
          <w:szCs w:val="24"/>
          <w:highlight w:val="none"/>
          <w14:textFill>
            <w14:solidFill>
              <w14:schemeClr w14:val="tx1"/>
            </w14:solidFill>
          </w14:textFill>
        </w:rPr>
        <w:t xml:space="preserve">3.本项目共分一个包。投标人未按要求获取招标文件导致无法投标的，后果自负（其投标文件不予接受）。</w:t>
      </w:r>
      <w:bookmarkEnd w:id="27"/>
      <w:r/>
      <w:r/>
    </w:p>
    <w:p>
      <w:pPr>
        <w:pStyle w:val="1005"/>
        <w:ind w:firstLine="498"/>
        <w:spacing w:before="0" w:after="0" w:line="52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四、提交投标文件</w:t>
      </w:r>
      <w:bookmarkEnd w:id="22"/>
      <w:r/>
      <w:bookmarkEnd w:id="23"/>
      <w:r>
        <w:rPr>
          <w:rFonts w:hint="eastAsia"/>
          <w:color w:val="000000" w:themeColor="text1"/>
          <w:highlight w:val="none"/>
          <w14:textFill>
            <w14:solidFill>
              <w14:schemeClr w14:val="tx1"/>
            </w14:solidFill>
          </w14:textFill>
        </w:rPr>
        <w:t xml:space="preserve">截止时间、开标时间和地点</w:t>
      </w:r>
      <w:bookmarkEnd w:id="24"/>
      <w:r/>
      <w:bookmarkEnd w:id="25"/>
      <w:r/>
      <w:bookmarkEnd w:id="26"/>
      <w:r/>
      <w:r/>
    </w:p>
    <w:p>
      <w:pPr>
        <w:ind w:firstLine="480"/>
        <w:spacing w:line="520" w:lineRule="exact"/>
        <w:rPr>
          <w:bCs/>
          <w:color w:val="000000" w:themeColor="text1"/>
          <w:sz w:val="24"/>
          <w:szCs w:val="24"/>
          <w:highlight w:val="none"/>
          <w:u w:val="singl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1.</w:t>
      </w:r>
      <w:r>
        <w:rPr>
          <w:rFonts w:hint="eastAsia" w:cs="宋体"/>
          <w:color w:val="000000" w:themeColor="text1"/>
          <w:sz w:val="24"/>
          <w:szCs w:val="24"/>
          <w:highlight w:val="none"/>
          <w14:textFill>
            <w14:solidFill>
              <w14:schemeClr w14:val="tx1"/>
            </w14:solidFill>
          </w14:textFill>
        </w:rPr>
        <w:t xml:space="preserve">提交投标文件截止时间、开标时间：</w:t>
      </w:r>
      <w:r>
        <w:rPr>
          <w:rFonts w:hint="eastAsia"/>
          <w:bCs/>
          <w:color w:val="000000" w:themeColor="text1"/>
          <w:sz w:val="24"/>
          <w:szCs w:val="24"/>
          <w:highlight w:val="none"/>
          <w:u w:val="single"/>
          <w14:textFill>
            <w14:solidFill>
              <w14:schemeClr w14:val="tx1"/>
            </w14:solidFill>
          </w14:textFill>
        </w:rPr>
        <w:t xml:space="preserve"> </w:t>
      </w:r>
      <w:r>
        <w:rPr>
          <w:bCs/>
          <w:color w:val="000000" w:themeColor="text1"/>
          <w:sz w:val="24"/>
          <w:szCs w:val="24"/>
          <w:highlight w:val="none"/>
          <w:u w:val="single"/>
          <w14:textFill>
            <w14:solidFill>
              <w14:schemeClr w14:val="tx1"/>
            </w14:solidFill>
          </w14:textFill>
        </w:rPr>
        <w:t xml:space="preserve">202</w:t>
      </w:r>
      <w:r>
        <w:rPr>
          <w:rFonts w:hint="eastAsia"/>
          <w:bCs/>
          <w:color w:val="000000" w:themeColor="text1"/>
          <w:sz w:val="24"/>
          <w:szCs w:val="24"/>
          <w:highlight w:val="none"/>
          <w:u w:val="single"/>
          <w14:textFill>
            <w14:solidFill>
              <w14:schemeClr w14:val="tx1"/>
            </w14:solidFill>
          </w14:textFill>
        </w:rPr>
        <w:t xml:space="preserve">6年10月19日</w:t>
      </w:r>
      <w:r>
        <w:rPr>
          <w:bCs/>
          <w:color w:val="000000" w:themeColor="text1"/>
          <w:sz w:val="24"/>
          <w:szCs w:val="24"/>
          <w:highlight w:val="none"/>
          <w:u w:val="single"/>
          <w14:textFill>
            <w14:solidFill>
              <w14:schemeClr w14:val="tx1"/>
            </w14:solidFill>
          </w14:textFill>
        </w:rPr>
        <w:t xml:space="preserve">9</w:t>
      </w:r>
      <w:r>
        <w:rPr>
          <w:rFonts w:hint="eastAsia"/>
          <w:bCs/>
          <w:color w:val="000000" w:themeColor="text1"/>
          <w:sz w:val="24"/>
          <w:szCs w:val="24"/>
          <w:highlight w:val="none"/>
          <w:u w:val="single"/>
          <w14:textFill>
            <w14:solidFill>
              <w14:schemeClr w14:val="tx1"/>
            </w14:solidFill>
          </w14:textFill>
        </w:rPr>
        <w:t xml:space="preserve">点</w:t>
      </w:r>
      <w:r>
        <w:rPr>
          <w:bCs/>
          <w:color w:val="000000" w:themeColor="text1"/>
          <w:sz w:val="24"/>
          <w:szCs w:val="24"/>
          <w:highlight w:val="none"/>
          <w:u w:val="single"/>
          <w14:textFill>
            <w14:solidFill>
              <w14:schemeClr w14:val="tx1"/>
            </w14:solidFill>
          </w14:textFill>
        </w:rPr>
        <w:t xml:space="preserve">00</w:t>
      </w:r>
      <w:r>
        <w:rPr>
          <w:rFonts w:hint="eastAsia"/>
          <w:bCs/>
          <w:color w:val="000000" w:themeColor="text1"/>
          <w:sz w:val="24"/>
          <w:szCs w:val="24"/>
          <w:highlight w:val="none"/>
          <w:u w:val="single"/>
          <w14:textFill>
            <w14:solidFill>
              <w14:schemeClr w14:val="tx1"/>
            </w14:solidFill>
          </w14:textFill>
        </w:rPr>
        <w:t xml:space="preserve">分</w:t>
      </w:r>
      <w:r>
        <w:rPr>
          <w:rFonts w:hint="eastAsia"/>
          <w:bCs/>
          <w:color w:val="000000" w:themeColor="text1"/>
          <w:sz w:val="24"/>
          <w:szCs w:val="24"/>
          <w:highlight w:val="none"/>
          <w14:textFill>
            <w14:solidFill>
              <w14:schemeClr w14:val="tx1"/>
            </w14:solidFill>
          </w14:textFill>
        </w:rPr>
        <w:t xml:space="preserve">（北京时间）</w:t>
      </w:r>
      <w:r/>
    </w:p>
    <w:p>
      <w:pPr>
        <w:ind w:firstLine="480"/>
        <w:spacing w:line="520" w:lineRule="exact"/>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2.地点：“苏采云”政府采购交易系统网上开标大厅。</w:t>
      </w:r>
      <w:r/>
    </w:p>
    <w:p>
      <w:pPr>
        <w:pStyle w:val="1005"/>
        <w:ind w:firstLine="498"/>
        <w:spacing w:before="0" w:after="0" w:line="520" w:lineRule="exact"/>
        <w:rPr>
          <w:color w:val="000000" w:themeColor="text1"/>
          <w:highlight w:val="none"/>
          <w14:textFill>
            <w14:solidFill>
              <w14:schemeClr w14:val="tx1"/>
            </w14:solidFill>
          </w14:textFill>
        </w:rPr>
      </w:pPr>
      <w:r/>
      <w:bookmarkStart w:id="28" w:name="_Toc28359007"/>
      <w:r/>
      <w:bookmarkStart w:id="29" w:name="_Toc35393794"/>
      <w:r/>
      <w:bookmarkStart w:id="30" w:name="_Toc38985267"/>
      <w:r/>
      <w:bookmarkStart w:id="31" w:name="_Toc28359084"/>
      <w:r/>
      <w:bookmarkStart w:id="32" w:name="_Toc35393625"/>
      <w:r>
        <w:rPr>
          <w:rFonts w:hint="eastAsia"/>
          <w:color w:val="000000" w:themeColor="text1"/>
          <w:highlight w:val="none"/>
          <w14:textFill>
            <w14:solidFill>
              <w14:schemeClr w14:val="tx1"/>
            </w14:solidFill>
          </w14:textFill>
        </w:rPr>
        <w:t xml:space="preserve">五、公告期限</w:t>
      </w:r>
      <w:bookmarkEnd w:id="28"/>
      <w:r/>
      <w:bookmarkEnd w:id="29"/>
      <w:r/>
      <w:bookmarkEnd w:id="30"/>
      <w:r/>
      <w:bookmarkEnd w:id="31"/>
      <w:r/>
      <w:bookmarkEnd w:id="32"/>
      <w:r/>
      <w:r/>
    </w:p>
    <w:p>
      <w:pPr>
        <w:ind w:firstLine="480"/>
        <w:spacing w:line="520" w:lineRule="exact"/>
        <w:rPr>
          <w:rFonts w:cs="宋体"/>
          <w:color w:val="000000" w:themeColor="text1"/>
          <w:sz w:val="24"/>
          <w:szCs w:val="24"/>
          <w:highlight w:val="none"/>
          <w14:textFill>
            <w14:solidFill>
              <w14:schemeClr w14:val="tx1"/>
            </w14:solidFill>
          </w14:textFill>
        </w:rPr>
      </w:pPr>
      <w:r/>
      <w:bookmarkStart w:id="33" w:name="_Toc35393795"/>
      <w:r/>
      <w:bookmarkStart w:id="34" w:name="_Toc35393626"/>
      <w:r/>
      <w:bookmarkStart w:id="35" w:name="_Toc38985268"/>
      <w:r>
        <w:rPr>
          <w:rFonts w:hint="eastAsia" w:cs="宋体"/>
          <w:color w:val="000000" w:themeColor="text1"/>
          <w:sz w:val="24"/>
          <w:szCs w:val="24"/>
          <w:highlight w:val="none"/>
          <w14:textFill>
            <w14:solidFill>
              <w14:schemeClr w14:val="tx1"/>
            </w14:solidFill>
          </w14:textFill>
        </w:rPr>
        <w:t xml:space="preserve">招标公告及招标文件公告期限为自本公告发布之日起5个工作日。</w:t>
      </w:r>
      <w:r>
        <w:rPr>
          <w:rFonts w:hint="eastAsia"/>
          <w:color w:val="000000" w:themeColor="text1"/>
          <w:sz w:val="24"/>
          <w:highlight w:val="none"/>
          <w14:textFill>
            <w14:solidFill>
              <w14:schemeClr w14:val="tx1"/>
            </w14:solidFill>
          </w14:textFill>
        </w:rPr>
        <w:t xml:space="preserve">招标公告发布媒体：宿迁市政府采购网</w:t>
      </w:r>
      <w:r>
        <w:rPr>
          <w:rFonts w:hint="eastAsia" w:cs="仿宋_GB2312"/>
          <w:color w:val="000000" w:themeColor="text1"/>
          <w:sz w:val="24"/>
          <w:szCs w:val="28"/>
          <w:highlight w:val="none"/>
          <w14:textFill>
            <w14:solidFill>
              <w14:schemeClr w14:val="tx1"/>
            </w14:solidFill>
          </w14:textFill>
        </w:rPr>
        <w:t xml:space="preserve">、宿迁市公共资源交易平台</w:t>
      </w:r>
      <w:r>
        <w:rPr>
          <w:rFonts w:hint="eastAsia"/>
          <w:color w:val="000000" w:themeColor="text1"/>
          <w:sz w:val="24"/>
          <w:highlight w:val="none"/>
          <w14:textFill>
            <w14:solidFill>
              <w14:schemeClr w14:val="tx1"/>
            </w14:solidFill>
          </w14:textFill>
        </w:rPr>
        <w:t xml:space="preserve">、江苏省财政部门指定的媒体</w:t>
      </w:r>
      <w:r>
        <w:rPr>
          <w:rFonts w:hint="eastAsia" w:cs="宋体"/>
          <w:color w:val="000000" w:themeColor="text1"/>
          <w:sz w:val="24"/>
          <w:szCs w:val="24"/>
          <w:highlight w:val="none"/>
          <w14:textFill>
            <w14:solidFill>
              <w14:schemeClr w14:val="tx1"/>
            </w14:solidFill>
          </w14:textFill>
        </w:rPr>
        <w:t xml:space="preserve">。</w:t>
      </w:r>
      <w:r/>
    </w:p>
    <w:p>
      <w:pPr>
        <w:pStyle w:val="1005"/>
        <w:ind w:firstLine="498"/>
        <w:spacing w:before="0" w:after="0" w:line="52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六、其他补充事宜</w:t>
      </w:r>
      <w:bookmarkEnd w:id="33"/>
      <w:r/>
      <w:bookmarkEnd w:id="34"/>
      <w:r/>
      <w:bookmarkEnd w:id="35"/>
      <w:r/>
      <w:r/>
    </w:p>
    <w:p>
      <w:pPr>
        <w:ind w:firstLine="480"/>
        <w:spacing w:line="520" w:lineRule="exact"/>
        <w:rPr>
          <w:color w:val="000000" w:themeColor="text1"/>
          <w:sz w:val="24"/>
          <w:highlight w:val="none"/>
          <w14:textFill>
            <w14:solidFill>
              <w14:schemeClr w14:val="tx1"/>
            </w14:solidFill>
          </w14:textFill>
        </w:rPr>
      </w:pPr>
      <w:r/>
      <w:bookmarkStart w:id="36" w:name="EB64e1f522fd8c43fcb4d3ba471386b3e7"/>
      <w:r/>
      <w:bookmarkStart w:id="37" w:name="_Toc35393627"/>
      <w:r/>
      <w:bookmarkStart w:id="38" w:name="_Toc38985269"/>
      <w:r/>
      <w:bookmarkStart w:id="39" w:name="_Toc28359008"/>
      <w:r/>
      <w:bookmarkStart w:id="40" w:name="_Toc35393796"/>
      <w:r/>
      <w:bookmarkStart w:id="41" w:name="_Toc28359085"/>
      <w:r>
        <w:rPr>
          <w:rFonts w:hint="eastAsia"/>
          <w:color w:val="000000" w:themeColor="text1"/>
          <w:sz w:val="24"/>
          <w:highlight w:val="none"/>
          <w14:textFill>
            <w14:solidFill>
              <w14:schemeClr w14:val="tx1"/>
            </w14:solidFill>
          </w14:textFill>
        </w:rPr>
        <w:t xml:space="preserve">1.财政部门监督电话：</w:t>
      </w:r>
      <w:r>
        <w:rPr>
          <w:color w:val="000000" w:themeColor="text1"/>
          <w:sz w:val="24"/>
          <w:highlight w:val="none"/>
          <w14:textFill>
            <w14:solidFill>
              <w14:schemeClr w14:val="tx1"/>
            </w14:solidFill>
          </w14:textFill>
        </w:rPr>
        <w:t xml:space="preserve">0527-85229058</w:t>
      </w:r>
      <w:r>
        <w:rPr>
          <w:rFonts w:hint="eastAsia"/>
          <w:color w:val="000000" w:themeColor="text1"/>
          <w:sz w:val="24"/>
          <w:highlight w:val="none"/>
          <w14:textFill>
            <w14:solidFill>
              <w14:schemeClr w14:val="tx1"/>
            </w14:solidFill>
          </w14:textFill>
        </w:rPr>
        <w:t xml:space="preserve">。</w:t>
      </w:r>
      <w:r/>
    </w:p>
    <w:p>
      <w:pPr>
        <w:ind w:firstLine="480"/>
        <w:spacing w:line="52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2.“CA”数字证书办理：“苏采云”系统目前仅支持“苏采云”系统下的意源CA。省内各地区办理的“苏采云”系统下的意源CA全省通用。宿迁地区CA数字证书办理联系方式：18762803891。</w:t>
      </w:r>
      <w:r/>
    </w:p>
    <w:p>
      <w:pPr>
        <w:pStyle w:val="1078"/>
        <w:ind w:firstLine="480"/>
        <w:spacing w:line="520" w:lineRule="exact"/>
        <w:rPr>
          <w:rFonts w:ascii="Times New Roman" w:hAnsi="Times New Roman" w:eastAsia="宋体" w:cs="Times New Roman"/>
          <w:color w:val="000000" w:themeColor="text1"/>
          <w:sz w:val="24"/>
          <w:szCs w:val="21"/>
          <w:highlight w:val="none"/>
          <w:lang w:val="en-US"/>
          <w14:textFill>
            <w14:solidFill>
              <w14:schemeClr w14:val="tx1"/>
            </w14:solidFill>
          </w14:textFill>
        </w:rPr>
      </w:pPr>
      <w:r>
        <w:rPr>
          <w:rFonts w:hint="eastAsia" w:ascii="Times New Roman" w:hAnsi="Times New Roman" w:eastAsia="宋体" w:cs="Times New Roman"/>
          <w:color w:val="000000" w:themeColor="text1"/>
          <w:sz w:val="24"/>
          <w:szCs w:val="21"/>
          <w:highlight w:val="none"/>
          <w:lang w:val="en-US"/>
          <w14:textFill>
            <w14:solidFill>
              <w14:schemeClr w14:val="tx1"/>
            </w14:solidFill>
          </w14:textFill>
        </w:rPr>
        <w:t xml:space="preserve">3.宿迁地区“苏采云”技术支持客服电话：0527-84225125、0519-86722806。</w:t>
      </w:r>
      <w:r/>
    </w:p>
    <w:p>
      <w:pPr>
        <w:pStyle w:val="1078"/>
        <w:ind w:firstLine="480"/>
        <w:spacing w:line="520" w:lineRule="exact"/>
        <w:rPr>
          <w:rFonts w:ascii="Times New Roman" w:hAnsi="Times New Roman" w:eastAsia="宋体" w:cs="Times New Roman"/>
          <w:color w:val="000000" w:themeColor="text1"/>
          <w:sz w:val="24"/>
          <w:szCs w:val="21"/>
          <w:highlight w:val="none"/>
          <w:lang w:val="en-US"/>
          <w14:textFill>
            <w14:solidFill>
              <w14:schemeClr w14:val="tx1"/>
            </w14:solidFill>
          </w14:textFill>
        </w:rPr>
      </w:pPr>
      <w:r>
        <w:rPr>
          <w:rFonts w:hint="eastAsia" w:ascii="Times New Roman" w:hAnsi="Times New Roman" w:eastAsia="宋体" w:cs="Times New Roman"/>
          <w:color w:val="000000" w:themeColor="text1"/>
          <w:sz w:val="24"/>
          <w:szCs w:val="21"/>
          <w:highlight w:val="none"/>
          <w:lang w:val="en-US"/>
          <w14:textFill>
            <w14:solidFill>
              <w14:schemeClr w14:val="tx1"/>
            </w14:solidFill>
          </w14:textFill>
        </w:rPr>
        <w:t xml:space="preserve">4.如果投标人通过苏采云系统参与政府采购项目，相关操作手册详见链接：</w:t>
      </w:r>
      <w:r>
        <w:rPr>
          <w:rFonts w:hint="eastAsia" w:ascii="Times New Roman" w:hAnsi="Times New Roman" w:eastAsia="宋体" w:cs="Times New Roman"/>
          <w:color w:val="000000" w:themeColor="text1"/>
          <w:spacing w:val="-6"/>
          <w:sz w:val="24"/>
          <w:szCs w:val="21"/>
          <w:highlight w:val="none"/>
          <w:lang w:val="en-US"/>
          <w14:textFill>
            <w14:solidFill>
              <w14:schemeClr w14:val="tx1"/>
            </w14:solidFill>
          </w14:textFill>
        </w:rPr>
        <w:t xml:space="preserve">http://www.ccgp-jiangsu.gov.cn/jiangsu/zlxz/ee/ee3a4bc5a3454aa2b0d9312230633ce9.html。</w:t>
      </w:r>
      <w:bookmarkEnd w:id="36"/>
      <w:r/>
      <w:r/>
    </w:p>
    <w:p>
      <w:pPr>
        <w:ind w:firstLine="480"/>
        <w:spacing w:line="520" w:lineRule="exact"/>
        <w:rPr>
          <w:rFonts w:cs="仿宋_GB2312"/>
          <w:b/>
          <w:bCs/>
          <w:i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5.现场勘察及答疑：本项目不组织集中勘察及答疑，投标人如对采购需求有疑问，请咨询采购单位联系人。 </w:t>
      </w:r>
      <w:r/>
    </w:p>
    <w:p>
      <w:pPr>
        <w:pStyle w:val="1005"/>
        <w:ind w:firstLine="498"/>
        <w:spacing w:before="0" w:after="0" w:line="52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七、本次招标联系方式</w:t>
      </w:r>
      <w:bookmarkEnd w:id="37"/>
      <w:r/>
      <w:bookmarkEnd w:id="38"/>
      <w:r/>
      <w:bookmarkEnd w:id="39"/>
      <w:r/>
      <w:bookmarkEnd w:id="40"/>
      <w:r/>
      <w:bookmarkEnd w:id="41"/>
      <w:r/>
      <w:r/>
    </w:p>
    <w:p>
      <w:pPr>
        <w:ind w:firstLine="280"/>
        <w:jc w:val="left"/>
        <w:spacing w:line="520" w:lineRule="exact"/>
        <w:widowControl/>
        <w:rPr>
          <w:color w:val="000000" w:themeColor="text1"/>
          <w:sz w:val="24"/>
          <w:szCs w:val="24"/>
          <w:highlight w:val="none"/>
          <w14:textFill>
            <w14:solidFill>
              <w14:schemeClr w14:val="tx1"/>
            </w14:solidFill>
          </w14:textFill>
        </w:rPr>
      </w:pPr>
      <w:r>
        <w:rPr>
          <w:rFonts w:hint="eastAsia" w:eastAsia="仿宋" w:cs="宋体"/>
          <w:color w:val="000000" w:themeColor="text1"/>
          <w:sz w:val="28"/>
          <w:szCs w:val="28"/>
          <w:highlight w:val="none"/>
          <w14:textFill>
            <w14:solidFill>
              <w14:schemeClr w14:val="tx1"/>
            </w14:solidFill>
          </w14:textFill>
        </w:rPr>
        <w:t xml:space="preserve">　 </w:t>
      </w:r>
      <w:r>
        <w:rPr>
          <w:rFonts w:hint="eastAsia" w:cs="宋体"/>
          <w:color w:val="000000" w:themeColor="text1"/>
          <w:sz w:val="24"/>
          <w:szCs w:val="24"/>
          <w:highlight w:val="none"/>
          <w14:textFill>
            <w14:solidFill>
              <w14:schemeClr w14:val="tx1"/>
            </w14:solidFill>
          </w14:textFill>
        </w:rPr>
        <w:t xml:space="preserve">1.采购人信息</w:t>
      </w:r>
      <w:r/>
    </w:p>
    <w:p>
      <w:pPr>
        <w:ind w:left="479" w:firstLine="180"/>
        <w:jc w:val="left"/>
        <w:spacing w:line="520" w:lineRule="exact"/>
        <w:rPr>
          <w:rFonts w:ascii="宋体" w:hAnsi="宋体"/>
          <w:color w:val="000000" w:themeColor="text1"/>
          <w:sz w:val="24"/>
          <w:szCs w:val="24"/>
          <w:highlight w:val="none"/>
          <w14:textFill>
            <w14:solidFill>
              <w14:schemeClr w14:val="tx1"/>
            </w14:solidFill>
          </w14:textFill>
        </w:rPr>
      </w:pPr>
      <w:r/>
      <w:bookmarkStart w:id="42" w:name="_Toc28359086"/>
      <w:r/>
      <w:bookmarkStart w:id="43" w:name="_Toc28359009"/>
      <w:r>
        <w:rPr>
          <w:rFonts w:hint="eastAsia" w:ascii="宋体" w:hAnsi="宋体"/>
          <w:color w:val="000000" w:themeColor="text1"/>
          <w:sz w:val="24"/>
          <w:szCs w:val="24"/>
          <w:highlight w:val="none"/>
          <w14:textFill>
            <w14:solidFill>
              <w14:schemeClr w14:val="tx1"/>
            </w14:solidFill>
          </w14:textFill>
        </w:rPr>
        <w:t xml:space="preserve">名 称：泗阳县自然资源和规划局　　</w:t>
      </w:r>
      <w:r/>
    </w:p>
    <w:p>
      <w:pPr>
        <w:ind w:firstLine="720"/>
        <w:spacing w:line="520" w:lineRule="exact"/>
        <w:widowControl/>
        <w:rPr>
          <w:rFonts w:ascii="宋体" w:hAnsi="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highlight w:val="none"/>
          <w14:textFill>
            <w14:solidFill>
              <w14:schemeClr w14:val="tx1"/>
            </w14:solidFill>
          </w14:textFill>
        </w:rPr>
        <w:t xml:space="preserve">地址：</w:t>
      </w:r>
      <w:r>
        <w:rPr>
          <w:rFonts w:hint="eastAsia" w:ascii="宋体" w:hAnsi="宋体" w:cs="宋体"/>
          <w:color w:val="000000"/>
          <w:sz w:val="24"/>
          <w:highlight w:val="none"/>
        </w:rPr>
        <w:t xml:space="preserve">宿迁市泗阳县众兴镇双子楼东楼</w:t>
      </w:r>
      <w:r>
        <w:rPr>
          <w:rFonts w:hint="eastAsia" w:ascii="宋体" w:hAnsi="宋体"/>
          <w:color w:val="000000" w:themeColor="text1"/>
          <w:sz w:val="24"/>
          <w:szCs w:val="24"/>
          <w:highlight w:val="none"/>
          <w14:textFill>
            <w14:solidFill>
              <w14:schemeClr w14:val="tx1"/>
            </w14:solidFill>
          </w14:textFill>
        </w:rPr>
        <w:t xml:space="preserve">　　</w:t>
      </w:r>
      <w:r/>
    </w:p>
    <w:p>
      <w:pPr>
        <w:ind w:left="479" w:firstLine="180"/>
        <w:jc w:val="left"/>
        <w:spacing w:line="5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联系人：尹波       </w:t>
      </w:r>
      <w:r/>
    </w:p>
    <w:p>
      <w:pPr>
        <w:ind w:firstLine="720"/>
        <w:jc w:val="left"/>
        <w:spacing w:line="52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联系方式：</w:t>
      </w:r>
      <w:r>
        <w:rPr>
          <w:rFonts w:hint="eastAsia" w:ascii="宋体" w:hAnsi="宋体" w:cs="宋体"/>
          <w:color w:val="000000"/>
          <w:sz w:val="24"/>
          <w:highlight w:val="none"/>
        </w:rPr>
        <w:t xml:space="preserve">13951397755</w:t>
      </w:r>
      <w:r/>
    </w:p>
    <w:p>
      <w:pPr>
        <w:ind w:firstLine="753"/>
        <w:jc w:val="left"/>
        <w:spacing w:line="520" w:lineRule="exact"/>
        <w:widowControl/>
        <w:rPr>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2.</w:t>
      </w:r>
      <w:bookmarkEnd w:id="42"/>
      <w:r/>
      <w:bookmarkEnd w:id="43"/>
      <w:r>
        <w:rPr>
          <w:rFonts w:hint="eastAsia" w:cs="宋体"/>
          <w:color w:val="000000" w:themeColor="text1"/>
          <w:sz w:val="24"/>
          <w:szCs w:val="24"/>
          <w:highlight w:val="none"/>
          <w14:textFill>
            <w14:solidFill>
              <w14:schemeClr w14:val="tx1"/>
            </w14:solidFill>
          </w14:textFill>
        </w:rPr>
        <w:t xml:space="preserve">采购代理机构信息</w:t>
      </w:r>
      <w:r/>
    </w:p>
    <w:p>
      <w:pPr>
        <w:ind w:left="1079" w:hanging="300"/>
        <w:spacing w:line="52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名 称：</w:t>
      </w:r>
      <w:r>
        <w:rPr>
          <w:rFonts w:hint="eastAsia" w:ascii="宋体" w:hAnsi="宋体" w:cs="宋体"/>
          <w:color w:val="000000"/>
          <w:sz w:val="24"/>
          <w:highlight w:val="none"/>
        </w:rPr>
        <w:t xml:space="preserve">南京建凯建设项目管理有限公司</w:t>
      </w:r>
      <w:r/>
    </w:p>
    <w:p>
      <w:pPr>
        <w:ind w:left="1079" w:hanging="300"/>
        <w:spacing w:line="52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地址：</w:t>
      </w:r>
      <w:r>
        <w:rPr>
          <w:rFonts w:hint="eastAsia" w:ascii="宋体" w:hAnsi="宋体" w:cs="宋体"/>
          <w:color w:val="000000"/>
          <w:sz w:val="24"/>
          <w:highlight w:val="none"/>
        </w:rPr>
        <w:t xml:space="preserve">泗阳县市民东路与运河大道交叉口正南方向米仓408室</w:t>
      </w:r>
      <w:r/>
    </w:p>
    <w:p>
      <w:pPr>
        <w:ind w:left="1079" w:hanging="300"/>
        <w:spacing w:line="52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联系人：</w:t>
      </w:r>
      <w:r>
        <w:rPr>
          <w:rFonts w:hint="eastAsia" w:ascii="宋体" w:hAnsi="宋体" w:cs="宋体"/>
          <w:color w:val="000000"/>
          <w:sz w:val="24"/>
          <w:highlight w:val="none"/>
        </w:rPr>
        <w:t xml:space="preserve">许工</w:t>
      </w:r>
      <w:r/>
    </w:p>
    <w:p>
      <w:pPr>
        <w:ind w:left="1079" w:hanging="300"/>
        <w:spacing w:line="520" w:lineRule="exact"/>
        <w:widowControl/>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联系方式：</w:t>
      </w:r>
      <w:r>
        <w:rPr>
          <w:rFonts w:hint="eastAsia" w:ascii="宋体" w:hAnsi="宋体" w:cs="宋体"/>
          <w:color w:val="000000"/>
          <w:sz w:val="24"/>
          <w:highlight w:val="none"/>
        </w:rPr>
        <w:t xml:space="preserve">15366966896</w:t>
      </w:r>
      <w:r/>
    </w:p>
    <w:p>
      <w:pPr>
        <w:pStyle w:val="1005"/>
        <w:ind w:firstLine="498"/>
        <w:spacing w:before="0" w:after="0" w:line="52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八、其他</w:t>
      </w:r>
      <w:r/>
    </w:p>
    <w:p>
      <w:pPr>
        <w:ind w:firstLine="480"/>
        <w:spacing w:line="520" w:lineRule="exact"/>
        <w:rPr>
          <w:rFonts w:cs="仿宋_GB2312"/>
          <w:iCs/>
          <w:color w:val="000000" w:themeColor="text1"/>
          <w:sz w:val="24"/>
          <w:highlight w:val="none"/>
          <w14:textFill>
            <w14:solidFill>
              <w14:schemeClr w14:val="tx1"/>
            </w14:solidFill>
          </w14:textFill>
        </w:rPr>
      </w:pPr>
      <w:r>
        <w:rPr>
          <w:rFonts w:hint="eastAsia" w:cs="仿宋_GB2312"/>
          <w:iCs/>
          <w:color w:val="000000" w:themeColor="text1"/>
          <w:sz w:val="24"/>
          <w:highlight w:val="none"/>
          <w14:textFill>
            <w14:solidFill>
              <w14:schemeClr w14:val="tx1"/>
            </w14:solidFill>
          </w14:textFill>
        </w:rPr>
        <w:t xml:space="preserve">1、有关本次招标的事项若存在变动或修改，敬请及时关注“宿迁市政府采购网”更正公告。</w:t>
      </w:r>
      <w:r/>
    </w:p>
    <w:p>
      <w:pPr>
        <w:ind w:firstLine="480"/>
        <w:spacing w:line="520" w:lineRule="exact"/>
        <w:tabs>
          <w:tab w:val="left" w:pos="900" w:leader="none"/>
        </w:tabs>
        <w:rPr>
          <w:bCs/>
          <w:color w:val="000000" w:themeColor="text1"/>
          <w:sz w:val="24"/>
          <w:szCs w:val="24"/>
          <w:highlight w:val="none"/>
          <w14:textFill>
            <w14:solidFill>
              <w14:schemeClr w14:val="tx1"/>
            </w14:solidFill>
          </w14:textFill>
        </w:rPr>
      </w:pPr>
      <w:r>
        <w:rPr>
          <w:rFonts w:hint="eastAsia" w:cs="仿宋_GB2312"/>
          <w:bCs/>
          <w:iCs/>
          <w:color w:val="000000" w:themeColor="text1"/>
          <w:sz w:val="24"/>
          <w:highlight w:val="none"/>
          <w14:textFill>
            <w14:solidFill>
              <w14:schemeClr w14:val="tx1"/>
            </w14:solidFill>
          </w14:textFill>
        </w:rPr>
        <w:t xml:space="preserve">2、</w:t>
      </w:r>
      <w:r>
        <w:rPr>
          <w:rFonts w:hint="eastAsia"/>
          <w:bCs/>
          <w:color w:val="000000" w:themeColor="text1"/>
          <w:sz w:val="24"/>
          <w:szCs w:val="24"/>
          <w:highlight w:val="none"/>
          <w14:textFill>
            <w14:solidFill>
              <w14:schemeClr w14:val="tx1"/>
            </w14:solidFill>
          </w14:textFill>
        </w:rPr>
        <w:t xml:space="preserve">本次招标不收取投标保证金。</w:t>
      </w:r>
      <w:r/>
    </w:p>
    <w:p>
      <w:pPr>
        <w:pStyle w:val="1004"/>
        <w:ind w:firstLine="2429"/>
        <w:jc w:val="both"/>
        <w:rPr>
          <w:rFonts w:ascii="Times New Roman" w:hAnsi="Times New Roman" w:eastAsia="黑体"/>
          <w:color w:val="000000" w:themeColor="text1"/>
          <w:highlight w:val="none"/>
          <w14:textFill>
            <w14:solidFill>
              <w14:schemeClr w14:val="tx1"/>
            </w14:solidFill>
          </w14:textFill>
        </w:rPr>
      </w:pPr>
      <w:r/>
      <w:bookmarkStart w:id="44" w:name="_Toc120614211"/>
      <w:r>
        <w:rPr>
          <w:rFonts w:hint="eastAsia" w:ascii="Times New Roman" w:hAnsi="Times New Roman" w:eastAsia="黑体"/>
          <w:color w:val="000000" w:themeColor="text1"/>
          <w:highlight w:val="none"/>
          <w14:textFill>
            <w14:solidFill>
              <w14:schemeClr w14:val="tx1"/>
            </w14:solidFill>
          </w14:textFill>
        </w:rPr>
        <w:br w:type="page" w:clear="all"/>
      </w:r>
      <w:r>
        <w:rPr>
          <w:rFonts w:hint="eastAsia" w:ascii="Times New Roman" w:hAnsi="Times New Roman" w:eastAsia="黑体"/>
          <w:color w:val="000000" w:themeColor="text1"/>
          <w:highlight w:val="none"/>
          <w14:textFill>
            <w14:solidFill>
              <w14:schemeClr w14:val="tx1"/>
            </w14:solidFill>
          </w14:textFill>
        </w:rPr>
        <w:t xml:space="preserve">第二章  </w:t>
      </w:r>
      <w:bookmarkEnd w:id="1"/>
      <w:r/>
      <w:bookmarkEnd w:id="2"/>
      <w:r/>
      <w:bookmarkEnd w:id="3"/>
      <w:r/>
      <w:bookmarkEnd w:id="4"/>
      <w:r/>
      <w:bookmarkEnd w:id="5"/>
      <w:r/>
      <w:bookmarkEnd w:id="44"/>
      <w:r/>
      <w:bookmarkStart w:id="45" w:name="_Toc513029202"/>
      <w:r/>
      <w:bookmarkStart w:id="46" w:name="_Toc16938518"/>
      <w:r/>
      <w:bookmarkStart w:id="47" w:name="_Toc120614213"/>
      <w:r/>
      <w:bookmarkStart w:id="48" w:name="_Toc20823274"/>
      <w:r>
        <w:rPr>
          <w:rFonts w:hint="eastAsia" w:ascii="Times New Roman" w:hAnsi="Times New Roman" w:eastAsia="黑体"/>
          <w:color w:val="000000" w:themeColor="text1"/>
          <w:highlight w:val="none"/>
          <w14:textFill>
            <w14:solidFill>
              <w14:schemeClr w14:val="tx1"/>
            </w14:solidFill>
          </w14:textFill>
        </w:rPr>
        <w:t xml:space="preserve">投标人须知</w:t>
      </w:r>
      <w:bookmarkEnd w:id="45"/>
      <w:r/>
      <w:bookmarkEnd w:id="46"/>
      <w:r/>
      <w:bookmarkEnd w:id="47"/>
      <w:r/>
      <w:bookmarkEnd w:id="48"/>
      <w:r/>
      <w:r/>
    </w:p>
    <w:p>
      <w:pPr>
        <w:spacing w:after="120"/>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供应商须知前附表：</w:t>
      </w:r>
      <w:r/>
    </w:p>
    <w:tbl>
      <w:tblPr>
        <w:tblStyle w:val="85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5"/>
        <w:gridCol w:w="1765"/>
        <w:gridCol w:w="6549"/>
      </w:tblGrid>
      <w:tr>
        <w:trPr>
          <w:trHeight w:val="46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79"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说明及要求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项目属性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9"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本项目属性按以下第</w:t>
            </w:r>
            <w:r>
              <w:rPr>
                <w:rFonts w:ascii="宋体" w:hAnsi="宋体" w:cs="宋体"/>
                <w:color w:val="000000"/>
                <w:sz w:val="24"/>
                <w:highlight w:val="none"/>
                <w:u w:val="single"/>
              </w:rPr>
              <w:t xml:space="preserve">2</w:t>
            </w:r>
            <w:r>
              <w:rPr>
                <w:rFonts w:ascii="宋体" w:hAnsi="宋体" w:cs="宋体"/>
                <w:color w:val="000000"/>
                <w:sz w:val="24"/>
                <w:highlight w:val="none"/>
              </w:rPr>
              <w:t xml:space="preserve">种确定：</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1.货物采购；2.服务采购；3.工程采购。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9"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60</w:t>
            </w:r>
            <w:r>
              <w:rPr>
                <w:rFonts w:ascii="宋体" w:hAnsi="宋体" w:cs="宋体"/>
                <w:color w:val="000000"/>
                <w:sz w:val="24"/>
                <w:highlight w:val="none"/>
              </w:rPr>
              <w:t xml:space="preserve">日（从提交投标文件截止之日起算）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9"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提交加密电子投标文件</w:t>
            </w:r>
            <w:r>
              <w:rPr>
                <w:rFonts w:ascii="宋体" w:hAnsi="宋体" w:cs="宋体"/>
                <w:color w:val="000000"/>
                <w:sz w:val="24"/>
                <w:highlight w:val="none"/>
                <w:u w:val="single"/>
              </w:rPr>
              <w:t xml:space="preserve">1</w:t>
            </w:r>
            <w:r>
              <w:rPr>
                <w:rFonts w:ascii="宋体" w:hAnsi="宋体" w:cs="宋体"/>
                <w:color w:val="000000"/>
                <w:sz w:val="24"/>
                <w:highlight w:val="none"/>
              </w:rPr>
              <w:t xml:space="preserve">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开标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9"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“苏采云”政府采购交易系统网上开标大厅进行不见面开标。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jc w:val="center"/>
              <w:spacing w:line="400" w:lineRule="exact"/>
              <w:rPr>
                <w:rFonts w:ascii="宋体" w:hAnsi="宋体" w:cs="宋体"/>
                <w:color w:val="000000"/>
                <w:sz w:val="24"/>
                <w:highlight w:val="none"/>
              </w:rPr>
            </w:pPr>
            <w:r>
              <w:rPr>
                <w:rFonts w:hint="eastAsia" w:cs="仿宋"/>
                <w:sz w:val="24"/>
                <w:highlight w:val="none"/>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jc w:val="center"/>
              <w:spacing w:line="400" w:lineRule="exact"/>
              <w:rPr>
                <w:rFonts w:cs="仿宋"/>
                <w:sz w:val="24"/>
                <w:szCs w:val="22"/>
                <w:highlight w:val="none"/>
              </w:rPr>
            </w:pPr>
            <w:r>
              <w:rPr>
                <w:rFonts w:hint="eastAsia" w:cs="仿宋"/>
                <w:sz w:val="24"/>
                <w:highlight w:val="none"/>
              </w:rPr>
              <w:t xml:space="preserve">进口产品</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9" w:type="dxa"/>
            <w:vAlign w:val="center"/>
            <w:textDirection w:val="lrTb"/>
            <w:noWrap w:val="false"/>
          </w:tcPr>
          <w:p>
            <w:pPr>
              <w:jc w:val="left"/>
              <w:spacing w:line="400" w:lineRule="exact"/>
              <w:rPr>
                <w:rFonts w:cs="仿宋"/>
                <w:sz w:val="24"/>
                <w:highlight w:val="none"/>
              </w:rPr>
            </w:pPr>
            <w:r>
              <w:rPr>
                <w:rFonts w:hint="eastAsia" w:cs="仿宋"/>
                <w:sz w:val="24"/>
                <w:highlight w:val="none"/>
              </w:rPr>
              <w:t xml:space="preserve">按以下第</w:t>
            </w:r>
            <w:r>
              <w:rPr>
                <w:rFonts w:hint="eastAsia" w:cs="仿宋"/>
                <w:sz w:val="24"/>
                <w:highlight w:val="none"/>
                <w:u w:val="single"/>
              </w:rPr>
              <w:t xml:space="preserve">2</w:t>
            </w:r>
            <w:r>
              <w:rPr>
                <w:rFonts w:hint="eastAsia" w:cs="仿宋"/>
                <w:sz w:val="24"/>
                <w:highlight w:val="none"/>
              </w:rPr>
              <w:t xml:space="preserve">种方式确定：</w:t>
            </w:r>
            <w:r/>
          </w:p>
          <w:p>
            <w:pPr>
              <w:jc w:val="left"/>
              <w:spacing w:line="360" w:lineRule="exact"/>
              <w:widowControl/>
              <w:rPr>
                <w:rFonts w:cs="仿宋"/>
                <w:sz w:val="24"/>
                <w:highlight w:val="none"/>
              </w:rPr>
            </w:pPr>
            <w:r>
              <w:rPr>
                <w:rFonts w:hint="eastAsia" w:cs="仿宋"/>
                <w:sz w:val="24"/>
                <w:highlight w:val="none"/>
              </w:rPr>
              <w:t xml:space="preserve">1.接受进口产品。</w:t>
            </w:r>
            <w:r>
              <w:rPr>
                <w:rFonts w:hint="eastAsia" w:cs="仿宋"/>
                <w:sz w:val="24"/>
                <w:szCs w:val="22"/>
                <w:highlight w:val="none"/>
              </w:rPr>
              <w:t xml:space="preserve">应当符合《政府采购进口产品管理办法》（财库〔2007〕119号）、《关于政府采购进口产品管理有关问题的通知》（财办库〔2008〕248号）等相关规定</w:t>
            </w:r>
            <w:r>
              <w:rPr>
                <w:rFonts w:hint="eastAsia" w:cs="仿宋"/>
                <w:sz w:val="24"/>
                <w:highlight w:val="none"/>
              </w:rPr>
              <w:t xml:space="preserve">；</w:t>
            </w:r>
            <w:r/>
          </w:p>
          <w:p>
            <w:pPr>
              <w:jc w:val="left"/>
              <w:spacing w:line="400" w:lineRule="exact"/>
              <w:rPr>
                <w:rFonts w:cs="仿宋"/>
                <w:sz w:val="24"/>
                <w:szCs w:val="22"/>
                <w:highlight w:val="none"/>
              </w:rPr>
            </w:pPr>
            <w:r>
              <w:rPr>
                <w:rFonts w:hint="eastAsia" w:cs="仿宋"/>
                <w:sz w:val="24"/>
                <w:highlight w:val="none"/>
              </w:rPr>
              <w:t xml:space="preserve">2.不接受进口产品。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jc w:val="center"/>
              <w:spacing w:line="400" w:lineRule="exact"/>
              <w:rPr>
                <w:highlight w:val="none"/>
              </w:rPr>
            </w:pPr>
            <w:r>
              <w:rPr>
                <w:rFonts w:hint="eastAsia" w:cs="仿宋"/>
                <w:sz w:val="24"/>
                <w:highlight w:val="none"/>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评标办法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9"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具体评标办法详见招标文件第</w:t>
            </w:r>
            <w:r>
              <w:rPr>
                <w:rFonts w:hint="eastAsia" w:ascii="宋体" w:hAnsi="宋体" w:cs="宋体"/>
                <w:color w:val="000000"/>
                <w:sz w:val="24"/>
                <w:highlight w:val="none"/>
                <w:lang w:eastAsia="zh-CN"/>
              </w:rPr>
              <w:t xml:space="preserve">五</w:t>
            </w:r>
            <w:r>
              <w:rPr>
                <w:rFonts w:ascii="宋体" w:hAnsi="宋体" w:cs="宋体"/>
                <w:color w:val="000000"/>
                <w:sz w:val="24"/>
                <w:highlight w:val="none"/>
              </w:rPr>
              <w:t xml:space="preserve">章。</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评标委员会依据招标文件规定的评标办法和标准推荐</w:t>
            </w:r>
            <w:r>
              <w:rPr>
                <w:rFonts w:ascii="宋体" w:hAnsi="宋体" w:cs="宋体"/>
                <w:color w:val="000000"/>
                <w:sz w:val="24"/>
                <w:highlight w:val="none"/>
                <w:u w:val="single"/>
              </w:rPr>
              <w:t xml:space="preserve">3</w:t>
            </w:r>
            <w:r>
              <w:rPr>
                <w:rFonts w:ascii="宋体" w:hAnsi="宋体" w:cs="宋体"/>
                <w:color w:val="000000"/>
                <w:sz w:val="24"/>
                <w:highlight w:val="none"/>
              </w:rPr>
              <w:t xml:space="preserve">名中标候选人。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jc w:val="center"/>
              <w:spacing w:line="400" w:lineRule="exact"/>
              <w:rPr>
                <w:highlight w:val="none"/>
              </w:rPr>
            </w:pPr>
            <w:r>
              <w:rPr>
                <w:rFonts w:hint="eastAsia" w:cs="仿宋"/>
                <w:sz w:val="24"/>
                <w:highlight w:val="none"/>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确定中标人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9" w:type="dxa"/>
            <w:vAlign w:val="center"/>
            <w:textDirection w:val="lrTb"/>
            <w:noWrap w:val="false"/>
          </w:tcPr>
          <w:p>
            <w:pPr>
              <w:jc w:val="left"/>
              <w:spacing w:line="400" w:lineRule="exact"/>
              <w:rPr>
                <w:rFonts w:cs="仿宋"/>
                <w:sz w:val="24"/>
                <w:highlight w:val="none"/>
              </w:rPr>
            </w:pPr>
            <w:r>
              <w:rPr>
                <w:rFonts w:hint="eastAsia" w:cs="仿宋"/>
                <w:sz w:val="24"/>
                <w:highlight w:val="none"/>
              </w:rPr>
              <w:t xml:space="preserve">按以下第</w:t>
            </w:r>
            <w:r>
              <w:rPr>
                <w:rFonts w:hint="eastAsia" w:cs="仿宋"/>
                <w:sz w:val="24"/>
                <w:highlight w:val="none"/>
                <w:u w:val="single"/>
              </w:rPr>
              <w:t xml:space="preserve">2</w:t>
            </w:r>
            <w:r>
              <w:rPr>
                <w:rFonts w:hint="eastAsia" w:cs="仿宋"/>
                <w:sz w:val="24"/>
                <w:highlight w:val="none"/>
              </w:rPr>
              <w:t xml:space="preserve">种方式确定中标人：</w:t>
            </w:r>
            <w:r/>
          </w:p>
          <w:p>
            <w:pPr>
              <w:jc w:val="left"/>
              <w:spacing w:line="400" w:lineRule="exact"/>
              <w:rPr>
                <w:rFonts w:cs="仿宋"/>
                <w:sz w:val="24"/>
                <w:highlight w:val="none"/>
              </w:rPr>
            </w:pPr>
            <w:r>
              <w:rPr>
                <w:rFonts w:hint="eastAsia" w:cs="仿宋"/>
                <w:sz w:val="24"/>
                <w:highlight w:val="none"/>
              </w:rPr>
              <w:t xml:space="preserve">1.采购人按规定在评标委员会推荐的中标候选人中确定中标人；</w:t>
            </w:r>
            <w:r/>
          </w:p>
          <w:p>
            <w:pPr>
              <w:rPr>
                <w:highlight w:val="none"/>
              </w:rPr>
              <w:pBdr>
                <w:top w:val="none" w:color="000000" w:sz="0" w:space="0"/>
                <w:left w:val="none" w:color="000000" w:sz="0" w:space="0"/>
                <w:bottom w:val="none" w:color="000000" w:sz="0" w:space="0"/>
                <w:right w:val="none" w:color="000000" w:sz="0" w:space="0"/>
              </w:pBdr>
            </w:pPr>
            <w:r>
              <w:rPr>
                <w:rFonts w:hint="eastAsia" w:cs="仿宋"/>
                <w:sz w:val="24"/>
                <w:highlight w:val="none"/>
              </w:rPr>
              <w:t xml:space="preserve">2.采购人授权评标委员会直接确定中标人。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jc w:val="center"/>
              <w:spacing w:line="400" w:lineRule="exact"/>
              <w:rPr>
                <w:highlight w:val="none"/>
              </w:rPr>
            </w:pPr>
            <w:r>
              <w:rPr>
                <w:rFonts w:hint="eastAsia" w:cs="仿宋"/>
                <w:sz w:val="24"/>
                <w:highlight w:val="none"/>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分包要求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9"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本项目的非主体、非关键性工作是否允许分包按以下第</w:t>
            </w:r>
            <w:r>
              <w:rPr>
                <w:rFonts w:ascii="宋体" w:hAnsi="宋体" w:cs="宋体"/>
                <w:color w:val="000000"/>
                <w:sz w:val="24"/>
                <w:highlight w:val="none"/>
                <w:u w:val="single"/>
              </w:rPr>
              <w:t xml:space="preserve">2</w:t>
            </w:r>
            <w:r>
              <w:rPr>
                <w:rFonts w:ascii="宋体" w:hAnsi="宋体" w:cs="宋体"/>
                <w:color w:val="000000"/>
                <w:sz w:val="24"/>
                <w:highlight w:val="none"/>
              </w:rPr>
              <w:t xml:space="preserve">种方式确定：</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1.允许分包，允许大中型企业向一家或者多家小微企业分包，分包具体内容、金额或比例：无</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2.不允许分包。</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jc w:val="center"/>
              <w:spacing w:line="400" w:lineRule="exact"/>
              <w:rPr>
                <w:highlight w:val="none"/>
              </w:rPr>
            </w:pPr>
            <w:r>
              <w:rPr>
                <w:rFonts w:hint="eastAsia" w:cs="仿宋"/>
                <w:sz w:val="24"/>
                <w:highlight w:val="none"/>
              </w:rPr>
              <w:t xml:space="preserve">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代理费用收取方式及标准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79" w:type="dxa"/>
            <w:vAlign w:val="center"/>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val="zh-CN"/>
              </w:rPr>
              <w:t xml:space="preserve">按照苏招协【2022】002号文件规定标准向采购代理机构支付代理服务费。支付方式可以通过转账、现金、数字人民币等方式。</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jc w:val="center"/>
              <w:spacing w:line="400" w:lineRule="exact"/>
              <w:rPr>
                <w:rFonts w:ascii="宋体" w:hAnsi="宋体" w:cs="宋体"/>
                <w:color w:val="000000"/>
                <w:sz w:val="24"/>
                <w:highlight w:val="none"/>
              </w:rPr>
            </w:pPr>
            <w:r>
              <w:rPr>
                <w:rFonts w:hint="eastAsia" w:cs="仿宋"/>
                <w:sz w:val="24"/>
                <w:highlight w:val="none"/>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jc w:val="center"/>
              <w:spacing w:line="400" w:lineRule="exact"/>
              <w:rPr>
                <w:rFonts w:ascii="宋体" w:hAnsi="宋体" w:cs="宋体"/>
                <w:color w:val="000000"/>
                <w:sz w:val="24"/>
                <w:highlight w:val="none"/>
              </w:rPr>
            </w:pPr>
            <w:r>
              <w:rPr>
                <w:rFonts w:hint="eastAsia" w:cs="仿宋"/>
                <w:sz w:val="24"/>
                <w:highlight w:val="none"/>
              </w:rPr>
              <w:t xml:space="preserve">其他</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79" w:type="dxa"/>
            <w:vAlign w:val="center"/>
            <w:textDirection w:val="lrTb"/>
            <w:noWrap w:val="false"/>
          </w:tcPr>
          <w:p>
            <w:pPr>
              <w:jc w:val="left"/>
              <w:spacing w:line="400" w:lineRule="exact"/>
              <w:rPr>
                <w:sz w:val="24"/>
                <w:highlight w:val="none"/>
                <w:lang w:val="zh-CN"/>
              </w:rPr>
            </w:pPr>
            <w:r>
              <w:rPr>
                <w:rFonts w:hint="eastAsia"/>
                <w:sz w:val="24"/>
                <w:highlight w:val="none"/>
              </w:rPr>
              <w:t xml:space="preserve">1.</w:t>
            </w:r>
            <w:r>
              <w:rPr>
                <w:rFonts w:hint="eastAsia"/>
                <w:sz w:val="24"/>
                <w:highlight w:val="none"/>
                <w:lang w:val="zh-CN"/>
              </w:rPr>
              <w:t xml:space="preserve">信用信息查询截止时间：资格审查结束前。由采购人在资格审查现场查询信用信息，网页截屏打印，查询结果留存并归档。</w:t>
            </w:r>
            <w:r/>
          </w:p>
          <w:p>
            <w:pPr>
              <w:jc w:val="left"/>
              <w:spacing w:line="400" w:lineRule="exact"/>
              <w:rPr>
                <w:rFonts w:ascii="宋体" w:hAnsi="宋体" w:cs="宋体"/>
                <w:color w:val="000000"/>
                <w:sz w:val="24"/>
                <w:highlight w:val="none"/>
              </w:rPr>
            </w:pPr>
            <w:r>
              <w:rPr>
                <w:rFonts w:hint="eastAsia"/>
                <w:sz w:val="24"/>
                <w:highlight w:val="none"/>
              </w:rPr>
              <w:t xml:space="preserve">2.本项目落实“关于推动解决政府采购异常低价问题的通知(苏财购〔2026〕36号)”文件规定。</w:t>
            </w:r>
            <w:r/>
          </w:p>
        </w:tc>
      </w:tr>
    </w:tbl>
    <w:p>
      <w:pPr>
        <w:rPr>
          <w:highlight w:val="none"/>
        </w:rPr>
      </w:pPr>
      <w:r>
        <w:rPr>
          <w:highlight w:val="none"/>
        </w:rPr>
      </w:r>
      <w:r/>
    </w:p>
    <w:p>
      <w:pPr>
        <w:pStyle w:val="1005"/>
        <w:ind w:firstLine="498"/>
        <w:spacing w:before="0" w:after="0" w:line="560" w:lineRule="exact"/>
        <w:rPr>
          <w:color w:val="000000" w:themeColor="text1"/>
          <w:highlight w:val="none"/>
          <w14:textFill>
            <w14:solidFill>
              <w14:schemeClr w14:val="tx1"/>
            </w14:solidFill>
          </w14:textFill>
        </w:rPr>
      </w:pPr>
      <w:r/>
      <w:bookmarkStart w:id="49" w:name="_Toc513029203"/>
      <w:r/>
      <w:bookmarkStart w:id="50" w:name="_Toc20823275"/>
      <w:r/>
      <w:bookmarkStart w:id="51" w:name="_Toc120614214"/>
      <w:r/>
      <w:bookmarkStart w:id="52" w:name="_Toc16938519"/>
      <w:r>
        <w:rPr>
          <w:rFonts w:hint="eastAsia"/>
          <w:color w:val="000000" w:themeColor="text1"/>
          <w:highlight w:val="none"/>
          <w14:textFill>
            <w14:solidFill>
              <w14:schemeClr w14:val="tx1"/>
            </w14:solidFill>
          </w14:textFill>
        </w:rPr>
        <w:t xml:space="preserve">一、总则</w:t>
      </w:r>
      <w:bookmarkEnd w:id="49"/>
      <w:r/>
      <w:bookmarkEnd w:id="50"/>
      <w:r/>
      <w:bookmarkEnd w:id="51"/>
      <w:r/>
      <w:bookmarkEnd w:id="52"/>
      <w:r/>
      <w:r/>
    </w:p>
    <w:p>
      <w:pPr>
        <w:pStyle w:val="1007"/>
        <w:ind w:firstLine="420"/>
        <w:spacing w:before="0" w:after="0" w:line="560" w:lineRule="exact"/>
        <w:rPr>
          <w:rFonts w:ascii="Times New Roman" w:hAnsi="Times New Roman"/>
          <w:b w:val="0"/>
          <w:bCs w:val="0"/>
          <w:color w:val="000000" w:themeColor="text1"/>
          <w:highlight w:val="none"/>
          <w14:textFill>
            <w14:solidFill>
              <w14:schemeClr w14:val="tx1"/>
            </w14:solidFill>
          </w14:textFill>
        </w:rPr>
      </w:pPr>
      <w:r/>
      <w:bookmarkStart w:id="53" w:name="_Hlt16619475"/>
      <w:r/>
      <w:bookmarkEnd w:id="53"/>
      <w:r/>
      <w:bookmarkStart w:id="54" w:name="_Toc458694821"/>
      <w:r/>
      <w:bookmarkStart w:id="55" w:name="_Toc513029204"/>
      <w:r/>
      <w:bookmarkStart w:id="56" w:name="_Toc20823276"/>
      <w:r/>
      <w:bookmarkStart w:id="57" w:name="_Toc16938520"/>
      <w:r>
        <w:rPr>
          <w:rFonts w:hint="eastAsia" w:ascii="Times New Roman" w:hAnsi="Times New Roman"/>
          <w:b w:val="0"/>
          <w:bCs w:val="0"/>
          <w:color w:val="000000" w:themeColor="text1"/>
          <w:highlight w:val="none"/>
          <w14:textFill>
            <w14:solidFill>
              <w14:schemeClr w14:val="tx1"/>
            </w14:solidFill>
          </w14:textFill>
        </w:rPr>
        <w:t xml:space="preserve">1</w:t>
      </w:r>
      <w:bookmarkEnd w:id="54"/>
      <w:r>
        <w:rPr>
          <w:rFonts w:hint="eastAsia" w:ascii="Times New Roman" w:hAnsi="Times New Roman"/>
          <w:b w:val="0"/>
          <w:bCs w:val="0"/>
          <w:color w:val="000000" w:themeColor="text1"/>
          <w:highlight w:val="none"/>
          <w14:textFill>
            <w14:solidFill>
              <w14:schemeClr w14:val="tx1"/>
            </w14:solidFill>
          </w14:textFill>
        </w:rPr>
        <w:t xml:space="preserve">、招标方式</w:t>
      </w:r>
      <w:bookmarkEnd w:id="55"/>
      <w:r/>
      <w:bookmarkEnd w:id="56"/>
      <w:r/>
      <w:bookmarkEnd w:id="57"/>
      <w:r/>
      <w:r/>
    </w:p>
    <w:p>
      <w:pPr>
        <w:ind w:firstLine="480"/>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1.1 本次招标采取公开招标方式，本招标文件仅适用于招标公告中所述项目。</w:t>
      </w:r>
      <w:r/>
    </w:p>
    <w:p>
      <w:pPr>
        <w:pStyle w:val="1007"/>
        <w:ind w:firstLine="420"/>
        <w:spacing w:before="0" w:after="0" w:line="560" w:lineRule="exact"/>
        <w:rPr>
          <w:rFonts w:ascii="Times New Roman" w:hAnsi="Times New Roman"/>
          <w:b w:val="0"/>
          <w:bCs w:val="0"/>
          <w:color w:val="000000" w:themeColor="text1"/>
          <w:highlight w:val="none"/>
          <w14:textFill>
            <w14:solidFill>
              <w14:schemeClr w14:val="tx1"/>
            </w14:solidFill>
          </w14:textFill>
        </w:rPr>
      </w:pPr>
      <w:r/>
      <w:bookmarkStart w:id="58" w:name="_Toc513029205"/>
      <w:r/>
      <w:bookmarkStart w:id="59" w:name="_Toc16938521"/>
      <w:r/>
      <w:bookmarkStart w:id="60" w:name="_Toc20823277"/>
      <w:r>
        <w:rPr>
          <w:rFonts w:hint="eastAsia" w:ascii="Times New Roman" w:hAnsi="Times New Roman"/>
          <w:b w:val="0"/>
          <w:bCs w:val="0"/>
          <w:color w:val="000000" w:themeColor="text1"/>
          <w:highlight w:val="none"/>
          <w14:textFill>
            <w14:solidFill>
              <w14:schemeClr w14:val="tx1"/>
            </w14:solidFill>
          </w14:textFill>
        </w:rPr>
        <w:t xml:space="preserve">2、合格的投标人</w:t>
      </w:r>
      <w:bookmarkEnd w:id="58"/>
      <w:r/>
      <w:bookmarkEnd w:id="59"/>
      <w:r/>
      <w:bookmarkEnd w:id="60"/>
      <w:r/>
      <w:r/>
    </w:p>
    <w:p>
      <w:pPr>
        <w:ind w:firstLine="480"/>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2.1满足招标公告中投标人的资格要求的规定。</w:t>
      </w:r>
      <w:r/>
    </w:p>
    <w:p>
      <w:pPr>
        <w:ind w:firstLine="480"/>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2.2 满足本文件实质性要求和条件的规定。</w:t>
      </w:r>
      <w:r/>
    </w:p>
    <w:p>
      <w:pPr>
        <w:pStyle w:val="1007"/>
        <w:ind w:firstLine="420"/>
        <w:spacing w:before="0" w:after="0" w:line="560" w:lineRule="exact"/>
        <w:rPr>
          <w:rFonts w:ascii="Times New Roman" w:hAnsi="Times New Roman"/>
          <w:b w:val="0"/>
          <w:bCs w:val="0"/>
          <w:color w:val="000000" w:themeColor="text1"/>
          <w:highlight w:val="none"/>
          <w14:textFill>
            <w14:solidFill>
              <w14:schemeClr w14:val="tx1"/>
            </w14:solidFill>
          </w14:textFill>
        </w:rPr>
      </w:pPr>
      <w:r/>
      <w:bookmarkStart w:id="61" w:name="_Toc16938522"/>
      <w:r/>
      <w:bookmarkStart w:id="62" w:name="_Toc513029206"/>
      <w:r/>
      <w:bookmarkStart w:id="63" w:name="_Toc20823278"/>
      <w:r>
        <w:rPr>
          <w:rFonts w:hint="eastAsia" w:ascii="Times New Roman" w:hAnsi="Times New Roman"/>
          <w:b w:val="0"/>
          <w:bCs w:val="0"/>
          <w:color w:val="000000" w:themeColor="text1"/>
          <w:highlight w:val="none"/>
          <w14:textFill>
            <w14:solidFill>
              <w14:schemeClr w14:val="tx1"/>
            </w14:solidFill>
          </w14:textFill>
        </w:rPr>
        <w:t xml:space="preserve">3、适用法律</w:t>
      </w:r>
      <w:bookmarkEnd w:id="61"/>
      <w:r/>
      <w:bookmarkEnd w:id="62"/>
      <w:r/>
      <w:bookmarkEnd w:id="63"/>
      <w:r/>
      <w:r/>
    </w:p>
    <w:p>
      <w:pPr>
        <w:ind w:firstLine="480"/>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3.1 本次招标及由此产生的合同受中华人民共和国有关的法律法规制约和保护。</w:t>
      </w:r>
      <w:r/>
    </w:p>
    <w:p>
      <w:pPr>
        <w:pStyle w:val="1007"/>
        <w:ind w:firstLine="420"/>
        <w:spacing w:before="0" w:after="0" w:line="560" w:lineRule="exact"/>
        <w:rPr>
          <w:rFonts w:ascii="Times New Roman" w:hAnsi="Times New Roman"/>
          <w:b w:val="0"/>
          <w:bCs w:val="0"/>
          <w:color w:val="000000" w:themeColor="text1"/>
          <w:highlight w:val="none"/>
          <w14:textFill>
            <w14:solidFill>
              <w14:schemeClr w14:val="tx1"/>
            </w14:solidFill>
          </w14:textFill>
        </w:rPr>
      </w:pPr>
      <w:r/>
      <w:bookmarkStart w:id="64" w:name="_Toc20823279"/>
      <w:r/>
      <w:bookmarkStart w:id="65" w:name="_Toc16938523"/>
      <w:r/>
      <w:bookmarkStart w:id="66" w:name="_Toc513029207"/>
      <w:r/>
      <w:bookmarkStart w:id="67" w:name="_Toc462564067"/>
      <w:r>
        <w:rPr>
          <w:rFonts w:hint="eastAsia" w:ascii="Times New Roman" w:hAnsi="Times New Roman"/>
          <w:b w:val="0"/>
          <w:bCs w:val="0"/>
          <w:color w:val="000000" w:themeColor="text1"/>
          <w:highlight w:val="none"/>
          <w14:textFill>
            <w14:solidFill>
              <w14:schemeClr w14:val="tx1"/>
            </w14:solidFill>
          </w14:textFill>
        </w:rPr>
        <w:t xml:space="preserve">4、投标费用</w:t>
      </w:r>
      <w:bookmarkEnd w:id="64"/>
      <w:r/>
      <w:bookmarkEnd w:id="65"/>
      <w:r/>
      <w:bookmarkEnd w:id="66"/>
      <w:r/>
      <w:bookmarkEnd w:id="67"/>
      <w:r/>
      <w:r/>
    </w:p>
    <w:p>
      <w:pPr>
        <w:ind w:firstLine="480"/>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4.1 投标人应自行承担所有与参加投标有关的费用，无论投标过程中的做法和结果如何，</w:t>
      </w:r>
      <w:r>
        <w:rPr>
          <w:rFonts w:hint="eastAsia" w:ascii="宋体" w:hAnsi="宋体"/>
          <w:color w:val="000000" w:themeColor="text1"/>
          <w:sz w:val="24"/>
          <w:szCs w:val="24"/>
          <w:highlight w:val="none"/>
          <w14:textFill>
            <w14:solidFill>
              <w14:schemeClr w14:val="tx1"/>
            </w14:solidFill>
          </w14:textFill>
        </w:rPr>
        <w:t xml:space="preserve">南京建凯建设项目管理有限公司</w:t>
      </w:r>
      <w:r>
        <w:rPr>
          <w:rFonts w:hint="eastAsia"/>
          <w:color w:val="000000" w:themeColor="text1"/>
          <w:sz w:val="24"/>
          <w:highlight w:val="none"/>
          <w14:textFill>
            <w14:solidFill>
              <w14:schemeClr w14:val="tx1"/>
            </w14:solidFill>
          </w14:textFill>
        </w:rPr>
        <w:t xml:space="preserve">（以下简称采购代理机构）在任何情况下均无义务和责任承担这些费用。</w:t>
      </w:r>
      <w:r/>
    </w:p>
    <w:p>
      <w:pPr>
        <w:pStyle w:val="1078"/>
        <w:ind w:firstLine="480"/>
        <w:rPr>
          <w:rFonts w:hint="eastAsia" w:ascii="Times New Roman" w:hAnsi="Times New Roman" w:eastAsia="黑体" w:cs="Arial"/>
          <w:b w:val="0"/>
          <w:bCs w:val="0"/>
          <w:color w:val="000000" w:themeColor="text1"/>
          <w:sz w:val="28"/>
          <w:szCs w:val="28"/>
          <w:highlight w:val="none"/>
          <w:lang w:val="en-US" w:eastAsia="zh-CN" w:bidi="ar-SA"/>
          <w14:textFill>
            <w14:solidFill>
              <w14:schemeClr w14:val="tx1"/>
            </w14:solidFill>
          </w14:textFill>
        </w:rPr>
      </w:pPr>
      <w:r>
        <w:rPr>
          <w:rFonts w:hint="eastAsia" w:ascii="Times New Roman" w:hAnsi="Times New Roman" w:eastAsia="黑体" w:cs="Arial"/>
          <w:b w:val="0"/>
          <w:bCs w:val="0"/>
          <w:color w:val="000000" w:themeColor="text1"/>
          <w:sz w:val="28"/>
          <w:szCs w:val="28"/>
          <w:highlight w:val="none"/>
          <w:lang w:val="en-US" w:eastAsia="zh-CN" w:bidi="ar-SA"/>
          <w14:textFill>
            <w14:solidFill>
              <w14:schemeClr w14:val="tx1"/>
            </w14:solidFill>
          </w14:textFill>
        </w:rPr>
        <w:t xml:space="preserve">4.2代理费用收取方式及标准</w:t>
      </w:r>
      <w:r/>
    </w:p>
    <w:p>
      <w:pPr>
        <w:pStyle w:val="1078"/>
        <w:ind w:firstLine="480"/>
        <w:rPr>
          <w:rFonts w:ascii="Times New Roman" w:hAnsi="Times New Roman" w:eastAsia="宋体" w:cs="Times New Roman"/>
          <w:color w:val="000000" w:themeColor="text1"/>
          <w:sz w:val="24"/>
          <w:szCs w:val="21"/>
          <w:highlight w:val="none"/>
          <w:u w:val="none"/>
          <w:lang w:val="en-US"/>
          <w14:textFill>
            <w14:solidFill>
              <w14:schemeClr w14:val="tx1"/>
            </w14:solidFill>
          </w14:textFill>
        </w:rPr>
      </w:pPr>
      <w:r>
        <w:rPr>
          <w:rFonts w:hint="eastAsia" w:ascii="Times New Roman" w:hAnsi="Times New Roman" w:eastAsia="宋体" w:cs="Times New Roman"/>
          <w:color w:val="000000" w:themeColor="text1"/>
          <w:sz w:val="24"/>
          <w:szCs w:val="21"/>
          <w:highlight w:val="none"/>
          <w:u w:val="none"/>
          <w:lang w:val="en-US"/>
          <w14:textFill>
            <w14:solidFill>
              <w14:schemeClr w14:val="tx1"/>
            </w14:solidFill>
          </w14:textFill>
        </w:rPr>
        <w:t xml:space="preserve">按照苏招协【2022】002号文件规定标准向采购代理机构支付代理服务费。支付方式可以通过转账、现金、数字人民币等方式。 </w:t>
      </w:r>
      <w:r/>
    </w:p>
    <w:p>
      <w:pPr>
        <w:pStyle w:val="1007"/>
        <w:ind w:firstLine="602"/>
        <w:spacing w:before="0" w:after="0" w:line="560" w:lineRule="exact"/>
        <w:rPr>
          <w:rFonts w:ascii="Times New Roman" w:hAnsi="Times New Roman"/>
          <w:b w:val="0"/>
          <w:bCs w:val="0"/>
          <w:color w:val="000000" w:themeColor="text1"/>
          <w:highlight w:val="none"/>
          <w14:textFill>
            <w14:solidFill>
              <w14:schemeClr w14:val="tx1"/>
            </w14:solidFill>
          </w14:textFill>
        </w:rPr>
      </w:pPr>
      <w:r>
        <w:rPr>
          <w:rFonts w:hint="eastAsia" w:ascii="Times New Roman" w:hAnsi="Times New Roman"/>
          <w:color w:val="000000" w:themeColor="text1"/>
          <w:sz w:val="30"/>
          <w:highlight w:val="none"/>
          <w14:textFill>
            <w14:solidFill>
              <w14:schemeClr w14:val="tx1"/>
            </w14:solidFill>
          </w14:textFill>
        </w:rPr>
        <w:t xml:space="preserve">5、</w:t>
      </w:r>
      <w:r>
        <w:rPr>
          <w:rFonts w:hint="eastAsia" w:ascii="Times New Roman" w:hAnsi="Times New Roman"/>
          <w:b w:val="0"/>
          <w:bCs w:val="0"/>
          <w:color w:val="000000" w:themeColor="text1"/>
          <w:highlight w:val="none"/>
          <w14:textFill>
            <w14:solidFill>
              <w14:schemeClr w14:val="tx1"/>
            </w14:solidFill>
          </w14:textFill>
        </w:rPr>
        <w:t xml:space="preserve">招标文件的约束力</w:t>
      </w:r>
      <w:r/>
    </w:p>
    <w:p>
      <w:pPr>
        <w:ind w:firstLine="480"/>
        <w:spacing w:line="560" w:lineRule="exact"/>
        <w:rPr>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5.1</w:t>
      </w:r>
      <w:r>
        <w:rPr>
          <w:rFonts w:hint="eastAsia"/>
          <w:color w:val="000000" w:themeColor="text1"/>
          <w:sz w:val="24"/>
          <w:szCs w:val="24"/>
          <w:highlight w:val="none"/>
          <w14:textFill>
            <w14:solidFill>
              <w14:schemeClr w14:val="tx1"/>
            </w14:solidFill>
          </w14:textFill>
        </w:rPr>
        <w:t xml:space="preserve"> 投标人一旦参加本项目采购活动，即被认为接受了本招标文件的规定和约束。</w:t>
      </w:r>
      <w:r/>
    </w:p>
    <w:p>
      <w:pPr>
        <w:pStyle w:val="1005"/>
        <w:ind w:firstLine="321"/>
        <w:spacing w:before="0" w:after="0" w:line="560" w:lineRule="exact"/>
        <w:rPr>
          <w:color w:val="000000" w:themeColor="text1"/>
          <w:highlight w:val="none"/>
          <w14:textFill>
            <w14:solidFill>
              <w14:schemeClr w14:val="tx1"/>
            </w14:solidFill>
          </w14:textFill>
        </w:rPr>
      </w:pPr>
      <w:r/>
      <w:bookmarkStart w:id="68" w:name="_Toc513029209"/>
      <w:r/>
      <w:bookmarkStart w:id="69" w:name="_Toc16938525"/>
      <w:r/>
      <w:bookmarkStart w:id="70" w:name="_Toc20823281"/>
      <w:r/>
      <w:bookmarkStart w:id="71" w:name="_Toc120614215"/>
      <w:r>
        <w:rPr>
          <w:rFonts w:hint="eastAsia"/>
          <w:color w:val="000000" w:themeColor="text1"/>
          <w:highlight w:val="none"/>
          <w14:textFill>
            <w14:solidFill>
              <w14:schemeClr w14:val="tx1"/>
            </w14:solidFill>
          </w14:textFill>
        </w:rPr>
        <w:t xml:space="preserve">二、招标文件</w:t>
      </w:r>
      <w:bookmarkEnd w:id="68"/>
      <w:r/>
      <w:bookmarkEnd w:id="69"/>
      <w:r/>
      <w:bookmarkEnd w:id="70"/>
      <w:r/>
      <w:bookmarkEnd w:id="71"/>
      <w:r/>
      <w:r/>
    </w:p>
    <w:p>
      <w:pPr>
        <w:pStyle w:val="1007"/>
        <w:ind w:firstLine="420"/>
        <w:spacing w:before="0" w:after="0" w:line="560" w:lineRule="exact"/>
        <w:rPr>
          <w:rFonts w:ascii="Times New Roman" w:hAnsi="Times New Roman"/>
          <w:b w:val="0"/>
          <w:bCs w:val="0"/>
          <w:color w:val="000000" w:themeColor="text1"/>
          <w:highlight w:val="none"/>
          <w14:textFill>
            <w14:solidFill>
              <w14:schemeClr w14:val="tx1"/>
            </w14:solidFill>
          </w14:textFill>
        </w:rPr>
      </w:pPr>
      <w:r/>
      <w:bookmarkStart w:id="72" w:name="_Toc513029210"/>
      <w:r/>
      <w:bookmarkStart w:id="73" w:name="_Toc16938526"/>
      <w:r/>
      <w:bookmarkStart w:id="74" w:name="_Toc20823282"/>
      <w:r>
        <w:rPr>
          <w:rFonts w:hint="eastAsia" w:ascii="Times New Roman" w:hAnsi="Times New Roman"/>
          <w:b w:val="0"/>
          <w:bCs w:val="0"/>
          <w:color w:val="000000" w:themeColor="text1"/>
          <w:highlight w:val="none"/>
          <w14:textFill>
            <w14:solidFill>
              <w14:schemeClr w14:val="tx1"/>
            </w14:solidFill>
          </w14:textFill>
        </w:rPr>
        <w:t xml:space="preserve">6、招标文件构成</w:t>
      </w:r>
      <w:bookmarkEnd w:id="72"/>
      <w:r/>
      <w:bookmarkEnd w:id="73"/>
      <w:r/>
      <w:bookmarkEnd w:id="74"/>
      <w:r/>
      <w:r/>
    </w:p>
    <w:p>
      <w:pPr>
        <w:ind w:firstLine="480"/>
        <w:spacing w:line="560" w:lineRule="exact"/>
        <w:rPr>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6.1</w:t>
      </w:r>
      <w:r>
        <w:rPr>
          <w:rFonts w:hint="eastAsia"/>
          <w:color w:val="000000" w:themeColor="text1"/>
          <w:sz w:val="24"/>
          <w:highlight w:val="none"/>
          <w14:textFill>
            <w14:solidFill>
              <w14:schemeClr w14:val="tx1"/>
            </w14:solidFill>
          </w14:textFill>
        </w:rPr>
        <w:t xml:space="preserve"> 招标文件由以下部分组成：</w:t>
      </w:r>
      <w:r/>
    </w:p>
    <w:p>
      <w:pPr>
        <w:ind w:firstLine="36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（1）投标</w:t>
      </w:r>
      <w:r>
        <w:rPr>
          <w:color w:val="000000" w:themeColor="text1"/>
          <w:sz w:val="24"/>
          <w:szCs w:val="24"/>
          <w:highlight w:val="none"/>
          <w14:textFill>
            <w14:solidFill>
              <w14:schemeClr w14:val="tx1"/>
            </w14:solidFill>
          </w14:textFill>
        </w:rPr>
        <w:t xml:space="preserve">邀请</w:t>
      </w:r>
      <w:r/>
    </w:p>
    <w:p>
      <w:pPr>
        <w:ind w:firstLine="36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（2）投标人须知</w:t>
      </w:r>
      <w:r/>
    </w:p>
    <w:p>
      <w:pPr>
        <w:ind w:firstLine="36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（3）合同文本</w:t>
      </w:r>
      <w:r/>
    </w:p>
    <w:p>
      <w:pPr>
        <w:ind w:firstLine="36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（4）采购需求</w:t>
      </w:r>
      <w:r/>
    </w:p>
    <w:p>
      <w:pPr>
        <w:ind w:firstLine="36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（5）评标方法与评标标准</w:t>
      </w:r>
      <w:r/>
    </w:p>
    <w:p>
      <w:pPr>
        <w:ind w:firstLine="36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（6）投标文件格式</w:t>
      </w:r>
      <w:r/>
    </w:p>
    <w:p>
      <w:pPr>
        <w:ind w:firstLine="480"/>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请仔细检查招标文件是否齐全，如有缺漏请立即与采购代理机构联系解决。</w:t>
      </w:r>
      <w:r/>
    </w:p>
    <w:p>
      <w:pPr>
        <w:ind w:firstLine="480"/>
        <w:spacing w:line="560" w:lineRule="exact"/>
        <w:rPr>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6.2</w:t>
      </w:r>
      <w:r>
        <w:rPr>
          <w:rFonts w:hint="eastAsia"/>
          <w:color w:val="000000" w:themeColor="text1"/>
          <w:sz w:val="24"/>
          <w:highlight w:val="none"/>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07"/>
        <w:ind w:firstLine="560"/>
        <w:spacing w:before="0" w:after="0" w:line="560" w:lineRule="exact"/>
        <w:rPr>
          <w:rFonts w:ascii="Times New Roman" w:hAnsi="Times New Roman"/>
          <w:b w:val="0"/>
          <w:bCs w:val="0"/>
          <w:color w:val="000000" w:themeColor="text1"/>
          <w:highlight w:val="none"/>
          <w14:textFill>
            <w14:solidFill>
              <w14:schemeClr w14:val="tx1"/>
            </w14:solidFill>
          </w14:textFill>
        </w:rPr>
      </w:pPr>
      <w:r/>
      <w:bookmarkStart w:id="75" w:name="_Toc462564070"/>
      <w:r/>
      <w:bookmarkStart w:id="76" w:name="_Toc16938527"/>
      <w:r/>
      <w:bookmarkStart w:id="77" w:name="_Toc20823283"/>
      <w:r/>
      <w:bookmarkStart w:id="78" w:name="_Toc513029211"/>
      <w:r>
        <w:rPr>
          <w:rFonts w:hint="eastAsia" w:ascii="Times New Roman" w:hAnsi="Times New Roman"/>
          <w:b w:val="0"/>
          <w:bCs w:val="0"/>
          <w:color w:val="000000" w:themeColor="text1"/>
          <w:highlight w:val="none"/>
          <w14:textFill>
            <w14:solidFill>
              <w14:schemeClr w14:val="tx1"/>
            </w14:solidFill>
          </w14:textFill>
        </w:rPr>
        <w:t xml:space="preserve">7、招标文件的澄清</w:t>
      </w:r>
      <w:bookmarkEnd w:id="75"/>
      <w:r/>
      <w:bookmarkEnd w:id="76"/>
      <w:r/>
      <w:bookmarkEnd w:id="77"/>
      <w:r/>
      <w:bookmarkEnd w:id="78"/>
      <w:r/>
      <w:r/>
    </w:p>
    <w:p>
      <w:pPr>
        <w:ind w:firstLine="480"/>
        <w:spacing w:line="560" w:lineRule="exact"/>
        <w:rPr>
          <w:color w:val="000000" w:themeColor="text1"/>
          <w:sz w:val="24"/>
          <w:szCs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7.1</w:t>
      </w:r>
      <w:r>
        <w:rPr>
          <w:rFonts w:hint="eastAsia"/>
          <w:color w:val="000000" w:themeColor="text1"/>
          <w:sz w:val="24"/>
          <w:highlight w:val="none"/>
          <w14:textFill>
            <w14:solidFill>
              <w14:schemeClr w14:val="tx1"/>
            </w14:solidFill>
          </w14:textFill>
        </w:rPr>
        <w:t xml:space="preserve"> 任何要求对招标文件进行澄清的投标人，应在投标截止期</w:t>
      </w:r>
      <w:r>
        <w:rPr>
          <w:rFonts w:hint="eastAsia"/>
          <w:b/>
          <w:color w:val="000000" w:themeColor="text1"/>
          <w:sz w:val="24"/>
          <w:szCs w:val="24"/>
          <w:highlight w:val="none"/>
          <w:lang w:val="en-US" w:eastAsia="zh-CN"/>
          <w14:textFill>
            <w14:solidFill>
              <w14:schemeClr w14:val="tx1"/>
            </w14:solidFill>
          </w14:textFill>
        </w:rPr>
        <w:t xml:space="preserve">十</w:t>
      </w:r>
      <w:r>
        <w:rPr>
          <w:rFonts w:hint="eastAsia"/>
          <w:b/>
          <w:color w:val="000000" w:themeColor="text1"/>
          <w:sz w:val="24"/>
          <w:szCs w:val="24"/>
          <w:highlight w:val="none"/>
          <w14:textFill>
            <w14:solidFill>
              <w14:schemeClr w14:val="tx1"/>
            </w14:solidFill>
          </w14:textFill>
        </w:rPr>
        <w:t xml:space="preserve">日</w:t>
      </w:r>
      <w:r>
        <w:rPr>
          <w:rFonts w:hint="eastAsia"/>
          <w:color w:val="000000" w:themeColor="text1"/>
          <w:sz w:val="24"/>
          <w:szCs w:val="24"/>
          <w:highlight w:val="none"/>
          <w14:textFill>
            <w14:solidFill>
              <w14:schemeClr w14:val="tx1"/>
            </w14:solidFill>
          </w14:textFill>
        </w:rPr>
        <w:t xml:space="preserve">前</w:t>
      </w:r>
      <w:r>
        <w:rPr>
          <w:rFonts w:hint="eastAsia"/>
          <w:color w:val="000000" w:themeColor="text1"/>
          <w:sz w:val="24"/>
          <w:highlight w:val="none"/>
          <w14:textFill>
            <w14:solidFill>
              <w14:schemeClr w14:val="tx1"/>
            </w14:solidFill>
          </w14:textFill>
        </w:rPr>
        <w:t xml:space="preserve">按招标公告中的通讯地址，以书面形式通知采购代理机构。</w:t>
      </w:r>
      <w:r/>
    </w:p>
    <w:p>
      <w:pPr>
        <w:pStyle w:val="1007"/>
        <w:ind w:firstLine="560"/>
        <w:spacing w:before="0" w:after="0" w:line="560" w:lineRule="exact"/>
        <w:rPr>
          <w:rFonts w:ascii="Times New Roman" w:hAnsi="Times New Roman"/>
          <w:b w:val="0"/>
          <w:bCs w:val="0"/>
          <w:color w:val="000000" w:themeColor="text1"/>
          <w:highlight w:val="none"/>
          <w14:textFill>
            <w14:solidFill>
              <w14:schemeClr w14:val="tx1"/>
            </w14:solidFill>
          </w14:textFill>
        </w:rPr>
      </w:pPr>
      <w:r/>
      <w:bookmarkStart w:id="79" w:name="_Toc20823284"/>
      <w:r/>
      <w:bookmarkStart w:id="80" w:name="_Toc462564071"/>
      <w:r/>
      <w:bookmarkStart w:id="81" w:name="_Toc16938528"/>
      <w:r/>
      <w:bookmarkStart w:id="82" w:name="_Toc513029212"/>
      <w:r>
        <w:rPr>
          <w:rFonts w:hint="eastAsia" w:ascii="Times New Roman" w:hAnsi="Times New Roman"/>
          <w:b w:val="0"/>
          <w:bCs w:val="0"/>
          <w:color w:val="000000" w:themeColor="text1"/>
          <w:highlight w:val="none"/>
          <w14:textFill>
            <w14:solidFill>
              <w14:schemeClr w14:val="tx1"/>
            </w14:solidFill>
          </w14:textFill>
        </w:rPr>
        <w:t xml:space="preserve">8、招标文件的修改</w:t>
      </w:r>
      <w:bookmarkEnd w:id="79"/>
      <w:r/>
      <w:bookmarkEnd w:id="80"/>
      <w:r/>
      <w:bookmarkEnd w:id="81"/>
      <w:r/>
      <w:bookmarkEnd w:id="82"/>
      <w:r/>
      <w:r/>
    </w:p>
    <w:p>
      <w:pPr>
        <w:ind w:firstLine="48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8.2 在投标截止时间之前，采购代理机构可以对招标文件进行修改。</w:t>
      </w:r>
      <w:r/>
    </w:p>
    <w:p>
      <w:pPr>
        <w:ind w:firstLine="48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8.3 采购代理机构有权按照法定的要求推迟投标截止日期和开标日期。</w:t>
      </w:r>
      <w:r/>
    </w:p>
    <w:p>
      <w:pPr>
        <w:ind w:firstLine="48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8.4招标文件的修改将在原公告媒体上发布更正公告，补充文件将作为招标文件的组成部分，并对投标人具有约束力。</w:t>
      </w:r>
      <w:r/>
    </w:p>
    <w:p>
      <w:pPr>
        <w:ind w:firstLine="48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8.5投标人应及时登录“苏采云”系统获取澄清答疑文件（修改后招标文件），如因投标人原因未能及时下载澄清和修改后的招标文件，由此造成的相关责任，由投标人承担。 </w:t>
      </w:r>
      <w:r/>
    </w:p>
    <w:p>
      <w:pPr>
        <w:pStyle w:val="1005"/>
        <w:ind w:firstLine="482"/>
        <w:spacing w:before="0" w:after="0" w:line="560" w:lineRule="exact"/>
        <w:rPr>
          <w:color w:val="000000" w:themeColor="text1"/>
          <w:highlight w:val="none"/>
          <w14:textFill>
            <w14:solidFill>
              <w14:schemeClr w14:val="tx1"/>
            </w14:solidFill>
          </w14:textFill>
        </w:rPr>
      </w:pPr>
      <w:r/>
      <w:bookmarkStart w:id="83" w:name="_Toc513029213"/>
      <w:r/>
      <w:bookmarkStart w:id="84" w:name="_Toc462564072"/>
      <w:r/>
      <w:bookmarkStart w:id="85" w:name="_Toc120614216"/>
      <w:r/>
      <w:bookmarkStart w:id="86" w:name="_Toc20823285"/>
      <w:r/>
      <w:bookmarkStart w:id="87" w:name="_Toc16938529"/>
      <w:r>
        <w:rPr>
          <w:rFonts w:hint="eastAsia"/>
          <w:color w:val="000000" w:themeColor="text1"/>
          <w:highlight w:val="none"/>
          <w14:textFill>
            <w14:solidFill>
              <w14:schemeClr w14:val="tx1"/>
            </w14:solidFill>
          </w14:textFill>
        </w:rPr>
        <w:t xml:space="preserve">三、投标文件的编制</w:t>
      </w:r>
      <w:bookmarkEnd w:id="83"/>
      <w:r/>
      <w:bookmarkEnd w:id="84"/>
      <w:r/>
      <w:bookmarkEnd w:id="85"/>
      <w:r/>
      <w:bookmarkEnd w:id="86"/>
      <w:r/>
      <w:bookmarkEnd w:id="87"/>
      <w:r/>
      <w:r/>
    </w:p>
    <w:p>
      <w:pPr>
        <w:pStyle w:val="1007"/>
        <w:ind w:firstLine="560"/>
        <w:spacing w:before="0" w:after="0" w:line="560" w:lineRule="exact"/>
        <w:rPr>
          <w:rFonts w:ascii="Times New Roman" w:hAnsi="Times New Roman"/>
          <w:bCs w:val="0"/>
          <w:color w:val="000000" w:themeColor="text1"/>
          <w:highlight w:val="none"/>
          <w14:textFill>
            <w14:solidFill>
              <w14:schemeClr w14:val="tx1"/>
            </w14:solidFill>
          </w14:textFill>
        </w:rPr>
      </w:pPr>
      <w:r/>
      <w:bookmarkStart w:id="88" w:name="_Toc462564073"/>
      <w:r/>
      <w:bookmarkStart w:id="89" w:name="_Toc513029214"/>
      <w:r/>
      <w:bookmarkStart w:id="90" w:name="_Toc16938530"/>
      <w:r/>
      <w:bookmarkStart w:id="91" w:name="_Toc20823286"/>
      <w:r>
        <w:rPr>
          <w:rFonts w:hint="eastAsia" w:ascii="Times New Roman" w:hAnsi="Times New Roman"/>
          <w:b w:val="0"/>
          <w:bCs w:val="0"/>
          <w:color w:val="000000" w:themeColor="text1"/>
          <w:highlight w:val="none"/>
          <w14:textFill>
            <w14:solidFill>
              <w14:schemeClr w14:val="tx1"/>
            </w14:solidFill>
          </w14:textFill>
        </w:rPr>
        <w:t xml:space="preserve">9、投标文件的语言及度量衡单位</w:t>
      </w:r>
      <w:bookmarkEnd w:id="88"/>
      <w:r/>
      <w:bookmarkEnd w:id="89"/>
      <w:r/>
      <w:bookmarkEnd w:id="90"/>
      <w:r/>
      <w:bookmarkEnd w:id="91"/>
      <w:r/>
      <w:r/>
    </w:p>
    <w:p>
      <w:pPr>
        <w:ind w:firstLine="480"/>
        <w:spacing w:line="560" w:lineRule="exact"/>
        <w:rPr>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9.1</w:t>
      </w:r>
      <w:r>
        <w:rPr>
          <w:rFonts w:hint="eastAsia"/>
          <w:color w:val="000000" w:themeColor="text1"/>
          <w:sz w:val="24"/>
          <w:highlight w:val="none"/>
          <w14:textFill>
            <w14:solidFill>
              <w14:schemeClr w14:val="tx1"/>
            </w14:solidFill>
          </w14:textFill>
        </w:rPr>
        <w:t xml:space="preserve"> 投标人提交的投标文件以及投标人与采购代理机构就有关投标的所有来往通知、函件和文件均应使用简体中文。</w:t>
      </w:r>
      <w:r/>
    </w:p>
    <w:p>
      <w:pPr>
        <w:ind w:firstLine="480"/>
        <w:spacing w:line="560" w:lineRule="exact"/>
        <w:rPr>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9.2</w:t>
      </w:r>
      <w:r>
        <w:rPr>
          <w:rFonts w:hint="eastAsia"/>
          <w:color w:val="000000" w:themeColor="text1"/>
          <w:sz w:val="24"/>
          <w:highlight w:val="none"/>
          <w14:textFill>
            <w14:solidFill>
              <w14:schemeClr w14:val="tx1"/>
            </w14:solidFill>
          </w14:textFill>
        </w:rPr>
        <w:t xml:space="preserve"> 除技术性能另有规定外，投标文件所使用的度量衡单位，均须采用国家法定计量单位。</w:t>
      </w:r>
      <w:r/>
    </w:p>
    <w:p>
      <w:pPr>
        <w:pStyle w:val="1007"/>
        <w:ind w:firstLine="420"/>
        <w:spacing w:before="0" w:after="0" w:line="560" w:lineRule="exact"/>
        <w:rPr>
          <w:rFonts w:ascii="Times New Roman" w:hAnsi="Times New Roman"/>
          <w:b w:val="0"/>
          <w:bCs w:val="0"/>
          <w:color w:val="000000" w:themeColor="text1"/>
          <w:highlight w:val="none"/>
          <w14:textFill>
            <w14:solidFill>
              <w14:schemeClr w14:val="tx1"/>
            </w14:solidFill>
          </w14:textFill>
        </w:rPr>
      </w:pPr>
      <w:r/>
      <w:bookmarkStart w:id="92" w:name="_Toc462564074"/>
      <w:r/>
      <w:bookmarkStart w:id="93" w:name="_Toc16938531"/>
      <w:r/>
      <w:bookmarkStart w:id="94" w:name="_Toc20823287"/>
      <w:r/>
      <w:bookmarkStart w:id="95" w:name="_Toc513029215"/>
      <w:r>
        <w:rPr>
          <w:rFonts w:hint="eastAsia" w:ascii="Times New Roman" w:hAnsi="Times New Roman"/>
          <w:b w:val="0"/>
          <w:bCs w:val="0"/>
          <w:color w:val="000000" w:themeColor="text1"/>
          <w:highlight w:val="none"/>
          <w14:textFill>
            <w14:solidFill>
              <w14:schemeClr w14:val="tx1"/>
            </w14:solidFill>
          </w14:textFill>
        </w:rPr>
        <w:t xml:space="preserve">10、投标文件构成</w:t>
      </w:r>
      <w:bookmarkEnd w:id="92"/>
      <w:r/>
      <w:bookmarkEnd w:id="93"/>
      <w:r/>
      <w:bookmarkEnd w:id="94"/>
      <w:r/>
      <w:bookmarkEnd w:id="95"/>
      <w:r/>
      <w:r/>
    </w:p>
    <w:p>
      <w:pPr>
        <w:ind w:firstLine="48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各投标人在编制投标文件时请按照招标文件第六</w:t>
      </w:r>
      <w:r>
        <w:rPr>
          <w:rFonts w:hint="eastAsia"/>
          <w:bCs/>
          <w:color w:val="000000" w:themeColor="text1"/>
          <w:sz w:val="24"/>
          <w:highlight w:val="none"/>
          <w14:textFill>
            <w14:solidFill>
              <w14:schemeClr w14:val="tx1"/>
            </w14:solidFill>
          </w14:textFill>
        </w:rPr>
        <w:t xml:space="preserve">章</w:t>
      </w:r>
      <w:r>
        <w:rPr>
          <w:rFonts w:hint="eastAsia"/>
          <w:bCs/>
          <w:color w:val="000000" w:themeColor="text1"/>
          <w:sz w:val="24"/>
          <w:highlight w:val="none"/>
          <w:lang w:val="zh-CN"/>
          <w14:textFill>
            <w14:solidFill>
              <w14:schemeClr w14:val="tx1"/>
            </w14:solidFill>
          </w14:textFill>
        </w:rPr>
        <w:t xml:space="preserve">规定的格式进行，混乱的编排导致投标文件被误读或评委会查找不到有效文件是投标人的风险。</w:t>
      </w:r>
      <w:r/>
    </w:p>
    <w:p>
      <w:pPr>
        <w:ind w:firstLine="480"/>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10.2 投标人编写的投标文件应包括资格证明文件、符合性证明文件、投标分项报价表、响应及偏离表、其他证明文件、开标一览表等部分。</w:t>
      </w:r>
      <w:r/>
    </w:p>
    <w:p>
      <w:pPr>
        <w:ind w:firstLine="48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10.2 如标书制作工具中格式和内容与“宿迁市政府采购网”发布的招标文件不一致，请以“宿迁市政府采购网”发布的招标文件为准。</w:t>
      </w:r>
      <w:r/>
    </w:p>
    <w:p>
      <w:pPr>
        <w:ind w:firstLine="48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10.6中标后按相关要求提供与电子投标文件一致的纸质打印投标文件</w:t>
      </w:r>
      <w:r>
        <w:rPr>
          <w:bCs/>
          <w:color w:val="000000" w:themeColor="text1"/>
          <w:sz w:val="24"/>
          <w:highlight w:val="none"/>
          <w14:textFill>
            <w14:solidFill>
              <w14:schemeClr w14:val="tx1"/>
            </w14:solidFill>
          </w14:textFill>
        </w:rPr>
        <w:t xml:space="preserve">3</w:t>
      </w:r>
      <w:r>
        <w:rPr>
          <w:rFonts w:hint="eastAsia"/>
          <w:bCs/>
          <w:color w:val="000000" w:themeColor="text1"/>
          <w:sz w:val="24"/>
          <w:highlight w:val="none"/>
          <w14:textFill>
            <w14:solidFill>
              <w14:schemeClr w14:val="tx1"/>
            </w14:solidFill>
          </w14:textFill>
        </w:rPr>
        <w:t xml:space="preserve">份。 </w:t>
      </w:r>
      <w:r/>
    </w:p>
    <w:p>
      <w:pPr>
        <w:ind w:firstLine="480"/>
        <w:spacing w:line="560" w:lineRule="exact"/>
        <w:rPr>
          <w:bCs/>
          <w:color w:val="000000" w:themeColor="text1"/>
          <w:sz w:val="24"/>
          <w:highlight w:val="none"/>
          <w14:textFill>
            <w14:solidFill>
              <w14:schemeClr w14:val="tx1"/>
            </w14:solidFill>
          </w14:textFill>
        </w:rPr>
      </w:pPr>
      <w:r/>
      <w:bookmarkStart w:id="96" w:name="EBc50e2bb832bb43068403b10c1cce6141"/>
      <w:r>
        <w:rPr>
          <w:rFonts w:hint="eastAsia"/>
          <w:bCs/>
          <w:color w:val="000000" w:themeColor="text1"/>
          <w:sz w:val="24"/>
          <w:highlight w:val="none"/>
          <w14:textFill>
            <w14:solidFill>
              <w14:schemeClr w14:val="tx1"/>
            </w14:solidFill>
          </w14:textFill>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文件的，评委会可以视同其未提供。</w:t>
      </w:r>
      <w:bookmarkEnd w:id="96"/>
      <w:r/>
      <w:r/>
    </w:p>
    <w:p>
      <w:pPr>
        <w:pStyle w:val="1007"/>
        <w:ind w:firstLine="420"/>
        <w:spacing w:before="0" w:after="0" w:line="560" w:lineRule="exact"/>
        <w:rPr>
          <w:rFonts w:ascii="Times New Roman" w:hAnsi="Times New Roman"/>
          <w:b w:val="0"/>
          <w:bCs w:val="0"/>
          <w:color w:val="000000" w:themeColor="text1"/>
          <w:highlight w:val="none"/>
          <w14:textFill>
            <w14:solidFill>
              <w14:schemeClr w14:val="tx1"/>
            </w14:solidFill>
          </w14:textFill>
        </w:rPr>
      </w:pPr>
      <w:r/>
      <w:bookmarkStart w:id="97" w:name="_Hlt26670360"/>
      <w:r/>
      <w:bookmarkEnd w:id="97"/>
      <w:r/>
      <w:bookmarkStart w:id="98" w:name="_Hlt26954838"/>
      <w:r/>
      <w:bookmarkEnd w:id="98"/>
      <w:r/>
      <w:bookmarkStart w:id="99" w:name="_Hlt26668975"/>
      <w:r/>
      <w:bookmarkEnd w:id="99"/>
      <w:r/>
      <w:bookmarkStart w:id="100" w:name="_Toc49090509"/>
      <w:r/>
      <w:bookmarkStart w:id="101" w:name="_Toc513029219"/>
      <w:r/>
      <w:bookmarkStart w:id="102" w:name="_Toc14577357"/>
      <w:r/>
      <w:bookmarkStart w:id="103" w:name="_Toc14577354"/>
      <w:r/>
      <w:bookmarkStart w:id="104" w:name="_Toc513029216"/>
      <w:r/>
      <w:bookmarkStart w:id="105" w:name="_Toc49090507"/>
      <w:r>
        <w:rPr>
          <w:rFonts w:hint="eastAsia" w:ascii="Times New Roman" w:hAnsi="Times New Roman"/>
          <w:b w:val="0"/>
          <w:bCs w:val="0"/>
          <w:color w:val="000000" w:themeColor="text1"/>
          <w:highlight w:val="none"/>
          <w14:textFill>
            <w14:solidFill>
              <w14:schemeClr w14:val="tx1"/>
            </w14:solidFill>
          </w14:textFill>
        </w:rPr>
        <w:t xml:space="preserve">11、证明投标人及投标标的符合招标文件规定的文件</w:t>
      </w:r>
      <w:bookmarkEnd w:id="100"/>
      <w:r/>
      <w:bookmarkEnd w:id="101"/>
      <w:r/>
      <w:bookmarkEnd w:id="102"/>
      <w:r/>
      <w:bookmarkEnd w:id="103"/>
      <w:r/>
      <w:bookmarkEnd w:id="104"/>
      <w:r/>
      <w:bookmarkEnd w:id="105"/>
      <w:r/>
      <w:r/>
    </w:p>
    <w:p>
      <w:pPr>
        <w:spacing w:line="560" w:lineRule="exact"/>
        <w:rPr>
          <w:color w:val="000000" w:themeColor="text1"/>
          <w:sz w:val="24"/>
          <w:szCs w:val="24"/>
          <w:highlight w:val="none"/>
          <w14:textFill>
            <w14:solidFill>
              <w14:schemeClr w14:val="tx1"/>
            </w14:solidFill>
          </w14:textFill>
        </w:rPr>
      </w:pPr>
      <w:r/>
      <w:bookmarkStart w:id="106" w:name="_Toc14577355"/>
      <w:r/>
      <w:bookmarkStart w:id="107" w:name="_Toc49090508"/>
      <w:r>
        <w:rPr>
          <w:rFonts w:hint="eastAsia"/>
          <w:color w:val="000000" w:themeColor="text1"/>
          <w:sz w:val="24"/>
          <w:szCs w:val="24"/>
          <w:highlight w:val="none"/>
          <w14:textFill>
            <w14:solidFill>
              <w14:schemeClr w14:val="tx1"/>
            </w14:solidFill>
          </w14:textFill>
        </w:rPr>
        <w:t xml:space="preserve">    11.1 投标人应按照法律法规、规章和规范性文件以及招标文件要求提交证明文件，证明其及投标标的符合招标文件规定。</w:t>
      </w:r>
      <w:r/>
    </w:p>
    <w:p>
      <w:pPr>
        <w:ind w:firstLine="48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11.2招标文件对证明文件无明确形式要求的，证明文件可以以文字资料、图纸和数据等形式提交。</w:t>
      </w:r>
      <w:r/>
    </w:p>
    <w:p>
      <w:pPr>
        <w:pStyle w:val="1007"/>
        <w:ind w:firstLine="420"/>
        <w:spacing w:before="0" w:after="0" w:line="560" w:lineRule="exact"/>
        <w:rPr>
          <w:rFonts w:ascii="Times New Roman" w:hAnsi="Times New Roman"/>
          <w:b w:val="0"/>
          <w:bCs w:val="0"/>
          <w:color w:val="000000" w:themeColor="text1"/>
          <w:highlight w:val="none"/>
          <w14:textFill>
            <w14:solidFill>
              <w14:schemeClr w14:val="tx1"/>
            </w14:solidFill>
          </w14:textFill>
        </w:rPr>
      </w:pPr>
      <w:r>
        <w:rPr>
          <w:rFonts w:hint="eastAsia" w:ascii="Times New Roman" w:hAnsi="Times New Roman"/>
          <w:b w:val="0"/>
          <w:bCs w:val="0"/>
          <w:color w:val="000000" w:themeColor="text1"/>
          <w:highlight w:val="none"/>
          <w14:textFill>
            <w14:solidFill>
              <w14:schemeClr w14:val="tx1"/>
            </w14:solidFill>
          </w14:textFill>
        </w:rPr>
        <w:t xml:space="preserve">12、投标分项报价</w:t>
      </w:r>
      <w:bookmarkEnd w:id="106"/>
      <w:r/>
      <w:bookmarkStart w:id="108" w:name="_Hlt26670373"/>
      <w:r/>
      <w:bookmarkEnd w:id="108"/>
      <w:r>
        <w:rPr>
          <w:rFonts w:hint="eastAsia" w:ascii="Times New Roman" w:hAnsi="Times New Roman"/>
          <w:b w:val="0"/>
          <w:bCs w:val="0"/>
          <w:color w:val="000000" w:themeColor="text1"/>
          <w:highlight w:val="none"/>
          <w14:textFill>
            <w14:solidFill>
              <w14:schemeClr w14:val="tx1"/>
            </w14:solidFill>
          </w14:textFill>
        </w:rPr>
        <w:t xml:space="preserve">表</w:t>
      </w:r>
      <w:bookmarkEnd w:id="107"/>
      <w:r/>
      <w:r/>
    </w:p>
    <w:p>
      <w:pPr>
        <w:ind w:firstLine="48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12.1</w:t>
      </w:r>
      <w:r>
        <w:rPr>
          <w:rFonts w:hint="eastAsia"/>
          <w:color w:val="000000" w:themeColor="text1"/>
          <w:sz w:val="24"/>
          <w:highlight w:val="none"/>
          <w14:textFill>
            <w14:solidFill>
              <w14:schemeClr w14:val="tx1"/>
            </w14:solidFill>
          </w14:textFill>
        </w:rPr>
        <w:t xml:space="preserve"> 投</w:t>
      </w:r>
      <w:bookmarkStart w:id="109" w:name="_Hlt26954840"/>
      <w:r/>
      <w:bookmarkEnd w:id="109"/>
      <w:r>
        <w:rPr>
          <w:rFonts w:hint="eastAsia"/>
          <w:color w:val="000000" w:themeColor="text1"/>
          <w:sz w:val="24"/>
          <w:highlight w:val="none"/>
          <w14:textFill>
            <w14:solidFill>
              <w14:schemeClr w14:val="tx1"/>
            </w14:solidFill>
          </w14:textFill>
        </w:rPr>
        <w:t xml:space="preserve">标人应按照招标文件规定格式填报投标分项报价表</w:t>
      </w:r>
      <w:bookmarkStart w:id="110" w:name="_Hlt26670399"/>
      <w:r/>
      <w:bookmarkEnd w:id="110"/>
      <w:r>
        <w:rPr>
          <w:rFonts w:hint="eastAsia"/>
          <w:color w:val="000000" w:themeColor="text1"/>
          <w:sz w:val="24"/>
          <w:highlight w:val="none"/>
          <w14:textFill>
            <w14:solidFill>
              <w14:schemeClr w14:val="tx1"/>
            </w14:solidFill>
          </w14:textFill>
        </w:rPr>
        <w:t xml:space="preserve">。</w:t>
      </w:r>
      <w:r/>
    </w:p>
    <w:p>
      <w:pPr>
        <w:ind w:firstLine="480"/>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12.2</w:t>
      </w:r>
      <w:r>
        <w:rPr>
          <w:rFonts w:hint="eastAsia"/>
          <w:bCs/>
          <w:color w:val="000000" w:themeColor="text1"/>
          <w:sz w:val="24"/>
          <w:highlight w:val="none"/>
          <w14:textFill>
            <w14:solidFill>
              <w14:schemeClr w14:val="tx1"/>
            </w14:solidFill>
          </w14:textFill>
        </w:rPr>
        <w:t xml:space="preserve">投标货币。投标文件中的单价和总价无特殊规定的采用人民币报价，以元为单位标注。</w:t>
      </w:r>
      <w:r>
        <w:rPr>
          <w:rFonts w:hint="eastAsia"/>
          <w:color w:val="000000" w:themeColor="text1"/>
          <w:sz w:val="24"/>
          <w:highlight w:val="none"/>
          <w14:textFill>
            <w14:solidFill>
              <w14:schemeClr w14:val="tx1"/>
            </w14:solidFill>
          </w14:textFill>
        </w:rPr>
        <w:t xml:space="preserve">招标文件中另有规定的按规定执行。</w:t>
      </w:r>
      <w:r/>
    </w:p>
    <w:p>
      <w:pPr>
        <w:ind w:firstLine="48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12.3本项目不接受备选的投标方案或有选择的报价，只允许有一个报价。投标报价内容包括：服务本身价格、飞行器使用费用、喷洒的药物费用、货物及设备运输装卸费用、人工费、规费、税费、验收费用及服务完成过程中涉及的其他一切费用。</w:t>
      </w:r>
      <w:r/>
    </w:p>
    <w:p>
      <w:pPr>
        <w:pStyle w:val="1007"/>
        <w:ind w:firstLine="420"/>
        <w:spacing w:before="0" w:after="0" w:line="560" w:lineRule="exact"/>
        <w:rPr>
          <w:b w:val="0"/>
          <w:bCs w:val="0"/>
          <w:color w:val="000000" w:themeColor="text1"/>
          <w:highlight w:val="none"/>
          <w14:textFill>
            <w14:solidFill>
              <w14:schemeClr w14:val="tx1"/>
            </w14:solidFill>
          </w14:textFill>
        </w:rPr>
      </w:pPr>
      <w:r/>
      <w:bookmarkStart w:id="111" w:name="_Hlt26954848"/>
      <w:r/>
      <w:bookmarkEnd w:id="111"/>
      <w:r/>
      <w:bookmarkStart w:id="112" w:name="_Hlt26954844"/>
      <w:r/>
      <w:bookmarkEnd w:id="112"/>
      <w:r/>
      <w:bookmarkStart w:id="113" w:name="_Hlt26670482"/>
      <w:r/>
      <w:bookmarkEnd w:id="113"/>
      <w:r/>
      <w:bookmarkStart w:id="114" w:name="_Hlt26954846"/>
      <w:r/>
      <w:bookmarkEnd w:id="114"/>
      <w:r/>
      <w:bookmarkStart w:id="115" w:name="_Hlt26670486"/>
      <w:r/>
      <w:bookmarkEnd w:id="115"/>
      <w:r/>
      <w:bookmarkStart w:id="116" w:name="_Hlt26954842"/>
      <w:r/>
      <w:bookmarkEnd w:id="116"/>
      <w:r/>
      <w:bookmarkStart w:id="117" w:name="_Hlt26670403"/>
      <w:r/>
      <w:bookmarkEnd w:id="117"/>
      <w:r/>
      <w:bookmarkStart w:id="118" w:name="_Hlt26670425"/>
      <w:r/>
      <w:bookmarkEnd w:id="118"/>
      <w:r/>
      <w:bookmarkStart w:id="119" w:name="_Hlt26954731"/>
      <w:r/>
      <w:bookmarkEnd w:id="119"/>
      <w:r/>
      <w:bookmarkStart w:id="120" w:name="_Hlt26668983"/>
      <w:r/>
      <w:bookmarkEnd w:id="120"/>
      <w:r>
        <w:rPr>
          <w:rFonts w:hint="eastAsia"/>
          <w:b w:val="0"/>
          <w:bCs w:val="0"/>
          <w:color w:val="000000" w:themeColor="text1"/>
          <w:highlight w:val="none"/>
          <w14:textFill>
            <w14:solidFill>
              <w14:schemeClr w14:val="tx1"/>
            </w14:solidFill>
          </w14:textFill>
        </w:rPr>
        <w:t xml:space="preserve">13、技术要求响应及偏离表、商务要求响应及偏离表</w:t>
      </w:r>
      <w:r/>
    </w:p>
    <w:p>
      <w:pPr>
        <w:ind w:firstLine="480"/>
        <w:spacing w:line="560" w:lineRule="exact"/>
        <w:rPr>
          <w:rFonts w:ascii="宋体" w:hAnsi="Arial" w:cs="宋体"/>
          <w:color w:val="000000" w:themeColor="text1"/>
          <w:sz w:val="24"/>
          <w:highlight w:val="none"/>
          <w:lang w:val="zh-CN"/>
          <w14:textFill>
            <w14:solidFill>
              <w14:schemeClr w14:val="tx1"/>
            </w14:solidFill>
          </w14:textFill>
        </w:rPr>
      </w:pPr>
      <w:r/>
      <w:bookmarkStart w:id="121" w:name="_Toc14577359"/>
      <w:r/>
      <w:bookmarkStart w:id="122" w:name="_Toc49090510"/>
      <w:r>
        <w:rPr>
          <w:rFonts w:ascii="宋体" w:hAnsi="Arial" w:cs="宋体"/>
          <w:bCs/>
          <w:color w:val="000000" w:themeColor="text1"/>
          <w:sz w:val="24"/>
          <w:highlight w:val="none"/>
          <w:lang w:val="zh-CN"/>
          <w14:textFill>
            <w14:solidFill>
              <w14:schemeClr w14:val="tx1"/>
            </w14:solidFill>
          </w14:textFill>
        </w:rPr>
        <w:t xml:space="preserve">1</w:t>
      </w:r>
      <w:r>
        <w:rPr>
          <w:rFonts w:hint="eastAsia" w:ascii="宋体" w:hAnsi="Arial" w:cs="宋体"/>
          <w:bCs/>
          <w:color w:val="000000" w:themeColor="text1"/>
          <w:sz w:val="24"/>
          <w:highlight w:val="none"/>
          <w:lang w:val="zh-CN"/>
          <w14:textFill>
            <w14:solidFill>
              <w14:schemeClr w14:val="tx1"/>
            </w14:solidFill>
          </w14:textFill>
        </w:rPr>
        <w:t xml:space="preserve">3</w:t>
      </w:r>
      <w:r>
        <w:rPr>
          <w:rFonts w:ascii="宋体" w:hAnsi="Arial" w:cs="宋体"/>
          <w:bCs/>
          <w:color w:val="000000" w:themeColor="text1"/>
          <w:sz w:val="24"/>
          <w:highlight w:val="none"/>
          <w:lang w:val="zh-CN"/>
          <w14:textFill>
            <w14:solidFill>
              <w14:schemeClr w14:val="tx1"/>
            </w14:solidFill>
          </w14:textFill>
        </w:rPr>
        <w:t xml:space="preserve">.1</w:t>
      </w:r>
      <w:r>
        <w:rPr>
          <w:rFonts w:ascii="宋体" w:hAnsi="Arial" w:cs="宋体"/>
          <w:color w:val="000000" w:themeColor="text1"/>
          <w:sz w:val="24"/>
          <w:highlight w:val="none"/>
          <w:lang w:val="zh-CN"/>
          <w14:textFill>
            <w14:solidFill>
              <w14:schemeClr w14:val="tx1"/>
            </w14:solidFill>
          </w14:textFill>
        </w:rPr>
        <w:t xml:space="preserve"> </w:t>
      </w:r>
      <w:r>
        <w:rPr>
          <w:rFonts w:hint="eastAsia" w:ascii="宋体" w:hAnsi="Arial" w:cs="宋体"/>
          <w:color w:val="000000" w:themeColor="text1"/>
          <w:sz w:val="24"/>
          <w:highlight w:val="none"/>
          <w:lang w:val="zh-CN"/>
          <w14:textFill>
            <w14:solidFill>
              <w14:schemeClr w14:val="tx1"/>
            </w14:solidFill>
          </w14:textFill>
        </w:rPr>
        <w:t xml:space="preserve">投标人需对招标文件中的技术要求与商务要求逐项作出响应或偏离，并说明原因。</w:t>
      </w:r>
      <w:r/>
    </w:p>
    <w:p>
      <w:pPr>
        <w:ind w:firstLine="480"/>
        <w:spacing w:line="560" w:lineRule="exact"/>
        <w:tabs>
          <w:tab w:val="left" w:pos="1035" w:leader="none"/>
        </w:tabs>
        <w:rPr>
          <w:rFonts w:ascii="宋体" w:hAnsi="Arial" w:cs="宋体"/>
          <w:color w:val="000000" w:themeColor="text1"/>
          <w:sz w:val="24"/>
          <w:highlight w:val="none"/>
          <w:lang w:val="zh-CN"/>
          <w14:textFill>
            <w14:solidFill>
              <w14:schemeClr w14:val="tx1"/>
            </w14:solidFill>
          </w14:textFill>
        </w:rPr>
      </w:pPr>
      <w:r>
        <w:rPr>
          <w:rFonts w:hint="eastAsia" w:ascii="宋体" w:hAnsi="Arial" w:cs="宋体"/>
          <w:color w:val="000000" w:themeColor="text1"/>
          <w:sz w:val="24"/>
          <w:highlight w:val="none"/>
          <w:lang w:val="zh-CN"/>
          <w14:textFill>
            <w14:solidFill>
              <w14:schemeClr w14:val="tx1"/>
            </w14:solidFill>
          </w14:textFill>
        </w:rPr>
        <w:t xml:space="preserve">13.2 投标人可在投标文件中提供认为需要的其他技术文件或说明。</w:t>
      </w:r>
      <w:r/>
    </w:p>
    <w:p>
      <w:pPr>
        <w:pStyle w:val="1007"/>
        <w:ind w:firstLine="420"/>
        <w:spacing w:before="0" w:after="0" w:line="560" w:lineRule="exact"/>
        <w:rPr>
          <w:rFonts w:ascii="Times New Roman" w:hAnsi="Times New Roman"/>
          <w:b w:val="0"/>
          <w:bCs w:val="0"/>
          <w:color w:val="000000" w:themeColor="text1"/>
          <w:highlight w:val="none"/>
          <w14:textFill>
            <w14:solidFill>
              <w14:schemeClr w14:val="tx1"/>
            </w14:solidFill>
          </w14:textFill>
        </w:rPr>
      </w:pPr>
      <w:r>
        <w:rPr>
          <w:rFonts w:hint="eastAsia" w:ascii="Times New Roman" w:hAnsi="Times New Roman"/>
          <w:b w:val="0"/>
          <w:bCs w:val="0"/>
          <w:color w:val="000000" w:themeColor="text1"/>
          <w:highlight w:val="none"/>
          <w14:textFill>
            <w14:solidFill>
              <w14:schemeClr w14:val="tx1"/>
            </w14:solidFill>
          </w14:textFill>
        </w:rPr>
        <w:t xml:space="preserve">14、投标声明及承诺函和开标一览表</w:t>
      </w:r>
      <w:r/>
    </w:p>
    <w:p>
      <w:pPr>
        <w:ind w:firstLine="480"/>
        <w:spacing w:line="560" w:lineRule="exact"/>
        <w:rPr>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14.1</w:t>
      </w:r>
      <w:r>
        <w:rPr>
          <w:rFonts w:hint="eastAsia"/>
          <w:color w:val="000000" w:themeColor="text1"/>
          <w:sz w:val="24"/>
          <w:highlight w:val="none"/>
          <w14:textFill>
            <w14:solidFill>
              <w14:schemeClr w14:val="tx1"/>
            </w14:solidFill>
          </w14:textFill>
        </w:rPr>
        <w:t xml:space="preserve"> 投标人应按照招标文件中提供的格式完整、正确填写投标声明及承诺函、开标一览表。</w:t>
      </w:r>
      <w:r/>
    </w:p>
    <w:p>
      <w:pPr>
        <w:ind w:firstLine="480"/>
        <w:spacing w:line="560" w:lineRule="exact"/>
        <w:rPr>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14.2</w:t>
      </w:r>
      <w:r>
        <w:rPr>
          <w:rFonts w:hint="eastAsia"/>
          <w:color w:val="000000" w:themeColor="text1"/>
          <w:sz w:val="24"/>
          <w:highlight w:val="none"/>
          <w14:textFill>
            <w14:solidFill>
              <w14:schemeClr w14:val="tx1"/>
            </w14:solidFill>
          </w14:textFill>
        </w:rPr>
        <w:t xml:space="preserve"> 对于采用货币报价的项目，</w:t>
      </w:r>
      <w:r>
        <w:rPr>
          <w:rFonts w:hint="eastAsia"/>
          <w:bCs/>
          <w:color w:val="000000" w:themeColor="text1"/>
          <w:sz w:val="24"/>
          <w:highlight w:val="none"/>
          <w14:textFill>
            <w14:solidFill>
              <w14:schemeClr w14:val="tx1"/>
            </w14:solidFill>
          </w14:textFill>
        </w:rPr>
        <w:t xml:space="preserve">开标一览表中的投标报价应与投标分项报价表中的投标报价一致，如不一致，</w:t>
      </w:r>
      <w:r>
        <w:rPr>
          <w:rFonts w:hint="eastAsia"/>
          <w:color w:val="000000" w:themeColor="text1"/>
          <w:sz w:val="24"/>
          <w:szCs w:val="24"/>
          <w:highlight w:val="none"/>
          <w14:textFill>
            <w14:solidFill>
              <w14:schemeClr w14:val="tx1"/>
            </w14:solidFill>
          </w14:textFill>
        </w:rPr>
        <w:t xml:space="preserve">不作为无效投标处理</w:t>
      </w:r>
      <w:r>
        <w:rPr>
          <w:rFonts w:hint="eastAsia"/>
          <w:bCs/>
          <w:color w:val="000000" w:themeColor="text1"/>
          <w:sz w:val="24"/>
          <w:highlight w:val="none"/>
          <w14:textFill>
            <w14:solidFill>
              <w14:schemeClr w14:val="tx1"/>
            </w14:solidFill>
          </w14:textFill>
        </w:rPr>
        <w:t xml:space="preserve">，但评标时按开标一览表中价格为准</w:t>
      </w:r>
      <w:r>
        <w:rPr>
          <w:rFonts w:hint="eastAsia"/>
          <w:b/>
          <w:bCs/>
          <w:color w:val="000000" w:themeColor="text1"/>
          <w:sz w:val="24"/>
          <w:highlight w:val="none"/>
          <w14:textFill>
            <w14:solidFill>
              <w14:schemeClr w14:val="tx1"/>
            </w14:solidFill>
          </w14:textFill>
        </w:rPr>
        <w:t xml:space="preserve">。</w:t>
      </w:r>
      <w:bookmarkEnd w:id="121"/>
      <w:r/>
      <w:bookmarkEnd w:id="122"/>
      <w:r/>
      <w:r/>
    </w:p>
    <w:p>
      <w:pPr>
        <w:pStyle w:val="1007"/>
        <w:ind w:firstLine="420"/>
        <w:spacing w:before="0" w:after="0" w:line="560" w:lineRule="exact"/>
        <w:rPr>
          <w:rFonts w:ascii="Times New Roman" w:hAnsi="Times New Roman"/>
          <w:b w:val="0"/>
          <w:bCs w:val="0"/>
          <w:color w:val="000000" w:themeColor="text1"/>
          <w:highlight w:val="none"/>
          <w14:textFill>
            <w14:solidFill>
              <w14:schemeClr w14:val="tx1"/>
            </w14:solidFill>
          </w14:textFill>
        </w:rPr>
      </w:pPr>
      <w:r/>
      <w:bookmarkStart w:id="123" w:name="_Hlt26954734"/>
      <w:r/>
      <w:bookmarkEnd w:id="123"/>
      <w:r/>
      <w:bookmarkStart w:id="124" w:name="_Hlt26670489"/>
      <w:r/>
      <w:bookmarkEnd w:id="124"/>
      <w:r/>
      <w:bookmarkStart w:id="125" w:name="_Hlt26954850"/>
      <w:r/>
      <w:bookmarkEnd w:id="125"/>
      <w:r/>
      <w:bookmarkStart w:id="126" w:name="_Toc14577360"/>
      <w:r/>
      <w:bookmarkStart w:id="127" w:name="_Toc49090511"/>
      <w:r>
        <w:rPr>
          <w:rFonts w:hint="eastAsia" w:ascii="Times New Roman" w:hAnsi="Times New Roman"/>
          <w:b w:val="0"/>
          <w:bCs w:val="0"/>
          <w:color w:val="000000" w:themeColor="text1"/>
          <w:highlight w:val="none"/>
          <w14:textFill>
            <w14:solidFill>
              <w14:schemeClr w14:val="tx1"/>
            </w14:solidFill>
          </w14:textFill>
        </w:rPr>
        <w:t xml:space="preserve">15、投标有效期</w:t>
      </w:r>
      <w:bookmarkEnd w:id="126"/>
      <w:r/>
      <w:bookmarkEnd w:id="127"/>
      <w:r/>
      <w:r/>
    </w:p>
    <w:p>
      <w:pPr>
        <w:ind w:firstLine="480"/>
        <w:spacing w:line="560" w:lineRule="exact"/>
        <w:rPr>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15.1</w:t>
      </w:r>
      <w:r>
        <w:rPr>
          <w:rFonts w:hint="eastAsia"/>
          <w:bCs/>
          <w:color w:val="000000" w:themeColor="text1"/>
          <w:sz w:val="24"/>
          <w:highlight w:val="none"/>
          <w14:textFill>
            <w14:solidFill>
              <w14:schemeClr w14:val="tx1"/>
            </w14:solidFill>
          </w14:textFill>
        </w:rPr>
        <w:t xml:space="preserve"> 投标有效期为开标之日后</w:t>
      </w:r>
      <w:r>
        <w:rPr>
          <w:rFonts w:hint="eastAsia"/>
          <w:b/>
          <w:color w:val="000000" w:themeColor="text1"/>
          <w:sz w:val="24"/>
          <w:highlight w:val="none"/>
          <w:u w:val="single"/>
          <w14:textFill>
            <w14:solidFill>
              <w14:schemeClr w14:val="tx1"/>
            </w14:solidFill>
          </w14:textFill>
        </w:rPr>
        <w:t xml:space="preserve">六十（60）天</w:t>
      </w:r>
      <w:r>
        <w:rPr>
          <w:rFonts w:hint="eastAsia"/>
          <w:bCs/>
          <w:color w:val="000000" w:themeColor="text1"/>
          <w:sz w:val="24"/>
          <w:highlight w:val="none"/>
          <w14:textFill>
            <w14:solidFill>
              <w14:schemeClr w14:val="tx1"/>
            </w14:solidFill>
          </w14:textFill>
        </w:rPr>
        <w:t xml:space="preserve">。投标有效期比规定短的将被视为未实质性响应招标</w:t>
      </w:r>
      <w:r>
        <w:rPr>
          <w:bCs/>
          <w:color w:val="000000" w:themeColor="text1"/>
          <w:sz w:val="24"/>
          <w:highlight w:val="none"/>
          <w14:textFill>
            <w14:solidFill>
              <w14:schemeClr w14:val="tx1"/>
            </w14:solidFill>
          </w14:textFill>
        </w:rPr>
        <w:t xml:space="preserve">文件</w:t>
      </w:r>
      <w:r>
        <w:rPr>
          <w:rFonts w:hint="eastAsia"/>
          <w:bCs/>
          <w:color w:val="000000" w:themeColor="text1"/>
          <w:sz w:val="24"/>
          <w:highlight w:val="none"/>
          <w14:textFill>
            <w14:solidFill>
              <w14:schemeClr w14:val="tx1"/>
            </w14:solidFill>
          </w14:textFill>
        </w:rPr>
        <w:t xml:space="preserve">而予以拒绝。</w:t>
      </w:r>
      <w:r/>
    </w:p>
    <w:p>
      <w:pPr>
        <w:pStyle w:val="1007"/>
        <w:ind w:firstLine="420"/>
        <w:spacing w:before="0" w:after="0" w:line="560" w:lineRule="exact"/>
        <w:rPr>
          <w:rFonts w:ascii="Times New Roman" w:hAnsi="Times New Roman"/>
          <w:b w:val="0"/>
          <w:bCs w:val="0"/>
          <w:color w:val="000000" w:themeColor="text1"/>
          <w:highlight w:val="none"/>
          <w14:textFill>
            <w14:solidFill>
              <w14:schemeClr w14:val="tx1"/>
            </w14:solidFill>
          </w14:textFill>
        </w:rPr>
      </w:pPr>
      <w:r>
        <w:rPr>
          <w:rFonts w:hint="eastAsia" w:ascii="Times New Roman" w:hAnsi="Times New Roman"/>
          <w:b w:val="0"/>
          <w:bCs w:val="0"/>
          <w:color w:val="000000" w:themeColor="text1"/>
          <w:highlight w:val="none"/>
          <w14:textFill>
            <w14:solidFill>
              <w14:schemeClr w14:val="tx1"/>
            </w14:solidFill>
          </w14:textFill>
        </w:rPr>
        <w:t xml:space="preserve">16、投标有效期的延长</w:t>
      </w:r>
      <w:r/>
    </w:p>
    <w:p>
      <w:pPr>
        <w:ind w:firstLine="480"/>
        <w:spacing w:line="560" w:lineRule="exact"/>
        <w:rPr>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16.1</w:t>
      </w:r>
      <w:r>
        <w:rPr>
          <w:rFonts w:hint="eastAsia"/>
          <w:bCs/>
          <w:color w:val="000000" w:themeColor="text1"/>
          <w:sz w:val="24"/>
          <w:highlight w:val="none"/>
          <w14:textFill>
            <w14:solidFill>
              <w14:schemeClr w14:val="tx1"/>
            </w14:solidFill>
          </w14:textFill>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color w:val="000000" w:themeColor="text1"/>
          <w:sz w:val="24"/>
          <w:szCs w:val="24"/>
          <w:highlight w:val="none"/>
          <w14:textFill>
            <w14:solidFill>
              <w14:schemeClr w14:val="tx1"/>
            </w14:solidFill>
          </w14:textFill>
        </w:rPr>
        <w:t xml:space="preserve">。</w:t>
      </w:r>
      <w:r>
        <w:rPr>
          <w:rFonts w:hint="eastAsia"/>
          <w:bCs/>
          <w:color w:val="000000" w:themeColor="text1"/>
          <w:sz w:val="24"/>
          <w:highlight w:val="none"/>
          <w14:textFill>
            <w14:solidFill>
              <w14:schemeClr w14:val="tx1"/>
            </w14:solidFill>
          </w14:textFill>
        </w:rPr>
        <w:t xml:space="preserve">同意延长投标有效期的投标人既不能要求也不允许修改其投标文件</w:t>
      </w:r>
      <w:r>
        <w:rPr>
          <w:rFonts w:hint="eastAsia"/>
          <w:color w:val="000000" w:themeColor="text1"/>
          <w:sz w:val="24"/>
          <w:szCs w:val="24"/>
          <w:highlight w:val="none"/>
          <w14:textFill>
            <w14:solidFill>
              <w14:schemeClr w14:val="tx1"/>
            </w14:solidFill>
          </w14:textFill>
        </w:rPr>
        <w:t xml:space="preserve">，同时受投标有效期约束的所有权利与义务均延长至新的有效期</w:t>
      </w:r>
      <w:r>
        <w:rPr>
          <w:rFonts w:hint="eastAsia"/>
          <w:bCs/>
          <w:color w:val="000000" w:themeColor="text1"/>
          <w:sz w:val="24"/>
          <w:highlight w:val="none"/>
          <w14:textFill>
            <w14:solidFill>
              <w14:schemeClr w14:val="tx1"/>
            </w14:solidFill>
          </w14:textFill>
        </w:rPr>
        <w:t xml:space="preserve">。</w:t>
      </w:r>
      <w:r/>
    </w:p>
    <w:p>
      <w:pPr>
        <w:ind w:firstLine="480"/>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16.2中标人的投标文件作为项目服务合同的附件，其有效期至中标人全部合同义务履行完毕为止。 </w:t>
      </w:r>
      <w:r/>
    </w:p>
    <w:p>
      <w:pPr>
        <w:pStyle w:val="1005"/>
        <w:ind w:firstLine="482"/>
        <w:spacing w:before="0" w:after="0" w:line="560" w:lineRule="exact"/>
        <w:rPr>
          <w:color w:val="000000" w:themeColor="text1"/>
          <w:highlight w:val="none"/>
          <w14:textFill>
            <w14:solidFill>
              <w14:schemeClr w14:val="tx1"/>
            </w14:solidFill>
          </w14:textFill>
        </w:rPr>
      </w:pPr>
      <w:r/>
      <w:bookmarkStart w:id="128" w:name="_Hlt26954739"/>
      <w:r/>
      <w:bookmarkEnd w:id="128"/>
      <w:r/>
      <w:bookmarkStart w:id="129" w:name="_Hlt26954852"/>
      <w:r/>
      <w:bookmarkEnd w:id="129"/>
      <w:r/>
      <w:bookmarkStart w:id="130" w:name="_Toc16938540"/>
      <w:r/>
      <w:bookmarkStart w:id="131" w:name="_Toc513029224"/>
      <w:r/>
      <w:bookmarkStart w:id="132" w:name="_Toc120614217"/>
      <w:r/>
      <w:bookmarkStart w:id="133" w:name="_Toc20823296"/>
      <w:r>
        <w:rPr>
          <w:rFonts w:hint="eastAsia"/>
          <w:color w:val="000000" w:themeColor="text1"/>
          <w:highlight w:val="none"/>
          <w14:textFill>
            <w14:solidFill>
              <w14:schemeClr w14:val="tx1"/>
            </w14:solidFill>
          </w14:textFill>
        </w:rPr>
        <w:t xml:space="preserve">四、投标文件的递交</w:t>
      </w:r>
      <w:bookmarkEnd w:id="130"/>
      <w:r/>
      <w:bookmarkEnd w:id="131"/>
      <w:r/>
      <w:bookmarkEnd w:id="132"/>
      <w:r/>
      <w:bookmarkEnd w:id="133"/>
      <w:r/>
      <w:r/>
    </w:p>
    <w:p>
      <w:pPr>
        <w:pStyle w:val="1007"/>
        <w:ind w:firstLine="560"/>
        <w:spacing w:before="0" w:after="0" w:line="560" w:lineRule="exact"/>
        <w:rPr>
          <w:rFonts w:ascii="Times New Roman" w:hAnsi="Times New Roman"/>
          <w:b w:val="0"/>
          <w:bCs w:val="0"/>
          <w:color w:val="000000" w:themeColor="text1"/>
          <w:highlight w:val="none"/>
          <w14:textFill>
            <w14:solidFill>
              <w14:schemeClr w14:val="tx1"/>
            </w14:solidFill>
          </w14:textFill>
        </w:rPr>
      </w:pPr>
      <w:r/>
      <w:bookmarkStart w:id="134" w:name="_Toc513029225"/>
      <w:r/>
      <w:bookmarkStart w:id="135" w:name="_Toc462564084"/>
      <w:r/>
      <w:bookmarkStart w:id="136" w:name="_Toc16938541"/>
      <w:r/>
      <w:bookmarkStart w:id="137" w:name="_Toc20823297"/>
      <w:r>
        <w:rPr>
          <w:rFonts w:hint="eastAsia" w:ascii="Times New Roman" w:hAnsi="Times New Roman"/>
          <w:b w:val="0"/>
          <w:bCs w:val="0"/>
          <w:color w:val="000000" w:themeColor="text1"/>
          <w:highlight w:val="none"/>
          <w14:textFill>
            <w14:solidFill>
              <w14:schemeClr w14:val="tx1"/>
            </w14:solidFill>
          </w14:textFill>
        </w:rPr>
        <w:t xml:space="preserve">17、投标文件</w:t>
      </w:r>
      <w:bookmarkEnd w:id="134"/>
      <w:r/>
      <w:bookmarkEnd w:id="135"/>
      <w:r/>
      <w:bookmarkEnd w:id="136"/>
      <w:r/>
      <w:bookmarkEnd w:id="137"/>
      <w:r>
        <w:rPr>
          <w:rFonts w:hint="eastAsia" w:ascii="Times New Roman" w:hAnsi="Times New Roman"/>
          <w:b w:val="0"/>
          <w:bCs w:val="0"/>
          <w:color w:val="000000" w:themeColor="text1"/>
          <w:highlight w:val="none"/>
          <w14:textFill>
            <w14:solidFill>
              <w14:schemeClr w14:val="tx1"/>
            </w14:solidFill>
          </w14:textFill>
        </w:rPr>
        <w:t xml:space="preserve">的递交</w:t>
      </w:r>
      <w:r/>
    </w:p>
    <w:p>
      <w:pPr>
        <w:ind w:firstLine="480"/>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17.1投标人应当按照《操作手册》规定，在投标截止时间前制作并上传电子投标文件。</w:t>
      </w:r>
      <w:bookmarkStart w:id="138" w:name="_Toc16938542"/>
      <w:r/>
      <w:bookmarkStart w:id="139" w:name="_Toc513029226"/>
      <w:r/>
      <w:bookmarkStart w:id="140" w:name="_Toc20823298"/>
      <w:r/>
      <w:r/>
    </w:p>
    <w:p>
      <w:pPr>
        <w:ind w:firstLine="480"/>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17.2投标人通过“苏采云”系统不见面开标大厅在线参与开标活动。（具体操作详见《“苏采云”系统投标人操作手册》，网址链接</w:t>
      </w:r>
      <w:r>
        <w:rPr>
          <w:rFonts w:hint="eastAsia"/>
          <w:color w:val="000000" w:themeColor="text1"/>
          <w:sz w:val="22"/>
          <w:szCs w:val="20"/>
          <w:highlight w:val="none"/>
          <w14:textFill>
            <w14:solidFill>
              <w14:schemeClr w14:val="tx1"/>
            </w14:solidFill>
          </w14:textFill>
        </w:rPr>
        <w:t xml:space="preserve">http://www.ccgp-jiangsu.gov.cn//webfile/jiangsu/202311/1699268553318052447.pdf）</w:t>
      </w:r>
      <w:r/>
    </w:p>
    <w:p>
      <w:pPr>
        <w:pStyle w:val="1007"/>
        <w:ind w:firstLine="420"/>
        <w:spacing w:before="0" w:after="0" w:line="560" w:lineRule="exact"/>
        <w:rPr>
          <w:rFonts w:ascii="Times New Roman" w:hAnsi="Times New Roman"/>
          <w:b w:val="0"/>
          <w:bCs w:val="0"/>
          <w:color w:val="000000" w:themeColor="text1"/>
          <w:highlight w:val="none"/>
          <w14:textFill>
            <w14:solidFill>
              <w14:schemeClr w14:val="tx1"/>
            </w14:solidFill>
          </w14:textFill>
        </w:rPr>
      </w:pPr>
      <w:r>
        <w:rPr>
          <w:rFonts w:hint="eastAsia" w:ascii="Times New Roman" w:hAnsi="Times New Roman"/>
          <w:b w:val="0"/>
          <w:bCs w:val="0"/>
          <w:color w:val="000000" w:themeColor="text1"/>
          <w:highlight w:val="none"/>
          <w14:textFill>
            <w14:solidFill>
              <w14:schemeClr w14:val="tx1"/>
            </w14:solidFill>
          </w14:textFill>
        </w:rPr>
        <w:t xml:space="preserve">18、投标截止</w:t>
      </w:r>
      <w:bookmarkEnd w:id="138"/>
      <w:r/>
      <w:bookmarkEnd w:id="139"/>
      <w:r/>
      <w:bookmarkEnd w:id="140"/>
      <w:r>
        <w:rPr>
          <w:rFonts w:hint="eastAsia" w:ascii="Times New Roman" w:hAnsi="Times New Roman"/>
          <w:b w:val="0"/>
          <w:bCs w:val="0"/>
          <w:color w:val="000000" w:themeColor="text1"/>
          <w:highlight w:val="none"/>
          <w14:textFill>
            <w14:solidFill>
              <w14:schemeClr w14:val="tx1"/>
            </w14:solidFill>
          </w14:textFill>
        </w:rPr>
        <w:t xml:space="preserve">时间</w:t>
      </w:r>
      <w:r/>
    </w:p>
    <w:p>
      <w:pPr>
        <w:ind w:firstLine="480"/>
        <w:spacing w:line="560" w:lineRule="exact"/>
        <w:rPr>
          <w:bCs/>
          <w:iCs/>
          <w:color w:val="000000" w:themeColor="text1"/>
          <w:sz w:val="24"/>
          <w:highlight w:val="none"/>
          <w14:textFill>
            <w14:solidFill>
              <w14:schemeClr w14:val="tx1"/>
            </w14:solidFill>
          </w14:textFill>
        </w:rPr>
      </w:pPr>
      <w:r>
        <w:rPr>
          <w:rFonts w:hint="eastAsia"/>
          <w:iCs/>
          <w:color w:val="000000" w:themeColor="text1"/>
          <w:sz w:val="24"/>
          <w:highlight w:val="none"/>
          <w14:textFill>
            <w14:solidFill>
              <w14:schemeClr w14:val="tx1"/>
            </w14:solidFill>
          </w14:textFill>
        </w:rPr>
        <w:t xml:space="preserve">18.1</w:t>
      </w:r>
      <w:r>
        <w:rPr>
          <w:rFonts w:hint="eastAsia"/>
          <w:bCs/>
          <w:iCs/>
          <w:color w:val="000000" w:themeColor="text1"/>
          <w:sz w:val="24"/>
          <w:highlight w:val="none"/>
          <w14:textFill>
            <w14:solidFill>
              <w14:schemeClr w14:val="tx1"/>
            </w14:solidFill>
          </w14:textFill>
        </w:rPr>
        <w:t xml:space="preserve"> 投标人上传电子投标文件的时间不得迟于招标公告中规定的投标截止时间。</w:t>
      </w:r>
      <w:r/>
    </w:p>
    <w:p>
      <w:pPr>
        <w:ind w:firstLine="480"/>
        <w:spacing w:line="560" w:lineRule="exact"/>
        <w:rPr>
          <w:bCs/>
          <w:i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投标人应充分考虑到网络环境、网络带宽等风险因素，如因投标人自身原因造成的电子投标文件上传不成功的按照本招标文件第二章第26.1.2条规定作无效投标处理。</w:t>
      </w:r>
      <w:r/>
    </w:p>
    <w:p>
      <w:pPr>
        <w:ind w:firstLine="480"/>
        <w:spacing w:line="560" w:lineRule="exact"/>
        <w:rPr>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18.2</w:t>
      </w:r>
      <w:r>
        <w:rPr>
          <w:rFonts w:hint="eastAsia"/>
          <w:bCs/>
          <w:color w:val="000000" w:themeColor="text1"/>
          <w:sz w:val="24"/>
          <w:highlight w:val="none"/>
          <w14:textFill>
            <w14:solidFill>
              <w14:schemeClr w14:val="tx1"/>
            </w14:solidFill>
          </w14:textFill>
        </w:rPr>
        <w:t xml:space="preserve"> 采购代理机构可以按照规定，通过修改招标文件酌情延长投标截止时间，在此情况下，投标人的所有权利和义务以及投标人受制的截止时间均应以延长后新的截止时间为准。</w:t>
      </w:r>
      <w:r/>
    </w:p>
    <w:p>
      <w:pPr>
        <w:pStyle w:val="1007"/>
        <w:ind w:firstLine="420"/>
        <w:spacing w:before="0" w:after="0" w:line="560" w:lineRule="exact"/>
        <w:rPr>
          <w:rFonts w:ascii="Times New Roman" w:hAnsi="Times New Roman"/>
          <w:b w:val="0"/>
          <w:bCs w:val="0"/>
          <w:color w:val="000000" w:themeColor="text1"/>
          <w:highlight w:val="none"/>
          <w14:textFill>
            <w14:solidFill>
              <w14:schemeClr w14:val="tx1"/>
            </w14:solidFill>
          </w14:textFill>
        </w:rPr>
      </w:pPr>
      <w:r/>
      <w:bookmarkStart w:id="141" w:name="_Toc16938543"/>
      <w:r/>
      <w:bookmarkStart w:id="142" w:name="_Toc513029227"/>
      <w:r/>
      <w:bookmarkStart w:id="143" w:name="_Toc20823299"/>
      <w:r>
        <w:rPr>
          <w:rFonts w:hint="eastAsia" w:ascii="Times New Roman" w:hAnsi="Times New Roman"/>
          <w:b w:val="0"/>
          <w:bCs w:val="0"/>
          <w:color w:val="000000" w:themeColor="text1"/>
          <w:highlight w:val="none"/>
          <w14:textFill>
            <w14:solidFill>
              <w14:schemeClr w14:val="tx1"/>
            </w14:solidFill>
          </w14:textFill>
        </w:rPr>
        <w:t xml:space="preserve">19、投标文件</w:t>
      </w:r>
      <w:bookmarkEnd w:id="141"/>
      <w:r/>
      <w:bookmarkEnd w:id="142"/>
      <w:r/>
      <w:bookmarkEnd w:id="143"/>
      <w:r>
        <w:rPr>
          <w:rFonts w:hint="eastAsia" w:ascii="Times New Roman" w:hAnsi="Times New Roman"/>
          <w:b w:val="0"/>
          <w:bCs w:val="0"/>
          <w:color w:val="000000" w:themeColor="text1"/>
          <w:highlight w:val="none"/>
          <w14:textFill>
            <w14:solidFill>
              <w14:schemeClr w14:val="tx1"/>
            </w14:solidFill>
          </w14:textFill>
        </w:rPr>
        <w:t xml:space="preserve">的拒收</w:t>
      </w:r>
      <w:r/>
    </w:p>
    <w:p>
      <w:pPr>
        <w:ind w:firstLine="480"/>
        <w:spacing w:line="560" w:lineRule="exact"/>
        <w:rPr>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19.1</w:t>
      </w:r>
      <w:r>
        <w:rPr>
          <w:rFonts w:hint="eastAsia"/>
          <w:bCs/>
          <w:color w:val="000000" w:themeColor="text1"/>
          <w:sz w:val="24"/>
          <w:highlight w:val="none"/>
          <w14:textFill>
            <w14:solidFill>
              <w14:schemeClr w14:val="tx1"/>
            </w14:solidFill>
          </w14:textFill>
        </w:rPr>
        <w:t xml:space="preserve">采购代理机构拒绝接收在其规定的投标截止时间后上传的任何投标文件。</w:t>
      </w:r>
      <w:r/>
    </w:p>
    <w:p>
      <w:pPr>
        <w:pStyle w:val="1007"/>
        <w:ind w:firstLine="420"/>
        <w:spacing w:before="0" w:after="0" w:line="560" w:lineRule="exact"/>
        <w:rPr>
          <w:rFonts w:ascii="Times New Roman" w:hAnsi="Times New Roman"/>
          <w:b w:val="0"/>
          <w:bCs w:val="0"/>
          <w:color w:val="000000" w:themeColor="text1"/>
          <w:highlight w:val="none"/>
          <w14:textFill>
            <w14:solidFill>
              <w14:schemeClr w14:val="tx1"/>
            </w14:solidFill>
          </w14:textFill>
        </w:rPr>
      </w:pPr>
      <w:r/>
      <w:bookmarkStart w:id="144" w:name="_Toc20823300"/>
      <w:r/>
      <w:bookmarkStart w:id="145" w:name="_Toc513029228"/>
      <w:r/>
      <w:bookmarkStart w:id="146" w:name="_Toc16938544"/>
      <w:r>
        <w:rPr>
          <w:rFonts w:hint="eastAsia" w:ascii="Times New Roman" w:hAnsi="Times New Roman"/>
          <w:b w:val="0"/>
          <w:bCs w:val="0"/>
          <w:color w:val="000000" w:themeColor="text1"/>
          <w:highlight w:val="none"/>
          <w14:textFill>
            <w14:solidFill>
              <w14:schemeClr w14:val="tx1"/>
            </w14:solidFill>
          </w14:textFill>
        </w:rPr>
        <w:t xml:space="preserve">20、投标文件的撤回和修改</w:t>
      </w:r>
      <w:bookmarkEnd w:id="144"/>
      <w:r/>
      <w:bookmarkEnd w:id="145"/>
      <w:r/>
      <w:bookmarkEnd w:id="146"/>
      <w:r/>
      <w:r/>
    </w:p>
    <w:p>
      <w:pPr>
        <w:ind w:firstLine="480"/>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20.1 投标文件的撤回</w:t>
      </w:r>
      <w:r/>
    </w:p>
    <w:p>
      <w:pPr>
        <w:ind w:firstLine="480"/>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20.1.1 电子投标文件的撤回</w:t>
      </w:r>
      <w:r/>
    </w:p>
    <w:p>
      <w:pPr>
        <w:ind w:firstLine="480"/>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投标人可在投标截止时间前，撤回其电子投标文件，具体操作方法见《操作手册》。</w:t>
      </w:r>
      <w:r/>
    </w:p>
    <w:p>
      <w:pPr>
        <w:ind w:firstLine="48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20.1.</w:t>
      </w:r>
      <w:r>
        <w:rPr>
          <w:color w:val="000000" w:themeColor="text1"/>
          <w:sz w:val="24"/>
          <w:szCs w:val="24"/>
          <w:highlight w:val="none"/>
          <w14:textFill>
            <w14:solidFill>
              <w14:schemeClr w14:val="tx1"/>
            </w14:solidFill>
          </w14:textFill>
        </w:rPr>
        <w:t xml:space="preserve">2</w:t>
      </w:r>
      <w:r>
        <w:rPr>
          <w:rFonts w:hint="eastAsia"/>
          <w:color w:val="000000" w:themeColor="text1"/>
          <w:sz w:val="24"/>
          <w:szCs w:val="24"/>
          <w:highlight w:val="none"/>
          <w14:textFill>
            <w14:solidFill>
              <w14:schemeClr w14:val="tx1"/>
            </w14:solidFill>
          </w14:textFill>
        </w:rPr>
        <w:t xml:space="preserve"> 投标人撤回电子投标文件，则认为其不再参与本项目投标活动。</w:t>
      </w:r>
      <w:r/>
    </w:p>
    <w:p>
      <w:pPr>
        <w:ind w:firstLine="48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20.2 投标文件的修改</w:t>
      </w:r>
      <w:r/>
    </w:p>
    <w:p>
      <w:pPr>
        <w:ind w:firstLine="480"/>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20.2.1投标人可在投标截止时间前，对其电子投标文件进行修改，具体操作方法见《操作手册》。</w:t>
      </w:r>
      <w:r/>
    </w:p>
    <w:p>
      <w:pPr>
        <w:ind w:firstLine="480"/>
        <w:spacing w:line="560" w:lineRule="exact"/>
        <w:rPr>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20.2.2</w:t>
      </w:r>
      <w:r>
        <w:rPr>
          <w:rFonts w:hint="eastAsia"/>
          <w:bCs/>
          <w:color w:val="000000" w:themeColor="text1"/>
          <w:sz w:val="24"/>
          <w:highlight w:val="none"/>
          <w14:textFill>
            <w14:solidFill>
              <w14:schemeClr w14:val="tx1"/>
            </w14:solidFill>
          </w14:textFill>
        </w:rPr>
        <w:t xml:space="preserve"> 在投标截止时间之后，投标人不得对其电子投标文件作任何修改。</w:t>
      </w:r>
      <w:r/>
    </w:p>
    <w:p>
      <w:pPr>
        <w:ind w:firstLine="480"/>
        <w:spacing w:line="560" w:lineRule="exact"/>
        <w:rPr>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20.3</w:t>
      </w:r>
      <w:r>
        <w:rPr>
          <w:rFonts w:hint="eastAsia"/>
          <w:bCs/>
          <w:color w:val="000000" w:themeColor="text1"/>
          <w:sz w:val="24"/>
          <w:highlight w:val="none"/>
          <w14:textFill>
            <w14:solidFill>
              <w14:schemeClr w14:val="tx1"/>
            </w14:solidFill>
          </w14:textFill>
        </w:rPr>
        <w:t xml:space="preserve"> 在投标截止时间至招标文件中规定的投标有效期满之间的这段时间内，投标人不得撤回其投标。</w:t>
      </w:r>
      <w:r/>
    </w:p>
    <w:p>
      <w:pPr>
        <w:pStyle w:val="1005"/>
        <w:ind w:firstLine="482"/>
        <w:spacing w:before="0" w:after="0" w:line="560" w:lineRule="exact"/>
        <w:rPr>
          <w:color w:val="000000" w:themeColor="text1"/>
          <w:highlight w:val="none"/>
          <w14:textFill>
            <w14:solidFill>
              <w14:schemeClr w14:val="tx1"/>
            </w14:solidFill>
          </w14:textFill>
        </w:rPr>
      </w:pPr>
      <w:r/>
      <w:bookmarkStart w:id="147" w:name="_Toc513029229"/>
      <w:r/>
      <w:bookmarkStart w:id="148" w:name="_Toc16938545"/>
      <w:r/>
      <w:bookmarkStart w:id="149" w:name="_Toc120614218"/>
      <w:r/>
      <w:bookmarkStart w:id="150" w:name="_Toc20823301"/>
      <w:r>
        <w:rPr>
          <w:rFonts w:hint="eastAsia"/>
          <w:color w:val="000000" w:themeColor="text1"/>
          <w:highlight w:val="none"/>
          <w14:textFill>
            <w14:solidFill>
              <w14:schemeClr w14:val="tx1"/>
            </w14:solidFill>
          </w14:textFill>
        </w:rPr>
        <w:t xml:space="preserve">五、开标与评标</w:t>
      </w:r>
      <w:bookmarkEnd w:id="147"/>
      <w:r/>
      <w:bookmarkEnd w:id="148"/>
      <w:r/>
      <w:bookmarkEnd w:id="149"/>
      <w:r/>
      <w:bookmarkEnd w:id="150"/>
      <w:r/>
      <w:r/>
    </w:p>
    <w:p>
      <w:pPr>
        <w:pStyle w:val="1007"/>
        <w:ind w:firstLine="420"/>
        <w:spacing w:before="0" w:after="0" w:line="560" w:lineRule="exact"/>
        <w:rPr>
          <w:rFonts w:ascii="Times New Roman" w:hAnsi="Times New Roman"/>
          <w:b w:val="0"/>
          <w:bCs w:val="0"/>
          <w:color w:val="000000" w:themeColor="text1"/>
          <w:highlight w:val="none"/>
          <w14:textFill>
            <w14:solidFill>
              <w14:schemeClr w14:val="tx1"/>
            </w14:solidFill>
          </w14:textFill>
        </w:rPr>
      </w:pPr>
      <w:r/>
      <w:bookmarkStart w:id="151" w:name="_Toc20823302"/>
      <w:r/>
      <w:bookmarkStart w:id="152" w:name="_Toc16938546"/>
      <w:r/>
      <w:bookmarkStart w:id="153" w:name="_Toc513029230"/>
      <w:r>
        <w:rPr>
          <w:rFonts w:hint="eastAsia" w:ascii="Times New Roman" w:hAnsi="Times New Roman"/>
          <w:b w:val="0"/>
          <w:bCs w:val="0"/>
          <w:color w:val="000000" w:themeColor="text1"/>
          <w:highlight w:val="none"/>
          <w14:textFill>
            <w14:solidFill>
              <w14:schemeClr w14:val="tx1"/>
            </w14:solidFill>
          </w14:textFill>
        </w:rPr>
        <w:t xml:space="preserve">21、开标</w:t>
      </w:r>
      <w:bookmarkEnd w:id="151"/>
      <w:r/>
      <w:bookmarkEnd w:id="152"/>
      <w:r/>
      <w:bookmarkEnd w:id="153"/>
      <w:r/>
      <w:r/>
    </w:p>
    <w:p>
      <w:pPr>
        <w:pStyle w:val="1124"/>
        <w:ind w:firstLine="420"/>
        <w:spacing w:line="560" w:lineRule="exact"/>
        <w:rPr>
          <w:color w:val="000000" w:themeColor="text1"/>
          <w:sz w:val="24"/>
          <w:highlight w:val="none"/>
          <w:lang w:val="en-US"/>
          <w14:textFill>
            <w14:solidFill>
              <w14:schemeClr w14:val="tx1"/>
            </w14:solidFill>
          </w14:textFill>
        </w:rPr>
      </w:pPr>
      <w:r>
        <w:rPr>
          <w:rFonts w:hint="eastAsia"/>
          <w:color w:val="000000" w:themeColor="text1"/>
          <w:sz w:val="24"/>
          <w:highlight w:val="none"/>
          <w14:textFill>
            <w14:solidFill>
              <w14:schemeClr w14:val="tx1"/>
            </w14:solidFill>
          </w14:textFill>
        </w:rPr>
        <w:t xml:space="preserve">21.1</w:t>
      </w:r>
      <w:r>
        <w:rPr>
          <w:rFonts w:hint="eastAsia"/>
          <w:bCs/>
          <w:color w:val="000000" w:themeColor="text1"/>
          <w:sz w:val="24"/>
          <w:highlight w:val="none"/>
          <w14:textFill>
            <w14:solidFill>
              <w14:schemeClr w14:val="tx1"/>
            </w14:solidFill>
          </w14:textFill>
        </w:rPr>
        <w:t xml:space="preserve"> 采购代理机构将在招标公告中规定的时间和地点组织公开开标</w:t>
      </w:r>
      <w:r>
        <w:rPr>
          <w:rFonts w:hint="eastAsia"/>
          <w:color w:val="000000" w:themeColor="text1"/>
          <w:sz w:val="24"/>
          <w:highlight w:val="none"/>
          <w:lang w:val="en-US"/>
          <w14:textFill>
            <w14:solidFill>
              <w14:schemeClr w14:val="tx1"/>
            </w14:solidFill>
          </w14:textFill>
        </w:rPr>
        <w:t xml:space="preserve">。投标人应当按照《“苏采云”系统供应商操作手册》规定，参加开标活动和在“苏采云”系统规定的时间内对投标文件进行解密。</w:t>
      </w:r>
      <w:r/>
    </w:p>
    <w:p>
      <w:pPr>
        <w:pStyle w:val="1124"/>
        <w:ind w:firstLine="420"/>
        <w:spacing w:line="560" w:lineRule="exact"/>
        <w:rPr>
          <w:color w:val="000000" w:themeColor="text1"/>
          <w:sz w:val="24"/>
          <w:szCs w:val="24"/>
          <w:highlight w:val="none"/>
          <w14:textFill>
            <w14:solidFill>
              <w14:schemeClr w14:val="tx1"/>
            </w14:solidFill>
          </w14:textFill>
        </w:rPr>
      </w:pPr>
      <w:r>
        <w:rPr>
          <w:rFonts w:hint="eastAsia"/>
          <w:color w:val="000000" w:themeColor="text1"/>
          <w:sz w:val="24"/>
          <w:highlight w:val="none"/>
          <w:lang w:val="en-US"/>
          <w14:textFill>
            <w14:solidFill>
              <w14:schemeClr w14:val="tx1"/>
            </w14:solidFill>
          </w14:textFill>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rPr>
          <w:color w:val="000000" w:themeColor="text1"/>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21.3投标人在开标过程中涉及的投标文件解密、开标结果确认等工作，应按照《操作手册》规定执行。</w:t>
      </w:r>
      <w:r/>
    </w:p>
    <w:p>
      <w:pPr>
        <w:ind w:firstLine="48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21.4投标人如果对开标过程和开标记录有疑义，应当根据《操作手册》规定提出，如 “苏采云”系统中《开标记录表》宣布后5分钟内未提出的，视同认可开标结果。</w:t>
      </w:r>
      <w:r/>
    </w:p>
    <w:p>
      <w:pPr>
        <w:pStyle w:val="1007"/>
        <w:ind w:firstLine="420"/>
        <w:spacing w:before="0" w:after="0" w:line="560" w:lineRule="exact"/>
        <w:rPr>
          <w:rFonts w:ascii="Times New Roman" w:hAnsi="Times New Roman"/>
          <w:b w:val="0"/>
          <w:bCs w:val="0"/>
          <w:color w:val="000000" w:themeColor="text1"/>
          <w:highlight w:val="none"/>
          <w14:textFill>
            <w14:solidFill>
              <w14:schemeClr w14:val="tx1"/>
            </w14:solidFill>
          </w14:textFill>
        </w:rPr>
      </w:pPr>
      <w:r/>
      <w:bookmarkStart w:id="154" w:name="_Toc20823303"/>
      <w:r/>
      <w:bookmarkStart w:id="155" w:name="_Toc16938547"/>
      <w:r/>
      <w:bookmarkStart w:id="156" w:name="_Toc513029231"/>
      <w:r>
        <w:rPr>
          <w:rFonts w:hint="eastAsia" w:ascii="Times New Roman" w:hAnsi="Times New Roman"/>
          <w:b w:val="0"/>
          <w:bCs w:val="0"/>
          <w:color w:val="000000" w:themeColor="text1"/>
          <w:highlight w:val="none"/>
          <w14:textFill>
            <w14:solidFill>
              <w14:schemeClr w14:val="tx1"/>
            </w14:solidFill>
          </w14:textFill>
        </w:rPr>
        <w:t xml:space="preserve">22、评委会</w:t>
      </w:r>
      <w:r/>
    </w:p>
    <w:p>
      <w:pPr>
        <w:spacing w:line="560" w:lineRule="exact"/>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 22.1</w:t>
      </w:r>
      <w:r>
        <w:rPr>
          <w:rFonts w:hint="eastAsia"/>
          <w:b/>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开标后，采购代理机构将立即组织评委会（以下简称评委会）进行评标。</w:t>
      </w:r>
      <w:r/>
    </w:p>
    <w:p>
      <w:pPr>
        <w:spacing w:line="560" w:lineRule="exact"/>
        <w:rPr>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 22.2 评委会由采购人代表和有关技术、经济等方面的专家组成，且人员构成符合政府采购有关规定。</w:t>
      </w:r>
      <w:r/>
    </w:p>
    <w:p>
      <w:pPr>
        <w:spacing w:line="560" w:lineRule="exact"/>
        <w:rPr>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 22.3评委会独立工作，负责评审所有投标文件并确定中标候选人。</w:t>
      </w:r>
      <w:r/>
    </w:p>
    <w:p>
      <w:pPr>
        <w:pStyle w:val="1007"/>
        <w:ind w:firstLine="420"/>
        <w:spacing w:before="0" w:after="0" w:line="560" w:lineRule="exact"/>
        <w:rPr>
          <w:rFonts w:ascii="Times New Roman" w:hAnsi="Times New Roman"/>
          <w:b w:val="0"/>
          <w:bCs w:val="0"/>
          <w:color w:val="000000" w:themeColor="text1"/>
          <w:highlight w:val="none"/>
          <w14:textFill>
            <w14:solidFill>
              <w14:schemeClr w14:val="tx1"/>
            </w14:solidFill>
          </w14:textFill>
        </w:rPr>
      </w:pPr>
      <w:r>
        <w:rPr>
          <w:rFonts w:hint="eastAsia" w:ascii="Times New Roman" w:hAnsi="Times New Roman"/>
          <w:b w:val="0"/>
          <w:bCs w:val="0"/>
          <w:color w:val="000000" w:themeColor="text1"/>
          <w:highlight w:val="none"/>
          <w14:textFill>
            <w14:solidFill>
              <w14:schemeClr w14:val="tx1"/>
            </w14:solidFill>
          </w14:textFill>
        </w:rPr>
        <w:t xml:space="preserve">23、评标过程的保密与公正</w:t>
      </w:r>
      <w:bookmarkEnd w:id="154"/>
      <w:r/>
      <w:bookmarkEnd w:id="155"/>
      <w:r/>
      <w:bookmarkEnd w:id="156"/>
      <w:r/>
      <w:r/>
    </w:p>
    <w:p>
      <w:pPr>
        <w:ind w:firstLine="480"/>
        <w:spacing w:line="560" w:lineRule="exact"/>
        <w:rPr>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23.1</w:t>
      </w:r>
      <w:r>
        <w:rPr>
          <w:rFonts w:hint="eastAsia"/>
          <w:bCs/>
          <w:color w:val="000000" w:themeColor="text1"/>
          <w:sz w:val="24"/>
          <w:highlight w:val="none"/>
          <w14:textFill>
            <w14:solidFill>
              <w14:schemeClr w14:val="tx1"/>
            </w14:solidFill>
          </w14:textFill>
        </w:rPr>
        <w:t xml:space="preserve">凡是与审查、澄清、评价和比较投标的有关资料以及授标建议等，采购人、评委、采购代理机构均不得向投标人或与评标无关的其他人员透露。</w:t>
      </w:r>
      <w:r/>
    </w:p>
    <w:p>
      <w:pPr>
        <w:ind w:firstLine="480"/>
        <w:spacing w:line="560" w:lineRule="exact"/>
        <w:rPr>
          <w:color w:val="000000" w:themeColor="text1"/>
          <w:sz w:val="24"/>
          <w:szCs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23.2</w:t>
      </w:r>
      <w:r>
        <w:rPr>
          <w:rFonts w:hint="eastAsia"/>
          <w:color w:val="000000" w:themeColor="text1"/>
          <w:sz w:val="24"/>
          <w:szCs w:val="24"/>
          <w:highlight w:val="none"/>
          <w14:textFill>
            <w14:solidFill>
              <w14:schemeClr w14:val="tx1"/>
            </w14:solidFill>
          </w14:textFill>
        </w:rPr>
        <w:t xml:space="preserve">在评标过程中，投标人不得以任何行为影响评标过程，否则其投标文件将被作为无效投标文件。</w:t>
      </w:r>
      <w:r/>
    </w:p>
    <w:p>
      <w:pPr>
        <w:ind w:firstLine="48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23.</w:t>
      </w:r>
      <w:r>
        <w:rPr>
          <w:color w:val="000000" w:themeColor="text1"/>
          <w:sz w:val="24"/>
          <w:szCs w:val="24"/>
          <w:highlight w:val="none"/>
          <w14:textFill>
            <w14:solidFill>
              <w14:schemeClr w14:val="tx1"/>
            </w14:solidFill>
          </w14:textFill>
        </w:rPr>
        <w:t xml:space="preserve">3</w:t>
      </w:r>
      <w:r>
        <w:rPr>
          <w:rFonts w:hint="eastAsia"/>
          <w:color w:val="000000" w:themeColor="text1"/>
          <w:sz w:val="24"/>
          <w:szCs w:val="24"/>
          <w:highlight w:val="none"/>
          <w14:textFill>
            <w14:solidFill>
              <w14:schemeClr w14:val="tx1"/>
            </w14:solidFill>
          </w14:textFill>
        </w:rPr>
        <w:t xml:space="preserve"> 采购代理机构和评委会不向未中标的投标人解释未中标原因，也不公布评标过程中的相关细节。</w:t>
      </w:r>
      <w:r/>
    </w:p>
    <w:p>
      <w:pPr>
        <w:ind w:firstLine="48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23.4 采用综合评分法的项目，未中标的投标人可于中标结果公告期限届满之日起通过“苏采云”系统查看自己的评审得分及排序情况。</w:t>
      </w:r>
      <w:r/>
    </w:p>
    <w:p>
      <w:pPr>
        <w:pStyle w:val="1007"/>
        <w:ind w:firstLine="420"/>
        <w:spacing w:before="0" w:after="0" w:line="560" w:lineRule="exact"/>
        <w:rPr>
          <w:rFonts w:ascii="Times New Roman" w:hAnsi="Times New Roman"/>
          <w:b w:val="0"/>
          <w:bCs w:val="0"/>
          <w:color w:val="000000" w:themeColor="text1"/>
          <w:highlight w:val="none"/>
          <w14:textFill>
            <w14:solidFill>
              <w14:schemeClr w14:val="tx1"/>
            </w14:solidFill>
          </w14:textFill>
        </w:rPr>
      </w:pPr>
      <w:r/>
      <w:bookmarkStart w:id="157" w:name="_Toc16938548"/>
      <w:r/>
      <w:bookmarkStart w:id="158" w:name="_Toc513029232"/>
      <w:r/>
      <w:bookmarkStart w:id="159" w:name="_Toc20823304"/>
      <w:r>
        <w:rPr>
          <w:rFonts w:hint="eastAsia" w:ascii="Times New Roman" w:hAnsi="Times New Roman"/>
          <w:b w:val="0"/>
          <w:bCs w:val="0"/>
          <w:color w:val="000000" w:themeColor="text1"/>
          <w:highlight w:val="none"/>
          <w14:textFill>
            <w14:solidFill>
              <w14:schemeClr w14:val="tx1"/>
            </w14:solidFill>
          </w14:textFill>
        </w:rPr>
        <w:t xml:space="preserve">24、投标文件的澄清</w:t>
      </w:r>
      <w:bookmarkEnd w:id="157"/>
      <w:r/>
      <w:bookmarkEnd w:id="158"/>
      <w:r/>
      <w:bookmarkEnd w:id="159"/>
      <w:r/>
      <w:r/>
    </w:p>
    <w:p>
      <w:pPr>
        <w:ind w:firstLine="48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w:t>
      </w:r>
      <w:r>
        <w:rPr>
          <w:rFonts w:hint="eastAsia"/>
          <w:color w:val="000000" w:themeColor="text1"/>
          <w:sz w:val="24"/>
          <w:szCs w:val="24"/>
          <w:highlight w:val="none"/>
          <w14:textFill>
            <w14:solidFill>
              <w14:schemeClr w14:val="tx1"/>
            </w14:solidFill>
          </w14:textFill>
        </w:rPr>
        <w:t xml:space="preserve">4.</w:t>
      </w:r>
      <w:r>
        <w:rPr>
          <w:color w:val="000000" w:themeColor="text1"/>
          <w:sz w:val="24"/>
          <w:szCs w:val="24"/>
          <w:highlight w:val="none"/>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评标期间，评委会对投标文件中含义不明确、同类问题表述不一致或者有明显文字和计算错误的内容</w:t>
      </w:r>
      <w:r>
        <w:rPr>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，有权要求投标人作出必要的澄清、说明或者补正。</w:t>
      </w:r>
      <w:r/>
    </w:p>
    <w:p>
      <w:pPr>
        <w:ind w:firstLine="48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投标人的澄清、说明或者补正不得超出投标文件的范围或者改变投标文件的实质性内容。</w:t>
      </w:r>
      <w:r/>
    </w:p>
    <w:p>
      <w:pPr>
        <w:ind w:firstLine="48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评委会</w:t>
      </w:r>
      <w:r>
        <w:rPr>
          <w:color w:val="000000" w:themeColor="text1"/>
          <w:sz w:val="24"/>
          <w:szCs w:val="24"/>
          <w:highlight w:val="none"/>
          <w14:textFill>
            <w14:solidFill>
              <w14:schemeClr w14:val="tx1"/>
            </w14:solidFill>
          </w14:textFill>
        </w:rPr>
        <w:t xml:space="preserve">并非对每个投标人都做澄清要求</w:t>
      </w:r>
      <w:r>
        <w:rPr>
          <w:rFonts w:hint="eastAsia"/>
          <w:color w:val="000000" w:themeColor="text1"/>
          <w:sz w:val="24"/>
          <w:szCs w:val="24"/>
          <w:highlight w:val="none"/>
          <w14:textFill>
            <w14:solidFill>
              <w14:schemeClr w14:val="tx1"/>
            </w14:solidFill>
          </w14:textFill>
        </w:rPr>
        <w:t xml:space="preserve">。</w:t>
      </w:r>
      <w:r/>
    </w:p>
    <w:p>
      <w:pPr>
        <w:pStyle w:val="1124"/>
        <w:ind w:firstLine="422"/>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24.2需要投标人进行澄清、说明和补正的，</w:t>
      </w:r>
      <w:r>
        <w:rPr>
          <w:rFonts w:hint="eastAsia"/>
          <w:color w:val="000000" w:themeColor="text1"/>
          <w:sz w:val="24"/>
          <w:highlight w:val="none"/>
          <w:lang w:val="en-US"/>
          <w14:textFill>
            <w14:solidFill>
              <w14:schemeClr w14:val="tx1"/>
            </w14:solidFill>
          </w14:textFill>
        </w:rPr>
        <w:t xml:space="preserve">本项目投标人的澄清、说明或者补正采用线上澄清，</w:t>
      </w:r>
      <w:r>
        <w:rPr>
          <w:rFonts w:hint="eastAsia"/>
          <w:color w:val="000000" w:themeColor="text1"/>
          <w:sz w:val="24"/>
          <w:szCs w:val="24"/>
          <w:highlight w:val="none"/>
          <w14:textFill>
            <w14:solidFill>
              <w14:schemeClr w14:val="tx1"/>
            </w14:solidFill>
          </w14:textFill>
        </w:rPr>
        <w:t xml:space="preserve">评委会将通过</w:t>
      </w:r>
      <w:r>
        <w:rPr>
          <w:rFonts w:hint="eastAsia"/>
          <w:color w:val="000000" w:themeColor="text1"/>
          <w:sz w:val="24"/>
          <w:highlight w:val="none"/>
          <w:lang w:val="en-US"/>
          <w14:textFill>
            <w14:solidFill>
              <w14:schemeClr w14:val="tx1"/>
            </w14:solidFill>
          </w14:textFill>
        </w:rPr>
        <w:t xml:space="preserve">“苏采云”系统</w:t>
      </w:r>
      <w:r>
        <w:rPr>
          <w:rFonts w:hint="eastAsia"/>
          <w:color w:val="000000" w:themeColor="text1"/>
          <w:sz w:val="24"/>
          <w:szCs w:val="24"/>
          <w:highlight w:val="none"/>
          <w14:textFill>
            <w14:solidFill>
              <w14:schemeClr w14:val="tx1"/>
            </w14:solidFill>
          </w14:textFill>
        </w:rPr>
        <w:t xml:space="preserve">向投标人发出“澄清要求函”，接到“澄清要求函”的投标人应当按照要求</w:t>
      </w:r>
      <w:r>
        <w:rPr>
          <w:rFonts w:hint="eastAsia"/>
          <w:color w:val="000000" w:themeColor="text1"/>
          <w:sz w:val="24"/>
          <w:highlight w:val="none"/>
          <w:lang w:val="en-US"/>
          <w14:textFill>
            <w14:solidFill>
              <w14:schemeClr w14:val="tx1"/>
            </w14:solidFill>
          </w14:textFill>
        </w:rPr>
        <w:t xml:space="preserve">在规定时间内</w:t>
      </w:r>
      <w:r>
        <w:rPr>
          <w:rFonts w:hint="eastAsia"/>
          <w:color w:val="000000" w:themeColor="text1"/>
          <w:sz w:val="24"/>
          <w:szCs w:val="24"/>
          <w:highlight w:val="none"/>
          <w:lang w:val="en-US"/>
          <w14:textFill>
            <w14:solidFill>
              <w14:schemeClr w14:val="tx1"/>
            </w14:solidFill>
          </w14:textFill>
        </w:rPr>
        <w:t xml:space="preserve">通过</w:t>
      </w:r>
      <w:r>
        <w:rPr>
          <w:rFonts w:hint="eastAsia"/>
          <w:color w:val="000000" w:themeColor="text1"/>
          <w:sz w:val="24"/>
          <w:highlight w:val="none"/>
          <w:lang w:val="en-US"/>
          <w14:textFill>
            <w14:solidFill>
              <w14:schemeClr w14:val="tx1"/>
            </w14:solidFill>
          </w14:textFill>
        </w:rPr>
        <w:t xml:space="preserve">“苏采云”系统</w:t>
      </w:r>
      <w:r>
        <w:rPr>
          <w:rFonts w:hint="eastAsia"/>
          <w:color w:val="000000" w:themeColor="text1"/>
          <w:sz w:val="24"/>
          <w:szCs w:val="24"/>
          <w:highlight w:val="none"/>
          <w14:textFill>
            <w14:solidFill>
              <w14:schemeClr w14:val="tx1"/>
            </w14:solidFill>
          </w14:textFill>
        </w:rPr>
        <w:t xml:space="preserve">中提交“澄清响应函”并加盖CA电子公章。澄清、说明和补正的内容作为投标文件的补充部分，具体操作方式见《操作手册》。</w:t>
      </w:r>
      <w:r/>
    </w:p>
    <w:p>
      <w:pPr>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    24.3 接到评委会澄清、说明和补正要求的投标人如未按规定作出澄清、说明和补正，其风险由投标人自行承担。</w:t>
      </w:r>
      <w:r/>
    </w:p>
    <w:p>
      <w:pPr>
        <w:pStyle w:val="1007"/>
        <w:ind w:firstLine="420"/>
        <w:spacing w:before="0" w:after="0" w:line="560" w:lineRule="exact"/>
        <w:rPr>
          <w:rFonts w:ascii="Times New Roman" w:hAnsi="Times New Roman"/>
          <w:b w:val="0"/>
          <w:bCs w:val="0"/>
          <w:color w:val="000000" w:themeColor="text1"/>
          <w:highlight w:val="none"/>
          <w14:textFill>
            <w14:solidFill>
              <w14:schemeClr w14:val="tx1"/>
            </w14:solidFill>
          </w14:textFill>
        </w:rPr>
      </w:pPr>
      <w:r/>
      <w:bookmarkStart w:id="160" w:name="_Toc513029233"/>
      <w:r/>
      <w:bookmarkStart w:id="161" w:name="_Toc16938549"/>
      <w:r/>
      <w:bookmarkStart w:id="162" w:name="_Toc20823305"/>
      <w:r>
        <w:rPr>
          <w:rFonts w:hint="eastAsia" w:ascii="Times New Roman" w:hAnsi="Times New Roman"/>
          <w:b w:val="0"/>
          <w:bCs w:val="0"/>
          <w:color w:val="000000" w:themeColor="text1"/>
          <w:highlight w:val="none"/>
          <w14:textFill>
            <w14:solidFill>
              <w14:schemeClr w14:val="tx1"/>
            </w14:solidFill>
          </w14:textFill>
        </w:rPr>
        <w:t xml:space="preserve">25、对投标文件的初审</w:t>
      </w:r>
      <w:bookmarkEnd w:id="160"/>
      <w:r/>
      <w:bookmarkEnd w:id="161"/>
      <w:r/>
      <w:bookmarkEnd w:id="162"/>
      <w:r/>
      <w:r/>
    </w:p>
    <w:p>
      <w:pPr>
        <w:ind w:firstLine="480"/>
        <w:spacing w:line="560" w:lineRule="exact"/>
        <w:rPr>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25.1</w:t>
      </w:r>
      <w:r>
        <w:rPr>
          <w:rFonts w:hint="eastAsia"/>
          <w:bCs/>
          <w:color w:val="000000" w:themeColor="text1"/>
          <w:sz w:val="24"/>
          <w:highlight w:val="none"/>
          <w14:textFill>
            <w14:solidFill>
              <w14:schemeClr w14:val="tx1"/>
            </w14:solidFill>
          </w14:textFill>
        </w:rPr>
        <w:t xml:space="preserve">投标文件初审分为资格审查和符合性审查。</w:t>
      </w:r>
      <w:r/>
    </w:p>
    <w:p>
      <w:pPr>
        <w:ind w:firstLine="480"/>
        <w:spacing w:line="560" w:lineRule="exact"/>
        <w:rPr>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25.1.1 资格审查：依据法律法规和招标文件的规定，</w:t>
      </w:r>
      <w:r>
        <w:rPr>
          <w:rFonts w:hint="eastAsia"/>
          <w:color w:val="000000" w:themeColor="text1"/>
          <w:sz w:val="24"/>
          <w:highlight w:val="none"/>
          <w14:textFill>
            <w14:solidFill>
              <w14:schemeClr w14:val="tx1"/>
            </w14:solidFill>
          </w14:textFill>
        </w:rPr>
        <w:t xml:space="preserve">由采购人或评委会对投标文件中的资格证明文件进行审查，以确定投标人是否具备投标资格。</w:t>
      </w:r>
      <w:r/>
    </w:p>
    <w:p>
      <w:pPr>
        <w:ind w:firstLine="480"/>
        <w:spacing w:line="560" w:lineRule="exact"/>
        <w:rPr>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采购人或评委会</w:t>
      </w:r>
      <w:r>
        <w:rPr>
          <w:rFonts w:hint="eastAsia"/>
          <w:bCs/>
          <w:color w:val="000000" w:themeColor="text1"/>
          <w:sz w:val="24"/>
          <w:highlight w:val="none"/>
          <w14:textFill>
            <w14:solidFill>
              <w14:schemeClr w14:val="tx1"/>
            </w14:solidFill>
          </w14:textFill>
        </w:rPr>
        <w:t xml:space="preserve">在进行资格性审查的同时，将在“信用中国”网站（www.creditchina.gov.cn）查询投标人的信用记录，以确定投标人是否具备投标资格,查询结果留存并归档。</w:t>
      </w:r>
      <w:r/>
    </w:p>
    <w:p>
      <w:pPr>
        <w:ind w:firstLine="48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25.1.2 符合性审查：依据招标文件的规定，由评委会从投标文件的有效性、完整性和对招标文件的响应程度进行审查，以确定是否对招标文件的实质性要求作出响应。</w:t>
      </w:r>
      <w:r/>
    </w:p>
    <w:p>
      <w:pPr>
        <w:ind w:firstLine="480"/>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25.1.3对各投标人符合性审查过程中，对初步被认定为无效投标者，由评委会组长或采购人代表将集体意见通过</w:t>
      </w:r>
      <w:r>
        <w:rPr>
          <w:rFonts w:hint="eastAsia"/>
          <w:color w:val="000000" w:themeColor="text1"/>
          <w:sz w:val="24"/>
          <w:highlight w:val="none"/>
          <w:lang w:val="zh-CN"/>
          <w14:textFill>
            <w14:solidFill>
              <w14:schemeClr w14:val="tx1"/>
            </w14:solidFill>
          </w14:textFill>
        </w:rPr>
        <w:t xml:space="preserve">“苏采云”系统中告知未通过符合性审查的原因，评标结束后，将不再告知未通过符合性审查的原因</w:t>
      </w:r>
      <w:r>
        <w:rPr>
          <w:rFonts w:hint="eastAsia"/>
          <w:color w:val="000000" w:themeColor="text1"/>
          <w:sz w:val="24"/>
          <w:highlight w:val="none"/>
          <w14:textFill>
            <w14:solidFill>
              <w14:schemeClr w14:val="tx1"/>
            </w14:solidFill>
          </w14:textFill>
        </w:rPr>
        <w:t xml:space="preserve">。</w:t>
      </w:r>
      <w:r/>
    </w:p>
    <w:p>
      <w:pPr>
        <w:ind w:firstLine="480"/>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w:t>
      </w:r>
      <w:r>
        <w:rPr>
          <w:color w:val="000000" w:themeColor="text1"/>
          <w:sz w:val="24"/>
          <w:highlight w:val="none"/>
          <w14:textFill>
            <w14:solidFill>
              <w14:schemeClr w14:val="tx1"/>
            </w14:solidFill>
          </w14:textFill>
        </w:rPr>
        <w:t xml:space="preserve">5</w:t>
      </w:r>
      <w:r>
        <w:rPr>
          <w:rFonts w:hint="eastAsia"/>
          <w:color w:val="000000" w:themeColor="text1"/>
          <w:sz w:val="24"/>
          <w:highlight w:val="none"/>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w:t>
      </w:r>
      <w:r>
        <w:rPr>
          <w:color w:val="000000" w:themeColor="text1"/>
          <w:sz w:val="24"/>
          <w:highlight w:val="none"/>
          <w14:textFill>
            <w14:solidFill>
              <w14:schemeClr w14:val="tx1"/>
            </w14:solidFill>
          </w14:textFill>
        </w:rPr>
        <w:t xml:space="preserve">5</w:t>
      </w:r>
      <w:r>
        <w:rPr>
          <w:rFonts w:hint="eastAsia"/>
          <w:color w:val="000000" w:themeColor="text1"/>
          <w:sz w:val="24"/>
          <w:highlight w:val="none"/>
          <w14:textFill>
            <w14:solidFill>
              <w14:schemeClr w14:val="tx1"/>
            </w14:solidFill>
          </w14:textFill>
        </w:rPr>
        <w:t xml:space="preserve">.3如果投标文件实质上没有响应招标文件的要求，评委会将予以拒绝，投标人不得通过修改或撤销不合要求的偏离或保留而使其投标成为实质性响应的投标。</w:t>
      </w:r>
      <w:r/>
    </w:p>
    <w:p>
      <w:pPr>
        <w:ind w:firstLine="480"/>
        <w:spacing w:line="560" w:lineRule="exact"/>
        <w:rPr>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25.</w:t>
      </w:r>
      <w:r>
        <w:rPr>
          <w:color w:val="000000" w:themeColor="text1"/>
          <w:sz w:val="24"/>
          <w:highlight w:val="none"/>
          <w14:textFill>
            <w14:solidFill>
              <w14:schemeClr w14:val="tx1"/>
            </w14:solidFill>
          </w14:textFill>
        </w:rPr>
        <w:t xml:space="preserve">4</w:t>
      </w:r>
      <w:r>
        <w:rPr>
          <w:rFonts w:hint="eastAsia"/>
          <w:bCs/>
          <w:color w:val="000000" w:themeColor="text1"/>
          <w:sz w:val="24"/>
          <w:highlight w:val="none"/>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（1）投标文件中开标一览表内容与投标文件中相应内容不一致的，以开标一览表为准。</w:t>
      </w:r>
      <w:r/>
    </w:p>
    <w:p>
      <w:pPr>
        <w:ind w:firstLine="48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（2）大写金额和小写金额不一致的，以大写金额为准。</w:t>
      </w:r>
      <w:r/>
    </w:p>
    <w:p>
      <w:pPr>
        <w:ind w:firstLine="48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ind w:firstLine="48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（4）总价金额与按单价汇总金额不一致的，以单价金额计算结果为准。</w:t>
      </w:r>
      <w:r/>
    </w:p>
    <w:p>
      <w:pPr>
        <w:ind w:firstLine="48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同时出现两种以上错误的，按照前款规定的顺序修正。</w:t>
      </w:r>
      <w:r/>
    </w:p>
    <w:p>
      <w:pPr>
        <w:ind w:firstLine="480"/>
        <w:spacing w:line="560" w:lineRule="exact"/>
        <w:rPr>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25.</w:t>
      </w:r>
      <w:r>
        <w:rPr>
          <w:color w:val="000000" w:themeColor="text1"/>
          <w:sz w:val="24"/>
          <w:highlight w:val="none"/>
          <w14:textFill>
            <w14:solidFill>
              <w14:schemeClr w14:val="tx1"/>
            </w14:solidFill>
          </w14:textFill>
        </w:rPr>
        <w:t xml:space="preserve">5</w:t>
      </w:r>
      <w:r>
        <w:rPr>
          <w:rFonts w:hint="eastAsia"/>
          <w:color w:val="000000" w:themeColor="text1"/>
          <w:sz w:val="24"/>
          <w:highlight w:val="none"/>
          <w14:textFill>
            <w14:solidFill>
              <w14:schemeClr w14:val="tx1"/>
            </w14:solidFill>
          </w14:textFill>
        </w:rPr>
        <w:t xml:space="preserve"> </w:t>
      </w:r>
      <w:r>
        <w:rPr>
          <w:rFonts w:hint="eastAsia"/>
          <w:bCs/>
          <w:color w:val="000000" w:themeColor="text1"/>
          <w:sz w:val="24"/>
          <w:highlight w:val="none"/>
          <w14:textFill>
            <w14:solidFill>
              <w14:schemeClr w14:val="tx1"/>
            </w14:solidFill>
          </w14:textFill>
        </w:rPr>
        <w:t xml:space="preserve">评委会将按上述修正错误的方法调整投标文件中的投标报价，并</w:t>
      </w:r>
      <w:r>
        <w:rPr>
          <w:bCs/>
          <w:color w:val="000000" w:themeColor="text1"/>
          <w:sz w:val="24"/>
          <w:highlight w:val="none"/>
          <w14:textFill>
            <w14:solidFill>
              <w14:schemeClr w14:val="tx1"/>
            </w14:solidFill>
          </w14:textFill>
        </w:rPr>
        <w:t xml:space="preserve">通过</w:t>
      </w:r>
      <w:r>
        <w:rPr>
          <w:rFonts w:hint="eastAsia"/>
          <w:color w:val="000000" w:themeColor="text1"/>
          <w:sz w:val="24"/>
          <w:szCs w:val="24"/>
          <w:highlight w:val="none"/>
          <w14:textFill>
            <w14:solidFill>
              <w14:schemeClr w14:val="tx1"/>
            </w14:solidFill>
          </w14:textFill>
        </w:rPr>
        <w:t xml:space="preserve">“苏采云”系统</w:t>
      </w:r>
      <w:r>
        <w:rPr>
          <w:rFonts w:hint="eastAsia"/>
          <w:bCs/>
          <w:color w:val="000000" w:themeColor="text1"/>
          <w:sz w:val="24"/>
          <w:highlight w:val="none"/>
          <w14:textFill>
            <w14:solidFill>
              <w14:schemeClr w14:val="tx1"/>
            </w14:solidFill>
          </w14:textFill>
        </w:rPr>
        <w:t xml:space="preserve">告知</w:t>
      </w:r>
      <w:r>
        <w:rPr>
          <w:bCs/>
          <w:color w:val="000000" w:themeColor="text1"/>
          <w:sz w:val="24"/>
          <w:highlight w:val="none"/>
          <w14:textFill>
            <w14:solidFill>
              <w14:schemeClr w14:val="tx1"/>
            </w14:solidFill>
          </w14:textFill>
        </w:rPr>
        <w:t xml:space="preserve">投标人，</w:t>
      </w:r>
      <w:r>
        <w:rPr>
          <w:rFonts w:hint="eastAsia"/>
          <w:bCs/>
          <w:color w:val="000000" w:themeColor="text1"/>
          <w:sz w:val="24"/>
          <w:highlight w:val="none"/>
          <w14:textFill>
            <w14:solidFill>
              <w14:schemeClr w14:val="tx1"/>
            </w14:solidFill>
          </w14:textFill>
        </w:rPr>
        <w:t xml:space="preserve">调整后的价格应对投标人具有约束力。如果投标人不接受修正后的价格，则其投标将被拒绝。</w:t>
      </w:r>
      <w:r/>
    </w:p>
    <w:p>
      <w:pPr>
        <w:ind w:firstLine="480"/>
        <w:spacing w:line="480" w:lineRule="exact"/>
        <w:rPr>
          <w:rFonts w:cs="仿宋"/>
          <w:sz w:val="24"/>
          <w:szCs w:val="22"/>
          <w:highlight w:val="none"/>
        </w:rPr>
      </w:pPr>
      <w:r>
        <w:rPr>
          <w:rFonts w:hint="eastAsia" w:cs="仿宋"/>
          <w:sz w:val="24"/>
          <w:szCs w:val="22"/>
          <w:highlight w:val="none"/>
        </w:rPr>
        <w:t xml:space="preserve">25.6异常低价投标审查</w:t>
      </w:r>
      <w:r/>
    </w:p>
    <w:p>
      <w:pPr>
        <w:ind w:firstLine="480"/>
        <w:spacing w:line="480" w:lineRule="exact"/>
        <w:rPr>
          <w:rFonts w:cs="仿宋"/>
          <w:sz w:val="24"/>
          <w:szCs w:val="22"/>
          <w:highlight w:val="none"/>
        </w:rPr>
      </w:pPr>
      <w:r>
        <w:rPr>
          <w:rFonts w:hint="eastAsia" w:cs="仿宋"/>
          <w:sz w:val="24"/>
          <w:szCs w:val="22"/>
          <w:highlight w:val="none"/>
        </w:rPr>
        <w:t xml:space="preserve">25.6.1 评标过程中出现下列情形之一的，评标委员会应当启动异常低价投标审查程序：</w:t>
      </w:r>
      <w:r/>
    </w:p>
    <w:p>
      <w:pPr>
        <w:ind w:firstLine="480"/>
        <w:spacing w:line="480" w:lineRule="exact"/>
        <w:rPr>
          <w:rFonts w:cs="仿宋"/>
          <w:sz w:val="24"/>
          <w:szCs w:val="22"/>
          <w:highlight w:val="none"/>
        </w:rPr>
      </w:pPr>
      <w:r>
        <w:rPr>
          <w:rFonts w:hint="eastAsia" w:cs="仿宋"/>
          <w:sz w:val="24"/>
          <w:szCs w:val="22"/>
          <w:highlight w:val="none"/>
        </w:rPr>
        <w:t xml:space="preserve">（1）投标报价低于全部通过符合性审查供应商投标报价平均值50%的，即投标报价&lt;全部通过符合性审查供应商投标报价平均值×50%；</w:t>
      </w:r>
      <w:r/>
    </w:p>
    <w:p>
      <w:pPr>
        <w:ind w:firstLine="480"/>
        <w:spacing w:line="480" w:lineRule="exact"/>
        <w:rPr>
          <w:rFonts w:cs="仿宋"/>
          <w:sz w:val="24"/>
          <w:szCs w:val="22"/>
          <w:highlight w:val="none"/>
        </w:rPr>
      </w:pPr>
      <w:r>
        <w:rPr>
          <w:rFonts w:hint="eastAsia" w:cs="仿宋"/>
          <w:sz w:val="24"/>
          <w:szCs w:val="22"/>
          <w:highlight w:val="none"/>
        </w:rPr>
        <w:t xml:space="preserve">（2）投标报价低于通过符合性审查的次低报价供应商投标报价50%的，即投标报价&lt;通过符合性审查的次低报价供应商投标报价×50%；</w:t>
      </w:r>
      <w:r/>
    </w:p>
    <w:p>
      <w:pPr>
        <w:ind w:firstLine="480"/>
        <w:spacing w:line="480" w:lineRule="exact"/>
        <w:rPr>
          <w:rFonts w:cs="仿宋"/>
          <w:sz w:val="24"/>
          <w:szCs w:val="22"/>
          <w:highlight w:val="none"/>
        </w:rPr>
      </w:pPr>
      <w:r>
        <w:rPr>
          <w:rFonts w:hint="eastAsia" w:cs="仿宋"/>
          <w:sz w:val="24"/>
          <w:szCs w:val="22"/>
          <w:highlight w:val="none"/>
        </w:rPr>
        <w:t xml:space="preserve">（3）投标报价低于采购项目最高限价45%的，即投标报价&lt;采购项目最高限价×45%；</w:t>
      </w:r>
      <w:r/>
    </w:p>
    <w:p>
      <w:pPr>
        <w:ind w:firstLine="480"/>
        <w:spacing w:line="480" w:lineRule="exact"/>
        <w:rPr>
          <w:rFonts w:cs="仿宋"/>
          <w:sz w:val="24"/>
          <w:szCs w:val="22"/>
          <w:highlight w:val="none"/>
        </w:rPr>
      </w:pPr>
      <w:r>
        <w:rPr>
          <w:rFonts w:hint="eastAsia" w:cs="仿宋"/>
          <w:sz w:val="24"/>
          <w:szCs w:val="22"/>
          <w:highlight w:val="none"/>
        </w:rPr>
        <w:t xml:space="preserve">（4）评标委员会基于专业判断，认为供应商报价过低，有可能影响产品质量或者不能诚信履约的其他情形。</w:t>
      </w:r>
      <w:r/>
    </w:p>
    <w:p>
      <w:pPr>
        <w:ind w:firstLine="480"/>
        <w:spacing w:line="480" w:lineRule="exact"/>
        <w:rPr>
          <w:rFonts w:cs="仿宋"/>
          <w:sz w:val="24"/>
          <w:szCs w:val="22"/>
          <w:highlight w:val="none"/>
        </w:rPr>
      </w:pPr>
      <w:r>
        <w:rPr>
          <w:rFonts w:hint="eastAsia" w:cs="仿宋"/>
          <w:sz w:val="24"/>
          <w:szCs w:val="22"/>
          <w:highlight w:val="none"/>
        </w:rPr>
        <w:t xml:space="preserve">25.6.2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480" w:lineRule="exact"/>
        <w:rPr>
          <w:bCs/>
          <w:sz w:val="24"/>
          <w:highlight w:val="none"/>
        </w:rPr>
      </w:pPr>
      <w:r>
        <w:rPr>
          <w:rFonts w:hint="eastAsia" w:cs="仿宋"/>
          <w:sz w:val="24"/>
          <w:szCs w:val="22"/>
          <w:highlight w:val="none"/>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20"/>
        <w:spacing w:line="560" w:lineRule="exact"/>
        <w:rPr>
          <w:color w:val="000000" w:themeColor="text1"/>
          <w:sz w:val="24"/>
          <w:highlight w:val="none"/>
          <w14:textFill>
            <w14:solidFill>
              <w14:schemeClr w14:val="tx1"/>
            </w14:solidFill>
          </w14:textFill>
        </w:rPr>
      </w:pPr>
      <w:r/>
      <w:bookmarkStart w:id="163" w:name="_Toc513029234"/>
      <w:r/>
      <w:bookmarkStart w:id="164" w:name="_Toc20823306"/>
      <w:r/>
      <w:bookmarkStart w:id="165" w:name="_Toc16938550"/>
      <w:r>
        <w:rPr>
          <w:rFonts w:hint="eastAsia"/>
          <w:color w:val="000000" w:themeColor="text1"/>
          <w:sz w:val="24"/>
          <w:highlight w:val="none"/>
          <w14:textFill>
            <w14:solidFill>
              <w14:schemeClr w14:val="tx1"/>
            </w14:solidFill>
          </w14:textFill>
        </w:rPr>
        <w:t xml:space="preserve">25.7投标人在开、评标全过程中应随时保持系统在线，及时在</w:t>
      </w:r>
      <w:r>
        <w:rPr>
          <w:rFonts w:hint="eastAsia"/>
          <w:color w:val="000000" w:themeColor="text1"/>
          <w:sz w:val="24"/>
          <w:szCs w:val="24"/>
          <w:highlight w:val="none"/>
          <w14:textFill>
            <w14:solidFill>
              <w14:schemeClr w14:val="tx1"/>
            </w14:solidFill>
          </w14:textFill>
        </w:rPr>
        <w:t xml:space="preserve">“苏采云”系统</w:t>
      </w:r>
      <w:r>
        <w:rPr>
          <w:rFonts w:hint="eastAsia"/>
          <w:color w:val="000000" w:themeColor="text1"/>
          <w:sz w:val="24"/>
          <w:highlight w:val="none"/>
          <w14:textFill>
            <w14:solidFill>
              <w14:schemeClr w14:val="tx1"/>
            </w14:solidFill>
          </w14:textFill>
        </w:rPr>
        <w:t xml:space="preserve">查阅</w:t>
      </w:r>
      <w:r>
        <w:rPr>
          <w:color w:val="000000" w:themeColor="text1"/>
          <w:sz w:val="24"/>
          <w:highlight w:val="none"/>
          <w14:textFill>
            <w14:solidFill>
              <w14:schemeClr w14:val="tx1"/>
            </w14:solidFill>
          </w14:textFill>
        </w:rPr>
        <w:t xml:space="preserve">、答复相关</w:t>
      </w:r>
      <w:r>
        <w:rPr>
          <w:rFonts w:hint="eastAsia"/>
          <w:color w:val="000000" w:themeColor="text1"/>
          <w:sz w:val="24"/>
          <w:highlight w:val="none"/>
          <w14:textFill>
            <w14:solidFill>
              <w14:schemeClr w14:val="tx1"/>
            </w14:solidFill>
          </w14:textFill>
        </w:rPr>
        <w:t xml:space="preserve">信息。</w:t>
      </w:r>
      <w:r/>
    </w:p>
    <w:p>
      <w:pPr>
        <w:pStyle w:val="1007"/>
        <w:ind w:firstLine="420"/>
        <w:spacing w:before="0" w:after="0" w:line="560" w:lineRule="exact"/>
        <w:rPr>
          <w:rFonts w:ascii="Times New Roman" w:hAnsi="Times New Roman"/>
          <w:b w:val="0"/>
          <w:bCs w:val="0"/>
          <w:color w:val="000000" w:themeColor="text1"/>
          <w:highlight w:val="none"/>
          <w14:textFill>
            <w14:solidFill>
              <w14:schemeClr w14:val="tx1"/>
            </w14:solidFill>
          </w14:textFill>
        </w:rPr>
      </w:pPr>
      <w:r>
        <w:rPr>
          <w:rFonts w:hint="eastAsia" w:ascii="Times New Roman" w:hAnsi="Times New Roman"/>
          <w:b w:val="0"/>
          <w:bCs w:val="0"/>
          <w:color w:val="000000" w:themeColor="text1"/>
          <w:highlight w:val="none"/>
          <w14:textFill>
            <w14:solidFill>
              <w14:schemeClr w14:val="tx1"/>
            </w14:solidFill>
          </w14:textFill>
        </w:rPr>
        <w:t xml:space="preserve">26、</w:t>
      </w:r>
      <w:bookmarkEnd w:id="163"/>
      <w:r/>
      <w:bookmarkEnd w:id="164"/>
      <w:r/>
      <w:bookmarkEnd w:id="165"/>
      <w:r>
        <w:rPr>
          <w:rFonts w:hint="eastAsia" w:ascii="Times New Roman" w:hAnsi="Times New Roman"/>
          <w:b w:val="0"/>
          <w:bCs w:val="0"/>
          <w:color w:val="000000" w:themeColor="text1"/>
          <w:highlight w:val="none"/>
          <w14:textFill>
            <w14:solidFill>
              <w14:schemeClr w14:val="tx1"/>
            </w14:solidFill>
          </w14:textFill>
        </w:rPr>
        <w:t xml:space="preserve">无效投标条款和废标条款</w:t>
      </w:r>
      <w:r/>
    </w:p>
    <w:p>
      <w:pPr>
        <w:ind w:firstLine="480"/>
        <w:spacing w:line="560" w:lineRule="exact"/>
        <w:rPr>
          <w:bCs/>
          <w:color w:val="000000" w:themeColor="text1"/>
          <w:sz w:val="24"/>
          <w:highlight w:val="none"/>
          <w14:textFill>
            <w14:solidFill>
              <w14:schemeClr w14:val="tx1"/>
            </w14:solidFill>
          </w14:textFill>
        </w:rPr>
      </w:pPr>
      <w:r/>
      <w:bookmarkStart w:id="166" w:name="_Toc16938551"/>
      <w:r/>
      <w:bookmarkStart w:id="167" w:name="_Toc20823307"/>
      <w:r/>
      <w:bookmarkStart w:id="168" w:name="_Toc513029235"/>
      <w:r>
        <w:rPr>
          <w:rFonts w:hint="eastAsia"/>
          <w:bCs/>
          <w:color w:val="000000" w:themeColor="text1"/>
          <w:sz w:val="24"/>
          <w:highlight w:val="none"/>
          <w14:textFill>
            <w14:solidFill>
              <w14:schemeClr w14:val="tx1"/>
            </w14:solidFill>
          </w14:textFill>
        </w:rPr>
        <w:t xml:space="preserve">26.1无效投标条款</w:t>
      </w:r>
      <w:r/>
    </w:p>
    <w:p>
      <w:pPr>
        <w:ind w:firstLine="480"/>
        <w:spacing w:line="560" w:lineRule="exact"/>
        <w:rPr>
          <w:bCs/>
          <w:color w:val="000000" w:themeColor="text1"/>
          <w:sz w:val="24"/>
          <w:szCs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w:t>
      </w:r>
      <w:r>
        <w:rPr>
          <w:rFonts w:hint="eastAsia"/>
          <w:bCs/>
          <w:color w:val="000000" w:themeColor="text1"/>
          <w:sz w:val="24"/>
          <w:szCs w:val="24"/>
          <w:highlight w:val="none"/>
          <w14:textFill>
            <w14:solidFill>
              <w14:schemeClr w14:val="tx1"/>
            </w14:solidFill>
          </w14:textFill>
        </w:rPr>
        <w:t xml:space="preserve">.1.1 投标人在</w:t>
      </w:r>
      <w:r>
        <w:rPr>
          <w:rFonts w:hint="eastAsia"/>
          <w:color w:val="000000" w:themeColor="text1"/>
          <w:sz w:val="24"/>
          <w:szCs w:val="24"/>
          <w:highlight w:val="none"/>
          <w14:textFill>
            <w14:solidFill>
              <w14:schemeClr w14:val="tx1"/>
            </w14:solidFill>
          </w14:textFill>
        </w:rPr>
        <w:t xml:space="preserve">“苏采云”系统</w:t>
      </w:r>
      <w:r>
        <w:rPr>
          <w:rFonts w:hint="eastAsia"/>
          <w:bCs/>
          <w:color w:val="000000" w:themeColor="text1"/>
          <w:sz w:val="24"/>
          <w:szCs w:val="24"/>
          <w:highlight w:val="none"/>
          <w14:textFill>
            <w14:solidFill>
              <w14:schemeClr w14:val="tx1"/>
            </w14:solidFill>
          </w14:textFill>
        </w:rPr>
        <w:t xml:space="preserve">规定的时间内未成功解密电子投标文件的。</w:t>
      </w:r>
      <w:r/>
    </w:p>
    <w:p>
      <w:pPr>
        <w:ind w:firstLine="48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26.1.2 投标人未按照招标文件要求上传电子投标文件的。</w:t>
      </w:r>
      <w:r/>
    </w:p>
    <w:p>
      <w:pPr>
        <w:ind w:firstLine="48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26.1.3同一投标人提交两个（含两个）以上不同的投标报价的。</w:t>
      </w:r>
      <w:r/>
    </w:p>
    <w:p>
      <w:pPr>
        <w:ind w:firstLine="48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26.1.4投标人不具备招标文件中规定资格要求的。</w:t>
      </w:r>
      <w:r/>
    </w:p>
    <w:p>
      <w:pPr>
        <w:ind w:firstLine="48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26.1.5投标人的报价超过了采购预算或最高限价的。</w:t>
      </w:r>
      <w:r/>
    </w:p>
    <w:p>
      <w:pPr>
        <w:ind w:firstLine="480"/>
        <w:spacing w:line="560" w:lineRule="exact"/>
        <w:rPr>
          <w:bCs/>
          <w:i/>
          <w:color w:val="000000" w:themeColor="text1"/>
          <w:sz w:val="24"/>
          <w:highlight w:val="none"/>
          <w:u w:val="singl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26.1.6未通过符合性审查的。</w:t>
      </w:r>
      <w:r/>
    </w:p>
    <w:p>
      <w:pPr>
        <w:ind w:firstLine="48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26.1.7不符合招标文件中规定的实质性要求和条件的（本招标文件中加★项为实质性要求和条件）。</w:t>
      </w:r>
      <w:r/>
    </w:p>
    <w:p>
      <w:pPr>
        <w:ind w:firstLine="48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26.1.9 投标文件含有采购人不能接受的附加条件的。</w:t>
      </w:r>
      <w:r/>
    </w:p>
    <w:p>
      <w:pPr>
        <w:ind w:firstLine="42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26.1.10评委会认为投标人的报价明显低于其他通过符合性审查投标人的报价，有可能影响产品质量或者不能诚信履约的，将通过</w:t>
      </w:r>
      <w:r>
        <w:rPr>
          <w:rFonts w:hint="eastAsia"/>
          <w:color w:val="000000" w:themeColor="text1"/>
          <w:sz w:val="24"/>
          <w:szCs w:val="24"/>
          <w:highlight w:val="none"/>
          <w14:textFill>
            <w14:solidFill>
              <w14:schemeClr w14:val="tx1"/>
            </w14:solidFill>
          </w14:textFill>
        </w:rPr>
        <w:t xml:space="preserve">“苏采云”系统</w:t>
      </w:r>
      <w:r>
        <w:rPr>
          <w:rFonts w:hint="eastAsia"/>
          <w:bCs/>
          <w:color w:val="000000" w:themeColor="text1"/>
          <w:sz w:val="24"/>
          <w:highlight w:val="none"/>
          <w14:textFill>
            <w14:solidFill>
              <w14:schemeClr w14:val="tx1"/>
            </w14:solidFill>
          </w14:textFill>
        </w:rPr>
        <w:t xml:space="preserve">要求其在合理的时间内提供说明，必要时提交相关证明材料；投标人不能证明其报价合理性的，评委会应当将其作为无效投标处理。</w:t>
      </w:r>
      <w:r/>
    </w:p>
    <w:p>
      <w:pPr>
        <w:ind w:firstLine="420"/>
        <w:spacing w:line="560" w:lineRule="exact"/>
        <w:rPr>
          <w:color w:val="000000" w:themeColor="text1"/>
          <w:highlight w:val="none"/>
          <w14:textFill>
            <w14:solidFill>
              <w14:schemeClr w14:val="tx1"/>
            </w14:solidFill>
          </w14:textFill>
        </w:rPr>
      </w:pPr>
      <w:r>
        <w:rPr>
          <w:rFonts w:hint="eastAsia"/>
          <w:color w:val="000000" w:themeColor="text1"/>
          <w:sz w:val="24"/>
          <w:highlight w:val="none"/>
          <w:lang w:val="zh-CN"/>
          <w14:textFill>
            <w14:solidFill>
              <w14:schemeClr w14:val="tx1"/>
            </w14:solidFill>
          </w14:textFill>
        </w:rPr>
        <w:t xml:space="preserve">26.1.11本项目采购产品被财政部、国家发展改革委、生态环境部等列入“节能产品品目清单”、“环境标志产品品目清单”强制采购范围，而投标供应商所投产品不在强制采购范围内的。（采购产品如属于政府强制采购节能产品品目清单范围内，采购文件中必须提供国家确定的认证机构出具的、处于有效期之内的该节能产品认证证书图片）。</w:t>
      </w:r>
      <w:r/>
    </w:p>
    <w:p>
      <w:pPr>
        <w:ind w:firstLine="48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26.1.12 投标文件未按照招标文件要求加盖CA</w:t>
      </w:r>
      <w:r>
        <w:rPr>
          <w:bCs/>
          <w:color w:val="000000" w:themeColor="text1"/>
          <w:sz w:val="24"/>
          <w:highlight w:val="none"/>
          <w14:textFill>
            <w14:solidFill>
              <w14:schemeClr w14:val="tx1"/>
            </w14:solidFill>
          </w14:textFill>
        </w:rPr>
        <w:t xml:space="preserve">电子公章的</w:t>
      </w:r>
      <w:r>
        <w:rPr>
          <w:rFonts w:hint="eastAsia"/>
          <w:bCs/>
          <w:color w:val="000000" w:themeColor="text1"/>
          <w:sz w:val="24"/>
          <w:highlight w:val="none"/>
          <w14:textFill>
            <w14:solidFill>
              <w14:schemeClr w14:val="tx1"/>
            </w14:solidFill>
          </w14:textFill>
        </w:rPr>
        <w:t xml:space="preserve">。</w:t>
      </w:r>
      <w:r/>
    </w:p>
    <w:p>
      <w:pPr>
        <w:ind w:firstLine="48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26.1.13其他法律法规及本招标文件规定的属于无效投标的情形。</w:t>
      </w:r>
      <w:r/>
    </w:p>
    <w:p>
      <w:pPr>
        <w:ind w:firstLine="48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26.2废标条款</w:t>
      </w:r>
      <w:r/>
    </w:p>
    <w:p>
      <w:pPr>
        <w:ind w:firstLine="48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26.2.1符合专业条件的投标人或者对招标文件作实质响应的投标人不足三家的。</w:t>
      </w:r>
      <w:r/>
    </w:p>
    <w:p>
      <w:pPr>
        <w:ind w:firstLine="48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26.2.2出现影响采购公正的违法、违规行为的。</w:t>
      </w:r>
      <w:r/>
    </w:p>
    <w:p>
      <w:pPr>
        <w:ind w:firstLine="48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26.2.3因重大变故，采购任务取消的。</w:t>
      </w:r>
      <w:r/>
    </w:p>
    <w:p>
      <w:pPr>
        <w:ind w:firstLine="48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26.2.4评委会认定招标文件存在歧义、重大缺陷导致评审工作无法进行。</w:t>
      </w:r>
      <w:r/>
    </w:p>
    <w:p>
      <w:pPr>
        <w:ind w:firstLine="48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26.2.5 因</w:t>
      </w:r>
      <w:r>
        <w:rPr>
          <w:rFonts w:hint="eastAsia"/>
          <w:color w:val="000000" w:themeColor="text1"/>
          <w:sz w:val="24"/>
          <w:szCs w:val="24"/>
          <w:highlight w:val="none"/>
          <w14:textFill>
            <w14:solidFill>
              <w14:schemeClr w14:val="tx1"/>
            </w14:solidFill>
          </w14:textFill>
        </w:rPr>
        <w:t xml:space="preserve">“苏采云”系统故障</w:t>
      </w:r>
      <w:r>
        <w:rPr>
          <w:bCs/>
          <w:color w:val="000000" w:themeColor="text1"/>
          <w:sz w:val="24"/>
          <w:highlight w:val="none"/>
          <w14:textFill>
            <w14:solidFill>
              <w14:schemeClr w14:val="tx1"/>
            </w14:solidFill>
          </w14:textFill>
        </w:rPr>
        <w:t xml:space="preserve">原因造成开标不成功</w:t>
      </w:r>
      <w:r>
        <w:rPr>
          <w:rFonts w:hint="eastAsia"/>
          <w:bCs/>
          <w:color w:val="000000" w:themeColor="text1"/>
          <w:sz w:val="24"/>
          <w:highlight w:val="none"/>
          <w14:textFill>
            <w14:solidFill>
              <w14:schemeClr w14:val="tx1"/>
            </w14:solidFill>
          </w14:textFill>
        </w:rPr>
        <w:t xml:space="preserve">的</w:t>
      </w:r>
      <w:r>
        <w:rPr>
          <w:bCs/>
          <w:color w:val="000000" w:themeColor="text1"/>
          <w:sz w:val="24"/>
          <w:highlight w:val="none"/>
          <w14:textFill>
            <w14:solidFill>
              <w14:schemeClr w14:val="tx1"/>
            </w14:solidFill>
          </w14:textFill>
        </w:rPr>
        <w:t xml:space="preserve">。</w:t>
      </w:r>
      <w:r/>
    </w:p>
    <w:p>
      <w:pPr>
        <w:ind w:firstLine="48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26.3 投标截止时间结束后参加投标的投标人不足三家的处理：</w:t>
      </w:r>
      <w:r/>
    </w:p>
    <w:p>
      <w:pPr>
        <w:ind w:firstLine="48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26.3.1如出现投标截止时间结束后参加投标的投标人或者在评标期间对招标文件做出实质响应的投标人不足三家情况，按政府采购相关规定执行。</w:t>
      </w:r>
      <w:r/>
    </w:p>
    <w:p>
      <w:pPr>
        <w:pStyle w:val="1005"/>
        <w:ind w:firstLine="482"/>
        <w:spacing w:before="0" w:after="0" w:line="560" w:lineRule="exact"/>
        <w:rPr>
          <w:color w:val="000000" w:themeColor="text1"/>
          <w:highlight w:val="none"/>
          <w14:textFill>
            <w14:solidFill>
              <w14:schemeClr w14:val="tx1"/>
            </w14:solidFill>
          </w14:textFill>
        </w:rPr>
      </w:pPr>
      <w:r/>
      <w:bookmarkStart w:id="169" w:name="_Toc120614219"/>
      <w:r>
        <w:rPr>
          <w:rFonts w:hint="eastAsia"/>
          <w:color w:val="000000" w:themeColor="text1"/>
          <w:highlight w:val="none"/>
          <w14:textFill>
            <w14:solidFill>
              <w14:schemeClr w14:val="tx1"/>
            </w14:solidFill>
          </w14:textFill>
        </w:rPr>
        <w:t xml:space="preserve">六、</w:t>
      </w:r>
      <w:bookmarkEnd w:id="166"/>
      <w:r/>
      <w:bookmarkEnd w:id="167"/>
      <w:r/>
      <w:bookmarkEnd w:id="168"/>
      <w:r>
        <w:rPr>
          <w:rFonts w:hint="eastAsia"/>
          <w:color w:val="000000" w:themeColor="text1"/>
          <w:highlight w:val="none"/>
          <w14:textFill>
            <w14:solidFill>
              <w14:schemeClr w14:val="tx1"/>
            </w14:solidFill>
          </w14:textFill>
        </w:rPr>
        <w:t xml:space="preserve">定标</w:t>
      </w:r>
      <w:bookmarkEnd w:id="169"/>
      <w:r/>
      <w:r/>
    </w:p>
    <w:p>
      <w:pPr>
        <w:pStyle w:val="1007"/>
        <w:ind w:firstLine="600"/>
        <w:spacing w:before="0" w:after="0" w:line="560" w:lineRule="exact"/>
        <w:rPr>
          <w:rFonts w:ascii="Times New Roman" w:hAnsi="Times New Roman" w:cs="Times New Roman"/>
          <w:b w:val="0"/>
          <w:color w:val="000000" w:themeColor="text1"/>
          <w:sz w:val="30"/>
          <w:szCs w:val="30"/>
          <w:highlight w:val="none"/>
          <w14:textFill>
            <w14:solidFill>
              <w14:schemeClr w14:val="tx1"/>
            </w14:solidFill>
          </w14:textFill>
        </w:rPr>
      </w:pPr>
      <w:r/>
      <w:bookmarkStart w:id="170" w:name="_Toc513029238"/>
      <w:r/>
      <w:bookmarkStart w:id="171" w:name="_Toc20823310"/>
      <w:r/>
      <w:bookmarkStart w:id="172" w:name="_Toc16938554"/>
      <w:r>
        <w:rPr>
          <w:rFonts w:hint="eastAsia" w:ascii="Times New Roman" w:hAnsi="Times New Roman" w:cs="Times New Roman"/>
          <w:b w:val="0"/>
          <w:color w:val="000000" w:themeColor="text1"/>
          <w:sz w:val="30"/>
          <w:szCs w:val="30"/>
          <w:highlight w:val="none"/>
          <w14:textFill>
            <w14:solidFill>
              <w14:schemeClr w14:val="tx1"/>
            </w14:solidFill>
          </w14:textFill>
        </w:rPr>
        <w:t xml:space="preserve">27、</w:t>
      </w:r>
      <w:bookmarkEnd w:id="170"/>
      <w:r>
        <w:rPr>
          <w:rFonts w:hint="eastAsia" w:ascii="Times New Roman" w:hAnsi="Times New Roman" w:cs="Times New Roman"/>
          <w:b w:val="0"/>
          <w:color w:val="000000" w:themeColor="text1"/>
          <w:sz w:val="30"/>
          <w:szCs w:val="30"/>
          <w:highlight w:val="none"/>
          <w14:textFill>
            <w14:solidFill>
              <w14:schemeClr w14:val="tx1"/>
            </w14:solidFill>
          </w14:textFill>
        </w:rPr>
        <w:t xml:space="preserve">确定</w:t>
      </w:r>
      <w:bookmarkEnd w:id="171"/>
      <w:r/>
      <w:bookmarkEnd w:id="172"/>
      <w:r>
        <w:rPr>
          <w:rFonts w:hint="eastAsia" w:ascii="Times New Roman" w:hAnsi="Times New Roman" w:cs="Times New Roman"/>
          <w:b w:val="0"/>
          <w:color w:val="000000" w:themeColor="text1"/>
          <w:sz w:val="30"/>
          <w:szCs w:val="30"/>
          <w:highlight w:val="none"/>
          <w14:textFill>
            <w14:solidFill>
              <w14:schemeClr w14:val="tx1"/>
            </w14:solidFill>
          </w14:textFill>
        </w:rPr>
        <w:t xml:space="preserve">中标单位</w:t>
      </w:r>
      <w:r/>
    </w:p>
    <w:p>
      <w:pPr>
        <w:ind w:firstLine="48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27.1中标候选人的选取原则和数量见招标文件第五章规定。 </w:t>
      </w:r>
      <w:r/>
    </w:p>
    <w:p>
      <w:pPr>
        <w:ind w:firstLine="480"/>
        <w:spacing w:line="560" w:lineRule="exact"/>
        <w:rPr>
          <w:bCs/>
          <w:color w:val="000000" w:themeColor="text1"/>
          <w:sz w:val="24"/>
          <w:highlight w:val="none"/>
          <w:lang w:val="zh-CN"/>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27.2 按以下第</w:t>
      </w:r>
      <w:r>
        <w:rPr>
          <w:rFonts w:hint="eastAsia"/>
          <w:bCs/>
          <w:color w:val="000000" w:themeColor="text1"/>
          <w:sz w:val="24"/>
          <w:highlight w:val="none"/>
          <w:u w:val="single"/>
          <w:lang w:val="zh-CN"/>
          <w14:textFill>
            <w14:solidFill>
              <w14:schemeClr w14:val="tx1"/>
            </w14:solidFill>
          </w14:textFill>
        </w:rPr>
        <w:t xml:space="preserve">（</w:t>
      </w:r>
      <w:r>
        <w:rPr>
          <w:bCs/>
          <w:color w:val="000000" w:themeColor="text1"/>
          <w:sz w:val="24"/>
          <w:highlight w:val="none"/>
          <w:u w:val="single"/>
          <w14:textFill>
            <w14:solidFill>
              <w14:schemeClr w14:val="tx1"/>
            </w14:solidFill>
          </w14:textFill>
        </w:rPr>
        <w:t xml:space="preserve">2</w:t>
      </w:r>
      <w:r>
        <w:rPr>
          <w:rFonts w:hint="eastAsia"/>
          <w:bCs/>
          <w:color w:val="000000" w:themeColor="text1"/>
          <w:sz w:val="24"/>
          <w:highlight w:val="none"/>
          <w:u w:val="single"/>
          <w:lang w:val="zh-CN"/>
          <w14:textFill>
            <w14:solidFill>
              <w14:schemeClr w14:val="tx1"/>
            </w14:solidFill>
          </w14:textFill>
        </w:rPr>
        <w:t xml:space="preserve">）</w:t>
      </w:r>
      <w:r>
        <w:rPr>
          <w:rFonts w:hint="eastAsia"/>
          <w:bCs/>
          <w:color w:val="000000" w:themeColor="text1"/>
          <w:sz w:val="24"/>
          <w:highlight w:val="none"/>
          <w:lang w:val="zh-CN"/>
          <w14:textFill>
            <w14:solidFill>
              <w14:schemeClr w14:val="tx1"/>
            </w14:solidFill>
          </w14:textFill>
        </w:rPr>
        <w:t xml:space="preserve">种方式确定中标人</w:t>
      </w:r>
      <w:r/>
    </w:p>
    <w:p>
      <w:pPr>
        <w:ind w:firstLine="480"/>
        <w:spacing w:line="560" w:lineRule="exact"/>
        <w:rPr>
          <w:bCs/>
          <w:color w:val="000000" w:themeColor="text1"/>
          <w:sz w:val="24"/>
          <w:highlight w:val="none"/>
          <w:lang w:val="zh-CN"/>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（1）采购人按规定在评标委员会推荐的中标候选人中确定中标人；</w:t>
      </w:r>
      <w:r/>
    </w:p>
    <w:p>
      <w:pPr>
        <w:ind w:firstLine="480"/>
        <w:spacing w:line="560" w:lineRule="exact"/>
        <w:rPr>
          <w:bCs/>
          <w:color w:val="000000" w:themeColor="text1"/>
          <w:sz w:val="24"/>
          <w:highlight w:val="none"/>
          <w:lang w:val="zh-CN"/>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（2）采购人授权评标委员会直接确定中标人。</w:t>
      </w:r>
      <w:r/>
    </w:p>
    <w:p>
      <w:pPr>
        <w:ind w:firstLine="480"/>
        <w:spacing w:line="560" w:lineRule="exact"/>
        <w:rPr>
          <w:color w:val="000000" w:themeColor="text1"/>
          <w:highlight w:val="none"/>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按第</w:t>
      </w:r>
      <w:r>
        <w:rPr>
          <w:rFonts w:hint="eastAsia"/>
          <w:bCs/>
          <w:color w:val="000000" w:themeColor="text1"/>
          <w:sz w:val="24"/>
          <w:highlight w:val="none"/>
          <w14:textFill>
            <w14:solidFill>
              <w14:schemeClr w14:val="tx1"/>
            </w14:solidFill>
          </w14:textFill>
        </w:rPr>
        <w:t xml:space="preserve">1</w:t>
      </w:r>
      <w:r>
        <w:rPr>
          <w:rFonts w:hint="eastAsia"/>
          <w:bCs/>
          <w:color w:val="000000" w:themeColor="text1"/>
          <w:sz w:val="24"/>
          <w:highlight w:val="none"/>
          <w:lang w:val="zh-CN"/>
          <w14:textFill>
            <w14:solidFill>
              <w14:schemeClr w14:val="tx1"/>
            </w14:solidFill>
          </w14:textFill>
        </w:rPr>
        <w:t xml:space="preserve">种方式确定中标人的，采购代理机构自评审结束之日起两个工作日内将评审报告送交采购人，采购人自收到评审报告之日起五个工作日内在评审报告推荐的中标候选人中按顺序确定中标人。</w:t>
      </w:r>
      <w:r/>
    </w:p>
    <w:p>
      <w:pPr>
        <w:ind w:firstLine="480"/>
        <w:spacing w:line="560" w:lineRule="exact"/>
        <w:rPr>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27.3 </w:t>
      </w:r>
      <w:r>
        <w:rPr>
          <w:rFonts w:hint="eastAsia"/>
          <w:color w:val="000000" w:themeColor="text1"/>
          <w:sz w:val="24"/>
          <w:szCs w:val="24"/>
          <w:highlight w:val="none"/>
          <w14:textFill>
            <w14:solidFill>
              <w14:schemeClr w14:val="tx1"/>
            </w14:solidFill>
          </w14:textFill>
        </w:rPr>
        <w:t xml:space="preserve">采购代理机构将在“宿迁市政府采购网”发布中标公告，公告期限为1个工作日。</w:t>
      </w:r>
      <w:r/>
    </w:p>
    <w:p>
      <w:pPr>
        <w:ind w:firstLine="48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27.4  若有充分证据证明，中标人出现下列情况之一的，一经查实，将被取消中标资格：</w:t>
      </w:r>
      <w:r/>
    </w:p>
    <w:p>
      <w:pPr>
        <w:ind w:firstLine="48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27.4.1提供虚假材料谋取中标的。</w:t>
      </w:r>
      <w:r/>
    </w:p>
    <w:p>
      <w:pPr>
        <w:ind w:firstLine="48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27.4.2向采购人、采购代理机构行贿或者提供其他不正当利益的。</w:t>
      </w:r>
      <w:r/>
    </w:p>
    <w:p>
      <w:pPr>
        <w:ind w:firstLine="48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27.4.3属于本文件规定的无效条件，但在评标过程中又未被评委会发现的。</w:t>
      </w:r>
      <w:r/>
    </w:p>
    <w:p>
      <w:pPr>
        <w:ind w:firstLine="48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27.4.4与采购人或者其他投标人恶意串通的。</w:t>
      </w:r>
      <w:r/>
    </w:p>
    <w:p>
      <w:pPr>
        <w:ind w:firstLine="48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27.4.5采取不正当手段诋毁、排挤其他投标人的。</w:t>
      </w:r>
      <w:r/>
    </w:p>
    <w:p>
      <w:pPr>
        <w:ind w:firstLine="480"/>
        <w:spacing w:line="560" w:lineRule="exact"/>
        <w:rPr>
          <w:color w:val="000000" w:themeColor="text1"/>
          <w:sz w:val="24"/>
          <w:szCs w:val="24"/>
          <w:highlight w:val="none"/>
          <w14:textFill>
            <w14:solidFill>
              <w14:schemeClr w14:val="tx1"/>
            </w14:solidFill>
          </w14:textFill>
        </w:rPr>
      </w:pPr>
      <w:r/>
      <w:bookmarkStart w:id="173" w:name="_Toc200451960"/>
      <w:r>
        <w:rPr>
          <w:rFonts w:hint="eastAsia"/>
          <w:color w:val="000000" w:themeColor="text1"/>
          <w:sz w:val="24"/>
          <w:szCs w:val="24"/>
          <w:highlight w:val="none"/>
          <w14:textFill>
            <w14:solidFill>
              <w14:schemeClr w14:val="tx1"/>
            </w14:solidFill>
          </w14:textFill>
        </w:rPr>
        <w:t xml:space="preserve">27.5 </w:t>
      </w:r>
      <w:r>
        <w:rPr>
          <w:rFonts w:cs="宋体"/>
          <w:color w:val="000000" w:themeColor="text1"/>
          <w:sz w:val="24"/>
          <w:szCs w:val="24"/>
          <w:highlight w:val="none"/>
          <w14:textFill>
            <w14:solidFill>
              <w14:schemeClr w14:val="tx1"/>
            </w14:solidFill>
          </w14:textFill>
        </w:rPr>
        <w:t xml:space="preserve">有下列情形之一的，</w:t>
      </w:r>
      <w:r>
        <w:rPr>
          <w:rFonts w:hint="eastAsia" w:cs="宋体"/>
          <w:color w:val="000000" w:themeColor="text1"/>
          <w:sz w:val="24"/>
          <w:szCs w:val="24"/>
          <w:highlight w:val="none"/>
          <w14:textFill>
            <w14:solidFill>
              <w14:schemeClr w14:val="tx1"/>
            </w14:solidFill>
          </w14:textFill>
        </w:rPr>
        <w:t xml:space="preserve">视为投标人</w:t>
      </w:r>
      <w:r>
        <w:rPr>
          <w:rFonts w:cs="宋体"/>
          <w:color w:val="000000" w:themeColor="text1"/>
          <w:sz w:val="24"/>
          <w:szCs w:val="24"/>
          <w:highlight w:val="none"/>
          <w14:textFill>
            <w14:solidFill>
              <w14:schemeClr w14:val="tx1"/>
            </w14:solidFill>
          </w14:textFill>
        </w:rPr>
        <w:t xml:space="preserve">串通</w:t>
      </w:r>
      <w:r>
        <w:rPr>
          <w:rFonts w:hint="eastAsia" w:cs="宋体"/>
          <w:color w:val="000000" w:themeColor="text1"/>
          <w:sz w:val="24"/>
          <w:szCs w:val="24"/>
          <w:highlight w:val="none"/>
          <w14:textFill>
            <w14:solidFill>
              <w14:schemeClr w14:val="tx1"/>
            </w14:solidFill>
          </w14:textFill>
        </w:rPr>
        <w:t xml:space="preserve">投标，投标无效：</w:t>
      </w:r>
      <w:r/>
    </w:p>
    <w:p>
      <w:pPr>
        <w:ind w:firstLine="48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27.5.1不同投标人的投标文件由同一单位或者个人编制。</w:t>
      </w:r>
      <w:r/>
    </w:p>
    <w:p>
      <w:pPr>
        <w:ind w:firstLine="48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27.5.2不同投标人委托同一单位或者个人办理投标事宜。</w:t>
      </w:r>
      <w:r/>
    </w:p>
    <w:p>
      <w:pPr>
        <w:ind w:firstLine="48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27.5.3 不同投标人的投标文件载明的项目管理成员或者联系人员为同一人。</w:t>
      </w:r>
      <w:r/>
    </w:p>
    <w:p>
      <w:pPr>
        <w:ind w:firstLine="48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27.5.4不同投标人的投标文件异常一致或者投标报价呈规律性差异。</w:t>
      </w:r>
      <w:r/>
    </w:p>
    <w:p>
      <w:pPr>
        <w:pStyle w:val="1007"/>
        <w:ind w:firstLine="600"/>
        <w:spacing w:before="0" w:after="0" w:line="560" w:lineRule="exact"/>
        <w:rPr>
          <w:rFonts w:ascii="Times New Roman" w:hAnsi="Times New Roman" w:cs="Times New Roman"/>
          <w:b w:val="0"/>
          <w:color w:val="000000" w:themeColor="text1"/>
          <w:sz w:val="30"/>
          <w:szCs w:val="30"/>
          <w:highlight w:val="none"/>
          <w14:textFill>
            <w14:solidFill>
              <w14:schemeClr w14:val="tx1"/>
            </w14:solidFill>
          </w14:textFill>
        </w:rPr>
      </w:pPr>
      <w:r>
        <w:rPr>
          <w:rFonts w:hint="eastAsia" w:ascii="Times New Roman" w:hAnsi="Times New Roman" w:cs="Times New Roman"/>
          <w:b w:val="0"/>
          <w:color w:val="000000" w:themeColor="text1"/>
          <w:sz w:val="30"/>
          <w:szCs w:val="30"/>
          <w:highlight w:val="none"/>
          <w14:textFill>
            <w14:solidFill>
              <w14:schemeClr w14:val="tx1"/>
            </w14:solidFill>
          </w14:textFill>
        </w:rPr>
        <w:t xml:space="preserve">28、质疑处理</w:t>
      </w:r>
      <w:bookmarkEnd w:id="173"/>
      <w:r/>
      <w:r/>
    </w:p>
    <w:p>
      <w:pPr>
        <w:ind w:firstLine="48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28.1 提出质疑的投标人应当是参与所质疑项目采购活动的投标人。潜在投标人依法获取其可质疑的采购文件的，可以对采购文件提出质疑。</w:t>
      </w:r>
      <w:r/>
    </w:p>
    <w:p>
      <w:pPr>
        <w:ind w:firstLine="48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560" w:lineRule="exact"/>
        <w:rPr>
          <w:rFonts w:cs="宋体"/>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28.2.1</w:t>
      </w:r>
      <w:r>
        <w:rPr>
          <w:rFonts w:cs="宋体"/>
          <w:color w:val="000000" w:themeColor="text1"/>
          <w:sz w:val="24"/>
          <w:szCs w:val="24"/>
          <w:highlight w:val="none"/>
          <w14:textFill>
            <w14:solidFill>
              <w14:schemeClr w14:val="tx1"/>
            </w14:solidFill>
          </w14:textFill>
        </w:rPr>
        <w:t xml:space="preserve">对可以质疑的采购文件提出质疑的，为收到采购文件之日或者采购文件公告期限届满之日；</w:t>
      </w:r>
      <w:r/>
    </w:p>
    <w:p>
      <w:pPr>
        <w:ind w:firstLine="480"/>
        <w:spacing w:line="560" w:lineRule="exact"/>
        <w:rPr>
          <w:rFonts w:cs="宋体"/>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28.2.2</w:t>
      </w:r>
      <w:r>
        <w:rPr>
          <w:rFonts w:cs="宋体"/>
          <w:color w:val="000000" w:themeColor="text1"/>
          <w:sz w:val="24"/>
          <w:szCs w:val="24"/>
          <w:highlight w:val="none"/>
          <w14:textFill>
            <w14:solidFill>
              <w14:schemeClr w14:val="tx1"/>
            </w14:solidFill>
          </w14:textFill>
        </w:rPr>
        <w:t xml:space="preserve">对采购过程提出质疑的，为各采购程序环节结束之日；</w:t>
      </w:r>
      <w:r/>
    </w:p>
    <w:p>
      <w:pPr>
        <w:ind w:firstLine="480"/>
        <w:spacing w:line="560" w:lineRule="exact"/>
        <w:rPr>
          <w:rFonts w:cs="宋体"/>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28.2.3</w:t>
      </w:r>
      <w:r>
        <w:rPr>
          <w:rFonts w:cs="宋体"/>
          <w:color w:val="000000" w:themeColor="text1"/>
          <w:sz w:val="24"/>
          <w:szCs w:val="24"/>
          <w:highlight w:val="none"/>
          <w14:textFill>
            <w14:solidFill>
              <w14:schemeClr w14:val="tx1"/>
            </w14:solidFill>
          </w14:textFill>
        </w:rPr>
        <w:t xml:space="preserve">对中标或者成交结果提出质疑的，为中标或者成交结果公告期限届满之日。</w:t>
      </w:r>
      <w:r/>
    </w:p>
    <w:p>
      <w:pPr>
        <w:ind w:firstLine="480"/>
        <w:spacing w:line="560" w:lineRule="exact"/>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投标人应当在法定质疑期内一次性提出针对同一采购程序环节的质疑。投标人如在法定期限内对同一采购程序环节提出多次质疑的，采购代理机构、</w:t>
      </w:r>
      <w:r>
        <w:rPr>
          <w:rFonts w:cs="宋体"/>
          <w:color w:val="000000" w:themeColor="text1"/>
          <w:sz w:val="24"/>
          <w:szCs w:val="24"/>
          <w:highlight w:val="none"/>
          <w14:textFill>
            <w14:solidFill>
              <w14:schemeClr w14:val="tx1"/>
            </w14:solidFill>
          </w14:textFill>
        </w:rPr>
        <w:t xml:space="preserve">采购人</w:t>
      </w:r>
      <w:r>
        <w:rPr>
          <w:rFonts w:hint="eastAsia" w:cs="宋体"/>
          <w:color w:val="000000" w:themeColor="text1"/>
          <w:sz w:val="24"/>
          <w:szCs w:val="24"/>
          <w:highlight w:val="none"/>
          <w14:textFill>
            <w14:solidFill>
              <w14:schemeClr w14:val="tx1"/>
            </w14:solidFill>
          </w14:textFill>
        </w:rPr>
        <w:t xml:space="preserve">将只对投标人第一次质疑作出答复。</w:t>
      </w:r>
      <w:r/>
    </w:p>
    <w:p>
      <w:pPr>
        <w:ind w:firstLine="48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28</w:t>
      </w:r>
      <w:r>
        <w:rPr>
          <w:rFonts w:hint="eastAsia"/>
          <w:color w:val="000000" w:themeColor="text1"/>
          <w:sz w:val="24"/>
          <w:szCs w:val="24"/>
          <w:highlight w:val="none"/>
          <w14:textFill>
            <w14:solidFill>
              <w14:schemeClr w14:val="tx1"/>
            </w14:solidFill>
          </w14:textFill>
        </w:rPr>
        <w:t xml:space="preserve">.4 供应商应以书面形式向采购人或者其委托的采购代理机构提出质疑。质疑超出采购机构代理范围的，供应商应当向采购人提出。</w:t>
      </w:r>
      <w:r/>
    </w:p>
    <w:p>
      <w:pPr>
        <w:ind w:firstLine="48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接收质疑函的方式：</w:t>
      </w:r>
      <w:r>
        <w:rPr>
          <w:rFonts w:hint="eastAsia"/>
          <w:color w:val="000000" w:themeColor="text1"/>
          <w:sz w:val="24"/>
          <w:szCs w:val="24"/>
          <w:highlight w:val="none"/>
          <w:u w:val="single"/>
          <w14:textFill>
            <w14:solidFill>
              <w14:schemeClr w14:val="tx1"/>
            </w14:solidFill>
          </w14:textFill>
        </w:rPr>
        <w:t xml:space="preserve">现场接收或邮寄接收。</w:t>
      </w:r>
      <w:r/>
    </w:p>
    <w:p>
      <w:pPr>
        <w:ind w:firstLine="48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联系部门：</w:t>
      </w:r>
      <w:r>
        <w:rPr>
          <w:rFonts w:hint="eastAsia"/>
          <w:color w:val="000000" w:themeColor="text1"/>
          <w:sz w:val="24"/>
          <w:szCs w:val="24"/>
          <w:highlight w:val="none"/>
          <w:u w:val="single"/>
          <w14:textFill>
            <w14:solidFill>
              <w14:schemeClr w14:val="tx1"/>
            </w14:solidFill>
          </w14:textFill>
        </w:rPr>
        <w:t xml:space="preserve">南京建凯建设项目管理有限公司或泗阳县自然资源和规划局</w:t>
      </w:r>
      <w:r/>
    </w:p>
    <w:p>
      <w:pPr>
        <w:ind w:firstLine="48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联系电话：</w:t>
      </w:r>
      <w:r>
        <w:rPr>
          <w:rFonts w:hint="eastAsia"/>
          <w:color w:val="000000" w:themeColor="text1"/>
          <w:sz w:val="24"/>
          <w:szCs w:val="24"/>
          <w:highlight w:val="none"/>
          <w:u w:val="single"/>
          <w14:textFill>
            <w14:solidFill>
              <w14:schemeClr w14:val="tx1"/>
            </w14:solidFill>
          </w14:textFill>
        </w:rPr>
        <w:t xml:space="preserve">15366966896或13951397755</w:t>
      </w:r>
      <w:r/>
    </w:p>
    <w:p>
      <w:pPr>
        <w:ind w:firstLine="480"/>
        <w:spacing w:line="560" w:lineRule="exact"/>
        <w:rPr>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通讯地址：</w:t>
      </w:r>
      <w:r>
        <w:rPr>
          <w:rFonts w:hint="eastAsia"/>
          <w:color w:val="000000" w:themeColor="text1"/>
          <w:sz w:val="24"/>
          <w:szCs w:val="24"/>
          <w:highlight w:val="none"/>
          <w:u w:val="single"/>
          <w14:textFill>
            <w14:solidFill>
              <w14:schemeClr w14:val="tx1"/>
            </w14:solidFill>
          </w14:textFill>
        </w:rPr>
        <w:t xml:space="preserve">泗阳县市民东路与运河大道交叉口正南方向米仓408室或宿迁市泗阳县众兴镇双子楼东楼</w:t>
      </w:r>
      <w:r/>
    </w:p>
    <w:p>
      <w:pPr>
        <w:ind w:firstLine="48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28.5 以下情形的质疑不予受理</w:t>
      </w:r>
      <w:r/>
    </w:p>
    <w:p>
      <w:pPr>
        <w:ind w:firstLine="48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28.5.1 内容不符合《政府采购质疑和投诉办法》第十二条规定的质疑。</w:t>
      </w:r>
      <w:r/>
    </w:p>
    <w:p>
      <w:pPr>
        <w:ind w:firstLine="48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28.5.2 超出政府采购法定期限的质疑。</w:t>
      </w:r>
      <w:r/>
    </w:p>
    <w:p>
      <w:pPr>
        <w:ind w:firstLine="48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28.5.3 以传真、电子邮件等方式递交的非原件形式的质疑。</w:t>
      </w:r>
      <w:r/>
    </w:p>
    <w:p>
      <w:pPr>
        <w:ind w:firstLine="48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28.5.4 未参加投标活动的投标人或在投标活动中自身权益未受到损害的投标人所提出的质疑。</w:t>
      </w:r>
      <w:r/>
    </w:p>
    <w:p>
      <w:pPr>
        <w:ind w:firstLine="48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28.5.5投标人组成联合体参加投标，联合体中任何一方或多方未按要求签字、盖章、加盖公章的质疑。</w:t>
      </w:r>
      <w:r/>
    </w:p>
    <w:p>
      <w:pPr>
        <w:ind w:firstLine="468"/>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w:t>
      </w:r>
      <w:r>
        <w:rPr>
          <w:rFonts w:hint="eastAsia"/>
          <w:color w:val="000000" w:themeColor="text1"/>
          <w:sz w:val="24"/>
          <w:szCs w:val="24"/>
          <w:highlight w:val="none"/>
          <w14:textFill>
            <w14:solidFill>
              <w14:schemeClr w14:val="tx1"/>
            </w14:solidFill>
          </w14:textFill>
        </w:rPr>
        <w:t xml:space="preserve">8</w:t>
      </w:r>
      <w:r>
        <w:rPr>
          <w:color w:val="000000" w:themeColor="text1"/>
          <w:sz w:val="24"/>
          <w:szCs w:val="24"/>
          <w:highlight w:val="none"/>
          <w14:textFill>
            <w14:solidFill>
              <w14:schemeClr w14:val="tx1"/>
            </w14:solidFill>
          </w14:textFill>
        </w:rPr>
        <w:t xml:space="preserve">.7</w:t>
      </w:r>
      <w:r>
        <w:rPr>
          <w:rFonts w:hint="eastAsia"/>
          <w:color w:val="000000" w:themeColor="text1"/>
          <w:sz w:val="24"/>
          <w:szCs w:val="24"/>
          <w:highlight w:val="none"/>
          <w14:textFill>
            <w14:solidFill>
              <w14:schemeClr w14:val="tx1"/>
            </w14:solidFill>
          </w14:textFill>
        </w:rPr>
        <w:t xml:space="preserve">质疑供应商对采购人、采购代理机构的答复不满意，或者采购人、采购代理机构未在规定时间内作出答复的，可以在答复期满后15个工作日内向同级财政部门提起投诉。</w:t>
      </w:r>
      <w:r/>
    </w:p>
    <w:p>
      <w:pPr>
        <w:pStyle w:val="1007"/>
        <w:ind w:firstLine="600"/>
        <w:spacing w:before="0" w:after="0" w:line="560" w:lineRule="exact"/>
        <w:rPr>
          <w:rFonts w:ascii="Times New Roman" w:hAnsi="Times New Roman" w:cs="Times New Roman"/>
          <w:b w:val="0"/>
          <w:color w:val="000000" w:themeColor="text1"/>
          <w:sz w:val="30"/>
          <w:szCs w:val="30"/>
          <w:highlight w:val="none"/>
          <w14:textFill>
            <w14:solidFill>
              <w14:schemeClr w14:val="tx1"/>
            </w14:solidFill>
          </w14:textFill>
        </w:rPr>
      </w:pPr>
      <w:r>
        <w:rPr>
          <w:rFonts w:hint="eastAsia" w:ascii="Times New Roman" w:hAnsi="Times New Roman" w:cs="Times New Roman"/>
          <w:b w:val="0"/>
          <w:color w:val="000000" w:themeColor="text1"/>
          <w:sz w:val="30"/>
          <w:szCs w:val="30"/>
          <w:highlight w:val="none"/>
          <w14:textFill>
            <w14:solidFill>
              <w14:schemeClr w14:val="tx1"/>
            </w14:solidFill>
          </w14:textFill>
        </w:rPr>
        <w:t xml:space="preserve">29、中标通知书</w:t>
      </w:r>
      <w:r/>
    </w:p>
    <w:p>
      <w:pPr>
        <w:ind w:firstLine="60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29.l中标结果确定后，交易中心将向中标人发出中标通知书。请中标人使用CA数字证书登录“苏采云系统”及时下载中标通知书。中标供应商可自行下载打印《中标通知书》，《中标通知书》将作为授予合同资格的唯一合法依据。</w:t>
      </w:r>
      <w:r/>
    </w:p>
    <w:p>
      <w:pPr>
        <w:ind w:firstLine="60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29.</w:t>
      </w:r>
      <w:r>
        <w:rPr>
          <w:color w:val="000000" w:themeColor="text1"/>
          <w:sz w:val="24"/>
          <w:szCs w:val="24"/>
          <w:highlight w:val="none"/>
          <w14:textFill>
            <w14:solidFill>
              <w14:schemeClr w14:val="tx1"/>
            </w14:solidFill>
          </w14:textFill>
        </w:rPr>
        <w:t xml:space="preserve">2</w:t>
      </w:r>
      <w:r>
        <w:rPr>
          <w:rFonts w:hint="eastAsia"/>
          <w:color w:val="000000" w:themeColor="text1"/>
          <w:sz w:val="24"/>
          <w:szCs w:val="24"/>
          <w:highlight w:val="none"/>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1005"/>
        <w:spacing w:before="0" w:after="0" w:line="560" w:lineRule="exact"/>
        <w:rPr>
          <w:color w:val="000000" w:themeColor="text1"/>
          <w:highlight w:val="none"/>
          <w14:textFill>
            <w14:solidFill>
              <w14:schemeClr w14:val="tx1"/>
            </w14:solidFill>
          </w14:textFill>
        </w:rPr>
      </w:pPr>
      <w:r/>
      <w:bookmarkStart w:id="174" w:name="_Toc120614220"/>
      <w:r/>
      <w:bookmarkStart w:id="175" w:name="_Toc16938552"/>
      <w:r/>
      <w:bookmarkStart w:id="176" w:name="_Toc513029236"/>
      <w:r/>
      <w:bookmarkStart w:id="177" w:name="_Toc20823308"/>
      <w:r>
        <w:rPr>
          <w:rFonts w:hint="eastAsia"/>
          <w:color w:val="000000" w:themeColor="text1"/>
          <w:highlight w:val="none"/>
          <w14:textFill>
            <w14:solidFill>
              <w14:schemeClr w14:val="tx1"/>
            </w14:solidFill>
          </w14:textFill>
        </w:rPr>
        <w:t xml:space="preserve">七、授予合同</w:t>
      </w:r>
      <w:bookmarkEnd w:id="174"/>
      <w:r/>
      <w:bookmarkEnd w:id="175"/>
      <w:r/>
      <w:bookmarkEnd w:id="176"/>
      <w:r/>
      <w:bookmarkEnd w:id="177"/>
      <w:r/>
      <w:r/>
    </w:p>
    <w:p>
      <w:pPr>
        <w:pStyle w:val="1007"/>
        <w:ind w:firstLine="600"/>
        <w:spacing w:before="0" w:after="0" w:line="560" w:lineRule="exact"/>
        <w:rPr>
          <w:rFonts w:ascii="Times New Roman" w:hAnsi="Times New Roman" w:cs="Times New Roman"/>
          <w:b w:val="0"/>
          <w:color w:val="000000" w:themeColor="text1"/>
          <w:sz w:val="30"/>
          <w:szCs w:val="30"/>
          <w:highlight w:val="none"/>
          <w14:textFill>
            <w14:solidFill>
              <w14:schemeClr w14:val="tx1"/>
            </w14:solidFill>
          </w14:textFill>
        </w:rPr>
      </w:pPr>
      <w:r/>
      <w:bookmarkStart w:id="178" w:name="_Toc513029237"/>
      <w:r/>
      <w:bookmarkStart w:id="179" w:name="_Toc20823309"/>
      <w:r/>
      <w:bookmarkStart w:id="180" w:name="_Toc16938553"/>
      <w:r>
        <w:rPr>
          <w:rFonts w:hint="eastAsia" w:ascii="Times New Roman" w:hAnsi="Times New Roman" w:cs="Times New Roman"/>
          <w:b w:val="0"/>
          <w:color w:val="000000" w:themeColor="text1"/>
          <w:sz w:val="30"/>
          <w:szCs w:val="30"/>
          <w:highlight w:val="none"/>
          <w14:textFill>
            <w14:solidFill>
              <w14:schemeClr w14:val="tx1"/>
            </w14:solidFill>
          </w14:textFill>
        </w:rPr>
        <w:t xml:space="preserve">30. 签订合同</w:t>
      </w:r>
      <w:r/>
    </w:p>
    <w:p>
      <w:pPr>
        <w:ind w:firstLine="600"/>
        <w:spacing w:line="560" w:lineRule="exact"/>
        <w:rPr>
          <w:bCs/>
          <w:color w:val="000000" w:themeColor="text1"/>
          <w:sz w:val="24"/>
          <w:highlight w:val="none"/>
          <w:lang w:val="zh-CN"/>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30</w:t>
      </w:r>
      <w:r>
        <w:rPr>
          <w:rFonts w:hint="eastAsia"/>
          <w:color w:val="000000" w:themeColor="text1"/>
          <w:sz w:val="24"/>
          <w:szCs w:val="24"/>
          <w:highlight w:val="none"/>
          <w14:textFill>
            <w14:solidFill>
              <w14:schemeClr w14:val="tx1"/>
            </w14:solidFill>
          </w14:textFill>
        </w:rPr>
        <w:t xml:space="preserve">.l中标人应当在中标通知书发出之日起15日内，按照招标文件确定的事项与采购人签订政府采购合同。</w:t>
      </w:r>
      <w:r>
        <w:rPr>
          <w:rFonts w:hint="eastAsia"/>
          <w:bCs/>
          <w:color w:val="000000" w:themeColor="text1"/>
          <w:sz w:val="24"/>
          <w:highlight w:val="none"/>
          <w:lang w:val="zh-CN"/>
          <w14:textFill>
            <w14:solidFill>
              <w14:schemeClr w14:val="tx1"/>
            </w14:solidFill>
          </w14:textFill>
        </w:rPr>
        <w:t xml:space="preserve">并在签订之日起2个工作日内将政府采购合同在指定的媒体上公告，但政府采购合同中涉及国家秘密、商业秘密的内容除外。</w:t>
      </w:r>
      <w:r/>
    </w:p>
    <w:p>
      <w:pPr>
        <w:ind w:firstLine="60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30.2</w:t>
      </w:r>
      <w:r>
        <w:rPr>
          <w:rFonts w:hint="eastAsia"/>
          <w:b/>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招标文件、中标人的投标文件及招标过程中有关澄清、承诺文件均应作为合同附件。</w:t>
      </w:r>
      <w:r/>
    </w:p>
    <w:p>
      <w:pPr>
        <w:ind w:firstLine="60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60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30.4本项目的非主体、非关键性工作是否允许分包按以下第</w:t>
      </w:r>
      <w:r>
        <w:rPr>
          <w:rFonts w:hint="eastAsia"/>
          <w:color w:val="000000" w:themeColor="text1"/>
          <w:sz w:val="24"/>
          <w:szCs w:val="24"/>
          <w:highlight w:val="none"/>
          <w:u w:val="single"/>
          <w14:textFill>
            <w14:solidFill>
              <w14:schemeClr w14:val="tx1"/>
            </w14:solidFill>
          </w14:textFill>
        </w:rPr>
        <w:t xml:space="preserve">（2）</w:t>
      </w:r>
      <w:r>
        <w:rPr>
          <w:rFonts w:hint="eastAsia"/>
          <w:color w:val="000000" w:themeColor="text1"/>
          <w:sz w:val="24"/>
          <w:szCs w:val="24"/>
          <w:highlight w:val="none"/>
          <w14:textFill>
            <w14:solidFill>
              <w14:schemeClr w14:val="tx1"/>
            </w14:solidFill>
          </w14:textFill>
        </w:rPr>
        <w:t xml:space="preserve">种方式确定：</w:t>
      </w:r>
      <w:r/>
    </w:p>
    <w:p>
      <w:pPr>
        <w:ind w:firstLine="720"/>
        <w:spacing w:line="560" w:lineRule="exact"/>
        <w:rPr>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1.允许分包，允许大中型企业向一家或者多家小微企业分包，分包具体内容、金额或比例：</w:t>
      </w:r>
      <w:r>
        <w:rPr>
          <w:color w:val="000000" w:themeColor="text1"/>
          <w:sz w:val="24"/>
          <w:szCs w:val="24"/>
          <w:highlight w:val="none"/>
          <w:u w:val="single"/>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w:t>
      </w:r>
      <w:r/>
    </w:p>
    <w:p>
      <w:pPr>
        <w:ind w:firstLine="60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 2.不允许分包。未经采购人同意，成交供应商也不得采用分包形式履行合同,否则采购人有权终止合同。转包或分包造成采购人损失的，成交供应商应承担相应赔偿责任。</w:t>
      </w:r>
      <w:r/>
    </w:p>
    <w:p>
      <w:pPr>
        <w:ind w:firstLine="60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30.4履约保证金</w:t>
      </w:r>
      <w:r/>
    </w:p>
    <w:p>
      <w:pPr>
        <w:ind w:firstLine="600"/>
        <w:spacing w:line="560" w:lineRule="exact"/>
        <w:rPr>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 xml:space="preserve">本项目不收取履约保证金。</w:t>
      </w:r>
      <w:r/>
    </w:p>
    <w:p>
      <w:pPr>
        <w:pStyle w:val="1007"/>
        <w:ind w:firstLine="600"/>
        <w:spacing w:before="0" w:after="0" w:line="560" w:lineRule="exact"/>
        <w:rPr>
          <w:rFonts w:ascii="Times New Roman" w:hAnsi="Times New Roman" w:cs="Times New Roman"/>
          <w:b w:val="0"/>
          <w:color w:val="000000" w:themeColor="text1"/>
          <w:sz w:val="30"/>
          <w:szCs w:val="30"/>
          <w:highlight w:val="none"/>
          <w14:textFill>
            <w14:solidFill>
              <w14:schemeClr w14:val="tx1"/>
            </w14:solidFill>
          </w14:textFill>
        </w:rPr>
      </w:pPr>
      <w:r>
        <w:rPr>
          <w:rFonts w:hint="eastAsia" w:ascii="Times New Roman" w:hAnsi="Times New Roman" w:cs="Times New Roman"/>
          <w:b w:val="0"/>
          <w:color w:val="000000" w:themeColor="text1"/>
          <w:sz w:val="30"/>
          <w:szCs w:val="30"/>
          <w:highlight w:val="none"/>
          <w14:textFill>
            <w14:solidFill>
              <w14:schemeClr w14:val="tx1"/>
            </w14:solidFill>
          </w14:textFill>
        </w:rPr>
        <w:t xml:space="preserve">31、服务（包含与服务相关的货物）的追加</w:t>
      </w:r>
      <w:r/>
    </w:p>
    <w:p>
      <w:pPr>
        <w:ind w:firstLine="48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8"/>
      <w:r/>
      <w:bookmarkEnd w:id="179"/>
      <w:r/>
      <w:bookmarkEnd w:id="180"/>
      <w:r/>
      <w:r/>
    </w:p>
    <w:p>
      <w:pPr>
        <w:pStyle w:val="1007"/>
        <w:ind w:firstLine="600"/>
        <w:spacing w:before="0" w:after="0" w:line="560" w:lineRule="exact"/>
        <w:rPr>
          <w:rFonts w:ascii="Times New Roman" w:hAnsi="Times New Roman" w:cs="Times New Roman"/>
          <w:b w:val="0"/>
          <w:color w:val="000000" w:themeColor="text1"/>
          <w:sz w:val="30"/>
          <w:szCs w:val="30"/>
          <w:highlight w:val="none"/>
          <w14:textFill>
            <w14:solidFill>
              <w14:schemeClr w14:val="tx1"/>
            </w14:solidFill>
          </w14:textFill>
        </w:rPr>
      </w:pPr>
      <w:r/>
      <w:bookmarkStart w:id="181" w:name="_Toc120614221"/>
      <w:r/>
      <w:bookmarkStart w:id="182" w:name="_Toc513029242"/>
      <w:r/>
      <w:bookmarkStart w:id="183" w:name="_Toc20823314"/>
      <w:r/>
      <w:bookmarkStart w:id="184" w:name="_Toc479757207"/>
      <w:r/>
      <w:bookmarkStart w:id="185" w:name="_Toc16938558"/>
      <w:r>
        <w:rPr>
          <w:rFonts w:hint="eastAsia" w:ascii="Times New Roman" w:hAnsi="Times New Roman" w:cs="Times New Roman"/>
          <w:b w:val="0"/>
          <w:color w:val="000000" w:themeColor="text1"/>
          <w:sz w:val="30"/>
          <w:szCs w:val="30"/>
          <w:highlight w:val="none"/>
          <w14:textFill>
            <w14:solidFill>
              <w14:schemeClr w14:val="tx1"/>
            </w14:solidFill>
          </w14:textFill>
        </w:rPr>
        <w:t xml:space="preserve">32、政府采购履约资金扶持政策</w:t>
      </w:r>
      <w:r/>
    </w:p>
    <w:p>
      <w:pPr>
        <w:ind w:firstLine="480"/>
        <w:spacing w:line="560" w:lineRule="exact"/>
        <w:rPr>
          <w:bCs/>
          <w:color w:val="000000" w:themeColor="text1"/>
          <w:sz w:val="24"/>
          <w:highlight w:val="none"/>
          <w:lang w:val="zh-CN"/>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32.1依</w:t>
      </w:r>
      <w:r>
        <w:rPr>
          <w:rFonts w:hint="eastAsia"/>
          <w:bCs/>
          <w:color w:val="000000" w:themeColor="text1"/>
          <w:sz w:val="24"/>
          <w:highlight w:val="none"/>
          <w:lang w:val="zh-CN"/>
          <w14:textFill>
            <w14:solidFill>
              <w14:schemeClr w14:val="tx1"/>
            </w14:solidFill>
          </w14:textFill>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1007"/>
        <w:ind w:firstLine="602"/>
        <w:spacing w:before="0" w:after="0" w:line="560" w:lineRule="exact"/>
        <w:rPr>
          <w:rFonts w:ascii="Times New Roman" w:hAnsi="Times New Roman" w:cs="Times New Roman"/>
          <w:color w:val="000000" w:themeColor="text1"/>
          <w:sz w:val="30"/>
          <w:szCs w:val="30"/>
          <w:highlight w:val="none"/>
          <w14:textFill>
            <w14:solidFill>
              <w14:schemeClr w14:val="tx1"/>
            </w14:solidFill>
          </w14:textFill>
        </w:rPr>
      </w:pPr>
      <w:r>
        <w:rPr>
          <w:rFonts w:hint="eastAsia" w:ascii="Times New Roman" w:hAnsi="Times New Roman" w:cs="Times New Roman"/>
          <w:color w:val="000000" w:themeColor="text1"/>
          <w:sz w:val="30"/>
          <w:szCs w:val="30"/>
          <w:highlight w:val="none"/>
          <w14:textFill>
            <w14:solidFill>
              <w14:schemeClr w14:val="tx1"/>
            </w14:solidFill>
          </w14:textFill>
        </w:rPr>
        <w:t xml:space="preserve">33、验收及付款</w:t>
      </w:r>
      <w:r/>
    </w:p>
    <w:p>
      <w:pPr>
        <w:ind w:firstLine="482"/>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33.2采购人可以邀请参加本项目的其他投标人或者第三方机构参与验收。参与验收的投标人或者第三方机构的意见作为验收书的参考资料一并存档。</w:t>
      </w:r>
      <w:r/>
    </w:p>
    <w:p>
      <w:pPr>
        <w:ind w:firstLine="482"/>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cs="宋体"/>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60" w:lineRule="exact"/>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34、付款</w:t>
      </w:r>
      <w:r/>
    </w:p>
    <w:p>
      <w:pPr>
        <w:ind w:firstLine="482"/>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 </w:t>
      </w:r>
      <w:bookmarkStart w:id="186" w:name="EBec7f529f50594afd871ea9378869e456"/>
      <w:r>
        <w:rPr>
          <w:rFonts w:hint="eastAsia"/>
          <w:bCs/>
          <w:color w:val="000000" w:themeColor="text1"/>
          <w:sz w:val="24"/>
          <w:highlight w:val="none"/>
          <w14:textFill>
            <w14:solidFill>
              <w14:schemeClr w14:val="tx1"/>
            </w14:solidFill>
          </w14:textFill>
        </w:rPr>
        <w:t xml:space="preserve">按照以下确定的付款方式，采购人及时办理付款手续。对于满足合同约定支付条件的，自收到发票后10个工作日内将资金支付到合同约定的供应商账户或供应商数字人民币账户。</w:t>
      </w:r>
      <w:bookmarkEnd w:id="186"/>
      <w:r/>
      <w:bookmarkStart w:id="187" w:name="EB11398ec6946f4019bc4c35221e27b04f"/>
      <w:r/>
      <w:r/>
    </w:p>
    <w:p>
      <w:pPr>
        <w:ind w:firstLine="482"/>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预付款：合同金额的 10 %，合同签订后按规定支付； </w:t>
      </w:r>
      <w:r/>
    </w:p>
    <w:p>
      <w:pPr>
        <w:ind w:firstLine="482"/>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进度款：项目第一年在通过验收或备案且收到供应商发票后15日内支付合同价款的20%，项目第二年在通过验收或备案且收到供应商发票后15日内支付30%，余款（合同额40%）在第三年通过验收或备案且收到供应商发票后15 日内付清。</w:t>
      </w:r>
      <w:r/>
    </w:p>
    <w:p>
      <w:pPr>
        <w:ind w:firstLine="482"/>
        <w:spacing w:line="560" w:lineRule="exact"/>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注：在签订合同时，中标人明确表示无需预付款或者主动要求降低预付款比例的金额，采购人可不适用预付款规定。</w:t>
      </w:r>
      <w:bookmarkEnd w:id="187"/>
      <w:r>
        <w:rPr>
          <w:rFonts w:hint="eastAsia"/>
          <w:b/>
          <w:color w:val="000000" w:themeColor="text1"/>
          <w:sz w:val="24"/>
          <w:highlight w:val="none"/>
          <w14:textFill>
            <w14:solidFill>
              <w14:schemeClr w14:val="tx1"/>
            </w14:solidFill>
          </w14:textFill>
        </w:rPr>
        <w:t xml:space="preserve">合同款可以采用数字人民币形式支付。</w:t>
      </w:r>
      <w:r/>
    </w:p>
    <w:p>
      <w:pPr>
        <w:pStyle w:val="1003"/>
        <w:rPr>
          <w:rFonts w:ascii="Times New Roman" w:eastAsia="黑体"/>
          <w:bCs/>
          <w:color w:val="000000" w:themeColor="text1"/>
          <w:sz w:val="44"/>
          <w:highlight w:val="none"/>
          <w14:textFill>
            <w14:solidFill>
              <w14:schemeClr w14:val="tx1"/>
            </w14:solidFill>
          </w14:textFill>
        </w:rPr>
      </w:pPr>
      <w:r>
        <w:rPr>
          <w:rFonts w:hint="eastAsia" w:ascii="Times New Roman" w:eastAsia="黑体"/>
          <w:bCs/>
          <w:color w:val="000000" w:themeColor="text1"/>
          <w:sz w:val="44"/>
          <w:highlight w:val="none"/>
          <w14:textFill>
            <w14:solidFill>
              <w14:schemeClr w14:val="tx1"/>
            </w14:solidFill>
          </w14:textFill>
        </w:rPr>
        <w:br w:type="page" w:clear="all"/>
      </w:r>
      <w:r>
        <w:rPr>
          <w:rFonts w:hint="eastAsia" w:ascii="Times New Roman" w:eastAsia="黑体"/>
          <w:bCs/>
          <w:color w:val="000000" w:themeColor="text1"/>
          <w:sz w:val="44"/>
          <w:highlight w:val="none"/>
          <w14:textFill>
            <w14:solidFill>
              <w14:schemeClr w14:val="tx1"/>
            </w14:solidFill>
          </w14:textFill>
        </w:rPr>
        <w:t xml:space="preserve">第三章  合同</w:t>
      </w:r>
      <w:bookmarkEnd w:id="181"/>
      <w:r/>
      <w:bookmarkEnd w:id="182"/>
      <w:r/>
      <w:bookmarkEnd w:id="183"/>
      <w:r/>
      <w:bookmarkEnd w:id="184"/>
      <w:r/>
      <w:bookmarkEnd w:id="185"/>
      <w:r>
        <w:rPr>
          <w:rFonts w:hint="eastAsia" w:ascii="Times New Roman" w:eastAsia="黑体"/>
          <w:bCs/>
          <w:color w:val="000000" w:themeColor="text1"/>
          <w:sz w:val="44"/>
          <w:highlight w:val="none"/>
          <w14:textFill>
            <w14:solidFill>
              <w14:schemeClr w14:val="tx1"/>
            </w14:solidFill>
          </w14:textFill>
        </w:rPr>
        <w:t xml:space="preserve">文本</w:t>
      </w:r>
      <w:r/>
    </w:p>
    <w:p>
      <w:pPr>
        <w:pStyle w:val="1138"/>
        <w:rPr>
          <w:rFonts w:ascii="宋体" w:hAnsi="宋体"/>
          <w:color w:val="000000" w:themeColor="text1"/>
          <w:sz w:val="48"/>
          <w:szCs w:val="48"/>
          <w:highlight w:val="none"/>
          <w14:textFill>
            <w14:solidFill>
              <w14:schemeClr w14:val="tx1"/>
            </w14:solidFill>
          </w14:textFill>
        </w:rPr>
      </w:pPr>
      <w:r/>
      <w:bookmarkStart w:id="188" w:name="_Hlt16619350"/>
      <w:r/>
      <w:bookmarkStart w:id="189" w:name="_Toc120614244"/>
      <w:r/>
      <w:bookmarkStart w:id="190" w:name="_Toc20823346"/>
      <w:r/>
      <w:bookmarkStart w:id="191" w:name="_Toc16938590"/>
      <w:r/>
      <w:bookmarkStart w:id="192" w:name="_Toc479757211"/>
      <w:r/>
      <w:bookmarkStart w:id="193" w:name="_Toc462564139"/>
      <w:r/>
      <w:r/>
    </w:p>
    <w:p>
      <w:pPr>
        <w:pStyle w:val="1136"/>
        <w:jc w:val="center"/>
        <w:rPr>
          <w:color w:val="000000" w:themeColor="text1"/>
          <w:sz w:val="52"/>
          <w:szCs w:val="52"/>
          <w:highlight w:val="none"/>
          <w14:textFill>
            <w14:solidFill>
              <w14:schemeClr w14:val="tx1"/>
            </w14:solidFill>
          </w14:textFill>
        </w:rPr>
      </w:pPr>
      <w:r>
        <w:rPr>
          <w:rFonts w:hint="eastAsia"/>
          <w:color w:val="000000" w:themeColor="text1"/>
          <w:sz w:val="52"/>
          <w:szCs w:val="52"/>
          <w:highlight w:val="none"/>
          <w14:textFill>
            <w14:solidFill>
              <w14:schemeClr w14:val="tx1"/>
            </w14:solidFill>
          </w14:textFill>
        </w:rPr>
        <w:t xml:space="preserve">开展泗阳县城镇、农用地和集体建设用地基准地价更新等工作采购项目</w:t>
      </w:r>
      <w:r/>
    </w:p>
    <w:p>
      <w:pPr>
        <w:pStyle w:val="1136"/>
        <w:rPr>
          <w:color w:val="000000" w:themeColor="text1"/>
          <w:sz w:val="72"/>
          <w:szCs w:val="72"/>
          <w:highlight w:val="none"/>
          <w14:textFill>
            <w14:solidFill>
              <w14:schemeClr w14:val="tx1"/>
            </w14:solidFill>
          </w14:textFill>
        </w:rPr>
      </w:pPr>
      <w:r>
        <w:rPr>
          <w:color w:val="000000" w:themeColor="text1"/>
          <w:sz w:val="72"/>
          <w:szCs w:val="72"/>
          <w:highlight w:val="none"/>
          <w14:textFill>
            <w14:solidFill>
              <w14:schemeClr w14:val="tx1"/>
            </w14:solidFill>
          </w14:textFill>
        </w:rPr>
      </w:r>
      <w:r/>
    </w:p>
    <w:p>
      <w:pPr>
        <w:pStyle w:val="1136"/>
        <w:jc w:val="center"/>
        <w:rPr>
          <w:color w:val="000000" w:themeColor="text1"/>
          <w:sz w:val="72"/>
          <w:szCs w:val="72"/>
          <w:highlight w:val="none"/>
          <w14:textFill>
            <w14:solidFill>
              <w14:schemeClr w14:val="tx1"/>
            </w14:solidFill>
          </w14:textFill>
        </w:rPr>
      </w:pPr>
      <w:r>
        <w:rPr>
          <w:color w:val="000000" w:themeColor="text1"/>
          <w:sz w:val="72"/>
          <w:szCs w:val="72"/>
          <w:highlight w:val="none"/>
          <w14:textFill>
            <w14:solidFill>
              <w14:schemeClr w14:val="tx1"/>
            </w14:solidFill>
          </w14:textFill>
        </w:rPr>
      </w:r>
      <w:r/>
    </w:p>
    <w:p>
      <w:pPr>
        <w:pStyle w:val="1136"/>
        <w:jc w:val="center"/>
        <w:rPr>
          <w:color w:val="000000" w:themeColor="text1"/>
          <w:sz w:val="72"/>
          <w:szCs w:val="72"/>
          <w:highlight w:val="none"/>
          <w14:textFill>
            <w14:solidFill>
              <w14:schemeClr w14:val="tx1"/>
            </w14:solidFill>
          </w14:textFill>
        </w:rPr>
      </w:pPr>
      <w:r>
        <w:rPr>
          <w:color w:val="000000" w:themeColor="text1"/>
          <w:sz w:val="72"/>
          <w:szCs w:val="72"/>
          <w:highlight w:val="none"/>
          <w14:textFill>
            <w14:solidFill>
              <w14:schemeClr w14:val="tx1"/>
            </w14:solidFill>
          </w14:textFill>
        </w:rPr>
        <w:t xml:space="preserve">政府采购合同</w:t>
      </w:r>
      <w:r/>
    </w:p>
    <w:p>
      <w:pPr>
        <w:pStyle w:val="1136"/>
        <w:jc w:val="center"/>
        <w:rPr>
          <w:color w:val="000000" w:themeColor="text1"/>
          <w:sz w:val="36"/>
          <w:szCs w:val="72"/>
          <w:highlight w:val="none"/>
          <w14:textFill>
            <w14:solidFill>
              <w14:schemeClr w14:val="tx1"/>
            </w14:solidFill>
          </w14:textFill>
        </w:rPr>
      </w:pPr>
      <w:r>
        <w:rPr>
          <w:color w:val="000000" w:themeColor="text1"/>
          <w:sz w:val="36"/>
          <w:szCs w:val="72"/>
          <w:highlight w:val="none"/>
          <w14:textFill>
            <w14:solidFill>
              <w14:schemeClr w14:val="tx1"/>
            </w14:solidFill>
          </w14:textFill>
        </w:rPr>
      </w:r>
      <w:r/>
    </w:p>
    <w:p>
      <w:pPr>
        <w:pStyle w:val="1136"/>
        <w:jc w:val="center"/>
        <w:rPr>
          <w:color w:val="000000" w:themeColor="text1"/>
          <w:sz w:val="72"/>
          <w:szCs w:val="72"/>
          <w:highlight w:val="none"/>
          <w14:textFill>
            <w14:solidFill>
              <w14:schemeClr w14:val="tx1"/>
            </w14:solidFill>
          </w14:textFill>
        </w:rPr>
      </w:pPr>
      <w:r>
        <w:rPr>
          <w:color w:val="000000" w:themeColor="text1"/>
          <w:sz w:val="72"/>
          <w:szCs w:val="72"/>
          <w:highlight w:val="none"/>
          <w14:textFill>
            <w14:solidFill>
              <w14:schemeClr w14:val="tx1"/>
            </w14:solidFill>
          </w14:textFill>
        </w:rPr>
      </w:r>
      <w:r/>
    </w:p>
    <w:p>
      <w:pPr>
        <w:pStyle w:val="1136"/>
        <w:jc w:val="center"/>
        <w:rPr>
          <w:color w:val="000000" w:themeColor="text1"/>
          <w:sz w:val="72"/>
          <w:szCs w:val="72"/>
          <w:highlight w:val="none"/>
          <w14:textFill>
            <w14:solidFill>
              <w14:schemeClr w14:val="tx1"/>
            </w14:solidFill>
          </w14:textFill>
        </w:rPr>
      </w:pPr>
      <w:r>
        <w:rPr>
          <w:color w:val="000000" w:themeColor="text1"/>
          <w:sz w:val="72"/>
          <w:szCs w:val="72"/>
          <w:highlight w:val="none"/>
          <w14:textFill>
            <w14:solidFill>
              <w14:schemeClr w14:val="tx1"/>
            </w14:solidFill>
          </w14:textFill>
        </w:rPr>
      </w:r>
      <w:r/>
    </w:p>
    <w:p>
      <w:pPr>
        <w:pStyle w:val="1136"/>
        <w:rPr>
          <w:color w:val="000000" w:themeColor="text1"/>
          <w:sz w:val="72"/>
          <w:szCs w:val="72"/>
          <w:highlight w:val="none"/>
          <w14:textFill>
            <w14:solidFill>
              <w14:schemeClr w14:val="tx1"/>
            </w14:solidFill>
          </w14:textFill>
        </w:rPr>
      </w:pPr>
      <w:r>
        <w:rPr>
          <w:color w:val="000000" w:themeColor="text1"/>
          <w:sz w:val="72"/>
          <w:szCs w:val="72"/>
          <w:highlight w:val="none"/>
          <w14:textFill>
            <w14:solidFill>
              <w14:schemeClr w14:val="tx1"/>
            </w14:solidFill>
          </w14:textFill>
        </w:rPr>
      </w:r>
      <w:r/>
    </w:p>
    <w:p>
      <w:pPr>
        <w:pStyle w:val="1136"/>
        <w:rPr>
          <w:color w:val="000000" w:themeColor="text1"/>
          <w:sz w:val="72"/>
          <w:szCs w:val="72"/>
          <w:highlight w:val="none"/>
          <w14:textFill>
            <w14:solidFill>
              <w14:schemeClr w14:val="tx1"/>
            </w14:solidFill>
          </w14:textFill>
        </w:rPr>
      </w:pPr>
      <w:r>
        <w:rPr>
          <w:color w:val="000000" w:themeColor="text1"/>
          <w:sz w:val="72"/>
          <w:szCs w:val="72"/>
          <w:highlight w:val="none"/>
          <w14:textFill>
            <w14:solidFill>
              <w14:schemeClr w14:val="tx1"/>
            </w14:solidFill>
          </w14:textFill>
        </w:rPr>
      </w:r>
      <w:r/>
    </w:p>
    <w:p>
      <w:pPr>
        <w:pStyle w:val="113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37"/>
        <w:ind w:firstLine="1280"/>
        <w:spacing w:line="360" w:lineRule="auto"/>
        <w:rPr>
          <w:rFonts w:ascii="宋体" w:hAnsi="宋体"/>
          <w:color w:val="000000" w:themeColor="text1"/>
          <w:sz w:val="32"/>
          <w:highlight w:val="none"/>
          <w14:textFill>
            <w14:solidFill>
              <w14:schemeClr w14:val="tx1"/>
            </w14:solidFill>
          </w14:textFill>
        </w:rPr>
      </w:pPr>
      <w:r>
        <w:rPr>
          <w:rFonts w:hint="eastAsia" w:ascii="宋体" w:hAnsi="宋体"/>
          <w:color w:val="000000" w:themeColor="text1"/>
          <w:sz w:val="32"/>
          <w:highlight w:val="none"/>
          <w14:textFill>
            <w14:solidFill>
              <w14:schemeClr w14:val="tx1"/>
            </w14:solidFill>
          </w14:textFill>
        </w:rPr>
        <w:t xml:space="preserve">采购单位：</w:t>
      </w:r>
      <w:r>
        <w:rPr>
          <w:rFonts w:hint="eastAsia" w:ascii="宋体" w:hAnsi="宋体"/>
          <w:b/>
          <w:color w:val="000000" w:themeColor="text1"/>
          <w:sz w:val="32"/>
          <w:highlight w:val="none"/>
          <w:u w:val="single"/>
          <w14:textFill>
            <w14:solidFill>
              <w14:schemeClr w14:val="tx1"/>
            </w14:solidFill>
          </w14:textFill>
        </w:rPr>
        <w:t xml:space="preserve">   </w:t>
      </w:r>
      <w:r>
        <w:rPr>
          <w:rFonts w:hint="eastAsia" w:ascii="宋体" w:hAnsi="宋体"/>
          <w:color w:val="000000" w:themeColor="text1"/>
          <w:sz w:val="32"/>
          <w:highlight w:val="none"/>
          <w:u w:val="single"/>
          <w14:textFill>
            <w14:solidFill>
              <w14:schemeClr w14:val="tx1"/>
            </w14:solidFill>
          </w14:textFill>
        </w:rPr>
        <w:t xml:space="preserve">泗阳县自然资源和规划局</w:t>
      </w:r>
      <w:r>
        <w:rPr>
          <w:rFonts w:hint="eastAsia" w:ascii="宋体" w:hAnsi="宋体"/>
          <w:b/>
          <w:color w:val="000000" w:themeColor="text1"/>
          <w:sz w:val="32"/>
          <w:highlight w:val="none"/>
          <w:u w:val="single"/>
          <w14:textFill>
            <w14:solidFill>
              <w14:schemeClr w14:val="tx1"/>
            </w14:solidFill>
          </w14:textFill>
        </w:rPr>
        <w:t xml:space="preserve">   </w:t>
      </w:r>
      <w:r/>
    </w:p>
    <w:p>
      <w:pPr>
        <w:pStyle w:val="1137"/>
        <w:ind w:firstLine="1280"/>
        <w:spacing w:line="360" w:lineRule="auto"/>
        <w:rPr>
          <w:rFonts w:ascii="宋体" w:hAnsi="宋体"/>
          <w:color w:val="000000" w:themeColor="text1"/>
          <w:sz w:val="32"/>
          <w:highlight w:val="none"/>
          <w:u w:val="single"/>
          <w14:textFill>
            <w14:solidFill>
              <w14:schemeClr w14:val="tx1"/>
            </w14:solidFill>
          </w14:textFill>
        </w:rPr>
      </w:pPr>
      <w:r>
        <w:rPr>
          <w:rFonts w:hint="eastAsia" w:ascii="宋体" w:hAnsi="宋体"/>
          <w:color w:val="000000" w:themeColor="text1"/>
          <w:sz w:val="32"/>
          <w:highlight w:val="none"/>
          <w14:textFill>
            <w14:solidFill>
              <w14:schemeClr w14:val="tx1"/>
            </w14:solidFill>
          </w14:textFill>
        </w:rPr>
        <w:t xml:space="preserve">中标供应商：</w:t>
      </w:r>
      <w:r>
        <w:rPr>
          <w:rFonts w:hint="eastAsia" w:ascii="宋体" w:hAnsi="宋体"/>
          <w:color w:val="000000" w:themeColor="text1"/>
          <w:sz w:val="32"/>
          <w:highlight w:val="none"/>
          <w:u w:val="single"/>
          <w14:textFill>
            <w14:solidFill>
              <w14:schemeClr w14:val="tx1"/>
            </w14:solidFill>
          </w14:textFill>
        </w:rPr>
        <w:t xml:space="preserve"> </w:t>
      </w:r>
      <w:r>
        <w:rPr>
          <w:rFonts w:ascii="宋体" w:hAnsi="宋体"/>
          <w:color w:val="000000" w:themeColor="text1"/>
          <w:sz w:val="32"/>
          <w:highlight w:val="none"/>
          <w:u w:val="single"/>
          <w14:textFill>
            <w14:solidFill>
              <w14:schemeClr w14:val="tx1"/>
            </w14:solidFill>
          </w14:textFill>
        </w:rPr>
        <w:t xml:space="preserve">                        </w:t>
      </w:r>
      <w:r>
        <w:rPr>
          <w:rFonts w:hint="eastAsia" w:ascii="宋体" w:hAnsi="宋体"/>
          <w:color w:val="000000" w:themeColor="text1"/>
          <w:sz w:val="32"/>
          <w:highlight w:val="none"/>
          <w:u w:val="single"/>
          <w14:textFill>
            <w14:solidFill>
              <w14:schemeClr w14:val="tx1"/>
            </w14:solidFill>
          </w14:textFill>
        </w:rPr>
        <w:t xml:space="preserve">  </w:t>
      </w:r>
      <w:r/>
    </w:p>
    <w:p>
      <w:pPr>
        <w:pStyle w:val="1137"/>
        <w:ind w:firstLine="1280"/>
        <w:spacing w:line="360" w:lineRule="auto"/>
        <w:rPr>
          <w:rFonts w:ascii="宋体" w:hAnsi="宋体"/>
          <w:color w:val="000000" w:themeColor="text1"/>
          <w:sz w:val="32"/>
          <w:highlight w:val="none"/>
          <w14:textFill>
            <w14:solidFill>
              <w14:schemeClr w14:val="tx1"/>
            </w14:solidFill>
          </w14:textFill>
        </w:rPr>
      </w:pPr>
      <w:r>
        <w:rPr>
          <w:rFonts w:hint="eastAsia" w:ascii="宋体" w:hAnsi="宋体"/>
          <w:color w:val="000000" w:themeColor="text1"/>
          <w:sz w:val="32"/>
          <w:highlight w:val="none"/>
          <w14:textFill>
            <w14:solidFill>
              <w14:schemeClr w14:val="tx1"/>
            </w14:solidFill>
          </w14:textFill>
        </w:rPr>
        <w:t xml:space="preserve">签订日期：       年    月   日</w:t>
      </w:r>
      <w:r/>
    </w:p>
    <w:p>
      <w:pPr>
        <w:pStyle w:val="1137"/>
        <w:ind w:firstLine="640"/>
        <w:jc w:val="center"/>
        <w:spacing w:line="500" w:lineRule="exact"/>
        <w:rPr>
          <w:rFonts w:ascii="宋体" w:hAnsi="宋体"/>
          <w:color w:val="000000" w:themeColor="text1"/>
          <w:sz w:val="32"/>
          <w:szCs w:val="32"/>
          <w:highlight w:val="none"/>
          <w14:textFill>
            <w14:solidFill>
              <w14:schemeClr w14:val="tx1"/>
            </w14:solidFill>
          </w14:textFill>
        </w:rPr>
      </w:pPr>
      <w:r>
        <w:rPr>
          <w:rFonts w:ascii="宋体" w:hAnsi="宋体"/>
          <w:color w:val="000000" w:themeColor="text1"/>
          <w:sz w:val="32"/>
          <w:szCs w:val="32"/>
          <w:highlight w:val="none"/>
          <w14:textFill>
            <w14:solidFill>
              <w14:schemeClr w14:val="tx1"/>
            </w14:solidFill>
          </w14:textFill>
        </w:rPr>
      </w:r>
      <w:r/>
    </w:p>
    <w:p>
      <w:pPr>
        <w:pStyle w:val="1137"/>
        <w:ind w:firstLine="640"/>
        <w:jc w:val="center"/>
        <w:spacing w:line="500" w:lineRule="exact"/>
        <w:rPr>
          <w:rFonts w:ascii="宋体" w:hAnsi="宋体"/>
          <w:color w:val="000000" w:themeColor="text1"/>
          <w:sz w:val="32"/>
          <w:szCs w:val="32"/>
          <w:highlight w:val="none"/>
          <w14:textFill>
            <w14:solidFill>
              <w14:schemeClr w14:val="tx1"/>
            </w14:solidFill>
          </w14:textFill>
        </w:rPr>
      </w:pPr>
      <w:r>
        <w:rPr>
          <w:rFonts w:ascii="宋体" w:hAnsi="宋体"/>
          <w:color w:val="000000" w:themeColor="text1"/>
          <w:sz w:val="32"/>
          <w:szCs w:val="32"/>
          <w:highlight w:val="none"/>
          <w14:textFill>
            <w14:solidFill>
              <w14:schemeClr w14:val="tx1"/>
            </w14:solidFill>
          </w14:textFill>
        </w:rPr>
      </w:r>
      <w:r/>
    </w:p>
    <w:p>
      <w:pPr>
        <w:pStyle w:val="1137"/>
        <w:ind w:firstLine="640"/>
        <w:jc w:val="center"/>
        <w:spacing w:line="500" w:lineRule="exact"/>
        <w:rPr>
          <w:rFonts w:ascii="宋体" w:hAnsi="宋体"/>
          <w:color w:val="000000" w:themeColor="text1"/>
          <w:sz w:val="32"/>
          <w:szCs w:val="32"/>
          <w:highlight w:val="none"/>
          <w14:textFill>
            <w14:solidFill>
              <w14:schemeClr w14:val="tx1"/>
            </w14:solidFill>
          </w14:textFill>
        </w:rPr>
      </w:pPr>
      <w:r>
        <w:rPr>
          <w:rFonts w:ascii="宋体" w:hAnsi="宋体"/>
          <w:color w:val="000000" w:themeColor="text1"/>
          <w:sz w:val="32"/>
          <w:szCs w:val="32"/>
          <w:highlight w:val="none"/>
          <w14:textFill>
            <w14:solidFill>
              <w14:schemeClr w14:val="tx1"/>
            </w14:solidFill>
          </w14:textFill>
        </w:rPr>
      </w:r>
      <w:r/>
    </w:p>
    <w:p>
      <w:pPr>
        <w:pStyle w:val="1137"/>
        <w:ind w:firstLine="640"/>
        <w:jc w:val="center"/>
        <w:spacing w:line="500" w:lineRule="exact"/>
        <w:rPr>
          <w:rFonts w:ascii="宋体" w:hAnsi="宋体"/>
          <w:color w:val="000000" w:themeColor="text1"/>
          <w:sz w:val="32"/>
          <w:szCs w:val="32"/>
          <w:highlight w:val="none"/>
          <w14:textFill>
            <w14:solidFill>
              <w14:schemeClr w14:val="tx1"/>
            </w14:solidFill>
          </w14:textFill>
        </w:rPr>
      </w:pPr>
      <w:r>
        <w:rPr>
          <w:rFonts w:ascii="宋体" w:hAnsi="宋体"/>
          <w:color w:val="000000" w:themeColor="text1"/>
          <w:sz w:val="32"/>
          <w:szCs w:val="32"/>
          <w:highlight w:val="none"/>
          <w14:textFill>
            <w14:solidFill>
              <w14:schemeClr w14:val="tx1"/>
            </w14:solidFill>
          </w14:textFill>
        </w:rPr>
      </w:r>
      <w:r/>
    </w:p>
    <w:p>
      <w:pPr>
        <w:pStyle w:val="1137"/>
        <w:ind w:firstLine="640"/>
        <w:jc w:val="center"/>
        <w:spacing w:line="500" w:lineRule="exact"/>
        <w:rPr>
          <w:rFonts w:ascii="宋体" w:hAnsi="宋体"/>
          <w:color w:val="000000" w:themeColor="text1"/>
          <w:sz w:val="32"/>
          <w:szCs w:val="32"/>
          <w:highlight w:val="none"/>
          <w14:textFill>
            <w14:solidFill>
              <w14:schemeClr w14:val="tx1"/>
            </w14:solidFill>
          </w14:textFill>
        </w:rPr>
      </w:pPr>
      <w:r>
        <w:rPr>
          <w:rFonts w:ascii="宋体" w:hAnsi="宋体"/>
          <w:color w:val="000000" w:themeColor="text1"/>
          <w:sz w:val="32"/>
          <w:szCs w:val="32"/>
          <w:highlight w:val="none"/>
          <w14:textFill>
            <w14:solidFill>
              <w14:schemeClr w14:val="tx1"/>
            </w14:solidFill>
          </w14:textFill>
        </w:rPr>
      </w:r>
      <w:r/>
    </w:p>
    <w:p>
      <w:pPr>
        <w:pStyle w:val="112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21"/>
        <w:jc w:val="center"/>
        <w:rPr>
          <w:rFonts w:hAnsi="宋体"/>
          <w:color w:val="000000" w:themeColor="text1"/>
          <w:sz w:val="32"/>
          <w:highlight w:val="none"/>
          <w14:textFill>
            <w14:solidFill>
              <w14:schemeClr w14:val="tx1"/>
            </w14:solidFill>
          </w14:textFill>
        </w:rPr>
      </w:pPr>
      <w:r>
        <w:rPr>
          <w:rFonts w:hint="eastAsia" w:hAnsi="宋体"/>
          <w:color w:val="000000" w:themeColor="text1"/>
          <w:sz w:val="32"/>
          <w:highlight w:val="none"/>
          <w14:textFill>
            <w14:solidFill>
              <w14:schemeClr w14:val="tx1"/>
            </w14:solidFill>
          </w14:textFill>
        </w:rPr>
        <w:t xml:space="preserve">开展泗阳县城镇、农用地和集体建设用地基准地价更新等工作采购项目</w:t>
      </w:r>
      <w:r/>
    </w:p>
    <w:p>
      <w:pPr>
        <w:pStyle w:val="1121"/>
        <w:jc w:val="center"/>
        <w:rPr>
          <w:rFonts w:hAnsi="宋体"/>
          <w:color w:val="000000" w:themeColor="text1"/>
          <w:sz w:val="32"/>
          <w:highlight w:val="none"/>
          <w14:textFill>
            <w14:solidFill>
              <w14:schemeClr w14:val="tx1"/>
            </w14:solidFill>
          </w14:textFill>
        </w:rPr>
      </w:pPr>
      <w:r>
        <w:rPr>
          <w:rFonts w:hint="eastAsia" w:hAnsi="宋体"/>
          <w:color w:val="000000" w:themeColor="text1"/>
          <w:sz w:val="32"/>
          <w:highlight w:val="none"/>
          <w14:textFill>
            <w14:solidFill>
              <w14:schemeClr w14:val="tx1"/>
            </w14:solidFill>
          </w14:textFill>
        </w:rPr>
        <w:t xml:space="preserve">政府采购合同</w:t>
      </w:r>
      <w:r/>
    </w:p>
    <w:p>
      <w:pPr>
        <w:pStyle w:val="1138"/>
        <w:jc w:val="center"/>
        <w:rPr>
          <w:rFonts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szCs w:val="22"/>
          <w:highlight w:val="none"/>
          <w14:textFill>
            <w14:solidFill>
              <w14:schemeClr w14:val="tx1"/>
            </w14:solidFill>
          </w14:textFill>
        </w:rPr>
        <w:t xml:space="preserve">（草拟稿，最终以双方协商签订为准）</w:t>
      </w:r>
      <w:r/>
    </w:p>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第一部分 专用条款</w:t>
      </w:r>
      <w:r/>
    </w:p>
    <w:p>
      <w:pPr>
        <w:spacing w:line="44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采购单位（全称）：</w:t>
      </w:r>
      <w:r>
        <w:rPr>
          <w:rFonts w:hint="eastAsia" w:ascii="宋体" w:hAnsi="宋体" w:cs="宋体"/>
          <w:color w:val="000000"/>
          <w:sz w:val="24"/>
          <w:highlight w:val="none"/>
          <w:u w:val="single"/>
        </w:rPr>
        <w:t xml:space="preserve">泗阳县自然资源和规划局</w:t>
      </w:r>
      <w:r>
        <w:rPr>
          <w:rFonts w:ascii="宋体" w:hAnsi="宋体" w:cs="宋体"/>
          <w:color w:val="000000"/>
          <w:sz w:val="24"/>
          <w:highlight w:val="none"/>
        </w:rPr>
        <w:t xml:space="preserve">（简称甲方）</w:t>
      </w:r>
      <w:r/>
    </w:p>
    <w:p>
      <w:pPr>
        <w:spacing w:line="440" w:lineRule="exact"/>
        <w:widowControl/>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中标</w:t>
      </w:r>
      <w:r>
        <w:rPr>
          <w:rFonts w:ascii="宋体" w:hAnsi="宋体" w:cs="宋体"/>
          <w:color w:val="000000"/>
          <w:sz w:val="24"/>
          <w:highlight w:val="none"/>
        </w:rPr>
        <w:t xml:space="preserve">供应商（全称）：</w:t>
      </w:r>
      <w:r>
        <w:rPr>
          <w:rFonts w:ascii="宋体" w:hAnsi="宋体" w:cs="宋体"/>
          <w:color w:val="000000"/>
          <w:sz w:val="24"/>
          <w:highlight w:val="none"/>
          <w:u w:val="single"/>
        </w:rPr>
        <w:t xml:space="preserve">          </w:t>
      </w:r>
      <w:r>
        <w:rPr>
          <w:rFonts w:ascii="宋体" w:hAnsi="宋体" w:cs="宋体"/>
          <w:color w:val="000000"/>
          <w:sz w:val="24"/>
          <w:highlight w:val="none"/>
        </w:rPr>
        <w:t xml:space="preserve">（简称乙方）</w:t>
      </w:r>
      <w:r/>
    </w:p>
    <w:p>
      <w:pPr>
        <w:ind w:firstLine="482"/>
        <w:spacing w:line="440" w:lineRule="exact"/>
        <w:widowControl/>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ind w:firstLine="482"/>
        <w:spacing w:line="44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依照《中华人民共和国政府采购法》《中华人民共和国政府采购法实施条例》《中华人民共和国民法典（第三编合同）》及其他有关法律、行政法规，遵循平等、自愿、公平和诚实信用的原则，双方就</w:t>
      </w:r>
      <w:r>
        <w:rPr>
          <w:rFonts w:hint="eastAsia" w:ascii="宋体" w:hAnsi="宋体" w:cs="宋体"/>
          <w:color w:val="000000"/>
          <w:sz w:val="24"/>
          <w:highlight w:val="none"/>
          <w:u w:val="single"/>
        </w:rPr>
        <w:t xml:space="preserve">开展泗阳县城镇、农用地和集体建设用地基准地价更新等工作采购项目</w:t>
      </w:r>
      <w:r>
        <w:rPr>
          <w:rFonts w:ascii="宋体" w:hAnsi="宋体" w:cs="宋体"/>
          <w:color w:val="000000"/>
          <w:sz w:val="24"/>
          <w:highlight w:val="none"/>
        </w:rPr>
        <w:t xml:space="preserve">相关事项协商一致，达成如下合同条款。</w:t>
      </w:r>
      <w:r/>
    </w:p>
    <w:p>
      <w:pPr>
        <w:spacing w:line="44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一、乙方向甲方提供总价值为</w:t>
      </w:r>
      <w:r>
        <w:rPr>
          <w:rFonts w:ascii="宋体" w:hAnsi="宋体" w:cs="宋体"/>
          <w:b/>
          <w:color w:val="000000"/>
          <w:sz w:val="24"/>
          <w:highlight w:val="none"/>
          <w:u w:val="single"/>
        </w:rPr>
        <w:t xml:space="preserve">      </w:t>
      </w:r>
      <w:r>
        <w:rPr>
          <w:rFonts w:ascii="宋体" w:hAnsi="宋体" w:cs="宋体"/>
          <w:b/>
          <w:color w:val="000000"/>
          <w:sz w:val="24"/>
          <w:highlight w:val="none"/>
        </w:rPr>
        <w:t xml:space="preserve">元的标的服务</w:t>
      </w:r>
      <w:r>
        <w:rPr>
          <w:rFonts w:ascii="宋体" w:hAnsi="宋体" w:cs="宋体"/>
          <w:color w:val="000000"/>
          <w:sz w:val="24"/>
          <w:highlight w:val="none"/>
        </w:rPr>
        <w:t xml:space="preserve">。</w:t>
      </w:r>
      <w:r/>
    </w:p>
    <w:p>
      <w:pPr>
        <w:spacing w:line="44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二、服务时间、地点</w:t>
      </w:r>
      <w:r/>
    </w:p>
    <w:p>
      <w:pPr>
        <w:ind w:firstLine="480"/>
        <w:spacing w:line="44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（一）服务期：</w:t>
      </w:r>
      <w:r>
        <w:rPr>
          <w:rFonts w:hint="eastAsia" w:ascii="宋体" w:hAnsi="宋体" w:cs="宋体"/>
          <w:color w:val="000000"/>
          <w:sz w:val="24"/>
          <w:highlight w:val="none"/>
          <w:u w:val="single"/>
        </w:rPr>
        <w:t xml:space="preserve">在2026年12月31日、2027年12月31日和2028年12月31日前完成2026-2028年度城市地价动态监测工作，在2027年6月30日前完成城镇建设用地基准地价、集体建设用地基准地价、农用地基准地价、2026年度城镇标定地价、更新工作，在2028年6月30日和2029 年5月20日前完成2027和2028年度标定地价成果并确保上述成果通过主管部门验收或备案。 </w:t>
      </w:r>
      <w:r/>
    </w:p>
    <w:p>
      <w:pPr>
        <w:ind w:firstLine="480"/>
        <w:spacing w:line="44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（二）服务地点：</w:t>
      </w:r>
      <w:r>
        <w:rPr>
          <w:rFonts w:ascii="宋体" w:hAnsi="宋体" w:cs="宋体"/>
          <w:color w:val="000000"/>
          <w:sz w:val="24"/>
          <w:highlight w:val="none"/>
          <w:u w:val="single"/>
        </w:rPr>
        <w:t xml:space="preserve">宿迁市</w:t>
      </w:r>
      <w:r>
        <w:rPr>
          <w:rFonts w:hint="eastAsia" w:ascii="宋体" w:hAnsi="宋体" w:cs="宋体"/>
          <w:color w:val="000000"/>
          <w:sz w:val="24"/>
          <w:highlight w:val="none"/>
          <w:u w:val="single"/>
        </w:rPr>
        <w:t xml:space="preserve">泗阳县</w:t>
      </w:r>
      <w:r/>
    </w:p>
    <w:p>
      <w:pPr>
        <w:spacing w:line="44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三、服务内容</w:t>
      </w:r>
      <w:r/>
    </w:p>
    <w:p>
      <w:pPr>
        <w:ind w:firstLine="482"/>
        <w:spacing w:line="440" w:lineRule="exact"/>
        <w:widowControl/>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城镇建设基准地价更新。为了及时、准确、全面地掌握泗阳县各地价级别的土地价格变动状况，建立健全的泗阳县土地价格体系，实现泗阳县土地价格的实时、动态、科学化管理，科学制定宏观调控政策，提高自然资源管理水平，开展城区建设用地评估基准地价的制订</w:t>
      </w:r>
      <w:r>
        <w:rPr>
          <w:rFonts w:hint="eastAsia" w:ascii="宋体" w:hAnsi="宋体" w:cs="宋体"/>
          <w:color w:val="000000"/>
          <w:sz w:val="24"/>
          <w:highlight w:val="none"/>
        </w:rPr>
        <w:t xml:space="preserve">、更新、公布与备案工作。工作内容主要包括：按照《江苏省自然资源厅关于开展自然资源评价评估工作建立公示地价体系的通知》苏自然资函〔2019〕625号文件要求，在泗阳县城区范围内，运用多因素多因子综合评价方法，根据影响土地级别的因素因子相似性和差异性评定出土地级别；经过对土地收益测算、土地市场交易资料测算和专家评议等多种方法相互验证、相互补充，确定土地级别、测算级别价格以及宗地地价评估修正体系建立，按自然资源部公布《国土空间调查、规划、用途管制用地用海分类指南》对应所有一级类、二级类用途进行分类定价和分级定价。</w:t>
      </w:r>
      <w:r/>
    </w:p>
    <w:p>
      <w:pPr>
        <w:ind w:firstLine="482"/>
        <w:spacing w:line="440" w:lineRule="exact"/>
        <w:widowControl/>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集体建设用地基准地价更新。为支撑农村土地制度改革和农垦改革发展，避免农用地资产流失，开展集体建设用地基准地价更新工作。工作内容主要包括：按照《江苏省自然资源厅关于开展自然资源评价评估工作建立公示地价体系的通知》苏自然资函〔2019〕625号文件要求，在泗阳县域范围内，集体建设用地土地级别的划分与确定，各级别基准地价的测算与确定以及宗地地价评估修正体系建立等。</w:t>
      </w:r>
      <w:r/>
    </w:p>
    <w:p>
      <w:pPr>
        <w:ind w:firstLine="482"/>
        <w:spacing w:line="440" w:lineRule="exact"/>
        <w:widowControl/>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农用地基准地价更新。为了与城镇建设用地、集体建设用地基准地价衔接，构建城乡统一公示地价体系，支撑城乡融合与要素平等交换，开展农用地基准地价更新工作。工作内容主要包括：按照《农用地定级规程》（GB/T 28405-2012）和《农用地估价规程》（GB/T 28406-2012），选取合适的因素因子，采用多因素多因子综合评价法对泗阳县域范围内的农用地土地级别的划分与确定，选取合适的方法，对各级别基准地价的测算、评估，并建立宗地地价评估修正体系等。</w:t>
      </w:r>
      <w:r/>
    </w:p>
    <w:p>
      <w:pPr>
        <w:ind w:firstLine="482"/>
        <w:spacing w:line="440" w:lineRule="exact"/>
        <w:widowControl/>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城区标定地价更新。标定地价是政府为管理需要确定的、符合一定条件的标准宗地土地权利价格，是宗地评估、地价管理和有关税费确定的重要依据。按照文件要求，全面启动城区标定地价体系建设更新工作。工作内容主要包括：根据《标定地价规程》（TD/T 1052-2017），按年度对原先划定的标定区域进行核查和调整，对原来的标准宗地进行复核、补设、调整等，收集标准宗地权属资料和案例信息，对标准宗地进行评估，编制标定地价更新报告，及时对标定地价进行公示等。</w:t>
      </w:r>
      <w:r/>
    </w:p>
    <w:p>
      <w:pPr>
        <w:ind w:firstLine="482"/>
        <w:spacing w:line="440" w:lineRule="exact"/>
        <w:widowControl/>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城市地价动态询查监测。地价动态监测的目的是真实、准确地反映季度和年度的地价变化趋势，及时提交城市地价动态监测成果；工作内容主要包括：按照《江苏省自然资源厅关于开展自然资源评价评估工作建立公示地价体系的通知》苏自然资函〔2019〕625号文件和国家以及省相关技术规范的要求，对年度地价动态监测点进行外业调查、补充并进行数据整理，核查、调整地价区段，测算监测点地价、区段平均地价、分用途地价、综合地价和地价指数。城镇地价动态监测成果在上级主管部门规定的时间内提交。</w:t>
      </w:r>
      <w:r/>
    </w:p>
    <w:p>
      <w:pPr>
        <w:spacing w:line="44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四、付款方式</w:t>
      </w:r>
      <w:r/>
    </w:p>
    <w:p>
      <w:pPr>
        <w:ind w:firstLine="482"/>
        <w:spacing w:line="44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1、合同签订后，支付合同价款的10%作为预付款；</w:t>
      </w:r>
      <w:r/>
    </w:p>
    <w:p>
      <w:pPr>
        <w:ind w:firstLine="482"/>
        <w:spacing w:line="440" w:lineRule="exact"/>
        <w:widowControl/>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hint="eastAsia" w:ascii="宋体" w:hAnsi="宋体" w:cs="宋体"/>
          <w:color w:val="000000"/>
          <w:sz w:val="24"/>
          <w:highlight w:val="none"/>
        </w:rPr>
        <w:t xml:space="preserve">项目第一年在通过验收或备案且收到供应商发票后15日内支付合同价款的20%，项目第二年在通过验收或备案且收到供应商发票后15日内支付30%，余款（合同额40%）在第三年通过验收或备案且收到供应商发票后15 日内付清。</w:t>
      </w:r>
      <w:r/>
    </w:p>
    <w:p>
      <w:pPr>
        <w:ind w:firstLine="482"/>
        <w:spacing w:line="440" w:lineRule="exact"/>
        <w:widowControl/>
        <w:rPr>
          <w:b/>
          <w:bCs/>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注：在签订合同时，乙方明确表示无需预付款或者主动要求降低预付款比例的金额，甲方可不适用预付款规定。</w:t>
      </w:r>
      <w:r/>
    </w:p>
    <w:p>
      <w:pPr>
        <w:spacing w:line="44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五、履约保证金</w:t>
      </w:r>
      <w:r/>
    </w:p>
    <w:p>
      <w:pPr>
        <w:ind w:firstLine="480"/>
        <w:spacing w:line="44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本项目不收取履约保证金。</w:t>
      </w:r>
      <w:r/>
    </w:p>
    <w:p>
      <w:pPr>
        <w:numPr>
          <w:ilvl w:val="0"/>
          <w:numId w:val="5"/>
        </w:numPr>
        <w:spacing w:line="440" w:lineRule="exact"/>
        <w:widowControl/>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知识产权</w:t>
      </w:r>
      <w:r/>
    </w:p>
    <w:p>
      <w:pPr>
        <w:ind w:firstLine="480"/>
        <w:spacing w:line="44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乙方应保证甲方在使用、接受本合同标的或其任何一部分时不受第三方提出侵犯其专利权、版权、商标权和工业设计权等知识产权的起诉。一旦出现侵权，由乙方负全部责任并承担费用及赔偿（包括但不限于诉讼费、第三方索赔款等）。</w:t>
      </w:r>
      <w:r/>
    </w:p>
    <w:p>
      <w:pPr>
        <w:ind w:firstLine="480"/>
        <w:spacing w:line="44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除合同条款另有约定外，甲方提供给乙方基础技术材料与政策文件以及反映甲方要求的或其他类似性质的文件的著作权属于甲方，乙方可以为实现合同目的而复制、使用此类文件，但不能用于与合同无关的其他事项。</w:t>
      </w:r>
      <w:r/>
    </w:p>
    <w:p>
      <w:pPr>
        <w:ind w:firstLine="480"/>
        <w:spacing w:line="44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3.除合同条款另有约定外，乙方为实施合同所编制的文件的著作权属于甲方，乙方可因实施合同目的需要而复制、使用此类文件，但不能用于与合同无关的其他事项。</w:t>
      </w:r>
      <w:r/>
    </w:p>
    <w:p>
      <w:pPr>
        <w:ind w:firstLine="480"/>
        <w:spacing w:line="44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4.合同当事人保证在履行合同过程中不侵犯对方及第三方的知识产权。乙方在实施合同时侵犯他人的专利权或其他知识产权所引起的责任，由乙方承担。</w:t>
      </w:r>
      <w:r/>
    </w:p>
    <w:p>
      <w:pPr>
        <w:ind w:firstLine="480"/>
        <w:spacing w:line="44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5.合同当事人双方均有权在不损害对方利益和保密约定的前提下，在自己宣传用的印刷品或其他出版物上，或申报奖项时等情形下公布有关文件的文字和图片材料。</w:t>
      </w:r>
      <w:r/>
    </w:p>
    <w:p>
      <w:pPr>
        <w:ind w:firstLine="480"/>
        <w:spacing w:line="44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6.除合同条款另有约定外，乙方在合同签订前和签订时已确定采用的专利、专有技术的使用费应包含在签约合同价中。</w:t>
      </w:r>
      <w:r/>
    </w:p>
    <w:p>
      <w:pPr>
        <w:ind w:firstLine="482"/>
        <w:spacing w:line="44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七、验收 </w:t>
      </w:r>
      <w:r/>
    </w:p>
    <w:p>
      <w:pPr>
        <w:ind w:firstLine="480"/>
        <w:spacing w:line="44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提交的成果资料符合相关规范、符合</w:t>
      </w:r>
      <w:r>
        <w:rPr>
          <w:rFonts w:hint="eastAsia" w:ascii="宋体" w:hAnsi="宋体" w:cs="宋体"/>
          <w:color w:val="000000"/>
          <w:sz w:val="24"/>
          <w:highlight w:val="none"/>
        </w:rPr>
        <w:t xml:space="preserve">泗阳县自然资源和规划局</w:t>
      </w:r>
      <w:r>
        <w:rPr>
          <w:rFonts w:ascii="宋体" w:hAnsi="宋体" w:cs="宋体"/>
          <w:color w:val="000000"/>
          <w:sz w:val="24"/>
          <w:highlight w:val="none"/>
        </w:rPr>
        <w:t xml:space="preserve">有关要求，并顺利通过采购人验收合格。</w:t>
      </w:r>
      <w:r/>
    </w:p>
    <w:p>
      <w:pPr>
        <w:ind w:firstLine="482"/>
        <w:spacing w:line="440" w:lineRule="exact"/>
        <w:widowControl/>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八、</w:t>
      </w:r>
      <w:r>
        <w:rPr>
          <w:rFonts w:ascii="宋体" w:hAnsi="宋体" w:cs="宋体"/>
          <w:b/>
          <w:color w:val="000000"/>
          <w:sz w:val="24"/>
          <w:highlight w:val="none"/>
        </w:rPr>
        <w:t xml:space="preserve">违约条款</w:t>
      </w:r>
      <w:r/>
    </w:p>
    <w:p>
      <w:pPr>
        <w:ind w:firstLine="480"/>
        <w:spacing w:line="44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 本项目不得转包或未经甲方书面同意分包，如有发生，甲方有权单方解除合同，要求乙方无条件清场，因此产生的全部损失和法律责任由乙方自行承担，乙方应退还甲方全部已支付的全部合同款项外，还应支付合同价款总额</w:t>
      </w:r>
      <w:r>
        <w:rPr>
          <w:rFonts w:ascii="宋体" w:hAnsi="宋体" w:cs="宋体"/>
          <w:color w:val="000000"/>
          <w:sz w:val="24"/>
          <w:highlight w:val="none"/>
          <w:u w:val="single"/>
        </w:rPr>
        <w:t xml:space="preserve"> 10% </w:t>
      </w:r>
      <w:r>
        <w:rPr>
          <w:rFonts w:ascii="宋体" w:hAnsi="宋体" w:cs="宋体"/>
          <w:color w:val="000000"/>
          <w:sz w:val="24"/>
          <w:highlight w:val="none"/>
        </w:rPr>
        <w:t xml:space="preserve">的违约金。</w:t>
      </w:r>
      <w:r/>
    </w:p>
    <w:p>
      <w:pPr>
        <w:ind w:firstLine="480"/>
        <w:spacing w:line="44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2.乙方未按照合同约定期限交付服务成果的（包括计划书、中间成果、最终成果及相关配套资料等），乙方应承担逾期交付的违约责任，按逾期每日</w:t>
      </w:r>
      <w:r>
        <w:rPr>
          <w:rFonts w:ascii="宋体" w:hAnsi="宋体" w:cs="宋体"/>
          <w:color w:val="000000"/>
          <w:sz w:val="24"/>
          <w:highlight w:val="none"/>
          <w:u w:val="single"/>
        </w:rPr>
        <w:t xml:space="preserve"> 5‰ </w:t>
      </w:r>
      <w:r>
        <w:rPr>
          <w:rFonts w:ascii="宋体" w:hAnsi="宋体" w:cs="宋体"/>
          <w:color w:val="000000"/>
          <w:sz w:val="24"/>
          <w:highlight w:val="none"/>
        </w:rPr>
        <w:t xml:space="preserve">向甲方支付相应违约金（最高限额为合同价款总额的10%），甲方有权从应付合同款项直接抵扣相应费用。乙方逾期交付达到</w:t>
      </w:r>
      <w:r>
        <w:rPr>
          <w:rFonts w:ascii="宋体" w:hAnsi="宋体" w:cs="宋体"/>
          <w:color w:val="000000"/>
          <w:sz w:val="24"/>
          <w:highlight w:val="none"/>
          <w:u w:val="single"/>
        </w:rPr>
        <w:t xml:space="preserve">20</w:t>
      </w:r>
      <w:r>
        <w:rPr>
          <w:rFonts w:ascii="宋体" w:hAnsi="宋体" w:cs="宋体"/>
          <w:color w:val="000000"/>
          <w:sz w:val="24"/>
          <w:highlight w:val="none"/>
        </w:rPr>
        <w:t xml:space="preserve">日仍未能完成交付的，甲方可解除合同，相关损失和责任由乙方承担。因甲方原因导致逾期交付的，不视为乙方违约，交付期限可相应顺延。</w:t>
      </w:r>
      <w:r/>
    </w:p>
    <w:p>
      <w:pPr>
        <w:ind w:firstLine="480"/>
        <w:spacing w:line="44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乙方交付的服务成果、服务标准不符合合同约定的，甲方有权要求乙方无偿整改直至符合合同约定，因此造成逾期交付的，乙方应按逾期交付相关约定承担违约责任。乙方拒绝整改或者经整改后仍然无法达到合同要求的，甲方有权拒绝接收成果并解除合同，乙方应赔偿甲方因此造成的相关损失，并承担合同价款总额</w:t>
      </w:r>
      <w:r>
        <w:rPr>
          <w:rFonts w:ascii="宋体" w:hAnsi="宋体" w:cs="宋体"/>
          <w:color w:val="000000"/>
          <w:sz w:val="24"/>
          <w:highlight w:val="none"/>
          <w:u w:val="single"/>
        </w:rPr>
        <w:t xml:space="preserve"> 5% </w:t>
      </w:r>
      <w:r>
        <w:rPr>
          <w:rFonts w:ascii="宋体" w:hAnsi="宋体" w:cs="宋体"/>
          <w:color w:val="000000"/>
          <w:sz w:val="24"/>
          <w:highlight w:val="none"/>
        </w:rPr>
        <w:t xml:space="preserve">的违约金。</w:t>
      </w:r>
      <w:r/>
    </w:p>
    <w:p>
      <w:pPr>
        <w:ind w:firstLine="480"/>
        <w:spacing w:line="44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4.乙方未经甲方同意，擅自调整、更换项目组负责人、成员的，甲方有权要求乙方限期整改，乙方拒不整改或者在</w:t>
      </w:r>
      <w:r>
        <w:rPr>
          <w:rFonts w:ascii="宋体" w:hAnsi="宋体" w:cs="宋体"/>
          <w:color w:val="000000"/>
          <w:sz w:val="24"/>
          <w:highlight w:val="none"/>
          <w:u w:val="single"/>
        </w:rPr>
        <w:t xml:space="preserve"> 3 </w:t>
      </w:r>
      <w:r>
        <w:rPr>
          <w:rFonts w:ascii="宋体" w:hAnsi="宋体" w:cs="宋体"/>
          <w:color w:val="000000"/>
          <w:sz w:val="24"/>
          <w:highlight w:val="none"/>
        </w:rPr>
        <w:t xml:space="preserve">日整改后仍不符合合同及服务承诺要求的，甲方有权解除合同，乙方应赔偿甲方因此造成的相关损失，并承担合同价款总额</w:t>
      </w:r>
      <w:r>
        <w:rPr>
          <w:rFonts w:ascii="宋体" w:hAnsi="宋体" w:cs="宋体"/>
          <w:color w:val="000000"/>
          <w:sz w:val="24"/>
          <w:highlight w:val="none"/>
          <w:u w:val="single"/>
        </w:rPr>
        <w:t xml:space="preserve"> 5% </w:t>
      </w:r>
      <w:r>
        <w:rPr>
          <w:rFonts w:ascii="宋体" w:hAnsi="宋体" w:cs="宋体"/>
          <w:color w:val="000000"/>
          <w:sz w:val="24"/>
          <w:highlight w:val="none"/>
        </w:rPr>
        <w:t xml:space="preserve">的违约金。</w:t>
      </w:r>
      <w:r/>
    </w:p>
    <w:p>
      <w:pPr>
        <w:ind w:firstLine="480"/>
        <w:spacing w:line="44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5.乙方违反合同约定的保密、知识产权等规定，侵害甲方或者第三方合法权益的，乙方应自行承担全部法律责任，全额赔偿甲方因此产生的所有损失，并支付合同价款总额</w:t>
      </w:r>
      <w:r>
        <w:rPr>
          <w:rFonts w:ascii="宋体" w:hAnsi="宋体" w:cs="宋体"/>
          <w:color w:val="000000"/>
          <w:sz w:val="24"/>
          <w:highlight w:val="none"/>
          <w:u w:val="single"/>
        </w:rPr>
        <w:t xml:space="preserve"> 10% </w:t>
      </w:r>
      <w:r>
        <w:rPr>
          <w:rFonts w:ascii="宋体" w:hAnsi="宋体" w:cs="宋体"/>
          <w:color w:val="000000"/>
          <w:sz w:val="24"/>
          <w:highlight w:val="none"/>
        </w:rPr>
        <w:t xml:space="preserve">的违约金。</w:t>
      </w:r>
      <w:r/>
    </w:p>
    <w:p>
      <w:pPr>
        <w:ind w:firstLine="480"/>
        <w:spacing w:line="44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甲方无正当理由拒绝接收乙方已按照约定完成并符合标准的服务成果（包括计划书、中间成果、最终成果及相关配套资料等），逾期超过合理期限的，乙方可以解除合同，并要求甲方支付已完成合格工作量相应的合同款项，并承担合同价款总额</w:t>
      </w:r>
      <w:r>
        <w:rPr>
          <w:rFonts w:ascii="宋体" w:hAnsi="宋体" w:cs="宋体"/>
          <w:color w:val="000000"/>
          <w:sz w:val="24"/>
          <w:highlight w:val="none"/>
          <w:u w:val="single"/>
        </w:rPr>
        <w:t xml:space="preserve">1% </w:t>
      </w:r>
      <w:r>
        <w:rPr>
          <w:rFonts w:ascii="宋体" w:hAnsi="宋体" w:cs="宋体"/>
          <w:color w:val="000000"/>
          <w:sz w:val="24"/>
          <w:highlight w:val="none"/>
        </w:rPr>
        <w:t xml:space="preserve">的违约金。</w:t>
      </w:r>
      <w:r/>
    </w:p>
    <w:p>
      <w:pPr>
        <w:ind w:firstLine="480"/>
        <w:spacing w:line="44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甲方未按照合同约定支付款项，逾期超过合理期限的，乙方有权暂停相关服务且不承担违约责任；逾期时间较长已影响合同正常履行的，乙方有权解除合同，并要求甲方足额支付已完成合格工作相应的合同款项及按同期全国银行间同业拆借中心公布的贷款市场报价利率(LPR)计付的利息。</w:t>
      </w:r>
      <w:r/>
    </w:p>
    <w:p>
      <w:pPr>
        <w:ind w:firstLine="480"/>
        <w:spacing w:line="44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8.因本项目条件发生重大变化或者国家政策变更或者甲方上级工作要求变化，导致部分或全部迟延履行或履行不能的，甲方可以解除或者变更合同，双方按照乙方已实际完成且验收合格的工作量据实结算费用，互不承担违约责任。</w:t>
      </w:r>
      <w:r/>
    </w:p>
    <w:p>
      <w:pPr>
        <w:ind w:firstLine="480"/>
        <w:spacing w:line="44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9.如果出现政府采购监督管理部门在处理投诉该项目事项期间，书面通知甲方暂停采购活动的情形，或者询问或质疑事项可能影响中标结果的，导致甲方中止或终止履行合同的情形，均不视为甲方违约。</w:t>
      </w:r>
      <w:r/>
    </w:p>
    <w:p>
      <w:pPr>
        <w:ind w:firstLine="560"/>
        <w:spacing w:line="44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 除不可抗力外，任何一方未能履行本合同约定的其他主要义务，经催告后在合理期限内仍未履行的，或者任何一方有其他违约行为致使不能实现合同目的的，或者任何一方有腐败、欺诈行为影响合同签订、履行的，守约方有权单方面解除合同，违约方应当赔偿守约方全部实际损失，并承担合同价款总额</w:t>
      </w:r>
      <w:r>
        <w:rPr>
          <w:rFonts w:ascii="宋体" w:hAnsi="宋体" w:cs="宋体"/>
          <w:color w:val="000000"/>
          <w:sz w:val="24"/>
          <w:highlight w:val="none"/>
          <w:u w:val="single"/>
        </w:rPr>
        <w:t xml:space="preserve">5%的</w:t>
      </w:r>
      <w:r>
        <w:rPr>
          <w:rFonts w:ascii="宋体" w:hAnsi="宋体" w:cs="宋体"/>
          <w:color w:val="000000"/>
          <w:sz w:val="24"/>
          <w:highlight w:val="none"/>
        </w:rPr>
        <w:t xml:space="preserve">违约金。</w:t>
      </w:r>
      <w:r/>
    </w:p>
    <w:p>
      <w:pPr>
        <w:spacing w:line="44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九、合同生效</w:t>
      </w:r>
      <w:r/>
    </w:p>
    <w:p>
      <w:pPr>
        <w:ind w:firstLine="480"/>
        <w:spacing w:line="44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本合同经甲方、乙方签字盖章后生效，合同签订的内容不能超出招标文件和投标文件的实质性内容。</w:t>
      </w:r>
      <w:r/>
    </w:p>
    <w:p>
      <w:pPr>
        <w:spacing w:line="44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十、合同的组成部分</w:t>
      </w:r>
      <w:r/>
    </w:p>
    <w:p>
      <w:pPr>
        <w:ind w:firstLine="480"/>
        <w:spacing w:line="44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本合同条款、中标通知书、比选文件、投标文件及供应商在开标时的书面承诺等构成合同的组成部分。 </w:t>
      </w:r>
      <w:r/>
    </w:p>
    <w:p>
      <w:pPr>
        <w:spacing w:line="44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十一、合同份数</w:t>
      </w:r>
      <w:r/>
    </w:p>
    <w:p>
      <w:pPr>
        <w:ind w:firstLine="480"/>
        <w:spacing w:line="44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本合同一式肆份，以中文书写，甲方、乙方各执贰份。</w:t>
      </w:r>
      <w:r/>
    </w:p>
    <w:p>
      <w:pPr>
        <w:spacing w:line="44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十二、本合同一切未尽事宜，按民法典有关规定执行，无相关规定的，由甲乙双方协商解决。</w:t>
      </w:r>
      <w:r/>
    </w:p>
    <w:p>
      <w:pPr>
        <w:jc w:val="center"/>
        <w:spacing w:line="440" w:lineRule="exact"/>
        <w:widowControl/>
        <w:rPr>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szCs w:val="28"/>
          <w:highlight w:val="none"/>
        </w:rPr>
        <w:t xml:space="preserve">第二部分通用条款</w:t>
      </w:r>
      <w:r/>
    </w:p>
    <w:p>
      <w:pPr>
        <w:spacing w:line="44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十三、词语</w:t>
      </w:r>
      <w:r>
        <w:rPr>
          <w:rFonts w:hint="eastAsia" w:ascii="宋体" w:hAnsi="宋体" w:cs="宋体"/>
          <w:b/>
          <w:color w:val="000000"/>
          <w:sz w:val="24"/>
          <w:highlight w:val="none"/>
        </w:rPr>
        <w:t xml:space="preserve">含义</w:t>
      </w:r>
      <w:r/>
    </w:p>
    <w:p>
      <w:pPr>
        <w:ind w:firstLine="480"/>
        <w:spacing w:line="44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（一）合同：甲乙双方签署的、合同格式中载明的甲方与乙方所达成的协议，包括所有的附件、附录和构成合同的所有文件。</w:t>
      </w:r>
      <w:r/>
    </w:p>
    <w:p>
      <w:pPr>
        <w:ind w:firstLine="480"/>
        <w:spacing w:line="44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（二）合同价：根据合同规定，乙方在正确地完全履行合同义务后甲方应支付给卖方的价格。</w:t>
      </w:r>
      <w:r/>
    </w:p>
    <w:p>
      <w:pPr>
        <w:ind w:firstLine="480"/>
        <w:spacing w:line="44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（三）甲方：采购单位，即</w:t>
      </w:r>
      <w:r>
        <w:rPr>
          <w:rFonts w:hint="eastAsia" w:ascii="宋体" w:hAnsi="宋体" w:cs="宋体"/>
          <w:color w:val="000000"/>
          <w:sz w:val="24"/>
          <w:highlight w:val="none"/>
          <w:u w:val="single"/>
        </w:rPr>
        <w:t xml:space="preserve">泗阳县自然资源和规划局</w:t>
      </w:r>
      <w:r>
        <w:rPr>
          <w:rFonts w:ascii="宋体" w:hAnsi="宋体" w:cs="宋体"/>
          <w:color w:val="000000"/>
          <w:sz w:val="24"/>
          <w:highlight w:val="none"/>
        </w:rPr>
        <w:t xml:space="preserve">; </w:t>
      </w:r>
      <w:r/>
    </w:p>
    <w:p>
      <w:pPr>
        <w:ind w:firstLine="480"/>
        <w:spacing w:line="44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（四）乙方：提供服务的公司或实体，即</w:t>
      </w:r>
      <w:r>
        <w:rPr>
          <w:rFonts w:ascii="宋体" w:hAnsi="宋体" w:cs="宋体"/>
          <w:color w:val="000000"/>
          <w:sz w:val="24"/>
          <w:highlight w:val="none"/>
          <w:u w:val="single"/>
        </w:rPr>
        <w:t xml:space="preserve">           </w:t>
      </w:r>
      <w:r>
        <w:rPr>
          <w:rFonts w:ascii="宋体" w:hAnsi="宋体" w:cs="宋体"/>
          <w:color w:val="000000"/>
          <w:sz w:val="24"/>
          <w:highlight w:val="none"/>
        </w:rPr>
        <w:t xml:space="preserve">。</w:t>
      </w:r>
      <w:r/>
    </w:p>
    <w:p>
      <w:pPr>
        <w:ind w:firstLine="480"/>
        <w:spacing w:line="44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（五）不可抗力：指</w:t>
      </w:r>
      <w:r>
        <w:rPr>
          <w:rFonts w:ascii="宋体" w:hAnsi="宋体" w:cs="宋体"/>
          <w:color w:val="000000"/>
          <w:spacing w:val="8"/>
          <w:sz w:val="24"/>
          <w:highlight w:val="none"/>
        </w:rPr>
        <w:t xml:space="preserve">不能预见、不能避免和不能克服的客观情况，</w:t>
      </w:r>
      <w:r>
        <w:rPr>
          <w:rFonts w:ascii="宋体" w:hAnsi="宋体" w:cs="宋体"/>
          <w:color w:val="000000"/>
          <w:sz w:val="24"/>
          <w:highlight w:val="none"/>
        </w:rPr>
        <w:t xml:space="preserve">如战争、动乱、空中飞行物体坠落或</w:t>
      </w:r>
      <w:r>
        <w:rPr>
          <w:rFonts w:hint="eastAsia" w:ascii="宋体" w:hAnsi="宋体" w:cs="宋体"/>
          <w:color w:val="000000"/>
          <w:sz w:val="24"/>
          <w:highlight w:val="none"/>
        </w:rPr>
        <w:t xml:space="preserve">其他</w:t>
      </w:r>
      <w:r>
        <w:rPr>
          <w:rFonts w:ascii="宋体" w:hAnsi="宋体" w:cs="宋体"/>
          <w:color w:val="000000"/>
          <w:sz w:val="24"/>
          <w:highlight w:val="none"/>
        </w:rPr>
        <w:t xml:space="preserve">非甲乙方责任造成的爆炸、火灾，以及协议条款约定等级以上的风、雨、雪、地震等。</w:t>
      </w:r>
      <w:r/>
    </w:p>
    <w:p>
      <w:pPr>
        <w:spacing w:line="44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十四、技术规格</w:t>
      </w:r>
      <w:r/>
    </w:p>
    <w:p>
      <w:pPr>
        <w:ind w:firstLine="480"/>
        <w:spacing w:line="44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乙方所</w:t>
      </w:r>
      <w:r>
        <w:rPr>
          <w:rFonts w:hint="eastAsia" w:ascii="宋体" w:hAnsi="宋体" w:cs="宋体"/>
          <w:color w:val="000000"/>
          <w:sz w:val="24"/>
          <w:highlight w:val="none"/>
        </w:rPr>
        <w:t xml:space="preserve">提供</w:t>
      </w:r>
      <w:r>
        <w:rPr>
          <w:rFonts w:ascii="宋体" w:hAnsi="宋体" w:cs="宋体"/>
          <w:color w:val="000000"/>
          <w:sz w:val="24"/>
          <w:highlight w:val="none"/>
        </w:rPr>
        <w:t xml:space="preserve">服务物的技术规格应与招标文件规定的技术规格以及所附的技术规格响应表相一致。</w:t>
      </w:r>
      <w:r/>
    </w:p>
    <w:p>
      <w:pPr>
        <w:spacing w:line="44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十五、付款</w:t>
      </w:r>
      <w:r/>
    </w:p>
    <w:p>
      <w:pPr>
        <w:ind w:firstLine="480"/>
        <w:spacing w:line="44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本合同以人民币付款。</w:t>
      </w:r>
      <w:r/>
    </w:p>
    <w:p>
      <w:pPr>
        <w:spacing w:line="44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十六、误期赔偿</w:t>
      </w:r>
      <w:r/>
    </w:p>
    <w:p>
      <w:pPr>
        <w:ind w:firstLine="480"/>
        <w:spacing w:line="44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除合同规定外，如果乙方没有按照合同规定的时间服务和提供服务，甲方将从货款中扣除误期赔偿费而不影响合同项目的其他补救方法，每延迟交付一天，按合同总价款的5‰支付违约金；延期超过20日，甲方有权强制解除合同，乙方承担责任，并赔偿因延期交付造成的损失。</w:t>
      </w:r>
      <w:r/>
    </w:p>
    <w:p>
      <w:pPr>
        <w:spacing w:line="44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十七、不可抗力</w:t>
      </w:r>
      <w:r/>
    </w:p>
    <w:p>
      <w:pPr>
        <w:ind w:firstLine="480"/>
        <w:spacing w:line="44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p>
    <w:p>
      <w:pPr>
        <w:spacing w:line="44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十八、税费</w:t>
      </w:r>
      <w:r/>
    </w:p>
    <w:p>
      <w:pPr>
        <w:ind w:firstLine="480"/>
        <w:spacing w:line="44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中国政府根据现行税法规定对甲方征收的与本合同有关的一切税费由甲方负担；规定对乙方征收的与本合同有关的一切税费由乙方负担。</w:t>
      </w:r>
      <w:r/>
    </w:p>
    <w:p>
      <w:pPr>
        <w:spacing w:line="44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十九、合同争议</w:t>
      </w:r>
      <w:r/>
    </w:p>
    <w:p>
      <w:pPr>
        <w:ind w:firstLine="480"/>
        <w:spacing w:line="44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甲乙双方应通过友好协商，解决在执行本合同中所发生的或与本合同有关的一切争议。如果协商仍得不到解决，任何一方均可按“</w:t>
      </w:r>
      <w:r>
        <w:rPr>
          <w:rFonts w:hint="eastAsia" w:ascii="宋体" w:hAnsi="宋体" w:cs="宋体"/>
          <w:color w:val="000000"/>
          <w:sz w:val="24"/>
          <w:highlight w:val="none"/>
        </w:rPr>
        <w:t xml:space="preserve">《中华人民共和国民法典》</w:t>
      </w:r>
      <w:r>
        <w:rPr>
          <w:rFonts w:ascii="宋体" w:hAnsi="宋体" w:cs="宋体"/>
          <w:color w:val="000000"/>
          <w:sz w:val="24"/>
          <w:highlight w:val="none"/>
        </w:rPr>
        <w:t xml:space="preserve">”规定提交调解和仲裁。   </w:t>
      </w:r>
      <w:r/>
    </w:p>
    <w:p>
      <w:pPr>
        <w:spacing w:line="44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二十、适用法律</w:t>
      </w:r>
      <w:r/>
    </w:p>
    <w:p>
      <w:pPr>
        <w:ind w:firstLine="480"/>
        <w:spacing w:line="44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本合同应按照中华人民共和国的现行法律进行解释。</w:t>
      </w:r>
      <w:r/>
    </w:p>
    <w:p>
      <w:pPr>
        <w:ind w:left="480" w:hanging="480"/>
        <w:spacing w:before="120" w:after="120"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sz w:val="24"/>
          <w:szCs w:val="24"/>
          <w:highlight w:val="none"/>
        </w:rPr>
      </w:r>
      <w:r/>
    </w:p>
    <w:p>
      <w:pPr>
        <w:ind w:left="480" w:hanging="480"/>
        <w:spacing w:before="120" w:after="120"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sz w:val="24"/>
          <w:szCs w:val="24"/>
          <w:highlight w:val="none"/>
        </w:rPr>
      </w:r>
      <w:r/>
    </w:p>
    <w:p>
      <w:pPr>
        <w:ind w:left="480" w:hanging="480"/>
        <w:spacing w:before="120" w:after="120"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4"/>
          <w:szCs w:val="24"/>
          <w:highlight w:val="none"/>
        </w:rPr>
        <w:t xml:space="preserve">甲方：               乙方：</w:t>
      </w:r>
      <w:r/>
    </w:p>
    <w:p>
      <w:pPr>
        <w:spacing w:before="120" w:after="120"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4"/>
          <w:szCs w:val="24"/>
          <w:highlight w:val="none"/>
        </w:rPr>
        <w:t xml:space="preserve">地址：                地址：</w:t>
      </w:r>
      <w:r/>
    </w:p>
    <w:p>
      <w:pPr>
        <w:spacing w:before="120" w:after="120"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4"/>
          <w:szCs w:val="24"/>
          <w:highlight w:val="none"/>
        </w:rPr>
        <w:t xml:space="preserve">法定代表人或授权代表：       法定代表人或授权代表：         </w:t>
      </w:r>
      <w:r/>
    </w:p>
    <w:p>
      <w:pPr>
        <w:pStyle w:val="1142"/>
        <w:rPr>
          <w:color w:val="000000" w:themeColor="text1"/>
          <w:szCs w:val="22"/>
          <w:highlight w:val="none"/>
          <w14:textFill>
            <w14:solidFill>
              <w14:schemeClr w14:val="tx1"/>
            </w14:solidFill>
          </w14:textFill>
        </w:rPr>
      </w:pPr>
      <w:r>
        <w:rPr>
          <w:rFonts w:hint="eastAsia" w:ascii="宋体" w:hAnsi="宋体" w:cs="宋体"/>
          <w:sz w:val="24"/>
          <w:szCs w:val="24"/>
          <w:highlight w:val="none"/>
        </w:rPr>
        <w:t xml:space="preserve">签订日期： 年  月  日          签订日期： 年  月  日</w:t>
      </w:r>
      <w:r>
        <w:rPr>
          <w:rFonts w:hint="eastAsia"/>
          <w:color w:val="000000" w:themeColor="text1"/>
          <w:szCs w:val="22"/>
          <w:highlight w:val="none"/>
          <w14:textFill>
            <w14:solidFill>
              <w14:schemeClr w14:val="tx1"/>
            </w14:solidFill>
          </w14:textFill>
        </w:rPr>
        <w:t xml:space="preserve"> </w:t>
      </w:r>
      <w:r/>
    </w:p>
    <w:p>
      <w:pPr>
        <w:pStyle w:val="1040"/>
        <w:spacing w:before="120" w:after="120" w:line="0" w:lineRule="atLeast"/>
        <w:rPr>
          <w:rFonts w:ascii="Times New Roman" w:hAnsi="Times New Roman" w:eastAsia="黑体"/>
          <w:bCs/>
          <w:color w:val="000000" w:themeColor="text1"/>
          <w:sz w:val="44"/>
          <w:highlight w:val="none"/>
          <w14:textFill>
            <w14:solidFill>
              <w14:schemeClr w14:val="tx1"/>
            </w14:solidFill>
          </w14:textFill>
        </w:rPr>
      </w:pPr>
      <w:r>
        <w:rPr>
          <w:rFonts w:ascii="Times New Roman" w:hAnsi="Times New Roman" w:eastAsia="黑体"/>
          <w:bCs/>
          <w:color w:val="000000" w:themeColor="text1"/>
          <w:sz w:val="44"/>
          <w:highlight w:val="none"/>
          <w14:textFill>
            <w14:solidFill>
              <w14:schemeClr w14:val="tx1"/>
            </w14:solidFill>
          </w14:textFill>
        </w:rPr>
      </w:r>
      <w:r/>
    </w:p>
    <w:p>
      <w:pPr>
        <w:pStyle w:val="1040"/>
        <w:spacing w:before="120" w:after="120" w:line="0" w:lineRule="atLeast"/>
        <w:rPr>
          <w:rFonts w:ascii="Times New Roman" w:hAnsi="Times New Roman" w:eastAsia="黑体"/>
          <w:color w:val="000000" w:themeColor="text1"/>
          <w:sz w:val="44"/>
          <w:szCs w:val="44"/>
          <w:highlight w:val="none"/>
          <w14:textFill>
            <w14:solidFill>
              <w14:schemeClr w14:val="tx1"/>
            </w14:solidFill>
          </w14:textFill>
        </w:rPr>
      </w:pPr>
      <w:r>
        <w:rPr>
          <w:rFonts w:ascii="Times New Roman" w:hAnsi="Times New Roman" w:eastAsia="黑体"/>
          <w:color w:val="000000" w:themeColor="text1"/>
          <w:sz w:val="44"/>
          <w:szCs w:val="44"/>
          <w:highlight w:val="none"/>
          <w14:textFill>
            <w14:solidFill>
              <w14:schemeClr w14:val="tx1"/>
            </w14:solidFill>
          </w14:textFill>
        </w:rPr>
      </w:r>
      <w:r/>
    </w:p>
    <w:p>
      <w:pPr>
        <w:pStyle w:val="1040"/>
        <w:spacing w:before="120" w:after="120" w:line="0" w:lineRule="atLeast"/>
        <w:rPr>
          <w:rFonts w:ascii="Times New Roman" w:hAnsi="Times New Roman" w:eastAsia="黑体"/>
          <w:bCs/>
          <w:color w:val="000000" w:themeColor="text1"/>
          <w:sz w:val="44"/>
          <w:highlight w:val="none"/>
          <w14:textFill>
            <w14:solidFill>
              <w14:schemeClr w14:val="tx1"/>
            </w14:solidFill>
          </w14:textFill>
        </w:rPr>
      </w:pPr>
      <w:r>
        <w:rPr>
          <w:rFonts w:ascii="Times New Roman" w:hAnsi="Times New Roman" w:eastAsia="黑体"/>
          <w:bCs/>
          <w:color w:val="000000" w:themeColor="text1"/>
          <w:sz w:val="44"/>
          <w:highlight w:val="none"/>
          <w14:textFill>
            <w14:solidFill>
              <w14:schemeClr w14:val="tx1"/>
            </w14:solidFill>
          </w14:textFill>
        </w:rPr>
      </w:r>
      <w:r/>
    </w:p>
    <w:p>
      <w:pPr>
        <w:pStyle w:val="1040"/>
        <w:spacing w:before="120" w:after="120" w:line="0" w:lineRule="atLeast"/>
        <w:rPr>
          <w:rFonts w:ascii="Times New Roman" w:hAnsi="Times New Roman" w:eastAsia="黑体"/>
          <w:bCs/>
          <w:color w:val="000000" w:themeColor="text1"/>
          <w:sz w:val="44"/>
          <w:highlight w:val="none"/>
          <w14:textFill>
            <w14:solidFill>
              <w14:schemeClr w14:val="tx1"/>
            </w14:solidFill>
          </w14:textFill>
        </w:rPr>
      </w:pPr>
      <w:r>
        <w:rPr>
          <w:rFonts w:ascii="Times New Roman" w:hAnsi="Times New Roman" w:eastAsia="黑体"/>
          <w:bCs/>
          <w:color w:val="000000" w:themeColor="text1"/>
          <w:sz w:val="44"/>
          <w:highlight w:val="none"/>
          <w14:textFill>
            <w14:solidFill>
              <w14:schemeClr w14:val="tx1"/>
            </w14:solidFill>
          </w14:textFill>
        </w:rPr>
      </w:r>
      <w:r/>
    </w:p>
    <w:p>
      <w:pPr>
        <w:pStyle w:val="1040"/>
        <w:jc w:val="center"/>
        <w:spacing w:before="120" w:after="120" w:line="0" w:lineRule="atLeast"/>
        <w:rPr>
          <w:rFonts w:ascii="Times New Roman" w:hAnsi="Times New Roman" w:eastAsia="黑体"/>
          <w:bCs/>
          <w:color w:val="000000" w:themeColor="text1"/>
          <w:sz w:val="44"/>
          <w:highlight w:val="none"/>
          <w14:textFill>
            <w14:solidFill>
              <w14:schemeClr w14:val="tx1"/>
            </w14:solidFill>
          </w14:textFill>
        </w:rPr>
      </w:pPr>
      <w:r>
        <w:rPr>
          <w:rFonts w:ascii="Times New Roman" w:hAnsi="Times New Roman" w:eastAsia="黑体"/>
          <w:bCs/>
          <w:color w:val="000000" w:themeColor="text1"/>
          <w:sz w:val="44"/>
          <w:highlight w:val="none"/>
          <w14:textFill>
            <w14:solidFill>
              <w14:schemeClr w14:val="tx1"/>
            </w14:solidFill>
          </w14:textFill>
        </w:rPr>
      </w:r>
      <w:r/>
    </w:p>
    <w:p>
      <w:pPr>
        <w:pStyle w:val="1040"/>
        <w:jc w:val="center"/>
        <w:spacing w:before="120" w:after="120" w:line="520" w:lineRule="exact"/>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eastAsia="黑体"/>
          <w:bCs/>
          <w:color w:val="000000" w:themeColor="text1"/>
          <w:sz w:val="44"/>
          <w:highlight w:val="none"/>
          <w14:textFill>
            <w14:solidFill>
              <w14:schemeClr w14:val="tx1"/>
            </w14:solidFill>
          </w14:textFill>
        </w:rPr>
        <w:t xml:space="preserve">第</w:t>
      </w:r>
      <w:bookmarkEnd w:id="188"/>
      <w:r>
        <w:rPr>
          <w:rFonts w:hint="eastAsia" w:ascii="Times New Roman" w:hAnsi="Times New Roman" w:eastAsia="黑体"/>
          <w:bCs/>
          <w:color w:val="000000" w:themeColor="text1"/>
          <w:sz w:val="44"/>
          <w:highlight w:val="none"/>
          <w14:textFill>
            <w14:solidFill>
              <w14:schemeClr w14:val="tx1"/>
            </w14:solidFill>
          </w14:textFill>
        </w:rPr>
        <w:t xml:space="preserve">四章 采购需求</w:t>
      </w:r>
      <w:bookmarkEnd w:id="189"/>
      <w:r/>
      <w:bookmarkEnd w:id="190"/>
      <w:r/>
      <w:bookmarkEnd w:id="191"/>
      <w:r/>
      <w:r/>
    </w:p>
    <w:p>
      <w:pPr>
        <w:pStyle w:val="1140"/>
        <w:ind w:firstLine="480"/>
        <w:spacing w:line="520" w:lineRule="exact"/>
        <w:widowControl/>
        <w:rPr>
          <w:rFonts w:ascii="宋体" w:hAnsi="宋体"/>
          <w:color w:val="000000" w:themeColor="text1"/>
          <w:sz w:val="24"/>
          <w:szCs w:val="24"/>
          <w:highlight w:val="none"/>
          <w14:textFill>
            <w14:solidFill>
              <w14:schemeClr w14:val="tx1"/>
            </w14:solidFill>
          </w14:textFill>
        </w:rPr>
      </w:pPr>
      <w:r/>
      <w:bookmarkStart w:id="194" w:name="_Toc49090575"/>
      <w:r/>
      <w:bookmarkStart w:id="195" w:name="_Toc26554093"/>
      <w:r>
        <w:rPr>
          <w:rFonts w:hint="eastAsia" w:ascii="宋体" w:hAnsi="宋体"/>
          <w:color w:val="000000" w:themeColor="text1"/>
          <w:sz w:val="24"/>
          <w:szCs w:val="24"/>
          <w:highlight w:val="none"/>
          <w14:textFill>
            <w14:solidFill>
              <w14:schemeClr w14:val="tx1"/>
            </w14:solidFill>
          </w14:textFill>
        </w:rPr>
        <w:t xml:space="preserve">项目属性：服务类项目</w:t>
      </w:r>
      <w:r/>
    </w:p>
    <w:p>
      <w:pPr>
        <w:pStyle w:val="1140"/>
        <w:ind w:firstLine="480"/>
        <w:spacing w:line="52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本项目采购标的对应的中小企业划分标准所属行业：</w:t>
      </w:r>
      <w:r>
        <w:rPr>
          <w:rFonts w:hint="eastAsia" w:ascii="宋体" w:hAnsi="宋体"/>
          <w:color w:val="000000" w:themeColor="text1"/>
          <w:sz w:val="24"/>
          <w:szCs w:val="24"/>
          <w:highlight w:val="none"/>
          <w:u w:val="single"/>
          <w14:textFill>
            <w14:solidFill>
              <w14:schemeClr w14:val="tx1"/>
            </w14:solidFill>
          </w14:textFill>
        </w:rPr>
        <w:t xml:space="preserve">其他未列明行业</w:t>
      </w:r>
      <w:r/>
    </w:p>
    <w:p>
      <w:pPr>
        <w:pStyle w:val="1140"/>
        <w:ind w:firstLine="480"/>
        <w:spacing w:line="52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本项目</w:t>
      </w:r>
      <w:r>
        <w:rPr>
          <w:rFonts w:hint="eastAsia" w:ascii="宋体" w:hAnsi="宋体"/>
          <w:color w:val="000000" w:themeColor="text1"/>
          <w:sz w:val="24"/>
          <w:szCs w:val="24"/>
          <w:highlight w:val="none"/>
          <w:u w:val="single"/>
          <w14:textFill>
            <w14:solidFill>
              <w14:schemeClr w14:val="tx1"/>
            </w14:solidFill>
          </w14:textFill>
        </w:rPr>
        <w:t xml:space="preserve">不接受</w:t>
      </w:r>
      <w:r>
        <w:rPr>
          <w:rFonts w:hint="eastAsia" w:ascii="宋体" w:hAnsi="宋体"/>
          <w:color w:val="000000" w:themeColor="text1"/>
          <w:sz w:val="24"/>
          <w:szCs w:val="24"/>
          <w:highlight w:val="none"/>
          <w14:textFill>
            <w14:solidFill>
              <w14:schemeClr w14:val="tx1"/>
            </w14:solidFill>
          </w14:textFill>
        </w:rPr>
        <w:t xml:space="preserve">进口产品。</w:t>
      </w:r>
      <w:r/>
    </w:p>
    <w:p>
      <w:pPr>
        <w:pStyle w:val="1140"/>
        <w:ind w:firstLine="482"/>
        <w:spacing w:line="520" w:lineRule="exact"/>
        <w:widowControl/>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一、项目背景</w:t>
      </w:r>
      <w:r/>
    </w:p>
    <w:p>
      <w:pPr>
        <w:ind w:firstLine="480"/>
        <w:spacing w:line="52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为进一步完善自然资源资产价格评估制度，加强对各类用途地价监测和管理。根据《江苏省自然资源厅关于开展自然资源评价评估工作建立公示地价体系的通知》（苏自然资函〔2019〕625号）、</w:t>
      </w:r>
      <w:r>
        <w:rPr>
          <w:rFonts w:hint="eastAsia" w:ascii="宋体" w:hAnsi="宋体" w:cs="宋体"/>
          <w:color w:val="000000"/>
          <w:sz w:val="24"/>
          <w:highlight w:val="none"/>
        </w:rPr>
        <w:t xml:space="preserve">《江苏省自然资源厅关于加快推进公示地价体系建设的通知》（苏自然资函〔2020〕400号）、</w:t>
      </w:r>
      <w:r>
        <w:rPr>
          <w:rFonts w:ascii="宋体" w:hAnsi="宋体" w:cs="宋体"/>
          <w:color w:val="000000"/>
          <w:sz w:val="24"/>
          <w:highlight w:val="none"/>
        </w:rPr>
        <w:t xml:space="preserve">《自然资源部办公厅关于加强城镇建设用地基准地价管理的通知》（自然资办发〔2024〕45号）等文件要求，</w:t>
      </w:r>
      <w:r>
        <w:rPr>
          <w:rFonts w:hint="eastAsia" w:ascii="宋体" w:hAnsi="宋体" w:cs="宋体"/>
          <w:color w:val="000000"/>
          <w:sz w:val="24"/>
          <w:highlight w:val="none"/>
        </w:rPr>
        <w:t xml:space="preserve">开展泗阳县城镇、农用地和集体建设用地基准地价更新等工作，具体为：1、2026年度泗阳县农用地基准地价评估(更新工作)；2、2026年度泗阳县集体建设用地基准地价评估(更新工作)；3、2026年度泗阳县城镇基准地价评估(商服、住宅、工业、公共管理与公共服务用地更新)；4、2026-2028年泗阳县城区地价动态监测；5、2026-2028年泗阳县城区标定地价评估。</w:t>
      </w:r>
      <w:r/>
    </w:p>
    <w:p>
      <w:pPr>
        <w:ind w:firstLine="480"/>
        <w:spacing w:line="520" w:lineRule="exact"/>
        <w:rPr>
          <w:b/>
          <w:bCs/>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（二）技术依据</w:t>
      </w:r>
      <w:r/>
    </w:p>
    <w:p>
      <w:pPr>
        <w:ind w:firstLine="480"/>
        <w:spacing w:line="52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（1）《自然资源分等定级通则》（TD/T 1060-2021）；</w:t>
      </w:r>
      <w:r/>
    </w:p>
    <w:p>
      <w:pPr>
        <w:ind w:firstLine="480"/>
        <w:spacing w:line="52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（2）《自然资源价格评估通则》（TD/T 1061-2021）。</w:t>
      </w:r>
      <w:r/>
    </w:p>
    <w:p>
      <w:pPr>
        <w:ind w:firstLine="480"/>
        <w:spacing w:line="52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（3）《城镇土地分等定级规程》（GB/T 18507-2014）；</w:t>
      </w:r>
      <w:r/>
    </w:p>
    <w:p>
      <w:pPr>
        <w:ind w:firstLine="480"/>
        <w:spacing w:line="52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（4）《城镇土地估价规程》（GB/T 18508-2014）；</w:t>
      </w:r>
      <w:r/>
    </w:p>
    <w:p>
      <w:pPr>
        <w:ind w:firstLine="480"/>
        <w:spacing w:line="52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（5）《土地利用现状分类标准》（GB/T 21010-2017）；</w:t>
      </w:r>
      <w:r/>
    </w:p>
    <w:p>
      <w:pPr>
        <w:ind w:firstLine="480"/>
        <w:spacing w:line="52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（6）《第三次全国国土调查技术规程》（TD/T 1055-2019）；</w:t>
      </w:r>
      <w:r/>
    </w:p>
    <w:p>
      <w:pPr>
        <w:ind w:firstLine="480"/>
        <w:spacing w:line="52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（7）《国土空间调查、规划、用途管制用地用海分类指南（试行）》；</w:t>
      </w:r>
      <w:r/>
    </w:p>
    <w:p>
      <w:pPr>
        <w:ind w:firstLine="480"/>
        <w:spacing w:line="52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（8）《城市地价动态监测技术规范》（TD/T 1009-2007）；</w:t>
      </w:r>
      <w:r/>
    </w:p>
    <w:p>
      <w:pPr>
        <w:ind w:firstLine="480"/>
        <w:spacing w:line="52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（9）《江苏省公示地价体系建设技术指引》（试行）；</w:t>
      </w:r>
      <w:r/>
    </w:p>
    <w:p>
      <w:pPr>
        <w:ind w:firstLine="480"/>
        <w:spacing w:line="52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（10）《标定地价规程》（TD/T 1052-2017）；</w:t>
      </w:r>
      <w:r/>
    </w:p>
    <w:p>
      <w:pPr>
        <w:ind w:firstLine="480"/>
        <w:spacing w:line="52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（11）《农用地定级规程》（GBT 28405—2012）；</w:t>
      </w:r>
      <w:r/>
    </w:p>
    <w:p>
      <w:pPr>
        <w:ind w:firstLine="480"/>
        <w:spacing w:line="52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（12）《农用地估价规程》（GB/T 28406—2012）；</w:t>
      </w:r>
      <w:r/>
    </w:p>
    <w:p>
      <w:pPr>
        <w:ind w:firstLine="480"/>
        <w:spacing w:line="52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（13）《园地分等定级规程》；</w:t>
      </w:r>
      <w:r/>
    </w:p>
    <w:p>
      <w:pPr>
        <w:ind w:firstLine="480"/>
        <w:spacing w:line="52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（14）《林地分等定级技术规范》；</w:t>
      </w:r>
      <w:r/>
    </w:p>
    <w:p>
      <w:pPr>
        <w:ind w:firstLine="480"/>
        <w:spacing w:line="52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（15）《草地分等定级技术规范》。</w:t>
      </w:r>
      <w:r/>
    </w:p>
    <w:p>
      <w:pPr>
        <w:ind w:firstLine="480"/>
        <w:spacing w:line="520" w:lineRule="exact"/>
        <w:rPr>
          <w:b/>
          <w:bCs/>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（三）</w:t>
      </w:r>
      <w:r>
        <w:rPr>
          <w:rFonts w:hint="eastAsia" w:ascii="宋体" w:hAnsi="宋体" w:cs="宋体"/>
          <w:b/>
          <w:bCs/>
          <w:color w:val="000000"/>
          <w:sz w:val="24"/>
          <w:highlight w:val="none"/>
          <w:lang w:eastAsia="zh-CN"/>
        </w:rPr>
        <w:t xml:space="preserve">服务</w:t>
      </w:r>
      <w:r>
        <w:rPr>
          <w:rFonts w:ascii="宋体" w:hAnsi="宋体" w:cs="宋体"/>
          <w:b/>
          <w:bCs/>
          <w:color w:val="000000"/>
          <w:sz w:val="24"/>
          <w:highlight w:val="none"/>
        </w:rPr>
        <w:t xml:space="preserve">内容</w:t>
      </w:r>
      <w:r/>
    </w:p>
    <w:p>
      <w:pPr>
        <w:ind w:firstLine="536"/>
        <w:jc w:val="left"/>
        <w:spacing w:line="520" w:lineRule="exact"/>
        <w:shd w:val="clear" w:color="auto" w:fill="ffffff"/>
        <w:widowControl/>
        <w:rPr>
          <w:color w:val="333333"/>
          <w:sz w:val="24"/>
          <w:highlight w:val="none"/>
        </w:rPr>
      </w:pPr>
      <w:r>
        <w:rPr>
          <w:rFonts w:hint="eastAsia"/>
          <w:color w:val="333333"/>
          <w:sz w:val="24"/>
          <w:highlight w:val="none"/>
        </w:rPr>
        <w:t xml:space="preserve">1.城镇建设用地基准地价更新。为了及时、准确、全面地掌握泗阳县各地价级别的土地价格变动状况，建立健全的泗阳县土地价格体系，实现泗阳县土地价格的实时、动态、科学化管理，科学制定宏观调控政策，提高自然资源管理水平，开展城区建设用地评估基准地价的制订</w:t>
      </w:r>
      <w:r>
        <w:rPr>
          <w:rFonts w:hint="eastAsia"/>
          <w:color w:val="333333"/>
          <w:sz w:val="24"/>
          <w:highlight w:val="none"/>
        </w:rPr>
        <w:t xml:space="preserve">、更新、公布与备案工作。工作内容主要包括：按照《江苏省自然资源厅关于开展自然资源评价评估工作建立公示地价体系的通知》苏自然资函〔2019〕625号文件要求，在泗阳县城区范围内，运用多因素多因子综合评价方法，根据影响土地级别的因素因子相似性和差异性评定出土地级别；经过对土地收益测算、土地市场交易资料测算和专家评议等多种方法相互验证、相互补充，确定土地级别、测算级别价格以及宗地地价评估修正体系建立，按自然资源部公布《国土空间调查、规划、用途管制用地用海分类指南》对应所有一级类、二级类用途进行分类定价和分级定价。</w:t>
      </w:r>
      <w:r/>
    </w:p>
    <w:p>
      <w:pPr>
        <w:ind w:firstLine="536"/>
        <w:jc w:val="left"/>
        <w:spacing w:line="520" w:lineRule="exact"/>
        <w:shd w:val="clear" w:color="auto" w:fill="ffffff"/>
        <w:widowControl/>
        <w:rPr>
          <w:color w:val="333333"/>
          <w:sz w:val="24"/>
          <w:highlight w:val="none"/>
        </w:rPr>
      </w:pPr>
      <w:r>
        <w:rPr>
          <w:rFonts w:hint="eastAsia"/>
          <w:color w:val="333333"/>
          <w:sz w:val="24"/>
          <w:highlight w:val="none"/>
        </w:rPr>
        <w:t xml:space="preserve">2.集体建设用地基准地价更新。为支撑农村土地制度改革和农垦改革发展，避免农用地资产流失，开展集体建设用地基准地价更新工作。工作内容主要包括：按照《江苏省自然资源厅关于开展自然资源评价评估工作建立公示地价体系的通知》苏自然资函〔2019〕625号文件要求，在泗阳县域范围内，集体建设用地土地级别的划分与确定，各级别基准地价的测算与确定以及宗地地价评估修正体系建立等。</w:t>
      </w:r>
      <w:r/>
    </w:p>
    <w:p>
      <w:pPr>
        <w:ind w:firstLine="536"/>
        <w:jc w:val="left"/>
        <w:spacing w:line="520" w:lineRule="exact"/>
        <w:shd w:val="clear" w:color="auto" w:fill="ffffff"/>
        <w:widowControl/>
        <w:rPr>
          <w:color w:val="333333"/>
          <w:sz w:val="24"/>
          <w:highlight w:val="none"/>
        </w:rPr>
      </w:pPr>
      <w:r>
        <w:rPr>
          <w:rFonts w:hint="eastAsia"/>
          <w:color w:val="333333"/>
          <w:sz w:val="24"/>
          <w:highlight w:val="none"/>
        </w:rPr>
        <w:t xml:space="preserve">3.农用地基准地价更新。为了与城镇建设用地、集体建设用地基准地价衔接，构建城乡统一公示地价体系，支撑城乡融合与要素平等交换，开展农用地基准地价更新工作。工作内容主要包括：按照《农用地定级规程》（GB/T 28405-2012）和《农用地估价规程》（GB/T 28406-2012），选取合适的因素因子，采用多因素多因子综合评价法对泗阳县域范围内的农用地土地级别的划分与确定，选取合适的方法，对各级别基准地价的测算、评估，并建立宗地地价评估修正体系等。</w:t>
      </w:r>
      <w:r/>
    </w:p>
    <w:p>
      <w:pPr>
        <w:ind w:firstLine="536"/>
        <w:jc w:val="left"/>
        <w:spacing w:line="520" w:lineRule="exact"/>
        <w:shd w:val="clear" w:color="auto" w:fill="ffffff"/>
        <w:widowControl/>
        <w:rPr>
          <w:color w:val="333333"/>
          <w:sz w:val="24"/>
          <w:highlight w:val="none"/>
        </w:rPr>
      </w:pPr>
      <w:r>
        <w:rPr>
          <w:rFonts w:hint="eastAsia"/>
          <w:color w:val="333333"/>
          <w:sz w:val="24"/>
          <w:highlight w:val="none"/>
        </w:rPr>
        <w:t xml:space="preserve">4.城区标定地价更新。标定地价是政府为管理需要确定的、符合一定条件的标准宗地土地权利价格，是宗地评估、地价管理和有关税费确定的重要依据。按照文件要求，全面启动城区标定地价体系建设更新工作。工作内容主要包括：根据《标定地价规程》（TD/T 1052-2017），按年度对原先划定的标定区域进行核查和调整，对原来的标准宗地进行复核、补设、调整等，收集标准宗地权属资料和案例信息，对标准宗地进行评估，编制标定地价更新报告，及时对标定地价进行公示等。</w:t>
      </w:r>
      <w:r/>
    </w:p>
    <w:p>
      <w:pPr>
        <w:ind w:firstLine="536"/>
        <w:jc w:val="left"/>
        <w:spacing w:line="520" w:lineRule="exact"/>
        <w:shd w:val="clear" w:color="auto" w:fill="ffffff"/>
        <w:widowControl/>
        <w:rPr>
          <w:color w:val="333333"/>
          <w:sz w:val="24"/>
          <w:highlight w:val="none"/>
        </w:rPr>
      </w:pPr>
      <w:r>
        <w:rPr>
          <w:rFonts w:hint="eastAsia"/>
          <w:color w:val="333333"/>
          <w:sz w:val="24"/>
          <w:highlight w:val="none"/>
        </w:rPr>
        <w:t xml:space="preserve">5.城市地价动态询查监测。地价动态监测的目的是真实、准确地反映季度和年度的地价变化趋势，及时提交城市地价动态监测成果；工作内容主要包括：按照《江苏省自然资源厅关于开展自然资源评价评估工作建立公示地价体系的通知》苏自然资函〔2019〕625号文件和国家以及省相关技术规范的要求，对年度地价动态监测点进行外业调查、补充并进行数据整理，核查、调整地价区段，测算监测点地价、区段平均地价、分用途地价、综合地价和地价指数。城镇地价动态监测成果在上级主管部门规定的时间内提交。</w:t>
      </w:r>
      <w:r/>
    </w:p>
    <w:p>
      <w:pPr>
        <w:keepLines/>
        <w:keepNext/>
        <w:spacing w:before="160" w:after="80" w:line="520" w:lineRule="exact"/>
        <w:rPr>
          <w:rFonts w:ascii="等线 Light" w:hAnsi="等线 Light"/>
          <w:b/>
          <w:bCs/>
          <w:color w:val="000000"/>
          <w:sz w:val="24"/>
          <w:szCs w:val="40"/>
          <w:highlight w:val="none"/>
          <w14:ligatures w14:val="standardContextual"/>
        </w:rPr>
        <w:outlineLvl w:val="1"/>
      </w:pPr>
      <w:r>
        <w:rPr>
          <w:rFonts w:ascii="宋体" w:hAnsi="宋体" w:cs="宋体"/>
          <w:b/>
          <w:bCs/>
          <w:color w:val="000000"/>
          <w:sz w:val="24"/>
          <w:highlight w:val="none"/>
        </w:rPr>
        <w:t xml:space="preserve">（四）</w:t>
      </w:r>
      <w:r>
        <w:rPr>
          <w:rFonts w:hint="eastAsia" w:ascii="等线 Light" w:hAnsi="等线 Light"/>
          <w:b/>
          <w:bCs/>
          <w:color w:val="000000"/>
          <w:sz w:val="24"/>
          <w:szCs w:val="40"/>
          <w:highlight w:val="none"/>
          <w14:ligatures w14:val="standardContextual"/>
        </w:rPr>
        <w:t xml:space="preserve">提交成果（包括但不限于以下成果）</w:t>
      </w:r>
      <w:r/>
    </w:p>
    <w:p>
      <w:pPr>
        <w:ind w:firstLine="536"/>
        <w:jc w:val="left"/>
        <w:spacing w:line="520" w:lineRule="exact"/>
        <w:shd w:val="clear" w:color="auto" w:fill="ffffff"/>
        <w:widowControl/>
        <w:rPr>
          <w:color w:val="333333"/>
          <w:sz w:val="24"/>
          <w:highlight w:val="none"/>
        </w:rPr>
      </w:pPr>
      <w:r>
        <w:rPr>
          <w:rFonts w:hint="eastAsia"/>
          <w:color w:val="333333"/>
          <w:sz w:val="24"/>
          <w:highlight w:val="none"/>
        </w:rPr>
        <w:t xml:space="preserve">1.城镇建设用地基准地价更新成果</w:t>
      </w:r>
      <w:r/>
    </w:p>
    <w:p>
      <w:pPr>
        <w:ind w:firstLine="536"/>
        <w:jc w:val="left"/>
        <w:spacing w:line="520" w:lineRule="exact"/>
        <w:shd w:val="clear" w:color="auto" w:fill="ffffff"/>
        <w:widowControl/>
        <w:rPr>
          <w:color w:val="333333"/>
          <w:sz w:val="24"/>
          <w:highlight w:val="none"/>
        </w:rPr>
      </w:pPr>
      <w:r>
        <w:rPr>
          <w:rFonts w:hint="eastAsia"/>
          <w:color w:val="333333"/>
          <w:sz w:val="24"/>
          <w:highlight w:val="none"/>
        </w:rPr>
        <w:t xml:space="preserve">（1）文字成果：泗阳县城区基准地价更新工作报告、技术报告。</w:t>
      </w:r>
      <w:r/>
    </w:p>
    <w:p>
      <w:pPr>
        <w:ind w:firstLine="536"/>
        <w:jc w:val="left"/>
        <w:spacing w:line="520" w:lineRule="exact"/>
        <w:shd w:val="clear" w:color="auto" w:fill="ffffff"/>
        <w:widowControl/>
        <w:rPr>
          <w:color w:val="333333"/>
          <w:sz w:val="24"/>
          <w:highlight w:val="none"/>
        </w:rPr>
      </w:pPr>
      <w:r>
        <w:rPr>
          <w:rFonts w:hint="eastAsia"/>
          <w:color w:val="333333"/>
          <w:sz w:val="24"/>
          <w:highlight w:val="none"/>
        </w:rPr>
        <w:t xml:space="preserve">（2）表格成果：泗阳县城镇土地级别面积统计表。</w:t>
      </w:r>
      <w:r/>
    </w:p>
    <w:p>
      <w:pPr>
        <w:ind w:firstLine="536"/>
        <w:jc w:val="left"/>
        <w:spacing w:line="520" w:lineRule="exact"/>
        <w:shd w:val="clear" w:color="auto" w:fill="ffffff"/>
        <w:widowControl/>
        <w:rPr>
          <w:color w:val="333333"/>
          <w:sz w:val="24"/>
          <w:highlight w:val="none"/>
        </w:rPr>
      </w:pPr>
      <w:r>
        <w:rPr>
          <w:rFonts w:hint="eastAsia"/>
          <w:color w:val="333333"/>
          <w:sz w:val="24"/>
          <w:highlight w:val="none"/>
        </w:rPr>
        <w:t xml:space="preserve">（3）图件成果：泗阳县城区基准地价图册。</w:t>
      </w:r>
      <w:r/>
    </w:p>
    <w:p>
      <w:pPr>
        <w:ind w:firstLine="536"/>
        <w:jc w:val="left"/>
        <w:spacing w:line="520" w:lineRule="exact"/>
        <w:shd w:val="clear" w:color="auto" w:fill="ffffff"/>
        <w:widowControl/>
        <w:rPr>
          <w:color w:val="333333"/>
          <w:sz w:val="24"/>
          <w:highlight w:val="none"/>
        </w:rPr>
      </w:pPr>
      <w:r>
        <w:rPr>
          <w:rFonts w:hint="eastAsia"/>
          <w:color w:val="333333"/>
          <w:sz w:val="24"/>
          <w:highlight w:val="none"/>
        </w:rPr>
        <w:t xml:space="preserve">（4）数据库成果：泗阳县城区基准地价数据库等成果。</w:t>
      </w:r>
      <w:r/>
    </w:p>
    <w:p>
      <w:pPr>
        <w:ind w:firstLine="536"/>
        <w:jc w:val="left"/>
        <w:spacing w:line="520" w:lineRule="exact"/>
        <w:shd w:val="clear" w:color="auto" w:fill="ffffff"/>
        <w:widowControl/>
        <w:rPr>
          <w:color w:val="333333"/>
          <w:sz w:val="24"/>
          <w:highlight w:val="none"/>
        </w:rPr>
      </w:pPr>
      <w:r>
        <w:rPr>
          <w:rFonts w:hint="eastAsia"/>
          <w:color w:val="333333"/>
          <w:sz w:val="24"/>
          <w:highlight w:val="none"/>
        </w:rPr>
        <w:t xml:space="preserve">2.集体建设用地基准地价更新成果</w:t>
      </w:r>
      <w:r/>
    </w:p>
    <w:p>
      <w:pPr>
        <w:ind w:firstLine="536"/>
        <w:jc w:val="left"/>
        <w:spacing w:line="520" w:lineRule="exact"/>
        <w:shd w:val="clear" w:color="auto" w:fill="ffffff"/>
        <w:widowControl/>
        <w:rPr>
          <w:color w:val="333333"/>
          <w:sz w:val="24"/>
          <w:highlight w:val="none"/>
        </w:rPr>
      </w:pPr>
      <w:r>
        <w:rPr>
          <w:rFonts w:hint="eastAsia"/>
          <w:color w:val="333333"/>
          <w:sz w:val="24"/>
          <w:highlight w:val="none"/>
        </w:rPr>
        <w:t xml:space="preserve">（1）文字成果：泗阳县集体建设用地基准地价更新工作报告、技术报告。</w:t>
      </w:r>
      <w:r/>
    </w:p>
    <w:p>
      <w:pPr>
        <w:ind w:firstLine="536"/>
        <w:jc w:val="left"/>
        <w:spacing w:line="520" w:lineRule="exact"/>
        <w:shd w:val="clear" w:color="auto" w:fill="ffffff"/>
        <w:widowControl/>
        <w:rPr>
          <w:color w:val="333333"/>
          <w:sz w:val="24"/>
          <w:highlight w:val="none"/>
        </w:rPr>
      </w:pPr>
      <w:r>
        <w:rPr>
          <w:rFonts w:hint="eastAsia"/>
          <w:color w:val="333333"/>
          <w:sz w:val="24"/>
          <w:highlight w:val="none"/>
        </w:rPr>
        <w:t xml:space="preserve">（2）表格成果：泗阳县集体建设用地等别面积统计表。</w:t>
      </w:r>
      <w:r/>
    </w:p>
    <w:p>
      <w:pPr>
        <w:ind w:firstLine="536"/>
        <w:jc w:val="left"/>
        <w:spacing w:line="520" w:lineRule="exact"/>
        <w:shd w:val="clear" w:color="auto" w:fill="ffffff"/>
        <w:widowControl/>
        <w:rPr>
          <w:color w:val="333333"/>
          <w:sz w:val="24"/>
          <w:highlight w:val="none"/>
        </w:rPr>
      </w:pPr>
      <w:r>
        <w:rPr>
          <w:rFonts w:hint="eastAsia"/>
          <w:color w:val="333333"/>
          <w:sz w:val="24"/>
          <w:highlight w:val="none"/>
        </w:rPr>
        <w:t xml:space="preserve">（3）图件成果：泗阳县集体建设用地基准地价图。</w:t>
      </w:r>
      <w:r/>
    </w:p>
    <w:p>
      <w:pPr>
        <w:ind w:firstLine="536"/>
        <w:jc w:val="left"/>
        <w:spacing w:line="520" w:lineRule="exact"/>
        <w:shd w:val="clear" w:color="auto" w:fill="ffffff"/>
        <w:widowControl/>
        <w:rPr>
          <w:color w:val="333333"/>
          <w:sz w:val="24"/>
          <w:highlight w:val="none"/>
        </w:rPr>
      </w:pPr>
      <w:r>
        <w:rPr>
          <w:rFonts w:hint="eastAsia"/>
          <w:color w:val="333333"/>
          <w:sz w:val="24"/>
          <w:highlight w:val="none"/>
        </w:rPr>
        <w:t xml:space="preserve">（4）数据库成果：泗阳县集体建设用地基准地价成果数据库。</w:t>
      </w:r>
      <w:r/>
    </w:p>
    <w:p>
      <w:pPr>
        <w:ind w:firstLine="536"/>
        <w:jc w:val="left"/>
        <w:spacing w:line="520" w:lineRule="exact"/>
        <w:shd w:val="clear" w:color="auto" w:fill="ffffff"/>
        <w:widowControl/>
        <w:rPr>
          <w:color w:val="333333"/>
          <w:sz w:val="24"/>
          <w:highlight w:val="none"/>
        </w:rPr>
      </w:pPr>
      <w:r>
        <w:rPr>
          <w:rFonts w:hint="eastAsia"/>
          <w:color w:val="333333"/>
          <w:sz w:val="24"/>
          <w:highlight w:val="none"/>
        </w:rPr>
        <w:t xml:space="preserve">3.农用地基准地价更新成果</w:t>
      </w:r>
      <w:r/>
    </w:p>
    <w:p>
      <w:pPr>
        <w:ind w:firstLine="536"/>
        <w:jc w:val="left"/>
        <w:spacing w:line="520" w:lineRule="exact"/>
        <w:shd w:val="clear" w:color="auto" w:fill="ffffff"/>
        <w:widowControl/>
        <w:rPr>
          <w:color w:val="333333"/>
          <w:sz w:val="24"/>
          <w:highlight w:val="none"/>
        </w:rPr>
      </w:pPr>
      <w:r>
        <w:rPr>
          <w:rFonts w:hint="eastAsia"/>
          <w:color w:val="333333"/>
          <w:sz w:val="24"/>
          <w:highlight w:val="none"/>
        </w:rPr>
        <w:t xml:space="preserve">（1）文字成果：泗阳县农用地基准地价评估工作报告、技术报告。</w:t>
      </w:r>
      <w:r/>
    </w:p>
    <w:p>
      <w:pPr>
        <w:ind w:firstLine="536"/>
        <w:jc w:val="left"/>
        <w:spacing w:line="520" w:lineRule="exact"/>
        <w:shd w:val="clear" w:color="auto" w:fill="ffffff"/>
        <w:widowControl/>
        <w:rPr>
          <w:color w:val="333333"/>
          <w:sz w:val="24"/>
          <w:highlight w:val="none"/>
        </w:rPr>
      </w:pPr>
      <w:r>
        <w:rPr>
          <w:rFonts w:hint="eastAsia"/>
          <w:color w:val="333333"/>
          <w:sz w:val="24"/>
          <w:highlight w:val="none"/>
        </w:rPr>
        <w:t xml:space="preserve">（2）表格成果：泗阳县农用地等别面积统计表。</w:t>
      </w:r>
      <w:r/>
    </w:p>
    <w:p>
      <w:pPr>
        <w:ind w:firstLine="536"/>
        <w:jc w:val="left"/>
        <w:spacing w:line="520" w:lineRule="exact"/>
        <w:shd w:val="clear" w:color="auto" w:fill="ffffff"/>
        <w:widowControl/>
        <w:rPr>
          <w:color w:val="333333"/>
          <w:sz w:val="24"/>
          <w:highlight w:val="none"/>
        </w:rPr>
      </w:pPr>
      <w:r>
        <w:rPr>
          <w:rFonts w:hint="eastAsia"/>
          <w:color w:val="333333"/>
          <w:sz w:val="24"/>
          <w:highlight w:val="none"/>
        </w:rPr>
        <w:t xml:space="preserve">（3）图件成果：泗阳县农用地基准地价图。</w:t>
      </w:r>
      <w:r/>
    </w:p>
    <w:p>
      <w:pPr>
        <w:ind w:firstLine="536"/>
        <w:jc w:val="left"/>
        <w:spacing w:line="520" w:lineRule="exact"/>
        <w:shd w:val="clear" w:color="auto" w:fill="ffffff"/>
        <w:widowControl/>
        <w:rPr>
          <w:color w:val="333333"/>
          <w:sz w:val="24"/>
          <w:highlight w:val="none"/>
        </w:rPr>
      </w:pPr>
      <w:r>
        <w:rPr>
          <w:rFonts w:hint="eastAsia"/>
          <w:color w:val="333333"/>
          <w:sz w:val="24"/>
          <w:highlight w:val="none"/>
        </w:rPr>
        <w:t xml:space="preserve">（4）数据库成果：泗阳县农用地基准地价成果数据库等成果。</w:t>
      </w:r>
      <w:r/>
    </w:p>
    <w:p>
      <w:pPr>
        <w:ind w:firstLine="536"/>
        <w:jc w:val="left"/>
        <w:spacing w:line="520" w:lineRule="exact"/>
        <w:shd w:val="clear" w:color="auto" w:fill="ffffff"/>
        <w:widowControl/>
        <w:rPr>
          <w:color w:val="333333"/>
          <w:sz w:val="24"/>
          <w:highlight w:val="none"/>
        </w:rPr>
      </w:pPr>
      <w:r>
        <w:rPr>
          <w:rFonts w:hint="eastAsia"/>
          <w:color w:val="333333"/>
          <w:sz w:val="24"/>
          <w:highlight w:val="none"/>
        </w:rPr>
        <w:t xml:space="preserve">4.城镇标定地价更新成果</w:t>
      </w:r>
      <w:r/>
    </w:p>
    <w:p>
      <w:pPr>
        <w:ind w:firstLine="536"/>
        <w:jc w:val="left"/>
        <w:spacing w:line="520" w:lineRule="exact"/>
        <w:shd w:val="clear" w:color="auto" w:fill="ffffff"/>
        <w:widowControl/>
        <w:rPr>
          <w:color w:val="333333"/>
          <w:sz w:val="24"/>
          <w:highlight w:val="none"/>
        </w:rPr>
      </w:pPr>
      <w:r>
        <w:rPr>
          <w:rFonts w:hint="eastAsia"/>
          <w:color w:val="333333"/>
          <w:sz w:val="24"/>
          <w:highlight w:val="none"/>
        </w:rPr>
        <w:t xml:space="preserve">（1）文字成果：泗阳县城镇标定地价体系更新报告。</w:t>
      </w:r>
      <w:r/>
    </w:p>
    <w:p>
      <w:pPr>
        <w:ind w:firstLine="536"/>
        <w:jc w:val="left"/>
        <w:spacing w:line="520" w:lineRule="exact"/>
        <w:shd w:val="clear" w:color="auto" w:fill="ffffff"/>
        <w:widowControl/>
        <w:rPr>
          <w:color w:val="333333"/>
          <w:sz w:val="24"/>
          <w:highlight w:val="none"/>
        </w:rPr>
      </w:pPr>
      <w:r>
        <w:rPr>
          <w:rFonts w:hint="eastAsia"/>
          <w:color w:val="333333"/>
          <w:sz w:val="24"/>
          <w:highlight w:val="none"/>
        </w:rPr>
        <w:t xml:space="preserve">（2）表格成果：泗阳县标准宗地基本信息登记表；泗阳县标准宗地评估技术要点表；泗阳县城区标定地价建议及结果表；泗阳县城区标定地价信息公示表；泗阳县标定地价修正体系表。</w:t>
      </w:r>
      <w:r/>
    </w:p>
    <w:p>
      <w:pPr>
        <w:ind w:firstLine="536"/>
        <w:jc w:val="left"/>
        <w:spacing w:line="520" w:lineRule="exact"/>
        <w:shd w:val="clear" w:color="auto" w:fill="ffffff"/>
        <w:widowControl/>
        <w:rPr>
          <w:color w:val="333333"/>
          <w:sz w:val="24"/>
          <w:highlight w:val="none"/>
        </w:rPr>
      </w:pPr>
      <w:r>
        <w:rPr>
          <w:rFonts w:hint="eastAsia"/>
          <w:color w:val="333333"/>
          <w:sz w:val="24"/>
          <w:highlight w:val="none"/>
        </w:rPr>
        <w:t xml:space="preserve">（3）图件成果：泗阳县标定区域和标准宗地分布图。</w:t>
      </w:r>
      <w:r/>
    </w:p>
    <w:p>
      <w:pPr>
        <w:ind w:firstLine="536"/>
        <w:jc w:val="left"/>
        <w:spacing w:line="520" w:lineRule="exact"/>
        <w:shd w:val="clear" w:color="auto" w:fill="ffffff"/>
        <w:widowControl/>
        <w:rPr>
          <w:color w:val="333333"/>
          <w:sz w:val="24"/>
          <w:highlight w:val="none"/>
        </w:rPr>
      </w:pPr>
      <w:r>
        <w:rPr>
          <w:rFonts w:hint="eastAsia"/>
          <w:color w:val="333333"/>
          <w:sz w:val="24"/>
          <w:highlight w:val="none"/>
        </w:rPr>
        <w:t xml:space="preserve">（4）数据库成果：包括由标定区域、标准宗地的空间要素、属性要素及城区标定地价各相关成果表格等内容构成的城区标定地价成果数据库。</w:t>
      </w:r>
      <w:r/>
    </w:p>
    <w:p>
      <w:pPr>
        <w:ind w:firstLine="536"/>
        <w:jc w:val="left"/>
        <w:spacing w:line="520" w:lineRule="exact"/>
        <w:shd w:val="clear" w:color="auto" w:fill="ffffff"/>
        <w:widowControl/>
        <w:rPr>
          <w:color w:val="333333"/>
          <w:sz w:val="24"/>
          <w:highlight w:val="none"/>
        </w:rPr>
      </w:pPr>
      <w:r>
        <w:rPr>
          <w:rFonts w:hint="eastAsia"/>
          <w:color w:val="333333"/>
          <w:sz w:val="24"/>
          <w:highlight w:val="none"/>
        </w:rPr>
        <w:t xml:space="preserve">5.城市地价动态监测成果</w:t>
      </w:r>
      <w:r/>
    </w:p>
    <w:p>
      <w:pPr>
        <w:ind w:firstLine="536"/>
        <w:jc w:val="left"/>
        <w:spacing w:line="520" w:lineRule="exact"/>
        <w:shd w:val="clear" w:color="auto" w:fill="ffffff"/>
        <w:widowControl/>
        <w:rPr>
          <w:color w:val="333333"/>
          <w:sz w:val="24"/>
          <w:highlight w:val="none"/>
        </w:rPr>
      </w:pPr>
      <w:r>
        <w:rPr>
          <w:rFonts w:hint="eastAsia"/>
          <w:color w:val="333333"/>
          <w:sz w:val="24"/>
          <w:highlight w:val="none"/>
        </w:rPr>
        <w:t xml:space="preserve">（1）季度成果：季度成果以表格成果为主，主要包括季度监测成果表。</w:t>
      </w:r>
      <w:r/>
    </w:p>
    <w:p>
      <w:pPr>
        <w:ind w:firstLine="536"/>
        <w:jc w:val="left"/>
        <w:spacing w:line="520" w:lineRule="exact"/>
        <w:shd w:val="clear" w:color="auto" w:fill="ffffff"/>
        <w:widowControl/>
        <w:rPr>
          <w:color w:val="333333"/>
          <w:sz w:val="24"/>
          <w:highlight w:val="none"/>
        </w:rPr>
      </w:pPr>
      <w:r>
        <w:rPr>
          <w:rFonts w:hint="eastAsia"/>
          <w:color w:val="333333"/>
          <w:sz w:val="24"/>
          <w:highlight w:val="none"/>
        </w:rPr>
        <w:t xml:space="preserve">（2）年度成果：表格成果。地价区段登记表、地价区段变更登记表、地价监测点登记表、地价监测点变更登记表。</w:t>
      </w:r>
      <w:r/>
    </w:p>
    <w:p>
      <w:pPr>
        <w:ind w:firstLine="536"/>
        <w:jc w:val="left"/>
        <w:spacing w:line="520" w:lineRule="exact"/>
        <w:shd w:val="clear" w:color="auto" w:fill="ffffff"/>
        <w:widowControl/>
        <w:rPr>
          <w:color w:val="333333"/>
          <w:sz w:val="24"/>
          <w:highlight w:val="none"/>
        </w:rPr>
      </w:pPr>
      <w:r>
        <w:rPr>
          <w:rFonts w:hint="eastAsia"/>
          <w:color w:val="333333"/>
          <w:sz w:val="24"/>
          <w:highlight w:val="none"/>
        </w:rPr>
        <w:t xml:space="preserve">（3）文字成果：年度城市地价动态监测报告。</w:t>
      </w:r>
      <w:r/>
    </w:p>
    <w:p>
      <w:pPr>
        <w:ind w:firstLine="536"/>
        <w:jc w:val="left"/>
        <w:spacing w:line="520" w:lineRule="exact"/>
        <w:shd w:val="clear" w:color="auto" w:fill="ffffff"/>
        <w:widowControl/>
        <w:rPr>
          <w:color w:val="333333"/>
          <w:sz w:val="24"/>
          <w:highlight w:val="none"/>
        </w:rPr>
      </w:pPr>
      <w:r>
        <w:rPr>
          <w:rFonts w:hint="eastAsia"/>
          <w:color w:val="333333"/>
          <w:sz w:val="24"/>
          <w:highlight w:val="none"/>
        </w:rPr>
        <w:t xml:space="preserve">（4）图件成果：商服用地地价区段、监测点分布图；住宅用地地价区段、监测点分布图；工业用地地价区段、监测点分布图。</w:t>
      </w:r>
      <w:r/>
    </w:p>
    <w:p>
      <w:pPr>
        <w:ind w:firstLine="536"/>
        <w:jc w:val="left"/>
        <w:spacing w:line="520" w:lineRule="exact"/>
        <w:shd w:val="clear" w:color="auto" w:fill="ffffff"/>
        <w:widowControl/>
        <w:rPr>
          <w:color w:val="333333"/>
          <w:sz w:val="24"/>
          <w:highlight w:val="none"/>
        </w:rPr>
      </w:pPr>
      <w:r>
        <w:rPr>
          <w:rFonts w:hint="eastAsia"/>
          <w:color w:val="333333"/>
          <w:sz w:val="24"/>
          <w:highlight w:val="none"/>
        </w:rPr>
        <w:t xml:space="preserve">（5）数据库成果：年度地价动态监测数据库。</w:t>
      </w:r>
      <w:r/>
    </w:p>
    <w:p>
      <w:pPr>
        <w:ind w:firstLine="536"/>
        <w:jc w:val="left"/>
        <w:spacing w:line="520" w:lineRule="exact"/>
        <w:shd w:val="clear" w:color="auto" w:fill="ffffff"/>
        <w:widowControl/>
        <w:rPr>
          <w:color w:val="333333"/>
          <w:sz w:val="24"/>
          <w:highlight w:val="none"/>
        </w:rPr>
      </w:pPr>
      <w:r>
        <w:rPr>
          <w:rFonts w:hint="eastAsia"/>
          <w:color w:val="333333"/>
          <w:sz w:val="24"/>
          <w:highlight w:val="none"/>
        </w:rPr>
        <w:t xml:space="preserve">（6）其他成果：宗地图、照片等。</w:t>
      </w:r>
      <w:r/>
    </w:p>
    <w:p>
      <w:pPr>
        <w:keepLines/>
        <w:keepNext/>
        <w:spacing w:before="160" w:after="80" w:line="520" w:lineRule="exact"/>
        <w:rPr>
          <w:rFonts w:ascii="等线 Light" w:hAnsi="等线 Light"/>
          <w:b/>
          <w:bCs/>
          <w:color w:val="000000"/>
          <w:sz w:val="24"/>
          <w:szCs w:val="40"/>
          <w:highlight w:val="none"/>
          <w14:ligatures w14:val="standardContextual"/>
        </w:rPr>
        <w:outlineLvl w:val="1"/>
      </w:pPr>
      <w:r>
        <w:rPr>
          <w:rFonts w:ascii="宋体" w:hAnsi="宋体" w:cs="宋体"/>
          <w:b/>
          <w:bCs/>
          <w:color w:val="000000"/>
          <w:sz w:val="24"/>
          <w:highlight w:val="none"/>
        </w:rPr>
        <w:t xml:space="preserve">（五）</w:t>
      </w:r>
      <w:r>
        <w:rPr>
          <w:rFonts w:hint="eastAsia" w:ascii="等线 Light" w:hAnsi="等线 Light"/>
          <w:b/>
          <w:bCs/>
          <w:color w:val="000000"/>
          <w:sz w:val="24"/>
          <w:szCs w:val="40"/>
          <w:highlight w:val="none"/>
          <w14:ligatures w14:val="standardContextual"/>
        </w:rPr>
        <w:t xml:space="preserve">服务响应</w:t>
      </w:r>
      <w:r/>
    </w:p>
    <w:p>
      <w:pPr>
        <w:ind w:firstLine="536"/>
        <w:jc w:val="left"/>
        <w:spacing w:line="520" w:lineRule="exact"/>
        <w:shd w:val="clear" w:color="auto" w:fill="ffffff"/>
        <w:widowControl/>
        <w:rPr>
          <w:color w:val="333333"/>
          <w:sz w:val="24"/>
          <w:highlight w:val="none"/>
        </w:rPr>
      </w:pPr>
      <w:r>
        <w:rPr>
          <w:rFonts w:hint="eastAsia"/>
          <w:color w:val="333333"/>
          <w:sz w:val="24"/>
          <w:highlight w:val="none"/>
        </w:rPr>
        <w:t xml:space="preserve">1.中标人需指定负责人，联系方式必须相对固定，不得经常更换，提供沟通平台，保证服务畅通，在收到采购人咨询后于2个工作日内响应。</w:t>
      </w:r>
      <w:r/>
    </w:p>
    <w:p>
      <w:pPr>
        <w:ind w:firstLine="536"/>
        <w:jc w:val="left"/>
        <w:spacing w:line="520" w:lineRule="exact"/>
        <w:shd w:val="clear" w:color="auto" w:fill="ffffff"/>
        <w:widowControl/>
        <w:rPr>
          <w:color w:val="333333"/>
          <w:sz w:val="24"/>
          <w:highlight w:val="none"/>
        </w:rPr>
      </w:pPr>
      <w:r>
        <w:rPr>
          <w:rFonts w:hint="eastAsia"/>
          <w:color w:val="333333"/>
          <w:sz w:val="24"/>
          <w:highlight w:val="none"/>
        </w:rPr>
        <w:t xml:space="preserve">2.中标人需保证不少于5次的项目汇报，汇报项目进展情况和成果内容，处理提供服务过程中出现的各种问题。保证主动参与上下层次的项目协调会，配合有关部门工作需要，提供技术协调服务。</w:t>
      </w:r>
      <w:r/>
    </w:p>
    <w:p>
      <w:pPr>
        <w:keepLines/>
        <w:keepNext/>
        <w:spacing w:before="160" w:after="80" w:line="520" w:lineRule="exact"/>
        <w:rPr>
          <w:rFonts w:ascii="等线 Light" w:hAnsi="等线 Light"/>
          <w:b/>
          <w:color w:val="000000"/>
          <w:sz w:val="24"/>
          <w:szCs w:val="40"/>
          <w:highlight w:val="none"/>
          <w14:ligatures w14:val="standardContextual"/>
        </w:rPr>
        <w:outlineLvl w:val="1"/>
      </w:pPr>
      <w:r>
        <w:rPr>
          <w:rFonts w:hint="eastAsia" w:ascii="等线 Light" w:hAnsi="等线 Light"/>
          <w:b/>
          <w:color w:val="000000"/>
          <w:sz w:val="24"/>
          <w:szCs w:val="40"/>
          <w:highlight w:val="none"/>
          <w14:ligatures w14:val="standardContextual"/>
        </w:rPr>
        <w:t xml:space="preserve">（六）服务期限</w:t>
      </w:r>
      <w:r/>
    </w:p>
    <w:p>
      <w:pPr>
        <w:ind w:firstLine="536"/>
        <w:jc w:val="left"/>
        <w:spacing w:line="520" w:lineRule="exact"/>
        <w:shd w:val="clear" w:color="auto" w:fill="ffffff"/>
        <w:widowControl/>
        <w:rPr>
          <w:color w:val="333333"/>
          <w:sz w:val="24"/>
          <w:highlight w:val="none"/>
        </w:rPr>
      </w:pPr>
      <w:r>
        <w:rPr>
          <w:rFonts w:hint="eastAsia"/>
          <w:color w:val="333333"/>
          <w:sz w:val="24"/>
          <w:highlight w:val="none"/>
        </w:rPr>
        <w:t xml:space="preserve">根据自然资源部办公厅《关于加强城镇建设用地基准地价管理的通知》（自然资办发〔2024〕45号）文件要求，分别在2</w:t>
      </w:r>
      <w:r>
        <w:rPr>
          <w:color w:val="333333"/>
          <w:sz w:val="24"/>
          <w:highlight w:val="none"/>
        </w:rPr>
        <w:t xml:space="preserve">026</w:t>
      </w:r>
      <w:r>
        <w:rPr>
          <w:rFonts w:hint="eastAsia"/>
          <w:color w:val="333333"/>
          <w:sz w:val="24"/>
          <w:highlight w:val="none"/>
        </w:rPr>
        <w:t xml:space="preserve">年1</w:t>
      </w:r>
      <w:r>
        <w:rPr>
          <w:color w:val="333333"/>
          <w:sz w:val="24"/>
          <w:highlight w:val="none"/>
        </w:rPr>
        <w:t xml:space="preserve">2</w:t>
      </w:r>
      <w:r>
        <w:rPr>
          <w:rFonts w:hint="eastAsia"/>
          <w:color w:val="333333"/>
          <w:sz w:val="24"/>
          <w:highlight w:val="none"/>
        </w:rPr>
        <w:t xml:space="preserve">月3</w:t>
      </w:r>
      <w:r>
        <w:rPr>
          <w:color w:val="333333"/>
          <w:sz w:val="24"/>
          <w:highlight w:val="none"/>
        </w:rPr>
        <w:t xml:space="preserve">1</w:t>
      </w:r>
      <w:r>
        <w:rPr>
          <w:rFonts w:hint="eastAsia"/>
          <w:color w:val="333333"/>
          <w:sz w:val="24"/>
          <w:highlight w:val="none"/>
        </w:rPr>
        <w:t xml:space="preserve">日、2</w:t>
      </w:r>
      <w:r>
        <w:rPr>
          <w:color w:val="333333"/>
          <w:sz w:val="24"/>
          <w:highlight w:val="none"/>
        </w:rPr>
        <w:t xml:space="preserve">027</w:t>
      </w:r>
      <w:r>
        <w:rPr>
          <w:rFonts w:hint="eastAsia"/>
          <w:color w:val="333333"/>
          <w:sz w:val="24"/>
          <w:highlight w:val="none"/>
        </w:rPr>
        <w:t xml:space="preserve">年1</w:t>
      </w:r>
      <w:r>
        <w:rPr>
          <w:color w:val="333333"/>
          <w:sz w:val="24"/>
          <w:highlight w:val="none"/>
        </w:rPr>
        <w:t xml:space="preserve">2</w:t>
      </w:r>
      <w:r>
        <w:rPr>
          <w:rFonts w:hint="eastAsia"/>
          <w:color w:val="333333"/>
          <w:sz w:val="24"/>
          <w:highlight w:val="none"/>
        </w:rPr>
        <w:t xml:space="preserve">月3</w:t>
      </w:r>
      <w:r>
        <w:rPr>
          <w:color w:val="333333"/>
          <w:sz w:val="24"/>
          <w:highlight w:val="none"/>
        </w:rPr>
        <w:t xml:space="preserve">1</w:t>
      </w:r>
      <w:r>
        <w:rPr>
          <w:rFonts w:hint="eastAsia"/>
          <w:color w:val="333333"/>
          <w:sz w:val="24"/>
          <w:highlight w:val="none"/>
        </w:rPr>
        <w:t xml:space="preserve">日和2</w:t>
      </w:r>
      <w:r>
        <w:rPr>
          <w:color w:val="333333"/>
          <w:sz w:val="24"/>
          <w:highlight w:val="none"/>
        </w:rPr>
        <w:t xml:space="preserve">028</w:t>
      </w:r>
      <w:r>
        <w:rPr>
          <w:rFonts w:hint="eastAsia"/>
          <w:color w:val="333333"/>
          <w:sz w:val="24"/>
          <w:highlight w:val="none"/>
        </w:rPr>
        <w:t xml:space="preserve">年1</w:t>
      </w:r>
      <w:r>
        <w:rPr>
          <w:color w:val="333333"/>
          <w:sz w:val="24"/>
          <w:highlight w:val="none"/>
        </w:rPr>
        <w:t xml:space="preserve">2</w:t>
      </w:r>
      <w:r>
        <w:rPr>
          <w:rFonts w:hint="eastAsia"/>
          <w:color w:val="333333"/>
          <w:sz w:val="24"/>
          <w:highlight w:val="none"/>
        </w:rPr>
        <w:t xml:space="preserve">月3</w:t>
      </w:r>
      <w:r>
        <w:rPr>
          <w:color w:val="333333"/>
          <w:sz w:val="24"/>
          <w:highlight w:val="none"/>
        </w:rPr>
        <w:t xml:space="preserve">1</w:t>
      </w:r>
      <w:r>
        <w:rPr>
          <w:rFonts w:hint="eastAsia"/>
          <w:color w:val="333333"/>
          <w:sz w:val="24"/>
          <w:highlight w:val="none"/>
        </w:rPr>
        <w:t xml:space="preserve">日前完成2</w:t>
      </w:r>
      <w:r>
        <w:rPr>
          <w:color w:val="333333"/>
          <w:sz w:val="24"/>
          <w:highlight w:val="none"/>
        </w:rPr>
        <w:t xml:space="preserve">026-2028</w:t>
      </w:r>
      <w:r>
        <w:rPr>
          <w:rFonts w:hint="eastAsia"/>
          <w:color w:val="333333"/>
          <w:sz w:val="24"/>
          <w:highlight w:val="none"/>
        </w:rPr>
        <w:t xml:space="preserve">年度城市地价动态监测工作，在2</w:t>
      </w:r>
      <w:r>
        <w:rPr>
          <w:color w:val="333333"/>
          <w:sz w:val="24"/>
          <w:highlight w:val="none"/>
        </w:rPr>
        <w:t xml:space="preserve">027</w:t>
      </w:r>
      <w:r>
        <w:rPr>
          <w:rFonts w:hint="eastAsia"/>
          <w:color w:val="333333"/>
          <w:sz w:val="24"/>
          <w:highlight w:val="none"/>
        </w:rPr>
        <w:t xml:space="preserve">年</w:t>
      </w:r>
      <w:r>
        <w:rPr>
          <w:color w:val="333333"/>
          <w:sz w:val="24"/>
          <w:highlight w:val="none"/>
        </w:rPr>
        <w:t xml:space="preserve">6</w:t>
      </w:r>
      <w:r>
        <w:rPr>
          <w:rFonts w:hint="eastAsia"/>
          <w:color w:val="333333"/>
          <w:sz w:val="24"/>
          <w:highlight w:val="none"/>
        </w:rPr>
        <w:t xml:space="preserve">月3</w:t>
      </w:r>
      <w:r>
        <w:rPr>
          <w:color w:val="333333"/>
          <w:sz w:val="24"/>
          <w:highlight w:val="none"/>
        </w:rPr>
        <w:t xml:space="preserve">0</w:t>
      </w:r>
      <w:r>
        <w:rPr>
          <w:rFonts w:hint="eastAsia"/>
          <w:color w:val="333333"/>
          <w:sz w:val="24"/>
          <w:highlight w:val="none"/>
        </w:rPr>
        <w:t xml:space="preserve">日前完成城镇建设用地基准地价、集体建设用地基准地价、农用地基准地价、2</w:t>
      </w:r>
      <w:r>
        <w:rPr>
          <w:color w:val="333333"/>
          <w:sz w:val="24"/>
          <w:highlight w:val="none"/>
        </w:rPr>
        <w:t xml:space="preserve">026</w:t>
      </w:r>
      <w:r>
        <w:rPr>
          <w:rFonts w:hint="eastAsia"/>
          <w:color w:val="333333"/>
          <w:sz w:val="24"/>
          <w:highlight w:val="none"/>
        </w:rPr>
        <w:t xml:space="preserve">年度城镇标定地价、更新工作，在2</w:t>
      </w:r>
      <w:r>
        <w:rPr>
          <w:color w:val="333333"/>
          <w:sz w:val="24"/>
          <w:highlight w:val="none"/>
        </w:rPr>
        <w:t xml:space="preserve">028</w:t>
      </w:r>
      <w:r>
        <w:rPr>
          <w:rFonts w:hint="eastAsia"/>
          <w:color w:val="333333"/>
          <w:sz w:val="24"/>
          <w:highlight w:val="none"/>
        </w:rPr>
        <w:t xml:space="preserve">年6月3</w:t>
      </w:r>
      <w:r>
        <w:rPr>
          <w:color w:val="333333"/>
          <w:sz w:val="24"/>
          <w:highlight w:val="none"/>
        </w:rPr>
        <w:t xml:space="preserve">0</w:t>
      </w:r>
      <w:r>
        <w:rPr>
          <w:rFonts w:hint="eastAsia"/>
          <w:color w:val="333333"/>
          <w:sz w:val="24"/>
          <w:highlight w:val="none"/>
        </w:rPr>
        <w:t xml:space="preserve">日和2</w:t>
      </w:r>
      <w:r>
        <w:rPr>
          <w:color w:val="333333"/>
          <w:sz w:val="24"/>
          <w:highlight w:val="none"/>
        </w:rPr>
        <w:t xml:space="preserve">029 </w:t>
      </w:r>
      <w:r>
        <w:rPr>
          <w:rFonts w:hint="eastAsia"/>
          <w:color w:val="333333"/>
          <w:sz w:val="24"/>
          <w:highlight w:val="none"/>
        </w:rPr>
        <w:t xml:space="preserve">年</w:t>
      </w:r>
      <w:r>
        <w:rPr>
          <w:color w:val="333333"/>
          <w:sz w:val="24"/>
          <w:highlight w:val="none"/>
        </w:rPr>
        <w:t xml:space="preserve">5</w:t>
      </w:r>
      <w:r>
        <w:rPr>
          <w:rFonts w:hint="eastAsia"/>
          <w:color w:val="333333"/>
          <w:sz w:val="24"/>
          <w:highlight w:val="none"/>
        </w:rPr>
        <w:t xml:space="preserve">月</w:t>
      </w:r>
      <w:r>
        <w:rPr>
          <w:color w:val="333333"/>
          <w:sz w:val="24"/>
          <w:highlight w:val="none"/>
        </w:rPr>
        <w:t xml:space="preserve">20</w:t>
      </w:r>
      <w:r>
        <w:rPr>
          <w:rFonts w:hint="eastAsia"/>
          <w:color w:val="333333"/>
          <w:sz w:val="24"/>
          <w:highlight w:val="none"/>
        </w:rPr>
        <w:t xml:space="preserve">日前完成2</w:t>
      </w:r>
      <w:r>
        <w:rPr>
          <w:color w:val="333333"/>
          <w:sz w:val="24"/>
          <w:highlight w:val="none"/>
        </w:rPr>
        <w:t xml:space="preserve">027</w:t>
      </w:r>
      <w:r>
        <w:rPr>
          <w:rFonts w:hint="eastAsia"/>
          <w:color w:val="333333"/>
          <w:sz w:val="24"/>
          <w:highlight w:val="none"/>
        </w:rPr>
        <w:t xml:space="preserve">和2</w:t>
      </w:r>
      <w:r>
        <w:rPr>
          <w:color w:val="333333"/>
          <w:sz w:val="24"/>
          <w:highlight w:val="none"/>
        </w:rPr>
        <w:t xml:space="preserve">028</w:t>
      </w:r>
      <w:r>
        <w:rPr>
          <w:rFonts w:hint="eastAsia"/>
          <w:color w:val="333333"/>
          <w:sz w:val="24"/>
          <w:highlight w:val="none"/>
        </w:rPr>
        <w:t xml:space="preserve">年度标定地价成果并确保上述成果通过主管部门验收或备案。</w:t>
      </w:r>
      <w:r/>
    </w:p>
    <w:p>
      <w:pPr>
        <w:ind w:firstLine="536"/>
        <w:jc w:val="left"/>
        <w:spacing w:line="520" w:lineRule="exact"/>
        <w:shd w:val="clear" w:color="auto" w:fill="ffffff"/>
        <w:widowControl/>
        <w:rPr>
          <w:color w:val="333333"/>
          <w:sz w:val="24"/>
          <w:highlight w:val="none"/>
        </w:rPr>
      </w:pPr>
      <w:r>
        <w:rPr>
          <w:rFonts w:hint="eastAsia"/>
          <w:color w:val="333333"/>
          <w:sz w:val="24"/>
          <w:highlight w:val="none"/>
        </w:rPr>
        <w:t xml:space="preserve">注：供应商须按照采购文件的要求完成本项目的所有相关工作。上级部门如对时间节点有调整，以上级部门的最新要求为准，供应商须无条件积极配合各项时间节点要求，通过增派技术人员、设备设施等方式按时提交相应成果。</w:t>
      </w:r>
      <w:r/>
    </w:p>
    <w:p>
      <w:pPr>
        <w:keepLines/>
        <w:keepNext/>
        <w:spacing w:before="160" w:after="80" w:line="520" w:lineRule="exact"/>
        <w:rPr>
          <w:rFonts w:ascii="等线 Light" w:hAnsi="等线 Light"/>
          <w:b/>
          <w:color w:val="000000"/>
          <w:sz w:val="24"/>
          <w:szCs w:val="40"/>
          <w:highlight w:val="none"/>
          <w14:ligatures w14:val="standardContextual"/>
        </w:rPr>
        <w:outlineLvl w:val="1"/>
      </w:pPr>
      <w:r>
        <w:rPr>
          <w:rFonts w:hint="eastAsia" w:ascii="等线 Light" w:hAnsi="等线 Light"/>
          <w:b/>
          <w:color w:val="000000"/>
          <w:sz w:val="24"/>
          <w:szCs w:val="40"/>
          <w:highlight w:val="none"/>
          <w14:ligatures w14:val="standardContextual"/>
        </w:rPr>
        <w:t xml:space="preserve">（七）验收标准</w:t>
      </w:r>
      <w:r/>
    </w:p>
    <w:p>
      <w:pPr>
        <w:ind w:firstLine="536"/>
        <w:jc w:val="left"/>
        <w:spacing w:line="520" w:lineRule="exact"/>
        <w:shd w:val="clear" w:color="auto" w:fill="ffffff"/>
        <w:widowControl/>
        <w:rPr>
          <w:color w:val="333333"/>
          <w:sz w:val="24"/>
          <w:highlight w:val="none"/>
        </w:rPr>
      </w:pPr>
      <w:r>
        <w:rPr>
          <w:rFonts w:hint="eastAsia"/>
          <w:color w:val="333333"/>
          <w:sz w:val="24"/>
          <w:highlight w:val="none"/>
        </w:rPr>
        <w:t xml:space="preserve">1.成果必须符合《江苏省公示地价体系建设技术指引》以下简称“省标”；成果数据按《江苏省公示地价体系建设技术指引》（附录A-D）建库，对接江苏省城乡一体化地价管理信息汇总软件；成果数据按省标要求通过省级统一接口汇交至省自然资源厅；</w:t>
      </w:r>
      <w:r/>
    </w:p>
    <w:p>
      <w:pPr>
        <w:contextualSpacing/>
        <w:ind w:firstLine="482"/>
        <w:spacing w:line="520" w:lineRule="exact"/>
        <w:rPr>
          <w:color w:val="333333"/>
          <w:sz w:val="24"/>
          <w:highlight w:val="none"/>
        </w:rPr>
      </w:pPr>
      <w:r>
        <w:rPr>
          <w:rFonts w:hint="eastAsia"/>
          <w:color w:val="333333"/>
          <w:sz w:val="24"/>
          <w:highlight w:val="none"/>
        </w:rPr>
        <w:t xml:space="preserve">2.成交供应商对提交的成果信息的准确性、安全性负责，且必须完全满足采购文件要求及符合上级部门的标准规范并最终通过验收评审。</w:t>
      </w:r>
      <w:r/>
    </w:p>
    <w:p>
      <w:pPr>
        <w:contextualSpacing/>
        <w:spacing w:line="520" w:lineRule="exact"/>
        <w:rPr>
          <w:rFonts w:ascii="宋体" w:hAnsi="宋体" w:cs="宋体"/>
          <w:b/>
          <w:sz w:val="24"/>
          <w:szCs w:val="24"/>
          <w:highlight w:val="none"/>
        </w:rPr>
      </w:pPr>
      <w:r>
        <w:rPr>
          <w:rFonts w:hint="eastAsia" w:ascii="宋体" w:hAnsi="宋体" w:cs="宋体"/>
          <w:b/>
          <w:sz w:val="24"/>
          <w:szCs w:val="24"/>
          <w:highlight w:val="none"/>
        </w:rPr>
        <w:t xml:space="preserve">（八）进度要求</w:t>
      </w:r>
      <w:r/>
    </w:p>
    <w:p>
      <w:pPr>
        <w:contextualSpacing/>
        <w:ind w:firstLine="482"/>
        <w:spacing w:line="520" w:lineRule="exact"/>
        <w:rPr>
          <w:rFonts w:ascii="宋体" w:hAnsi="宋体" w:cs="宋体"/>
          <w:b/>
          <w:sz w:val="24"/>
          <w:szCs w:val="24"/>
          <w:highlight w:val="none"/>
        </w:rPr>
      </w:pPr>
      <w:r>
        <w:rPr>
          <w:rFonts w:hint="eastAsia" w:ascii="宋体" w:hAnsi="宋体" w:cs="宋体"/>
          <w:bCs/>
          <w:sz w:val="24"/>
          <w:szCs w:val="24"/>
          <w:highlight w:val="none"/>
        </w:rPr>
        <w:t xml:space="preserve">按照采购人具体时间节点安排，开展相应工作并制定相应的质量保证措施，确保项目保质保量完成。</w:t>
      </w:r>
      <w:r/>
    </w:p>
    <w:p>
      <w:pPr>
        <w:contextualSpacing/>
        <w:spacing w:line="520" w:lineRule="exact"/>
        <w:rPr>
          <w:rFonts w:ascii="宋体" w:hAnsi="宋体" w:cs="宋体"/>
          <w:b/>
          <w:sz w:val="24"/>
          <w:szCs w:val="24"/>
          <w:highlight w:val="none"/>
        </w:rPr>
      </w:pPr>
      <w:r>
        <w:rPr>
          <w:rFonts w:hint="eastAsia" w:ascii="宋体" w:hAnsi="宋体" w:cs="宋体"/>
          <w:b/>
          <w:sz w:val="24"/>
          <w:szCs w:val="24"/>
          <w:highlight w:val="none"/>
        </w:rPr>
        <w:t xml:space="preserve">（九）保密措施要求</w:t>
      </w:r>
      <w:r/>
    </w:p>
    <w:p>
      <w:pPr>
        <w:contextualSpacing/>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本项目所产生的一切数据均需严格保密，供应商需制定保密措施，不得向除采购人外的第三方提供任何与本项目相关的数据信息。</w:t>
      </w:r>
      <w:r/>
    </w:p>
    <w:p>
      <w:pPr>
        <w:contextualSpacing/>
        <w:spacing w:line="520" w:lineRule="exact"/>
        <w:rPr>
          <w:rFonts w:ascii="宋体" w:hAnsi="宋体" w:cs="宋体"/>
          <w:b/>
          <w:sz w:val="24"/>
          <w:szCs w:val="24"/>
          <w:highlight w:val="none"/>
        </w:rPr>
      </w:pPr>
      <w:r>
        <w:rPr>
          <w:rFonts w:hint="eastAsia" w:ascii="宋体" w:hAnsi="宋体" w:cs="宋体"/>
          <w:b/>
          <w:sz w:val="24"/>
          <w:szCs w:val="24"/>
          <w:highlight w:val="none"/>
        </w:rPr>
        <w:t xml:space="preserve">（十）项目方案要求：</w:t>
      </w:r>
      <w:r/>
    </w:p>
    <w:p>
      <w:pPr>
        <w:ind w:firstLine="480"/>
        <w:spacing w:line="520" w:lineRule="exact"/>
        <w:rPr>
          <w:rFonts w:ascii="宋体" w:hAnsi="宋体" w:cs="宋体"/>
          <w:color w:val="000000"/>
          <w:sz w:val="24"/>
          <w:szCs w:val="32"/>
          <w:highlight w:val="none"/>
        </w:rPr>
      </w:pPr>
      <w:r>
        <w:rPr>
          <w:rFonts w:hint="eastAsia" w:ascii="宋体" w:hAnsi="宋体" w:cs="宋体"/>
          <w:color w:val="000000"/>
          <w:sz w:val="24"/>
          <w:szCs w:val="32"/>
          <w:highlight w:val="none"/>
        </w:rPr>
        <w:t xml:space="preserve">供应商针对本项目编写项目实施方案，包括但不限于：</w:t>
      </w:r>
      <w:r>
        <w:rPr>
          <w:rFonts w:hint="eastAsia" w:ascii="宋体" w:hAnsi="宋体"/>
          <w:color w:val="000000"/>
          <w:sz w:val="24"/>
          <w:szCs w:val="24"/>
          <w:highlight w:val="none"/>
        </w:rPr>
        <w:t xml:space="preserve">区域熟悉程度、技术方案、项目组织实施方案、工作计划、进度安排方案、质量管理措施方案、安全保密措施</w:t>
      </w:r>
      <w:r>
        <w:rPr>
          <w:rFonts w:hint="eastAsia" w:ascii="宋体" w:hAnsi="宋体" w:cs="宋体"/>
          <w:color w:val="000000"/>
          <w:sz w:val="24"/>
          <w:szCs w:val="32"/>
          <w:highlight w:val="none"/>
        </w:rPr>
        <w:t xml:space="preserve">等方案。</w:t>
      </w:r>
      <w:r/>
    </w:p>
    <w:p>
      <w:pPr>
        <w:contextualSpacing/>
        <w:spacing w:line="520" w:lineRule="exact"/>
        <w:rPr>
          <w:rFonts w:ascii="宋体" w:hAnsi="宋体" w:cs="宋体"/>
          <w:b/>
          <w:sz w:val="24"/>
          <w:szCs w:val="24"/>
          <w:highlight w:val="none"/>
        </w:rPr>
      </w:pPr>
      <w:r>
        <w:rPr>
          <w:rFonts w:hint="eastAsia" w:ascii="宋体" w:hAnsi="宋体" w:cs="宋体"/>
          <w:b/>
          <w:sz w:val="24"/>
          <w:szCs w:val="24"/>
          <w:highlight w:val="none"/>
        </w:rPr>
        <w:t xml:space="preserve">（十一）其他要求：</w:t>
      </w:r>
      <w:r/>
    </w:p>
    <w:p>
      <w:pPr>
        <w:contextualSpacing/>
        <w:ind w:firstLine="480"/>
        <w:spacing w:line="520" w:lineRule="exact"/>
        <w:rPr>
          <w:rFonts w:ascii="宋体" w:hAnsi="宋体" w:cs="宋体"/>
          <w:sz w:val="24"/>
          <w:szCs w:val="24"/>
          <w:highlight w:val="none"/>
        </w:rPr>
      </w:pPr>
      <w:r>
        <w:rPr>
          <w:rFonts w:ascii="宋体" w:hAnsi="宋体" w:cs="宋体"/>
          <w:sz w:val="24"/>
          <w:szCs w:val="24"/>
          <w:highlight w:val="none"/>
        </w:rPr>
        <w:t xml:space="preserve">本项目落实“关于推动解决政府采购异常低价问题的通知(苏财购</w:t>
      </w:r>
      <w:r>
        <w:rPr>
          <w:rFonts w:hint="eastAsia" w:ascii="宋体" w:hAnsi="宋体" w:cs="宋体"/>
          <w:sz w:val="24"/>
          <w:szCs w:val="24"/>
          <w:highlight w:val="none"/>
        </w:rPr>
        <w:t xml:space="preserve">〔2026〕36号</w:t>
      </w:r>
      <w:r>
        <w:rPr>
          <w:rFonts w:ascii="宋体" w:hAnsi="宋体" w:cs="宋体"/>
          <w:sz w:val="24"/>
          <w:szCs w:val="24"/>
          <w:highlight w:val="none"/>
        </w:rPr>
        <w:t xml:space="preserve">)”文件规定。</w:t>
      </w:r>
      <w:r/>
    </w:p>
    <w:p>
      <w:pPr>
        <w:pStyle w:val="1139"/>
        <w:spacing w:line="360" w:lineRule="auto"/>
        <w:rPr>
          <w:color w:val="000000" w:themeColor="text1"/>
          <w:sz w:val="21"/>
          <w:szCs w:val="22"/>
          <w:highlight w:val="none"/>
          <w14:textFill>
            <w14:solidFill>
              <w14:schemeClr w14:val="tx1"/>
            </w14:solidFill>
          </w14:textFill>
        </w:rPr>
      </w:pPr>
      <w:r>
        <w:rPr>
          <w:color w:val="000000" w:themeColor="text1"/>
          <w:sz w:val="21"/>
          <w:szCs w:val="22"/>
          <w:highlight w:val="none"/>
          <w14:textFill>
            <w14:solidFill>
              <w14:schemeClr w14:val="tx1"/>
            </w14:solidFill>
          </w14:textFill>
        </w:rPr>
      </w:r>
      <w:r/>
    </w:p>
    <w:p>
      <w:pPr>
        <w:pStyle w:val="1139"/>
        <w:spacing w:line="360" w:lineRule="auto"/>
        <w:rPr>
          <w:color w:val="000000" w:themeColor="text1"/>
          <w:sz w:val="21"/>
          <w:szCs w:val="22"/>
          <w:highlight w:val="none"/>
          <w14:textFill>
            <w14:solidFill>
              <w14:schemeClr w14:val="tx1"/>
            </w14:solidFill>
          </w14:textFill>
        </w:rPr>
      </w:pPr>
      <w:r>
        <w:rPr>
          <w:color w:val="000000" w:themeColor="text1"/>
          <w:sz w:val="21"/>
          <w:szCs w:val="22"/>
          <w:highlight w:val="none"/>
          <w14:textFill>
            <w14:solidFill>
              <w14:schemeClr w14:val="tx1"/>
            </w14:solidFill>
          </w14:textFill>
        </w:rPr>
      </w:r>
      <w:r/>
    </w:p>
    <w:p>
      <w:pPr>
        <w:pStyle w:val="1139"/>
        <w:spacing w:line="360" w:lineRule="auto"/>
        <w:rPr>
          <w:color w:val="000000" w:themeColor="text1"/>
          <w:sz w:val="21"/>
          <w:szCs w:val="22"/>
          <w:highlight w:val="none"/>
          <w14:textFill>
            <w14:solidFill>
              <w14:schemeClr w14:val="tx1"/>
            </w14:solidFill>
          </w14:textFill>
        </w:rPr>
      </w:pPr>
      <w:r>
        <w:rPr>
          <w:color w:val="000000" w:themeColor="text1"/>
          <w:sz w:val="21"/>
          <w:szCs w:val="22"/>
          <w:highlight w:val="none"/>
          <w14:textFill>
            <w14:solidFill>
              <w14:schemeClr w14:val="tx1"/>
            </w14:solidFill>
          </w14:textFill>
        </w:rPr>
      </w:r>
      <w:r/>
    </w:p>
    <w:p>
      <w:pPr>
        <w:pStyle w:val="1139"/>
        <w:spacing w:line="360" w:lineRule="auto"/>
        <w:rPr>
          <w:color w:val="000000" w:themeColor="text1"/>
          <w:sz w:val="21"/>
          <w:szCs w:val="22"/>
          <w:highlight w:val="none"/>
          <w14:textFill>
            <w14:solidFill>
              <w14:schemeClr w14:val="tx1"/>
            </w14:solidFill>
          </w14:textFill>
        </w:rPr>
      </w:pPr>
      <w:r>
        <w:rPr>
          <w:color w:val="000000" w:themeColor="text1"/>
          <w:sz w:val="21"/>
          <w:szCs w:val="22"/>
          <w:highlight w:val="none"/>
          <w14:textFill>
            <w14:solidFill>
              <w14:schemeClr w14:val="tx1"/>
            </w14:solidFill>
          </w14:textFill>
        </w:rPr>
      </w:r>
      <w:r/>
    </w:p>
    <w:p>
      <w:pPr>
        <w:pStyle w:val="1139"/>
        <w:spacing w:line="360" w:lineRule="auto"/>
        <w:rPr>
          <w:color w:val="000000" w:themeColor="text1"/>
          <w:sz w:val="21"/>
          <w:szCs w:val="22"/>
          <w:highlight w:val="none"/>
          <w14:textFill>
            <w14:solidFill>
              <w14:schemeClr w14:val="tx1"/>
            </w14:solidFill>
          </w14:textFill>
        </w:rPr>
      </w:pPr>
      <w:r>
        <w:rPr>
          <w:color w:val="000000" w:themeColor="text1"/>
          <w:sz w:val="21"/>
          <w:szCs w:val="22"/>
          <w:highlight w:val="none"/>
          <w14:textFill>
            <w14:solidFill>
              <w14:schemeClr w14:val="tx1"/>
            </w14:solidFill>
          </w14:textFill>
        </w:rPr>
      </w:r>
      <w:r/>
    </w:p>
    <w:p>
      <w:pPr>
        <w:pStyle w:val="1139"/>
        <w:spacing w:line="360" w:lineRule="auto"/>
        <w:rPr>
          <w:color w:val="000000" w:themeColor="text1"/>
          <w:sz w:val="21"/>
          <w:szCs w:val="22"/>
          <w:highlight w:val="none"/>
          <w14:textFill>
            <w14:solidFill>
              <w14:schemeClr w14:val="tx1"/>
            </w14:solidFill>
          </w14:textFill>
        </w:rPr>
      </w:pPr>
      <w:r>
        <w:rPr>
          <w:color w:val="000000" w:themeColor="text1"/>
          <w:sz w:val="21"/>
          <w:szCs w:val="22"/>
          <w:highlight w:val="none"/>
          <w14:textFill>
            <w14:solidFill>
              <w14:schemeClr w14:val="tx1"/>
            </w14:solidFill>
          </w14:textFill>
        </w:rPr>
      </w:r>
      <w:r/>
    </w:p>
    <w:p>
      <w:pPr>
        <w:pStyle w:val="1139"/>
        <w:spacing w:line="360" w:lineRule="auto"/>
        <w:rPr>
          <w:color w:val="000000" w:themeColor="text1"/>
          <w:sz w:val="21"/>
          <w:szCs w:val="22"/>
          <w:highlight w:val="none"/>
          <w14:textFill>
            <w14:solidFill>
              <w14:schemeClr w14:val="tx1"/>
            </w14:solidFill>
          </w14:textFill>
        </w:rPr>
      </w:pPr>
      <w:r>
        <w:rPr>
          <w:color w:val="000000" w:themeColor="text1"/>
          <w:sz w:val="21"/>
          <w:szCs w:val="22"/>
          <w:highlight w:val="none"/>
          <w14:textFill>
            <w14:solidFill>
              <w14:schemeClr w14:val="tx1"/>
            </w14:solidFill>
          </w14:textFill>
        </w:rPr>
      </w:r>
      <w:r/>
    </w:p>
    <w:p>
      <w:pPr>
        <w:pStyle w:val="1139"/>
        <w:spacing w:line="360" w:lineRule="auto"/>
        <w:rPr>
          <w:color w:val="000000" w:themeColor="text1"/>
          <w:sz w:val="21"/>
          <w:szCs w:val="22"/>
          <w:highlight w:val="none"/>
          <w14:textFill>
            <w14:solidFill>
              <w14:schemeClr w14:val="tx1"/>
            </w14:solidFill>
          </w14:textFill>
        </w:rPr>
      </w:pPr>
      <w:r>
        <w:rPr>
          <w:color w:val="000000" w:themeColor="text1"/>
          <w:sz w:val="21"/>
          <w:szCs w:val="22"/>
          <w:highlight w:val="none"/>
          <w14:textFill>
            <w14:solidFill>
              <w14:schemeClr w14:val="tx1"/>
            </w14:solidFill>
          </w14:textFill>
        </w:rPr>
      </w:r>
      <w:r/>
    </w:p>
    <w:p>
      <w:pPr>
        <w:pStyle w:val="1139"/>
        <w:spacing w:line="360" w:lineRule="auto"/>
        <w:rPr>
          <w:color w:val="000000" w:themeColor="text1"/>
          <w:sz w:val="21"/>
          <w:szCs w:val="22"/>
          <w:highlight w:val="none"/>
          <w14:textFill>
            <w14:solidFill>
              <w14:schemeClr w14:val="tx1"/>
            </w14:solidFill>
          </w14:textFill>
        </w:rPr>
      </w:pPr>
      <w:r>
        <w:rPr>
          <w:color w:val="000000" w:themeColor="text1"/>
          <w:sz w:val="21"/>
          <w:szCs w:val="22"/>
          <w:highlight w:val="none"/>
          <w14:textFill>
            <w14:solidFill>
              <w14:schemeClr w14:val="tx1"/>
            </w14:solidFill>
          </w14:textFill>
        </w:rPr>
      </w:r>
      <w:r/>
    </w:p>
    <w:p>
      <w:pPr>
        <w:pStyle w:val="1139"/>
        <w:spacing w:line="360" w:lineRule="auto"/>
        <w:rPr>
          <w:color w:val="000000" w:themeColor="text1"/>
          <w:sz w:val="21"/>
          <w:szCs w:val="22"/>
          <w:highlight w:val="none"/>
          <w14:textFill>
            <w14:solidFill>
              <w14:schemeClr w14:val="tx1"/>
            </w14:solidFill>
          </w14:textFill>
        </w:rPr>
      </w:pPr>
      <w:r>
        <w:rPr>
          <w:color w:val="000000" w:themeColor="text1"/>
          <w:sz w:val="21"/>
          <w:szCs w:val="22"/>
          <w:highlight w:val="none"/>
          <w14:textFill>
            <w14:solidFill>
              <w14:schemeClr w14:val="tx1"/>
            </w14:solidFill>
          </w14:textFill>
        </w:rPr>
      </w:r>
      <w:r/>
    </w:p>
    <w:p>
      <w:pPr>
        <w:pStyle w:val="1139"/>
        <w:spacing w:line="360" w:lineRule="auto"/>
        <w:rPr>
          <w:color w:val="000000" w:themeColor="text1"/>
          <w:sz w:val="21"/>
          <w:szCs w:val="22"/>
          <w:highlight w:val="none"/>
          <w14:textFill>
            <w14:solidFill>
              <w14:schemeClr w14:val="tx1"/>
            </w14:solidFill>
          </w14:textFill>
        </w:rPr>
      </w:pPr>
      <w:r>
        <w:rPr>
          <w:color w:val="000000" w:themeColor="text1"/>
          <w:sz w:val="21"/>
          <w:szCs w:val="22"/>
          <w:highlight w:val="none"/>
          <w14:textFill>
            <w14:solidFill>
              <w14:schemeClr w14:val="tx1"/>
            </w14:solidFill>
          </w14:textFill>
        </w:rPr>
      </w:r>
      <w:r/>
    </w:p>
    <w:p>
      <w:pPr>
        <w:pStyle w:val="1139"/>
        <w:spacing w:line="360" w:lineRule="auto"/>
        <w:rPr>
          <w:color w:val="000000" w:themeColor="text1"/>
          <w:sz w:val="21"/>
          <w:szCs w:val="22"/>
          <w:highlight w:val="none"/>
          <w14:textFill>
            <w14:solidFill>
              <w14:schemeClr w14:val="tx1"/>
            </w14:solidFill>
          </w14:textFill>
        </w:rPr>
      </w:pPr>
      <w:r>
        <w:rPr>
          <w:color w:val="000000" w:themeColor="text1"/>
          <w:sz w:val="21"/>
          <w:szCs w:val="22"/>
          <w:highlight w:val="none"/>
          <w14:textFill>
            <w14:solidFill>
              <w14:schemeClr w14:val="tx1"/>
            </w14:solidFill>
          </w14:textFill>
        </w:rPr>
      </w:r>
      <w:r/>
    </w:p>
    <w:p>
      <w:pPr>
        <w:pStyle w:val="1139"/>
        <w:spacing w:line="360" w:lineRule="auto"/>
        <w:rPr>
          <w:color w:val="000000" w:themeColor="text1"/>
          <w:sz w:val="21"/>
          <w:szCs w:val="22"/>
          <w:highlight w:val="none"/>
          <w14:textFill>
            <w14:solidFill>
              <w14:schemeClr w14:val="tx1"/>
            </w14:solidFill>
          </w14:textFill>
        </w:rPr>
      </w:pPr>
      <w:r>
        <w:rPr>
          <w:color w:val="000000" w:themeColor="text1"/>
          <w:sz w:val="21"/>
          <w:szCs w:val="22"/>
          <w:highlight w:val="none"/>
          <w14:textFill>
            <w14:solidFill>
              <w14:schemeClr w14:val="tx1"/>
            </w14:solidFill>
          </w14:textFill>
        </w:rPr>
      </w:r>
      <w:r/>
    </w:p>
    <w:p>
      <w:pPr>
        <w:pStyle w:val="1139"/>
        <w:spacing w:line="360" w:lineRule="auto"/>
        <w:rPr>
          <w:color w:val="000000" w:themeColor="text1"/>
          <w:sz w:val="21"/>
          <w:szCs w:val="22"/>
          <w:highlight w:val="none"/>
          <w14:textFill>
            <w14:solidFill>
              <w14:schemeClr w14:val="tx1"/>
            </w14:solidFill>
          </w14:textFill>
        </w:rPr>
      </w:pPr>
      <w:r>
        <w:rPr>
          <w:color w:val="000000" w:themeColor="text1"/>
          <w:sz w:val="21"/>
          <w:szCs w:val="22"/>
          <w:highlight w:val="none"/>
          <w14:textFill>
            <w14:solidFill>
              <w14:schemeClr w14:val="tx1"/>
            </w14:solidFill>
          </w14:textFill>
        </w:rPr>
      </w:r>
      <w:r/>
    </w:p>
    <w:p>
      <w:pPr>
        <w:pStyle w:val="1139"/>
        <w:spacing w:line="360" w:lineRule="auto"/>
        <w:rPr>
          <w:color w:val="000000" w:themeColor="text1"/>
          <w:sz w:val="21"/>
          <w:szCs w:val="22"/>
          <w:highlight w:val="none"/>
          <w14:textFill>
            <w14:solidFill>
              <w14:schemeClr w14:val="tx1"/>
            </w14:solidFill>
          </w14:textFill>
        </w:rPr>
      </w:pPr>
      <w:r>
        <w:rPr>
          <w:color w:val="000000" w:themeColor="text1"/>
          <w:sz w:val="21"/>
          <w:szCs w:val="22"/>
          <w:highlight w:val="none"/>
          <w14:textFill>
            <w14:solidFill>
              <w14:schemeClr w14:val="tx1"/>
            </w14:solidFill>
          </w14:textFill>
        </w:rPr>
      </w:r>
      <w:r/>
    </w:p>
    <w:p>
      <w:pPr>
        <w:pStyle w:val="1139"/>
        <w:spacing w:line="360" w:lineRule="auto"/>
        <w:rPr>
          <w:color w:val="000000" w:themeColor="text1"/>
          <w:sz w:val="21"/>
          <w:szCs w:val="22"/>
          <w:highlight w:val="none"/>
          <w14:textFill>
            <w14:solidFill>
              <w14:schemeClr w14:val="tx1"/>
            </w14:solidFill>
          </w14:textFill>
        </w:rPr>
      </w:pPr>
      <w:r>
        <w:rPr>
          <w:color w:val="000000" w:themeColor="text1"/>
          <w:sz w:val="21"/>
          <w:szCs w:val="22"/>
          <w:highlight w:val="none"/>
          <w14:textFill>
            <w14:solidFill>
              <w14:schemeClr w14:val="tx1"/>
            </w14:solidFill>
          </w14:textFill>
        </w:rPr>
      </w:r>
      <w:r/>
    </w:p>
    <w:p>
      <w:pPr>
        <w:pStyle w:val="1139"/>
        <w:spacing w:line="360" w:lineRule="auto"/>
        <w:rPr>
          <w:color w:val="000000" w:themeColor="text1"/>
          <w:sz w:val="21"/>
          <w:szCs w:val="22"/>
          <w:highlight w:val="none"/>
          <w14:textFill>
            <w14:solidFill>
              <w14:schemeClr w14:val="tx1"/>
            </w14:solidFill>
          </w14:textFill>
        </w:rPr>
      </w:pPr>
      <w:r>
        <w:rPr>
          <w:color w:val="000000" w:themeColor="text1"/>
          <w:sz w:val="21"/>
          <w:szCs w:val="22"/>
          <w:highlight w:val="none"/>
          <w14:textFill>
            <w14:solidFill>
              <w14:schemeClr w14:val="tx1"/>
            </w14:solidFill>
          </w14:textFill>
        </w:rPr>
      </w:r>
      <w:r/>
    </w:p>
    <w:p>
      <w:pPr>
        <w:pStyle w:val="1139"/>
        <w:spacing w:line="360" w:lineRule="auto"/>
        <w:rPr>
          <w:color w:val="000000" w:themeColor="text1"/>
          <w:sz w:val="21"/>
          <w:szCs w:val="22"/>
          <w:highlight w:val="none"/>
          <w14:textFill>
            <w14:solidFill>
              <w14:schemeClr w14:val="tx1"/>
            </w14:solidFill>
          </w14:textFill>
        </w:rPr>
      </w:pPr>
      <w:r>
        <w:rPr>
          <w:color w:val="000000" w:themeColor="text1"/>
          <w:sz w:val="21"/>
          <w:szCs w:val="22"/>
          <w:highlight w:val="none"/>
          <w14:textFill>
            <w14:solidFill>
              <w14:schemeClr w14:val="tx1"/>
            </w14:solidFill>
          </w14:textFill>
        </w:rPr>
      </w:r>
      <w:r/>
    </w:p>
    <w:p>
      <w:pPr>
        <w:pStyle w:val="1139"/>
        <w:spacing w:line="360" w:lineRule="auto"/>
        <w:rPr>
          <w:color w:val="000000" w:themeColor="text1"/>
          <w:sz w:val="21"/>
          <w:szCs w:val="22"/>
          <w:highlight w:val="none"/>
          <w14:textFill>
            <w14:solidFill>
              <w14:schemeClr w14:val="tx1"/>
            </w14:solidFill>
          </w14:textFill>
        </w:rPr>
      </w:pPr>
      <w:r>
        <w:rPr>
          <w:color w:val="000000" w:themeColor="text1"/>
          <w:sz w:val="21"/>
          <w:szCs w:val="22"/>
          <w:highlight w:val="none"/>
          <w14:textFill>
            <w14:solidFill>
              <w14:schemeClr w14:val="tx1"/>
            </w14:solidFill>
          </w14:textFill>
        </w:rPr>
      </w:r>
      <w:r/>
    </w:p>
    <w:p>
      <w:pPr>
        <w:pStyle w:val="1139"/>
        <w:spacing w:line="360" w:lineRule="auto"/>
        <w:rPr>
          <w:color w:val="000000" w:themeColor="text1"/>
          <w:sz w:val="21"/>
          <w:szCs w:val="22"/>
          <w:highlight w:val="none"/>
          <w14:textFill>
            <w14:solidFill>
              <w14:schemeClr w14:val="tx1"/>
            </w14:solidFill>
          </w14:textFill>
        </w:rPr>
      </w:pPr>
      <w:r>
        <w:rPr>
          <w:color w:val="000000" w:themeColor="text1"/>
          <w:sz w:val="21"/>
          <w:szCs w:val="22"/>
          <w:highlight w:val="none"/>
          <w14:textFill>
            <w14:solidFill>
              <w14:schemeClr w14:val="tx1"/>
            </w14:solidFill>
          </w14:textFill>
        </w:rPr>
      </w:r>
      <w:r/>
    </w:p>
    <w:p>
      <w:pPr>
        <w:pStyle w:val="1139"/>
        <w:spacing w:line="360" w:lineRule="auto"/>
        <w:rPr>
          <w:color w:val="000000" w:themeColor="text1"/>
          <w:sz w:val="21"/>
          <w:szCs w:val="22"/>
          <w:highlight w:val="none"/>
          <w14:textFill>
            <w14:solidFill>
              <w14:schemeClr w14:val="tx1"/>
            </w14:solidFill>
          </w14:textFill>
        </w:rPr>
      </w:pPr>
      <w:r>
        <w:rPr>
          <w:color w:val="000000" w:themeColor="text1"/>
          <w:sz w:val="21"/>
          <w:szCs w:val="22"/>
          <w:highlight w:val="none"/>
          <w14:textFill>
            <w14:solidFill>
              <w14:schemeClr w14:val="tx1"/>
            </w14:solidFill>
          </w14:textFill>
        </w:rPr>
      </w:r>
      <w:r/>
    </w:p>
    <w:p>
      <w:pPr>
        <w:pStyle w:val="1139"/>
        <w:spacing w:line="360" w:lineRule="auto"/>
        <w:rPr>
          <w:color w:val="000000" w:themeColor="text1"/>
          <w:sz w:val="21"/>
          <w:szCs w:val="22"/>
          <w:highlight w:val="none"/>
          <w14:textFill>
            <w14:solidFill>
              <w14:schemeClr w14:val="tx1"/>
            </w14:solidFill>
          </w14:textFill>
        </w:rPr>
      </w:pPr>
      <w:r>
        <w:rPr>
          <w:color w:val="000000" w:themeColor="text1"/>
          <w:sz w:val="21"/>
          <w:szCs w:val="22"/>
          <w:highlight w:val="none"/>
          <w14:textFill>
            <w14:solidFill>
              <w14:schemeClr w14:val="tx1"/>
            </w14:solidFill>
          </w14:textFill>
        </w:rPr>
      </w:r>
      <w:r/>
    </w:p>
    <w:p>
      <w:pPr>
        <w:pStyle w:val="1139"/>
        <w:spacing w:line="360" w:lineRule="auto"/>
        <w:rPr>
          <w:color w:val="000000" w:themeColor="text1"/>
          <w:sz w:val="21"/>
          <w:szCs w:val="22"/>
          <w:highlight w:val="none"/>
          <w14:textFill>
            <w14:solidFill>
              <w14:schemeClr w14:val="tx1"/>
            </w14:solidFill>
          </w14:textFill>
        </w:rPr>
      </w:pPr>
      <w:r>
        <w:rPr>
          <w:color w:val="000000" w:themeColor="text1"/>
          <w:sz w:val="21"/>
          <w:szCs w:val="22"/>
          <w:highlight w:val="none"/>
          <w14:textFill>
            <w14:solidFill>
              <w14:schemeClr w14:val="tx1"/>
            </w14:solidFill>
          </w14:textFill>
        </w:rPr>
      </w:r>
      <w:r/>
    </w:p>
    <w:p>
      <w:pPr>
        <w:pStyle w:val="1139"/>
        <w:spacing w:line="360" w:lineRule="auto"/>
        <w:rPr>
          <w:color w:val="000000" w:themeColor="text1"/>
          <w:sz w:val="21"/>
          <w:szCs w:val="22"/>
          <w:highlight w:val="none"/>
          <w14:textFill>
            <w14:solidFill>
              <w14:schemeClr w14:val="tx1"/>
            </w14:solidFill>
          </w14:textFill>
        </w:rPr>
      </w:pPr>
      <w:r>
        <w:rPr>
          <w:color w:val="000000" w:themeColor="text1"/>
          <w:sz w:val="21"/>
          <w:szCs w:val="22"/>
          <w:highlight w:val="none"/>
          <w14:textFill>
            <w14:solidFill>
              <w14:schemeClr w14:val="tx1"/>
            </w14:solidFill>
          </w14:textFill>
        </w:rPr>
      </w:r>
      <w:r/>
    </w:p>
    <w:p>
      <w:pPr>
        <w:rPr>
          <w:rFonts w:cs="Courier New"/>
          <w:color w:val="000000" w:themeColor="text1"/>
          <w:sz w:val="24"/>
          <w:szCs w:val="24"/>
          <w:highlight w:val="none"/>
          <w14:textFill>
            <w14:solidFill>
              <w14:schemeClr w14:val="tx1"/>
            </w14:solidFill>
          </w14:textFill>
        </w:rPr>
      </w:pPr>
      <w:r>
        <w:rPr>
          <w:rFonts w:cs="Courier New"/>
          <w:color w:val="000000" w:themeColor="text1"/>
          <w:sz w:val="24"/>
          <w:szCs w:val="24"/>
          <w:highlight w:val="none"/>
          <w14:textFill>
            <w14:solidFill>
              <w14:schemeClr w14:val="tx1"/>
            </w14:solidFill>
          </w14:textFill>
        </w:rPr>
      </w:r>
      <w:r/>
    </w:p>
    <w:p>
      <w:pPr>
        <w:pStyle w:val="1003"/>
        <w:rPr>
          <w:rFonts w:ascii="Times New Roman" w:eastAsia="黑体"/>
          <w:bCs/>
          <w:color w:val="000000" w:themeColor="text1"/>
          <w:sz w:val="44"/>
          <w:highlight w:val="none"/>
          <w14:textFill>
            <w14:solidFill>
              <w14:schemeClr w14:val="tx1"/>
            </w14:solidFill>
          </w14:textFill>
        </w:rPr>
      </w:pPr>
      <w:r/>
      <w:bookmarkStart w:id="196" w:name="_Toc120614281"/>
      <w:r>
        <w:rPr>
          <w:rFonts w:hint="eastAsia" w:ascii="Times New Roman" w:eastAsia="黑体"/>
          <w:bCs/>
          <w:color w:val="000000" w:themeColor="text1"/>
          <w:sz w:val="44"/>
          <w:highlight w:val="none"/>
          <w14:textFill>
            <w14:solidFill>
              <w14:schemeClr w14:val="tx1"/>
            </w14:solidFill>
          </w14:textFill>
        </w:rPr>
        <w:t xml:space="preserve">第五章  </w:t>
      </w:r>
      <w:r>
        <w:rPr>
          <w:rFonts w:hint="eastAsia" w:ascii="Times New Roman" w:eastAsia="黑体"/>
          <w:b/>
          <w:bCs/>
          <w:color w:val="000000" w:themeColor="text1"/>
          <w:sz w:val="44"/>
          <w:highlight w:val="none"/>
          <w14:textFill>
            <w14:solidFill>
              <w14:schemeClr w14:val="tx1"/>
            </w14:solidFill>
          </w14:textFill>
        </w:rPr>
        <w:t xml:space="preserve"> 评标方法与评标标准</w:t>
      </w:r>
      <w:r/>
    </w:p>
    <w:p>
      <w:pPr>
        <w:spacing w:line="500" w:lineRule="exact"/>
        <w:rPr>
          <w:rFonts w:eastAsia="仿宋_GB2312"/>
          <w:color w:val="000000" w:themeColor="text1"/>
          <w:sz w:val="24"/>
          <w:highlight w:val="none"/>
          <w14:textFill>
            <w14:solidFill>
              <w14:schemeClr w14:val="tx1"/>
            </w14:solidFill>
          </w14:textFill>
        </w:rPr>
      </w:pPr>
      <w:r>
        <w:rPr>
          <w:rFonts w:hint="eastAsia" w:eastAsia="仿宋_GB2312"/>
          <w:b/>
          <w:color w:val="000000" w:themeColor="text1"/>
          <w:sz w:val="28"/>
          <w:szCs w:val="22"/>
          <w:highlight w:val="none"/>
          <w14:textFill>
            <w14:solidFill>
              <w14:schemeClr w14:val="tx1"/>
            </w14:solidFill>
          </w14:textFill>
        </w:rPr>
        <w:t xml:space="preserve">一、资格审查。</w:t>
      </w:r>
      <w:r>
        <w:rPr>
          <w:rFonts w:hint="eastAsia"/>
          <w:color w:val="000000" w:themeColor="text1"/>
          <w:sz w:val="24"/>
          <w:highlight w:val="none"/>
          <w14:textFill>
            <w14:solidFill>
              <w14:schemeClr w14:val="tx1"/>
            </w14:solidFill>
          </w14:textFill>
        </w:rPr>
        <w:t xml:space="preserve">资格审查人员按照下列指标对各投标人的资格进行审查，未通过审查的为无效标，不参与评标。</w:t>
      </w:r>
      <w:r/>
    </w:p>
    <w:tbl>
      <w:tblPr>
        <w:tblStyle w:val="827"/>
        <w:tblW w:w="5000"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84"/>
        <w:gridCol w:w="4485"/>
      </w:tblGrid>
      <w:tr>
        <w:trPr/>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t xml:space="preserve">资格审查因素</w:t>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t xml:space="preserve">投标声明及承诺函</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t xml:space="preserve">信用信息</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t xml:space="preserve">联合体投标</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t xml:space="preserve">不接受联合体投标</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000000" w:themeColor="text1"/>
                <w:szCs w:val="22"/>
                <w:highlight w:val="none"/>
                <w14:textFill>
                  <w14:solidFill>
                    <w14:schemeClr w14:val="tx1"/>
                  </w14:solidFill>
                </w14:textFill>
              </w:rPr>
            </w:pPr>
            <w:r>
              <w:rPr>
                <w:rFonts w:hint="eastAsia"/>
                <w:color w:val="000000" w:themeColor="text1"/>
                <w:szCs w:val="22"/>
                <w:highlight w:val="none"/>
                <w14:textFill>
                  <w14:solidFill>
                    <w14:schemeClr w14:val="tx1"/>
                  </w14:solidFill>
                </w14:textFill>
              </w:rPr>
              <w:t xml:space="preserve">落实政府采购政策需满足的资格要求</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000000" w:themeColor="text1"/>
                <w:szCs w:val="22"/>
                <w:highlight w:val="none"/>
                <w14:textFill>
                  <w14:solidFill>
                    <w14:schemeClr w14:val="tx1"/>
                  </w14:solidFill>
                </w14:textFill>
              </w:rPr>
            </w:pPr>
            <w:r>
              <w:rPr>
                <w:rFonts w:hint="eastAsia"/>
                <w:color w:val="000000" w:themeColor="text1"/>
                <w:szCs w:val="22"/>
                <w:highlight w:val="none"/>
                <w14:textFill>
                  <w14:solidFill>
                    <w14:schemeClr w14:val="tx1"/>
                  </w14:solidFill>
                </w14:textFill>
              </w:rPr>
              <w:t xml:space="preserve">本项目属于专门面向中小企业采购的项目,供应商应为中小微企业、监狱企业、残疾人福利性单位（须提供《中小企业或残疾人福利性单位声明函》）。非中小型企业参与本项目投标，将作无效标处理</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000000" w:themeColor="text1"/>
                <w:szCs w:val="22"/>
                <w:highlight w:val="none"/>
                <w14:textFill>
                  <w14:solidFill>
                    <w14:schemeClr w14:val="tx1"/>
                  </w14:solidFill>
                </w14:textFill>
              </w:rPr>
            </w:pPr>
            <w:r>
              <w:rPr>
                <w:rFonts w:hint="eastAsia"/>
                <w:color w:val="000000" w:themeColor="text1"/>
                <w:szCs w:val="22"/>
                <w:highlight w:val="none"/>
                <w14:textFill>
                  <w14:solidFill>
                    <w14:schemeClr w14:val="tx1"/>
                  </w14:solidFill>
                </w14:textFill>
              </w:rPr>
              <w:t xml:space="preserve">本项目的特定资格要求</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000000" w:themeColor="text1"/>
                <w:szCs w:val="22"/>
                <w:highlight w:val="none"/>
                <w14:textFill>
                  <w14:solidFill>
                    <w14:schemeClr w14:val="tx1"/>
                  </w14:solidFill>
                </w14:textFill>
              </w:rPr>
            </w:pPr>
            <w:r>
              <w:rPr>
                <w:rFonts w:hint="eastAsia"/>
                <w:color w:val="000000" w:themeColor="text1"/>
                <w:szCs w:val="22"/>
                <w:highlight w:val="none"/>
                <w14:textFill>
                  <w14:solidFill>
                    <w14:schemeClr w14:val="tx1"/>
                  </w14:solidFill>
                </w14:textFill>
              </w:rPr>
              <w:t xml:space="preserve">供应商须经过企业注册所在地省级及以上自然资源主管部门备案的土地估价机构。</w:t>
            </w:r>
            <w:r/>
          </w:p>
        </w:tc>
      </w:tr>
    </w:tbl>
    <w:p>
      <w:pPr>
        <w:spacing w:line="500" w:lineRule="exact"/>
        <w:rPr>
          <w:rFonts w:eastAsia="仿宋_GB2312"/>
          <w:color w:val="000000" w:themeColor="text1"/>
          <w:sz w:val="24"/>
          <w:highlight w:val="none"/>
          <w14:textFill>
            <w14:solidFill>
              <w14:schemeClr w14:val="tx1"/>
            </w14:solidFill>
          </w14:textFill>
        </w:rPr>
      </w:pPr>
      <w:r>
        <w:rPr>
          <w:rFonts w:hint="eastAsia" w:eastAsia="仿宋_GB2312"/>
          <w:b/>
          <w:color w:val="000000" w:themeColor="text1"/>
          <w:sz w:val="28"/>
          <w:szCs w:val="22"/>
          <w:highlight w:val="none"/>
          <w14:textFill>
            <w14:solidFill>
              <w14:schemeClr w14:val="tx1"/>
            </w14:solidFill>
          </w14:textFill>
        </w:rPr>
        <w:t xml:space="preserve">二、符合性审查。</w:t>
      </w:r>
      <w:r>
        <w:rPr>
          <w:rFonts w:hint="eastAsia"/>
          <w:color w:val="000000" w:themeColor="text1"/>
          <w:sz w:val="24"/>
          <w:highlight w:val="none"/>
          <w14:textFill>
            <w14:solidFill>
              <w14:schemeClr w14:val="tx1"/>
            </w14:solidFill>
          </w14:textFill>
        </w:rPr>
        <w:t xml:space="preserve">评标委员会首先按照下列指标对各投标人的投标文件进行符合性审查，未通过审查的为无效标，不再参与评审。</w:t>
      </w:r>
      <w:r/>
    </w:p>
    <w:tbl>
      <w:tblPr>
        <w:tblStyle w:val="827"/>
        <w:tblW w:w="5008"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0"/>
        <w:gridCol w:w="4493"/>
      </w:tblGrid>
      <w:tr>
        <w:trPr/>
        <w:tc>
          <w:tcPr>
            <w:tcBorders>
              <w:top w:val="single" w:color="000000" w:sz="6" w:space="0"/>
              <w:left w:val="single" w:color="000000" w:sz="6" w:space="0"/>
              <w:bottom w:val="single" w:color="000000" w:sz="6" w:space="0"/>
              <w:right w:val="single" w:color="000000" w:sz="6" w:space="0"/>
            </w:tcBorders>
            <w:tcW w:w="2499" w:type="pct"/>
            <w:vAlign w:val="center"/>
            <w:textDirection w:val="lrTb"/>
            <w:noWrap w:val="false"/>
          </w:tcPr>
          <w:p>
            <w:pPr>
              <w:jc w:val="center"/>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t xml:space="preserve">符合性审查因素</w:t>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t xml:space="preserve">开标一览表及投标报价</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t xml:space="preserve">格式、填写要求符合招标文件规定</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t xml:space="preserve">技术标准和要求</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t xml:space="preserve">其他</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t xml:space="preserve">符合招标文件要求</w:t>
            </w:r>
            <w:r/>
          </w:p>
        </w:tc>
      </w:tr>
    </w:tbl>
    <w:p>
      <w:pPr>
        <w:spacing w:line="500" w:lineRule="exact"/>
        <w:rPr>
          <w:rFonts w:eastAsia="仿宋_GB2312"/>
          <w:b/>
          <w:color w:val="000000" w:themeColor="text1"/>
          <w:sz w:val="28"/>
          <w:szCs w:val="22"/>
          <w:highlight w:val="none"/>
          <w14:textFill>
            <w14:solidFill>
              <w14:schemeClr w14:val="tx1"/>
            </w14:solidFill>
          </w14:textFill>
        </w:rPr>
      </w:pPr>
      <w:r>
        <w:rPr>
          <w:rFonts w:hint="eastAsia" w:eastAsia="仿宋_GB2312"/>
          <w:b/>
          <w:color w:val="000000" w:themeColor="text1"/>
          <w:sz w:val="28"/>
          <w:szCs w:val="22"/>
          <w:highlight w:val="none"/>
          <w14:textFill>
            <w14:solidFill>
              <w14:schemeClr w14:val="tx1"/>
            </w14:solidFill>
          </w14:textFill>
        </w:rPr>
        <w:t xml:space="preserve">三、评分办法—综合评分法</w:t>
      </w:r>
      <w:r/>
    </w:p>
    <w:p>
      <w:pPr>
        <w:ind w:firstLine="241"/>
        <w:spacing w:line="500" w:lineRule="exact"/>
        <w:rPr>
          <w:color w:val="000000" w:themeColor="text1"/>
          <w:sz w:val="24"/>
          <w:highlight w:val="none"/>
          <w14:textFill>
            <w14:solidFill>
              <w14:schemeClr w14:val="tx1"/>
            </w14:solidFill>
          </w14:textFill>
        </w:rPr>
      </w:pPr>
      <w:r>
        <w:rPr>
          <w:rFonts w:hint="eastAsia" w:eastAsia="仿宋_GB2312"/>
          <w:b/>
          <w:color w:val="000000" w:themeColor="text1"/>
          <w:sz w:val="24"/>
          <w:highlight w:val="none"/>
          <w14:textFill>
            <w14:solidFill>
              <w14:schemeClr w14:val="tx1"/>
            </w14:solidFill>
          </w14:textFill>
        </w:rPr>
        <w:t xml:space="preserve">（一）评标办法：</w:t>
      </w:r>
      <w:r>
        <w:rPr>
          <w:rFonts w:hint="eastAsia"/>
          <w:color w:val="000000" w:themeColor="text1"/>
          <w:sz w:val="24"/>
          <w:highlight w:val="none"/>
          <w14:textFill>
            <w14:solidFill>
              <w14:schemeClr w14:val="tx1"/>
            </w14:solidFill>
          </w14:textFill>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评标委员会根据评审后投标人排序推荐中标候选人。投标文件满足招标文件全部实质性要求，且评审后排序第一的投标人为第一中标候选人，依次类推。</w:t>
      </w:r>
      <w:r/>
    </w:p>
    <w:p>
      <w:pPr>
        <w:ind w:firstLine="480"/>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综合评分保留至小数点后两位。 </w:t>
      </w:r>
      <w:r/>
    </w:p>
    <w:p>
      <w:pPr>
        <w:numPr>
          <w:ilvl w:val="0"/>
          <w:numId w:val="6"/>
        </w:numPr>
        <w:ind w:firstLine="241"/>
        <w:jc w:val="left"/>
        <w:spacing w:line="500" w:lineRule="exact"/>
        <w:rPr>
          <w:color w:val="000000" w:themeColor="text1"/>
          <w:sz w:val="24"/>
          <w:highlight w:val="none"/>
          <w14:textFill>
            <w14:solidFill>
              <w14:schemeClr w14:val="tx1"/>
            </w14:solidFill>
          </w14:textFill>
        </w:rPr>
      </w:pPr>
      <w:r>
        <w:rPr>
          <w:rFonts w:hint="eastAsia" w:eastAsia="仿宋_GB2312"/>
          <w:b/>
          <w:color w:val="000000" w:themeColor="text1"/>
          <w:sz w:val="24"/>
          <w:highlight w:val="none"/>
          <w14:textFill>
            <w14:solidFill>
              <w14:schemeClr w14:val="tx1"/>
            </w14:solidFill>
          </w14:textFill>
        </w:rPr>
        <w:t xml:space="preserve">详细评审。</w:t>
      </w:r>
      <w:r>
        <w:rPr>
          <w:rFonts w:hint="eastAsia"/>
          <w:color w:val="000000" w:themeColor="text1"/>
          <w:sz w:val="24"/>
          <w:highlight w:val="none"/>
          <w14:textFill>
            <w14:solidFill>
              <w14:schemeClr w14:val="tx1"/>
            </w14:solidFill>
          </w14:textFill>
        </w:rPr>
        <w:t xml:space="preserve">评标委员会按照招标文件规定的评分标准，对各投标文件进行详细评审打分。评标委员会组长对各评审专家的打分情况进行复核无误后汇总，形成评审报告。</w:t>
      </w:r>
      <w:r/>
    </w:p>
    <w:tbl>
      <w:tblPr>
        <w:tblStyle w:val="850"/>
        <w:tblW w:w="0" w:type="auto"/>
        <w:tblInd w:w="-9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291"/>
        <w:gridCol w:w="1365"/>
        <w:gridCol w:w="1125"/>
        <w:gridCol w:w="5128"/>
      </w:tblGrid>
      <w:tr>
        <w:trPr/>
        <w:tc>
          <w:tcPr>
            <w:gridSpan w:val="2"/>
            <w:tcMar>
              <w:left w:w="0" w:type="dxa"/>
              <w:top w:w="0" w:type="dxa"/>
              <w:right w:w="0" w:type="dxa"/>
              <w:bottom w:w="0" w:type="dxa"/>
            </w:tcMar>
            <w:tcW w:w="2656"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评审因素</w:t>
            </w:r>
            <w:r/>
          </w:p>
        </w:tc>
        <w:tc>
          <w:tcPr>
            <w:tcMar>
              <w:left w:w="0" w:type="dxa"/>
              <w:top w:w="0" w:type="dxa"/>
              <w:right w:w="0" w:type="dxa"/>
              <w:bottom w:w="0" w:type="dxa"/>
            </w:tcMar>
            <w:tcW w:w="1125"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分数</w:t>
            </w:r>
            <w:r/>
          </w:p>
        </w:tc>
        <w:tc>
          <w:tcPr>
            <w:tcMar>
              <w:left w:w="0" w:type="dxa"/>
              <w:top w:w="0" w:type="dxa"/>
              <w:right w:w="0" w:type="dxa"/>
              <w:bottom w:w="0" w:type="dxa"/>
            </w:tcMar>
            <w:tcW w:w="5128"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评审标准</w:t>
            </w:r>
            <w:r/>
          </w:p>
        </w:tc>
      </w:tr>
      <w:tr>
        <w:trPr>
          <w:trHeight w:val="1354"/>
        </w:trPr>
        <w:tc>
          <w:tcPr>
            <w:tcMar>
              <w:left w:w="0" w:type="dxa"/>
              <w:top w:w="0" w:type="dxa"/>
              <w:right w:w="0" w:type="dxa"/>
              <w:bottom w:w="0" w:type="dxa"/>
            </w:tcMar>
            <w:tcW w:w="1291"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投标报价</w:t>
            </w:r>
            <w:r/>
          </w:p>
        </w:tc>
        <w:tc>
          <w:tcPr>
            <w:tcMar>
              <w:left w:w="0" w:type="dxa"/>
              <w:top w:w="0" w:type="dxa"/>
              <w:right w:w="0" w:type="dxa"/>
              <w:bottom w:w="0" w:type="dxa"/>
            </w:tcMar>
            <w:tcW w:w="1365"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投标报价</w:t>
            </w:r>
            <w:r/>
          </w:p>
        </w:tc>
        <w:tc>
          <w:tcPr>
            <w:tcMar>
              <w:left w:w="0" w:type="dxa"/>
              <w:top w:w="0" w:type="dxa"/>
              <w:right w:w="0" w:type="dxa"/>
              <w:bottom w:w="0" w:type="dxa"/>
            </w:tcMar>
            <w:tcW w:w="1125"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15.00分</w:t>
            </w:r>
            <w:r/>
          </w:p>
        </w:tc>
        <w:tc>
          <w:tcPr>
            <w:tcMar>
              <w:left w:w="0" w:type="dxa"/>
              <w:top w:w="0" w:type="dxa"/>
              <w:right w:w="0" w:type="dxa"/>
              <w:bottom w:w="0" w:type="dxa"/>
            </w:tcMar>
            <w:tcW w:w="5128" w:type="dxa"/>
            <w:vAlign w:val="center"/>
            <w:textDirection w:val="lrTb"/>
            <w:noWrap w:val="false"/>
          </w:tcPr>
          <w:p>
            <w:pPr>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采用低价优先法计算，即满足比选文件要求且最低的报价为评审基准价，其价格分为满分。其他供应商报价得分＝（评标基准价/投标报价）*15。</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注：最终结果四舍五入保留至小数点后两位。</w:t>
            </w:r>
            <w:r/>
          </w:p>
        </w:tc>
      </w:tr>
      <w:tr>
        <w:trPr/>
        <w:tc>
          <w:tcPr>
            <w:tcMar>
              <w:left w:w="0" w:type="dxa"/>
              <w:top w:w="0" w:type="dxa"/>
              <w:right w:w="0" w:type="dxa"/>
              <w:bottom w:w="0" w:type="dxa"/>
            </w:tcMar>
            <w:tcW w:w="1291"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企业经营业绩</w:t>
            </w:r>
            <w:r/>
          </w:p>
        </w:tc>
        <w:tc>
          <w:tcPr>
            <w:tcMar>
              <w:left w:w="0" w:type="dxa"/>
              <w:top w:w="0" w:type="dxa"/>
              <w:right w:w="0" w:type="dxa"/>
              <w:bottom w:w="0" w:type="dxa"/>
            </w:tcMar>
            <w:tcW w:w="1365"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企业业绩</w:t>
            </w:r>
            <w:r/>
          </w:p>
        </w:tc>
        <w:tc>
          <w:tcPr>
            <w:tcMar>
              <w:left w:w="0" w:type="dxa"/>
              <w:top w:w="0" w:type="dxa"/>
              <w:right w:w="0" w:type="dxa"/>
              <w:bottom w:w="0" w:type="dxa"/>
            </w:tcMar>
            <w:tcW w:w="1125"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12.00分</w:t>
            </w:r>
            <w:r/>
          </w:p>
        </w:tc>
        <w:tc>
          <w:tcPr>
            <w:tcMar>
              <w:left w:w="0" w:type="dxa"/>
              <w:top w:w="0" w:type="dxa"/>
              <w:right w:w="0" w:type="dxa"/>
              <w:bottom w:w="0" w:type="dxa"/>
            </w:tcMar>
            <w:tcW w:w="5128" w:type="dxa"/>
            <w:vAlign w:val="center"/>
            <w:textDirection w:val="lrTb"/>
            <w:noWrap w:val="false"/>
          </w:tcPr>
          <w:p>
            <w:pPr>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1、投标人自2023年1月1日（以合同签订时间为准）以来承担过类似公示地价体系建设项目的，每有一个得2分，此项最高得</w:t>
            </w:r>
            <w:r>
              <w:rPr>
                <w:rFonts w:ascii="宋体" w:hAnsi="宋体" w:cs="宋体"/>
                <w:color w:val="000000"/>
                <w:highlight w:val="none"/>
              </w:rPr>
              <w:t xml:space="preserve">6</w:t>
            </w:r>
            <w:r>
              <w:rPr>
                <w:rFonts w:hint="eastAsia" w:ascii="宋体" w:hAnsi="宋体" w:cs="宋体"/>
                <w:color w:val="000000"/>
                <w:highlight w:val="none"/>
              </w:rPr>
              <w:t xml:space="preserve">分。</w:t>
            </w:r>
            <w:r/>
          </w:p>
          <w:p>
            <w:pPr>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w:t>
            </w:r>
            <w:r>
              <w:rPr>
                <w:rFonts w:hint="eastAsia" w:ascii="宋体" w:hAnsi="宋体" w:cs="宋体"/>
                <w:color w:val="000000"/>
                <w:highlight w:val="none"/>
              </w:rPr>
              <w:t xml:space="preserve">、投标人自2023年1月1日（以合同签订时间为准）以来承担过类似地价动态监测项目的，每有一个得2分，此项最高得</w:t>
            </w:r>
            <w:r>
              <w:rPr>
                <w:rFonts w:ascii="宋体" w:hAnsi="宋体" w:cs="宋体"/>
                <w:color w:val="000000"/>
                <w:highlight w:val="none"/>
              </w:rPr>
              <w:t xml:space="preserve">6</w:t>
            </w:r>
            <w:r>
              <w:rPr>
                <w:rFonts w:hint="eastAsia" w:ascii="宋体" w:hAnsi="宋体" w:cs="宋体"/>
                <w:color w:val="000000"/>
                <w:highlight w:val="none"/>
              </w:rPr>
              <w:t xml:space="preserve">分。</w:t>
            </w:r>
            <w:r/>
          </w:p>
          <w:p>
            <w:pPr>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（同一种类型的项目，同一地区不同年份只计算一次得分，提供合同扫描件并加盖公章）。</w:t>
            </w:r>
            <w:r/>
          </w:p>
          <w:p>
            <w:pPr>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注：须提供项目合同及中标（成交）通知书电子件或扫描件、验收报告并加盖供应商公章，缺一不可，合同内容须清晰可见；若合同或中标通知书无法体现服务内容的，供应商应提供相应补充证明材料予以明确。业绩材料要明确反映供应商名称、项目名称、项目内容等，否则不予计分。</w:t>
            </w:r>
            <w:r/>
          </w:p>
          <w:p>
            <w:pPr>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highlight w:val="none"/>
              </w:rPr>
              <w:t xml:space="preserve">本项得分证明材料随中标公告同步公示。</w:t>
            </w:r>
            <w:r/>
          </w:p>
        </w:tc>
      </w:tr>
      <w:tr>
        <w:trPr/>
        <w:tc>
          <w:tcPr>
            <w:tcMar>
              <w:left w:w="0" w:type="dxa"/>
              <w:top w:w="0" w:type="dxa"/>
              <w:right w:w="0" w:type="dxa"/>
              <w:bottom w:w="0" w:type="dxa"/>
            </w:tcMar>
            <w:tcW w:w="1291" w:type="dxa"/>
            <w:vAlign w:val="center"/>
            <w:vMerge w:val="restart"/>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项目实施方案</w:t>
            </w:r>
            <w:r/>
          </w:p>
        </w:tc>
        <w:tc>
          <w:tcPr>
            <w:tcMar>
              <w:left w:w="0" w:type="dxa"/>
              <w:top w:w="0" w:type="dxa"/>
              <w:right w:w="0" w:type="dxa"/>
              <w:bottom w:w="0" w:type="dxa"/>
            </w:tcMar>
            <w:tcW w:w="1365"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highlight w:val="none"/>
                <w14:textFill>
                  <w14:solidFill>
                    <w14:schemeClr w14:val="tx1"/>
                  </w14:solidFill>
                </w14:textFill>
              </w:rPr>
              <w:t xml:space="preserve">项目内容熟悉程度</w:t>
            </w:r>
            <w:r/>
          </w:p>
        </w:tc>
        <w:tc>
          <w:tcPr>
            <w:tcMar>
              <w:left w:w="0" w:type="dxa"/>
              <w:top w:w="0" w:type="dxa"/>
              <w:right w:w="0" w:type="dxa"/>
              <w:bottom w:w="0" w:type="dxa"/>
            </w:tcMar>
            <w:tcW w:w="1125"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9.00分</w:t>
            </w:r>
            <w:r/>
          </w:p>
        </w:tc>
        <w:tc>
          <w:tcPr>
            <w:tcMar>
              <w:left w:w="0" w:type="dxa"/>
              <w:top w:w="0" w:type="dxa"/>
              <w:right w:w="0" w:type="dxa"/>
              <w:bottom w:w="0" w:type="dxa"/>
            </w:tcMar>
            <w:tcW w:w="5128" w:type="dxa"/>
            <w:vAlign w:val="center"/>
            <w:textDirection w:val="lrTb"/>
            <w:noWrap w:val="false"/>
          </w:tcPr>
          <w:p>
            <w:pPr>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根据供应商</w:t>
            </w:r>
            <w:r>
              <w:rPr>
                <w:rFonts w:hint="eastAsia" w:ascii="宋体" w:hAnsi="宋体" w:cs="宋体"/>
                <w:color w:val="000000"/>
                <w:highlight w:val="none"/>
              </w:rPr>
              <w:t xml:space="preserve">对</w:t>
            </w:r>
            <w:r>
              <w:rPr>
                <w:rFonts w:ascii="宋体" w:hAnsi="宋体" w:cs="宋体"/>
                <w:color w:val="000000"/>
                <w:highlight w:val="none"/>
              </w:rPr>
              <w:t xml:space="preserve">本项目背景、国家和省内相关政策规定等方面理解程度，</w:t>
            </w:r>
            <w:r>
              <w:rPr>
                <w:rFonts w:hint="eastAsia" w:ascii="宋体" w:hAnsi="宋体" w:cs="宋体"/>
                <w:color w:val="000000"/>
                <w:highlight w:val="none"/>
              </w:rPr>
              <w:t xml:space="preserve">对本项目内容的了解程度，内容的完整性，与本项目实际情况的方案进行打分</w:t>
            </w:r>
            <w:r>
              <w:rPr>
                <w:rFonts w:ascii="宋体" w:hAnsi="宋体" w:cs="宋体"/>
                <w:color w:val="000000"/>
                <w:highlight w:val="none"/>
              </w:rPr>
              <w:t xml:space="preserve">。</w:t>
            </w:r>
            <w:r/>
          </w:p>
          <w:p>
            <w:pPr>
              <w:pStyle w:val="831"/>
              <w:rPr>
                <w:highlight w:val="none"/>
              </w:rPr>
            </w:pPr>
            <w:r>
              <w:rPr>
                <w:rFonts w:hint="eastAsia"/>
                <w:highlight w:val="none"/>
              </w:rPr>
              <w:t xml:space="preserve">方案完整、思路清晰明了、合理、可实施性强，各进度任务及其完成时间明确，符合项目实际情况，完全满足采购需求的得9分；方案基本完整、具有一定可实施性，认识和理解较充分，内容较完善，较符合实际情况的，得6分；技术方案粗略、可操作性不强，认识和理解浅显的得3分；没有内容不得分。</w:t>
            </w:r>
            <w:r/>
          </w:p>
        </w:tc>
      </w:tr>
      <w:tr>
        <w:trPr/>
        <w:tc>
          <w:tcPr>
            <w:tcW w:w="1291" w:type="dxa"/>
            <w:vMerge w:val="continue"/>
            <w:textDirection w:val="lrTb"/>
            <w:noWrap w:val="false"/>
          </w:tcPr>
          <w:p>
            <w:pPr>
              <w:rPr>
                <w:highlight w:val="none"/>
              </w:rPr>
            </w:pPr>
            <w:r>
              <w:rPr>
                <w:highlight w:val="none"/>
              </w:rPr>
            </w:r>
            <w:r/>
          </w:p>
        </w:tc>
        <w:tc>
          <w:tcPr>
            <w:tcMar>
              <w:left w:w="0" w:type="dxa"/>
              <w:top w:w="0" w:type="dxa"/>
              <w:right w:w="0" w:type="dxa"/>
              <w:bottom w:w="0" w:type="dxa"/>
            </w:tcMar>
            <w:tcW w:w="1365"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技术服务方案</w:t>
            </w:r>
            <w:r/>
          </w:p>
        </w:tc>
        <w:tc>
          <w:tcPr>
            <w:tcMar>
              <w:left w:w="0" w:type="dxa"/>
              <w:top w:w="0" w:type="dxa"/>
              <w:right w:w="0" w:type="dxa"/>
              <w:bottom w:w="0" w:type="dxa"/>
            </w:tcMar>
            <w:tcW w:w="1125"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15.00分</w:t>
            </w:r>
            <w:r/>
          </w:p>
        </w:tc>
        <w:tc>
          <w:tcPr>
            <w:tcMar>
              <w:left w:w="0" w:type="dxa"/>
              <w:top w:w="0" w:type="dxa"/>
              <w:right w:w="0" w:type="dxa"/>
              <w:bottom w:w="0" w:type="dxa"/>
            </w:tcMar>
            <w:tcW w:w="5128" w:type="dxa"/>
            <w:vAlign w:val="center"/>
            <w:textDirection w:val="lrTb"/>
            <w:noWrap w:val="false"/>
          </w:tcPr>
          <w:p>
            <w:pPr>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根据供应商提供的技术服务方案进行评审。</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技术服务方案内容构思缜密、符合实际、完整详细，能够针对本项目主要工作内容</w:t>
            </w:r>
            <w:r>
              <w:rPr>
                <w:rFonts w:hint="eastAsia" w:ascii="宋体" w:hAnsi="宋体" w:cs="宋体"/>
                <w:color w:val="000000"/>
                <w:highlight w:val="none"/>
              </w:rPr>
              <w:t xml:space="preserve">要求</w:t>
            </w:r>
            <w:r>
              <w:rPr>
                <w:rFonts w:ascii="宋体" w:hAnsi="宋体" w:cs="宋体"/>
                <w:color w:val="000000"/>
                <w:highlight w:val="none"/>
              </w:rPr>
              <w:t xml:space="preserve">进行全面细化制定方案、语言表述准确清晰且优于采购需求的，得15分；方案满足采购需求，内容完整且可执行的，得13分；方案虽存在缺陷，但通过后期优化，依然能够满足采购需求的，得11分；方案内容有缺失、可行性差的，得9分；没有内容不得分。</w:t>
            </w:r>
            <w:r/>
          </w:p>
        </w:tc>
      </w:tr>
      <w:tr>
        <w:trPr/>
        <w:tc>
          <w:tcPr>
            <w:tcW w:w="1291" w:type="dxa"/>
            <w:vMerge w:val="continue"/>
            <w:textDirection w:val="lrTb"/>
            <w:noWrap w:val="false"/>
          </w:tcPr>
          <w:p>
            <w:pPr>
              <w:rPr>
                <w:highlight w:val="none"/>
              </w:rPr>
            </w:pPr>
            <w:r>
              <w:rPr>
                <w:highlight w:val="none"/>
              </w:rPr>
            </w:r>
            <w:r/>
          </w:p>
        </w:tc>
        <w:tc>
          <w:tcPr>
            <w:tcMar>
              <w:left w:w="0" w:type="dxa"/>
              <w:top w:w="0" w:type="dxa"/>
              <w:right w:w="0" w:type="dxa"/>
              <w:bottom w:w="0" w:type="dxa"/>
            </w:tcMar>
            <w:tcW w:w="1365"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进度安排</w:t>
            </w:r>
            <w:r/>
          </w:p>
        </w:tc>
        <w:tc>
          <w:tcPr>
            <w:tcMar>
              <w:left w:w="0" w:type="dxa"/>
              <w:top w:w="0" w:type="dxa"/>
              <w:right w:w="0" w:type="dxa"/>
              <w:bottom w:w="0" w:type="dxa"/>
            </w:tcMar>
            <w:tcW w:w="1125"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10</w:t>
            </w:r>
            <w:r>
              <w:rPr>
                <w:rFonts w:ascii="宋体" w:hAnsi="宋体" w:cs="宋体"/>
                <w:color w:val="000000"/>
                <w:highlight w:val="none"/>
              </w:rPr>
              <w:t xml:space="preserve">.00分</w:t>
            </w:r>
            <w:r/>
          </w:p>
        </w:tc>
        <w:tc>
          <w:tcPr>
            <w:tcMar>
              <w:left w:w="0" w:type="dxa"/>
              <w:top w:w="0" w:type="dxa"/>
              <w:right w:w="0" w:type="dxa"/>
              <w:bottom w:w="0" w:type="dxa"/>
            </w:tcMar>
            <w:tcW w:w="5128"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根据供应商提供的进度计划及措施，从工作计划安排、项目时间要求、进度控制措施、应急预案等进行评审。方案结构严谨，内容完整</w:t>
            </w:r>
            <w:r>
              <w:rPr>
                <w:rFonts w:hint="eastAsia" w:ascii="宋体" w:hAnsi="宋体" w:cs="宋体"/>
                <w:color w:val="000000"/>
                <w:highlight w:val="none"/>
              </w:rPr>
              <w:t xml:space="preserve">翔实</w:t>
            </w:r>
            <w:r>
              <w:rPr>
                <w:rFonts w:ascii="宋体" w:hAnsi="宋体" w:cs="宋体"/>
                <w:color w:val="000000"/>
                <w:highlight w:val="none"/>
              </w:rPr>
              <w:t xml:space="preserve">，项目管理运行机制健全，具有可行性高的项目进度表，整个方案语言表述准确清晰且优于采购需求的，得</w:t>
            </w:r>
            <w:r>
              <w:rPr>
                <w:rFonts w:hint="eastAsia" w:ascii="宋体" w:hAnsi="宋体" w:cs="宋体"/>
                <w:color w:val="000000"/>
                <w:highlight w:val="none"/>
              </w:rPr>
              <w:t xml:space="preserve">10</w:t>
            </w:r>
            <w:r>
              <w:rPr>
                <w:rFonts w:ascii="宋体" w:hAnsi="宋体" w:cs="宋体"/>
                <w:color w:val="000000"/>
                <w:highlight w:val="none"/>
              </w:rPr>
              <w:t xml:space="preserve">分；有进度方案内容，对项目实施的要求，结构严谨，内容较完整</w:t>
            </w:r>
            <w:r>
              <w:rPr>
                <w:rFonts w:hint="eastAsia" w:ascii="宋体" w:hAnsi="宋体" w:cs="宋体"/>
                <w:color w:val="000000"/>
                <w:highlight w:val="none"/>
              </w:rPr>
              <w:t xml:space="preserve">翔实</w:t>
            </w:r>
            <w:r>
              <w:rPr>
                <w:rFonts w:ascii="宋体" w:hAnsi="宋体" w:cs="宋体"/>
                <w:color w:val="000000"/>
                <w:highlight w:val="none"/>
              </w:rPr>
              <w:t xml:space="preserve">，能够针对采购项目内容要求而进行较细化制定具有可行性较高的项目进度表，基本满足采购需求内容的，得7分；进度方案内容笼统，略有缺陷，没有针对本项目细化制定，但承诺通过后期优化依然能够满足采购需求的，得5分；方案内容有缺失、可行性差的，得3分；没有内容不得分。</w:t>
            </w:r>
            <w:r/>
          </w:p>
        </w:tc>
      </w:tr>
      <w:tr>
        <w:trPr/>
        <w:tc>
          <w:tcPr>
            <w:tcW w:w="1291" w:type="dxa"/>
            <w:vMerge w:val="continue"/>
            <w:textDirection w:val="lrTb"/>
            <w:noWrap w:val="false"/>
          </w:tcPr>
          <w:p>
            <w:pPr>
              <w:rPr>
                <w:highlight w:val="none"/>
              </w:rPr>
            </w:pPr>
            <w:r>
              <w:rPr>
                <w:highlight w:val="none"/>
              </w:rPr>
            </w:r>
            <w:r/>
          </w:p>
        </w:tc>
        <w:tc>
          <w:tcPr>
            <w:tcMar>
              <w:left w:w="0" w:type="dxa"/>
              <w:top w:w="0" w:type="dxa"/>
              <w:right w:w="0" w:type="dxa"/>
              <w:bottom w:w="0" w:type="dxa"/>
            </w:tcMar>
            <w:tcW w:w="1365"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质量保证措施</w:t>
            </w:r>
            <w:r/>
          </w:p>
        </w:tc>
        <w:tc>
          <w:tcPr>
            <w:tcMar>
              <w:left w:w="0" w:type="dxa"/>
              <w:top w:w="0" w:type="dxa"/>
              <w:right w:w="0" w:type="dxa"/>
              <w:bottom w:w="0" w:type="dxa"/>
            </w:tcMar>
            <w:tcW w:w="1125"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8</w:t>
            </w:r>
            <w:r>
              <w:rPr>
                <w:rFonts w:ascii="宋体" w:hAnsi="宋体" w:cs="宋体"/>
                <w:color w:val="000000"/>
                <w:highlight w:val="none"/>
              </w:rPr>
              <w:t xml:space="preserve">.00分</w:t>
            </w:r>
            <w:r/>
          </w:p>
        </w:tc>
        <w:tc>
          <w:tcPr>
            <w:tcMar>
              <w:left w:w="0" w:type="dxa"/>
              <w:top w:w="0" w:type="dxa"/>
              <w:right w:w="0" w:type="dxa"/>
              <w:bottom w:w="0" w:type="dxa"/>
            </w:tcMar>
            <w:tcW w:w="5128"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供应商针对本项目提供项目质量保障措施，采取的质量保障措施具体有效、编制科学合理、能使项目整体质量得到提高、优于采购需求且便于执行的，得</w:t>
            </w:r>
            <w:r>
              <w:rPr>
                <w:rFonts w:hint="eastAsia" w:ascii="宋体" w:hAnsi="宋体" w:cs="宋体"/>
                <w:color w:val="000000"/>
                <w:highlight w:val="none"/>
              </w:rPr>
              <w:t xml:space="preserve">8</w:t>
            </w:r>
            <w:r>
              <w:rPr>
                <w:rFonts w:ascii="宋体" w:hAnsi="宋体" w:cs="宋体"/>
                <w:color w:val="000000"/>
                <w:highlight w:val="none"/>
              </w:rPr>
              <w:t xml:space="preserve">分；有质量保障措施具体内容，采取的质量保证措施可以满足采购需求可执行的，得</w:t>
            </w:r>
            <w:r>
              <w:rPr>
                <w:rFonts w:hint="eastAsia" w:ascii="宋体" w:hAnsi="宋体" w:cs="宋体"/>
                <w:color w:val="000000"/>
                <w:highlight w:val="none"/>
              </w:rPr>
              <w:t xml:space="preserve">6</w:t>
            </w:r>
            <w:r>
              <w:rPr>
                <w:rFonts w:ascii="宋体" w:hAnsi="宋体" w:cs="宋体"/>
                <w:color w:val="000000"/>
                <w:highlight w:val="none"/>
              </w:rPr>
              <w:t xml:space="preserve">分；方案虽存在缺陷，但通过后期优化，依然能够满足采购需求的，得</w:t>
            </w:r>
            <w:r>
              <w:rPr>
                <w:rFonts w:hint="eastAsia" w:ascii="宋体" w:hAnsi="宋体" w:cs="宋体"/>
                <w:color w:val="000000"/>
                <w:highlight w:val="none"/>
              </w:rPr>
              <w:t xml:space="preserve">4</w:t>
            </w:r>
            <w:r>
              <w:rPr>
                <w:rFonts w:ascii="宋体" w:hAnsi="宋体" w:cs="宋体"/>
                <w:color w:val="000000"/>
                <w:highlight w:val="none"/>
              </w:rPr>
              <w:t xml:space="preserve">分；方案内容有缺失、可行性差的，得</w:t>
            </w:r>
            <w:r>
              <w:rPr>
                <w:rFonts w:hint="eastAsia" w:ascii="宋体" w:hAnsi="宋体" w:cs="宋体"/>
                <w:color w:val="000000"/>
                <w:highlight w:val="none"/>
              </w:rPr>
              <w:t xml:space="preserve">2</w:t>
            </w:r>
            <w:r>
              <w:rPr>
                <w:rFonts w:ascii="宋体" w:hAnsi="宋体" w:cs="宋体"/>
                <w:color w:val="000000"/>
                <w:highlight w:val="none"/>
              </w:rPr>
              <w:t xml:space="preserve">分；没有内容不得分。</w:t>
            </w:r>
            <w:r/>
          </w:p>
        </w:tc>
      </w:tr>
      <w:tr>
        <w:trPr/>
        <w:tc>
          <w:tcPr>
            <w:tcMar>
              <w:left w:w="0" w:type="dxa"/>
              <w:top w:w="0" w:type="dxa"/>
              <w:right w:w="0" w:type="dxa"/>
              <w:bottom w:w="0" w:type="dxa"/>
            </w:tcMar>
            <w:tcW w:w="1291"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365"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服务保障</w:t>
            </w:r>
            <w:r/>
          </w:p>
        </w:tc>
        <w:tc>
          <w:tcPr>
            <w:tcMar>
              <w:left w:w="0" w:type="dxa"/>
              <w:top w:w="0" w:type="dxa"/>
              <w:right w:w="0" w:type="dxa"/>
              <w:bottom w:w="0" w:type="dxa"/>
            </w:tcMar>
            <w:tcW w:w="1125"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6.00分</w:t>
            </w:r>
            <w:r/>
          </w:p>
        </w:tc>
        <w:tc>
          <w:tcPr>
            <w:tcMar>
              <w:left w:w="0" w:type="dxa"/>
              <w:top w:w="0" w:type="dxa"/>
              <w:right w:w="0" w:type="dxa"/>
              <w:bottom w:w="0" w:type="dxa"/>
            </w:tcMar>
            <w:tcW w:w="5128"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供应商针对本项目进度要求编写服务保障，包括但不限于服务响应时间、各级成果审查的保障措施等。服务保障方案完整清晰，优于采购需求且便于执行的，得6分；有服务保障措施具体内容，采取的服务</w:t>
            </w:r>
            <w:r>
              <w:rPr>
                <w:rFonts w:hint="eastAsia" w:ascii="宋体" w:hAnsi="宋体" w:cs="宋体"/>
                <w:color w:val="000000"/>
                <w:highlight w:val="none"/>
              </w:rPr>
              <w:t xml:space="preserve">保障</w:t>
            </w:r>
            <w:r>
              <w:rPr>
                <w:rFonts w:ascii="宋体" w:hAnsi="宋体" w:cs="宋体"/>
                <w:color w:val="000000"/>
                <w:highlight w:val="none"/>
              </w:rPr>
              <w:t xml:space="preserve">措施可以满足采购需求可执行的，得4分；方案虽存在缺陷，但通过后期优化，依然能够满足采购需求的，得2分；方案内容有缺失、可行性差的，得1分；没有内容不得分。</w:t>
            </w:r>
            <w:r/>
          </w:p>
        </w:tc>
      </w:tr>
      <w:tr>
        <w:trPr/>
        <w:tc>
          <w:tcPr>
            <w:tcMar>
              <w:left w:w="0" w:type="dxa"/>
              <w:top w:w="0" w:type="dxa"/>
              <w:right w:w="0" w:type="dxa"/>
              <w:bottom w:w="0" w:type="dxa"/>
            </w:tcMar>
            <w:tcW w:w="1291" w:type="dxa"/>
            <w:vAlign w:val="center"/>
            <w:vMerge w:val="restart"/>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其他</w:t>
            </w:r>
            <w:r/>
          </w:p>
        </w:tc>
        <w:tc>
          <w:tcPr>
            <w:tcMar>
              <w:left w:w="0" w:type="dxa"/>
              <w:top w:w="0" w:type="dxa"/>
              <w:right w:w="0" w:type="dxa"/>
              <w:bottom w:w="0" w:type="dxa"/>
            </w:tcMar>
            <w:tcW w:w="1365"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项目负责人</w:t>
            </w:r>
            <w:r/>
          </w:p>
        </w:tc>
        <w:tc>
          <w:tcPr>
            <w:tcMar>
              <w:left w:w="0" w:type="dxa"/>
              <w:top w:w="0" w:type="dxa"/>
              <w:right w:w="0" w:type="dxa"/>
              <w:bottom w:w="0" w:type="dxa"/>
            </w:tcMar>
            <w:tcW w:w="1125"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5.00分</w:t>
            </w:r>
            <w:r/>
          </w:p>
        </w:tc>
        <w:tc>
          <w:tcPr>
            <w:tcMar>
              <w:left w:w="0" w:type="dxa"/>
              <w:top w:w="0" w:type="dxa"/>
              <w:right w:w="0" w:type="dxa"/>
              <w:bottom w:w="0" w:type="dxa"/>
            </w:tcMar>
            <w:tcW w:w="5128" w:type="dxa"/>
            <w:vAlign w:val="center"/>
            <w:textDirection w:val="lrTb"/>
            <w:noWrap w:val="false"/>
          </w:tcPr>
          <w:p>
            <w:pPr>
              <w:jc w:val="lef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1、拟派项目负责人具有土地专业高级职称且为土地估价师的得5分,具有土地专业中级职称且为土地估价师的得3分。本项按最高分计取，最高得5分。</w:t>
            </w:r>
            <w:r/>
          </w:p>
          <w:p>
            <w:pPr>
              <w:jc w:val="lef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注：①投标文件中提供相关证书原件扫描件加盖供应商电子公章或</w:t>
            </w:r>
            <w:r>
              <w:rPr>
                <w:rFonts w:hint="eastAsia" w:ascii="宋体" w:hAnsi="宋体" w:cs="宋体"/>
                <w:color w:val="000000"/>
                <w:highlight w:val="none"/>
              </w:rPr>
              <w:t xml:space="preserve">复印件并加盖</w:t>
            </w:r>
            <w:r>
              <w:rPr>
                <w:rFonts w:ascii="宋体" w:hAnsi="宋体" w:cs="宋体"/>
                <w:color w:val="000000"/>
                <w:highlight w:val="none"/>
              </w:rPr>
              <w:t xml:space="preserve">供应商公章的扫描件。职称证书未能明确体现专业类别的，以提供的《专业技术资格评审申报表》中评审专业为准。②提供</w:t>
            </w:r>
            <w:r>
              <w:rPr>
                <w:rFonts w:hint="eastAsia" w:ascii="宋体" w:hAnsi="宋体" w:cs="宋体"/>
                <w:color w:val="000000"/>
                <w:highlight w:val="none"/>
              </w:rPr>
              <w:t xml:space="preserve">为其缴纳自投标前6个月内任意一个月由社保机构出具的社保缴纳证明</w:t>
            </w:r>
            <w:r>
              <w:rPr>
                <w:rFonts w:ascii="宋体" w:hAnsi="宋体" w:cs="宋体"/>
                <w:color w:val="000000"/>
                <w:highlight w:val="none"/>
              </w:rPr>
              <w:t xml:space="preserve">（证明以社保主管部门出具的为准）。</w:t>
            </w:r>
            <w:r/>
          </w:p>
        </w:tc>
      </w:tr>
      <w:tr>
        <w:trPr/>
        <w:tc>
          <w:tcPr>
            <w:tcW w:w="1291" w:type="dxa"/>
            <w:vMerge w:val="continue"/>
            <w:textDirection w:val="lrTb"/>
            <w:noWrap w:val="false"/>
          </w:tcPr>
          <w:p>
            <w:pPr>
              <w:rPr>
                <w:highlight w:val="none"/>
              </w:rPr>
            </w:pPr>
            <w:r>
              <w:rPr>
                <w:highlight w:val="none"/>
              </w:rPr>
            </w:r>
            <w:r/>
          </w:p>
        </w:tc>
        <w:tc>
          <w:tcPr>
            <w:tcMar>
              <w:left w:w="0" w:type="dxa"/>
              <w:top w:w="0" w:type="dxa"/>
              <w:right w:w="0" w:type="dxa"/>
              <w:bottom w:w="0" w:type="dxa"/>
            </w:tcMar>
            <w:tcW w:w="1365"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项目组成员（项目负责人除外）</w:t>
            </w:r>
            <w:r/>
          </w:p>
          <w:p>
            <w:pPr>
              <w:ind w:firstLine="48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5"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15.00分</w:t>
            </w:r>
            <w:r/>
          </w:p>
        </w:tc>
        <w:tc>
          <w:tcPr>
            <w:tcMar>
              <w:left w:w="0" w:type="dxa"/>
              <w:top w:w="0" w:type="dxa"/>
              <w:right w:w="0" w:type="dxa"/>
              <w:bottom w:w="0" w:type="dxa"/>
            </w:tcMar>
            <w:tcW w:w="5128"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1.项目组成员（项目负责人外）具备土地专业高级技术职称的，每有一个得2分，具备土地专业中级职称的，每有一个得1分，最高得6分。</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2.具备</w:t>
            </w:r>
            <w:r>
              <w:rPr>
                <w:rFonts w:hint="eastAsia" w:ascii="宋体" w:hAnsi="宋体" w:cs="宋体"/>
                <w:color w:val="000000"/>
                <w:highlight w:val="none"/>
              </w:rPr>
              <w:t xml:space="preserve">土地</w:t>
            </w:r>
            <w:r>
              <w:rPr>
                <w:rFonts w:ascii="宋体" w:hAnsi="宋体" w:cs="宋体"/>
                <w:color w:val="000000"/>
                <w:highlight w:val="none"/>
              </w:rPr>
              <w:t xml:space="preserve">估价师</w:t>
            </w:r>
            <w:r>
              <w:rPr>
                <w:rFonts w:hint="eastAsia" w:ascii="宋体" w:hAnsi="宋体" w:cs="宋体"/>
                <w:color w:val="000000"/>
                <w:highlight w:val="none"/>
              </w:rPr>
              <w:t xml:space="preserve">（或新房地产估价师）</w:t>
            </w:r>
            <w:r>
              <w:rPr>
                <w:rFonts w:ascii="宋体" w:hAnsi="宋体" w:cs="宋体"/>
                <w:color w:val="000000"/>
                <w:highlight w:val="none"/>
              </w:rPr>
              <w:t xml:space="preserve">人数：</w:t>
            </w:r>
            <w:r>
              <w:rPr>
                <w:rFonts w:hint="eastAsia" w:ascii="宋体" w:hAnsi="宋体" w:cs="宋体"/>
                <w:color w:val="000000"/>
                <w:highlight w:val="none"/>
              </w:rPr>
              <w:t xml:space="preserve">10</w:t>
            </w:r>
            <w:r>
              <w:rPr>
                <w:rFonts w:ascii="宋体" w:hAnsi="宋体" w:cs="宋体"/>
                <w:color w:val="000000"/>
                <w:highlight w:val="none"/>
              </w:rPr>
              <w:t xml:space="preserve">人及以上得9分，</w:t>
            </w:r>
            <w:r>
              <w:rPr>
                <w:rFonts w:hint="eastAsia" w:ascii="宋体" w:hAnsi="宋体" w:cs="宋体"/>
                <w:color w:val="000000"/>
                <w:highlight w:val="none"/>
              </w:rPr>
              <w:t xml:space="preserve">7-9</w:t>
            </w:r>
            <w:r>
              <w:rPr>
                <w:rFonts w:ascii="宋体" w:hAnsi="宋体" w:cs="宋体"/>
                <w:color w:val="000000"/>
                <w:highlight w:val="none"/>
              </w:rPr>
              <w:t xml:space="preserve">人得7分，</w:t>
            </w:r>
            <w:r>
              <w:rPr>
                <w:rFonts w:hint="eastAsia" w:ascii="宋体" w:hAnsi="宋体" w:cs="宋体"/>
                <w:color w:val="000000"/>
                <w:highlight w:val="none"/>
              </w:rPr>
              <w:t xml:space="preserve">5-6</w:t>
            </w:r>
            <w:r>
              <w:rPr>
                <w:rFonts w:ascii="宋体" w:hAnsi="宋体" w:cs="宋体"/>
                <w:color w:val="000000"/>
                <w:highlight w:val="none"/>
              </w:rPr>
              <w:t xml:space="preserve">人得5分，5人以下不得分。</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注：①投标文件中提供相关证书原件扫描件加盖供应商电子公章或</w:t>
            </w:r>
            <w:r>
              <w:rPr>
                <w:rFonts w:hint="eastAsia" w:ascii="宋体" w:hAnsi="宋体" w:cs="宋体"/>
                <w:color w:val="000000"/>
                <w:highlight w:val="none"/>
              </w:rPr>
              <w:t xml:space="preserve">复印件并加盖</w:t>
            </w:r>
            <w:r>
              <w:rPr>
                <w:rFonts w:ascii="宋体" w:hAnsi="宋体" w:cs="宋体"/>
                <w:color w:val="000000"/>
                <w:highlight w:val="none"/>
              </w:rPr>
              <w:t xml:space="preserve">供应商公章的扫描件，职称证书未能明确体现专业类别的，以提供的《专业技术资格评审申报表》中评审专业为准。②提供</w:t>
            </w:r>
            <w:r>
              <w:rPr>
                <w:rFonts w:hint="eastAsia" w:ascii="宋体" w:hAnsi="宋体" w:cs="宋体"/>
                <w:color w:val="000000"/>
                <w:highlight w:val="none"/>
              </w:rPr>
              <w:t xml:space="preserve">为其缴纳自投标前6个月内任意一个月由社保机构出具的社保缴纳证明</w:t>
            </w:r>
            <w:r>
              <w:rPr>
                <w:rFonts w:ascii="宋体" w:hAnsi="宋体" w:cs="宋体"/>
                <w:color w:val="000000"/>
                <w:highlight w:val="none"/>
              </w:rPr>
              <w:t xml:space="preserve">（证明以社保主管部门出具的为准）。</w:t>
            </w:r>
            <w:r/>
          </w:p>
        </w:tc>
      </w:tr>
      <w:tr>
        <w:trPr/>
        <w:tc>
          <w:tcPr>
            <w:tcW w:w="1291" w:type="dxa"/>
            <w:vMerge w:val="continue"/>
            <w:textDirection w:val="lrTb"/>
            <w:noWrap w:val="false"/>
          </w:tcPr>
          <w:p>
            <w:pPr>
              <w:rPr>
                <w:highlight w:val="none"/>
              </w:rPr>
            </w:pPr>
            <w:r>
              <w:rPr>
                <w:highlight w:val="none"/>
              </w:rPr>
            </w:r>
            <w:r/>
          </w:p>
        </w:tc>
        <w:tc>
          <w:tcPr>
            <w:tcMar>
              <w:left w:w="0" w:type="dxa"/>
              <w:top w:w="0" w:type="dxa"/>
              <w:right w:w="0" w:type="dxa"/>
              <w:bottom w:w="0" w:type="dxa"/>
            </w:tcMar>
            <w:tcW w:w="1365" w:type="dxa"/>
            <w:vAlign w:val="center"/>
            <w:textDirection w:val="lrTb"/>
            <w:noWrap w:val="false"/>
          </w:tcPr>
          <w:p>
            <w:pPr>
              <w:jc w:val="center"/>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企业荣誉</w:t>
            </w:r>
            <w:r/>
          </w:p>
        </w:tc>
        <w:tc>
          <w:tcPr>
            <w:tcMar>
              <w:left w:w="0" w:type="dxa"/>
              <w:top w:w="0" w:type="dxa"/>
              <w:right w:w="0" w:type="dxa"/>
              <w:bottom w:w="0" w:type="dxa"/>
            </w:tcMar>
            <w:tcW w:w="1125" w:type="dxa"/>
            <w:vAlign w:val="center"/>
            <w:textDirection w:val="lrTb"/>
            <w:noWrap w:val="false"/>
          </w:tcPr>
          <w:p>
            <w:pPr>
              <w:jc w:val="center"/>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5</w:t>
            </w:r>
            <w:r>
              <w:rPr>
                <w:rFonts w:hint="eastAsia" w:ascii="宋体" w:hAnsi="宋体" w:cs="宋体"/>
                <w:color w:val="000000"/>
                <w:highlight w:val="none"/>
              </w:rPr>
              <w:t xml:space="preserve">分</w:t>
            </w:r>
            <w:r/>
          </w:p>
        </w:tc>
        <w:tc>
          <w:tcPr>
            <w:tcMar>
              <w:left w:w="0" w:type="dxa"/>
              <w:top w:w="0" w:type="dxa"/>
              <w:right w:w="0" w:type="dxa"/>
              <w:bottom w:w="0" w:type="dxa"/>
            </w:tcMar>
            <w:tcW w:w="5128" w:type="dxa"/>
            <w:vAlign w:val="center"/>
            <w:textDirection w:val="lrTb"/>
            <w:noWrap w:val="false"/>
          </w:tcPr>
          <w:p>
            <w:pPr>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投标人获省级及以上科学技术奖项的，一等奖得5分，二等奖得3分，三等奖得1分。本项最高得5分。</w:t>
            </w:r>
            <w:r/>
          </w:p>
          <w:p>
            <w:pPr>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（提供获奖证书等证明材料复印件）</w:t>
            </w:r>
            <w:r/>
          </w:p>
        </w:tc>
      </w:tr>
    </w:tbl>
    <w:p>
      <w:pPr>
        <w:jc w:val="left"/>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241"/>
        <w:spacing w:line="400" w:lineRule="exact"/>
        <w:rPr>
          <w:color w:val="000000" w:themeColor="text1"/>
          <w:sz w:val="24"/>
          <w:highlight w:val="none"/>
          <w14:textFill>
            <w14:solidFill>
              <w14:schemeClr w14:val="tx1"/>
            </w14:solidFill>
          </w14:textFill>
        </w:rPr>
      </w:pPr>
      <w:r>
        <w:rPr>
          <w:rFonts w:hint="eastAsia" w:eastAsia="仿宋_GB2312"/>
          <w:b/>
          <w:color w:val="000000" w:themeColor="text1"/>
          <w:sz w:val="24"/>
          <w:highlight w:val="none"/>
          <w14:textFill>
            <w14:solidFill>
              <w14:schemeClr w14:val="tx1"/>
            </w14:solidFill>
          </w14:textFill>
        </w:rPr>
        <w:t xml:space="preserve">（三）评标结果。</w:t>
      </w:r>
      <w:r>
        <w:rPr>
          <w:rFonts w:hint="eastAsia"/>
          <w:color w:val="000000" w:themeColor="text1"/>
          <w:sz w:val="24"/>
          <w:highlight w:val="none"/>
          <w14:textFill>
            <w14:solidFill>
              <w14:schemeClr w14:val="tx1"/>
            </w14:solidFill>
          </w14:textFill>
        </w:rPr>
        <w:t xml:space="preserve">评标委员会按照本办法规定推荐中标候选人，并形成评标报告。</w:t>
      </w:r>
      <w:r/>
    </w:p>
    <w:p>
      <w:pPr>
        <w:ind w:firstLine="241"/>
        <w:spacing w:line="400" w:lineRule="exact"/>
        <w:rPr>
          <w:rFonts w:eastAsia="仿宋_GB2312"/>
          <w:b/>
          <w:color w:val="000000" w:themeColor="text1"/>
          <w:sz w:val="24"/>
          <w:highlight w:val="none"/>
          <w14:textFill>
            <w14:solidFill>
              <w14:schemeClr w14:val="tx1"/>
            </w14:solidFill>
          </w14:textFill>
        </w:rPr>
      </w:pPr>
      <w:r>
        <w:rPr>
          <w:rFonts w:hint="eastAsia" w:eastAsia="仿宋_GB2312"/>
          <w:b/>
          <w:color w:val="000000" w:themeColor="text1"/>
          <w:sz w:val="24"/>
          <w:highlight w:val="none"/>
          <w14:textFill>
            <w14:solidFill>
              <w14:schemeClr w14:val="tx1"/>
            </w14:solidFill>
          </w14:textFill>
        </w:rPr>
        <w:t xml:space="preserve">（四）政府采购政策功能落实</w:t>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本项目落实的政府采购政策对应以下序号为</w:t>
      </w:r>
      <w:r>
        <w:rPr>
          <w:rFonts w:hint="eastAsia"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u w:val="single"/>
          <w14:textFill>
            <w14:solidFill>
              <w14:schemeClr w14:val="tx1"/>
            </w14:solidFill>
          </w14:textFill>
        </w:rPr>
        <w:t xml:space="preserve">1、</w:t>
      </w:r>
      <w:r>
        <w:rPr>
          <w:rFonts w:hint="eastAsia" w:ascii="宋体" w:hAnsi="宋体"/>
          <w:bCs/>
          <w:color w:val="000000" w:themeColor="text1"/>
          <w:sz w:val="24"/>
          <w:highlight w:val="none"/>
          <w:u w:val="single"/>
          <w14:textFill>
            <w14:solidFill>
              <w14:schemeClr w14:val="tx1"/>
            </w14:solidFill>
          </w14:textFill>
        </w:rPr>
        <w:t xml:space="preserve">2  </w:t>
      </w:r>
      <w:r/>
    </w:p>
    <w:p>
      <w:pPr>
        <w:numPr>
          <w:ilvl w:val="0"/>
          <w:numId w:val="7"/>
        </w:numPr>
        <w:ind w:firstLine="480"/>
        <w:spacing w:line="460" w:lineRule="exact"/>
        <w:rPr>
          <w:rFonts w:cs="仿宋_GB2312"/>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采购本国货物、工程和服务</w:t>
      </w:r>
      <w:r/>
    </w:p>
    <w:p>
      <w:pPr>
        <w:ind w:firstLine="480"/>
        <w:spacing w:line="460" w:lineRule="exact"/>
        <w:rPr>
          <w:rFonts w:cs="仿宋_GB2312"/>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460" w:lineRule="exact"/>
        <w:rPr>
          <w:rFonts w:cs="仿宋_GB2312"/>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2、</w:t>
      </w:r>
      <w:r>
        <w:rPr>
          <w:rFonts w:cs="仿宋_GB2312"/>
          <w:color w:val="000000" w:themeColor="text1"/>
          <w:sz w:val="24"/>
          <w:highlight w:val="none"/>
          <w14:textFill>
            <w14:solidFill>
              <w14:schemeClr w14:val="tx1"/>
            </w14:solidFill>
          </w14:textFill>
        </w:rPr>
        <w:t xml:space="preserve">中小企业政策</w:t>
      </w:r>
      <w:r/>
    </w:p>
    <w:p>
      <w:pPr>
        <w:ind w:firstLine="480"/>
        <w:spacing w:line="4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本项目按以下第</w:t>
      </w:r>
      <w:r>
        <w:rPr>
          <w:rFonts w:hint="eastAsia"/>
          <w:bCs/>
          <w:color w:val="000000" w:themeColor="text1"/>
          <w:sz w:val="24"/>
          <w:highlight w:val="none"/>
          <w:u w:val="singl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种政策确定本项目落实的中小企业政策：</w:t>
      </w:r>
      <w:r/>
    </w:p>
    <w:p>
      <w:pPr>
        <w:ind w:firstLine="480"/>
        <w:spacing w:line="4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（1）本项目专门面向中小企业（含监狱企业、残疾人福利企业）采购。</w:t>
      </w:r>
      <w:r/>
    </w:p>
    <w:p>
      <w:pPr>
        <w:ind w:firstLine="480"/>
        <w:spacing w:line="4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w:t>
      </w:r>
      <w:r>
        <w:rPr>
          <w:rFonts w:hint="eastAsia" w:cs="仿宋_GB2312"/>
          <w:color w:val="000000" w:themeColor="text1"/>
          <w:sz w:val="24"/>
          <w:highlight w:val="none"/>
          <w14:textFill>
            <w14:solidFill>
              <w14:schemeClr w14:val="tx1"/>
            </w14:solidFill>
          </w14:textFill>
        </w:rPr>
        <w:t xml:space="preserve">投标人提供的服务符合下列情形的，对小微企业报价给予</w:t>
      </w:r>
      <w:r>
        <w:rPr>
          <w:rFonts w:hint="eastAsia" w:cs="仿宋_GB2312"/>
          <w:color w:val="000000" w:themeColor="text1"/>
          <w:sz w:val="24"/>
          <w:highlight w:val="none"/>
          <w:u w:val="single"/>
          <w14:textFill>
            <w14:solidFill>
              <w14:schemeClr w14:val="tx1"/>
            </w14:solidFill>
          </w14:textFill>
        </w:rPr>
        <w:t xml:space="preserve"> </w:t>
      </w:r>
      <w:r>
        <w:rPr>
          <w:rFonts w:cs="仿宋_GB2312"/>
          <w:color w:val="000000" w:themeColor="text1"/>
          <w:sz w:val="24"/>
          <w:highlight w:val="none"/>
          <w:u w:val="single"/>
          <w14:textFill>
            <w14:solidFill>
              <w14:schemeClr w14:val="tx1"/>
            </w14:solidFill>
          </w14:textFill>
        </w:rPr>
        <w:t xml:space="preserve">/</w:t>
      </w:r>
      <w:r>
        <w:rPr>
          <w:rFonts w:hint="eastAsia" w:cs="仿宋_GB2312"/>
          <w:color w:val="000000" w:themeColor="text1"/>
          <w:sz w:val="24"/>
          <w:highlight w:val="none"/>
          <w:u w:val="single"/>
          <w14:textFill>
            <w14:solidFill>
              <w14:schemeClr w14:val="tx1"/>
            </w14:solidFill>
          </w14:textFill>
        </w:rPr>
        <w:t xml:space="preserve">%</w:t>
      </w:r>
      <w:r>
        <w:rPr>
          <w:rFonts w:hint="eastAsia" w:cs="仿宋_GB2312"/>
          <w:color w:val="000000" w:themeColor="text1"/>
          <w:sz w:val="24"/>
          <w:highlight w:val="none"/>
          <w14:textFill>
            <w14:solidFill>
              <w14:schemeClr w14:val="tx1"/>
            </w14:solidFill>
          </w14:textFill>
        </w:rPr>
        <w:t xml:space="preserve">的扣除，用扣除后的价格参加评审。</w:t>
      </w:r>
      <w:r/>
    </w:p>
    <w:p>
      <w:pPr>
        <w:ind w:firstLine="480"/>
        <w:spacing w:line="460" w:lineRule="exact"/>
        <w:rPr>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在服务采购项目中，服务由中小企业承接，即提供服务的人员为中小企业依照《中华人民共和国劳动合同法》订立劳动合同的从业人员。</w:t>
      </w:r>
      <w:r/>
    </w:p>
    <w:p>
      <w:pPr>
        <w:ind w:firstLine="480"/>
        <w:spacing w:line="460" w:lineRule="exact"/>
        <w:rPr>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rPr>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60" w:lineRule="exact"/>
        <w:rPr>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60" w:lineRule="exact"/>
        <w:rPr>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p>
    <w:p>
      <w:pPr>
        <w:ind w:firstLine="480"/>
        <w:spacing w:line="460" w:lineRule="exact"/>
        <w:rPr>
          <w:rFonts w:cs="仿宋_GB2312"/>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3、政府采购节能产品、环境标志产品</w:t>
      </w:r>
      <w:r/>
    </w:p>
    <w:p>
      <w:pPr>
        <w:ind w:firstLine="480"/>
        <w:spacing w:line="460" w:lineRule="exact"/>
        <w:rPr>
          <w:rFonts w:cs="仿宋_GB2312"/>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rPr>
          <w:rFonts w:cs="仿宋_GB2312"/>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rPr>
          <w:rFonts w:cs="仿宋_GB2312"/>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（3）采购人拟采购的产品属于优先采购的节能环保品目清单范围的，按以下条件优先采购：</w:t>
      </w:r>
      <w:r/>
    </w:p>
    <w:p>
      <w:pPr>
        <w:ind w:firstLine="480"/>
        <w:spacing w:line="460" w:lineRule="exact"/>
        <w:rPr>
          <w:rFonts w:cs="仿宋_GB2312"/>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采用综合评分法的项目，对提供有效节能环保证书的投标人加分。</w:t>
      </w:r>
      <w:r/>
    </w:p>
    <w:p>
      <w:pPr>
        <w:ind w:firstLine="480"/>
        <w:spacing w:line="460" w:lineRule="exact"/>
        <w:rPr>
          <w:rFonts w:cs="仿宋_GB2312"/>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采用最低评标价法的项目，同等条件下优先推荐提供有效节能环保证书多的投标人为中标人。</w:t>
      </w:r>
      <w:r/>
    </w:p>
    <w:p>
      <w:pPr>
        <w:ind w:firstLine="480"/>
        <w:spacing w:line="460" w:lineRule="exact"/>
        <w:rPr>
          <w:rFonts w:cs="仿宋_GB2312"/>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4、商品包装、快递包装政府采购需求标准（试行）</w:t>
      </w:r>
      <w:r/>
    </w:p>
    <w:p>
      <w:pPr>
        <w:ind w:firstLine="480"/>
        <w:spacing w:line="460" w:lineRule="exact"/>
        <w:rPr>
          <w:rFonts w:cs="仿宋_GB2312"/>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rFonts w:cs="仿宋_GB2312"/>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5、绿色数据中心政府采购需求标准（试行）</w:t>
      </w:r>
      <w:r/>
    </w:p>
    <w:p>
      <w:pPr>
        <w:ind w:firstLine="480"/>
        <w:spacing w:line="460" w:lineRule="exact"/>
        <w:rPr>
          <w:color w:val="000000" w:themeColor="text1"/>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为加快数据中心绿色转型，根据财政部 生态环境部 工业和信息化部关于印发《绿色数据中心政府采购需求标准（试行）》的通知），本项目如涉及绿色数据中心，具体需求详见第四章采购需求。</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80"/>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r>
      <w:r/>
    </w:p>
    <w:p>
      <w:pPr>
        <w:pStyle w:val="1078"/>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r>
      <w:r/>
    </w:p>
    <w:p>
      <w:pPr>
        <w:pStyle w:val="1078"/>
        <w:rPr>
          <w:rFonts w:ascii="Times New Roman" w:hAnsi="Times New Roman" w:eastAsia="宋体"/>
          <w:color w:val="000000" w:themeColor="text1"/>
          <w:highlight w:val="none"/>
          <w14:textFill>
            <w14:solidFill>
              <w14:schemeClr w14:val="tx1"/>
            </w14:solidFill>
          </w14:textFill>
        </w:rPr>
      </w:pPr>
      <w:r>
        <w:rPr>
          <w:rFonts w:ascii="Times New Roman" w:hAnsi="Times New Roman" w:eastAsia="宋体"/>
          <w:color w:val="000000" w:themeColor="text1"/>
          <w:highlight w:val="none"/>
          <w14:textFill>
            <w14:solidFill>
              <w14:schemeClr w14:val="tx1"/>
            </w14:solidFill>
          </w14:textFill>
        </w:rPr>
      </w:r>
      <w:r/>
    </w:p>
    <w:p>
      <w:pPr>
        <w:pStyle w:val="1078"/>
        <w:rPr>
          <w:rFonts w:ascii="Times New Roman" w:hAnsi="Times New Roman" w:eastAsia="宋体"/>
          <w:color w:val="000000" w:themeColor="text1"/>
          <w:highlight w:val="none"/>
          <w14:textFill>
            <w14:solidFill>
              <w14:schemeClr w14:val="tx1"/>
            </w14:solidFill>
          </w14:textFill>
        </w:rPr>
      </w:pPr>
      <w:r>
        <w:rPr>
          <w:rFonts w:ascii="Times New Roman" w:hAnsi="Times New Roman" w:eastAsia="宋体"/>
          <w:color w:val="000000" w:themeColor="text1"/>
          <w:highlight w:val="none"/>
          <w14:textFill>
            <w14:solidFill>
              <w14:schemeClr w14:val="tx1"/>
            </w14:solidFill>
          </w14:textFill>
        </w:rPr>
      </w:r>
      <w:r/>
    </w:p>
    <w:p>
      <w:pPr>
        <w:pStyle w:val="1078"/>
        <w:rPr>
          <w:rFonts w:ascii="Times New Roman" w:hAnsi="Times New Roman" w:eastAsia="宋体"/>
          <w:color w:val="000000" w:themeColor="text1"/>
          <w:highlight w:val="none"/>
          <w14:textFill>
            <w14:solidFill>
              <w14:schemeClr w14:val="tx1"/>
            </w14:solidFill>
          </w14:textFill>
        </w:rPr>
      </w:pPr>
      <w:r>
        <w:rPr>
          <w:rFonts w:ascii="Times New Roman" w:hAnsi="Times New Roman" w:eastAsia="宋体"/>
          <w:color w:val="000000" w:themeColor="text1"/>
          <w:highlight w:val="none"/>
          <w14:textFill>
            <w14:solidFill>
              <w14:schemeClr w14:val="tx1"/>
            </w14:solidFill>
          </w14:textFill>
        </w:rPr>
      </w:r>
      <w:r/>
    </w:p>
    <w:p>
      <w:pPr>
        <w:pStyle w:val="1078"/>
        <w:rPr>
          <w:rFonts w:ascii="Times New Roman" w:hAnsi="Times New Roman" w:eastAsia="宋体"/>
          <w:color w:val="000000" w:themeColor="text1"/>
          <w:highlight w:val="none"/>
          <w14:textFill>
            <w14:solidFill>
              <w14:schemeClr w14:val="tx1"/>
            </w14:solidFill>
          </w14:textFill>
        </w:rPr>
      </w:pPr>
      <w:r>
        <w:rPr>
          <w:rFonts w:ascii="Times New Roman" w:hAnsi="Times New Roman" w:eastAsia="宋体"/>
          <w:color w:val="000000" w:themeColor="text1"/>
          <w:highlight w:val="none"/>
          <w14:textFill>
            <w14:solidFill>
              <w14:schemeClr w14:val="tx1"/>
            </w14:solidFill>
          </w14:textFill>
        </w:rPr>
      </w:r>
      <w:r/>
    </w:p>
    <w:p>
      <w:pPr>
        <w:pStyle w:val="1078"/>
        <w:rPr>
          <w:rFonts w:ascii="Times New Roman" w:hAnsi="Times New Roman" w:eastAsia="宋体"/>
          <w:color w:val="000000" w:themeColor="text1"/>
          <w:highlight w:val="none"/>
          <w14:textFill>
            <w14:solidFill>
              <w14:schemeClr w14:val="tx1"/>
            </w14:solidFill>
          </w14:textFill>
        </w:rPr>
      </w:pPr>
      <w:r>
        <w:rPr>
          <w:rFonts w:ascii="Times New Roman" w:hAnsi="Times New Roman" w:eastAsia="宋体"/>
          <w:color w:val="000000" w:themeColor="text1"/>
          <w:highlight w:val="none"/>
          <w14:textFill>
            <w14:solidFill>
              <w14:schemeClr w14:val="tx1"/>
            </w14:solidFill>
          </w14:textFill>
        </w:rPr>
      </w:r>
      <w:r/>
    </w:p>
    <w:p>
      <w:pPr>
        <w:pStyle w:val="1078"/>
        <w:rPr>
          <w:rFonts w:ascii="Times New Roman" w:hAnsi="Times New Roman" w:eastAsia="宋体"/>
          <w:color w:val="000000" w:themeColor="text1"/>
          <w:highlight w:val="none"/>
          <w14:textFill>
            <w14:solidFill>
              <w14:schemeClr w14:val="tx1"/>
            </w14:solidFill>
          </w14:textFill>
        </w:rPr>
      </w:pPr>
      <w:r>
        <w:rPr>
          <w:rFonts w:ascii="Times New Roman" w:hAnsi="Times New Roman" w:eastAsia="宋体"/>
          <w:color w:val="000000" w:themeColor="text1"/>
          <w:highlight w:val="none"/>
          <w14:textFill>
            <w14:solidFill>
              <w14:schemeClr w14:val="tx1"/>
            </w14:solidFill>
          </w14:textFill>
        </w:rPr>
      </w:r>
      <w:r/>
    </w:p>
    <w:p>
      <w:pPr>
        <w:pStyle w:val="1078"/>
        <w:rPr>
          <w:rFonts w:ascii="Times New Roman" w:hAnsi="Times New Roman" w:eastAsia="宋体"/>
          <w:color w:val="000000" w:themeColor="text1"/>
          <w:highlight w:val="none"/>
          <w14:textFill>
            <w14:solidFill>
              <w14:schemeClr w14:val="tx1"/>
            </w14:solidFill>
          </w14:textFill>
        </w:rPr>
      </w:pPr>
      <w:r>
        <w:rPr>
          <w:rFonts w:ascii="Times New Roman" w:hAnsi="Times New Roman" w:eastAsia="宋体"/>
          <w:color w:val="000000" w:themeColor="text1"/>
          <w:highlight w:val="none"/>
          <w14:textFill>
            <w14:solidFill>
              <w14:schemeClr w14:val="tx1"/>
            </w14:solidFill>
          </w14:textFill>
        </w:rPr>
      </w:r>
      <w:r/>
    </w:p>
    <w:p>
      <w:pPr>
        <w:pStyle w:val="1078"/>
        <w:rPr>
          <w:rFonts w:ascii="Times New Roman" w:hAnsi="Times New Roman" w:eastAsia="宋体"/>
          <w:color w:val="000000" w:themeColor="text1"/>
          <w:highlight w:val="none"/>
          <w14:textFill>
            <w14:solidFill>
              <w14:schemeClr w14:val="tx1"/>
            </w14:solidFill>
          </w14:textFill>
        </w:rPr>
      </w:pPr>
      <w:r>
        <w:rPr>
          <w:rFonts w:ascii="Times New Roman" w:hAnsi="Times New Roman" w:eastAsia="宋体"/>
          <w:color w:val="000000" w:themeColor="text1"/>
          <w:highlight w:val="none"/>
          <w14:textFill>
            <w14:solidFill>
              <w14:schemeClr w14:val="tx1"/>
            </w14:solidFill>
          </w14:textFill>
        </w:rPr>
      </w:r>
      <w:r/>
    </w:p>
    <w:p>
      <w:pPr>
        <w:pStyle w:val="1078"/>
        <w:rPr>
          <w:rFonts w:ascii="Times New Roman" w:hAnsi="Times New Roman" w:eastAsia="宋体"/>
          <w:color w:val="000000" w:themeColor="text1"/>
          <w:highlight w:val="none"/>
          <w14:textFill>
            <w14:solidFill>
              <w14:schemeClr w14:val="tx1"/>
            </w14:solidFill>
          </w14:textFill>
        </w:rPr>
      </w:pPr>
      <w:r>
        <w:rPr>
          <w:rFonts w:ascii="Times New Roman" w:hAnsi="Times New Roman" w:eastAsia="宋体"/>
          <w:color w:val="000000" w:themeColor="text1"/>
          <w:highlight w:val="none"/>
          <w14:textFill>
            <w14:solidFill>
              <w14:schemeClr w14:val="tx1"/>
            </w14:solidFill>
          </w14:textFill>
        </w:rPr>
      </w:r>
      <w:r/>
    </w:p>
    <w:p>
      <w:pPr>
        <w:pStyle w:val="1078"/>
        <w:rPr>
          <w:rFonts w:ascii="Times New Roman" w:hAnsi="Times New Roman" w:eastAsia="宋体"/>
          <w:color w:val="000000" w:themeColor="text1"/>
          <w:highlight w:val="none"/>
          <w14:textFill>
            <w14:solidFill>
              <w14:schemeClr w14:val="tx1"/>
            </w14:solidFill>
          </w14:textFill>
        </w:rPr>
      </w:pPr>
      <w:r>
        <w:rPr>
          <w:rFonts w:ascii="Times New Roman" w:hAnsi="Times New Roman" w:eastAsia="宋体"/>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03"/>
        <w:rPr>
          <w:rFonts w:ascii="Times New Roman" w:eastAsia="黑体"/>
          <w:bCs/>
          <w:color w:val="000000" w:themeColor="text1"/>
          <w:sz w:val="44"/>
          <w:highlight w:val="none"/>
          <w14:textFill>
            <w14:solidFill>
              <w14:schemeClr w14:val="tx1"/>
            </w14:solidFill>
          </w14:textFill>
        </w:rPr>
      </w:pPr>
      <w:r>
        <w:rPr>
          <w:rFonts w:hint="eastAsia" w:ascii="Times New Roman" w:eastAsia="黑体"/>
          <w:bCs/>
          <w:color w:val="000000" w:themeColor="text1"/>
          <w:sz w:val="44"/>
          <w:highlight w:val="none"/>
          <w14:textFill>
            <w14:solidFill>
              <w14:schemeClr w14:val="tx1"/>
            </w14:solidFill>
          </w14:textFill>
        </w:rPr>
        <w:t xml:space="preserve">第六章  投标</w:t>
      </w:r>
      <w:bookmarkEnd w:id="194"/>
      <w:r/>
      <w:bookmarkEnd w:id="195"/>
      <w:r/>
      <w:bookmarkEnd w:id="196"/>
      <w:r>
        <w:rPr>
          <w:rFonts w:hint="eastAsia" w:ascii="Times New Roman" w:eastAsia="黑体"/>
          <w:bCs/>
          <w:color w:val="000000" w:themeColor="text1"/>
          <w:sz w:val="44"/>
          <w:highlight w:val="none"/>
          <w14:textFill>
            <w14:solidFill>
              <w14:schemeClr w14:val="tx1"/>
            </w14:solidFill>
          </w14:textFill>
        </w:rPr>
        <w:t xml:space="preserve">文件格式 </w:t>
      </w:r>
      <w:r/>
    </w:p>
    <w:p>
      <w:pPr>
        <w:jc w:val="center"/>
        <w:rPr>
          <w:b/>
          <w:color w:val="000000" w:themeColor="text1"/>
          <w:sz w:val="72"/>
          <w:highlight w:val="none"/>
          <w14:textFill>
            <w14:solidFill>
              <w14:schemeClr w14:val="tx1"/>
            </w14:solidFill>
          </w14:textFill>
        </w:rPr>
      </w:pPr>
      <w:r/>
      <w:bookmarkStart w:id="197" w:name="_Hlt26671244"/>
      <w:r/>
      <w:bookmarkEnd w:id="197"/>
      <w:r/>
      <w:bookmarkStart w:id="198" w:name="_Hlt26955039"/>
      <w:r/>
      <w:bookmarkEnd w:id="198"/>
      <w:r/>
      <w:bookmarkStart w:id="199" w:name="_Toc120614282"/>
      <w:r/>
      <w:bookmarkStart w:id="200" w:name="_Toc26554094"/>
      <w:r/>
      <w:bookmarkStart w:id="201" w:name="_Toc49090576"/>
      <w:r/>
      <w:r/>
    </w:p>
    <w:p>
      <w:pPr>
        <w:jc w:val="center"/>
        <w:rPr>
          <w:b/>
          <w:color w:val="000000" w:themeColor="text1"/>
          <w:sz w:val="72"/>
          <w:highlight w:val="none"/>
          <w14:textFill>
            <w14:solidFill>
              <w14:schemeClr w14:val="tx1"/>
            </w14:solidFill>
          </w14:textFill>
        </w:rPr>
      </w:pPr>
      <w:r>
        <w:rPr>
          <w:rFonts w:hint="eastAsia"/>
          <w:b/>
          <w:color w:val="000000" w:themeColor="text1"/>
          <w:sz w:val="72"/>
          <w:highlight w:val="none"/>
          <w14:textFill>
            <w14:solidFill>
              <w14:schemeClr w14:val="tx1"/>
            </w14:solidFill>
          </w14:textFill>
        </w:rPr>
        <w:t xml:space="preserve">投  标  文  件</w:t>
      </w:r>
      <w:r/>
    </w:p>
    <w:p>
      <w:pPr>
        <w:jc w:val="center"/>
        <w:rPr>
          <w:b/>
          <w:color w:val="000000" w:themeColor="text1"/>
          <w:sz w:val="72"/>
          <w:highlight w:val="none"/>
          <w14:textFill>
            <w14:solidFill>
              <w14:schemeClr w14:val="tx1"/>
            </w14:solidFill>
          </w14:textFill>
        </w:rPr>
      </w:pPr>
      <w:r>
        <w:rPr>
          <w:b/>
          <w:color w:val="000000" w:themeColor="text1"/>
          <w:sz w:val="72"/>
          <w:highlight w:val="none"/>
          <w14:textFill>
            <w14:solidFill>
              <w14:schemeClr w14:val="tx1"/>
            </w14:solidFill>
          </w14:textFill>
        </w:rPr>
      </w:r>
      <w:r/>
    </w:p>
    <w:p>
      <w:pPr>
        <w:jc w:val="center"/>
        <w:rPr>
          <w:b/>
          <w:color w:val="000000" w:themeColor="text1"/>
          <w:sz w:val="72"/>
          <w:highlight w:val="none"/>
          <w14:textFill>
            <w14:solidFill>
              <w14:schemeClr w14:val="tx1"/>
            </w14:solidFill>
          </w14:textFill>
        </w:rPr>
      </w:pPr>
      <w:r>
        <w:rPr>
          <w:b/>
          <w:color w:val="000000" w:themeColor="text1"/>
          <w:sz w:val="72"/>
          <w:highlight w:val="none"/>
          <w14:textFill>
            <w14:solidFill>
              <w14:schemeClr w14:val="tx1"/>
            </w14:solidFill>
          </w14:textFill>
        </w:rPr>
      </w:r>
      <w:r/>
    </w:p>
    <w:p>
      <w:pPr>
        <w:jc w:val="center"/>
        <w:rPr>
          <w:b/>
          <w:color w:val="000000" w:themeColor="text1"/>
          <w:sz w:val="36"/>
          <w:highlight w:val="none"/>
          <w14:textFill>
            <w14:solidFill>
              <w14:schemeClr w14:val="tx1"/>
            </w14:solidFill>
          </w14:textFill>
        </w:rPr>
      </w:pPr>
      <w:r>
        <w:rPr>
          <w:b/>
          <w:color w:val="000000" w:themeColor="text1"/>
          <w:sz w:val="36"/>
          <w:highlight w:val="none"/>
          <w14:textFill>
            <w14:solidFill>
              <w14:schemeClr w14:val="tx1"/>
            </w14:solidFill>
          </w14:textFill>
        </w:rPr>
      </w:r>
      <w:r/>
    </w:p>
    <w:p>
      <w:pPr>
        <w:jc w:val="center"/>
        <w:rPr>
          <w:b/>
          <w:color w:val="000000" w:themeColor="text1"/>
          <w:sz w:val="36"/>
          <w:highlight w:val="none"/>
          <w14:textFill>
            <w14:solidFill>
              <w14:schemeClr w14:val="tx1"/>
            </w14:solidFill>
          </w14:textFill>
        </w:rPr>
      </w:pPr>
      <w:r>
        <w:rPr>
          <w:b/>
          <w:color w:val="000000" w:themeColor="text1"/>
          <w:sz w:val="36"/>
          <w:highlight w:val="none"/>
          <w14:textFill>
            <w14:solidFill>
              <w14:schemeClr w14:val="tx1"/>
            </w14:solidFill>
          </w14:textFill>
        </w:rPr>
      </w:r>
      <w:r/>
    </w:p>
    <w:p>
      <w:pPr>
        <w:jc w:val="center"/>
        <w:rPr>
          <w:b/>
          <w:color w:val="000000" w:themeColor="text1"/>
          <w:sz w:val="36"/>
          <w:highlight w:val="none"/>
          <w14:textFill>
            <w14:solidFill>
              <w14:schemeClr w14:val="tx1"/>
            </w14:solidFill>
          </w14:textFill>
        </w:rPr>
      </w:pPr>
      <w:r>
        <w:rPr>
          <w:b/>
          <w:color w:val="000000" w:themeColor="text1"/>
          <w:sz w:val="36"/>
          <w:highlight w:val="none"/>
          <w14:textFill>
            <w14:solidFill>
              <w14:schemeClr w14:val="tx1"/>
            </w14:solidFill>
          </w14:textFill>
        </w:rPr>
      </w:r>
      <w:r/>
    </w:p>
    <w:p>
      <w:pPr>
        <w:ind w:firstLine="1084"/>
        <w:rPr>
          <w:b/>
          <w:color w:val="000000" w:themeColor="text1"/>
          <w:sz w:val="36"/>
          <w:highlight w:val="none"/>
          <w14:textFill>
            <w14:solidFill>
              <w14:schemeClr w14:val="tx1"/>
            </w14:solidFill>
          </w14:textFill>
        </w:rPr>
      </w:pPr>
      <w:r>
        <w:rPr>
          <w:rFonts w:hint="eastAsia"/>
          <w:b/>
          <w:color w:val="000000" w:themeColor="text1"/>
          <w:sz w:val="36"/>
          <w:highlight w:val="none"/>
          <w14:textFill>
            <w14:solidFill>
              <w14:schemeClr w14:val="tx1"/>
            </w14:solidFill>
          </w14:textFill>
        </w:rPr>
        <w:t xml:space="preserve">项 目 名 称：</w:t>
      </w:r>
      <w:r>
        <w:rPr>
          <w:rFonts w:hint="eastAsia"/>
          <w:b/>
          <w:color w:val="000000" w:themeColor="text1"/>
          <w:sz w:val="36"/>
          <w:highlight w:val="none"/>
          <w:u w:val="single"/>
          <w14:textFill>
            <w14:solidFill>
              <w14:schemeClr w14:val="tx1"/>
            </w14:solidFill>
          </w14:textFill>
        </w:rPr>
        <w:t xml:space="preserve">               </w:t>
      </w:r>
      <w:r/>
    </w:p>
    <w:p>
      <w:pPr>
        <w:ind w:firstLine="1084"/>
        <w:rPr>
          <w:b/>
          <w:color w:val="000000" w:themeColor="text1"/>
          <w:sz w:val="36"/>
          <w:highlight w:val="none"/>
          <w:u w:val="single"/>
          <w14:textFill>
            <w14:solidFill>
              <w14:schemeClr w14:val="tx1"/>
            </w14:solidFill>
          </w14:textFill>
        </w:rPr>
      </w:pPr>
      <w:r>
        <w:rPr>
          <w:rFonts w:hint="eastAsia"/>
          <w:b/>
          <w:color w:val="000000" w:themeColor="text1"/>
          <w:sz w:val="36"/>
          <w:highlight w:val="none"/>
          <w14:textFill>
            <w14:solidFill>
              <w14:schemeClr w14:val="tx1"/>
            </w14:solidFill>
          </w14:textFill>
        </w:rPr>
        <w:t xml:space="preserve">项 目 编 号：</w:t>
      </w:r>
      <w:r>
        <w:rPr>
          <w:rFonts w:hint="eastAsia"/>
          <w:b/>
          <w:color w:val="000000" w:themeColor="text1"/>
          <w:sz w:val="36"/>
          <w:highlight w:val="none"/>
          <w:u w:val="single"/>
          <w14:textFill>
            <w14:solidFill>
              <w14:schemeClr w14:val="tx1"/>
            </w14:solidFill>
          </w14:textFill>
        </w:rPr>
        <w:t xml:space="preserve">               </w:t>
      </w:r>
      <w:r/>
    </w:p>
    <w:p>
      <w:pPr>
        <w:rPr>
          <w:b/>
          <w:color w:val="000000" w:themeColor="text1"/>
          <w:sz w:val="36"/>
          <w:highlight w:val="none"/>
          <w:u w:val="single"/>
          <w14:textFill>
            <w14:solidFill>
              <w14:schemeClr w14:val="tx1"/>
            </w14:solidFill>
          </w14:textFill>
        </w:rPr>
      </w:pPr>
      <w:r>
        <w:rPr>
          <w:rFonts w:hint="eastAsia"/>
          <w:b/>
          <w:color w:val="000000" w:themeColor="text1"/>
          <w:sz w:val="36"/>
          <w:highlight w:val="none"/>
          <w14:textFill>
            <w14:solidFill>
              <w14:schemeClr w14:val="tx1"/>
            </w14:solidFill>
          </w14:textFill>
        </w:rPr>
        <w:t xml:space="preserve">      投标人名称 ：</w:t>
      </w:r>
      <w:r>
        <w:rPr>
          <w:rFonts w:hint="eastAsia"/>
          <w:b/>
          <w:color w:val="000000" w:themeColor="text1"/>
          <w:sz w:val="36"/>
          <w:highlight w:val="none"/>
          <w:u w:val="single"/>
          <w14:textFill>
            <w14:solidFill>
              <w14:schemeClr w14:val="tx1"/>
            </w14:solidFill>
          </w14:textFill>
        </w:rPr>
        <w:t xml:space="preserve">（加盖CA电子公章）</w:t>
      </w:r>
      <w:r/>
    </w:p>
    <w:p>
      <w:pPr>
        <w:rPr>
          <w:b/>
          <w:color w:val="000000" w:themeColor="text1"/>
          <w:sz w:val="36"/>
          <w:highlight w:val="none"/>
          <w:u w:val="single"/>
          <w14:textFill>
            <w14:solidFill>
              <w14:schemeClr w14:val="tx1"/>
            </w14:solidFill>
          </w14:textFill>
        </w:rPr>
      </w:pPr>
      <w:r>
        <w:rPr>
          <w:rFonts w:hint="eastAsia"/>
          <w:b/>
          <w:color w:val="000000" w:themeColor="text1"/>
          <w:sz w:val="36"/>
          <w:highlight w:val="none"/>
          <w14:textFill>
            <w14:solidFill>
              <w14:schemeClr w14:val="tx1"/>
            </w14:solidFill>
          </w14:textFill>
        </w:rPr>
        <w:t xml:space="preserve">      日      期 ：</w:t>
      </w:r>
      <w:r>
        <w:rPr>
          <w:rFonts w:hint="eastAsia"/>
          <w:b/>
          <w:color w:val="000000" w:themeColor="text1"/>
          <w:sz w:val="36"/>
          <w:highlight w:val="none"/>
          <w:u w:val="single"/>
          <w14:textFill>
            <w14:solidFill>
              <w14:schemeClr w14:val="tx1"/>
            </w14:solidFill>
          </w14:textFill>
        </w:rPr>
        <w:t xml:space="preserve">               </w:t>
      </w:r>
      <w:r/>
    </w:p>
    <w:p>
      <w:pPr>
        <w:jc w:val="center"/>
        <w:spacing w:line="440" w:lineRule="exact"/>
        <w:rPr>
          <w:b/>
          <w:bCs/>
          <w:color w:val="000000" w:themeColor="text1"/>
          <w:sz w:val="32"/>
          <w:szCs w:val="32"/>
          <w:highlight w:val="none"/>
          <w14:textFill>
            <w14:solidFill>
              <w14:schemeClr w14:val="tx1"/>
            </w14:solidFill>
          </w14:textFill>
        </w:rPr>
      </w:pPr>
      <w:r>
        <w:rPr>
          <w:b/>
          <w:bCs/>
          <w:color w:val="000000" w:themeColor="text1"/>
          <w:sz w:val="32"/>
          <w:szCs w:val="32"/>
          <w:highlight w:val="none"/>
          <w14:textFill>
            <w14:solidFill>
              <w14:schemeClr w14:val="tx1"/>
            </w14:solidFill>
          </w14:textFill>
        </w:rPr>
      </w:r>
      <w:r/>
    </w:p>
    <w:p>
      <w:pP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1084"/>
        <w:rPr>
          <w:b/>
          <w:bCs/>
          <w:color w:val="000000" w:themeColor="text1"/>
          <w:sz w:val="32"/>
          <w:szCs w:val="32"/>
          <w:highlight w:val="none"/>
          <w14:textFill>
            <w14:solidFill>
              <w14:schemeClr w14:val="tx1"/>
            </w14:solidFill>
          </w14:textFill>
        </w:rPr>
      </w:pPr>
      <w:r>
        <w:rPr>
          <w:b/>
          <w:color w:val="000000" w:themeColor="text1"/>
          <w:sz w:val="36"/>
          <w:highlight w:val="none"/>
          <w:u w:val="single"/>
          <w14:textFill>
            <w14:solidFill>
              <w14:schemeClr w14:val="tx1"/>
            </w14:solidFill>
          </w14:textFill>
        </w:rPr>
        <w:br w:type="page" w:clear="all"/>
      </w:r>
      <w:r/>
    </w:p>
    <w:p>
      <w:pPr>
        <w:jc w:val="center"/>
        <w:spacing w:line="440" w:lineRule="exact"/>
        <w:rPr>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 xml:space="preserve">投标文件目录</w:t>
      </w:r>
      <w:r/>
    </w:p>
    <w:p>
      <w:pPr>
        <w:jc w:val="center"/>
        <w:spacing w:line="440" w:lineRule="exact"/>
        <w:rPr>
          <w:b/>
          <w:bCs/>
          <w:color w:val="000000" w:themeColor="text1"/>
          <w:sz w:val="32"/>
          <w:szCs w:val="32"/>
          <w:highlight w:val="none"/>
          <w14:textFill>
            <w14:solidFill>
              <w14:schemeClr w14:val="tx1"/>
            </w14:solidFill>
          </w14:textFill>
        </w:rPr>
      </w:pPr>
      <w:r>
        <w:rPr>
          <w:b/>
          <w:bCs/>
          <w:color w:val="000000" w:themeColor="text1"/>
          <w:sz w:val="32"/>
          <w:szCs w:val="32"/>
          <w:highlight w:val="none"/>
          <w14:textFill>
            <w14:solidFill>
              <w14:schemeClr w14:val="tx1"/>
            </w14:solidFill>
          </w14:textFill>
        </w:rPr>
      </w:r>
      <w:r/>
    </w:p>
    <w:p>
      <w:pPr>
        <w:ind w:firstLine="560"/>
        <w:spacing w:line="600" w:lineRule="exact"/>
        <w:rPr>
          <w:rFonts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 xml:space="preserve">一、投标声明及承诺函</w:t>
      </w:r>
      <w:r/>
    </w:p>
    <w:p>
      <w:pPr>
        <w:ind w:firstLine="560"/>
        <w:spacing w:line="600" w:lineRule="exact"/>
        <w:rPr>
          <w:rFonts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 xml:space="preserve">二、投标人基本情况</w:t>
      </w:r>
      <w:r/>
    </w:p>
    <w:p>
      <w:pPr>
        <w:ind w:firstLine="560"/>
        <w:spacing w:line="600" w:lineRule="exact"/>
        <w:rPr>
          <w:rFonts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 xml:space="preserve">三、满足特定资格要求的证明文件</w:t>
      </w:r>
      <w:r/>
    </w:p>
    <w:p>
      <w:pPr>
        <w:ind w:firstLine="560"/>
        <w:spacing w:line="600" w:lineRule="exact"/>
        <w:rPr>
          <w:rFonts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 xml:space="preserve">四、法人授权书</w:t>
      </w:r>
      <w:r/>
    </w:p>
    <w:p>
      <w:pPr>
        <w:ind w:firstLine="560"/>
        <w:spacing w:line="600" w:lineRule="exact"/>
        <w:rPr>
          <w:rFonts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 xml:space="preserve">五、开标一览表</w:t>
      </w:r>
      <w:r/>
    </w:p>
    <w:p>
      <w:pPr>
        <w:ind w:firstLine="560"/>
        <w:spacing w:line="600" w:lineRule="exact"/>
        <w:rPr>
          <w:rFonts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 xml:space="preserve">六、投标报价明细表</w:t>
      </w:r>
      <w:r/>
    </w:p>
    <w:p>
      <w:pPr>
        <w:ind w:firstLine="560"/>
        <w:spacing w:line="600" w:lineRule="exact"/>
        <w:rPr>
          <w:rFonts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 xml:space="preserve">七、中小企业声明函</w:t>
      </w:r>
      <w:r/>
    </w:p>
    <w:p>
      <w:pPr>
        <w:ind w:firstLine="560"/>
        <w:spacing w:line="600" w:lineRule="exact"/>
        <w:rPr>
          <w:rFonts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 xml:space="preserve">八、技术要求响应及偏离表</w:t>
      </w:r>
      <w:r/>
    </w:p>
    <w:p>
      <w:pPr>
        <w:ind w:firstLine="560"/>
        <w:spacing w:line="600" w:lineRule="exact"/>
        <w:rPr>
          <w:rFonts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 xml:space="preserve">九、项目组成员</w:t>
      </w:r>
      <w:r/>
    </w:p>
    <w:p>
      <w:pPr>
        <w:ind w:firstLine="560"/>
        <w:spacing w:line="600" w:lineRule="exact"/>
        <w:rPr>
          <w:rFonts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 xml:space="preserve">十、企业业绩</w:t>
      </w:r>
      <w:r/>
    </w:p>
    <w:p>
      <w:pPr>
        <w:ind w:firstLine="560"/>
        <w:spacing w:line="600" w:lineRule="exact"/>
        <w:rPr>
          <w:rFonts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 xml:space="preserve">十一、项目实施方案</w:t>
      </w:r>
      <w:r/>
    </w:p>
    <w:p>
      <w:pPr>
        <w:ind w:firstLine="560"/>
        <w:spacing w:line="600" w:lineRule="exact"/>
        <w:rPr>
          <w:rFonts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 xml:space="preserve">十二、投标所需其他材料</w:t>
      </w:r>
      <w:r/>
    </w:p>
    <w:p>
      <w:pPr>
        <w:pStyle w:val="1053"/>
        <w:rPr>
          <w:rFonts w:ascii="Times New Roman" w:hAnsi="Times New Roman"/>
          <w:caps w:val="0"/>
          <w:color w:val="000000" w:themeColor="text1"/>
          <w:highlight w:val="none"/>
          <w14:textFill>
            <w14:solidFill>
              <w14:schemeClr w14:val="tx1"/>
            </w14:solidFill>
          </w14:textFill>
        </w:rPr>
      </w:pPr>
      <w:r>
        <w:rPr>
          <w:rFonts w:ascii="Times New Roman" w:hAnsi="Times New Roman"/>
          <w:caps w:val="0"/>
          <w:color w:val="000000" w:themeColor="text1"/>
          <w:highlight w:val="none"/>
          <w14:textFill>
            <w14:solidFill>
              <w14:schemeClr w14:val="tx1"/>
            </w14:solidFill>
          </w14:textFill>
        </w:rPr>
      </w:r>
      <w:r/>
    </w:p>
    <w:p>
      <w:pPr>
        <w:ind w:firstLine="480"/>
        <w:spacing w:line="44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spacing w:line="44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spacing w:line="44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spacing w:line="44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spacing w:line="44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1120"/>
        <w:rPr>
          <w:color w:val="000000" w:themeColor="text1"/>
          <w:highlight w:val="none"/>
          <w14:textFill>
            <w14:solidFill>
              <w14:schemeClr w14:val="tx1"/>
            </w14:solidFill>
          </w14:textFill>
        </w:rPr>
      </w:pPr>
      <w:r/>
      <w:bookmarkStart w:id="202" w:name="_Toc23838"/>
      <w:r/>
      <w:r/>
    </w:p>
    <w:p>
      <w:pPr>
        <w:pStyle w:val="1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End w:id="202"/>
      <w:r/>
      <w:r/>
    </w:p>
    <w:p>
      <w:pPr>
        <w:pStyle w:val="1118"/>
        <w:rPr>
          <w:rFonts w:ascii="Times New Roman" w:hAnsi="Times New Roman"/>
          <w:b/>
          <w:color w:val="000000" w:themeColor="text1"/>
          <w:sz w:val="32"/>
          <w:szCs w:val="32"/>
          <w:highlight w:val="none"/>
          <w14:textFill>
            <w14:solidFill>
              <w14:schemeClr w14:val="tx1"/>
            </w14:solidFill>
          </w14:textFill>
        </w:rPr>
      </w:pPr>
      <w:r>
        <w:rPr>
          <w:rFonts w:hint="eastAsia" w:ascii="Times New Roman" w:hAnsi="Times New Roman"/>
          <w:b/>
          <w:color w:val="000000" w:themeColor="text1"/>
          <w:sz w:val="32"/>
          <w:szCs w:val="32"/>
          <w:highlight w:val="none"/>
          <w14:textFill>
            <w14:solidFill>
              <w14:schemeClr w14:val="tx1"/>
            </w14:solidFill>
          </w14:textFill>
        </w:rPr>
        <w:t xml:space="preserve">一、</w:t>
      </w:r>
      <w:bookmarkEnd w:id="199"/>
      <w:r/>
      <w:bookmarkEnd w:id="200"/>
      <w:r/>
      <w:bookmarkEnd w:id="201"/>
      <w:r/>
      <w:bookmarkStart w:id="203" w:name="_Toc120614284"/>
      <w:r>
        <w:rPr>
          <w:rFonts w:hint="eastAsia" w:ascii="Times New Roman" w:hAnsi="Times New Roman"/>
          <w:b/>
          <w:color w:val="000000" w:themeColor="text1"/>
          <w:sz w:val="32"/>
          <w:szCs w:val="32"/>
          <w:highlight w:val="none"/>
          <w14:textFill>
            <w14:solidFill>
              <w14:schemeClr w14:val="tx1"/>
            </w14:solidFill>
          </w14:textFill>
        </w:rPr>
        <w:t xml:space="preserve">投标声明及承诺函</w:t>
      </w:r>
      <w:r/>
    </w:p>
    <w:p>
      <w:pPr>
        <w:pStyle w:val="1118"/>
        <w:jc w:val="left"/>
        <w:spacing w:line="500" w:lineRule="exact"/>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（采购单位名称）：</w:t>
      </w:r>
      <w:r/>
    </w:p>
    <w:p>
      <w:pPr>
        <w:pStyle w:val="1118"/>
        <w:ind w:firstLine="480"/>
        <w:jc w:val="left"/>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根据已收到的项目编号为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的</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项目的招标文件，我方在参加本项目招投标活动中，特做出如下承诺：</w:t>
      </w:r>
      <w:r/>
    </w:p>
    <w:p>
      <w:pPr>
        <w:pStyle w:val="1118"/>
        <w:ind w:firstLine="480"/>
        <w:jc w:val="left"/>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一、我方</w:t>
      </w:r>
      <w:r>
        <w:rPr>
          <w:rFonts w:ascii="宋体" w:hAnsi="宋体"/>
          <w:color w:val="000000" w:themeColor="text1"/>
          <w:sz w:val="24"/>
          <w:highlight w:val="none"/>
          <w14:textFill>
            <w14:solidFill>
              <w14:schemeClr w14:val="tx1"/>
            </w14:solidFill>
          </w14:textFill>
        </w:rPr>
        <w:t xml:space="preserve">具备《中华人民共和国政府采购法》第二十二条第一款规定的6项条件；</w:t>
      </w:r>
      <w:r/>
    </w:p>
    <w:p>
      <w:pPr>
        <w:pStyle w:val="1118"/>
        <w:ind w:firstLine="480"/>
        <w:jc w:val="left"/>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18"/>
        <w:ind w:firstLine="480"/>
        <w:jc w:val="left"/>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三、我方按招标文件要求提交投标文件，响应招标文件规定的投标有效期；</w:t>
      </w:r>
      <w:r/>
    </w:p>
    <w:p>
      <w:pPr>
        <w:pStyle w:val="1118"/>
        <w:ind w:firstLine="480"/>
        <w:jc w:val="left"/>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四、如果我方的投标文件被接受，我方将按《中华人民共和国民法典（第三编合同）》及其他有关法律法规的规定，按期、按质、按量交付采购单位，全面做到履约守信；</w:t>
      </w:r>
      <w:r/>
    </w:p>
    <w:p>
      <w:pPr>
        <w:pStyle w:val="1118"/>
        <w:ind w:firstLine="480"/>
        <w:jc w:val="left"/>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五、我方若违背本声明及承诺约定，经查实，自愿接受采购人及相关主管部门相应的规定处理，并依法承担相应的法律责任。</w:t>
      </w:r>
      <w:r/>
    </w:p>
    <w:p>
      <w:pPr>
        <w:pStyle w:val="1118"/>
        <w:ind w:firstLine="480"/>
        <w:jc w:val="left"/>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六、我方同意采购人、采购代理机构将本声明及承诺函上网公开。</w:t>
      </w:r>
      <w:r/>
    </w:p>
    <w:p>
      <w:pPr>
        <w:pStyle w:val="1118"/>
        <w:ind w:firstLine="480"/>
        <w:jc w:val="left"/>
        <w:spacing w:line="5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1118"/>
        <w:jc w:val="left"/>
        <w:spacing w:line="5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1118"/>
        <w:ind w:firstLine="480"/>
        <w:jc w:val="left"/>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投标人名称： </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（加盖CA电子公章）</w:t>
      </w:r>
      <w:r/>
    </w:p>
    <w:p>
      <w:pPr>
        <w:pStyle w:val="1118"/>
        <w:ind w:firstLine="480"/>
        <w:rPr>
          <w:rFonts w:ascii="宋体" w:hAnsi="宋体"/>
          <w:color w:val="000000" w:themeColor="text1"/>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日期：    年    月   日</w:t>
      </w:r>
      <w:r/>
    </w:p>
    <w:p>
      <w:pPr>
        <w:pStyle w:val="1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eastAsia="宋体"/>
          <w:b/>
          <w:color w:val="000000" w:themeColor="text1"/>
          <w:sz w:val="32"/>
          <w:szCs w:val="32"/>
          <w:highlight w:val="none"/>
          <w14:textFill>
            <w14:solidFill>
              <w14:schemeClr w14:val="tx1"/>
            </w14:solidFill>
          </w14:textFill>
        </w:rPr>
        <w:t xml:space="preserve">二、投标人基本情况</w:t>
      </w:r>
      <w:r/>
    </w:p>
    <w:p>
      <w:pPr>
        <w:pStyle w:val="1121"/>
        <w:jc w:val="center"/>
        <w:rPr>
          <w:rFonts w:ascii="Times New Roman" w:hAnsi="Times New Roman"/>
          <w:color w:val="000000" w:themeColor="text1"/>
          <w:sz w:val="44"/>
          <w:szCs w:val="44"/>
          <w:highlight w:val="none"/>
          <w14:textFill>
            <w14:solidFill>
              <w14:schemeClr w14:val="tx1"/>
            </w14:solidFill>
          </w14:textFill>
        </w:rPr>
      </w:pPr>
      <w:r>
        <w:rPr>
          <w:rFonts w:hint="eastAsia" w:ascii="Times New Roman" w:hAnsi="Times New Roman"/>
          <w:color w:val="000000" w:themeColor="text1"/>
          <w:sz w:val="44"/>
          <w:szCs w:val="44"/>
          <w:highlight w:val="none"/>
          <w14:textFill>
            <w14:solidFill>
              <w14:schemeClr w14:val="tx1"/>
            </w14:solidFill>
          </w14:textFill>
        </w:rPr>
        <w:t xml:space="preserve">投标人基本情况表</w:t>
      </w:r>
      <w:r/>
    </w:p>
    <w:tbl>
      <w:tblPr>
        <w:tblStyle w:val="82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121"/>
              <w:jc w:val="center"/>
              <w:spacing w:line="6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投标人名称</w:t>
            </w:r>
            <w:r/>
          </w:p>
        </w:tc>
        <w:tc>
          <w:tcPr>
            <w:gridSpan w:val="3"/>
            <w:tcW w:w="6998" w:type="dxa"/>
            <w:vAlign w:val="center"/>
            <w:textDirection w:val="lrTb"/>
            <w:noWrap w:val="false"/>
          </w:tcPr>
          <w:p>
            <w:pPr>
              <w:pStyle w:val="1121"/>
              <w:jc w:val="center"/>
              <w:spacing w:line="6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1121"/>
              <w:jc w:val="center"/>
              <w:spacing w:line="6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法定代表人</w:t>
            </w:r>
            <w:r/>
          </w:p>
        </w:tc>
        <w:tc>
          <w:tcPr>
            <w:tcW w:w="3118" w:type="dxa"/>
            <w:vAlign w:val="center"/>
            <w:textDirection w:val="lrTb"/>
            <w:noWrap w:val="false"/>
          </w:tcPr>
          <w:p>
            <w:pPr>
              <w:pStyle w:val="1121"/>
              <w:jc w:val="center"/>
              <w:spacing w:line="6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121"/>
              <w:jc w:val="center"/>
              <w:spacing w:line="6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注册地区</w:t>
            </w:r>
            <w:r/>
          </w:p>
        </w:tc>
        <w:tc>
          <w:tcPr>
            <w:tcW w:w="2604" w:type="dxa"/>
            <w:vAlign w:val="center"/>
            <w:textDirection w:val="lrTb"/>
            <w:noWrap w:val="false"/>
          </w:tcPr>
          <w:p>
            <w:pPr>
              <w:pStyle w:val="1121"/>
              <w:jc w:val="center"/>
              <w:spacing w:line="6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1121"/>
              <w:jc w:val="center"/>
              <w:spacing w:line="6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地址</w:t>
            </w:r>
            <w:r/>
          </w:p>
        </w:tc>
        <w:tc>
          <w:tcPr>
            <w:tcW w:w="3118" w:type="dxa"/>
            <w:vAlign w:val="center"/>
            <w:textDirection w:val="lrTb"/>
            <w:noWrap w:val="false"/>
          </w:tcPr>
          <w:p>
            <w:pPr>
              <w:pStyle w:val="1121"/>
              <w:jc w:val="center"/>
              <w:spacing w:line="6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121"/>
              <w:jc w:val="center"/>
              <w:spacing w:line="6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邮政编码</w:t>
            </w:r>
            <w:r/>
          </w:p>
        </w:tc>
        <w:tc>
          <w:tcPr>
            <w:tcW w:w="2604" w:type="dxa"/>
            <w:vAlign w:val="center"/>
            <w:textDirection w:val="lrTb"/>
            <w:noWrap w:val="false"/>
          </w:tcPr>
          <w:p>
            <w:pPr>
              <w:pStyle w:val="1121"/>
              <w:jc w:val="center"/>
              <w:spacing w:line="6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1121"/>
              <w:jc w:val="center"/>
              <w:spacing w:line="6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成立时间</w:t>
            </w:r>
            <w:r/>
          </w:p>
        </w:tc>
        <w:tc>
          <w:tcPr>
            <w:tcW w:w="3118" w:type="dxa"/>
            <w:vAlign w:val="center"/>
            <w:textDirection w:val="lrTb"/>
            <w:noWrap w:val="false"/>
          </w:tcPr>
          <w:p>
            <w:pPr>
              <w:pStyle w:val="1121"/>
              <w:jc w:val="center"/>
              <w:spacing w:line="6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121"/>
              <w:jc w:val="center"/>
              <w:spacing w:line="6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单位性质</w:t>
            </w:r>
            <w:r/>
          </w:p>
        </w:tc>
        <w:tc>
          <w:tcPr>
            <w:tcW w:w="2604" w:type="dxa"/>
            <w:vAlign w:val="center"/>
            <w:textDirection w:val="lrTb"/>
            <w:noWrap w:val="false"/>
          </w:tcPr>
          <w:p>
            <w:pPr>
              <w:pStyle w:val="1121"/>
              <w:jc w:val="center"/>
              <w:spacing w:line="6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1121"/>
              <w:jc w:val="center"/>
              <w:spacing w:line="6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注册号或社会信用代码</w:t>
            </w:r>
            <w:r/>
          </w:p>
        </w:tc>
        <w:tc>
          <w:tcPr>
            <w:tcW w:w="3118" w:type="dxa"/>
            <w:vAlign w:val="center"/>
            <w:textDirection w:val="lrTb"/>
            <w:noWrap w:val="false"/>
          </w:tcPr>
          <w:p>
            <w:pPr>
              <w:pStyle w:val="1121"/>
              <w:jc w:val="center"/>
              <w:spacing w:line="6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121"/>
              <w:jc w:val="center"/>
              <w:spacing w:line="6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注册资本（万元）</w:t>
            </w:r>
            <w:r/>
          </w:p>
        </w:tc>
        <w:tc>
          <w:tcPr>
            <w:tcW w:w="2604" w:type="dxa"/>
            <w:vAlign w:val="center"/>
            <w:textDirection w:val="lrTb"/>
            <w:noWrap w:val="false"/>
          </w:tcPr>
          <w:p>
            <w:pPr>
              <w:pStyle w:val="1121"/>
              <w:jc w:val="center"/>
              <w:spacing w:line="6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1121"/>
              <w:jc w:val="center"/>
              <w:spacing w:line="6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投标人类别</w:t>
            </w:r>
            <w:r/>
          </w:p>
        </w:tc>
        <w:tc>
          <w:tcPr>
            <w:gridSpan w:val="3"/>
            <w:tcW w:w="6998" w:type="dxa"/>
            <w:vAlign w:val="center"/>
            <w:textDirection w:val="lrTb"/>
            <w:noWrap w:val="false"/>
          </w:tcPr>
          <w:p>
            <w:pPr>
              <w:pStyle w:val="1121"/>
              <w:jc w:val="center"/>
              <w:spacing w:line="6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1121"/>
              <w:jc w:val="center"/>
              <w:spacing w:line="6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开户银行</w:t>
            </w:r>
            <w:r/>
          </w:p>
        </w:tc>
        <w:tc>
          <w:tcPr>
            <w:tcW w:w="3118" w:type="dxa"/>
            <w:vAlign w:val="center"/>
            <w:textDirection w:val="lrTb"/>
            <w:noWrap w:val="false"/>
          </w:tcPr>
          <w:p>
            <w:pPr>
              <w:pStyle w:val="1121"/>
              <w:jc w:val="center"/>
              <w:spacing w:line="6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121"/>
              <w:jc w:val="center"/>
              <w:spacing w:line="6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账号</w:t>
            </w:r>
            <w:r/>
          </w:p>
        </w:tc>
        <w:tc>
          <w:tcPr>
            <w:tcW w:w="2604" w:type="dxa"/>
            <w:vAlign w:val="center"/>
            <w:textDirection w:val="lrTb"/>
            <w:noWrap w:val="false"/>
          </w:tcPr>
          <w:p>
            <w:pPr>
              <w:pStyle w:val="1121"/>
              <w:jc w:val="center"/>
              <w:spacing w:line="6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1121"/>
              <w:jc w:val="center"/>
              <w:spacing w:line="6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联系人</w:t>
            </w:r>
            <w:r/>
          </w:p>
        </w:tc>
        <w:tc>
          <w:tcPr>
            <w:tcW w:w="3118" w:type="dxa"/>
            <w:vAlign w:val="center"/>
            <w:textDirection w:val="lrTb"/>
            <w:noWrap w:val="false"/>
          </w:tcPr>
          <w:p>
            <w:pPr>
              <w:pStyle w:val="1121"/>
              <w:jc w:val="center"/>
              <w:spacing w:line="6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121"/>
              <w:jc w:val="center"/>
              <w:spacing w:line="6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联系电话</w:t>
            </w:r>
            <w:r/>
          </w:p>
        </w:tc>
        <w:tc>
          <w:tcPr>
            <w:tcW w:w="2604" w:type="dxa"/>
            <w:vAlign w:val="center"/>
            <w:textDirection w:val="lrTb"/>
            <w:noWrap w:val="false"/>
          </w:tcPr>
          <w:p>
            <w:pPr>
              <w:pStyle w:val="1121"/>
              <w:jc w:val="center"/>
              <w:spacing w:line="6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trHeight w:val="2376"/>
        </w:trPr>
        <w:tc>
          <w:tcPr>
            <w:tcW w:w="1526" w:type="dxa"/>
            <w:vAlign w:val="center"/>
            <w:textDirection w:val="lrTb"/>
            <w:noWrap w:val="false"/>
          </w:tcPr>
          <w:p>
            <w:pPr>
              <w:pStyle w:val="1121"/>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经营范围</w:t>
            </w:r>
            <w:r/>
          </w:p>
        </w:tc>
        <w:tc>
          <w:tcPr>
            <w:gridSpan w:val="3"/>
            <w:tcW w:w="6998" w:type="dxa"/>
            <w:textDirection w:val="lrTb"/>
            <w:noWrap w:val="false"/>
          </w:tcPr>
          <w:p>
            <w:pPr>
              <w:pStyle w:val="1121"/>
              <w:ind w:firstLine="1432"/>
              <w:spacing w:line="5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trHeight w:val="1134"/>
        </w:trPr>
        <w:tc>
          <w:tcPr>
            <w:tcW w:w="1526" w:type="dxa"/>
            <w:vAlign w:val="center"/>
            <w:textDirection w:val="lrTb"/>
            <w:noWrap w:val="false"/>
          </w:tcPr>
          <w:p>
            <w:pPr>
              <w:pStyle w:val="1121"/>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备注</w:t>
            </w:r>
            <w:r/>
          </w:p>
        </w:tc>
        <w:tc>
          <w:tcPr>
            <w:gridSpan w:val="3"/>
            <w:tcW w:w="6998" w:type="dxa"/>
            <w:vAlign w:val="center"/>
            <w:textDirection w:val="lrTb"/>
            <w:noWrap w:val="false"/>
          </w:tcPr>
          <w:p>
            <w:pPr>
              <w:pStyle w:val="1121"/>
              <w:jc w:val="center"/>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无需提供营业执照等证明材料</w:t>
            </w:r>
            <w:r/>
          </w:p>
        </w:tc>
      </w:tr>
    </w:tbl>
    <w:p>
      <w:pPr>
        <w:ind w:firstLine="480"/>
        <w:spacing w:line="44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spacing w:line="44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spacing w:line="44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1118"/>
        <w:rPr>
          <w:rFonts w:ascii="Times New Roman" w:hAnsi="Times New Roman" w:eastAsia="黑体"/>
          <w:i/>
          <w:color w:val="000000" w:themeColor="text1"/>
          <w:sz w:val="32"/>
          <w:szCs w:val="32"/>
          <w:highlight w:val="none"/>
          <w:u w:val="single"/>
          <w14:textFill>
            <w14:solidFill>
              <w14:schemeClr w14:val="tx1"/>
            </w14:solidFill>
          </w14:textFill>
        </w:rPr>
      </w:pPr>
      <w:r>
        <w:rPr>
          <w:rFonts w:ascii="Times New Roman" w:hAnsi="Times New Roman" w:eastAsia="黑体"/>
          <w:i/>
          <w:color w:val="000000" w:themeColor="text1"/>
          <w:sz w:val="32"/>
          <w:szCs w:val="32"/>
          <w:highlight w:val="none"/>
          <w:u w:val="single"/>
          <w14:textFill>
            <w14:solidFill>
              <w14:schemeClr w14:val="tx1"/>
            </w14:solidFill>
          </w14:textFill>
        </w:rPr>
      </w:r>
      <w:r/>
    </w:p>
    <w:p>
      <w:pPr>
        <w:rPr>
          <w:rFonts w:eastAsia="黑体"/>
          <w:i/>
          <w:color w:val="000000" w:themeColor="text1"/>
          <w:sz w:val="32"/>
          <w:szCs w:val="32"/>
          <w:highlight w:val="none"/>
          <w:u w:val="singl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b/>
          <w:color w:val="000000" w:themeColor="text1"/>
          <w:sz w:val="32"/>
          <w:szCs w:val="32"/>
          <w:highlight w:val="none"/>
          <w14:textFill>
            <w14:solidFill>
              <w14:schemeClr w14:val="tx1"/>
            </w14:solidFill>
          </w14:textFill>
        </w:rPr>
        <w:t xml:space="preserve">三、特定资格要求的证明文件</w:t>
      </w:r>
      <w:r/>
    </w:p>
    <w:p>
      <w:pPr>
        <w:spacing w:line="460" w:lineRule="exact"/>
        <w:rPr>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如果本项目申请人的特定资格要求中要求提供的，必须提供。</w:t>
      </w:r>
      <w:r/>
    </w:p>
    <w:p>
      <w:pPr>
        <w:spacing w:line="460" w:lineRule="exact"/>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r>
      <w:r/>
    </w:p>
    <w:p>
      <w:pPr>
        <w:jc w:val="center"/>
        <w:rPr>
          <w:rFonts w:eastAsia="黑体"/>
          <w:i/>
          <w:color w:val="000000" w:themeColor="text1"/>
          <w:sz w:val="32"/>
          <w:szCs w:val="32"/>
          <w:highlight w:val="none"/>
          <w:u w:val="single"/>
          <w14:textFill>
            <w14:solidFill>
              <w14:schemeClr w14:val="tx1"/>
            </w14:solidFill>
          </w14:textFill>
        </w:rPr>
      </w:pPr>
      <w:r>
        <w:rPr>
          <w:rFonts w:eastAsia="黑体"/>
          <w:i/>
          <w:color w:val="000000" w:themeColor="text1"/>
          <w:sz w:val="32"/>
          <w:szCs w:val="32"/>
          <w:highlight w:val="none"/>
          <w:u w:val="single"/>
          <w14:textFill>
            <w14:solidFill>
              <w14:schemeClr w14:val="tx1"/>
            </w14:solidFill>
          </w14:textFill>
        </w:rPr>
      </w:r>
      <w:r/>
    </w:p>
    <w:p>
      <w:pPr>
        <w:jc w:val="center"/>
        <w:rPr>
          <w:rFonts w:eastAsia="黑体"/>
          <w:i/>
          <w:color w:val="000000" w:themeColor="text1"/>
          <w:sz w:val="32"/>
          <w:szCs w:val="32"/>
          <w:highlight w:val="none"/>
          <w:u w:val="single"/>
          <w14:textFill>
            <w14:solidFill>
              <w14:schemeClr w14:val="tx1"/>
            </w14:solidFill>
          </w14:textFill>
        </w:rPr>
      </w:pPr>
      <w:r>
        <w:rPr>
          <w:rFonts w:eastAsia="黑体"/>
          <w:i/>
          <w:color w:val="000000" w:themeColor="text1"/>
          <w:sz w:val="32"/>
          <w:szCs w:val="32"/>
          <w:highlight w:val="none"/>
          <w:u w:val="single"/>
          <w14:textFill>
            <w14:solidFill>
              <w14:schemeClr w14:val="tx1"/>
            </w14:solidFill>
          </w14:textFill>
        </w:rPr>
      </w:r>
      <w:r/>
    </w:p>
    <w:p>
      <w:pPr>
        <w:jc w:val="center"/>
        <w:rPr>
          <w:rFonts w:eastAsia="黑体"/>
          <w:i/>
          <w:color w:val="000000" w:themeColor="text1"/>
          <w:sz w:val="32"/>
          <w:szCs w:val="32"/>
          <w:highlight w:val="none"/>
          <w:u w:val="single"/>
          <w14:textFill>
            <w14:solidFill>
              <w14:schemeClr w14:val="tx1"/>
            </w14:solidFill>
          </w14:textFill>
        </w:rPr>
      </w:pPr>
      <w:r>
        <w:rPr>
          <w:rFonts w:eastAsia="黑体"/>
          <w:i/>
          <w:color w:val="000000" w:themeColor="text1"/>
          <w:sz w:val="32"/>
          <w:szCs w:val="32"/>
          <w:highlight w:val="none"/>
          <w:u w:val="single"/>
          <w14:textFill>
            <w14:solidFill>
              <w14:schemeClr w14:val="tx1"/>
            </w14:solidFill>
          </w14:textFill>
        </w:rPr>
      </w:r>
      <w:r/>
    </w:p>
    <w:p>
      <w:pPr>
        <w:jc w:val="center"/>
        <w:rPr>
          <w:rFonts w:eastAsia="黑体"/>
          <w:i/>
          <w:color w:val="000000" w:themeColor="text1"/>
          <w:sz w:val="32"/>
          <w:szCs w:val="32"/>
          <w:highlight w:val="none"/>
          <w:u w:val="single"/>
          <w14:textFill>
            <w14:solidFill>
              <w14:schemeClr w14:val="tx1"/>
            </w14:solidFill>
          </w14:textFill>
        </w:rPr>
      </w:pPr>
      <w:r>
        <w:rPr>
          <w:rFonts w:eastAsia="黑体"/>
          <w:i/>
          <w:color w:val="000000" w:themeColor="text1"/>
          <w:sz w:val="32"/>
          <w:szCs w:val="32"/>
          <w:highlight w:val="none"/>
          <w:u w:val="single"/>
          <w14:textFill>
            <w14:solidFill>
              <w14:schemeClr w14:val="tx1"/>
            </w14:solidFill>
          </w14:textFill>
        </w:rPr>
      </w:r>
      <w:r/>
    </w:p>
    <w:p>
      <w:pPr>
        <w:jc w:val="center"/>
        <w:rPr>
          <w:rFonts w:eastAsia="黑体"/>
          <w:i/>
          <w:color w:val="000000" w:themeColor="text1"/>
          <w:sz w:val="32"/>
          <w:szCs w:val="32"/>
          <w:highlight w:val="none"/>
          <w:u w:val="single"/>
          <w14:textFill>
            <w14:solidFill>
              <w14:schemeClr w14:val="tx1"/>
            </w14:solidFill>
          </w14:textFill>
        </w:rPr>
      </w:pPr>
      <w:r>
        <w:rPr>
          <w:rFonts w:eastAsia="黑体"/>
          <w:i/>
          <w:color w:val="000000" w:themeColor="text1"/>
          <w:sz w:val="32"/>
          <w:szCs w:val="32"/>
          <w:highlight w:val="none"/>
          <w:u w:val="single"/>
          <w14:textFill>
            <w14:solidFill>
              <w14:schemeClr w14:val="tx1"/>
            </w14:solidFill>
          </w14:textFill>
        </w:rPr>
      </w:r>
      <w:r/>
    </w:p>
    <w:p>
      <w:pPr>
        <w:pStyle w:val="1078"/>
        <w:ind w:firstLine="0"/>
        <w:rPr>
          <w:rFonts w:ascii="Times New Roman" w:hAnsi="Times New Roman" w:eastAsia="黑体"/>
          <w:i/>
          <w:color w:val="000000" w:themeColor="text1"/>
          <w:highlight w:val="none"/>
          <w:u w:val="single"/>
          <w:lang w:val="en-US"/>
          <w14:textFill>
            <w14:solidFill>
              <w14:schemeClr w14:val="tx1"/>
            </w14:solidFill>
          </w14:textFill>
        </w:rPr>
      </w:pPr>
      <w:r>
        <w:rPr>
          <w:rFonts w:ascii="Times New Roman" w:hAnsi="Times New Roman" w:eastAsia="黑体"/>
          <w:i/>
          <w:color w:val="000000" w:themeColor="text1"/>
          <w:highlight w:val="none"/>
          <w:u w:val="single"/>
          <w:lang w:val="en-US"/>
          <w14:textFill>
            <w14:solidFill>
              <w14:schemeClr w14:val="tx1"/>
            </w14:solidFill>
          </w14:textFill>
        </w:rPr>
      </w:r>
      <w:r/>
    </w:p>
    <w:p>
      <w:pPr>
        <w:jc w:val="center"/>
        <w:rPr>
          <w:rFonts w:eastAsia="黑体"/>
          <w:i/>
          <w:color w:val="000000" w:themeColor="text1"/>
          <w:sz w:val="32"/>
          <w:szCs w:val="32"/>
          <w:highlight w:val="none"/>
          <w:u w:val="single"/>
          <w14:textFill>
            <w14:solidFill>
              <w14:schemeClr w14:val="tx1"/>
            </w14:solidFill>
          </w14:textFill>
        </w:rPr>
      </w:pPr>
      <w:r>
        <w:rPr>
          <w:rFonts w:eastAsia="黑体"/>
          <w:i/>
          <w:color w:val="000000" w:themeColor="text1"/>
          <w:sz w:val="32"/>
          <w:szCs w:val="32"/>
          <w:highlight w:val="none"/>
          <w:u w:val="single"/>
          <w14:textFill>
            <w14:solidFill>
              <w14:schemeClr w14:val="tx1"/>
            </w14:solidFill>
          </w14:textFill>
        </w:rPr>
      </w:r>
      <w:r/>
    </w:p>
    <w:p>
      <w:pPr>
        <w:jc w:val="center"/>
        <w:rPr>
          <w:rFonts w:eastAsia="黑体"/>
          <w:i/>
          <w:color w:val="000000" w:themeColor="text1"/>
          <w:sz w:val="32"/>
          <w:szCs w:val="32"/>
          <w:highlight w:val="none"/>
          <w:u w:val="single"/>
          <w14:textFill>
            <w14:solidFill>
              <w14:schemeClr w14:val="tx1"/>
            </w14:solidFill>
          </w14:textFill>
        </w:rPr>
      </w:pPr>
      <w:r>
        <w:rPr>
          <w:rFonts w:eastAsia="黑体"/>
          <w:i/>
          <w:color w:val="000000" w:themeColor="text1"/>
          <w:sz w:val="32"/>
          <w:szCs w:val="32"/>
          <w:highlight w:val="none"/>
          <w:u w:val="single"/>
          <w14:textFill>
            <w14:solidFill>
              <w14:schemeClr w14:val="tx1"/>
            </w14:solidFill>
          </w14:textFill>
        </w:rPr>
      </w:r>
      <w:r/>
    </w:p>
    <w:p>
      <w:pPr>
        <w:jc w:val="center"/>
        <w:rPr>
          <w:rFonts w:eastAsia="黑体"/>
          <w:i/>
          <w:color w:val="000000" w:themeColor="text1"/>
          <w:sz w:val="32"/>
          <w:szCs w:val="32"/>
          <w:highlight w:val="none"/>
          <w:u w:val="single"/>
          <w14:textFill>
            <w14:solidFill>
              <w14:schemeClr w14:val="tx1"/>
            </w14:solidFill>
          </w14:textFill>
        </w:rPr>
      </w:pPr>
      <w:r>
        <w:rPr>
          <w:rFonts w:eastAsia="黑体"/>
          <w:i/>
          <w:color w:val="000000" w:themeColor="text1"/>
          <w:sz w:val="32"/>
          <w:szCs w:val="32"/>
          <w:highlight w:val="none"/>
          <w:u w:val="single"/>
          <w14:textFill>
            <w14:solidFill>
              <w14:schemeClr w14:val="tx1"/>
            </w14:solidFill>
          </w14:textFill>
        </w:rPr>
      </w:r>
      <w:r/>
    </w:p>
    <w:p>
      <w:pPr>
        <w:jc w:val="center"/>
        <w:rPr>
          <w:rFonts w:eastAsia="黑体"/>
          <w:i/>
          <w:color w:val="000000" w:themeColor="text1"/>
          <w:sz w:val="32"/>
          <w:szCs w:val="32"/>
          <w:highlight w:val="none"/>
          <w:u w:val="single"/>
          <w14:textFill>
            <w14:solidFill>
              <w14:schemeClr w14:val="tx1"/>
            </w14:solidFill>
          </w14:textFill>
        </w:rPr>
      </w:pPr>
      <w:r>
        <w:rPr>
          <w:rFonts w:eastAsia="黑体"/>
          <w:i/>
          <w:color w:val="000000" w:themeColor="text1"/>
          <w:sz w:val="32"/>
          <w:szCs w:val="32"/>
          <w:highlight w:val="none"/>
          <w:u w:val="single"/>
          <w14:textFill>
            <w14:solidFill>
              <w14:schemeClr w14:val="tx1"/>
            </w14:solidFill>
          </w14:textFill>
        </w:rPr>
      </w:r>
      <w:r/>
    </w:p>
    <w:p>
      <w:pPr>
        <w:jc w:val="center"/>
        <w:rPr>
          <w:rFonts w:eastAsia="黑体"/>
          <w:i/>
          <w:color w:val="000000" w:themeColor="text1"/>
          <w:sz w:val="32"/>
          <w:szCs w:val="32"/>
          <w:highlight w:val="none"/>
          <w:u w:val="single"/>
          <w14:textFill>
            <w14:solidFill>
              <w14:schemeClr w14:val="tx1"/>
            </w14:solidFill>
          </w14:textFill>
        </w:rPr>
      </w:pPr>
      <w:r>
        <w:rPr>
          <w:rFonts w:eastAsia="黑体"/>
          <w:i/>
          <w:color w:val="000000" w:themeColor="text1"/>
          <w:sz w:val="32"/>
          <w:szCs w:val="32"/>
          <w:highlight w:val="none"/>
          <w:u w:val="single"/>
          <w14:textFill>
            <w14:solidFill>
              <w14:schemeClr w14:val="tx1"/>
            </w14:solidFill>
          </w14:textFill>
        </w:rPr>
      </w:r>
      <w:r/>
    </w:p>
    <w:p>
      <w:pPr>
        <w:jc w:val="center"/>
        <w:rPr>
          <w:rFonts w:eastAsia="黑体"/>
          <w:i/>
          <w:color w:val="000000" w:themeColor="text1"/>
          <w:sz w:val="32"/>
          <w:szCs w:val="32"/>
          <w:highlight w:val="none"/>
          <w:u w:val="single"/>
          <w14:textFill>
            <w14:solidFill>
              <w14:schemeClr w14:val="tx1"/>
            </w14:solidFill>
          </w14:textFill>
        </w:rPr>
      </w:pPr>
      <w:r>
        <w:rPr>
          <w:rFonts w:eastAsia="黑体"/>
          <w:i/>
          <w:color w:val="000000" w:themeColor="text1"/>
          <w:sz w:val="32"/>
          <w:szCs w:val="32"/>
          <w:highlight w:val="none"/>
          <w:u w:val="single"/>
          <w14:textFill>
            <w14:solidFill>
              <w14:schemeClr w14:val="tx1"/>
            </w14:solidFill>
          </w14:textFill>
        </w:rPr>
      </w:r>
      <w:r/>
    </w:p>
    <w:p>
      <w:pPr>
        <w:jc w:val="center"/>
        <w:rPr>
          <w:rFonts w:eastAsia="黑体"/>
          <w:i/>
          <w:color w:val="000000" w:themeColor="text1"/>
          <w:sz w:val="32"/>
          <w:szCs w:val="32"/>
          <w:highlight w:val="none"/>
          <w:u w:val="single"/>
          <w14:textFill>
            <w14:solidFill>
              <w14:schemeClr w14:val="tx1"/>
            </w14:solidFill>
          </w14:textFill>
        </w:rPr>
      </w:pPr>
      <w:r>
        <w:rPr>
          <w:rFonts w:eastAsia="黑体"/>
          <w:i/>
          <w:color w:val="000000" w:themeColor="text1"/>
          <w:sz w:val="32"/>
          <w:szCs w:val="32"/>
          <w:highlight w:val="none"/>
          <w:u w:val="single"/>
          <w14:textFill>
            <w14:solidFill>
              <w14:schemeClr w14:val="tx1"/>
            </w14:solidFill>
          </w14:textFill>
        </w:rPr>
      </w:r>
      <w:r/>
    </w:p>
    <w:p>
      <w:pPr>
        <w:jc w:val="center"/>
        <w:rPr>
          <w:rFonts w:eastAsia="黑体"/>
          <w:i/>
          <w:color w:val="000000" w:themeColor="text1"/>
          <w:sz w:val="32"/>
          <w:szCs w:val="32"/>
          <w:highlight w:val="none"/>
          <w:u w:val="single"/>
          <w14:textFill>
            <w14:solidFill>
              <w14:schemeClr w14:val="tx1"/>
            </w14:solidFill>
          </w14:textFill>
        </w:rPr>
      </w:pPr>
      <w:r>
        <w:rPr>
          <w:rFonts w:eastAsia="黑体"/>
          <w:i/>
          <w:color w:val="000000" w:themeColor="text1"/>
          <w:sz w:val="32"/>
          <w:szCs w:val="32"/>
          <w:highlight w:val="none"/>
          <w:u w:val="single"/>
          <w14:textFill>
            <w14:solidFill>
              <w14:schemeClr w14:val="tx1"/>
            </w14:solidFill>
          </w14:textFill>
        </w:rPr>
      </w:r>
      <w:r/>
    </w:p>
    <w:p>
      <w:pPr>
        <w:jc w:val="center"/>
        <w:rPr>
          <w:rFonts w:eastAsia="黑体"/>
          <w:i/>
          <w:color w:val="000000" w:themeColor="text1"/>
          <w:sz w:val="32"/>
          <w:szCs w:val="32"/>
          <w:highlight w:val="none"/>
          <w:u w:val="single"/>
          <w14:textFill>
            <w14:solidFill>
              <w14:schemeClr w14:val="tx1"/>
            </w14:solidFill>
          </w14:textFill>
        </w:rPr>
      </w:pPr>
      <w:r>
        <w:rPr>
          <w:rFonts w:eastAsia="黑体"/>
          <w:i/>
          <w:color w:val="000000" w:themeColor="text1"/>
          <w:sz w:val="32"/>
          <w:szCs w:val="32"/>
          <w:highlight w:val="none"/>
          <w:u w:val="single"/>
          <w14:textFill>
            <w14:solidFill>
              <w14:schemeClr w14:val="tx1"/>
            </w14:solidFill>
          </w14:textFill>
        </w:rPr>
      </w:r>
      <w:r/>
    </w:p>
    <w:p>
      <w:pPr>
        <w:jc w:val="center"/>
        <w:rPr>
          <w:rFonts w:eastAsia="黑体"/>
          <w:i/>
          <w:color w:val="000000" w:themeColor="text1"/>
          <w:sz w:val="32"/>
          <w:szCs w:val="32"/>
          <w:highlight w:val="none"/>
          <w:u w:val="single"/>
          <w14:textFill>
            <w14:solidFill>
              <w14:schemeClr w14:val="tx1"/>
            </w14:solidFill>
          </w14:textFill>
        </w:rPr>
      </w:pPr>
      <w:r>
        <w:rPr>
          <w:rFonts w:eastAsia="黑体"/>
          <w:i/>
          <w:color w:val="000000" w:themeColor="text1"/>
          <w:sz w:val="32"/>
          <w:szCs w:val="32"/>
          <w:highlight w:val="none"/>
          <w:u w:val="single"/>
          <w14:textFill>
            <w14:solidFill>
              <w14:schemeClr w14:val="tx1"/>
            </w14:solidFill>
          </w14:textFill>
        </w:rPr>
      </w:r>
      <w:r/>
    </w:p>
    <w:p>
      <w:pPr>
        <w:jc w:val="center"/>
        <w:rPr>
          <w:rFonts w:eastAsia="黑体"/>
          <w:i/>
          <w:color w:val="000000" w:themeColor="text1"/>
          <w:sz w:val="32"/>
          <w:szCs w:val="32"/>
          <w:highlight w:val="none"/>
          <w:u w:val="single"/>
          <w14:textFill>
            <w14:solidFill>
              <w14:schemeClr w14:val="tx1"/>
            </w14:solidFill>
          </w14:textFill>
        </w:rPr>
      </w:pPr>
      <w:r>
        <w:rPr>
          <w:rFonts w:eastAsia="黑体"/>
          <w:i/>
          <w:color w:val="000000" w:themeColor="text1"/>
          <w:sz w:val="32"/>
          <w:szCs w:val="32"/>
          <w:highlight w:val="none"/>
          <w:u w:val="single"/>
          <w14:textFill>
            <w14:solidFill>
              <w14:schemeClr w14:val="tx1"/>
            </w14:solidFill>
          </w14:textFill>
        </w:rPr>
      </w:r>
      <w:r/>
    </w:p>
    <w:p>
      <w:pPr>
        <w:jc w:val="center"/>
        <w:rPr>
          <w:rFonts w:eastAsia="黑体"/>
          <w:i/>
          <w:color w:val="000000" w:themeColor="text1"/>
          <w:sz w:val="32"/>
          <w:szCs w:val="32"/>
          <w:highlight w:val="none"/>
          <w:u w:val="single"/>
          <w14:textFill>
            <w14:solidFill>
              <w14:schemeClr w14:val="tx1"/>
            </w14:solidFill>
          </w14:textFill>
        </w:rPr>
      </w:pPr>
      <w:r>
        <w:rPr>
          <w:rFonts w:eastAsia="黑体"/>
          <w:i/>
          <w:color w:val="000000" w:themeColor="text1"/>
          <w:sz w:val="32"/>
          <w:szCs w:val="32"/>
          <w:highlight w:val="none"/>
          <w:u w:val="single"/>
          <w14:textFill>
            <w14:solidFill>
              <w14:schemeClr w14:val="tx1"/>
            </w14:solidFill>
          </w14:textFill>
        </w:rPr>
      </w:r>
      <w:r/>
    </w:p>
    <w:p>
      <w:pPr>
        <w:jc w:val="center"/>
        <w:rPr>
          <w:rFonts w:eastAsia="黑体"/>
          <w:i/>
          <w:color w:val="000000" w:themeColor="text1"/>
          <w:sz w:val="32"/>
          <w:szCs w:val="32"/>
          <w:highlight w:val="none"/>
          <w:u w:val="single"/>
          <w14:textFill>
            <w14:solidFill>
              <w14:schemeClr w14:val="tx1"/>
            </w14:solidFill>
          </w14:textFill>
        </w:rPr>
      </w:pPr>
      <w:r>
        <w:rPr>
          <w:rFonts w:eastAsia="黑体"/>
          <w:i/>
          <w:color w:val="000000" w:themeColor="text1"/>
          <w:sz w:val="32"/>
          <w:szCs w:val="32"/>
          <w:highlight w:val="none"/>
          <w:u w:val="single"/>
          <w14:textFill>
            <w14:solidFill>
              <w14:schemeClr w14:val="tx1"/>
            </w14:solidFill>
          </w14:textFill>
        </w:rPr>
      </w:r>
      <w:r/>
    </w:p>
    <w:p>
      <w:pPr>
        <w:jc w:val="center"/>
        <w:rPr>
          <w:rFonts w:eastAsia="黑体"/>
          <w:i/>
          <w:color w:val="000000" w:themeColor="text1"/>
          <w:sz w:val="32"/>
          <w:szCs w:val="32"/>
          <w:highlight w:val="none"/>
          <w:u w:val="single"/>
          <w14:textFill>
            <w14:solidFill>
              <w14:schemeClr w14:val="tx1"/>
            </w14:solidFill>
          </w14:textFill>
        </w:rPr>
      </w:pPr>
      <w:r>
        <w:rPr>
          <w:rFonts w:eastAsia="黑体"/>
          <w:i/>
          <w:color w:val="000000" w:themeColor="text1"/>
          <w:sz w:val="32"/>
          <w:szCs w:val="32"/>
          <w:highlight w:val="none"/>
          <w:u w:val="single"/>
          <w14:textFill>
            <w14:solidFill>
              <w14:schemeClr w14:val="tx1"/>
            </w14:solidFill>
          </w14:textFill>
        </w:rPr>
      </w:r>
      <w:r/>
    </w:p>
    <w:p>
      <w:pPr>
        <w:jc w:val="center"/>
        <w:rPr>
          <w:rFonts w:eastAsia="黑体"/>
          <w:i/>
          <w:color w:val="000000" w:themeColor="text1"/>
          <w:sz w:val="32"/>
          <w:szCs w:val="32"/>
          <w:highlight w:val="none"/>
          <w:u w:val="single"/>
          <w14:textFill>
            <w14:solidFill>
              <w14:schemeClr w14:val="tx1"/>
            </w14:solidFill>
          </w14:textFill>
        </w:rPr>
      </w:pPr>
      <w:r>
        <w:rPr>
          <w:rFonts w:eastAsia="黑体"/>
          <w:i/>
          <w:color w:val="000000" w:themeColor="text1"/>
          <w:sz w:val="32"/>
          <w:szCs w:val="32"/>
          <w:highlight w:val="none"/>
          <w:u w:val="single"/>
          <w14:textFill>
            <w14:solidFill>
              <w14:schemeClr w14:val="tx1"/>
            </w14:solidFill>
          </w14:textFill>
        </w:rPr>
      </w:r>
      <w:r/>
    </w:p>
    <w:p>
      <w:pPr>
        <w:jc w:val="center"/>
        <w:rPr>
          <w:rFonts w:eastAsia="黑体"/>
          <w:i/>
          <w:color w:val="000000" w:themeColor="text1"/>
          <w:sz w:val="32"/>
          <w:szCs w:val="32"/>
          <w:highlight w:val="none"/>
          <w:u w:val="single"/>
          <w14:textFill>
            <w14:solidFill>
              <w14:schemeClr w14:val="tx1"/>
            </w14:solidFill>
          </w14:textFill>
        </w:rPr>
      </w:pPr>
      <w:r>
        <w:rPr>
          <w:rFonts w:eastAsia="黑体"/>
          <w:i/>
          <w:color w:val="000000" w:themeColor="text1"/>
          <w:sz w:val="32"/>
          <w:szCs w:val="32"/>
          <w:highlight w:val="none"/>
          <w:u w:val="single"/>
          <w14:textFill>
            <w14:solidFill>
              <w14:schemeClr w14:val="tx1"/>
            </w14:solidFill>
          </w14:textFill>
        </w:rPr>
      </w:r>
      <w:r/>
    </w:p>
    <w:p>
      <w:pPr>
        <w:jc w:val="center"/>
        <w:rPr>
          <w:rFonts w:eastAsia="黑体"/>
          <w:i/>
          <w:color w:val="000000" w:themeColor="text1"/>
          <w:sz w:val="32"/>
          <w:szCs w:val="32"/>
          <w:highlight w:val="none"/>
          <w:u w:val="single"/>
          <w14:textFill>
            <w14:solidFill>
              <w14:schemeClr w14:val="tx1"/>
            </w14:solidFill>
          </w14:textFill>
        </w:rPr>
      </w:pPr>
      <w:r>
        <w:rPr>
          <w:rFonts w:eastAsia="黑体"/>
          <w:i/>
          <w:color w:val="000000" w:themeColor="text1"/>
          <w:sz w:val="32"/>
          <w:szCs w:val="32"/>
          <w:highlight w:val="none"/>
          <w:u w:val="single"/>
          <w14:textFill>
            <w14:solidFill>
              <w14:schemeClr w14:val="tx1"/>
            </w14:solidFill>
          </w14:textFill>
        </w:rPr>
      </w:r>
      <w:r/>
    </w:p>
    <w:p>
      <w:pPr>
        <w:jc w:val="center"/>
        <w:rPr>
          <w:rFonts w:eastAsia="黑体"/>
          <w:i/>
          <w:color w:val="000000" w:themeColor="text1"/>
          <w:sz w:val="32"/>
          <w:szCs w:val="32"/>
          <w:highlight w:val="none"/>
          <w:u w:val="single"/>
          <w14:textFill>
            <w14:solidFill>
              <w14:schemeClr w14:val="tx1"/>
            </w14:solidFill>
          </w14:textFill>
        </w:rPr>
      </w:pPr>
      <w:r>
        <w:rPr>
          <w:rFonts w:eastAsia="黑体"/>
          <w:i/>
          <w:color w:val="000000" w:themeColor="text1"/>
          <w:sz w:val="32"/>
          <w:szCs w:val="32"/>
          <w:highlight w:val="none"/>
          <w:u w:val="single"/>
          <w14:textFill>
            <w14:solidFill>
              <w14:schemeClr w14:val="tx1"/>
            </w14:solidFill>
          </w14:textFill>
        </w:rPr>
      </w:r>
      <w:r/>
    </w:p>
    <w:p>
      <w:pPr>
        <w:jc w:val="center"/>
        <w:rPr>
          <w:rFonts w:eastAsia="黑体"/>
          <w:i/>
          <w:color w:val="000000" w:themeColor="text1"/>
          <w:sz w:val="32"/>
          <w:szCs w:val="32"/>
          <w:highlight w:val="none"/>
          <w:u w:val="single"/>
          <w14:textFill>
            <w14:solidFill>
              <w14:schemeClr w14:val="tx1"/>
            </w14:solidFill>
          </w14:textFill>
        </w:rPr>
      </w:pPr>
      <w:r>
        <w:rPr>
          <w:rFonts w:eastAsia="黑体"/>
          <w:i/>
          <w:color w:val="000000" w:themeColor="text1"/>
          <w:sz w:val="32"/>
          <w:szCs w:val="32"/>
          <w:highlight w:val="none"/>
          <w:u w:val="single"/>
          <w14:textFill>
            <w14:solidFill>
              <w14:schemeClr w14:val="tx1"/>
            </w14:solidFill>
          </w14:textFill>
        </w:rPr>
      </w:r>
      <w:r/>
    </w:p>
    <w:p>
      <w:pPr>
        <w:jc w:val="center"/>
        <w:rPr>
          <w:rFonts w:eastAsia="黑体"/>
          <w:i/>
          <w:color w:val="000000" w:themeColor="text1"/>
          <w:sz w:val="32"/>
          <w:szCs w:val="32"/>
          <w:highlight w:val="none"/>
          <w:u w:val="single"/>
          <w14:textFill>
            <w14:solidFill>
              <w14:schemeClr w14:val="tx1"/>
            </w14:solidFill>
          </w14:textFill>
        </w:rPr>
      </w:pPr>
      <w:r>
        <w:rPr>
          <w:rFonts w:eastAsia="黑体"/>
          <w:i/>
          <w:color w:val="000000" w:themeColor="text1"/>
          <w:sz w:val="32"/>
          <w:szCs w:val="32"/>
          <w:highlight w:val="none"/>
          <w:u w:val="single"/>
          <w14:textFill>
            <w14:solidFill>
              <w14:schemeClr w14:val="tx1"/>
            </w14:solidFill>
          </w14:textFill>
        </w:rPr>
      </w:r>
      <w:r/>
    </w:p>
    <w:p>
      <w:pPr>
        <w:jc w:val="center"/>
        <w:rPr>
          <w:rFonts w:eastAsia="黑体"/>
          <w:i/>
          <w:color w:val="000000" w:themeColor="text1"/>
          <w:sz w:val="32"/>
          <w:szCs w:val="32"/>
          <w:highlight w:val="none"/>
          <w:u w:val="single"/>
          <w14:textFill>
            <w14:solidFill>
              <w14:schemeClr w14:val="tx1"/>
            </w14:solidFill>
          </w14:textFill>
        </w:rPr>
      </w:pPr>
      <w:r>
        <w:rPr>
          <w:rFonts w:eastAsia="黑体"/>
          <w:i/>
          <w:color w:val="000000" w:themeColor="text1"/>
          <w:sz w:val="32"/>
          <w:szCs w:val="32"/>
          <w:highlight w:val="none"/>
          <w:u w:val="single"/>
          <w14:textFill>
            <w14:solidFill>
              <w14:schemeClr w14:val="tx1"/>
            </w14:solidFill>
          </w14:textFill>
        </w:rPr>
      </w:r>
      <w:r/>
    </w:p>
    <w:p>
      <w:pPr>
        <w:jc w:val="center"/>
        <w:rPr>
          <w:rFonts w:eastAsia="黑体"/>
          <w:i/>
          <w:color w:val="000000" w:themeColor="text1"/>
          <w:sz w:val="32"/>
          <w:szCs w:val="32"/>
          <w:highlight w:val="none"/>
          <w:u w:val="single"/>
          <w14:textFill>
            <w14:solidFill>
              <w14:schemeClr w14:val="tx1"/>
            </w14:solidFill>
          </w14:textFill>
        </w:rPr>
      </w:pPr>
      <w:r>
        <w:rPr>
          <w:rFonts w:eastAsia="黑体"/>
          <w:i/>
          <w:color w:val="000000" w:themeColor="text1"/>
          <w:sz w:val="32"/>
          <w:szCs w:val="32"/>
          <w:highlight w:val="none"/>
          <w:u w:val="single"/>
          <w14:textFill>
            <w14:solidFill>
              <w14:schemeClr w14:val="tx1"/>
            </w14:solidFill>
          </w14:textFill>
        </w:rPr>
      </w:r>
      <w:r/>
    </w:p>
    <w:p>
      <w:pPr>
        <w:jc w:val="center"/>
        <w:rPr>
          <w:rFonts w:eastAsia="黑体"/>
          <w:i/>
          <w:color w:val="000000" w:themeColor="text1"/>
          <w:sz w:val="32"/>
          <w:szCs w:val="32"/>
          <w:highlight w:val="none"/>
          <w:u w:val="single"/>
          <w14:textFill>
            <w14:solidFill>
              <w14:schemeClr w14:val="tx1"/>
            </w14:solidFill>
          </w14:textFill>
        </w:rPr>
      </w:pPr>
      <w:r>
        <w:rPr>
          <w:rFonts w:eastAsia="黑体"/>
          <w:i/>
          <w:color w:val="000000" w:themeColor="text1"/>
          <w:sz w:val="32"/>
          <w:szCs w:val="32"/>
          <w:highlight w:val="none"/>
          <w:u w:val="single"/>
          <w14:textFill>
            <w14:solidFill>
              <w14:schemeClr w14:val="tx1"/>
            </w14:solidFill>
          </w14:textFill>
        </w:rPr>
      </w:r>
      <w:r/>
    </w:p>
    <w:p>
      <w:pPr>
        <w:jc w:val="center"/>
        <w:rPr>
          <w:rFonts w:eastAsia="黑体"/>
          <w:i/>
          <w:color w:val="000000" w:themeColor="text1"/>
          <w:sz w:val="32"/>
          <w:szCs w:val="32"/>
          <w:highlight w:val="none"/>
          <w:u w:val="single"/>
          <w14:textFill>
            <w14:solidFill>
              <w14:schemeClr w14:val="tx1"/>
            </w14:solidFill>
          </w14:textFill>
        </w:rPr>
      </w:pPr>
      <w:r>
        <w:rPr>
          <w:rFonts w:eastAsia="黑体"/>
          <w:i/>
          <w:color w:val="000000" w:themeColor="text1"/>
          <w:sz w:val="32"/>
          <w:szCs w:val="32"/>
          <w:highlight w:val="none"/>
          <w:u w:val="single"/>
          <w14:textFill>
            <w14:solidFill>
              <w14:schemeClr w14:val="tx1"/>
            </w14:solidFill>
          </w14:textFill>
        </w:rPr>
      </w:r>
      <w:r/>
    </w:p>
    <w:p>
      <w:pPr>
        <w:jc w:val="center"/>
        <w:rPr>
          <w:rFonts w:eastAsia="黑体"/>
          <w:i/>
          <w:color w:val="000000" w:themeColor="text1"/>
          <w:sz w:val="32"/>
          <w:szCs w:val="32"/>
          <w:highlight w:val="none"/>
          <w:u w:val="single"/>
          <w14:textFill>
            <w14:solidFill>
              <w14:schemeClr w14:val="tx1"/>
            </w14:solidFill>
          </w14:textFill>
        </w:rPr>
      </w:pPr>
      <w:r>
        <w:rPr>
          <w:rFonts w:eastAsia="黑体"/>
          <w:i/>
          <w:color w:val="000000" w:themeColor="text1"/>
          <w:sz w:val="32"/>
          <w:szCs w:val="32"/>
          <w:highlight w:val="none"/>
          <w:u w:val="single"/>
          <w14:textFill>
            <w14:solidFill>
              <w14:schemeClr w14:val="tx1"/>
            </w14:solidFill>
          </w14:textFill>
        </w:rPr>
      </w:r>
      <w:r/>
    </w:p>
    <w:p>
      <w:pPr>
        <w:jc w:val="center"/>
        <w:rPr>
          <w:rFonts w:eastAsia="黑体"/>
          <w:i/>
          <w:color w:val="000000" w:themeColor="text1"/>
          <w:sz w:val="32"/>
          <w:szCs w:val="32"/>
          <w:highlight w:val="none"/>
          <w:u w:val="single"/>
          <w14:textFill>
            <w14:solidFill>
              <w14:schemeClr w14:val="tx1"/>
            </w14:solidFill>
          </w14:textFill>
        </w:rPr>
      </w:pPr>
      <w:r>
        <w:rPr>
          <w:rFonts w:eastAsia="黑体"/>
          <w:i/>
          <w:color w:val="000000" w:themeColor="text1"/>
          <w:sz w:val="32"/>
          <w:szCs w:val="32"/>
          <w:highlight w:val="none"/>
          <w:u w:val="single"/>
          <w14:textFill>
            <w14:solidFill>
              <w14:schemeClr w14:val="tx1"/>
            </w14:solidFill>
          </w14:textFill>
        </w:rPr>
      </w:r>
      <w:r/>
    </w:p>
    <w:p>
      <w:pPr>
        <w:jc w:val="center"/>
        <w:rPr>
          <w:rFonts w:eastAsia="黑体"/>
          <w:i/>
          <w:color w:val="000000" w:themeColor="text1"/>
          <w:sz w:val="32"/>
          <w:szCs w:val="32"/>
          <w:highlight w:val="none"/>
          <w:u w:val="single"/>
          <w14:textFill>
            <w14:solidFill>
              <w14:schemeClr w14:val="tx1"/>
            </w14:solidFill>
          </w14:textFill>
        </w:rPr>
      </w:pPr>
      <w:r>
        <w:rPr>
          <w:rFonts w:eastAsia="黑体"/>
          <w:i/>
          <w:color w:val="000000" w:themeColor="text1"/>
          <w:sz w:val="32"/>
          <w:szCs w:val="32"/>
          <w:highlight w:val="none"/>
          <w:u w:val="single"/>
          <w14:textFill>
            <w14:solidFill>
              <w14:schemeClr w14:val="tx1"/>
            </w14:solidFill>
          </w14:textFill>
        </w:rPr>
      </w:r>
      <w:r/>
    </w:p>
    <w:p>
      <w:pPr>
        <w:numPr>
          <w:ilvl w:val="0"/>
          <w:numId w:val="8"/>
        </w:numPr>
        <w:rPr>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t xml:space="preserve">法人授权书</w:t>
      </w:r>
      <w:r/>
    </w:p>
    <w:p>
      <w:pPr>
        <w:jc w:val="center"/>
        <w:spacing w:line="360" w:lineRule="auto"/>
        <w:rPr>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t xml:space="preserve">法人授权书</w:t>
      </w:r>
      <w:r/>
    </w:p>
    <w:p>
      <w:pPr>
        <w:pStyle w:val="1089"/>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本授权书声明：____________（投标人名称）授权________________（被授权人的姓名）为我方就</w:t>
      </w:r>
      <w:r>
        <w:rPr>
          <w:rFonts w:hint="eastAsia" w:ascii="宋体" w:hAnsi="宋体"/>
          <w:sz w:val="24"/>
          <w:highlight w:val="none"/>
          <w:u w:val="single"/>
        </w:rPr>
        <w:t xml:space="preserve">（项目编号）</w:t>
      </w:r>
      <w:r>
        <w:rPr>
          <w:rFonts w:hint="eastAsia" w:ascii="宋体" w:hAnsi="宋体"/>
          <w:sz w:val="24"/>
          <w:highlight w:val="none"/>
        </w:rPr>
        <w:t xml:space="preserve">号</w:t>
      </w:r>
      <w:r>
        <w:rPr>
          <w:rFonts w:hint="eastAsia" w:ascii="宋体" w:hAnsi="宋体"/>
          <w:sz w:val="24"/>
          <w:highlight w:val="none"/>
          <w:u w:val="single"/>
        </w:rPr>
        <w:t xml:space="preserve">          （项目名称）           项目</w:t>
      </w:r>
      <w:r>
        <w:rPr>
          <w:rFonts w:hint="eastAsia"/>
          <w:color w:val="000000" w:themeColor="text1"/>
          <w:sz w:val="24"/>
          <w:szCs w:val="24"/>
          <w:highlight w:val="none"/>
          <w14:textFill>
            <w14:solidFill>
              <w14:schemeClr w14:val="tx1"/>
            </w14:solidFill>
          </w14:textFill>
        </w:rPr>
        <w:t xml:space="preserve">采购活动的合法代理人，以本单位名义全权处理一切与该项目采购有关的事务。</w:t>
      </w:r>
      <w:r/>
    </w:p>
    <w:p>
      <w:pPr>
        <w:pStyle w:val="1089"/>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本授权书于______年____月____日起生效，特此声明。</w:t>
      </w:r>
      <w:r/>
    </w:p>
    <w:p>
      <w:pPr>
        <w:pStyle w:val="1089"/>
        <w:ind w:firstLine="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         </w:t>
      </w:r>
      <w:r/>
    </w:p>
    <w:p>
      <w:pPr>
        <w:pStyle w:val="1089"/>
        <w:ind w:firstLine="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被授权人身份证号码：</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     </w:t>
      </w:r>
      <w:r/>
    </w:p>
    <w:p>
      <w:pPr>
        <w:pStyle w:val="1089"/>
        <w:ind w:firstLine="0"/>
        <w:spacing w:line="360" w:lineRule="auto"/>
        <w:rPr>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被授权人联系电话：（手机）</w:t>
      </w:r>
      <w:r>
        <w:rPr>
          <w:rFonts w:hint="eastAsia"/>
          <w:color w:val="000000" w:themeColor="text1"/>
          <w:sz w:val="24"/>
          <w:szCs w:val="24"/>
          <w:highlight w:val="none"/>
          <w:u w:val="single"/>
          <w14:textFill>
            <w14:solidFill>
              <w14:schemeClr w14:val="tx1"/>
            </w14:solidFill>
          </w14:textFill>
        </w:rPr>
        <w:t xml:space="preserve">                          </w:t>
      </w:r>
      <w:r/>
    </w:p>
    <w:p>
      <w:pPr>
        <w:pStyle w:val="1089"/>
        <w:ind w:firstLine="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授权单位名称：</w:t>
      </w:r>
      <w:r>
        <w:rPr>
          <w:rFonts w:hint="eastAsia"/>
          <w:color w:val="000000" w:themeColor="text1"/>
          <w:sz w:val="24"/>
          <w:szCs w:val="24"/>
          <w:highlight w:val="none"/>
          <w:u w:val="single"/>
          <w14:textFill>
            <w14:solidFill>
              <w14:schemeClr w14:val="tx1"/>
            </w14:solidFill>
          </w14:textFill>
        </w:rPr>
        <w:t xml:space="preserve">（加盖CA电子公章）</w:t>
      </w:r>
      <w:r/>
    </w:p>
    <w:p>
      <w:pPr>
        <w:pStyle w:val="1089"/>
        <w:ind w:firstLine="0"/>
        <w:spacing w:line="360" w:lineRule="auto"/>
        <w:rPr>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单位地址：</w:t>
      </w:r>
      <w:r>
        <w:rPr>
          <w:rFonts w:hint="eastAsia"/>
          <w:color w:val="000000" w:themeColor="text1"/>
          <w:sz w:val="24"/>
          <w:szCs w:val="24"/>
          <w:highlight w:val="none"/>
          <w:u w:val="single"/>
          <w14:textFill>
            <w14:solidFill>
              <w14:schemeClr w14:val="tx1"/>
            </w14:solidFill>
          </w14:textFill>
        </w:rPr>
        <w:t xml:space="preserve">                                         </w:t>
      </w:r>
      <w:r/>
    </w:p>
    <w:p>
      <w:pPr>
        <w:pStyle w:val="1089"/>
        <w:ind w:firstLine="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日期：</w:t>
      </w:r>
      <w:bookmarkStart w:id="204" w:name="_Hlt26955070"/>
      <w:r/>
      <w:bookmarkEnd w:id="204"/>
      <w:r/>
      <w:bookmarkStart w:id="205" w:name="_格式3__银行出具的资信证明"/>
      <w:r/>
      <w:bookmarkEnd w:id="205"/>
      <w:r/>
      <w:bookmarkStart w:id="206" w:name="_Hlt26671380"/>
      <w:r/>
      <w:bookmarkEnd w:id="206"/>
      <w:r>
        <w:rPr>
          <w:rFonts w:hint="eastAsia"/>
          <w:color w:val="000000" w:themeColor="text1"/>
          <w:sz w:val="24"/>
          <w:szCs w:val="24"/>
          <w:highlight w:val="none"/>
          <w:u w:val="single"/>
          <w14:textFill>
            <w14:solidFill>
              <w14:schemeClr w14:val="tx1"/>
            </w14:solidFill>
          </w14:textFill>
        </w:rPr>
        <w:t xml:space="preserve">                                         </w:t>
      </w:r>
      <w:r/>
    </w:p>
    <w:p>
      <w:pPr>
        <w:pStyle w:val="1006"/>
        <w:rPr>
          <w:i/>
          <w:color w:val="000000" w:themeColor="text1"/>
          <w:sz w:val="24"/>
          <w:szCs w:val="24"/>
          <w:highlight w:val="none"/>
          <w:u w:val="single"/>
          <w14:textFill>
            <w14:solidFill>
              <w14:schemeClr w14:val="tx1"/>
            </w14:solidFill>
          </w14:textFill>
        </w:rPr>
      </w:pPr>
      <w:r>
        <w:rPr>
          <w:i/>
          <w:color w:val="000000" w:themeColor="text1"/>
          <w:sz w:val="24"/>
          <w:szCs w:val="24"/>
          <w:highlight w:val="none"/>
          <w:u w:val="single"/>
          <w14:textFill>
            <w14:solidFill>
              <w14:schemeClr w14:val="tx1"/>
            </w14:solidFill>
          </w14:textFill>
        </w:rPr>
      </w:r>
      <w:r/>
    </w:p>
    <w:p>
      <w:pPr>
        <w:pStyle w:val="1006"/>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460" w:lineRule="exact"/>
        <w:rPr>
          <w:rFonts w:eastAsia="楷体"/>
          <w:bCs/>
          <w:color w:val="000000" w:themeColor="text1"/>
          <w:sz w:val="24"/>
          <w:szCs w:val="24"/>
          <w:highlight w:val="none"/>
          <w14:textFill>
            <w14:solidFill>
              <w14:schemeClr w14:val="tx1"/>
            </w14:solidFill>
          </w14:textFill>
        </w:rPr>
      </w:pPr>
      <w:r>
        <w:rPr>
          <w:rFonts w:eastAsia="楷体"/>
          <w:bCs/>
          <w:color w:val="000000" w:themeColor="text1"/>
          <w:sz w:val="24"/>
          <w:szCs w:val="24"/>
          <w:highlight w:val="none"/>
          <w14:textFill>
            <w14:solidFill>
              <w14:schemeClr w14:val="tx1"/>
            </w14:solidFill>
          </w14:textFill>
        </w:rPr>
      </w:r>
      <w:r/>
    </w:p>
    <w:p>
      <w:pPr>
        <w:spacing w:line="460" w:lineRule="exact"/>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r>
      <w:r/>
    </w:p>
    <w:p>
      <w:pPr>
        <w:rPr>
          <w:rFonts w:eastAsia="仿宋_GB2312"/>
          <w:color w:val="000000" w:themeColor="text1"/>
          <w:sz w:val="24"/>
          <w:szCs w:val="20"/>
          <w:highlight w:val="none"/>
          <w14:textFill>
            <w14:solidFill>
              <w14:schemeClr w14:val="tx1"/>
            </w14:solidFill>
          </w14:textFill>
        </w:rPr>
      </w:pPr>
      <w:r>
        <w:rPr>
          <w:bCs/>
          <w:color w:val="000000" w:themeColor="text1"/>
          <w:sz w:val="24"/>
          <w:highlight w:val="none"/>
          <w14:textFill>
            <w14:solidFill>
              <w14:schemeClr w14:val="tx1"/>
            </w14:solidFill>
          </w14:textFill>
        </w:rPr>
        <w:br w:type="page" w:clear="all"/>
      </w:r>
      <w:r>
        <w:rPr>
          <w:rFonts w:hint="eastAsia"/>
          <w:b/>
          <w:color w:val="000000" w:themeColor="text1"/>
          <w:sz w:val="32"/>
          <w:szCs w:val="32"/>
          <w:highlight w:val="none"/>
          <w14:textFill>
            <w14:solidFill>
              <w14:schemeClr w14:val="tx1"/>
            </w14:solidFill>
          </w14:textFill>
        </w:rPr>
        <w:t xml:space="preserve">五、开标一览表</w:t>
      </w:r>
      <w:r/>
    </w:p>
    <w:p>
      <w:pPr>
        <w:ind w:firstLine="480"/>
        <w:rPr>
          <w:sz w:val="24"/>
          <w:szCs w:val="24"/>
          <w:highlight w:val="none"/>
        </w:rPr>
      </w:pPr>
      <w:r>
        <w:rPr>
          <w:rFonts w:hint="eastAsia"/>
          <w:sz w:val="24"/>
          <w:szCs w:val="24"/>
          <w:highlight w:val="none"/>
        </w:rPr>
        <w:t xml:space="preserve">投标人全称（加盖CA电子签章）：</w:t>
      </w:r>
      <w:r>
        <w:rPr>
          <w:rFonts w:hint="eastAsia"/>
          <w:sz w:val="24"/>
          <w:szCs w:val="24"/>
          <w:highlight w:val="none"/>
          <w:u w:val="single"/>
        </w:rPr>
        <w:t xml:space="preserve">                   </w:t>
      </w:r>
      <w:r/>
    </w:p>
    <w:p>
      <w:pPr>
        <w:ind w:firstLine="480"/>
        <w:rPr>
          <w:sz w:val="24"/>
          <w:szCs w:val="24"/>
          <w:highlight w:val="none"/>
        </w:rPr>
      </w:pPr>
      <w:r>
        <w:rPr>
          <w:rFonts w:hint="eastAsia"/>
          <w:sz w:val="24"/>
          <w:szCs w:val="24"/>
          <w:highlight w:val="none"/>
        </w:rPr>
        <w:t xml:space="preserve">项目名称：</w:t>
      </w:r>
      <w:r>
        <w:rPr>
          <w:rFonts w:hint="eastAsia"/>
          <w:sz w:val="24"/>
          <w:szCs w:val="24"/>
          <w:highlight w:val="none"/>
          <w:u w:val="single"/>
        </w:rPr>
        <w:t xml:space="preserve">                                        </w:t>
      </w:r>
      <w:r/>
    </w:p>
    <w:p>
      <w:pPr>
        <w:ind w:firstLine="480"/>
        <w:rPr>
          <w:sz w:val="24"/>
          <w:szCs w:val="24"/>
          <w:highlight w:val="none"/>
        </w:rPr>
      </w:pPr>
      <w:r>
        <w:rPr>
          <w:rFonts w:hint="eastAsia"/>
          <w:sz w:val="24"/>
          <w:szCs w:val="24"/>
          <w:highlight w:val="none"/>
        </w:rPr>
        <w:t xml:space="preserve">项目编号：</w:t>
      </w:r>
      <w:r>
        <w:rPr>
          <w:rFonts w:hint="eastAsia"/>
          <w:sz w:val="24"/>
          <w:szCs w:val="24"/>
          <w:highlight w:val="none"/>
          <w:u w:val="single"/>
        </w:rPr>
        <w:t xml:space="preserve">                                           </w:t>
      </w:r>
      <w:r>
        <w:rPr>
          <w:rFonts w:hint="eastAsia"/>
          <w:sz w:val="24"/>
          <w:szCs w:val="24"/>
          <w:highlight w:val="none"/>
        </w:rPr>
        <w:t xml:space="preserve"> </w:t>
      </w:r>
      <w:r/>
    </w:p>
    <w:p>
      <w:pPr>
        <w:ind w:firstLine="480"/>
        <w:rPr>
          <w:sz w:val="24"/>
          <w:szCs w:val="24"/>
          <w:highlight w:val="none"/>
        </w:rPr>
      </w:pPr>
      <w:r>
        <w:rPr>
          <w:rFonts w:hint="eastAsia"/>
          <w:sz w:val="24"/>
          <w:szCs w:val="24"/>
          <w:highlight w:val="none"/>
        </w:rPr>
        <w:t xml:space="preserve">                   </w:t>
      </w:r>
      <w:r/>
    </w:p>
    <w:tbl>
      <w:tblPr>
        <w:tblStyle w:val="82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sz w:val="24"/>
                <w:szCs w:val="24"/>
                <w:highlight w:val="none"/>
              </w:rPr>
            </w:pPr>
            <w:r>
              <w:rPr>
                <w:rFonts w:hint="eastAsia" w:cs="宋体"/>
                <w:sz w:val="24"/>
                <w:szCs w:val="24"/>
                <w:highlight w:val="none"/>
              </w:rPr>
              <w:t xml:space="preserve">                      </w:t>
            </w:r>
            <w:r>
              <w:rPr>
                <w:rFonts w:hint="eastAsia"/>
                <w:sz w:val="24"/>
                <w:szCs w:val="24"/>
                <w:highlight w:val="none"/>
              </w:rPr>
              <w:t xml:space="preserve">投标总报价</w:t>
            </w:r>
            <w:r/>
          </w:p>
        </w:tc>
      </w:tr>
      <w:tr>
        <w:trPr>
          <w:cantSplit/>
          <w:trHeight w:val="612"/>
        </w:trPr>
        <w:tc>
          <w:tcPr>
            <w:tcW w:w="8206" w:type="dxa"/>
            <w:vAlign w:val="center"/>
            <w:textDirection w:val="lrTb"/>
            <w:noWrap w:val="false"/>
          </w:tcPr>
          <w:p>
            <w:pPr>
              <w:jc w:val="left"/>
              <w:spacing w:line="500" w:lineRule="exact"/>
              <w:rPr>
                <w:sz w:val="24"/>
                <w:highlight w:val="none"/>
              </w:rPr>
            </w:pPr>
            <w:r>
              <w:rPr>
                <w:rFonts w:hint="eastAsia" w:cs="宋体"/>
                <w:sz w:val="24"/>
                <w:szCs w:val="24"/>
                <w:highlight w:val="none"/>
              </w:rPr>
              <w:t xml:space="preserve">小写：                             （人民币：元）</w:t>
            </w:r>
            <w:r/>
          </w:p>
        </w:tc>
      </w:tr>
      <w:tr>
        <w:trPr>
          <w:cantSplit/>
          <w:trHeight w:val="612"/>
        </w:trPr>
        <w:tc>
          <w:tcPr>
            <w:tcW w:w="8206" w:type="dxa"/>
            <w:vAlign w:val="center"/>
            <w:textDirection w:val="lrTb"/>
            <w:noWrap w:val="false"/>
          </w:tcPr>
          <w:p>
            <w:pPr>
              <w:jc w:val="left"/>
              <w:spacing w:line="500" w:lineRule="exact"/>
              <w:rPr>
                <w:rFonts w:hint="eastAsia" w:cs="宋体"/>
                <w:sz w:val="24"/>
                <w:szCs w:val="24"/>
                <w:highlight w:val="none"/>
              </w:rPr>
            </w:pPr>
            <w:r>
              <w:rPr>
                <w:rFonts w:ascii="宋体" w:hAnsi="宋体" w:eastAsia="宋体" w:cs="宋体"/>
                <w:sz w:val="24"/>
                <w:szCs w:val="24"/>
                <w:highlight w:val="none"/>
              </w:rPr>
              <w:t xml:space="preserve">大写：</w:t>
            </w:r>
            <w:r>
              <w:rPr>
                <w:rFonts w:hint="eastAsia" w:ascii="宋体" w:hAnsi="宋体" w:eastAsia="宋体" w:cs="宋体"/>
                <w:sz w:val="24"/>
                <w:szCs w:val="24"/>
                <w:highlight w:val="none"/>
                <w:lang w:val="en-US" w:eastAsia="zh-CN"/>
              </w:rPr>
              <w:t xml:space="preserve"> </w:t>
            </w:r>
            <w:r>
              <w:rPr>
                <w:rFonts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t xml:space="preserve">    </w:t>
            </w:r>
            <w:r>
              <w:rPr>
                <w:rFonts w:ascii="宋体" w:hAnsi="宋体" w:eastAsia="宋体" w:cs="宋体"/>
                <w:sz w:val="24"/>
                <w:szCs w:val="24"/>
                <w:highlight w:val="none"/>
              </w:rPr>
              <w:t xml:space="preserve">（人民币：元）</w:t>
            </w:r>
            <w:r/>
          </w:p>
        </w:tc>
      </w:tr>
      <w:tr>
        <w:trPr>
          <w:cantSplit/>
          <w:trHeight w:val="612"/>
        </w:trPr>
        <w:tc>
          <w:tcPr>
            <w:tcW w:w="8206" w:type="dxa"/>
            <w:vAlign w:val="center"/>
            <w:textDirection w:val="lrTb"/>
            <w:noWrap w:val="false"/>
          </w:tcPr>
          <w:p>
            <w:pPr>
              <w:jc w:val="left"/>
              <w:spacing w:line="500" w:lineRule="exact"/>
              <w:rPr>
                <w:rFonts w:cs="宋体"/>
                <w:sz w:val="24"/>
                <w:szCs w:val="24"/>
                <w:highlight w:val="none"/>
              </w:rPr>
            </w:pPr>
            <w:r>
              <w:rPr>
                <w:rFonts w:hint="eastAsia" w:cs="宋体"/>
                <w:sz w:val="24"/>
                <w:szCs w:val="24"/>
                <w:highlight w:val="none"/>
              </w:rPr>
              <w:t xml:space="preserve">备注：</w:t>
            </w:r>
            <w:r/>
          </w:p>
        </w:tc>
      </w:tr>
    </w:tbl>
    <w:p>
      <w:pPr>
        <w:rPr>
          <w:sz w:val="24"/>
          <w:szCs w:val="24"/>
          <w:highlight w:val="none"/>
        </w:rPr>
      </w:pPr>
      <w:r>
        <w:rPr>
          <w:sz w:val="24"/>
          <w:szCs w:val="24"/>
          <w:highlight w:val="none"/>
        </w:rPr>
      </w:r>
      <w:r/>
    </w:p>
    <w:p>
      <w:pPr>
        <w:ind w:firstLine="480"/>
        <w:rPr>
          <w:sz w:val="24"/>
          <w:szCs w:val="24"/>
          <w:highlight w:val="none"/>
        </w:rPr>
      </w:pPr>
      <w:r>
        <w:rPr>
          <w:rFonts w:hint="eastAsia"/>
          <w:sz w:val="24"/>
          <w:szCs w:val="24"/>
          <w:highlight w:val="none"/>
        </w:rPr>
        <w:t xml:space="preserve">                                          日期：  </w:t>
      </w:r>
      <w:r>
        <w:rPr>
          <w:rFonts w:hint="eastAsia"/>
          <w:sz w:val="24"/>
          <w:szCs w:val="24"/>
          <w:highlight w:val="none"/>
          <w:u w:val="single"/>
        </w:rPr>
        <w:t xml:space="preserve">     </w:t>
      </w:r>
      <w:r>
        <w:rPr>
          <w:rFonts w:hint="eastAsia"/>
          <w:sz w:val="24"/>
          <w:szCs w:val="24"/>
          <w:highlight w:val="none"/>
        </w:rPr>
        <w:t xml:space="preserve">年</w:t>
      </w:r>
      <w:r>
        <w:rPr>
          <w:rFonts w:hint="eastAsia"/>
          <w:sz w:val="24"/>
          <w:szCs w:val="24"/>
          <w:highlight w:val="none"/>
          <w:u w:val="single"/>
        </w:rPr>
        <w:t xml:space="preserve">   </w:t>
      </w:r>
      <w:r>
        <w:rPr>
          <w:rFonts w:hint="eastAsia"/>
          <w:sz w:val="24"/>
          <w:szCs w:val="24"/>
          <w:highlight w:val="none"/>
        </w:rPr>
        <w:t xml:space="preserve">月</w:t>
      </w:r>
      <w:r>
        <w:rPr>
          <w:rFonts w:hint="eastAsia"/>
          <w:sz w:val="24"/>
          <w:szCs w:val="24"/>
          <w:highlight w:val="none"/>
          <w:u w:val="single"/>
        </w:rPr>
        <w:t xml:space="preserve">   </w:t>
      </w:r>
      <w:r>
        <w:rPr>
          <w:rFonts w:hint="eastAsia"/>
          <w:sz w:val="24"/>
          <w:szCs w:val="24"/>
          <w:highlight w:val="none"/>
        </w:rPr>
        <w:t xml:space="preserve">日</w:t>
      </w:r>
      <w:r/>
    </w:p>
    <w:p>
      <w:pPr>
        <w:ind w:firstLine="480"/>
        <w:rPr>
          <w:sz w:val="24"/>
          <w:szCs w:val="24"/>
          <w:highlight w:val="none"/>
        </w:rPr>
      </w:pPr>
      <w:r>
        <w:rPr>
          <w:sz w:val="24"/>
          <w:szCs w:val="24"/>
          <w:highlight w:val="none"/>
        </w:rPr>
      </w:r>
      <w:r/>
    </w:p>
    <w:p>
      <w:pPr>
        <w:ind w:firstLine="480"/>
        <w:rPr>
          <w:sz w:val="24"/>
          <w:szCs w:val="24"/>
          <w:highlight w:val="none"/>
        </w:rPr>
      </w:pPr>
      <w:r>
        <w:rPr>
          <w:sz w:val="24"/>
          <w:szCs w:val="24"/>
          <w:highlight w:val="none"/>
        </w:rPr>
      </w:r>
      <w:r/>
    </w:p>
    <w:p>
      <w:pPr>
        <w:ind w:firstLine="48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ind w:firstLine="48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rFonts w:cs="仿宋"/>
          <w:b/>
          <w:bCs/>
          <w:color w:val="000000" w:themeColor="text1"/>
          <w:sz w:val="32"/>
          <w:szCs w:val="32"/>
          <w:highlight w:val="none"/>
          <w14:textFill>
            <w14:solidFill>
              <w14:schemeClr w14:val="tx1"/>
            </w14:solidFill>
          </w14:textFill>
        </w:rPr>
      </w:pPr>
      <w:r>
        <w:rPr>
          <w:rFonts w:cs="仿宋"/>
          <w:b/>
          <w:bCs/>
          <w:color w:val="000000" w:themeColor="text1"/>
          <w:sz w:val="32"/>
          <w:szCs w:val="32"/>
          <w:highlight w:val="none"/>
          <w14:textFill>
            <w14:solidFill>
              <w14:schemeClr w14:val="tx1"/>
            </w14:solidFill>
          </w14:textFill>
        </w:rPr>
      </w:r>
      <w:r/>
    </w:p>
    <w:p>
      <w:pPr>
        <w:jc w:val="center"/>
        <w:rPr>
          <w:bCs/>
          <w:color w:val="000000" w:themeColor="text1"/>
          <w:sz w:val="24"/>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firstLine="480"/>
        <w:rPr>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t xml:space="preserve">六、投标报价明细表</w:t>
      </w:r>
      <w:r/>
    </w:p>
    <w:tbl>
      <w:tblPr>
        <w:tblStyle w:val="827"/>
        <w:tblW w:w="905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1274"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1288"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924"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1203"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1618"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p>
        </w:tc>
        <w:tc>
          <w:tcPr>
            <w:tcW w:w="1798"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w:t>
            </w:r>
            <w:r/>
          </w:p>
        </w:tc>
      </w:tr>
      <w:tr>
        <w:trPr>
          <w:cantSplit/>
          <w:trHeight w:val="294"/>
        </w:trPr>
        <w:tc>
          <w:tcPr>
            <w:tcW w:w="948" w:type="dxa"/>
            <w:vAlign w:val="center"/>
            <w:vMerge w:val="continue"/>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274"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分项服务名称</w:t>
            </w:r>
            <w:r/>
          </w:p>
        </w:tc>
        <w:tc>
          <w:tcPr>
            <w:tcW w:w="1288"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交付期</w:t>
            </w:r>
            <w:r/>
          </w:p>
        </w:tc>
        <w:tc>
          <w:tcPr>
            <w:tcW w:w="924"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分项单位</w:t>
            </w:r>
            <w:r/>
          </w:p>
        </w:tc>
        <w:tc>
          <w:tcPr>
            <w:tcW w:w="1203"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数量</w:t>
            </w:r>
            <w:r/>
          </w:p>
        </w:tc>
        <w:tc>
          <w:tcPr>
            <w:tcW w:w="1618"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w:t>
            </w:r>
            <w:r/>
          </w:p>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单价</w:t>
            </w:r>
            <w:r/>
          </w:p>
        </w:tc>
        <w:tc>
          <w:tcPr>
            <w:tcW w:w="1798"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w:t>
            </w:r>
            <w:r/>
          </w:p>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总价</w:t>
            </w:r>
            <w:r/>
          </w:p>
        </w:tc>
      </w:tr>
      <w:tr>
        <w:trPr>
          <w:cantSplit/>
          <w:trHeight w:val="654"/>
        </w:trPr>
        <w:tc>
          <w:tcPr>
            <w:tcW w:w="948"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1274"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288"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924"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203"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618"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798"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54"/>
        </w:trPr>
        <w:tc>
          <w:tcPr>
            <w:tcW w:w="948"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1274"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288"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924"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203"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618"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798"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54"/>
        </w:trPr>
        <w:tc>
          <w:tcPr>
            <w:tcW w:w="948"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1274"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288"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924"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203"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618"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798"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54"/>
        </w:trPr>
        <w:tc>
          <w:tcPr>
            <w:tcW w:w="948"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tcW w:w="1274"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tcW w:w="1288"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924"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203"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618"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798"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487"/>
        </w:trPr>
        <w:tc>
          <w:tcPr>
            <w:gridSpan w:val="6"/>
            <w:tcW w:w="7255"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投标总报价（人民币：元）</w:t>
            </w:r>
            <w:r/>
          </w:p>
        </w:tc>
        <w:tc>
          <w:tcPr>
            <w:tcW w:w="1798" w:type="dxa"/>
            <w:textDirection w:val="lrTb"/>
            <w:noWrap w:val="false"/>
          </w:tcPr>
          <w:p>
            <w:pP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bl>
    <w:p>
      <w:pPr>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备注：1.“投标总报价”应包括采购人需求的服务（包含与服务相关的货物）价格、质量保证费用、培训费用等，项目在指定地点、环境交付、安装、调试、验收所需费用和所有相关税金费用及为完成整个项目所产生的其他所有费用，招标文件另有规定的除外。</w:t>
      </w:r>
      <w:r/>
    </w:p>
    <w:p>
      <w:pPr>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 “投标分项报价表”中“投标总报价”数额应当与“开标一览表”中“投标总报价”数额一致。</w:t>
      </w:r>
      <w:r/>
    </w:p>
    <w:p>
      <w:pPr>
        <w:pStyle w:val="1004"/>
        <w:jc w:val="left"/>
        <w:keepNext w:val="0"/>
        <w:spacing w:before="120" w:after="120"/>
        <w:rPr>
          <w:rFonts w:ascii="Times New Roman" w:hAnsi="Times New Roman" w:eastAsia="宋体" w:cs="Times New Roman"/>
          <w:color w:val="000000" w:themeColor="text1"/>
          <w:sz w:val="32"/>
          <w:szCs w:val="32"/>
          <w:highlight w:val="none"/>
          <w14:textFill>
            <w14:solidFill>
              <w14:schemeClr w14:val="tx1"/>
            </w14:solidFill>
          </w14:textFill>
        </w:rPr>
      </w:pPr>
      <w:r>
        <w:rPr>
          <w:rFonts w:ascii="Times New Roman" w:hAnsi="Times New Roman" w:eastAsia="宋体" w:cs="宋体"/>
          <w:strike/>
          <w:color w:val="000000" w:themeColor="text1"/>
          <w:sz w:val="32"/>
          <w:szCs w:val="32"/>
          <w:highlight w:val="none"/>
          <w14:textFill>
            <w14:solidFill>
              <w14:schemeClr w14:val="tx1"/>
            </w14:solidFill>
          </w14:textFill>
        </w:rPr>
        <w:br w:type="page" w:clear="all"/>
      </w:r>
      <w:r>
        <w:rPr>
          <w:rFonts w:hint="eastAsia" w:ascii="Times New Roman" w:hAnsi="Times New Roman" w:eastAsia="宋体" w:cs="Times New Roman"/>
          <w:color w:val="000000" w:themeColor="text1"/>
          <w:sz w:val="32"/>
          <w:szCs w:val="32"/>
          <w:highlight w:val="none"/>
          <w14:textFill>
            <w14:solidFill>
              <w14:schemeClr w14:val="tx1"/>
            </w14:solidFill>
          </w14:textFill>
        </w:rPr>
        <w:t xml:space="preserve">七、中小企业声明函（服务）</w:t>
      </w:r>
      <w:r/>
    </w:p>
    <w:p>
      <w:pPr>
        <w:pStyle w:val="847"/>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中小微企业声明函（服务类项目）</w:t>
      </w:r>
      <w:r>
        <w:t xml:space="preserve"> </w:t>
      </w:r>
      <w:r/>
    </w:p>
    <w:p>
      <w:pPr>
        <w:pStyle w:val="847"/>
        <w:ind w:left="0" w:firstLine="360"/>
        <w:jc w:val="both"/>
        <w:keepLines w:val="0"/>
        <w:keepNext w:val="0"/>
        <w:pageBreakBefore w:val="0"/>
        <w:spacing w:before="0" w:beforeAutospacing="0" w:after="0" w:afterAutospacing="0" w:line="4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项目（项目名称）的采购活动，服务全部由符合政策的中小微企业承接。相关企业（含联合体中的中小微企业、签订采购包意向协议的中小微企业）的具体情况如下：</w:t>
      </w:r>
      <w:r/>
    </w:p>
    <w:p>
      <w:pPr>
        <w:pStyle w:val="847"/>
        <w:ind w:left="0" w:firstLine="360"/>
        <w:jc w:val="both"/>
        <w:keepLines w:val="0"/>
        <w:keepNext w:val="0"/>
        <w:pageBreakBefore w:val="0"/>
        <w:spacing w:before="0" w:beforeAutospacing="0" w:after="0" w:afterAutospacing="0" w:line="4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847"/>
        <w:ind w:left="0" w:firstLine="360"/>
        <w:jc w:val="both"/>
        <w:keepLines w:val="0"/>
        <w:keepNext w:val="0"/>
        <w:pageBreakBefore w:val="0"/>
        <w:spacing w:before="0" w:beforeAutospacing="0" w:after="0" w:afterAutospacing="0" w:line="4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847"/>
        <w:ind w:left="0" w:firstLine="360"/>
        <w:jc w:val="both"/>
        <w:keepLines w:val="0"/>
        <w:keepNext w:val="0"/>
        <w:pageBreakBefore w:val="0"/>
        <w:spacing w:before="0" w:beforeAutospacing="0" w:after="0" w:afterAutospacing="0" w:line="4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847"/>
        <w:ind w:left="0" w:firstLine="360"/>
        <w:jc w:val="both"/>
        <w:keepLines w:val="0"/>
        <w:keepNext w:val="0"/>
        <w:pageBreakBefore w:val="0"/>
        <w:spacing w:before="0" w:beforeAutospacing="0" w:after="0" w:afterAutospacing="0" w:line="4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847"/>
        <w:ind w:left="0" w:firstLine="360"/>
        <w:jc w:val="both"/>
        <w:keepLines w:val="0"/>
        <w:keepNext w:val="0"/>
        <w:pageBreakBefore w:val="0"/>
        <w:spacing w:before="0" w:beforeAutospacing="0" w:after="0" w:afterAutospacing="0" w:line="4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847"/>
        <w:ind w:right="720"/>
        <w:jc w:val="both"/>
        <w:keepLines w:val="0"/>
        <w:keepNext w:val="0"/>
        <w:pageBreakBefore w:val="0"/>
        <w:spacing w:before="0" w:beforeAutospacing="0" w:after="0" w:afterAutospacing="0" w:line="4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47"/>
        <w:ind w:left="0" w:right="180" w:firstLine="360"/>
        <w:jc w:val="center"/>
        <w:keepLines w:val="0"/>
        <w:keepNext w:val="0"/>
        <w:pageBreakBefore w:val="0"/>
        <w:spacing w:before="0" w:beforeAutospacing="0" w:after="0" w:afterAutospacing="0" w:line="4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企业名称（加盖CA电子公章）：</w:t>
      </w:r>
      <w:r/>
    </w:p>
    <w:p>
      <w:pPr>
        <w:pStyle w:val="847"/>
        <w:ind w:left="0" w:right="180" w:firstLine="360"/>
        <w:jc w:val="center"/>
        <w:keepLines w:val="0"/>
        <w:keepNext w:val="0"/>
        <w:pageBreakBefore w:val="0"/>
        <w:spacing w:before="0" w:beforeAutospacing="0" w:after="0" w:afterAutospacing="0" w:line="4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847"/>
        <w:ind w:left="0" w:firstLine="480"/>
        <w:jc w:val="both"/>
        <w:keepLines w:val="0"/>
        <w:keepNext w:val="0"/>
        <w:pageBreakBefore w:val="0"/>
        <w:spacing w:before="0" w:beforeAutospacing="0" w:after="0" w:afterAutospacing="0" w:line="4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847"/>
        <w:ind w:left="0" w:firstLine="480"/>
        <w:jc w:val="both"/>
        <w:keepLines w:val="0"/>
        <w:keepNext w:val="0"/>
        <w:pageBreakBefore w:val="0"/>
        <w:spacing w:before="0" w:beforeAutospacing="0" w:after="0" w:afterAutospacing="0" w:line="4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847"/>
        <w:ind w:left="0" w:firstLine="480"/>
        <w:jc w:val="both"/>
        <w:keepLines w:val="0"/>
        <w:keepNext w:val="0"/>
        <w:pageBreakBefore w:val="0"/>
        <w:spacing w:before="0" w:beforeAutospacing="0" w:after="0" w:afterAutospacing="0" w:line="4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847"/>
        <w:ind w:left="0" w:firstLine="480"/>
        <w:jc w:val="both"/>
        <w:keepLines w:val="0"/>
        <w:keepNext w:val="0"/>
        <w:pageBreakBefore w:val="0"/>
        <w:spacing w:before="0" w:beforeAutospacing="0" w:after="0" w:afterAutospacing="0" w:line="4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bookmarkStart w:id="207" w:name="_GoBack"/>
      <w:r/>
      <w:bookmarkEnd w:id="207"/>
      <w:r/>
      <w:r/>
    </w:p>
    <w:p>
      <w:pPr>
        <w:pStyle w:val="847"/>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eastAsia="黑体"/>
          <w:b/>
          <w:color w:val="000000" w:themeColor="text1"/>
          <w:sz w:val="32"/>
          <w:szCs w:val="32"/>
          <w:highlight w:val="none"/>
          <w14:textFill>
            <w14:solidFill>
              <w14:schemeClr w14:val="tx1"/>
            </w14:solidFill>
          </w14:textFill>
        </w:rPr>
        <w:br w:type="page" w:clear="all"/>
      </w:r>
      <w:r>
        <w:rPr>
          <w:rFonts w:hint="eastAsia" w:eastAsia="黑体"/>
          <w:iCs/>
          <w:color w:val="000000" w:themeColor="text1"/>
          <w:sz w:val="32"/>
          <w:szCs w:val="32"/>
          <w:highlight w:val="none"/>
          <w14:textFill>
            <w14:solidFill>
              <w14:schemeClr w14:val="tx1"/>
            </w14:solidFill>
          </w14:textFill>
        </w:rPr>
        <w:t xml:space="preserve"> </w:t>
      </w:r>
      <w:r>
        <w:rPr>
          <w:rFonts w:hint="eastAsia" w:ascii="宋体" w:hAnsi="宋体" w:eastAsia="宋体" w:cs="宋体"/>
          <w:b/>
          <w:bCs/>
          <w:color w:val="000000"/>
          <w:sz w:val="24"/>
          <w:szCs w:val="24"/>
        </w:rPr>
        <w:t xml:space="preserve">残疾人福利性单位声明函（服务类项目）</w:t>
      </w:r>
      <w:r>
        <w:t xml:space="preserve"> </w:t>
      </w:r>
      <w:r/>
    </w:p>
    <w:p>
      <w:pPr>
        <w:pStyle w:val="847"/>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项目（项目名称）采购活动由本单位提供服务。</w:t>
      </w:r>
      <w:r/>
    </w:p>
    <w:p>
      <w:pPr>
        <w:pStyle w:val="847"/>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847"/>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47"/>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847"/>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1.专门面向中小微型企业采购的项目，供应商为残疾人福利性单位并提供服务的必须提供此声明函，否则将不能通过资格审查。</w:t>
      </w:r>
      <w:r/>
    </w:p>
    <w:p>
      <w:pPr>
        <w:pStyle w:val="847"/>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2.非专门面向中小微型企业采购的项目，供应商如不提供此声明函，价格将不做相应扣除。</w:t>
      </w:r>
      <w:r/>
    </w:p>
    <w:p>
      <w:pPr>
        <w:pStyle w:val="847"/>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p>
    <w:p>
      <w:pPr>
        <w:pStyle w:val="847"/>
        <w:ind w:left="0" w:firstLine="624"/>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47"/>
        <w:ind w:left="0" w:right="1559" w:firstLine="624"/>
        <w:jc w:val="center"/>
        <w:keepLines w:val="0"/>
        <w:keepNext w:val="0"/>
        <w:spacing w:before="0" w:beforeAutospacing="0" w:after="0" w:afterAutospacing="0" w:line="360" w:lineRule="auto"/>
        <w:widowControl w:val="off"/>
        <w:tabs>
          <w:tab w:val="left" w:pos="4864"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仿宋_GB2312" w:eastAsia="仿宋_GB2312" w:cs="仿宋_GB2312"/>
          <w:color w:val="000000"/>
          <w:sz w:val="30"/>
          <w:szCs w:val="30"/>
        </w:rPr>
        <w:t xml:space="preserve">             </w:t>
      </w:r>
      <w:r>
        <w:rPr>
          <w:rFonts w:hint="eastAsia" w:ascii="宋体" w:hAnsi="宋体" w:eastAsia="宋体" w:cs="宋体"/>
          <w:color w:val="000000"/>
          <w:sz w:val="24"/>
          <w:szCs w:val="24"/>
        </w:rPr>
        <w:t xml:space="preserve">    供应商全称（加盖CA电子公章）：</w:t>
      </w:r>
      <w:r/>
    </w:p>
    <w:p>
      <w:pPr>
        <w:spacing w:line="360" w:lineRule="auto"/>
        <w:rPr>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shd w:val="clear" w:color="auto" w:fill="ffffff"/>
        </w:rPr>
        <w:t xml:space="preserve">日期：___年____月____日</w:t>
      </w:r>
      <w:r/>
    </w:p>
    <w:p>
      <w:pPr>
        <w:spacing w:line="560" w:lineRule="exact"/>
        <w:rPr>
          <w:rFonts w:eastAsia="黑体"/>
          <w:b/>
          <w:color w:val="000000" w:themeColor="text1"/>
          <w:sz w:val="32"/>
          <w:szCs w:val="32"/>
          <w:highlight w:val="none"/>
          <w14:textFill>
            <w14:solidFill>
              <w14:schemeClr w14:val="tx1"/>
            </w14:solidFill>
          </w14:textFill>
        </w:rPr>
      </w:pPr>
      <w:r>
        <w:rPr>
          <w:rFonts w:eastAsia="黑体"/>
          <w:b/>
          <w:color w:val="000000" w:themeColor="text1"/>
          <w:sz w:val="32"/>
          <w:szCs w:val="32"/>
          <w:highlight w:val="none"/>
          <w14:textFill>
            <w14:solidFill>
              <w14:schemeClr w14:val="tx1"/>
            </w14:solidFill>
          </w14:textFill>
        </w:rPr>
      </w:r>
      <w:r/>
    </w:p>
    <w:p>
      <w:pPr>
        <w:spacing w:line="560" w:lineRule="exact"/>
        <w:rPr>
          <w:rFonts w:eastAsia="黑体"/>
          <w:b/>
          <w:color w:val="000000" w:themeColor="text1"/>
          <w:sz w:val="32"/>
          <w:szCs w:val="32"/>
          <w:highlight w:val="none"/>
          <w14:textFill>
            <w14:solidFill>
              <w14:schemeClr w14:val="tx1"/>
            </w14:solidFill>
          </w14:textFill>
        </w:rPr>
      </w:pPr>
      <w:r>
        <w:rPr>
          <w:rFonts w:eastAsia="黑体"/>
          <w:b/>
          <w:color w:val="000000" w:themeColor="text1"/>
          <w:sz w:val="32"/>
          <w:szCs w:val="32"/>
          <w:highlight w:val="none"/>
          <w14:textFill>
            <w14:solidFill>
              <w14:schemeClr w14:val="tx1"/>
            </w14:solidFill>
          </w14:textFill>
        </w:rPr>
      </w:r>
      <w:r/>
    </w:p>
    <w:p>
      <w:pPr>
        <w:spacing w:line="560" w:lineRule="exact"/>
        <w:rPr>
          <w:rFonts w:eastAsia="黑体"/>
          <w:b/>
          <w:color w:val="000000" w:themeColor="text1"/>
          <w:sz w:val="32"/>
          <w:szCs w:val="32"/>
          <w:highlight w:val="none"/>
          <w14:textFill>
            <w14:solidFill>
              <w14:schemeClr w14:val="tx1"/>
            </w14:solidFill>
          </w14:textFill>
        </w:rPr>
      </w:pPr>
      <w:r>
        <w:rPr>
          <w:rFonts w:eastAsia="黑体"/>
          <w:b/>
          <w:color w:val="000000" w:themeColor="text1"/>
          <w:sz w:val="32"/>
          <w:szCs w:val="32"/>
          <w:highlight w:val="none"/>
          <w14:textFill>
            <w14:solidFill>
              <w14:schemeClr w14:val="tx1"/>
            </w14:solidFill>
          </w14:textFill>
        </w:rPr>
      </w:r>
      <w:r/>
    </w:p>
    <w:p>
      <w:pPr>
        <w:spacing w:line="560" w:lineRule="exact"/>
        <w:rPr>
          <w:rFonts w:eastAsia="黑体"/>
          <w:b/>
          <w:color w:val="000000" w:themeColor="text1"/>
          <w:sz w:val="32"/>
          <w:szCs w:val="32"/>
          <w:highlight w:val="none"/>
          <w14:textFill>
            <w14:solidFill>
              <w14:schemeClr w14:val="tx1"/>
            </w14:solidFill>
          </w14:textFill>
        </w:rPr>
      </w:pPr>
      <w:r>
        <w:rPr>
          <w:rFonts w:eastAsia="黑体"/>
          <w:b/>
          <w:color w:val="000000" w:themeColor="text1"/>
          <w:sz w:val="32"/>
          <w:szCs w:val="32"/>
          <w:highlight w:val="none"/>
          <w14:textFill>
            <w14:solidFill>
              <w14:schemeClr w14:val="tx1"/>
            </w14:solidFill>
          </w14:textFill>
        </w:rPr>
      </w:r>
      <w:r/>
    </w:p>
    <w:p>
      <w:pPr>
        <w:spacing w:line="560" w:lineRule="exact"/>
        <w:rPr>
          <w:rFonts w:eastAsia="黑体"/>
          <w:b/>
          <w:color w:val="000000" w:themeColor="text1"/>
          <w:sz w:val="32"/>
          <w:szCs w:val="32"/>
          <w:highlight w:val="none"/>
          <w14:textFill>
            <w14:solidFill>
              <w14:schemeClr w14:val="tx1"/>
            </w14:solidFill>
          </w14:textFill>
        </w:rPr>
      </w:pPr>
      <w:r>
        <w:rPr>
          <w:rFonts w:eastAsia="黑体"/>
          <w:b/>
          <w:color w:val="000000" w:themeColor="text1"/>
          <w:sz w:val="32"/>
          <w:szCs w:val="32"/>
          <w:highlight w:val="none"/>
          <w14:textFill>
            <w14:solidFill>
              <w14:schemeClr w14:val="tx1"/>
            </w14:solidFill>
          </w14:textFill>
        </w:rPr>
      </w:r>
      <w:r/>
    </w:p>
    <w:p>
      <w:pPr>
        <w:spacing w:line="560" w:lineRule="exact"/>
        <w:rPr>
          <w:rFonts w:eastAsia="黑体"/>
          <w:b/>
          <w:color w:val="000000" w:themeColor="text1"/>
          <w:sz w:val="32"/>
          <w:szCs w:val="32"/>
          <w:highlight w:val="none"/>
          <w14:textFill>
            <w14:solidFill>
              <w14:schemeClr w14:val="tx1"/>
            </w14:solidFill>
          </w14:textFill>
        </w:rPr>
      </w:pPr>
      <w:r>
        <w:rPr>
          <w:rFonts w:eastAsia="黑体"/>
          <w:b/>
          <w:color w:val="000000" w:themeColor="text1"/>
          <w:sz w:val="32"/>
          <w:szCs w:val="32"/>
          <w:highlight w:val="none"/>
          <w14:textFill>
            <w14:solidFill>
              <w14:schemeClr w14:val="tx1"/>
            </w14:solidFill>
          </w14:textFill>
        </w:rPr>
      </w:r>
      <w:r/>
    </w:p>
    <w:p>
      <w:pPr>
        <w:spacing w:line="560" w:lineRule="exact"/>
        <w:rPr>
          <w:rFonts w:eastAsia="黑体"/>
          <w:b/>
          <w:color w:val="000000" w:themeColor="text1"/>
          <w:sz w:val="32"/>
          <w:szCs w:val="32"/>
          <w:highlight w:val="none"/>
          <w14:textFill>
            <w14:solidFill>
              <w14:schemeClr w14:val="tx1"/>
            </w14:solidFill>
          </w14:textFill>
        </w:rPr>
      </w:pPr>
      <w:r>
        <w:rPr>
          <w:rFonts w:eastAsia="黑体"/>
          <w:b/>
          <w:color w:val="000000" w:themeColor="text1"/>
          <w:sz w:val="32"/>
          <w:szCs w:val="32"/>
          <w:highlight w:val="none"/>
          <w14:textFill>
            <w14:solidFill>
              <w14:schemeClr w14:val="tx1"/>
            </w14:solidFill>
          </w14:textFill>
        </w:rPr>
      </w:r>
      <w:r/>
    </w:p>
    <w:p>
      <w:pPr>
        <w:spacing w:line="560" w:lineRule="exact"/>
        <w:rPr>
          <w:rFonts w:eastAsia="黑体"/>
          <w:b/>
          <w:color w:val="000000" w:themeColor="text1"/>
          <w:sz w:val="32"/>
          <w:szCs w:val="32"/>
          <w:highlight w:val="none"/>
          <w14:textFill>
            <w14:solidFill>
              <w14:schemeClr w14:val="tx1"/>
            </w14:solidFill>
          </w14:textFill>
        </w:rPr>
      </w:pPr>
      <w:r>
        <w:rPr>
          <w:rFonts w:eastAsia="黑体"/>
          <w:b/>
          <w:color w:val="000000" w:themeColor="text1"/>
          <w:sz w:val="32"/>
          <w:szCs w:val="32"/>
          <w:highlight w:val="none"/>
          <w14:textFill>
            <w14:solidFill>
              <w14:schemeClr w14:val="tx1"/>
            </w14:solidFill>
          </w14:textFill>
        </w:rPr>
      </w:r>
      <w:r/>
    </w:p>
    <w:p>
      <w:pPr>
        <w:spacing w:line="560" w:lineRule="exact"/>
        <w:rPr>
          <w:rFonts w:eastAsia="黑体"/>
          <w:b/>
          <w:color w:val="000000" w:themeColor="text1"/>
          <w:sz w:val="32"/>
          <w:szCs w:val="32"/>
          <w:highlight w:val="none"/>
          <w14:textFill>
            <w14:solidFill>
              <w14:schemeClr w14:val="tx1"/>
            </w14:solidFill>
          </w14:textFill>
        </w:rPr>
      </w:pPr>
      <w:r>
        <w:rPr>
          <w:rFonts w:eastAsia="黑体"/>
          <w:b/>
          <w:color w:val="000000" w:themeColor="text1"/>
          <w:sz w:val="32"/>
          <w:szCs w:val="32"/>
          <w:highlight w:val="none"/>
          <w14:textFill>
            <w14:solidFill>
              <w14:schemeClr w14:val="tx1"/>
            </w14:solidFill>
          </w14:textFill>
        </w:rPr>
      </w:r>
      <w:r/>
    </w:p>
    <w:p>
      <w:pPr>
        <w:spacing w:line="560" w:lineRule="exact"/>
        <w:rPr>
          <w:rFonts w:eastAsia="黑体"/>
          <w:b/>
          <w:color w:val="000000" w:themeColor="text1"/>
          <w:sz w:val="32"/>
          <w:szCs w:val="32"/>
          <w:highlight w:val="none"/>
          <w14:textFill>
            <w14:solidFill>
              <w14:schemeClr w14:val="tx1"/>
            </w14:solidFill>
          </w14:textFill>
        </w:rPr>
      </w:pPr>
      <w:r>
        <w:rPr>
          <w:rFonts w:eastAsia="黑体"/>
          <w:b/>
          <w:color w:val="000000" w:themeColor="text1"/>
          <w:sz w:val="32"/>
          <w:szCs w:val="32"/>
          <w:highlight w:val="none"/>
          <w14:textFill>
            <w14:solidFill>
              <w14:schemeClr w14:val="tx1"/>
            </w14:solidFill>
          </w14:textFill>
        </w:rPr>
      </w:r>
      <w:r/>
    </w:p>
    <w:p>
      <w:pPr>
        <w:pStyle w:val="847"/>
        <w:ind w:left="0" w:right="0"/>
        <w:jc w:val="both"/>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333333"/>
          <w:sz w:val="30"/>
          <w:szCs w:val="30"/>
          <w:shd w:val="clear" w:color="auto" w:fill="ffffff"/>
        </w:rPr>
      </w:r>
      <w:r/>
    </w:p>
    <w:p>
      <w:pPr>
        <w:pStyle w:val="847"/>
        <w:ind w:left="0" w:right="0"/>
        <w:jc w:val="both"/>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333333"/>
          <w:sz w:val="30"/>
          <w:szCs w:val="30"/>
          <w:shd w:val="clear" w:color="auto" w:fill="ffffff"/>
          <w:lang w:eastAsia="zh-CN"/>
        </w:rPr>
        <w:t xml:space="preserve">特别说明：本项目为服务类采购项目，不涉及货物采购。本表因“苏采云”系统格式设置自动生成，显示有“关于符合本国产品标准的声明函”章节，但本项目无需提供此声明函。</w:t>
      </w:r>
      <w:r/>
    </w:p>
    <w:p>
      <w:pPr>
        <w:pStyle w:val="847"/>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333333"/>
          <w:sz w:val="30"/>
          <w:szCs w:val="30"/>
          <w:shd w:val="clear" w:color="auto" w:fill="ffffff"/>
        </w:rPr>
      </w:r>
      <w:r/>
    </w:p>
    <w:p>
      <w:pPr>
        <w:pStyle w:val="847"/>
        <w:ind w:left="0" w:right="0"/>
        <w:jc w:val="center"/>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333333"/>
          <w:sz w:val="30"/>
          <w:szCs w:val="30"/>
          <w:shd w:val="clear" w:color="auto" w:fill="ffffff"/>
        </w:rPr>
        <w:t xml:space="preserve">关于符合本国产品标准的声明函</w:t>
      </w:r>
      <w:r/>
    </w:p>
    <w:p>
      <w:pPr>
        <w:pStyle w:val="847"/>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47"/>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47"/>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847"/>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847"/>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847"/>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847"/>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47"/>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847"/>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847"/>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47"/>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47"/>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847"/>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847"/>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847"/>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847"/>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847"/>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847"/>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spacing w:line="560" w:lineRule="exact"/>
        <w:rPr>
          <w:rFonts w:eastAsia="黑体"/>
          <w:b/>
          <w:color w:val="000000" w:themeColor="text1"/>
          <w:sz w:val="32"/>
          <w:szCs w:val="32"/>
          <w:highlight w:val="none"/>
          <w14:textFill>
            <w14:solidFill>
              <w14:schemeClr w14:val="tx1"/>
            </w14:solidFill>
          </w14:textFill>
        </w:rPr>
      </w:pPr>
      <w:r>
        <w:rPr>
          <w:rFonts w:hint="eastAsia" w:eastAsia="黑体"/>
          <w:b/>
          <w:color w:val="000000" w:themeColor="text1"/>
          <w:sz w:val="32"/>
          <w:szCs w:val="32"/>
          <w:highlight w:val="none"/>
          <w14:textFill>
            <w14:solidFill>
              <w14:schemeClr w14:val="tx1"/>
            </w14:solidFill>
          </w14:textFill>
        </w:rPr>
        <w:t xml:space="preserve">八、技术要求响应及偏离表</w:t>
      </w:r>
      <w:r/>
    </w:p>
    <w:tbl>
      <w:tblPr>
        <w:tblStyle w:val="82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965"/>
        <w:gridCol w:w="2552"/>
        <w:gridCol w:w="1934"/>
        <w:gridCol w:w="1173"/>
      </w:tblGrid>
      <w:tr>
        <w:trPr>
          <w:cantSplit/>
        </w:trPr>
        <w:tc>
          <w:tcPr>
            <w:tcW w:w="545" w:type="dxa"/>
            <w:vAlign w:val="center"/>
            <w:textDirection w:val="lrTb"/>
            <w:noWrap w:val="false"/>
          </w:tcPr>
          <w:p>
            <w:pPr>
              <w:jc w:val="center"/>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序号</w:t>
            </w:r>
            <w:r/>
          </w:p>
        </w:tc>
        <w:tc>
          <w:tcPr>
            <w:tcW w:w="2965" w:type="dxa"/>
            <w:vAlign w:val="center"/>
            <w:textDirection w:val="lrTb"/>
            <w:noWrap w:val="false"/>
          </w:tcPr>
          <w:p>
            <w:pPr>
              <w:pStyle w:val="1064"/>
              <w:jc w:val="center"/>
              <w:spacing w:before="0" w:beforeAutospacing="0" w:after="0" w:afterAutospacing="0"/>
              <w:rPr>
                <w:rFonts w:ascii="Times New Roman" w:hAnsi="Times New Roman"/>
                <w:color w:val="000000" w:themeColor="text1"/>
                <w:highlight w:val="none"/>
                <w14:textFill>
                  <w14:solidFill>
                    <w14:schemeClr w14:val="tx1"/>
                  </w14:solidFill>
                </w14:textFill>
              </w:rPr>
            </w:pPr>
            <w:r>
              <w:rPr>
                <w:rFonts w:ascii="Times New Roman" w:hAnsi="Times New Roman"/>
                <w:b/>
                <w:bCs/>
                <w:color w:val="000000" w:themeColor="text1"/>
                <w:highlight w:val="none"/>
                <w14:textFill>
                  <w14:solidFill>
                    <w14:schemeClr w14:val="tx1"/>
                  </w14:solidFill>
                </w14:textFill>
              </w:rPr>
              <w:t xml:space="preserve">技术要求和商务要求</w:t>
            </w:r>
            <w:r>
              <w:rPr>
                <w:rFonts w:ascii="Times New Roman" w:hAnsi="Times New Roman"/>
                <w:color w:val="000000" w:themeColor="text1"/>
                <w:highlight w:val="none"/>
                <w14:textFill>
                  <w14:solidFill>
                    <w14:schemeClr w14:val="tx1"/>
                  </w14:solidFill>
                </w14:textFill>
              </w:rPr>
              <w:t xml:space="preserve">中的实质性要求（打“</w:t>
            </w:r>
            <w:r>
              <w:rPr>
                <w:rFonts w:ascii="Segoe UI Symbol" w:hAnsi="Segoe UI Symbol" w:cs="Segoe UI Symbol"/>
                <w:color w:val="000000" w:themeColor="text1"/>
                <w:highlight w:val="none"/>
                <w14:textFill>
                  <w14:solidFill>
                    <w14:schemeClr w14:val="tx1"/>
                  </w14:solidFill>
                </w14:textFill>
              </w:rPr>
              <w:t xml:space="preserve">★</w:t>
            </w:r>
            <w:r>
              <w:rPr>
                <w:rFonts w:ascii="Times New Roman" w:hAnsi="Times New Roman" w:cs="Times New Roman"/>
                <w:color w:val="000000" w:themeColor="text1"/>
                <w:highlight w:val="none"/>
                <w14:textFill>
                  <w14:solidFill>
                    <w14:schemeClr w14:val="tx1"/>
                  </w14:solidFill>
                </w14:textFill>
              </w:rPr>
              <w:t xml:space="preserve">”</w:t>
            </w:r>
            <w:r>
              <w:rPr>
                <w:rFonts w:ascii="Times New Roman" w:hAnsi="Times New Roman"/>
                <w:color w:val="000000" w:themeColor="text1"/>
                <w:highlight w:val="none"/>
                <w14:textFill>
                  <w14:solidFill>
                    <w14:schemeClr w14:val="tx1"/>
                  </w14:solidFill>
                </w14:textFill>
              </w:rPr>
              <w:t xml:space="preserve">内容）</w:t>
            </w:r>
            <w:r/>
          </w:p>
        </w:tc>
        <w:tc>
          <w:tcPr>
            <w:tcW w:w="2552" w:type="dxa"/>
            <w:vAlign w:val="center"/>
            <w:textDirection w:val="lrTb"/>
            <w:noWrap w:val="false"/>
          </w:tcPr>
          <w:p>
            <w:pPr>
              <w:pStyle w:val="1064"/>
              <w:jc w:val="center"/>
              <w:spacing w:before="0" w:beforeAutospacing="0" w:after="0" w:afterAutospacing="0"/>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响应情况</w:t>
            </w:r>
            <w:r>
              <w:rPr>
                <w:rFonts w:hint="eastAsia" w:ascii="Times New Roman" w:hAnsi="Times New Roman"/>
                <w:color w:val="000000" w:themeColor="text1"/>
                <w:highlight w:val="none"/>
                <w14:textFill>
                  <w14:solidFill>
                    <w14:schemeClr w14:val="tx1"/>
                  </w14:solidFill>
                </w14:textFill>
              </w:rPr>
              <w:t xml:space="preserve">（填报“响应或完全响应”）</w:t>
            </w:r>
            <w:r/>
          </w:p>
        </w:tc>
        <w:tc>
          <w:tcPr>
            <w:tcW w:w="1934" w:type="dxa"/>
            <w:vAlign w:val="center"/>
            <w:textDirection w:val="lrTb"/>
            <w:noWrap w:val="false"/>
          </w:tcPr>
          <w:p>
            <w:pPr>
              <w:pStyle w:val="1064"/>
              <w:jc w:val="center"/>
              <w:spacing w:before="0" w:beforeAutospacing="0" w:after="0" w:afterAutospacing="0"/>
              <w:rPr>
                <w:rFonts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t xml:space="preserve">偏离（填报“正偏离、符合或负偏离”）</w:t>
            </w:r>
            <w:r/>
          </w:p>
        </w:tc>
        <w:tc>
          <w:tcPr>
            <w:tcW w:w="1173" w:type="dxa"/>
            <w:vAlign w:val="center"/>
            <w:textDirection w:val="lrTb"/>
            <w:noWrap w:val="false"/>
          </w:tcPr>
          <w:p>
            <w:pPr>
              <w:jc w:val="center"/>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证明</w:t>
            </w:r>
            <w:r/>
          </w:p>
          <w:p>
            <w:pPr>
              <w:jc w:val="center"/>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材料</w:t>
            </w:r>
            <w:r/>
          </w:p>
        </w:tc>
      </w:tr>
      <w:tr>
        <w:trPr>
          <w:cantSplit/>
          <w:trHeight w:val="640"/>
        </w:trPr>
        <w:tc>
          <w:tcPr>
            <w:tcW w:w="545" w:type="dxa"/>
            <w:textDirection w:val="lrTb"/>
            <w:noWrap w:val="false"/>
          </w:tcPr>
          <w:p>
            <w:pPr>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2965" w:type="dxa"/>
            <w:textDirection w:val="lrTb"/>
            <w:noWrap w:val="false"/>
          </w:tcPr>
          <w:p>
            <w:pPr>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2552" w:type="dxa"/>
            <w:textDirection w:val="lrTb"/>
            <w:noWrap w:val="false"/>
          </w:tcPr>
          <w:p>
            <w:pPr>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1934" w:type="dxa"/>
            <w:textDirection w:val="lrTb"/>
            <w:noWrap w:val="false"/>
          </w:tcPr>
          <w:p>
            <w:pPr>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1173" w:type="dxa"/>
            <w:textDirection w:val="lrTb"/>
            <w:noWrap w:val="false"/>
          </w:tcPr>
          <w:p>
            <w:pPr>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r>
      <w:tr>
        <w:trPr>
          <w:cantSplit/>
          <w:trHeight w:val="640"/>
        </w:trPr>
        <w:tc>
          <w:tcPr>
            <w:tcW w:w="545" w:type="dxa"/>
            <w:textDirection w:val="lrTb"/>
            <w:noWrap w:val="false"/>
          </w:tcPr>
          <w:p>
            <w:pPr>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2965" w:type="dxa"/>
            <w:textDirection w:val="lrTb"/>
            <w:noWrap w:val="false"/>
          </w:tcPr>
          <w:p>
            <w:pPr>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2552" w:type="dxa"/>
            <w:textDirection w:val="lrTb"/>
            <w:noWrap w:val="false"/>
          </w:tcPr>
          <w:p>
            <w:pPr>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1934" w:type="dxa"/>
            <w:textDirection w:val="lrTb"/>
            <w:noWrap w:val="false"/>
          </w:tcPr>
          <w:p>
            <w:pPr>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1173" w:type="dxa"/>
            <w:textDirection w:val="lrTb"/>
            <w:noWrap w:val="false"/>
          </w:tcPr>
          <w:p>
            <w:pPr>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r>
      <w:tr>
        <w:trPr>
          <w:cantSplit/>
          <w:trHeight w:val="640"/>
        </w:trPr>
        <w:tc>
          <w:tcPr>
            <w:tcW w:w="545" w:type="dxa"/>
            <w:textDirection w:val="lrTb"/>
            <w:noWrap w:val="false"/>
          </w:tcPr>
          <w:p>
            <w:pPr>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2965" w:type="dxa"/>
            <w:textDirection w:val="lrTb"/>
            <w:noWrap w:val="false"/>
          </w:tcPr>
          <w:p>
            <w:pPr>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2552" w:type="dxa"/>
            <w:textDirection w:val="lrTb"/>
            <w:noWrap w:val="false"/>
          </w:tcPr>
          <w:p>
            <w:pPr>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1934" w:type="dxa"/>
            <w:textDirection w:val="lrTb"/>
            <w:noWrap w:val="false"/>
          </w:tcPr>
          <w:p>
            <w:pPr>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1173" w:type="dxa"/>
            <w:textDirection w:val="lrTb"/>
            <w:noWrap w:val="false"/>
          </w:tcPr>
          <w:p>
            <w:pPr>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r>
      <w:tr>
        <w:trPr>
          <w:cantSplit/>
          <w:trHeight w:val="640"/>
        </w:trPr>
        <w:tc>
          <w:tcPr>
            <w:tcW w:w="545" w:type="dxa"/>
            <w:textDirection w:val="lrTb"/>
            <w:noWrap w:val="false"/>
          </w:tcPr>
          <w:p>
            <w:pPr>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2965" w:type="dxa"/>
            <w:textDirection w:val="lrTb"/>
            <w:noWrap w:val="false"/>
          </w:tcPr>
          <w:p>
            <w:pPr>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2552" w:type="dxa"/>
            <w:textDirection w:val="lrTb"/>
            <w:noWrap w:val="false"/>
          </w:tcPr>
          <w:p>
            <w:pPr>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1934" w:type="dxa"/>
            <w:textDirection w:val="lrTb"/>
            <w:noWrap w:val="false"/>
          </w:tcPr>
          <w:p>
            <w:pPr>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1173" w:type="dxa"/>
            <w:textDirection w:val="lrTb"/>
            <w:noWrap w:val="false"/>
          </w:tcPr>
          <w:p>
            <w:pPr>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r>
      <w:tr>
        <w:trPr>
          <w:cantSplit/>
          <w:trHeight w:val="640"/>
        </w:trPr>
        <w:tc>
          <w:tcPr>
            <w:tcW w:w="545" w:type="dxa"/>
            <w:textDirection w:val="lrTb"/>
            <w:noWrap w:val="false"/>
          </w:tcPr>
          <w:p>
            <w:pPr>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2965" w:type="dxa"/>
            <w:textDirection w:val="lrTb"/>
            <w:noWrap w:val="false"/>
          </w:tcPr>
          <w:p>
            <w:pPr>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2552" w:type="dxa"/>
            <w:textDirection w:val="lrTb"/>
            <w:noWrap w:val="false"/>
          </w:tcPr>
          <w:p>
            <w:pPr>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1934" w:type="dxa"/>
            <w:textDirection w:val="lrTb"/>
            <w:noWrap w:val="false"/>
          </w:tcPr>
          <w:p>
            <w:pPr>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1173" w:type="dxa"/>
            <w:textDirection w:val="lrTb"/>
            <w:noWrap w:val="false"/>
          </w:tcPr>
          <w:p>
            <w:pPr>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r>
      <w:tr>
        <w:trPr>
          <w:cantSplit/>
          <w:trHeight w:val="640"/>
        </w:trPr>
        <w:tc>
          <w:tcPr>
            <w:tcW w:w="545" w:type="dxa"/>
            <w:textDirection w:val="lrTb"/>
            <w:noWrap w:val="false"/>
          </w:tcPr>
          <w:p>
            <w:pPr>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2965" w:type="dxa"/>
            <w:textDirection w:val="lrTb"/>
            <w:noWrap w:val="false"/>
          </w:tcPr>
          <w:p>
            <w:pPr>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2552" w:type="dxa"/>
            <w:textDirection w:val="lrTb"/>
            <w:noWrap w:val="false"/>
          </w:tcPr>
          <w:p>
            <w:pPr>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1934" w:type="dxa"/>
            <w:textDirection w:val="lrTb"/>
            <w:noWrap w:val="false"/>
          </w:tcPr>
          <w:p>
            <w:pPr>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1173" w:type="dxa"/>
            <w:textDirection w:val="lrTb"/>
            <w:noWrap w:val="false"/>
          </w:tcPr>
          <w:p>
            <w:pPr>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r>
      <w:tr>
        <w:trPr>
          <w:cantSplit/>
          <w:trHeight w:val="640"/>
        </w:trPr>
        <w:tc>
          <w:tcPr>
            <w:tcW w:w="545" w:type="dxa"/>
            <w:textDirection w:val="lrTb"/>
            <w:noWrap w:val="false"/>
          </w:tcPr>
          <w:p>
            <w:pPr>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2965" w:type="dxa"/>
            <w:textDirection w:val="lrTb"/>
            <w:noWrap w:val="false"/>
          </w:tcPr>
          <w:p>
            <w:pPr>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2552" w:type="dxa"/>
            <w:textDirection w:val="lrTb"/>
            <w:noWrap w:val="false"/>
          </w:tcPr>
          <w:p>
            <w:pPr>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1934" w:type="dxa"/>
            <w:textDirection w:val="lrTb"/>
            <w:noWrap w:val="false"/>
          </w:tcPr>
          <w:p>
            <w:pPr>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1173" w:type="dxa"/>
            <w:textDirection w:val="lrTb"/>
            <w:noWrap w:val="false"/>
          </w:tcPr>
          <w:p>
            <w:pPr>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r>
      <w:tr>
        <w:trPr>
          <w:cantSplit/>
          <w:trHeight w:val="640"/>
        </w:trPr>
        <w:tc>
          <w:tcPr>
            <w:tcW w:w="545" w:type="dxa"/>
            <w:textDirection w:val="lrTb"/>
            <w:noWrap w:val="false"/>
          </w:tcPr>
          <w:p>
            <w:pPr>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2965" w:type="dxa"/>
            <w:textDirection w:val="lrTb"/>
            <w:noWrap w:val="false"/>
          </w:tcPr>
          <w:p>
            <w:pPr>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w:t>
            </w:r>
            <w:r/>
          </w:p>
        </w:tc>
        <w:tc>
          <w:tcPr>
            <w:tcW w:w="2552" w:type="dxa"/>
            <w:textDirection w:val="lrTb"/>
            <w:noWrap w:val="false"/>
          </w:tcPr>
          <w:p>
            <w:pPr>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1934" w:type="dxa"/>
            <w:textDirection w:val="lrTb"/>
            <w:noWrap w:val="false"/>
          </w:tcPr>
          <w:p>
            <w:pPr>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1173" w:type="dxa"/>
            <w:textDirection w:val="lrTb"/>
            <w:noWrap w:val="false"/>
          </w:tcPr>
          <w:p>
            <w:pPr>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r>
    </w:tbl>
    <w:p>
      <w:pPr>
        <w:spacing w:line="588"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投标人</w:t>
      </w:r>
      <w:r>
        <w:rPr>
          <w:color w:val="000000" w:themeColor="text1"/>
          <w:sz w:val="24"/>
          <w:highlight w:val="none"/>
          <w14:textFill>
            <w14:solidFill>
              <w14:schemeClr w14:val="tx1"/>
            </w14:solidFill>
          </w14:textFill>
        </w:rPr>
        <w:t xml:space="preserve">必须对</w:t>
      </w:r>
      <w:r>
        <w:rPr>
          <w:b/>
          <w:bCs/>
          <w:color w:val="000000" w:themeColor="text1"/>
          <w:sz w:val="24"/>
          <w:highlight w:val="none"/>
          <w14:textFill>
            <w14:solidFill>
              <w14:schemeClr w14:val="tx1"/>
            </w14:solidFill>
          </w14:textFill>
        </w:rPr>
        <w:t xml:space="preserve">技术要求和商务要求</w:t>
      </w:r>
      <w:r>
        <w:rPr>
          <w:color w:val="000000" w:themeColor="text1"/>
          <w:sz w:val="24"/>
          <w:highlight w:val="none"/>
          <w14:textFill>
            <w14:solidFill>
              <w14:schemeClr w14:val="tx1"/>
            </w14:solidFill>
          </w14:textFill>
        </w:rPr>
        <w:t xml:space="preserve">中的实质性要求（打“★”内容）做出明确响应，否则作无效响应处理。</w:t>
      </w:r>
      <w:r>
        <w:rPr>
          <w:rFonts w:hint="eastAsia"/>
          <w:color w:val="000000" w:themeColor="text1"/>
          <w:sz w:val="24"/>
          <w:highlight w:val="none"/>
          <w14:textFill>
            <w14:solidFill>
              <w14:schemeClr w14:val="tx1"/>
            </w14:solidFill>
          </w14:textFill>
        </w:rPr>
        <w:t xml:space="preserve">除加斜体下划线内容或打“★”的实质性要求必须逐条明确响应外，其余未填写具体内容的非实质性条款，均视为完全响应本采购文件要求。</w:t>
      </w:r>
      <w:r/>
    </w:p>
    <w:p>
      <w:pPr>
        <w:spacing w:line="588"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2.如果采购文件要求提供证明材料，</w:t>
      </w:r>
      <w:r>
        <w:rPr>
          <w:rFonts w:hint="eastAsia"/>
          <w:color w:val="000000" w:themeColor="text1"/>
          <w:sz w:val="24"/>
          <w:highlight w:val="none"/>
          <w14:textFill>
            <w14:solidFill>
              <w14:schemeClr w14:val="tx1"/>
            </w14:solidFill>
          </w14:textFill>
        </w:rPr>
        <w:t xml:space="preserve">投标人</w:t>
      </w:r>
      <w:r>
        <w:rPr>
          <w:color w:val="000000" w:themeColor="text1"/>
          <w:sz w:val="24"/>
          <w:highlight w:val="none"/>
          <w14:textFill>
            <w14:solidFill>
              <w14:schemeClr w14:val="tx1"/>
            </w14:solidFill>
          </w14:textFill>
        </w:rPr>
        <w:t xml:space="preserve">必须将证明材料列于该表之下。</w:t>
      </w:r>
      <w:r/>
    </w:p>
    <w:p>
      <w:pPr>
        <w:spacing w:line="588"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w:t>
      </w:r>
      <w:r>
        <w:rPr>
          <w:rFonts w:hint="eastAsia"/>
          <w:color w:val="000000" w:themeColor="text1"/>
          <w:sz w:val="24"/>
          <w:highlight w:val="none"/>
          <w14:textFill>
            <w14:solidFill>
              <w14:schemeClr w14:val="tx1"/>
            </w14:solidFill>
          </w14:textFill>
        </w:rPr>
        <w:t xml:space="preserve">投标人</w:t>
      </w:r>
      <w:r>
        <w:rPr>
          <w:color w:val="000000" w:themeColor="text1"/>
          <w:sz w:val="24"/>
          <w:highlight w:val="none"/>
          <w14:textFill>
            <w14:solidFill>
              <w14:schemeClr w14:val="tx1"/>
            </w14:solidFill>
          </w14:textFill>
        </w:rPr>
        <w:t xml:space="preserve">未对实质性要求作出明确响应的，或未按采购文件要求提供证明材料的，该分包作无效响应处理。</w:t>
      </w:r>
      <w:r/>
    </w:p>
    <w:p>
      <w:pPr>
        <w:spacing w:line="588"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4.行数不够，可自行添加。</w:t>
      </w:r>
      <w:r/>
    </w:p>
    <w:p>
      <w:pPr>
        <w:jc w:val="center"/>
        <w:rPr>
          <w:rFonts w:eastAsia="黑体"/>
          <w:b/>
          <w:color w:val="000000" w:themeColor="text1"/>
          <w:sz w:val="36"/>
          <w:highlight w:val="none"/>
          <w14:textFill>
            <w14:solidFill>
              <w14:schemeClr w14:val="tx1"/>
            </w14:solidFill>
          </w14:textFill>
        </w:rPr>
      </w:pPr>
      <w:r>
        <w:rPr>
          <w:rFonts w:eastAsia="黑体"/>
          <w:b/>
          <w:color w:val="000000" w:themeColor="text1"/>
          <w:sz w:val="36"/>
          <w:highlight w:val="none"/>
          <w14:textFill>
            <w14:solidFill>
              <w14:schemeClr w14:val="tx1"/>
            </w14:solidFill>
          </w14:textFill>
        </w:rPr>
      </w:r>
      <w:r/>
    </w:p>
    <w:p>
      <w:pPr>
        <w:pStyle w:val="1125"/>
        <w:rPr>
          <w:rFonts w:ascii="Times New Roman" w:hAnsi="Times New Roman"/>
          <w:color w:val="000000" w:themeColor="text1"/>
          <w:highlight w:val="none"/>
          <w14:textFill>
            <w14:solidFill>
              <w14:schemeClr w14:val="tx1"/>
            </w14:solidFill>
          </w14:textFill>
        </w:rPr>
        <w:outlineLvl w:val="1"/>
      </w:pPr>
      <w:r>
        <w:rPr>
          <w:rFonts w:ascii="Times New Roman" w:hAnsi="Times New Roman"/>
          <w:color w:val="000000" w:themeColor="text1"/>
          <w:highlight w:val="none"/>
          <w14:textFill>
            <w14:solidFill>
              <w14:schemeClr w14:val="tx1"/>
            </w14:solidFill>
          </w14:textFill>
        </w:rPr>
      </w:r>
      <w:r/>
    </w:p>
    <w:p>
      <w:pPr>
        <w:pStyle w:val="1125"/>
        <w:rPr>
          <w:rFonts w:ascii="Times New Roman" w:hAnsi="Times New Roman"/>
          <w:color w:val="000000" w:themeColor="text1"/>
          <w:highlight w:val="none"/>
          <w14:textFill>
            <w14:solidFill>
              <w14:schemeClr w14:val="tx1"/>
            </w14:solidFill>
          </w14:textFill>
        </w:rPr>
        <w:outlineLvl w:val="1"/>
      </w:pPr>
      <w:r>
        <w:rPr>
          <w:rFonts w:ascii="Times New Roman" w:hAnsi="Times New Roman"/>
          <w:color w:val="000000" w:themeColor="text1"/>
          <w:highlight w:val="none"/>
          <w14:textFill>
            <w14:solidFill>
              <w14:schemeClr w14:val="tx1"/>
            </w14:solidFill>
          </w14:textFill>
        </w:rPr>
      </w:r>
      <w:r/>
    </w:p>
    <w:p>
      <w:pPr>
        <w:pStyle w:val="1125"/>
        <w:rPr>
          <w:rFonts w:ascii="Times New Roman" w:hAnsi="Times New Roman"/>
          <w:color w:val="000000" w:themeColor="text1"/>
          <w:highlight w:val="none"/>
          <w14:textFill>
            <w14:solidFill>
              <w14:schemeClr w14:val="tx1"/>
            </w14:solidFill>
          </w14:textFill>
        </w:rPr>
        <w:outlineLvl w:val="1"/>
      </w:pPr>
      <w:r>
        <w:rPr>
          <w:rFonts w:ascii="Times New Roman" w:hAnsi="Times New Roman"/>
          <w:color w:val="000000" w:themeColor="text1"/>
          <w:highlight w:val="none"/>
          <w14:textFill>
            <w14:solidFill>
              <w14:schemeClr w14:val="tx1"/>
            </w14:solidFill>
          </w14:textFill>
        </w:rPr>
      </w:r>
      <w:r/>
    </w:p>
    <w:p>
      <w:pPr>
        <w:pStyle w:val="1125"/>
        <w:rPr>
          <w:rFonts w:ascii="Times New Roman" w:hAnsi="Times New Roman"/>
          <w:color w:val="000000" w:themeColor="text1"/>
          <w:highlight w:val="none"/>
          <w14:textFill>
            <w14:solidFill>
              <w14:schemeClr w14:val="tx1"/>
            </w14:solidFill>
          </w14:textFill>
        </w:rPr>
        <w:outlineLvl w:val="1"/>
      </w:pPr>
      <w:r>
        <w:rPr>
          <w:rFonts w:ascii="Times New Roman" w:hAnsi="Times New Roman"/>
          <w:color w:val="000000" w:themeColor="text1"/>
          <w:highlight w:val="none"/>
          <w14:textFill>
            <w14:solidFill>
              <w14:schemeClr w14:val="tx1"/>
            </w14:solidFill>
          </w14:textFill>
        </w:rPr>
      </w:r>
      <w:r/>
    </w:p>
    <w:p>
      <w:pPr>
        <w:pStyle w:val="1125"/>
        <w:rPr>
          <w:rFonts w:ascii="Times New Roman" w:hAnsi="Times New Roman"/>
          <w:color w:val="000000" w:themeColor="text1"/>
          <w:highlight w:val="none"/>
          <w14:textFill>
            <w14:solidFill>
              <w14:schemeClr w14:val="tx1"/>
            </w14:solidFill>
          </w14:textFill>
        </w:rPr>
        <w:outlineLvl w:val="1"/>
      </w:pPr>
      <w:r>
        <w:rPr>
          <w:rFonts w:ascii="Times New Roman" w:hAnsi="Times New Roman"/>
          <w:color w:val="000000" w:themeColor="text1"/>
          <w:highlight w:val="none"/>
          <w14:textFill>
            <w14:solidFill>
              <w14:schemeClr w14:val="tx1"/>
            </w14:solidFill>
          </w14:textFill>
        </w:rPr>
      </w:r>
      <w:r/>
    </w:p>
    <w:p>
      <w:pPr>
        <w:pStyle w:val="1125"/>
        <w:rPr>
          <w:rFonts w:ascii="Times New Roman" w:hAnsi="Times New Roman"/>
          <w:color w:val="000000" w:themeColor="text1"/>
          <w:highlight w:val="none"/>
          <w14:textFill>
            <w14:solidFill>
              <w14:schemeClr w14:val="tx1"/>
            </w14:solidFill>
          </w14:textFill>
        </w:rPr>
        <w:outlineLvl w:val="1"/>
      </w:pPr>
      <w:r>
        <w:rPr>
          <w:rFonts w:ascii="Times New Roman" w:hAnsi="Times New Roman"/>
          <w:color w:val="000000" w:themeColor="text1"/>
          <w:highlight w:val="none"/>
          <w14:textFill>
            <w14:solidFill>
              <w14:schemeClr w14:val="tx1"/>
            </w14:solidFill>
          </w14:textFill>
        </w:rPr>
      </w:r>
      <w:r/>
    </w:p>
    <w:p>
      <w:pPr>
        <w:pStyle w:val="1125"/>
        <w:rPr>
          <w:rFonts w:ascii="Times New Roman" w:hAnsi="Times New Roman"/>
          <w:color w:val="000000" w:themeColor="text1"/>
          <w:highlight w:val="none"/>
          <w14:textFill>
            <w14:solidFill>
              <w14:schemeClr w14:val="tx1"/>
            </w14:solidFill>
          </w14:textFill>
        </w:rPr>
        <w:outlineLvl w:val="1"/>
      </w:pPr>
      <w:r>
        <w:rPr>
          <w:rFonts w:ascii="Times New Roman" w:hAnsi="Times New Roman"/>
          <w:color w:val="000000" w:themeColor="text1"/>
          <w:highlight w:val="none"/>
          <w14:textFill>
            <w14:solidFill>
              <w14:schemeClr w14:val="tx1"/>
            </w14:solidFill>
          </w14:textFill>
        </w:rPr>
      </w:r>
      <w:r/>
    </w:p>
    <w:p>
      <w:pPr>
        <w:pStyle w:val="1125"/>
        <w:rPr>
          <w:rFonts w:ascii="Times New Roman" w:hAnsi="Times New Roman"/>
          <w:color w:val="000000" w:themeColor="text1"/>
          <w:highlight w:val="none"/>
          <w14:textFill>
            <w14:solidFill>
              <w14:schemeClr w14:val="tx1"/>
            </w14:solidFill>
          </w14:textFill>
        </w:rPr>
        <w:outlineLvl w:val="1"/>
      </w:pPr>
      <w:r>
        <w:rPr>
          <w:rFonts w:hint="eastAsia" w:ascii="Times New Roman" w:hAnsi="Times New Roman"/>
          <w:color w:val="000000" w:themeColor="text1"/>
          <w:highlight w:val="none"/>
          <w14:textFill>
            <w14:solidFill>
              <w14:schemeClr w14:val="tx1"/>
            </w14:solidFill>
          </w14:textFill>
        </w:rPr>
        <w:t xml:space="preserve">九、</w:t>
      </w:r>
      <w:r>
        <w:rPr>
          <w:rFonts w:ascii="Times New Roman" w:hAnsi="Times New Roman"/>
          <w:color w:val="000000" w:themeColor="text1"/>
          <w:highlight w:val="none"/>
          <w14:textFill>
            <w14:solidFill>
              <w14:schemeClr w14:val="tx1"/>
            </w14:solidFill>
          </w14:textFill>
        </w:rPr>
        <w:t xml:space="preserve">项目组人员</w:t>
      </w:r>
      <w:r/>
    </w:p>
    <w:p>
      <w:pPr>
        <w:pStyle w:val="1064"/>
        <w:jc w:val="center"/>
        <w:spacing w:line="600" w:lineRule="exact"/>
        <w:rPr>
          <w:rFonts w:ascii="Times New Roman" w:hAnsi="Times New Roman"/>
          <w:b/>
          <w:bCs/>
          <w:color w:val="000000" w:themeColor="text1"/>
          <w:sz w:val="32"/>
          <w:szCs w:val="32"/>
          <w:highlight w:val="none"/>
          <w14:textFill>
            <w14:solidFill>
              <w14:schemeClr w14:val="tx1"/>
            </w14:solidFill>
          </w14:textFill>
        </w:rPr>
      </w:pPr>
      <w:r>
        <w:rPr>
          <w:rFonts w:hint="eastAsia" w:ascii="Times New Roman" w:hAnsi="Times New Roman"/>
          <w:b/>
          <w:bCs/>
          <w:color w:val="000000" w:themeColor="text1"/>
          <w:sz w:val="32"/>
          <w:szCs w:val="32"/>
          <w:highlight w:val="none"/>
          <w:lang w:bidi="ar"/>
          <w14:textFill>
            <w14:solidFill>
              <w14:schemeClr w14:val="tx1"/>
            </w14:solidFill>
          </w14:textFill>
        </w:rPr>
        <w:t xml:space="preserve">项目组人员</w:t>
      </w:r>
      <w:r/>
    </w:p>
    <w:tbl>
      <w:tblPr>
        <w:tblStyle w:val="827"/>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26"/>
              <w:jc w:val="center"/>
              <w:spacing w:beforeAutospacing="1"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26"/>
              <w:jc w:val="center"/>
              <w:spacing w:beforeAutospacing="1"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26"/>
              <w:jc w:val="center"/>
              <w:spacing w:beforeAutospacing="1"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26"/>
              <w:ind w:firstLine="280"/>
              <w:spacing w:beforeAutospacing="1"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26"/>
              <w:jc w:val="center"/>
              <w:spacing w:beforeAutospacing="1"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26"/>
              <w:spacing w:beforeAutospacing="1"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26"/>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64"/>
              <w:jc w:val="center"/>
              <w:rPr>
                <w:rFonts w:ascii="Times New Roman" w:hAnsi="Times New Roman"/>
                <w:color w:val="000000" w:themeColor="text1"/>
                <w:sz w:val="20"/>
                <w:szCs w:val="20"/>
                <w:highlight w:val="none"/>
                <w14:textFill>
                  <w14:solidFill>
                    <w14:schemeClr w14:val="tx1"/>
                  </w14:solidFill>
                </w14:textFill>
              </w:rPr>
            </w:pPr>
            <w:r/>
            <w:bookmarkStart w:id="215" w:name="_GoBack"/>
            <w:r>
              <w:rPr>
                <w:rFonts w:hint="eastAsia" w:ascii="Times New Roman" w:hAnsi="Times New Roman" w:eastAsia="仿宋_GB2312" w:cs="仿宋_GB2312"/>
                <w:color w:val="000000" w:themeColor="text1"/>
                <w:sz w:val="28"/>
                <w:szCs w:val="28"/>
                <w:highlight w:val="none"/>
                <w:lang w:bidi="ar"/>
                <w14:textFill>
                  <w14:solidFill>
                    <w14:schemeClr w14:val="tx1"/>
                  </w14:solidFill>
                </w14:textFill>
              </w:rPr>
              <w:t xml:space="preserve">项目负责人</w:t>
            </w:r>
            <w:bookmarkEnd w:id="215"/>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26"/>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26"/>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26"/>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26"/>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26"/>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64"/>
              <w:jc w:val="both"/>
              <w:rPr>
                <w:rFonts w:ascii="Times New Roman" w:hAnsi="Times New Roman" w:eastAsia="仿宋_GB2312" w:cs="仿宋_GB2312"/>
                <w:color w:val="000000" w:themeColor="text1"/>
                <w:sz w:val="28"/>
                <w:szCs w:val="28"/>
                <w:highlight w:val="none"/>
                <w14:textFill>
                  <w14:solidFill>
                    <w14:schemeClr w14:val="tx1"/>
                  </w14:solidFill>
                </w14:textFill>
              </w:rPr>
            </w:pPr>
            <w:r>
              <w:rPr>
                <w:rFonts w:ascii="Times New Roman" w:hAnsi="Times New Roman" w:eastAsia="仿宋_GB2312" w:cs="仿宋_GB2312"/>
                <w:color w:val="000000" w:themeColor="text1"/>
                <w:sz w:val="28"/>
                <w:szCs w:val="28"/>
                <w:highlight w:val="none"/>
                <w:lang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26"/>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26"/>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26"/>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26"/>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26"/>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64"/>
              <w:ind w:firstLine="280"/>
              <w:jc w:val="center"/>
              <w:rPr>
                <w:rFonts w:ascii="Times New Roman" w:hAnsi="Times New Roman" w:eastAsia="仿宋_GB2312" w:cs="仿宋_GB2312"/>
                <w:color w:val="000000" w:themeColor="text1"/>
                <w:sz w:val="28"/>
                <w:szCs w:val="28"/>
                <w:highlight w:val="none"/>
                <w14:textFill>
                  <w14:solidFill>
                    <w14:schemeClr w14:val="tx1"/>
                  </w14:solidFill>
                </w14:textFill>
              </w:rPr>
            </w:pPr>
            <w:r>
              <w:rPr>
                <w:rFonts w:ascii="Times New Roman" w:hAnsi="Times New Roman" w:eastAsia="仿宋_GB2312" w:cs="仿宋_GB2312"/>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26"/>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26"/>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26"/>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26"/>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26"/>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64"/>
              <w:rPr>
                <w:rFonts w:ascii="Times New Roman" w:hAnsi="Times New Roman" w:eastAsia="仿宋_GB2312" w:cs="仿宋_GB2312"/>
                <w:color w:val="000000" w:themeColor="text1"/>
                <w:sz w:val="28"/>
                <w:szCs w:val="28"/>
                <w:highlight w:val="none"/>
                <w14:textFill>
                  <w14:solidFill>
                    <w14:schemeClr w14:val="tx1"/>
                  </w14:solidFill>
                </w14:textFill>
              </w:rPr>
            </w:pPr>
            <w:r>
              <w:rPr>
                <w:rFonts w:ascii="Times New Roman" w:hAnsi="Times New Roman" w:eastAsia="仿宋_GB2312" w:cs="仿宋_GB2312"/>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26"/>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26"/>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26"/>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26"/>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26"/>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64"/>
              <w:rPr>
                <w:rFonts w:ascii="Times New Roman" w:hAnsi="Times New Roman" w:eastAsia="仿宋_GB2312" w:cs="仿宋_GB2312"/>
                <w:color w:val="000000" w:themeColor="text1"/>
                <w:sz w:val="28"/>
                <w:szCs w:val="28"/>
                <w:highlight w:val="none"/>
                <w14:textFill>
                  <w14:solidFill>
                    <w14:schemeClr w14:val="tx1"/>
                  </w14:solidFill>
                </w14:textFill>
              </w:rPr>
            </w:pPr>
            <w:r>
              <w:rPr>
                <w:rFonts w:ascii="Times New Roman" w:hAnsi="Times New Roman" w:eastAsia="仿宋_GB2312" w:cs="仿宋_GB2312"/>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26"/>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26"/>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26"/>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26"/>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26"/>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26"/>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26"/>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26"/>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26"/>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26"/>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26"/>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26"/>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26"/>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26"/>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26"/>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26"/>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26"/>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26"/>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26"/>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26"/>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26"/>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26"/>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26"/>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26"/>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26"/>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26"/>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26"/>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26"/>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26"/>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26"/>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26"/>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26"/>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26"/>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26"/>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r>
    </w:tbl>
    <w:p>
      <w:pPr>
        <w:pStyle w:val="1064"/>
        <w:ind w:firstLine="398"/>
        <w:spacing w:line="460" w:lineRule="exact"/>
        <w:rPr>
          <w:rFonts w:cs="仿宋_GB2312"/>
          <w:color w:val="000000" w:themeColor="text1"/>
          <w:highlight w:val="none"/>
          <w14:textFill>
            <w14:solidFill>
              <w14:schemeClr w14:val="tx1"/>
            </w14:solidFill>
          </w14:textFill>
        </w:rPr>
      </w:pPr>
      <w:r>
        <w:rPr>
          <w:rFonts w:cs="仿宋_GB2312"/>
          <w:b/>
          <w:color w:val="000000" w:themeColor="text1"/>
          <w:highlight w:val="none"/>
          <w:lang w:bidi="ar"/>
          <w14:textFill>
            <w14:solidFill>
              <w14:schemeClr w14:val="tx1"/>
            </w14:solidFill>
          </w14:textFill>
        </w:rPr>
        <w:t xml:space="preserve">注：如供应商中标，项目组成员必须按本表承诺人员操作，不得随意更换。按投标文件要求附相关人员证书。</w:t>
      </w:r>
      <w:r/>
    </w:p>
    <w:p>
      <w:pPr>
        <w:pStyle w:val="1064"/>
        <w:ind w:firstLine="280"/>
        <w:spacing w:line="500" w:lineRule="exact"/>
        <w:rPr>
          <w:rFonts w:ascii="Times New Roman" w:hAnsi="Times New Roman" w:eastAsia="仿宋_GB2312" w:cs="仿宋_GB2312"/>
          <w:color w:val="000000" w:themeColor="text1"/>
          <w:highlight w:val="none"/>
          <w14:textFill>
            <w14:solidFill>
              <w14:schemeClr w14:val="tx1"/>
            </w14:solidFill>
          </w14:textFill>
        </w:rPr>
      </w:pPr>
      <w:r>
        <w:rPr>
          <w:rFonts w:ascii="Times New Roman" w:hAnsi="Times New Roman" w:eastAsia="仿宋_GB2312" w:cs="仿宋_GB2312"/>
          <w:color w:val="000000" w:themeColor="text1"/>
          <w:highlight w:val="none"/>
          <w14:textFill>
            <w14:solidFill>
              <w14:schemeClr w14:val="tx1"/>
            </w14:solidFill>
          </w14:textFill>
        </w:rPr>
      </w:r>
      <w:r/>
    </w:p>
    <w:p>
      <w:pPr>
        <w:pStyle w:val="1127"/>
        <w:spacing w:line="50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Start w:id="208" w:name="_Toc11176"/>
      <w:r>
        <w:rPr>
          <w:rFonts w:hint="eastAsia" w:eastAsia="黑体" w:cs="黑体"/>
          <w:b/>
          <w:color w:val="000000" w:themeColor="text1"/>
          <w:sz w:val="32"/>
          <w:highlight w:val="none"/>
          <w14:textFill>
            <w14:solidFill>
              <w14:schemeClr w14:val="tx1"/>
            </w14:solidFill>
          </w14:textFill>
        </w:rPr>
        <w:t xml:space="preserve">十、</w:t>
      </w:r>
      <w:bookmarkEnd w:id="208"/>
      <w:r>
        <w:rPr>
          <w:rFonts w:hint="eastAsia" w:eastAsia="黑体" w:cs="黑体"/>
          <w:b/>
          <w:color w:val="000000" w:themeColor="text1"/>
          <w:sz w:val="32"/>
          <w:highlight w:val="none"/>
          <w14:textFill>
            <w14:solidFill>
              <w14:schemeClr w14:val="tx1"/>
            </w14:solidFill>
          </w14:textFill>
        </w:rPr>
        <w:t xml:space="preserve">企业业绩</w:t>
      </w:r>
      <w:r/>
    </w:p>
    <w:p>
      <w:pPr>
        <w:pStyle w:val="1128"/>
        <w:jc w:val="center"/>
        <w:rPr>
          <w:rFonts w:ascii="Times New Roman" w:hAnsi="Times New Roman"/>
          <w:b/>
          <w:color w:val="000000" w:themeColor="text1"/>
          <w:sz w:val="32"/>
          <w:szCs w:val="32"/>
          <w:highlight w:val="none"/>
          <w14:textFill>
            <w14:solidFill>
              <w14:schemeClr w14:val="tx1"/>
            </w14:solidFill>
          </w14:textFill>
        </w:rPr>
      </w:pPr>
      <w:r>
        <w:rPr>
          <w:rFonts w:hint="eastAsia" w:ascii="Times New Roman" w:hAnsi="Times New Roman"/>
          <w:b/>
          <w:color w:val="000000" w:themeColor="text1"/>
          <w:sz w:val="32"/>
          <w:szCs w:val="32"/>
          <w:highlight w:val="none"/>
          <w14:textFill>
            <w14:solidFill>
              <w14:schemeClr w14:val="tx1"/>
            </w14:solidFill>
          </w14:textFill>
        </w:rPr>
        <w:t xml:space="preserve">投标人承担类似项目业绩一览表</w:t>
      </w:r>
      <w:r/>
    </w:p>
    <w:tbl>
      <w:tblPr>
        <w:tblStyle w:val="827"/>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129"/>
              <w:jc w:val="center"/>
              <w:spacing w:line="560" w:lineRule="exact"/>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序号</w:t>
            </w:r>
            <w:r/>
          </w:p>
        </w:tc>
        <w:tc>
          <w:tcPr>
            <w:tcW w:w="3827" w:type="dxa"/>
            <w:vAlign w:val="center"/>
            <w:textDirection w:val="lrTb"/>
            <w:noWrap w:val="false"/>
          </w:tcPr>
          <w:p>
            <w:pPr>
              <w:pStyle w:val="1129"/>
              <w:jc w:val="center"/>
              <w:spacing w:line="560" w:lineRule="exact"/>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项目名称</w:t>
            </w:r>
            <w:r/>
          </w:p>
        </w:tc>
        <w:tc>
          <w:tcPr>
            <w:tcW w:w="2433" w:type="dxa"/>
            <w:vAlign w:val="center"/>
            <w:textDirection w:val="lrTb"/>
            <w:noWrap w:val="false"/>
          </w:tcPr>
          <w:p>
            <w:pPr>
              <w:pStyle w:val="1129"/>
              <w:jc w:val="center"/>
              <w:spacing w:line="560" w:lineRule="exact"/>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采购单位</w:t>
            </w:r>
            <w:r/>
          </w:p>
        </w:tc>
        <w:tc>
          <w:tcPr>
            <w:tcW w:w="1395" w:type="dxa"/>
            <w:vAlign w:val="center"/>
            <w:textDirection w:val="lrTb"/>
            <w:noWrap w:val="false"/>
          </w:tcPr>
          <w:p>
            <w:pPr>
              <w:pStyle w:val="1129"/>
              <w:jc w:val="center"/>
              <w:spacing w:line="560" w:lineRule="exact"/>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合同金额</w:t>
            </w:r>
            <w:r/>
          </w:p>
        </w:tc>
      </w:tr>
      <w:tr>
        <w:trPr>
          <w:jc w:val="center"/>
          <w:trHeight w:val="1510"/>
        </w:trPr>
        <w:tc>
          <w:tcPr>
            <w:tcW w:w="1229" w:type="dxa"/>
            <w:textDirection w:val="lrTb"/>
            <w:noWrap w:val="false"/>
          </w:tcPr>
          <w:p>
            <w:pPr>
              <w:pStyle w:val="1129"/>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3827" w:type="dxa"/>
            <w:vAlign w:val="center"/>
            <w:textDirection w:val="lrTb"/>
            <w:noWrap w:val="false"/>
          </w:tcPr>
          <w:p>
            <w:pPr>
              <w:pStyle w:val="1129"/>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2433" w:type="dxa"/>
            <w:vAlign w:val="center"/>
            <w:textDirection w:val="lrTb"/>
            <w:noWrap w:val="false"/>
          </w:tcPr>
          <w:p>
            <w:pPr>
              <w:pStyle w:val="1129"/>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1395" w:type="dxa"/>
            <w:vAlign w:val="center"/>
            <w:textDirection w:val="lrTb"/>
            <w:noWrap w:val="false"/>
          </w:tcPr>
          <w:p>
            <w:pPr>
              <w:pStyle w:val="1129"/>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r>
      <w:tr>
        <w:trPr>
          <w:jc w:val="center"/>
          <w:trHeight w:val="1510"/>
        </w:trPr>
        <w:tc>
          <w:tcPr>
            <w:tcW w:w="1229" w:type="dxa"/>
            <w:textDirection w:val="lrTb"/>
            <w:noWrap w:val="false"/>
          </w:tcPr>
          <w:p>
            <w:pPr>
              <w:pStyle w:val="1129"/>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3827" w:type="dxa"/>
            <w:vAlign w:val="center"/>
            <w:textDirection w:val="lrTb"/>
            <w:noWrap w:val="false"/>
          </w:tcPr>
          <w:p>
            <w:pPr>
              <w:pStyle w:val="1129"/>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2433" w:type="dxa"/>
            <w:vAlign w:val="center"/>
            <w:textDirection w:val="lrTb"/>
            <w:noWrap w:val="false"/>
          </w:tcPr>
          <w:p>
            <w:pPr>
              <w:pStyle w:val="1129"/>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1395" w:type="dxa"/>
            <w:vAlign w:val="center"/>
            <w:textDirection w:val="lrTb"/>
            <w:noWrap w:val="false"/>
          </w:tcPr>
          <w:p>
            <w:pPr>
              <w:pStyle w:val="1129"/>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r>
      <w:tr>
        <w:trPr>
          <w:jc w:val="center"/>
          <w:trHeight w:val="1510"/>
        </w:trPr>
        <w:tc>
          <w:tcPr>
            <w:tcW w:w="1229" w:type="dxa"/>
            <w:textDirection w:val="lrTb"/>
            <w:noWrap w:val="false"/>
          </w:tcPr>
          <w:p>
            <w:pPr>
              <w:pStyle w:val="1129"/>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3827" w:type="dxa"/>
            <w:vAlign w:val="center"/>
            <w:textDirection w:val="lrTb"/>
            <w:noWrap w:val="false"/>
          </w:tcPr>
          <w:p>
            <w:pPr>
              <w:pStyle w:val="1129"/>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2433" w:type="dxa"/>
            <w:vAlign w:val="center"/>
            <w:textDirection w:val="lrTb"/>
            <w:noWrap w:val="false"/>
          </w:tcPr>
          <w:p>
            <w:pPr>
              <w:pStyle w:val="1129"/>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1395" w:type="dxa"/>
            <w:vAlign w:val="center"/>
            <w:textDirection w:val="lrTb"/>
            <w:noWrap w:val="false"/>
          </w:tcPr>
          <w:p>
            <w:pPr>
              <w:pStyle w:val="1129"/>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r>
      <w:tr>
        <w:trPr>
          <w:jc w:val="center"/>
          <w:trHeight w:val="1525"/>
        </w:trPr>
        <w:tc>
          <w:tcPr>
            <w:tcW w:w="1229" w:type="dxa"/>
            <w:textDirection w:val="lrTb"/>
            <w:noWrap w:val="false"/>
          </w:tcPr>
          <w:p>
            <w:pPr>
              <w:pStyle w:val="1129"/>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3827" w:type="dxa"/>
            <w:vAlign w:val="center"/>
            <w:textDirection w:val="lrTb"/>
            <w:noWrap w:val="false"/>
          </w:tcPr>
          <w:p>
            <w:pPr>
              <w:pStyle w:val="1129"/>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2433" w:type="dxa"/>
            <w:vAlign w:val="center"/>
            <w:textDirection w:val="lrTb"/>
            <w:noWrap w:val="false"/>
          </w:tcPr>
          <w:p>
            <w:pPr>
              <w:pStyle w:val="1129"/>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1395" w:type="dxa"/>
            <w:vAlign w:val="center"/>
            <w:textDirection w:val="lrTb"/>
            <w:noWrap w:val="false"/>
          </w:tcPr>
          <w:p>
            <w:pPr>
              <w:pStyle w:val="1129"/>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r>
    </w:tbl>
    <w:p>
      <w:pPr>
        <w:pStyle w:val="1128"/>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注：请填写此表，并按要求上传业绩资料电子件。</w:t>
      </w:r>
      <w:r/>
    </w:p>
    <w:p>
      <w:pPr>
        <w:pStyle w:val="1128"/>
        <w:rPr>
          <w:rFonts w:ascii="Times New Roman" w:hAnsi="Times New Roman" w:eastAsia="仿宋_GB2312"/>
          <w:b/>
          <w:color w:val="000000" w:themeColor="text1"/>
          <w:sz w:val="24"/>
          <w:highlight w:val="none"/>
          <w14:textFill>
            <w14:solidFill>
              <w14:schemeClr w14:val="tx1"/>
            </w14:solidFill>
          </w14:textFill>
        </w:rPr>
      </w:pPr>
      <w:r>
        <w:rPr>
          <w:rFonts w:ascii="Times New Roman" w:hAnsi="Times New Roman" w:eastAsia="仿宋_GB2312"/>
          <w:b/>
          <w:color w:val="000000" w:themeColor="text1"/>
          <w:sz w:val="24"/>
          <w:highlight w:val="none"/>
          <w14:textFill>
            <w14:solidFill>
              <w14:schemeClr w14:val="tx1"/>
            </w14:solidFill>
          </w14:textFill>
        </w:rPr>
      </w:r>
      <w:r/>
    </w:p>
    <w:p>
      <w:pPr>
        <w:pStyle w:val="1128"/>
        <w:rPr>
          <w:rFonts w:ascii="Times New Roman" w:hAnsi="Times New Roman" w:eastAsia="仿宋_GB2312"/>
          <w:b/>
          <w:color w:val="000000" w:themeColor="text1"/>
          <w:sz w:val="24"/>
          <w:highlight w:val="none"/>
          <w14:textFill>
            <w14:solidFill>
              <w14:schemeClr w14:val="tx1"/>
            </w14:solidFill>
          </w14:textFill>
        </w:rPr>
      </w:pPr>
      <w:r>
        <w:rPr>
          <w:rFonts w:ascii="Times New Roman" w:hAnsi="Times New Roman" w:eastAsia="仿宋_GB2312"/>
          <w:b/>
          <w:color w:val="000000" w:themeColor="text1"/>
          <w:sz w:val="24"/>
          <w:highlight w:val="none"/>
          <w14:textFill>
            <w14:solidFill>
              <w14:schemeClr w14:val="tx1"/>
            </w14:solidFill>
          </w14:textFill>
        </w:rPr>
      </w:r>
      <w:r/>
    </w:p>
    <w:p>
      <w:pPr>
        <w:pStyle w:val="1128"/>
        <w:rPr>
          <w:rFonts w:ascii="Times New Roman" w:hAnsi="Times New Roman" w:eastAsia="仿宋_GB2312"/>
          <w:b/>
          <w:color w:val="000000" w:themeColor="text1"/>
          <w:sz w:val="24"/>
          <w:highlight w:val="none"/>
          <w14:textFill>
            <w14:solidFill>
              <w14:schemeClr w14:val="tx1"/>
            </w14:solidFill>
          </w14:textFill>
        </w:rPr>
      </w:pPr>
      <w:r>
        <w:rPr>
          <w:rFonts w:ascii="Times New Roman" w:hAnsi="Times New Roman" w:eastAsia="仿宋_GB2312"/>
          <w:b/>
          <w:color w:val="000000" w:themeColor="text1"/>
          <w:sz w:val="24"/>
          <w:highlight w:val="none"/>
          <w14:textFill>
            <w14:solidFill>
              <w14:schemeClr w14:val="tx1"/>
            </w14:solidFill>
          </w14:textFill>
        </w:rPr>
      </w:r>
      <w:r/>
    </w:p>
    <w:p>
      <w:pPr>
        <w:pStyle w:val="1128"/>
        <w:rPr>
          <w:rFonts w:ascii="Times New Roman" w:hAnsi="Times New Roman" w:eastAsia="仿宋_GB2312"/>
          <w:b/>
          <w:color w:val="000000" w:themeColor="text1"/>
          <w:sz w:val="24"/>
          <w:highlight w:val="none"/>
          <w14:textFill>
            <w14:solidFill>
              <w14:schemeClr w14:val="tx1"/>
            </w14:solidFill>
          </w14:textFill>
        </w:rPr>
      </w:pPr>
      <w:r>
        <w:rPr>
          <w:rFonts w:ascii="Times New Roman" w:hAnsi="Times New Roman" w:eastAsia="仿宋_GB2312"/>
          <w:b/>
          <w:color w:val="000000" w:themeColor="text1"/>
          <w:sz w:val="24"/>
          <w:highlight w:val="none"/>
          <w14:textFill>
            <w14:solidFill>
              <w14:schemeClr w14:val="tx1"/>
            </w14:solidFill>
          </w14:textFill>
        </w:rPr>
      </w:r>
      <w:r/>
    </w:p>
    <w:p>
      <w:pPr>
        <w:pStyle w:val="1128"/>
        <w:rPr>
          <w:rFonts w:ascii="Times New Roman" w:hAnsi="Times New Roman" w:eastAsia="仿宋_GB2312"/>
          <w:b/>
          <w:color w:val="000000" w:themeColor="text1"/>
          <w:sz w:val="24"/>
          <w:highlight w:val="none"/>
          <w14:textFill>
            <w14:solidFill>
              <w14:schemeClr w14:val="tx1"/>
            </w14:solidFill>
          </w14:textFill>
        </w:rPr>
      </w:pPr>
      <w:r>
        <w:rPr>
          <w:rFonts w:ascii="Times New Roman" w:hAnsi="Times New Roman" w:eastAsia="仿宋_GB2312"/>
          <w:b/>
          <w:color w:val="000000" w:themeColor="text1"/>
          <w:sz w:val="24"/>
          <w:highlight w:val="none"/>
          <w14:textFill>
            <w14:solidFill>
              <w14:schemeClr w14:val="tx1"/>
            </w14:solidFill>
          </w14:textFill>
        </w:rPr>
      </w:r>
      <w:r/>
    </w:p>
    <w:p>
      <w:pPr>
        <w:pStyle w:val="1128"/>
        <w:rPr>
          <w:rFonts w:ascii="Times New Roman" w:hAnsi="Times New Roman" w:eastAsia="仿宋_GB2312"/>
          <w:b/>
          <w:color w:val="000000" w:themeColor="text1"/>
          <w:sz w:val="24"/>
          <w:highlight w:val="none"/>
          <w14:textFill>
            <w14:solidFill>
              <w14:schemeClr w14:val="tx1"/>
            </w14:solidFill>
          </w14:textFill>
        </w:rPr>
      </w:pPr>
      <w:r>
        <w:rPr>
          <w:rFonts w:ascii="Times New Roman" w:hAnsi="Times New Roman" w:eastAsia="仿宋_GB2312"/>
          <w:b/>
          <w:color w:val="000000" w:themeColor="text1"/>
          <w:sz w:val="24"/>
          <w:highlight w:val="none"/>
          <w14:textFill>
            <w14:solidFill>
              <w14:schemeClr w14:val="tx1"/>
            </w14:solidFill>
          </w14:textFill>
        </w:rPr>
      </w:r>
      <w:r/>
    </w:p>
    <w:p>
      <w:pPr>
        <w:pStyle w:val="1128"/>
        <w:rPr>
          <w:rFonts w:ascii="Times New Roman" w:hAnsi="Times New Roman" w:eastAsia="仿宋_GB2312"/>
          <w:b/>
          <w:color w:val="000000" w:themeColor="text1"/>
          <w:sz w:val="24"/>
          <w:highlight w:val="none"/>
          <w14:textFill>
            <w14:solidFill>
              <w14:schemeClr w14:val="tx1"/>
            </w14:solidFill>
          </w14:textFill>
        </w:rPr>
      </w:pPr>
      <w:r>
        <w:rPr>
          <w:rFonts w:ascii="Times New Roman" w:hAnsi="Times New Roman" w:eastAsia="仿宋_GB2312"/>
          <w:b/>
          <w:color w:val="000000" w:themeColor="text1"/>
          <w:sz w:val="24"/>
          <w:highlight w:val="none"/>
          <w14:textFill>
            <w14:solidFill>
              <w14:schemeClr w14:val="tx1"/>
            </w14:solidFill>
          </w14:textFill>
        </w:rPr>
      </w:r>
      <w:r/>
    </w:p>
    <w:p>
      <w:pPr>
        <w:pStyle w:val="1128"/>
        <w:rPr>
          <w:rFonts w:ascii="Times New Roman" w:hAnsi="Times New Roman" w:eastAsia="仿宋_GB2312"/>
          <w:b/>
          <w:color w:val="000000" w:themeColor="text1"/>
          <w:sz w:val="24"/>
          <w:highlight w:val="none"/>
          <w14:textFill>
            <w14:solidFill>
              <w14:schemeClr w14:val="tx1"/>
            </w14:solidFill>
          </w14:textFill>
        </w:rPr>
      </w:pPr>
      <w:r>
        <w:rPr>
          <w:rFonts w:ascii="Times New Roman" w:hAnsi="Times New Roman" w:eastAsia="仿宋_GB2312"/>
          <w:b/>
          <w:color w:val="000000" w:themeColor="text1"/>
          <w:sz w:val="24"/>
          <w:highlight w:val="none"/>
          <w14:textFill>
            <w14:solidFill>
              <w14:schemeClr w14:val="tx1"/>
            </w14:solidFill>
          </w14:textFill>
        </w:rPr>
      </w:r>
      <w:r/>
    </w:p>
    <w:p>
      <w:pPr>
        <w:pStyle w:val="1128"/>
        <w:rPr>
          <w:rFonts w:ascii="Times New Roman" w:hAnsi="Times New Roman" w:eastAsia="仿宋_GB2312"/>
          <w:b/>
          <w:color w:val="000000" w:themeColor="text1"/>
          <w:sz w:val="24"/>
          <w:highlight w:val="none"/>
          <w14:textFill>
            <w14:solidFill>
              <w14:schemeClr w14:val="tx1"/>
            </w14:solidFill>
          </w14:textFill>
        </w:rPr>
      </w:pPr>
      <w:r>
        <w:rPr>
          <w:rFonts w:ascii="Times New Roman" w:hAnsi="Times New Roman" w:eastAsia="仿宋_GB2312"/>
          <w:b/>
          <w:color w:val="000000" w:themeColor="text1"/>
          <w:sz w:val="24"/>
          <w:highlight w:val="none"/>
          <w14:textFill>
            <w14:solidFill>
              <w14:schemeClr w14:val="tx1"/>
            </w14:solidFill>
          </w14:textFill>
        </w:rPr>
      </w:r>
      <w:r/>
    </w:p>
    <w:p>
      <w:pPr>
        <w:pStyle w:val="1128"/>
        <w:rPr>
          <w:rFonts w:ascii="Times New Roman" w:hAnsi="Times New Roman" w:eastAsia="仿宋_GB2312"/>
          <w:b/>
          <w:color w:val="000000" w:themeColor="text1"/>
          <w:sz w:val="24"/>
          <w:highlight w:val="none"/>
          <w14:textFill>
            <w14:solidFill>
              <w14:schemeClr w14:val="tx1"/>
            </w14:solidFill>
          </w14:textFill>
        </w:rPr>
      </w:pPr>
      <w:r>
        <w:rPr>
          <w:rFonts w:ascii="Times New Roman" w:hAnsi="Times New Roman" w:eastAsia="仿宋_GB2312"/>
          <w:b/>
          <w:color w:val="000000" w:themeColor="text1"/>
          <w:sz w:val="24"/>
          <w:highlight w:val="none"/>
          <w14:textFill>
            <w14:solidFill>
              <w14:schemeClr w14:val="tx1"/>
            </w14:solidFill>
          </w14:textFill>
        </w:rPr>
      </w:r>
      <w:r/>
    </w:p>
    <w:p>
      <w:pPr>
        <w:pStyle w:val="1128"/>
        <w:rPr>
          <w:rFonts w:ascii="Times New Roman" w:hAnsi="Times New Roman" w:eastAsia="仿宋_GB2312"/>
          <w:b/>
          <w:color w:val="000000" w:themeColor="text1"/>
          <w:sz w:val="24"/>
          <w:highlight w:val="none"/>
          <w14:textFill>
            <w14:solidFill>
              <w14:schemeClr w14:val="tx1"/>
            </w14:solidFill>
          </w14:textFill>
        </w:rPr>
      </w:pPr>
      <w:r>
        <w:rPr>
          <w:rFonts w:ascii="Times New Roman" w:hAnsi="Times New Roman" w:eastAsia="仿宋_GB2312"/>
          <w:b/>
          <w:color w:val="000000" w:themeColor="text1"/>
          <w:sz w:val="24"/>
          <w:highlight w:val="none"/>
          <w14:textFill>
            <w14:solidFill>
              <w14:schemeClr w14:val="tx1"/>
            </w14:solidFill>
          </w14:textFill>
        </w:rPr>
      </w:r>
      <w:r/>
    </w:p>
    <w:p>
      <w:pPr>
        <w:pStyle w:val="1128"/>
        <w:rPr>
          <w:rFonts w:ascii="Times New Roman" w:hAnsi="Times New Roman" w:eastAsia="仿宋_GB2312"/>
          <w:b/>
          <w:color w:val="000000" w:themeColor="text1"/>
          <w:sz w:val="24"/>
          <w:highlight w:val="none"/>
          <w14:textFill>
            <w14:solidFill>
              <w14:schemeClr w14:val="tx1"/>
            </w14:solidFill>
          </w14:textFill>
        </w:rPr>
      </w:pPr>
      <w:r>
        <w:rPr>
          <w:rFonts w:ascii="Times New Roman" w:hAnsi="Times New Roman" w:eastAsia="仿宋_GB2312"/>
          <w:b/>
          <w:color w:val="000000" w:themeColor="text1"/>
          <w:sz w:val="24"/>
          <w:highlight w:val="none"/>
          <w14:textFill>
            <w14:solidFill>
              <w14:schemeClr w14:val="tx1"/>
            </w14:solidFill>
          </w14:textFill>
        </w:rPr>
      </w:r>
      <w:r/>
    </w:p>
    <w:p>
      <w:pPr>
        <w:pStyle w:val="1128"/>
        <w:rPr>
          <w:rFonts w:ascii="Times New Roman" w:hAnsi="Times New Roman" w:eastAsia="仿宋_GB2312"/>
          <w:b/>
          <w:color w:val="000000" w:themeColor="text1"/>
          <w:sz w:val="24"/>
          <w:highlight w:val="none"/>
          <w14:textFill>
            <w14:solidFill>
              <w14:schemeClr w14:val="tx1"/>
            </w14:solidFill>
          </w14:textFill>
        </w:rPr>
      </w:pPr>
      <w:r>
        <w:rPr>
          <w:rFonts w:ascii="Times New Roman" w:hAnsi="Times New Roman" w:eastAsia="仿宋_GB2312"/>
          <w:b/>
          <w:color w:val="000000" w:themeColor="text1"/>
          <w:sz w:val="24"/>
          <w:highlight w:val="none"/>
          <w14:textFill>
            <w14:solidFill>
              <w14:schemeClr w14:val="tx1"/>
            </w14:solidFill>
          </w14:textFill>
        </w:rPr>
      </w:r>
      <w:r/>
    </w:p>
    <w:p>
      <w:pPr>
        <w:pStyle w:val="1128"/>
        <w:rPr>
          <w:rFonts w:ascii="Times New Roman" w:hAnsi="Times New Roman" w:eastAsia="仿宋_GB2312"/>
          <w:b/>
          <w:color w:val="000000" w:themeColor="text1"/>
          <w:sz w:val="24"/>
          <w:highlight w:val="none"/>
          <w14:textFill>
            <w14:solidFill>
              <w14:schemeClr w14:val="tx1"/>
            </w14:solidFill>
          </w14:textFill>
        </w:rPr>
      </w:pPr>
      <w:r>
        <w:rPr>
          <w:rFonts w:ascii="Times New Roman" w:hAnsi="Times New Roman" w:eastAsia="仿宋_GB2312"/>
          <w:b/>
          <w:color w:val="000000" w:themeColor="text1"/>
          <w:sz w:val="24"/>
          <w:highlight w:val="none"/>
          <w14:textFill>
            <w14:solidFill>
              <w14:schemeClr w14:val="tx1"/>
            </w14:solidFill>
          </w14:textFill>
        </w:rPr>
      </w:r>
      <w:r/>
    </w:p>
    <w:p>
      <w:pPr>
        <w:pStyle w:val="1128"/>
        <w:rPr>
          <w:rFonts w:ascii="Times New Roman" w:hAnsi="Times New Roman" w:eastAsia="仿宋_GB2312"/>
          <w:b/>
          <w:color w:val="000000" w:themeColor="text1"/>
          <w:sz w:val="24"/>
          <w:highlight w:val="none"/>
          <w14:textFill>
            <w14:solidFill>
              <w14:schemeClr w14:val="tx1"/>
            </w14:solidFill>
          </w14:textFill>
        </w:rPr>
      </w:pPr>
      <w:r>
        <w:rPr>
          <w:rFonts w:ascii="Times New Roman" w:hAnsi="Times New Roman" w:eastAsia="仿宋_GB2312"/>
          <w:b/>
          <w:color w:val="000000" w:themeColor="text1"/>
          <w:sz w:val="24"/>
          <w:highlight w:val="none"/>
          <w14:textFill>
            <w14:solidFill>
              <w14:schemeClr w14:val="tx1"/>
            </w14:solidFill>
          </w14:textFill>
        </w:rPr>
      </w:r>
      <w:r/>
    </w:p>
    <w:p>
      <w:pPr>
        <w:pStyle w:val="1128"/>
        <w:rPr>
          <w:rFonts w:ascii="Times New Roman" w:hAnsi="Times New Roman" w:eastAsia="仿宋_GB2312"/>
          <w:b/>
          <w:color w:val="000000" w:themeColor="text1"/>
          <w:sz w:val="24"/>
          <w:highlight w:val="none"/>
          <w14:textFill>
            <w14:solidFill>
              <w14:schemeClr w14:val="tx1"/>
            </w14:solidFill>
          </w14:textFill>
        </w:rPr>
      </w:pPr>
      <w:r>
        <w:rPr>
          <w:rFonts w:ascii="Times New Roman" w:hAnsi="Times New Roman" w:eastAsia="仿宋_GB2312"/>
          <w:b/>
          <w:color w:val="000000" w:themeColor="text1"/>
          <w:sz w:val="24"/>
          <w:highlight w:val="none"/>
          <w14:textFill>
            <w14:solidFill>
              <w14:schemeClr w14:val="tx1"/>
            </w14:solidFill>
          </w14:textFill>
        </w:rPr>
      </w:r>
      <w:r/>
    </w:p>
    <w:p>
      <w:pPr>
        <w:pStyle w:val="1128"/>
        <w:rPr>
          <w:rFonts w:ascii="Times New Roman" w:hAnsi="Times New Roman" w:eastAsia="仿宋_GB2312"/>
          <w:b/>
          <w:color w:val="000000" w:themeColor="text1"/>
          <w:sz w:val="24"/>
          <w:highlight w:val="none"/>
          <w14:textFill>
            <w14:solidFill>
              <w14:schemeClr w14:val="tx1"/>
            </w14:solidFill>
          </w14:textFill>
        </w:rPr>
      </w:pPr>
      <w:r>
        <w:rPr>
          <w:rFonts w:ascii="Times New Roman" w:hAnsi="Times New Roman" w:eastAsia="仿宋_GB2312"/>
          <w:b/>
          <w:color w:val="000000" w:themeColor="text1"/>
          <w:sz w:val="24"/>
          <w:highlight w:val="none"/>
          <w14:textFill>
            <w14:solidFill>
              <w14:schemeClr w14:val="tx1"/>
            </w14:solidFill>
          </w14:textFill>
        </w:rPr>
      </w:r>
      <w:r/>
    </w:p>
    <w:p>
      <w:pPr>
        <w:pStyle w:val="1128"/>
        <w:rPr>
          <w:rFonts w:ascii="Times New Roman" w:hAnsi="Times New Roman" w:eastAsia="仿宋_GB2312"/>
          <w:b/>
          <w:color w:val="000000" w:themeColor="text1"/>
          <w:sz w:val="24"/>
          <w:highlight w:val="none"/>
          <w14:textFill>
            <w14:solidFill>
              <w14:schemeClr w14:val="tx1"/>
            </w14:solidFill>
          </w14:textFill>
        </w:rPr>
      </w:pPr>
      <w:r>
        <w:rPr>
          <w:rFonts w:ascii="Times New Roman" w:hAnsi="Times New Roman" w:eastAsia="仿宋_GB2312"/>
          <w:b/>
          <w:color w:val="000000" w:themeColor="text1"/>
          <w:sz w:val="24"/>
          <w:highlight w:val="none"/>
          <w14:textFill>
            <w14:solidFill>
              <w14:schemeClr w14:val="tx1"/>
            </w14:solidFill>
          </w14:textFill>
        </w:rPr>
      </w:r>
      <w:r/>
    </w:p>
    <w:p>
      <w:pPr>
        <w:pStyle w:val="1128"/>
        <w:rPr>
          <w:rFonts w:ascii="Times New Roman" w:hAnsi="Times New Roman" w:eastAsia="仿宋_GB2312"/>
          <w:b/>
          <w:color w:val="000000" w:themeColor="text1"/>
          <w:sz w:val="24"/>
          <w:highlight w:val="none"/>
          <w14:textFill>
            <w14:solidFill>
              <w14:schemeClr w14:val="tx1"/>
            </w14:solidFill>
          </w14:textFill>
        </w:rPr>
      </w:pPr>
      <w:r>
        <w:rPr>
          <w:rFonts w:ascii="Times New Roman" w:hAnsi="Times New Roman" w:eastAsia="仿宋_GB2312"/>
          <w:b/>
          <w:color w:val="000000" w:themeColor="text1"/>
          <w:sz w:val="24"/>
          <w:highlight w:val="none"/>
          <w14:textFill>
            <w14:solidFill>
              <w14:schemeClr w14:val="tx1"/>
            </w14:solidFill>
          </w14:textFill>
        </w:rPr>
      </w:r>
      <w:r/>
    </w:p>
    <w:p>
      <w:pPr>
        <w:pStyle w:val="1128"/>
        <w:rPr>
          <w:rFonts w:ascii="Times New Roman" w:hAnsi="Times New Roman" w:eastAsia="仿宋_GB2312"/>
          <w:b/>
          <w:color w:val="000000" w:themeColor="text1"/>
          <w:sz w:val="24"/>
          <w:highlight w:val="none"/>
          <w14:textFill>
            <w14:solidFill>
              <w14:schemeClr w14:val="tx1"/>
            </w14:solidFill>
          </w14:textFill>
        </w:rPr>
      </w:pPr>
      <w:r>
        <w:rPr>
          <w:rFonts w:ascii="Times New Roman" w:hAnsi="Times New Roman" w:eastAsia="仿宋_GB2312"/>
          <w:b/>
          <w:color w:val="000000" w:themeColor="text1"/>
          <w:sz w:val="24"/>
          <w:highlight w:val="none"/>
          <w14:textFill>
            <w14:solidFill>
              <w14:schemeClr w14:val="tx1"/>
            </w14:solidFill>
          </w14:textFill>
        </w:rPr>
      </w:r>
      <w:r/>
    </w:p>
    <w:p>
      <w:pPr>
        <w:pStyle w:val="1128"/>
        <w:rPr>
          <w:rFonts w:ascii="Times New Roman" w:hAnsi="Times New Roman" w:eastAsia="黑体" w:cs="黑体"/>
          <w:b/>
          <w:color w:val="000000" w:themeColor="text1"/>
          <w:sz w:val="32"/>
          <w:szCs w:val="24"/>
          <w:highlight w:val="none"/>
          <w14:textFill>
            <w14:solidFill>
              <w14:schemeClr w14:val="tx1"/>
            </w14:solidFill>
          </w14:textFill>
        </w:rPr>
      </w:pPr>
      <w:r>
        <w:rPr>
          <w:rFonts w:hint="eastAsia" w:ascii="Times New Roman" w:hAnsi="Times New Roman" w:eastAsia="黑体" w:cs="黑体"/>
          <w:b/>
          <w:color w:val="000000" w:themeColor="text1"/>
          <w:sz w:val="32"/>
          <w:szCs w:val="24"/>
          <w:highlight w:val="none"/>
          <w14:textFill>
            <w14:solidFill>
              <w14:schemeClr w14:val="tx1"/>
            </w14:solidFill>
          </w14:textFill>
        </w:rPr>
        <w:t xml:space="preserve">十一、项目实施方案</w:t>
      </w:r>
      <w:r/>
    </w:p>
    <w:p>
      <w:pPr>
        <w:pStyle w:val="1128"/>
        <w:rPr>
          <w:rFonts w:ascii="Times New Roman" w:hAnsi="Times New Roman" w:eastAsia="仿宋_GB2312"/>
          <w:b/>
          <w:color w:val="000000" w:themeColor="text1"/>
          <w:sz w:val="24"/>
          <w:highlight w:val="none"/>
          <w14:textFill>
            <w14:solidFill>
              <w14:schemeClr w14:val="tx1"/>
            </w14:solidFill>
          </w14:textFill>
        </w:rPr>
      </w:pPr>
      <w:r>
        <w:rPr>
          <w:rFonts w:ascii="Times New Roman" w:hAnsi="Times New Roman" w:eastAsia="仿宋_GB2312"/>
          <w:b/>
          <w:color w:val="000000" w:themeColor="text1"/>
          <w:sz w:val="24"/>
          <w:highlight w:val="none"/>
          <w14:textFill>
            <w14:solidFill>
              <w14:schemeClr w14:val="tx1"/>
            </w14:solidFill>
          </w14:textFill>
        </w:rPr>
      </w:r>
      <w:r/>
    </w:p>
    <w:p>
      <w:pPr>
        <w:pStyle w:val="1128"/>
        <w:rPr>
          <w:rFonts w:ascii="Times New Roman" w:hAnsi="Times New Roman" w:eastAsia="仿宋_GB2312"/>
          <w:b/>
          <w:color w:val="000000" w:themeColor="text1"/>
          <w:sz w:val="24"/>
          <w:highlight w:val="none"/>
          <w14:textFill>
            <w14:solidFill>
              <w14:schemeClr w14:val="tx1"/>
            </w14:solidFill>
          </w14:textFill>
        </w:rPr>
      </w:pPr>
      <w:r>
        <w:rPr>
          <w:rFonts w:ascii="Times New Roman" w:hAnsi="Times New Roman" w:eastAsia="仿宋_GB2312"/>
          <w:b/>
          <w:color w:val="000000" w:themeColor="text1"/>
          <w:sz w:val="24"/>
          <w:highlight w:val="none"/>
          <w14:textFill>
            <w14:solidFill>
              <w14:schemeClr w14:val="tx1"/>
            </w14:solidFill>
          </w14:textFill>
        </w:rPr>
      </w:r>
      <w:r/>
    </w:p>
    <w:p>
      <w:pPr>
        <w:pStyle w:val="1128"/>
        <w:rPr>
          <w:rFonts w:ascii="Times New Roman" w:hAnsi="Times New Roman" w:eastAsia="仿宋_GB2312"/>
          <w:b/>
          <w:color w:val="000000" w:themeColor="text1"/>
          <w:sz w:val="24"/>
          <w:highlight w:val="none"/>
          <w14:textFill>
            <w14:solidFill>
              <w14:schemeClr w14:val="tx1"/>
            </w14:solidFill>
          </w14:textFill>
        </w:rPr>
      </w:pPr>
      <w:r>
        <w:rPr>
          <w:rFonts w:ascii="Times New Roman" w:hAnsi="Times New Roman" w:eastAsia="仿宋_GB2312"/>
          <w:b/>
          <w:color w:val="000000" w:themeColor="text1"/>
          <w:sz w:val="24"/>
          <w:highlight w:val="none"/>
          <w14:textFill>
            <w14:solidFill>
              <w14:schemeClr w14:val="tx1"/>
            </w14:solidFill>
          </w14:textFill>
        </w:rPr>
      </w:r>
      <w:r/>
    </w:p>
    <w:p>
      <w:pPr>
        <w:pStyle w:val="1128"/>
        <w:rPr>
          <w:rFonts w:ascii="Times New Roman" w:hAnsi="Times New Roman" w:eastAsia="仿宋_GB2312"/>
          <w:b/>
          <w:color w:val="000000" w:themeColor="text1"/>
          <w:sz w:val="24"/>
          <w:highlight w:val="none"/>
          <w14:textFill>
            <w14:solidFill>
              <w14:schemeClr w14:val="tx1"/>
            </w14:solidFill>
          </w14:textFill>
        </w:rPr>
      </w:pPr>
      <w:r>
        <w:rPr>
          <w:rFonts w:ascii="Times New Roman" w:hAnsi="Times New Roman" w:eastAsia="仿宋_GB2312"/>
          <w:b/>
          <w:color w:val="000000" w:themeColor="text1"/>
          <w:sz w:val="24"/>
          <w:highlight w:val="none"/>
          <w14:textFill>
            <w14:solidFill>
              <w14:schemeClr w14:val="tx1"/>
            </w14:solidFill>
          </w14:textFill>
        </w:rPr>
      </w:r>
      <w:r/>
    </w:p>
    <w:p>
      <w:pPr>
        <w:pStyle w:val="1128"/>
        <w:rPr>
          <w:rFonts w:ascii="Times New Roman" w:hAnsi="Times New Roman" w:eastAsia="仿宋_GB2312"/>
          <w:b/>
          <w:color w:val="000000" w:themeColor="text1"/>
          <w:sz w:val="24"/>
          <w:highlight w:val="none"/>
          <w14:textFill>
            <w14:solidFill>
              <w14:schemeClr w14:val="tx1"/>
            </w14:solidFill>
          </w14:textFill>
        </w:rPr>
      </w:pPr>
      <w:r>
        <w:rPr>
          <w:rFonts w:ascii="Times New Roman" w:hAnsi="Times New Roman" w:eastAsia="仿宋_GB2312"/>
          <w:b/>
          <w:color w:val="000000" w:themeColor="text1"/>
          <w:sz w:val="24"/>
          <w:highlight w:val="none"/>
          <w14:textFill>
            <w14:solidFill>
              <w14:schemeClr w14:val="tx1"/>
            </w14:solidFill>
          </w14:textFill>
        </w:rPr>
      </w:r>
      <w:r/>
    </w:p>
    <w:p>
      <w:pPr>
        <w:pStyle w:val="1128"/>
        <w:rPr>
          <w:rFonts w:ascii="Times New Roman" w:hAnsi="Times New Roman" w:eastAsia="仿宋_GB2312"/>
          <w:b/>
          <w:color w:val="000000" w:themeColor="text1"/>
          <w:sz w:val="24"/>
          <w:highlight w:val="none"/>
          <w14:textFill>
            <w14:solidFill>
              <w14:schemeClr w14:val="tx1"/>
            </w14:solidFill>
          </w14:textFill>
        </w:rPr>
      </w:pPr>
      <w:r>
        <w:rPr>
          <w:rFonts w:ascii="Times New Roman" w:hAnsi="Times New Roman" w:eastAsia="仿宋_GB2312"/>
          <w:b/>
          <w:color w:val="000000" w:themeColor="text1"/>
          <w:sz w:val="24"/>
          <w:highlight w:val="none"/>
          <w14:textFill>
            <w14:solidFill>
              <w14:schemeClr w14:val="tx1"/>
            </w14:solidFill>
          </w14:textFill>
        </w:rPr>
      </w:r>
      <w:r/>
    </w:p>
    <w:p>
      <w:pPr>
        <w:pStyle w:val="1128"/>
        <w:rPr>
          <w:rFonts w:ascii="Times New Roman" w:hAnsi="Times New Roman" w:eastAsia="仿宋_GB2312"/>
          <w:b/>
          <w:color w:val="000000" w:themeColor="text1"/>
          <w:sz w:val="24"/>
          <w:highlight w:val="none"/>
          <w14:textFill>
            <w14:solidFill>
              <w14:schemeClr w14:val="tx1"/>
            </w14:solidFill>
          </w14:textFill>
        </w:rPr>
      </w:pPr>
      <w:r>
        <w:rPr>
          <w:rFonts w:ascii="Times New Roman" w:hAnsi="Times New Roman" w:eastAsia="仿宋_GB2312"/>
          <w:b/>
          <w:color w:val="000000" w:themeColor="text1"/>
          <w:sz w:val="24"/>
          <w:highlight w:val="none"/>
          <w14:textFill>
            <w14:solidFill>
              <w14:schemeClr w14:val="tx1"/>
            </w14:solidFill>
          </w14:textFill>
        </w:rPr>
      </w:r>
      <w:r/>
    </w:p>
    <w:p>
      <w:pPr>
        <w:pStyle w:val="1128"/>
        <w:rPr>
          <w:rFonts w:ascii="Times New Roman" w:hAnsi="Times New Roman" w:eastAsia="仿宋_GB2312"/>
          <w:b/>
          <w:color w:val="000000" w:themeColor="text1"/>
          <w:sz w:val="24"/>
          <w:highlight w:val="none"/>
          <w14:textFill>
            <w14:solidFill>
              <w14:schemeClr w14:val="tx1"/>
            </w14:solidFill>
          </w14:textFill>
        </w:rPr>
      </w:pPr>
      <w:r>
        <w:rPr>
          <w:rFonts w:ascii="Times New Roman" w:hAnsi="Times New Roman" w:eastAsia="仿宋_GB2312"/>
          <w:b/>
          <w:color w:val="000000" w:themeColor="text1"/>
          <w:sz w:val="24"/>
          <w:highlight w:val="none"/>
          <w14:textFill>
            <w14:solidFill>
              <w14:schemeClr w14:val="tx1"/>
            </w14:solidFill>
          </w14:textFill>
        </w:rPr>
      </w:r>
      <w:r/>
    </w:p>
    <w:p>
      <w:pPr>
        <w:pStyle w:val="1128"/>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r>
      <w:r/>
    </w:p>
    <w:p>
      <w:pPr>
        <w:pStyle w:val="1130"/>
        <w:rPr>
          <w:rFonts w:ascii="Times New Roman" w:hAnsi="Times New Roman"/>
          <w:color w:val="000000" w:themeColor="text1"/>
          <w:highlight w:val="none"/>
          <w14:textFill>
            <w14:solidFill>
              <w14:schemeClr w14:val="tx1"/>
            </w14:solidFill>
          </w14:textFill>
        </w:rPr>
        <w:outlineLvl w:val="1"/>
      </w:pPr>
      <w:r>
        <w:rPr>
          <w:rFonts w:ascii="Times New Roman" w:hAnsi="Times New Roman"/>
          <w:color w:val="000000" w:themeColor="text1"/>
          <w:highlight w:val="none"/>
          <w14:textFill>
            <w14:solidFill>
              <w14:schemeClr w14:val="tx1"/>
            </w14:solidFill>
          </w14:textFill>
        </w:rPr>
        <w:br w:type="page" w:clear="all"/>
      </w:r>
      <w:bookmarkStart w:id="209" w:name="_Toc28140"/>
      <w:r>
        <w:rPr>
          <w:rFonts w:hint="eastAsia" w:ascii="Times New Roman" w:hAnsi="Times New Roman"/>
          <w:color w:val="000000" w:themeColor="text1"/>
          <w:highlight w:val="none"/>
          <w14:textFill>
            <w14:solidFill>
              <w14:schemeClr w14:val="tx1"/>
            </w14:solidFill>
          </w14:textFill>
        </w:rPr>
        <w:t xml:space="preserve">十二</w:t>
      </w:r>
      <w:r>
        <w:rPr>
          <w:rFonts w:ascii="Times New Roman" w:hAnsi="Times New Roman"/>
          <w:color w:val="000000" w:themeColor="text1"/>
          <w:highlight w:val="none"/>
          <w14:textFill>
            <w14:solidFill>
              <w14:schemeClr w14:val="tx1"/>
            </w14:solidFill>
          </w14:textFill>
        </w:rPr>
        <w:t xml:space="preserve">、投标所需其他材料</w:t>
      </w:r>
      <w:bookmarkEnd w:id="209"/>
      <w:r/>
      <w:r/>
    </w:p>
    <w:p>
      <w:pPr>
        <w:pStyle w:val="1131"/>
        <w:ind w:firstLine="560"/>
        <w:spacing w:line="360" w:lineRule="auto"/>
        <w:rPr>
          <w:rFonts w:ascii="Times New Roman" w:hAnsi="Times New Roman" w:cs="仿宋"/>
          <w:bCs/>
          <w:color w:val="000000" w:themeColor="text1"/>
          <w:sz w:val="24"/>
          <w:szCs w:val="24"/>
          <w:highlight w:val="none"/>
          <w14:textFill>
            <w14:solidFill>
              <w14:schemeClr w14:val="tx1"/>
            </w14:solidFill>
          </w14:textFill>
        </w:rPr>
      </w:pPr>
      <w:r>
        <w:rPr>
          <w:rFonts w:hint="eastAsia" w:ascii="Times New Roman" w:hAnsi="Times New Roman" w:cs="仿宋"/>
          <w:bCs/>
          <w:color w:val="000000" w:themeColor="text1"/>
          <w:sz w:val="24"/>
          <w:szCs w:val="24"/>
          <w:highlight w:val="none"/>
          <w14:textFill>
            <w14:solidFill>
              <w14:schemeClr w14:val="tx1"/>
            </w14:solidFill>
          </w14:textFill>
        </w:rPr>
        <w:t xml:space="preserve">请在此文档中增加投标所需其他相关内容（包括资格要求、评分办法、采购需求中涉及的证件证明及其它投标人认为有必要提供的资料），如没有请将此空文档上传。</w:t>
      </w:r>
      <w:r/>
    </w:p>
    <w:p>
      <w:pPr>
        <w:rPr>
          <w:color w:val="000000" w:themeColor="text1"/>
          <w:sz w:val="20"/>
          <w:highlight w:val="none"/>
          <w14:textFill>
            <w14:solidFill>
              <w14:schemeClr w14:val="tx1"/>
            </w14:solidFill>
          </w14:textFill>
        </w:rPr>
      </w:pPr>
      <w:r>
        <w:rPr>
          <w:rFonts w:hint="eastAsia"/>
          <w:color w:val="000000" w:themeColor="text1"/>
          <w:sz w:val="20"/>
          <w:highlight w:val="none"/>
          <w14:textFill>
            <w14:solidFill>
              <w14:schemeClr w14:val="tx1"/>
            </w14:solidFill>
          </w14:textFill>
        </w:rPr>
        <w:t xml:space="preserve"> </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eastAsia="黑体"/>
          <w:color w:val="000000" w:themeColor="text1"/>
          <w:sz w:val="32"/>
          <w:highlight w:val="none"/>
          <w14:textFill>
            <w14:solidFill>
              <w14:schemeClr w14:val="tx1"/>
            </w14:solidFill>
          </w14:textFill>
        </w:rPr>
      </w:pPr>
      <w:r>
        <w:rPr>
          <w:rFonts w:eastAsia="黑体"/>
          <w:color w:val="000000" w:themeColor="text1"/>
          <w:sz w:val="32"/>
          <w:highlight w:val="none"/>
          <w14:textFill>
            <w14:solidFill>
              <w14:schemeClr w14:val="tx1"/>
            </w14:solidFill>
          </w14:textFill>
        </w:rPr>
      </w:r>
      <w:r/>
    </w:p>
    <w:p>
      <w:pPr>
        <w:rPr>
          <w:rFonts w:eastAsia="黑体"/>
          <w:color w:val="000000" w:themeColor="text1"/>
          <w:sz w:val="32"/>
          <w:highlight w:val="none"/>
          <w14:textFill>
            <w14:solidFill>
              <w14:schemeClr w14:val="tx1"/>
            </w14:solidFill>
          </w14:textFill>
        </w:rPr>
      </w:pPr>
      <w:r>
        <w:rPr>
          <w:rFonts w:eastAsia="黑体"/>
          <w:color w:val="000000" w:themeColor="text1"/>
          <w:sz w:val="32"/>
          <w:highlight w:val="none"/>
          <w14:textFill>
            <w14:solidFill>
              <w14:schemeClr w14:val="tx1"/>
            </w14:solidFill>
          </w14:textFill>
        </w:rPr>
      </w:r>
      <w:r/>
    </w:p>
    <w:p>
      <w:pPr>
        <w:rPr>
          <w:rFonts w:eastAsia="黑体"/>
          <w:color w:val="000000" w:themeColor="text1"/>
          <w:sz w:val="32"/>
          <w:highlight w:val="none"/>
          <w14:textFill>
            <w14:solidFill>
              <w14:schemeClr w14:val="tx1"/>
            </w14:solidFill>
          </w14:textFill>
        </w:rPr>
      </w:pPr>
      <w:r>
        <w:rPr>
          <w:rFonts w:eastAsia="黑体"/>
          <w:color w:val="000000" w:themeColor="text1"/>
          <w:sz w:val="32"/>
          <w:highlight w:val="none"/>
          <w14:textFill>
            <w14:solidFill>
              <w14:schemeClr w14:val="tx1"/>
            </w14:solidFill>
          </w14:textFill>
        </w:rPr>
      </w:r>
      <w:r/>
    </w:p>
    <w:p>
      <w:pPr>
        <w:rPr>
          <w:rFonts w:eastAsia="黑体"/>
          <w:color w:val="000000" w:themeColor="text1"/>
          <w:sz w:val="32"/>
          <w:highlight w:val="none"/>
          <w14:textFill>
            <w14:solidFill>
              <w14:schemeClr w14:val="tx1"/>
            </w14:solidFill>
          </w14:textFill>
        </w:rPr>
      </w:pPr>
      <w:r>
        <w:rPr>
          <w:rFonts w:eastAsia="黑体"/>
          <w:color w:val="000000" w:themeColor="text1"/>
          <w:sz w:val="32"/>
          <w:highlight w:val="none"/>
          <w14:textFill>
            <w14:solidFill>
              <w14:schemeClr w14:val="tx1"/>
            </w14:solidFill>
          </w14:textFill>
        </w:rPr>
      </w:r>
      <w:bookmarkEnd w:id="203"/>
      <w:r/>
      <w:r/>
    </w:p>
    <w:p>
      <w:pPr>
        <w:spacing w:line="48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480" w:lineRule="auto"/>
        <w:rPr>
          <w:color w:val="000000" w:themeColor="text1"/>
          <w:sz w:val="30"/>
          <w:highlight w:val="none"/>
          <w14:textFill>
            <w14:solidFill>
              <w14:schemeClr w14:val="tx1"/>
            </w14:solidFill>
          </w14:textFill>
        </w:rPr>
      </w:pPr>
      <w:r>
        <w:rPr>
          <w:color w:val="000000" w:themeColor="text1"/>
          <w:sz w:val="30"/>
          <w:highlight w:val="none"/>
          <w14:textFill>
            <w14:solidFill>
              <w14:schemeClr w14:val="tx1"/>
            </w14:solidFill>
          </w14:textFill>
        </w:rPr>
      </w:r>
      <w:r/>
    </w:p>
    <w:p>
      <w:pPr>
        <w:pStyle w:val="1006"/>
        <w:ind w:firstLine="0"/>
        <w:rPr>
          <w:color w:val="000000" w:themeColor="text1"/>
          <w:sz w:val="24"/>
          <w:highlight w:val="none"/>
          <w14:textFill>
            <w14:solidFill>
              <w14:schemeClr w14:val="tx1"/>
            </w14:solidFill>
          </w14:textFill>
        </w:rPr>
      </w:pPr>
      <w:r/>
      <w:bookmarkStart w:id="210" w:name="_Hlt26671374"/>
      <w:r/>
      <w:bookmarkEnd w:id="210"/>
      <w:r/>
      <w:bookmarkStart w:id="211" w:name="_Hlt26955066"/>
      <w:r/>
      <w:bookmarkEnd w:id="211"/>
      <w:r/>
      <w:bookmarkStart w:id="212" w:name="_Hlt26609389"/>
      <w:r/>
      <w:bookmarkEnd w:id="212"/>
      <w:r/>
      <w:bookmarkStart w:id="213" w:name="_Toc462564146"/>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1078"/>
        <w:ind w:firstLine="480"/>
        <w:rPr>
          <w:rFonts w:ascii="Times New Roman" w:hAnsi="Times New Roman"/>
          <w:color w:val="000000" w:themeColor="text1"/>
          <w:sz w:val="24"/>
          <w:highlight w:val="none"/>
          <w14:textFill>
            <w14:solidFill>
              <w14:schemeClr w14:val="tx1"/>
            </w14:solidFill>
          </w14:textFill>
        </w:rPr>
      </w:pPr>
      <w:r>
        <w:rPr>
          <w:rFonts w:ascii="Times New Roman" w:hAnsi="Times New Roman"/>
          <w:color w:val="000000" w:themeColor="text1"/>
          <w:sz w:val="24"/>
          <w:highlight w:val="none"/>
          <w14:textFill>
            <w14:solidFill>
              <w14:schemeClr w14:val="tx1"/>
            </w14:solidFill>
          </w14:textFill>
        </w:rPr>
      </w:r>
      <w:r/>
    </w:p>
    <w:p>
      <w:pPr>
        <w:pStyle w:val="1078"/>
        <w:ind w:firstLine="480"/>
        <w:rPr>
          <w:rFonts w:ascii="Times New Roman" w:hAnsi="Times New Roman"/>
          <w:color w:val="000000" w:themeColor="text1"/>
          <w:sz w:val="24"/>
          <w:highlight w:val="none"/>
          <w14:textFill>
            <w14:solidFill>
              <w14:schemeClr w14:val="tx1"/>
            </w14:solidFill>
          </w14:textFill>
        </w:rPr>
      </w:pPr>
      <w:r>
        <w:rPr>
          <w:rFonts w:ascii="Times New Roman" w:hAnsi="Times New Roman"/>
          <w:color w:val="000000" w:themeColor="text1"/>
          <w:sz w:val="24"/>
          <w:highlight w:val="none"/>
          <w14:textFill>
            <w14:solidFill>
              <w14:schemeClr w14:val="tx1"/>
            </w14:solidFill>
          </w14:textFill>
        </w:rPr>
      </w:r>
      <w:r/>
    </w:p>
    <w:p>
      <w:pPr>
        <w:pStyle w:val="1078"/>
        <w:ind w:firstLine="480"/>
        <w:rPr>
          <w:rFonts w:ascii="Times New Roman" w:hAnsi="Times New Roman"/>
          <w:color w:val="000000" w:themeColor="text1"/>
          <w:sz w:val="24"/>
          <w:highlight w:val="none"/>
          <w14:textFill>
            <w14:solidFill>
              <w14:schemeClr w14:val="tx1"/>
            </w14:solidFill>
          </w14:textFill>
        </w:rPr>
      </w:pPr>
      <w:r>
        <w:rPr>
          <w:rFonts w:ascii="Times New Roman" w:hAnsi="Times New Roman"/>
          <w:color w:val="000000" w:themeColor="text1"/>
          <w:sz w:val="24"/>
          <w:highlight w:val="none"/>
          <w14:textFill>
            <w14:solidFill>
              <w14:schemeClr w14:val="tx1"/>
            </w14:solidFill>
          </w14:textFill>
        </w:rPr>
      </w:r>
      <w:r/>
    </w:p>
    <w:p>
      <w:pPr>
        <w:pStyle w:val="1078"/>
        <w:ind w:firstLine="480"/>
        <w:rPr>
          <w:rFonts w:ascii="Times New Roman" w:hAnsi="Times New Roman"/>
          <w:color w:val="000000" w:themeColor="text1"/>
          <w:sz w:val="24"/>
          <w:highlight w:val="none"/>
          <w14:textFill>
            <w14:solidFill>
              <w14:schemeClr w14:val="tx1"/>
            </w14:solidFill>
          </w14:textFill>
        </w:rPr>
      </w:pPr>
      <w:r>
        <w:rPr>
          <w:rFonts w:ascii="Times New Roman" w:hAnsi="Times New Roman"/>
          <w:color w:val="000000" w:themeColor="text1"/>
          <w:sz w:val="24"/>
          <w:highlight w:val="none"/>
          <w14:textFill>
            <w14:solidFill>
              <w14:schemeClr w14:val="tx1"/>
            </w14:solidFill>
          </w14:textFill>
        </w:rPr>
      </w:r>
      <w:r/>
    </w:p>
    <w:p>
      <w:pPr>
        <w:pStyle w:val="1078"/>
        <w:ind w:firstLine="480"/>
        <w:rPr>
          <w:rFonts w:ascii="Times New Roman" w:hAnsi="Times New Roman"/>
          <w:color w:val="000000" w:themeColor="text1"/>
          <w:sz w:val="24"/>
          <w:highlight w:val="none"/>
          <w14:textFill>
            <w14:solidFill>
              <w14:schemeClr w14:val="tx1"/>
            </w14:solidFill>
          </w14:textFill>
        </w:rPr>
      </w:pPr>
      <w:r>
        <w:rPr>
          <w:rFonts w:ascii="Times New Roman" w:hAnsi="Times New Roman"/>
          <w:color w:val="000000" w:themeColor="text1"/>
          <w:sz w:val="24"/>
          <w:highlight w:val="none"/>
          <w14:textFill>
            <w14:solidFill>
              <w14:schemeClr w14:val="tx1"/>
            </w14:solidFill>
          </w14:textFill>
        </w:rPr>
      </w:r>
      <w:r/>
    </w:p>
    <w:p>
      <w:pPr>
        <w:pStyle w:val="1078"/>
        <w:ind w:firstLine="480"/>
        <w:rPr>
          <w:rFonts w:ascii="Times New Roman" w:hAnsi="Times New Roman"/>
          <w:color w:val="000000" w:themeColor="text1"/>
          <w:sz w:val="24"/>
          <w:highlight w:val="none"/>
          <w14:textFill>
            <w14:solidFill>
              <w14:schemeClr w14:val="tx1"/>
            </w14:solidFill>
          </w14:textFill>
        </w:rPr>
      </w:pPr>
      <w:r>
        <w:rPr>
          <w:rFonts w:ascii="Times New Roman" w:hAnsi="Times New Roman"/>
          <w:color w:val="000000" w:themeColor="text1"/>
          <w:sz w:val="24"/>
          <w:highlight w:val="none"/>
          <w14:textFill>
            <w14:solidFill>
              <w14:schemeClr w14:val="tx1"/>
            </w14:solidFill>
          </w14:textFill>
        </w:rPr>
      </w:r>
      <w:bookmarkEnd w:id="192"/>
      <w:r/>
      <w:bookmarkEnd w:id="193"/>
      <w:r/>
      <w:bookmarkEnd w:id="213"/>
      <w:r/>
      <w:r/>
    </w:p>
    <w:p>
      <w:pPr>
        <w:jc w:val="center"/>
        <w:rPr>
          <w:rFonts w:eastAsia="黑体"/>
          <w:b/>
          <w:color w:val="000000" w:themeColor="text1"/>
          <w:sz w:val="32"/>
          <w:szCs w:val="32"/>
          <w:highlight w:val="none"/>
          <w14:textFill>
            <w14:solidFill>
              <w14:schemeClr w14:val="tx1"/>
            </w14:solidFill>
          </w14:textFill>
        </w:rPr>
      </w:pPr>
      <w:r/>
      <w:bookmarkStart w:id="214" w:name="_格式2__法定代表人授权书"/>
      <w:r/>
      <w:bookmarkEnd w:id="214"/>
      <w:r/>
      <w:r/>
    </w:p>
    <w:p>
      <w:pPr>
        <w:jc w:val="center"/>
        <w:rPr>
          <w:rFonts w:eastAsia="黑体"/>
          <w:b/>
          <w:color w:val="000000" w:themeColor="text1"/>
          <w:sz w:val="32"/>
          <w:szCs w:val="32"/>
          <w:highlight w:val="none"/>
          <w14:textFill>
            <w14:solidFill>
              <w14:schemeClr w14:val="tx1"/>
            </w14:solidFill>
          </w14:textFill>
        </w:rPr>
      </w:pPr>
      <w:r>
        <w:rPr>
          <w:rFonts w:eastAsia="黑体"/>
          <w:b/>
          <w:color w:val="000000" w:themeColor="text1"/>
          <w:sz w:val="32"/>
          <w:szCs w:val="32"/>
          <w:highlight w:val="none"/>
          <w14:textFill>
            <w14:solidFill>
              <w14:schemeClr w14:val="tx1"/>
            </w14:solidFill>
          </w14:textFill>
        </w:rPr>
      </w:r>
      <w:r/>
    </w:p>
    <w:p>
      <w:pPr>
        <w:rPr>
          <w:rFonts w:eastAsia="黑体"/>
          <w:b/>
          <w:color w:val="000000" w:themeColor="text1"/>
          <w:sz w:val="32"/>
          <w:szCs w:val="32"/>
          <w:highlight w:val="none"/>
          <w14:textFill>
            <w14:solidFill>
              <w14:schemeClr w14:val="tx1"/>
            </w14:solidFill>
          </w14:textFill>
        </w:rPr>
      </w:pPr>
      <w:r>
        <w:rPr>
          <w:rFonts w:eastAsia="黑体"/>
          <w:b/>
          <w:color w:val="000000" w:themeColor="text1"/>
          <w:sz w:val="32"/>
          <w:szCs w:val="32"/>
          <w:highlight w:val="none"/>
          <w14:textFill>
            <w14:solidFill>
              <w14:schemeClr w14:val="tx1"/>
            </w14:solidFill>
          </w14:textFill>
        </w:rPr>
      </w:r>
      <w:r/>
    </w:p>
    <w:p>
      <w:pPr>
        <w:rPr>
          <w:rFonts w:eastAsia="黑体"/>
          <w:b/>
          <w:color w:val="000000" w:themeColor="text1"/>
          <w:sz w:val="32"/>
          <w:szCs w:val="32"/>
          <w:highlight w:val="none"/>
          <w14:textFill>
            <w14:solidFill>
              <w14:schemeClr w14:val="tx1"/>
            </w14:solidFill>
          </w14:textFill>
        </w:rPr>
      </w:pPr>
      <w:r>
        <w:rPr>
          <w:rFonts w:eastAsia="黑体"/>
          <w:b/>
          <w:color w:val="000000" w:themeColor="text1"/>
          <w:sz w:val="32"/>
          <w:szCs w:val="32"/>
          <w:highlight w:val="none"/>
          <w14:textFill>
            <w14:solidFill>
              <w14:schemeClr w14:val="tx1"/>
            </w14:solidFill>
          </w14:textFill>
        </w:rPr>
      </w:r>
      <w:r/>
    </w:p>
    <w:p>
      <w:pPr>
        <w:rPr>
          <w:rFonts w:eastAsia="黑体"/>
          <w:b/>
          <w:color w:val="000000" w:themeColor="text1"/>
          <w:sz w:val="32"/>
          <w:szCs w:val="32"/>
          <w:highlight w:val="none"/>
          <w14:textFill>
            <w14:solidFill>
              <w14:schemeClr w14:val="tx1"/>
            </w14:solidFill>
          </w14:textFill>
        </w:rPr>
      </w:pPr>
      <w:r>
        <w:rPr>
          <w:rFonts w:eastAsia="黑体"/>
          <w:b/>
          <w:color w:val="000000" w:themeColor="text1"/>
          <w:sz w:val="32"/>
          <w:szCs w:val="32"/>
          <w:highlight w:val="none"/>
          <w14:textFill>
            <w14:solidFill>
              <w14:schemeClr w14:val="tx1"/>
            </w14:solidFill>
          </w14:textFill>
        </w:rPr>
      </w:r>
      <w:r/>
    </w:p>
    <w:p>
      <w:pPr>
        <w:jc w:val="center"/>
        <w:rPr>
          <w:rFonts w:cs="仿宋"/>
          <w:b/>
          <w:bCs/>
          <w:color w:val="000000" w:themeColor="text1"/>
          <w:sz w:val="32"/>
          <w:szCs w:val="32"/>
          <w:highlight w:val="none"/>
          <w14:textFill>
            <w14:solidFill>
              <w14:schemeClr w14:val="tx1"/>
            </w14:solidFill>
          </w14:textFill>
        </w:rPr>
      </w:pPr>
      <w:r>
        <w:rPr>
          <w:rFonts w:cs="仿宋"/>
          <w:b/>
          <w:bCs/>
          <w:color w:val="000000" w:themeColor="text1"/>
          <w:sz w:val="32"/>
          <w:szCs w:val="32"/>
          <w:highlight w:val="none"/>
          <w14:textFill>
            <w14:solidFill>
              <w14:schemeClr w14:val="tx1"/>
            </w14:solidFill>
          </w14:textFill>
        </w:rPr>
      </w:r>
      <w:r/>
    </w:p>
    <w:p>
      <w:pPr>
        <w:jc w:val="center"/>
        <w:rPr>
          <w:rFonts w:cs="仿宋"/>
          <w:b/>
          <w:bCs/>
          <w:color w:val="000000" w:themeColor="text1"/>
          <w:sz w:val="32"/>
          <w:szCs w:val="32"/>
          <w:highlight w:val="none"/>
          <w14:textFill>
            <w14:solidFill>
              <w14:schemeClr w14:val="tx1"/>
            </w14:solidFill>
          </w14:textFill>
        </w:rPr>
      </w:pPr>
      <w:r>
        <w:rPr>
          <w:rFonts w:cs="仿宋"/>
          <w:b/>
          <w:bCs/>
          <w:color w:val="000000" w:themeColor="text1"/>
          <w:sz w:val="32"/>
          <w:szCs w:val="32"/>
          <w:highlight w:val="none"/>
          <w14:textFill>
            <w14:solidFill>
              <w14:schemeClr w14:val="tx1"/>
            </w14:solidFill>
          </w14:textFill>
        </w:rPr>
      </w:r>
      <w:r/>
    </w:p>
    <w:p>
      <w:pPr>
        <w:jc w:val="center"/>
        <w:rPr>
          <w:rFonts w:cs="仿宋"/>
          <w:b/>
          <w:bCs/>
          <w:color w:val="000000" w:themeColor="text1"/>
          <w:sz w:val="32"/>
          <w:szCs w:val="32"/>
          <w:highlight w:val="none"/>
          <w14:textFill>
            <w14:solidFill>
              <w14:schemeClr w14:val="tx1"/>
            </w14:solidFill>
          </w14:textFill>
        </w:rPr>
      </w:pPr>
      <w:r>
        <w:rPr>
          <w:rFonts w:cs="仿宋"/>
          <w:b/>
          <w:bCs/>
          <w:color w:val="000000" w:themeColor="text1"/>
          <w:sz w:val="32"/>
          <w:szCs w:val="32"/>
          <w:highlight w:val="none"/>
          <w14:textFill>
            <w14:solidFill>
              <w14:schemeClr w14:val="tx1"/>
            </w14:solidFill>
          </w14:textFill>
        </w:rPr>
      </w:r>
      <w:r/>
    </w:p>
    <w:p>
      <w:pPr>
        <w:jc w:val="center"/>
        <w:rPr>
          <w:rFonts w:cs="仿宋"/>
          <w:b/>
          <w:bCs/>
          <w:color w:val="000000" w:themeColor="text1"/>
          <w:sz w:val="32"/>
          <w:szCs w:val="32"/>
          <w:highlight w:val="none"/>
          <w14:textFill>
            <w14:solidFill>
              <w14:schemeClr w14:val="tx1"/>
            </w14:solidFill>
          </w14:textFill>
        </w:rPr>
      </w:pPr>
      <w:r>
        <w:rPr>
          <w:rFonts w:cs="仿宋"/>
          <w:b/>
          <w:bCs/>
          <w:color w:val="000000" w:themeColor="text1"/>
          <w:sz w:val="32"/>
          <w:szCs w:val="32"/>
          <w:highlight w:val="none"/>
          <w14:textFill>
            <w14:solidFill>
              <w14:schemeClr w14:val="tx1"/>
            </w14:solidFill>
          </w14:textFill>
        </w:rPr>
      </w:r>
      <w:r/>
    </w:p>
    <w:p>
      <w:pPr>
        <w:jc w:val="center"/>
        <w:rPr>
          <w:rFonts w:cs="仿宋"/>
          <w:b/>
          <w:bCs/>
          <w:color w:val="000000" w:themeColor="text1"/>
          <w:sz w:val="32"/>
          <w:szCs w:val="32"/>
          <w:highlight w:val="none"/>
          <w14:textFill>
            <w14:solidFill>
              <w14:schemeClr w14:val="tx1"/>
            </w14:solidFill>
          </w14:textFill>
        </w:rPr>
      </w:pPr>
      <w:r>
        <w:rPr>
          <w:rFonts w:cs="仿宋"/>
          <w:b/>
          <w:bCs/>
          <w:color w:val="000000" w:themeColor="text1"/>
          <w:sz w:val="32"/>
          <w:szCs w:val="32"/>
          <w:highlight w:val="none"/>
          <w14:textFill>
            <w14:solidFill>
              <w14:schemeClr w14:val="tx1"/>
            </w14:solidFill>
          </w14:textFill>
        </w:rPr>
      </w:r>
      <w:r/>
    </w:p>
    <w:p>
      <w:pPr>
        <w:jc w:val="center"/>
        <w:rPr>
          <w:rFonts w:cs="仿宋"/>
          <w:b/>
          <w:bCs/>
          <w:color w:val="000000" w:themeColor="text1"/>
          <w:sz w:val="32"/>
          <w:szCs w:val="32"/>
          <w:highlight w:val="none"/>
          <w14:textFill>
            <w14:solidFill>
              <w14:schemeClr w14:val="tx1"/>
            </w14:solidFill>
          </w14:textFill>
        </w:rPr>
      </w:pPr>
      <w:r>
        <w:rPr>
          <w:rFonts w:cs="仿宋"/>
          <w:b/>
          <w:bCs/>
          <w:color w:val="000000" w:themeColor="text1"/>
          <w:sz w:val="32"/>
          <w:szCs w:val="32"/>
          <w:highlight w:val="none"/>
          <w14:textFill>
            <w14:solidFill>
              <w14:schemeClr w14:val="tx1"/>
            </w14:solidFill>
          </w14:textFill>
        </w:rPr>
      </w:r>
      <w:r/>
    </w:p>
    <w:p>
      <w:pPr>
        <w:jc w:val="center"/>
        <w:rPr>
          <w:rFonts w:cs="仿宋"/>
          <w:b/>
          <w:bCs/>
          <w:color w:val="000000" w:themeColor="text1"/>
          <w:sz w:val="32"/>
          <w:szCs w:val="32"/>
          <w:highlight w:val="none"/>
          <w14:textFill>
            <w14:solidFill>
              <w14:schemeClr w14:val="tx1"/>
            </w14:solidFill>
          </w14:textFill>
        </w:rPr>
      </w:pPr>
      <w:r>
        <w:rPr>
          <w:rFonts w:cs="仿宋"/>
          <w:b/>
          <w:bCs/>
          <w:color w:val="000000" w:themeColor="text1"/>
          <w:sz w:val="32"/>
          <w:szCs w:val="32"/>
          <w:highlight w:val="none"/>
          <w14:textFill>
            <w14:solidFill>
              <w14:schemeClr w14:val="tx1"/>
            </w14:solidFill>
          </w14:textFill>
        </w:rPr>
      </w:r>
      <w:r/>
    </w:p>
    <w:p>
      <w:pPr>
        <w:jc w:val="center"/>
        <w:rPr>
          <w:rFonts w:cs="仿宋"/>
          <w:b/>
          <w:bCs/>
          <w:color w:val="000000" w:themeColor="text1"/>
          <w:sz w:val="32"/>
          <w:szCs w:val="32"/>
          <w:highlight w:val="none"/>
          <w14:textFill>
            <w14:solidFill>
              <w14:schemeClr w14:val="tx1"/>
            </w14:solidFill>
          </w14:textFill>
        </w:rPr>
      </w:pPr>
      <w:r>
        <w:rPr>
          <w:rFonts w:cs="仿宋"/>
          <w:b/>
          <w:bCs/>
          <w:color w:val="000000" w:themeColor="text1"/>
          <w:sz w:val="32"/>
          <w:szCs w:val="32"/>
          <w:highlight w:val="none"/>
          <w14:textFill>
            <w14:solidFill>
              <w14:schemeClr w14:val="tx1"/>
            </w14:solidFill>
          </w14:textFill>
        </w:rPr>
      </w:r>
      <w:r/>
    </w:p>
    <w:p>
      <w:pPr>
        <w:jc w:val="center"/>
        <w:spacing w:line="360" w:lineRule="exact"/>
        <w:rPr>
          <w:rFonts w:cs="仿宋"/>
          <w:b/>
          <w:bCs/>
          <w:color w:val="000000" w:themeColor="text1"/>
          <w:sz w:val="32"/>
          <w:szCs w:val="32"/>
          <w:highlight w:val="none"/>
          <w14:textFill>
            <w14:solidFill>
              <w14:schemeClr w14:val="tx1"/>
            </w14:solidFill>
          </w14:textFill>
        </w:rPr>
      </w:pPr>
      <w:r>
        <w:rPr>
          <w:rFonts w:hint="eastAsia" w:cs="仿宋"/>
          <w:b/>
          <w:bCs/>
          <w:color w:val="000000" w:themeColor="text1"/>
          <w:sz w:val="32"/>
          <w:szCs w:val="32"/>
          <w:highlight w:val="none"/>
          <w14:textFill>
            <w14:solidFill>
              <w14:schemeClr w14:val="tx1"/>
            </w14:solidFill>
          </w14:textFill>
        </w:rPr>
        <w:t xml:space="preserve">质疑函范本</w:t>
      </w:r>
      <w:r/>
    </w:p>
    <w:p>
      <w:pPr>
        <w:spacing w:before="290" w:line="360" w:lineRule="exact"/>
        <w:rPr>
          <w:rFonts w:cs="仿宋"/>
          <w:bCs/>
          <w:color w:val="000000" w:themeColor="text1"/>
          <w:sz w:val="24"/>
          <w:szCs w:val="24"/>
          <w:highlight w:val="none"/>
          <w14:textFill>
            <w14:solidFill>
              <w14:schemeClr w14:val="tx1"/>
            </w14:solidFill>
          </w14:textFill>
        </w:rPr>
      </w:pPr>
      <w:r>
        <w:rPr>
          <w:rFonts w:hint="eastAsia" w:cs="仿宋"/>
          <w:bCs/>
          <w:color w:val="000000" w:themeColor="text1"/>
          <w:sz w:val="24"/>
          <w:szCs w:val="24"/>
          <w:highlight w:val="none"/>
          <w14:textFill>
            <w14:solidFill>
              <w14:schemeClr w14:val="tx1"/>
            </w14:solidFill>
          </w14:textFill>
        </w:rPr>
        <w:t xml:space="preserve">一、质疑投标人基本信息</w:t>
      </w:r>
      <w:r/>
    </w:p>
    <w:p>
      <w:pPr>
        <w:spacing w:line="360" w:lineRule="exact"/>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质疑投标人：</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exact"/>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地址：</w:t>
      </w:r>
      <w:r>
        <w:rPr>
          <w:rFonts w:hint="eastAsia" w:cs="仿宋"/>
          <w:color w:val="000000" w:themeColor="text1"/>
          <w:sz w:val="24"/>
          <w:szCs w:val="24"/>
          <w:highlight w:val="none"/>
          <w:u w:val="single"/>
          <w14:textFill>
            <w14:solidFill>
              <w14:schemeClr w14:val="tx1"/>
            </w14:solidFill>
          </w14:textFill>
        </w:rPr>
        <w:t xml:space="preserve">                             </w:t>
      </w:r>
      <w:r>
        <w:rPr>
          <w:rFonts w:hint="eastAsia" w:cs="仿宋"/>
          <w:color w:val="000000" w:themeColor="text1"/>
          <w:sz w:val="24"/>
          <w:szCs w:val="24"/>
          <w:highlight w:val="none"/>
          <w14:textFill>
            <w14:solidFill>
              <w14:schemeClr w14:val="tx1"/>
            </w14:solidFill>
          </w14:textFill>
        </w:rPr>
        <w:t xml:space="preserve">邮编：</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exact"/>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联系人：</w:t>
      </w:r>
      <w:r>
        <w:rPr>
          <w:rFonts w:hint="eastAsia" w:cs="仿宋"/>
          <w:color w:val="000000" w:themeColor="text1"/>
          <w:sz w:val="24"/>
          <w:szCs w:val="24"/>
          <w:highlight w:val="none"/>
          <w:u w:val="single"/>
          <w14:textFill>
            <w14:solidFill>
              <w14:schemeClr w14:val="tx1"/>
            </w14:solidFill>
          </w14:textFill>
        </w:rPr>
        <w:t xml:space="preserve">                      </w:t>
      </w:r>
      <w:r>
        <w:rPr>
          <w:rFonts w:hint="eastAsia" w:cs="仿宋"/>
          <w:color w:val="000000" w:themeColor="text1"/>
          <w:sz w:val="24"/>
          <w:szCs w:val="24"/>
          <w:highlight w:val="none"/>
          <w14:textFill>
            <w14:solidFill>
              <w14:schemeClr w14:val="tx1"/>
            </w14:solidFill>
          </w14:textFill>
        </w:rPr>
        <w:t xml:space="preserve">联系电话：</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exact"/>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授权代表：</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exact"/>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联系电话：</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exact"/>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地址：</w:t>
      </w:r>
      <w:r>
        <w:rPr>
          <w:rFonts w:cs="仿宋"/>
          <w:color w:val="000000" w:themeColor="text1"/>
          <w:sz w:val="24"/>
          <w:szCs w:val="24"/>
          <w:highlight w:val="none"/>
          <w14:textFill>
            <w14:solidFill>
              <w14:schemeClr w14:val="tx1"/>
            </w14:solidFill>
          </w14:textFill>
        </w:rPr>
        <w:t xml:space="preserve"> </w:t>
      </w:r>
      <w:r>
        <w:rPr>
          <w:rFonts w:hint="eastAsia" w:cs="仿宋"/>
          <w:color w:val="000000" w:themeColor="text1"/>
          <w:sz w:val="24"/>
          <w:szCs w:val="24"/>
          <w:highlight w:val="none"/>
          <w:u w:val="single"/>
          <w14:textFill>
            <w14:solidFill>
              <w14:schemeClr w14:val="tx1"/>
            </w14:solidFill>
          </w14:textFill>
        </w:rPr>
        <w:t xml:space="preserve">                        </w:t>
      </w:r>
      <w:r>
        <w:rPr>
          <w:rFonts w:hint="eastAsia" w:cs="仿宋"/>
          <w:color w:val="000000" w:themeColor="text1"/>
          <w:sz w:val="24"/>
          <w:szCs w:val="24"/>
          <w:highlight w:val="none"/>
          <w14:textFill>
            <w14:solidFill>
              <w14:schemeClr w14:val="tx1"/>
            </w14:solidFill>
          </w14:textFill>
        </w:rPr>
        <w:t xml:space="preserve">邮编：</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exact"/>
        <w:rPr>
          <w:rFonts w:cs="仿宋"/>
          <w:bCs/>
          <w:color w:val="000000" w:themeColor="text1"/>
          <w:sz w:val="24"/>
          <w:szCs w:val="24"/>
          <w:highlight w:val="none"/>
          <w14:textFill>
            <w14:solidFill>
              <w14:schemeClr w14:val="tx1"/>
            </w14:solidFill>
          </w14:textFill>
        </w:rPr>
      </w:pPr>
      <w:r>
        <w:rPr>
          <w:rFonts w:hint="eastAsia" w:cs="仿宋"/>
          <w:bCs/>
          <w:color w:val="000000" w:themeColor="text1"/>
          <w:sz w:val="24"/>
          <w:szCs w:val="24"/>
          <w:highlight w:val="none"/>
          <w14:textFill>
            <w14:solidFill>
              <w14:schemeClr w14:val="tx1"/>
            </w14:solidFill>
          </w14:textFill>
        </w:rPr>
        <w:t xml:space="preserve">二、质疑项目基本情况</w:t>
      </w:r>
      <w:r/>
    </w:p>
    <w:p>
      <w:pPr>
        <w:spacing w:line="360" w:lineRule="exact"/>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质疑项目的名称：</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exact"/>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质疑项目的编号：</w:t>
      </w:r>
      <w:r>
        <w:rPr>
          <w:rFonts w:hint="eastAsia" w:cs="仿宋"/>
          <w:color w:val="000000" w:themeColor="text1"/>
          <w:sz w:val="24"/>
          <w:szCs w:val="24"/>
          <w:highlight w:val="none"/>
          <w:u w:val="single"/>
          <w14:textFill>
            <w14:solidFill>
              <w14:schemeClr w14:val="tx1"/>
            </w14:solidFill>
          </w14:textFill>
        </w:rPr>
        <w:t xml:space="preserve">                         </w:t>
      </w:r>
      <w:r>
        <w:rPr>
          <w:rFonts w:hint="eastAsia" w:cs="仿宋"/>
          <w:color w:val="000000" w:themeColor="text1"/>
          <w:sz w:val="24"/>
          <w:szCs w:val="24"/>
          <w:highlight w:val="none"/>
          <w14:textFill>
            <w14:solidFill>
              <w14:schemeClr w14:val="tx1"/>
            </w14:solidFill>
          </w14:textFill>
        </w:rPr>
        <w:t xml:space="preserve">包号：</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exact"/>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采购人名称：</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exact"/>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采购文件获取日期：</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exact"/>
        <w:rPr>
          <w:rFonts w:cs="仿宋"/>
          <w:bCs/>
          <w:color w:val="000000" w:themeColor="text1"/>
          <w:sz w:val="24"/>
          <w:szCs w:val="24"/>
          <w:highlight w:val="none"/>
          <w14:textFill>
            <w14:solidFill>
              <w14:schemeClr w14:val="tx1"/>
            </w14:solidFill>
          </w14:textFill>
        </w:rPr>
      </w:pPr>
      <w:r>
        <w:rPr>
          <w:rFonts w:hint="eastAsia" w:cs="仿宋"/>
          <w:bCs/>
          <w:color w:val="000000" w:themeColor="text1"/>
          <w:sz w:val="24"/>
          <w:szCs w:val="24"/>
          <w:highlight w:val="none"/>
          <w14:textFill>
            <w14:solidFill>
              <w14:schemeClr w14:val="tx1"/>
            </w14:solidFill>
          </w14:textFill>
        </w:rPr>
        <w:t xml:space="preserve">三、质疑事项具体内容</w:t>
      </w:r>
      <w:r/>
    </w:p>
    <w:p>
      <w:pPr>
        <w:spacing w:line="360" w:lineRule="exact"/>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质疑事项1：</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exact"/>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事实依据：</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exact"/>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exact"/>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法律依据：</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exact"/>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exact"/>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质疑事项2</w:t>
      </w:r>
      <w:r/>
    </w:p>
    <w:p>
      <w:pPr>
        <w:spacing w:line="360" w:lineRule="exact"/>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w:t>
      </w:r>
      <w:r/>
    </w:p>
    <w:p>
      <w:pPr>
        <w:spacing w:line="360" w:lineRule="exact"/>
        <w:rPr>
          <w:rFonts w:cs="仿宋"/>
          <w:bCs/>
          <w:color w:val="000000" w:themeColor="text1"/>
          <w:sz w:val="24"/>
          <w:szCs w:val="24"/>
          <w:highlight w:val="none"/>
          <w14:textFill>
            <w14:solidFill>
              <w14:schemeClr w14:val="tx1"/>
            </w14:solidFill>
          </w14:textFill>
        </w:rPr>
      </w:pPr>
      <w:r>
        <w:rPr>
          <w:rFonts w:hint="eastAsia" w:cs="仿宋"/>
          <w:bCs/>
          <w:color w:val="000000" w:themeColor="text1"/>
          <w:sz w:val="24"/>
          <w:szCs w:val="24"/>
          <w:highlight w:val="none"/>
          <w14:textFill>
            <w14:solidFill>
              <w14:schemeClr w14:val="tx1"/>
            </w14:solidFill>
          </w14:textFill>
        </w:rPr>
        <w:t xml:space="preserve">四、与质疑事项相关的质疑请求</w:t>
      </w:r>
      <w:r/>
    </w:p>
    <w:p>
      <w:pPr>
        <w:spacing w:line="360" w:lineRule="exact"/>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请求：</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签字(签章)：                   公章：                      </w:t>
      </w:r>
      <w:r/>
    </w:p>
    <w:p>
      <w:pPr>
        <w:spacing w:line="3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日期：    </w:t>
      </w:r>
      <w:r/>
    </w:p>
    <w:p>
      <w:pPr>
        <w:spacing w:line="360" w:lineRule="exact"/>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质疑函制作说明：</w:t>
      </w:r>
      <w:r/>
    </w:p>
    <w:p>
      <w:pPr>
        <w:ind w:firstLine="480"/>
        <w:jc w:val="left"/>
        <w:spacing w:line="360" w:lineRule="exact"/>
        <w:widowControl/>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1.投标人提出质疑时，应提交质疑函和必要的证明材料。</w:t>
      </w:r>
      <w:r/>
    </w:p>
    <w:p>
      <w:pPr>
        <w:ind w:firstLine="480"/>
        <w:jc w:val="left"/>
        <w:spacing w:line="360" w:lineRule="exact"/>
        <w:widowControl/>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2.质疑投标人若委托代理人进行质疑的，质疑函应按要求列明“授权代表”的有关内容，并在附件中提交由质疑</w:t>
      </w:r>
      <w:r>
        <w:rPr>
          <w:rFonts w:hint="eastAsia" w:cs="宋体"/>
          <w:color w:val="000000" w:themeColor="text1"/>
          <w:sz w:val="24"/>
          <w:szCs w:val="24"/>
          <w:highlight w:val="none"/>
          <w14:textFill>
            <w14:solidFill>
              <w14:schemeClr w14:val="tx1"/>
            </w14:solidFill>
          </w14:textFill>
        </w:rPr>
        <w:t xml:space="preserve">投标人签署的授权委托书。授权委托书应载明代理人的姓名或者名称、代理事项、具体权限、期限和相关事项。</w:t>
      </w:r>
      <w:r/>
    </w:p>
    <w:p>
      <w:pPr>
        <w:ind w:firstLine="480"/>
        <w:jc w:val="left"/>
        <w:spacing w:line="360" w:lineRule="exact"/>
        <w:widowControl/>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3.质疑投标人若对项目的某一分包进行质疑，质疑函中应列明具体分包号。</w:t>
      </w:r>
      <w:r/>
    </w:p>
    <w:p>
      <w:pPr>
        <w:ind w:firstLine="480"/>
        <w:jc w:val="left"/>
        <w:spacing w:line="360" w:lineRule="exact"/>
        <w:widowControl/>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4.质疑函的质疑事项应具体、明确，并有必要的事实依据和法律依据。</w:t>
      </w:r>
      <w:r/>
    </w:p>
    <w:p>
      <w:pPr>
        <w:ind w:firstLine="480"/>
        <w:jc w:val="left"/>
        <w:spacing w:line="360" w:lineRule="exact"/>
        <w:widowControl/>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5.质疑函的质疑请求应与质疑事项相关。</w:t>
      </w:r>
      <w:r/>
    </w:p>
    <w:p>
      <w:pPr>
        <w:ind w:firstLine="480"/>
        <w:jc w:val="left"/>
        <w:spacing w:line="360" w:lineRule="exact"/>
        <w:widowControl/>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6.质疑投标人为自然人的，质疑函应由本人签字；质疑投标人为法人或者其他组织的，质疑函应由法定代表人、主要负责人，或者其授权代表签字或者盖章，并加盖公章。</w:t>
      </w:r>
      <w:r/>
    </w:p>
    <w:p>
      <w:pPr>
        <w:pStyle w:val="1006"/>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1006"/>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sectPr>
      <w:footerReference w:type="default" r:id="rId14"/>
      <w:footerReference w:type="first" r:id="rId15"/>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
    <w:panose1 w:val="02010609060101010101"/>
  </w:font>
  <w:font w:name="等线 Light">
    <w:panose1 w:val="02010600030101010101"/>
  </w:font>
  <w:font w:name="仿宋">
    <w:panose1 w:val="02010609060101010101"/>
  </w:font>
  <w:font w:name="SimSun">
    <w:panose1 w:val="0201060003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rPr>
        <w:rStyle w:val="1074"/>
      </w:rPr>
      <w:framePr w:wrap="around" w:vAnchor="text" w:hAnchor="margin" w:xAlign="center" w:y="1"/>
    </w:pPr>
    <w:r>
      <w:fldChar w:fldCharType="begin"/>
    </w:r>
    <w:r>
      <w:rPr>
        <w:rStyle w:val="1074"/>
      </w:rPr>
      <w:instrText xml:space="preserve">PAGE  </w:instrText>
    </w:r>
    <w:r>
      <w:fldChar w:fldCharType="separate"/>
    </w:r>
    <w:r>
      <w:rPr>
        <w:rStyle w:val="1074"/>
      </w:rPr>
      <w:t xml:space="preserve">1</w:t>
    </w:r>
    <w:r>
      <w:fldChar w:fldCharType="end"/>
    </w:r>
    <w:r/>
  </w:p>
  <w:p>
    <w:pPr>
      <w:pStyle w:val="104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center"/>
      <w:rPr>
        <w:b/>
        <w:i/>
      </w:rPr>
    </w:pP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7"/>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9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09"/>
      <w:isLgl w:val="false"/>
      <w:suff w:val="nothing"/>
      <w:lvlText w:val=""/>
      <w:lvlJc w:val="left"/>
      <w:pPr>
        <w:ind w:left="0" w:firstLine="0"/>
      </w:pPr>
      <w:rPr>
        <w:rFonts w:hint="eastAsia"/>
      </w:rPr>
    </w:lvl>
    <w:lvl w:ilvl="6">
      <w:start w:val="1"/>
      <w:numFmt w:val="decimal"/>
      <w:pStyle w:val="1010"/>
      <w:isLgl w:val="false"/>
      <w:suff w:val="nothing"/>
      <w:lvlText w:val=""/>
      <w:lvlJc w:val="left"/>
      <w:pPr>
        <w:ind w:left="0" w:firstLine="0"/>
      </w:pPr>
      <w:rPr>
        <w:rFonts w:hint="eastAsia"/>
      </w:rPr>
    </w:lvl>
    <w:lvl w:ilvl="7">
      <w:start w:val="1"/>
      <w:numFmt w:val="decimal"/>
      <w:pStyle w:val="1011"/>
      <w:isLgl w:val="false"/>
      <w:suff w:val="nothing"/>
      <w:lvlText w:val=""/>
      <w:lvlJc w:val="left"/>
      <w:pPr>
        <w:ind w:left="0" w:firstLine="0"/>
      </w:pPr>
      <w:rPr>
        <w:rFonts w:hint="eastAsia"/>
      </w:rPr>
    </w:lvl>
    <w:lvl w:ilvl="8">
      <w:start w:val="1"/>
      <w:numFmt w:val="decimal"/>
      <w:pStyle w:val="1012"/>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0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5"/>
  </w:num>
  <w:num w:numId="4">
    <w:abstractNumId w:val="7"/>
  </w:num>
  <w:num w:numId="5">
    <w:abstractNumId w:val="4"/>
  </w:num>
  <w:num w:numId="6">
    <w:abstractNumId w:val="6"/>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9">
    <w:name w:val="Heading 1 Char"/>
    <w:basedOn w:val="826"/>
    <w:link w:val="817"/>
    <w:uiPriority w:val="9"/>
    <w:rPr>
      <w:rFonts w:ascii="Arial" w:hAnsi="Arial" w:eastAsia="Arial" w:cs="Arial"/>
      <w:sz w:val="40"/>
      <w:szCs w:val="40"/>
    </w:rPr>
  </w:style>
  <w:style w:type="character" w:styleId="780">
    <w:name w:val="Heading 2 Char"/>
    <w:basedOn w:val="826"/>
    <w:link w:val="818"/>
    <w:uiPriority w:val="9"/>
    <w:rPr>
      <w:rFonts w:ascii="Arial" w:hAnsi="Arial" w:eastAsia="Arial" w:cs="Arial"/>
      <w:sz w:val="34"/>
    </w:rPr>
  </w:style>
  <w:style w:type="character" w:styleId="781">
    <w:name w:val="Heading 3 Char"/>
    <w:basedOn w:val="826"/>
    <w:link w:val="819"/>
    <w:uiPriority w:val="9"/>
    <w:rPr>
      <w:rFonts w:ascii="Arial" w:hAnsi="Arial" w:eastAsia="Arial" w:cs="Arial"/>
      <w:sz w:val="30"/>
      <w:szCs w:val="30"/>
    </w:rPr>
  </w:style>
  <w:style w:type="character" w:styleId="782">
    <w:name w:val="Heading 4 Char"/>
    <w:basedOn w:val="826"/>
    <w:link w:val="820"/>
    <w:uiPriority w:val="9"/>
    <w:rPr>
      <w:rFonts w:ascii="Arial" w:hAnsi="Arial" w:eastAsia="Arial" w:cs="Arial"/>
      <w:b/>
      <w:bCs/>
      <w:sz w:val="26"/>
      <w:szCs w:val="26"/>
    </w:rPr>
  </w:style>
  <w:style w:type="character" w:styleId="783">
    <w:name w:val="Heading 5 Char"/>
    <w:basedOn w:val="826"/>
    <w:link w:val="821"/>
    <w:uiPriority w:val="9"/>
    <w:rPr>
      <w:rFonts w:ascii="Arial" w:hAnsi="Arial" w:eastAsia="Arial" w:cs="Arial"/>
      <w:b/>
      <w:bCs/>
      <w:sz w:val="24"/>
      <w:szCs w:val="24"/>
    </w:rPr>
  </w:style>
  <w:style w:type="character" w:styleId="784">
    <w:name w:val="Heading 6 Char"/>
    <w:basedOn w:val="826"/>
    <w:link w:val="822"/>
    <w:uiPriority w:val="9"/>
    <w:rPr>
      <w:rFonts w:ascii="Arial" w:hAnsi="Arial" w:eastAsia="Arial" w:cs="Arial"/>
      <w:b/>
      <w:bCs/>
      <w:sz w:val="22"/>
      <w:szCs w:val="22"/>
    </w:rPr>
  </w:style>
  <w:style w:type="character" w:styleId="785">
    <w:name w:val="Heading 7 Char"/>
    <w:basedOn w:val="826"/>
    <w:link w:val="823"/>
    <w:uiPriority w:val="9"/>
    <w:rPr>
      <w:rFonts w:ascii="Arial" w:hAnsi="Arial" w:eastAsia="Arial" w:cs="Arial"/>
      <w:b/>
      <w:bCs/>
      <w:i/>
      <w:iCs/>
      <w:sz w:val="22"/>
      <w:szCs w:val="22"/>
    </w:rPr>
  </w:style>
  <w:style w:type="character" w:styleId="786">
    <w:name w:val="Heading 8 Char"/>
    <w:basedOn w:val="826"/>
    <w:link w:val="824"/>
    <w:uiPriority w:val="9"/>
    <w:rPr>
      <w:rFonts w:ascii="Arial" w:hAnsi="Arial" w:eastAsia="Arial" w:cs="Arial"/>
      <w:i/>
      <w:iCs/>
      <w:sz w:val="22"/>
      <w:szCs w:val="22"/>
    </w:rPr>
  </w:style>
  <w:style w:type="character" w:styleId="787">
    <w:name w:val="Heading 9 Char"/>
    <w:basedOn w:val="826"/>
    <w:link w:val="825"/>
    <w:uiPriority w:val="9"/>
    <w:rPr>
      <w:rFonts w:ascii="Arial" w:hAnsi="Arial" w:eastAsia="Arial" w:cs="Arial"/>
      <w:i/>
      <w:iCs/>
      <w:sz w:val="21"/>
      <w:szCs w:val="21"/>
    </w:rPr>
  </w:style>
  <w:style w:type="character" w:styleId="788">
    <w:name w:val="Title Char"/>
    <w:basedOn w:val="826"/>
    <w:link w:val="848"/>
    <w:uiPriority w:val="10"/>
    <w:rPr>
      <w:sz w:val="48"/>
      <w:szCs w:val="48"/>
    </w:rPr>
  </w:style>
  <w:style w:type="character" w:styleId="789">
    <w:name w:val="Subtitle Char"/>
    <w:basedOn w:val="826"/>
    <w:link w:val="841"/>
    <w:uiPriority w:val="11"/>
    <w:rPr>
      <w:sz w:val="24"/>
      <w:szCs w:val="24"/>
    </w:rPr>
  </w:style>
  <w:style w:type="character" w:styleId="790">
    <w:name w:val="Quote Char"/>
    <w:link w:val="868"/>
    <w:uiPriority w:val="29"/>
    <w:rPr>
      <w:i/>
    </w:rPr>
  </w:style>
  <w:style w:type="character" w:styleId="791">
    <w:name w:val="Intense Quote Char"/>
    <w:link w:val="870"/>
    <w:uiPriority w:val="30"/>
    <w:rPr>
      <w:i/>
    </w:rPr>
  </w:style>
  <w:style w:type="character" w:styleId="792">
    <w:name w:val="Header Char"/>
    <w:basedOn w:val="826"/>
    <w:link w:val="838"/>
    <w:uiPriority w:val="99"/>
  </w:style>
  <w:style w:type="character" w:styleId="793">
    <w:name w:val="Caption Char"/>
    <w:basedOn w:val="829"/>
    <w:link w:val="837"/>
    <w:uiPriority w:val="99"/>
  </w:style>
  <w:style w:type="table" w:styleId="794">
    <w:name w:val="Plain Table 1"/>
    <w:basedOn w:val="8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2"/>
    <w:basedOn w:val="8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3"/>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name w:val="Plain Table 4"/>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name w:val="Plain Table 5"/>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9">
    <w:name w:val="Grid Table 1 Light"/>
    <w:basedOn w:val="8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0">
    <w:name w:val="Grid Table 2"/>
    <w:basedOn w:val="8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1">
    <w:name w:val="Grid Table 3"/>
    <w:basedOn w:val="8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4"/>
    <w:basedOn w:val="8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name w:val="Grid Table 5 Dark"/>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4">
    <w:name w:val="Grid Table 6 Colorful"/>
    <w:basedOn w:val="8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5">
    <w:name w:val="Grid Table 7 Colorful"/>
    <w:basedOn w:val="8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6">
    <w:name w:val="List Table 1 Light"/>
    <w:basedOn w:val="8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name w:val="List Table 2"/>
    <w:basedOn w:val="8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8">
    <w:name w:val="List Table 3"/>
    <w:basedOn w:val="8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4"/>
    <w:basedOn w:val="8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5 Dark"/>
    <w:basedOn w:val="8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6 Colorful"/>
    <w:basedOn w:val="8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2">
    <w:name w:val="List Table 7 Colorful"/>
    <w:basedOn w:val="8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13">
    <w:name w:val="Footnote Text Char"/>
    <w:link w:val="842"/>
    <w:uiPriority w:val="99"/>
    <w:rPr>
      <w:sz w:val="18"/>
    </w:rPr>
  </w:style>
  <w:style w:type="character" w:styleId="814">
    <w:name w:val="Endnote Text Char"/>
    <w:link w:val="835"/>
    <w:uiPriority w:val="99"/>
    <w:rPr>
      <w:sz w:val="20"/>
    </w:rPr>
  </w:style>
  <w:style w:type="paragraph" w:styleId="815">
    <w:name w:val="TOC Heading"/>
    <w:uiPriority w:val="39"/>
    <w:unhideWhenUsed/>
  </w:style>
  <w:style w:type="paragraph" w:styleId="816"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817">
    <w:name w:val="Heading 1"/>
    <w:basedOn w:val="816"/>
    <w:next w:val="816"/>
    <w:link w:val="855"/>
    <w:uiPriority w:val="9"/>
    <w:qFormat/>
    <w:pPr>
      <w:keepLines/>
      <w:keepNext/>
      <w:spacing w:before="480" w:after="200"/>
      <w:outlineLvl w:val="0"/>
    </w:pPr>
    <w:rPr>
      <w:rFonts w:ascii="Arial" w:hAnsi="Arial" w:eastAsia="Arial" w:cs="Arial"/>
      <w:sz w:val="40"/>
      <w:szCs w:val="40"/>
    </w:rPr>
  </w:style>
  <w:style w:type="paragraph" w:styleId="818">
    <w:name w:val="Heading 2"/>
    <w:basedOn w:val="816"/>
    <w:next w:val="816"/>
    <w:link w:val="856"/>
    <w:uiPriority w:val="9"/>
    <w:unhideWhenUsed/>
    <w:qFormat/>
    <w:pPr>
      <w:keepLines/>
      <w:keepNext/>
      <w:spacing w:before="360" w:after="200"/>
      <w:outlineLvl w:val="1"/>
    </w:pPr>
    <w:rPr>
      <w:rFonts w:ascii="Arial" w:hAnsi="Arial" w:eastAsia="Arial" w:cs="Arial"/>
      <w:sz w:val="34"/>
    </w:rPr>
  </w:style>
  <w:style w:type="paragraph" w:styleId="819">
    <w:name w:val="Heading 3"/>
    <w:basedOn w:val="816"/>
    <w:next w:val="816"/>
    <w:link w:val="857"/>
    <w:uiPriority w:val="9"/>
    <w:unhideWhenUsed/>
    <w:qFormat/>
    <w:pPr>
      <w:keepLines/>
      <w:keepNext/>
      <w:spacing w:before="320" w:after="200"/>
      <w:outlineLvl w:val="2"/>
    </w:pPr>
    <w:rPr>
      <w:rFonts w:ascii="Arial" w:hAnsi="Arial" w:eastAsia="Arial" w:cs="Arial"/>
      <w:sz w:val="30"/>
      <w:szCs w:val="30"/>
    </w:rPr>
  </w:style>
  <w:style w:type="paragraph" w:styleId="820">
    <w:name w:val="Heading 4"/>
    <w:basedOn w:val="816"/>
    <w:next w:val="816"/>
    <w:link w:val="858"/>
    <w:uiPriority w:val="9"/>
    <w:unhideWhenUsed/>
    <w:qFormat/>
    <w:pPr>
      <w:keepLines/>
      <w:keepNext/>
      <w:spacing w:before="320" w:after="200"/>
      <w:outlineLvl w:val="3"/>
    </w:pPr>
    <w:rPr>
      <w:rFonts w:ascii="Arial" w:hAnsi="Arial" w:eastAsia="Arial" w:cs="Arial"/>
      <w:b/>
      <w:bCs/>
      <w:sz w:val="26"/>
      <w:szCs w:val="26"/>
    </w:rPr>
  </w:style>
  <w:style w:type="paragraph" w:styleId="821">
    <w:name w:val="Heading 5"/>
    <w:basedOn w:val="816"/>
    <w:next w:val="816"/>
    <w:link w:val="859"/>
    <w:uiPriority w:val="9"/>
    <w:unhideWhenUsed/>
    <w:qFormat/>
    <w:pPr>
      <w:keepLines/>
      <w:keepNext/>
      <w:spacing w:before="320" w:after="200"/>
      <w:outlineLvl w:val="4"/>
    </w:pPr>
    <w:rPr>
      <w:rFonts w:ascii="Arial" w:hAnsi="Arial" w:eastAsia="Arial" w:cs="Arial"/>
      <w:b/>
      <w:bCs/>
      <w:sz w:val="24"/>
      <w:szCs w:val="24"/>
    </w:rPr>
  </w:style>
  <w:style w:type="paragraph" w:styleId="822">
    <w:name w:val="Heading 6"/>
    <w:basedOn w:val="816"/>
    <w:next w:val="816"/>
    <w:link w:val="860"/>
    <w:uiPriority w:val="9"/>
    <w:unhideWhenUsed/>
    <w:qFormat/>
    <w:pPr>
      <w:keepLines/>
      <w:keepNext/>
      <w:spacing w:before="320" w:after="200"/>
      <w:outlineLvl w:val="5"/>
    </w:pPr>
    <w:rPr>
      <w:rFonts w:ascii="Arial" w:hAnsi="Arial" w:eastAsia="Arial" w:cs="Arial"/>
      <w:b/>
      <w:bCs/>
      <w:sz w:val="22"/>
      <w:szCs w:val="22"/>
    </w:rPr>
  </w:style>
  <w:style w:type="paragraph" w:styleId="823">
    <w:name w:val="Heading 7"/>
    <w:basedOn w:val="816"/>
    <w:next w:val="816"/>
    <w:link w:val="861"/>
    <w:uiPriority w:val="9"/>
    <w:unhideWhenUsed/>
    <w:qFormat/>
    <w:pPr>
      <w:keepLines/>
      <w:keepNext/>
      <w:spacing w:before="320" w:after="200"/>
      <w:outlineLvl w:val="6"/>
    </w:pPr>
    <w:rPr>
      <w:rFonts w:ascii="Arial" w:hAnsi="Arial" w:eastAsia="Arial" w:cs="Arial"/>
      <w:b/>
      <w:bCs/>
      <w:i/>
      <w:iCs/>
      <w:sz w:val="22"/>
      <w:szCs w:val="22"/>
    </w:rPr>
  </w:style>
  <w:style w:type="paragraph" w:styleId="824">
    <w:name w:val="Heading 8"/>
    <w:basedOn w:val="816"/>
    <w:next w:val="816"/>
    <w:link w:val="862"/>
    <w:uiPriority w:val="9"/>
    <w:unhideWhenUsed/>
    <w:qFormat/>
    <w:pPr>
      <w:keepLines/>
      <w:keepNext/>
      <w:spacing w:before="320" w:after="200"/>
      <w:outlineLvl w:val="7"/>
    </w:pPr>
    <w:rPr>
      <w:rFonts w:ascii="Arial" w:hAnsi="Arial" w:eastAsia="Arial" w:cs="Arial"/>
      <w:i/>
      <w:iCs/>
      <w:sz w:val="22"/>
      <w:szCs w:val="22"/>
    </w:rPr>
  </w:style>
  <w:style w:type="paragraph" w:styleId="825">
    <w:name w:val="Heading 9"/>
    <w:basedOn w:val="816"/>
    <w:next w:val="816"/>
    <w:link w:val="863"/>
    <w:uiPriority w:val="9"/>
    <w:unhideWhenUsed/>
    <w:qFormat/>
    <w:pPr>
      <w:keepLines/>
      <w:keepNext/>
      <w:spacing w:before="320" w:after="200"/>
      <w:outlineLvl w:val="8"/>
    </w:pPr>
    <w:rPr>
      <w:rFonts w:ascii="Arial" w:hAnsi="Arial" w:eastAsia="Arial" w:cs="Arial"/>
      <w:i/>
      <w:iCs/>
    </w:rPr>
  </w:style>
  <w:style w:type="character" w:styleId="826" w:default="1">
    <w:name w:val="Default Paragraph Font"/>
    <w:uiPriority w:val="1"/>
    <w:semiHidden/>
    <w:unhideWhenUsed/>
    <w:qFormat/>
  </w:style>
  <w:style w:type="table" w:styleId="827" w:default="1">
    <w:name w:val="Normal Table"/>
    <w:uiPriority w:val="99"/>
    <w:semiHidden/>
    <w:unhideWhenUsed/>
    <w:qFormat/>
    <w:tblPr>
      <w:tblCellMar>
        <w:left w:w="108" w:type="dxa"/>
        <w:top w:w="0" w:type="dxa"/>
        <w:right w:w="108" w:type="dxa"/>
        <w:bottom w:w="0" w:type="dxa"/>
      </w:tblCellMar>
    </w:tblPr>
  </w:style>
  <w:style w:type="paragraph" w:styleId="828">
    <w:name w:val="toc 7"/>
    <w:basedOn w:val="816"/>
    <w:next w:val="816"/>
    <w:uiPriority w:val="39"/>
    <w:unhideWhenUsed/>
    <w:qFormat/>
    <w:pPr>
      <w:ind w:left="1701"/>
      <w:spacing w:after="57"/>
    </w:pPr>
  </w:style>
  <w:style w:type="paragraph" w:styleId="829">
    <w:name w:val="Caption"/>
    <w:basedOn w:val="816"/>
    <w:next w:val="8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0">
    <w:name w:val="annotation text"/>
    <w:basedOn w:val="816"/>
    <w:link w:val="1149"/>
    <w:uiPriority w:val="99"/>
    <w:semiHidden/>
    <w:unhideWhenUsed/>
    <w:qFormat/>
    <w:pPr>
      <w:jc w:val="left"/>
    </w:pPr>
  </w:style>
  <w:style w:type="paragraph" w:styleId="831">
    <w:name w:val="Body Text"/>
    <w:basedOn w:val="816"/>
    <w:uiPriority w:val="99"/>
    <w:semiHidden/>
    <w:unhideWhenUsed/>
    <w:qFormat/>
    <w:pPr>
      <w:spacing w:after="120"/>
    </w:pPr>
  </w:style>
  <w:style w:type="paragraph" w:styleId="832">
    <w:name w:val="toc 5"/>
    <w:basedOn w:val="816"/>
    <w:next w:val="816"/>
    <w:uiPriority w:val="39"/>
    <w:unhideWhenUsed/>
    <w:qFormat/>
    <w:pPr>
      <w:ind w:left="1134"/>
      <w:spacing w:after="57"/>
    </w:pPr>
  </w:style>
  <w:style w:type="paragraph" w:styleId="833">
    <w:name w:val="toc 3"/>
    <w:basedOn w:val="816"/>
    <w:next w:val="816"/>
    <w:uiPriority w:val="39"/>
    <w:unhideWhenUsed/>
    <w:qFormat/>
    <w:pPr>
      <w:ind w:left="567"/>
      <w:spacing w:after="57"/>
    </w:pPr>
  </w:style>
  <w:style w:type="paragraph" w:styleId="834">
    <w:name w:val="toc 8"/>
    <w:basedOn w:val="816"/>
    <w:next w:val="816"/>
    <w:uiPriority w:val="39"/>
    <w:unhideWhenUsed/>
    <w:qFormat/>
    <w:pPr>
      <w:ind w:left="1984"/>
      <w:spacing w:after="57"/>
    </w:pPr>
  </w:style>
  <w:style w:type="paragraph" w:styleId="835">
    <w:name w:val="endnote text"/>
    <w:basedOn w:val="816"/>
    <w:link w:val="1001"/>
    <w:uiPriority w:val="99"/>
    <w:semiHidden/>
    <w:unhideWhenUsed/>
    <w:qFormat/>
    <w:rPr>
      <w:sz w:val="20"/>
    </w:rPr>
  </w:style>
  <w:style w:type="paragraph" w:styleId="836">
    <w:name w:val="Balloon Text"/>
    <w:basedOn w:val="816"/>
    <w:link w:val="1148"/>
    <w:uiPriority w:val="99"/>
    <w:semiHidden/>
    <w:unhideWhenUsed/>
    <w:qFormat/>
    <w:rPr>
      <w:sz w:val="18"/>
      <w:szCs w:val="18"/>
    </w:rPr>
  </w:style>
  <w:style w:type="paragraph" w:styleId="837">
    <w:name w:val="Footer"/>
    <w:basedOn w:val="816"/>
    <w:link w:val="874"/>
    <w:uiPriority w:val="99"/>
    <w:unhideWhenUsed/>
    <w:qFormat/>
    <w:pPr>
      <w:tabs>
        <w:tab w:val="center" w:pos="7143" w:leader="none"/>
        <w:tab w:val="right" w:pos="14287" w:leader="none"/>
      </w:tabs>
    </w:pPr>
  </w:style>
  <w:style w:type="paragraph" w:styleId="838">
    <w:name w:val="Header"/>
    <w:basedOn w:val="816"/>
    <w:link w:val="872"/>
    <w:uiPriority w:val="99"/>
    <w:unhideWhenUsed/>
    <w:qFormat/>
    <w:pPr>
      <w:tabs>
        <w:tab w:val="center" w:pos="7143" w:leader="none"/>
        <w:tab w:val="right" w:pos="14287" w:leader="none"/>
      </w:tabs>
    </w:pPr>
  </w:style>
  <w:style w:type="paragraph" w:styleId="839">
    <w:name w:val="toc 1"/>
    <w:basedOn w:val="816"/>
    <w:next w:val="816"/>
    <w:uiPriority w:val="39"/>
    <w:unhideWhenUsed/>
    <w:qFormat/>
    <w:pPr>
      <w:spacing w:after="57"/>
    </w:pPr>
  </w:style>
  <w:style w:type="paragraph" w:styleId="840">
    <w:name w:val="toc 4"/>
    <w:basedOn w:val="816"/>
    <w:next w:val="816"/>
    <w:uiPriority w:val="39"/>
    <w:unhideWhenUsed/>
    <w:qFormat/>
    <w:pPr>
      <w:ind w:left="850"/>
      <w:spacing w:after="57"/>
    </w:pPr>
  </w:style>
  <w:style w:type="paragraph" w:styleId="841">
    <w:name w:val="Subtitle"/>
    <w:basedOn w:val="816"/>
    <w:next w:val="816"/>
    <w:link w:val="867"/>
    <w:uiPriority w:val="11"/>
    <w:qFormat/>
    <w:pPr>
      <w:spacing w:before="200" w:after="200"/>
    </w:pPr>
    <w:rPr>
      <w:sz w:val="24"/>
      <w:szCs w:val="24"/>
    </w:rPr>
  </w:style>
  <w:style w:type="paragraph" w:styleId="842">
    <w:name w:val="footnote text"/>
    <w:basedOn w:val="816"/>
    <w:link w:val="1000"/>
    <w:uiPriority w:val="99"/>
    <w:semiHidden/>
    <w:unhideWhenUsed/>
    <w:qFormat/>
    <w:pPr>
      <w:spacing w:after="40"/>
    </w:pPr>
    <w:rPr>
      <w:sz w:val="18"/>
    </w:rPr>
  </w:style>
  <w:style w:type="paragraph" w:styleId="843">
    <w:name w:val="toc 6"/>
    <w:basedOn w:val="816"/>
    <w:next w:val="816"/>
    <w:uiPriority w:val="39"/>
    <w:unhideWhenUsed/>
    <w:qFormat/>
    <w:pPr>
      <w:ind w:left="1417"/>
      <w:spacing w:after="57"/>
    </w:pPr>
  </w:style>
  <w:style w:type="paragraph" w:styleId="844">
    <w:name w:val="table of figures"/>
    <w:basedOn w:val="816"/>
    <w:next w:val="816"/>
    <w:uiPriority w:val="99"/>
    <w:unhideWhenUsed/>
    <w:qFormat/>
  </w:style>
  <w:style w:type="paragraph" w:styleId="845">
    <w:name w:val="toc 2"/>
    <w:basedOn w:val="816"/>
    <w:next w:val="816"/>
    <w:uiPriority w:val="39"/>
    <w:unhideWhenUsed/>
    <w:qFormat/>
    <w:pPr>
      <w:ind w:left="283"/>
      <w:spacing w:after="57"/>
    </w:pPr>
  </w:style>
  <w:style w:type="paragraph" w:styleId="846">
    <w:name w:val="toc 9"/>
    <w:basedOn w:val="816"/>
    <w:next w:val="816"/>
    <w:uiPriority w:val="39"/>
    <w:unhideWhenUsed/>
    <w:qFormat/>
    <w:pPr>
      <w:ind w:left="2268"/>
      <w:spacing w:after="57"/>
    </w:pPr>
  </w:style>
  <w:style w:type="paragraph" w:styleId="847">
    <w:name w:val="Normal (Web)"/>
    <w:basedOn w:val="816"/>
    <w:uiPriority w:val="99"/>
    <w:semiHidden/>
    <w:unhideWhenUsed/>
    <w:pPr>
      <w:ind w:left="0" w:right="0"/>
      <w:jc w:val="left"/>
      <w:spacing w:before="0" w:beforeAutospacing="1" w:after="0" w:afterAutospacing="1"/>
    </w:pPr>
    <w:rPr>
      <w:sz w:val="24"/>
      <w:lang w:val="en-US" w:eastAsia="zh-CN" w:bidi="ar"/>
    </w:rPr>
  </w:style>
  <w:style w:type="paragraph" w:styleId="848">
    <w:name w:val="Title"/>
    <w:basedOn w:val="816"/>
    <w:next w:val="816"/>
    <w:link w:val="866"/>
    <w:uiPriority w:val="10"/>
    <w:qFormat/>
    <w:pPr>
      <w:contextualSpacing/>
      <w:spacing w:before="300" w:after="200"/>
    </w:pPr>
    <w:rPr>
      <w:sz w:val="48"/>
      <w:szCs w:val="48"/>
    </w:rPr>
  </w:style>
  <w:style w:type="paragraph" w:styleId="849">
    <w:name w:val="annotation subject"/>
    <w:basedOn w:val="830"/>
    <w:next w:val="830"/>
    <w:link w:val="1150"/>
    <w:uiPriority w:val="99"/>
    <w:semiHidden/>
    <w:unhideWhenUsed/>
    <w:qFormat/>
    <w:rPr>
      <w:b/>
      <w:bCs/>
    </w:rPr>
  </w:style>
  <w:style w:type="table" w:styleId="85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1">
    <w:name w:val="endnote reference"/>
    <w:uiPriority w:val="99"/>
    <w:semiHidden/>
    <w:unhideWhenUsed/>
    <w:qFormat/>
    <w:rPr>
      <w:vertAlign w:val="superscript"/>
    </w:rPr>
  </w:style>
  <w:style w:type="character" w:styleId="852">
    <w:name w:val="Hyperlink"/>
    <w:uiPriority w:val="99"/>
    <w:unhideWhenUsed/>
    <w:qFormat/>
    <w:rPr>
      <w:color w:val="0000ff" w:themeColor="hyperlink"/>
      <w:u w:val="single"/>
      <w14:textFill>
        <w14:solidFill>
          <w14:schemeClr w14:val="hlink"/>
        </w14:solidFill>
      </w14:textFill>
    </w:rPr>
  </w:style>
  <w:style w:type="character" w:styleId="853">
    <w:name w:val="annotation reference"/>
    <w:basedOn w:val="826"/>
    <w:uiPriority w:val="99"/>
    <w:semiHidden/>
    <w:unhideWhenUsed/>
    <w:rPr>
      <w:sz w:val="21"/>
      <w:szCs w:val="21"/>
    </w:rPr>
  </w:style>
  <w:style w:type="character" w:styleId="854">
    <w:name w:val="footnote reference"/>
    <w:uiPriority w:val="99"/>
    <w:unhideWhenUsed/>
    <w:qFormat/>
    <w:rPr>
      <w:vertAlign w:val="superscript"/>
    </w:rPr>
  </w:style>
  <w:style w:type="character" w:styleId="855" w:customStyle="1">
    <w:name w:val="标题 1 Char1"/>
    <w:link w:val="817"/>
    <w:uiPriority w:val="9"/>
    <w:qFormat/>
    <w:rPr>
      <w:rFonts w:ascii="Arial" w:hAnsi="Arial" w:eastAsia="Arial" w:cs="Arial"/>
      <w:sz w:val="40"/>
      <w:szCs w:val="40"/>
    </w:rPr>
  </w:style>
  <w:style w:type="character" w:styleId="856" w:customStyle="1">
    <w:name w:val="标题 2 Char1"/>
    <w:link w:val="818"/>
    <w:uiPriority w:val="9"/>
    <w:qFormat/>
    <w:rPr>
      <w:rFonts w:ascii="Arial" w:hAnsi="Arial" w:eastAsia="Arial" w:cs="Arial"/>
      <w:sz w:val="34"/>
    </w:rPr>
  </w:style>
  <w:style w:type="character" w:styleId="857" w:customStyle="1">
    <w:name w:val="标题 3 Char1"/>
    <w:link w:val="819"/>
    <w:uiPriority w:val="9"/>
    <w:qFormat/>
    <w:rPr>
      <w:rFonts w:ascii="Arial" w:hAnsi="Arial" w:eastAsia="Arial" w:cs="Arial"/>
      <w:sz w:val="30"/>
      <w:szCs w:val="30"/>
    </w:rPr>
  </w:style>
  <w:style w:type="character" w:styleId="858" w:customStyle="1">
    <w:name w:val="标题 4 Char1"/>
    <w:link w:val="820"/>
    <w:uiPriority w:val="9"/>
    <w:qFormat/>
    <w:rPr>
      <w:rFonts w:ascii="Arial" w:hAnsi="Arial" w:eastAsia="Arial" w:cs="Arial"/>
      <w:b/>
      <w:bCs/>
      <w:sz w:val="26"/>
      <w:szCs w:val="26"/>
    </w:rPr>
  </w:style>
  <w:style w:type="character" w:styleId="859" w:customStyle="1">
    <w:name w:val="标题 5 Char1"/>
    <w:link w:val="821"/>
    <w:uiPriority w:val="9"/>
    <w:qFormat/>
    <w:rPr>
      <w:rFonts w:ascii="Arial" w:hAnsi="Arial" w:eastAsia="Arial" w:cs="Arial"/>
      <w:b/>
      <w:bCs/>
      <w:sz w:val="24"/>
      <w:szCs w:val="24"/>
    </w:rPr>
  </w:style>
  <w:style w:type="character" w:styleId="860" w:customStyle="1">
    <w:name w:val="标题 6 Char1"/>
    <w:link w:val="822"/>
    <w:uiPriority w:val="9"/>
    <w:qFormat/>
    <w:rPr>
      <w:rFonts w:ascii="Arial" w:hAnsi="Arial" w:eastAsia="Arial" w:cs="Arial"/>
      <w:b/>
      <w:bCs/>
      <w:sz w:val="22"/>
      <w:szCs w:val="22"/>
    </w:rPr>
  </w:style>
  <w:style w:type="character" w:styleId="861" w:customStyle="1">
    <w:name w:val="标题 7 Char1"/>
    <w:link w:val="823"/>
    <w:uiPriority w:val="9"/>
    <w:qFormat/>
    <w:rPr>
      <w:rFonts w:ascii="Arial" w:hAnsi="Arial" w:eastAsia="Arial" w:cs="Arial"/>
      <w:b/>
      <w:bCs/>
      <w:i/>
      <w:iCs/>
      <w:sz w:val="22"/>
      <w:szCs w:val="22"/>
    </w:rPr>
  </w:style>
  <w:style w:type="character" w:styleId="862" w:customStyle="1">
    <w:name w:val="标题 8 Char1"/>
    <w:link w:val="824"/>
    <w:uiPriority w:val="9"/>
    <w:qFormat/>
    <w:rPr>
      <w:rFonts w:ascii="Arial" w:hAnsi="Arial" w:eastAsia="Arial" w:cs="Arial"/>
      <w:i/>
      <w:iCs/>
      <w:sz w:val="22"/>
      <w:szCs w:val="22"/>
    </w:rPr>
  </w:style>
  <w:style w:type="character" w:styleId="863" w:customStyle="1">
    <w:name w:val="标题 9 Char1"/>
    <w:link w:val="825"/>
    <w:uiPriority w:val="9"/>
    <w:qFormat/>
    <w:rPr>
      <w:rFonts w:ascii="Arial" w:hAnsi="Arial" w:eastAsia="Arial" w:cs="Arial"/>
      <w:i/>
      <w:iCs/>
      <w:sz w:val="21"/>
      <w:szCs w:val="21"/>
    </w:rPr>
  </w:style>
  <w:style w:type="paragraph" w:styleId="864">
    <w:name w:val="List Paragraph"/>
    <w:basedOn w:val="816"/>
    <w:uiPriority w:val="34"/>
    <w:qFormat/>
    <w:pPr>
      <w:contextualSpacing/>
      <w:ind w:left="720"/>
    </w:pPr>
  </w:style>
  <w:style w:type="paragraph" w:styleId="865">
    <w:name w:val="No Spacing"/>
    <w:uiPriority w:val="1"/>
    <w:qFormat/>
    <w:rPr>
      <w:rFonts w:ascii="Times New Roman" w:hAnsi="Times New Roman" w:eastAsia="宋体" w:cs="Times New Roman"/>
      <w:lang w:val="en-US" w:eastAsia="zh-CN" w:bidi="ar-SA"/>
    </w:rPr>
  </w:style>
  <w:style w:type="character" w:styleId="866" w:customStyle="1">
    <w:name w:val="标题 Char"/>
    <w:link w:val="848"/>
    <w:uiPriority w:val="10"/>
    <w:qFormat/>
    <w:rPr>
      <w:sz w:val="48"/>
      <w:szCs w:val="48"/>
    </w:rPr>
  </w:style>
  <w:style w:type="character" w:styleId="867" w:customStyle="1">
    <w:name w:val="副标题 Char"/>
    <w:link w:val="841"/>
    <w:uiPriority w:val="11"/>
    <w:qFormat/>
    <w:rPr>
      <w:sz w:val="24"/>
      <w:szCs w:val="24"/>
    </w:rPr>
  </w:style>
  <w:style w:type="paragraph" w:styleId="868">
    <w:name w:val="Quote"/>
    <w:basedOn w:val="816"/>
    <w:next w:val="816"/>
    <w:link w:val="869"/>
    <w:uiPriority w:val="29"/>
    <w:qFormat/>
    <w:pPr>
      <w:ind w:left="720" w:right="720"/>
    </w:pPr>
    <w:rPr>
      <w:i/>
    </w:rPr>
  </w:style>
  <w:style w:type="character" w:styleId="869" w:customStyle="1">
    <w:name w:val="引用 Char"/>
    <w:link w:val="868"/>
    <w:uiPriority w:val="29"/>
    <w:qFormat/>
    <w:rPr>
      <w:i/>
    </w:rPr>
  </w:style>
  <w:style w:type="paragraph" w:styleId="870">
    <w:name w:val="Intense Quote"/>
    <w:basedOn w:val="816"/>
    <w:next w:val="816"/>
    <w:link w:val="8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1" w:customStyle="1">
    <w:name w:val="明显引用 Char"/>
    <w:link w:val="870"/>
    <w:uiPriority w:val="30"/>
    <w:qFormat/>
    <w:rPr>
      <w:i/>
    </w:rPr>
  </w:style>
  <w:style w:type="character" w:styleId="872" w:customStyle="1">
    <w:name w:val="页眉 Char1"/>
    <w:link w:val="838"/>
    <w:uiPriority w:val="99"/>
    <w:qFormat/>
  </w:style>
  <w:style w:type="character" w:styleId="873" w:customStyle="1">
    <w:name w:val="Footer Char"/>
    <w:uiPriority w:val="99"/>
    <w:qFormat/>
  </w:style>
  <w:style w:type="character" w:styleId="874" w:customStyle="1">
    <w:name w:val="页脚 Char1"/>
    <w:link w:val="837"/>
    <w:uiPriority w:val="99"/>
    <w:qFormat/>
  </w:style>
  <w:style w:type="table" w:styleId="87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0" w:customStyle="1">
    <w:name w:val="脚注文本 Char"/>
    <w:link w:val="842"/>
    <w:uiPriority w:val="99"/>
    <w:qFormat/>
    <w:rPr>
      <w:sz w:val="18"/>
    </w:rPr>
  </w:style>
  <w:style w:type="character" w:styleId="1001" w:customStyle="1">
    <w:name w:val="尾注文本 Char"/>
    <w:link w:val="835"/>
    <w:uiPriority w:val="99"/>
    <w:qFormat/>
    <w:rPr>
      <w:sz w:val="20"/>
    </w:rPr>
  </w:style>
  <w:style w:type="paragraph" w:styleId="1002" w:customStyle="1">
    <w:name w:val="TOC 标题1"/>
    <w:uiPriority w:val="39"/>
    <w:unhideWhenUsed/>
    <w:qFormat/>
    <w:rPr>
      <w:rFonts w:ascii="Times New Roman" w:hAnsi="Times New Roman" w:eastAsia="宋体" w:cs="Times New Roman"/>
      <w:lang w:val="en-US" w:eastAsia="zh-CN" w:bidi="ar-SA"/>
    </w:rPr>
  </w:style>
  <w:style w:type="paragraph" w:styleId="1003" w:customStyle="1">
    <w:name w:val="标题 11"/>
    <w:basedOn w:val="816"/>
    <w:next w:val="816"/>
    <w:link w:val="1015"/>
    <w:uiPriority w:val="0"/>
    <w:qFormat/>
    <w:pPr>
      <w:jc w:val="center"/>
      <w:keepNext/>
      <w:outlineLvl w:val="0"/>
    </w:pPr>
    <w:rPr>
      <w:rFonts w:ascii="楷体_GB2312" w:eastAsia="楷体_GB2312"/>
      <w:sz w:val="28"/>
      <w:szCs w:val="28"/>
    </w:rPr>
  </w:style>
  <w:style w:type="paragraph" w:styleId="1004" w:customStyle="1">
    <w:name w:val="标题 21"/>
    <w:basedOn w:val="816"/>
    <w:next w:val="816"/>
    <w:link w:val="101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05" w:customStyle="1">
    <w:name w:val="标题 31"/>
    <w:basedOn w:val="816"/>
    <w:next w:val="1006"/>
    <w:link w:val="1017"/>
    <w:uiPriority w:val="0"/>
    <w:qFormat/>
    <w:pPr>
      <w:keepLines/>
      <w:keepNext/>
      <w:spacing w:before="260" w:after="260" w:line="416" w:lineRule="auto"/>
      <w:outlineLvl w:val="2"/>
    </w:pPr>
    <w:rPr>
      <w:b/>
      <w:bCs/>
      <w:sz w:val="32"/>
      <w:szCs w:val="32"/>
    </w:rPr>
  </w:style>
  <w:style w:type="paragraph" w:styleId="1006" w:customStyle="1">
    <w:name w:val="正文缩进1"/>
    <w:basedOn w:val="816"/>
    <w:next w:val="816"/>
    <w:link w:val="1018"/>
    <w:uiPriority w:val="0"/>
    <w:qFormat/>
    <w:pPr>
      <w:ind w:firstLine="420"/>
    </w:pPr>
  </w:style>
  <w:style w:type="paragraph" w:styleId="1007" w:customStyle="1">
    <w:name w:val="标题 41"/>
    <w:basedOn w:val="816"/>
    <w:next w:val="1006"/>
    <w:link w:val="1019"/>
    <w:uiPriority w:val="0"/>
    <w:qFormat/>
    <w:pPr>
      <w:keepLines/>
      <w:keepNext/>
      <w:spacing w:before="280" w:after="290" w:line="376" w:lineRule="auto"/>
      <w:outlineLvl w:val="3"/>
    </w:pPr>
    <w:rPr>
      <w:rFonts w:ascii="Arial" w:hAnsi="Arial" w:eastAsia="黑体" w:cs="Arial"/>
      <w:b/>
      <w:bCs/>
      <w:sz w:val="28"/>
      <w:szCs w:val="28"/>
    </w:rPr>
  </w:style>
  <w:style w:type="paragraph" w:styleId="1008" w:customStyle="1">
    <w:name w:val="标题 51"/>
    <w:basedOn w:val="816"/>
    <w:next w:val="1006"/>
    <w:link w:val="1020"/>
    <w:uiPriority w:val="0"/>
    <w:qFormat/>
    <w:pPr>
      <w:keepNext/>
      <w:outlineLvl w:val="4"/>
    </w:pPr>
    <w:rPr>
      <w:rFonts w:ascii="宋体"/>
      <w:color w:val="000000"/>
      <w:sz w:val="28"/>
      <w:szCs w:val="28"/>
    </w:rPr>
  </w:style>
  <w:style w:type="paragraph" w:styleId="1009" w:customStyle="1">
    <w:name w:val="标题 61"/>
    <w:basedOn w:val="816"/>
    <w:next w:val="816"/>
    <w:link w:val="102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10" w:customStyle="1">
    <w:name w:val="标题 71"/>
    <w:basedOn w:val="816"/>
    <w:next w:val="816"/>
    <w:link w:val="1022"/>
    <w:uiPriority w:val="0"/>
    <w:qFormat/>
    <w:pPr>
      <w:numPr>
        <w:ilvl w:val="6"/>
        <w:numId w:val="1"/>
      </w:numPr>
      <w:keepLines/>
      <w:keepNext/>
      <w:spacing w:before="240" w:after="64" w:line="320" w:lineRule="auto"/>
      <w:outlineLvl w:val="6"/>
    </w:pPr>
    <w:rPr>
      <w:b/>
      <w:bCs/>
      <w:sz w:val="24"/>
      <w:szCs w:val="24"/>
    </w:rPr>
  </w:style>
  <w:style w:type="paragraph" w:styleId="1011" w:customStyle="1">
    <w:name w:val="标题 81"/>
    <w:basedOn w:val="816"/>
    <w:next w:val="816"/>
    <w:link w:val="102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12" w:customStyle="1">
    <w:name w:val="标题 91"/>
    <w:basedOn w:val="816"/>
    <w:next w:val="816"/>
    <w:link w:val="1024"/>
    <w:uiPriority w:val="0"/>
    <w:qFormat/>
    <w:pPr>
      <w:numPr>
        <w:ilvl w:val="8"/>
        <w:numId w:val="1"/>
      </w:numPr>
      <w:keepLines/>
      <w:keepNext/>
      <w:spacing w:before="240" w:after="64" w:line="320" w:lineRule="auto"/>
      <w:outlineLvl w:val="8"/>
    </w:pPr>
    <w:rPr>
      <w:rFonts w:ascii="Arial" w:hAnsi="Arial" w:eastAsia="黑体"/>
    </w:rPr>
  </w:style>
  <w:style w:type="character" w:styleId="1013" w:customStyle="1">
    <w:name w:val="默认段落字体1"/>
    <w:uiPriority w:val="1"/>
    <w:unhideWhenUsed/>
    <w:qFormat/>
  </w:style>
  <w:style w:type="table" w:styleId="1014" w:customStyle="1">
    <w:name w:val="普通表格1"/>
    <w:uiPriority w:val="99"/>
    <w:unhideWhenUsed/>
    <w:qFormat/>
    <w:tblPr>
      <w:tblCellMar>
        <w:left w:w="0" w:type="dxa"/>
        <w:top w:w="0" w:type="dxa"/>
        <w:right w:w="0" w:type="dxa"/>
        <w:bottom w:w="0" w:type="dxa"/>
      </w:tblCellMar>
    </w:tblPr>
  </w:style>
  <w:style w:type="character" w:styleId="1015" w:customStyle="1">
    <w:name w:val="标题 1 Char"/>
    <w:link w:val="1003"/>
    <w:uiPriority w:val="0"/>
    <w:qFormat/>
    <w:rPr>
      <w:rFonts w:ascii="楷体_GB2312" w:hAnsi="Times New Roman" w:eastAsia="楷体_GB2312" w:cs="Times New Roman"/>
      <w:sz w:val="28"/>
      <w:szCs w:val="28"/>
    </w:rPr>
  </w:style>
  <w:style w:type="character" w:styleId="1016" w:customStyle="1">
    <w:name w:val="标题 2 Char"/>
    <w:link w:val="1004"/>
    <w:uiPriority w:val="0"/>
    <w:qFormat/>
    <w:rPr>
      <w:rFonts w:ascii="Arial" w:hAnsi="Arial" w:eastAsia="幼圆" w:cs="Arial"/>
      <w:b/>
      <w:bCs/>
      <w:sz w:val="44"/>
      <w:szCs w:val="44"/>
    </w:rPr>
  </w:style>
  <w:style w:type="character" w:styleId="1017" w:customStyle="1">
    <w:name w:val="标题 3 Char"/>
    <w:link w:val="1005"/>
    <w:uiPriority w:val="0"/>
    <w:qFormat/>
    <w:rPr>
      <w:rFonts w:ascii="Times New Roman" w:hAnsi="Times New Roman" w:eastAsia="宋体" w:cs="Times New Roman"/>
      <w:b/>
      <w:bCs/>
      <w:sz w:val="32"/>
      <w:szCs w:val="32"/>
    </w:rPr>
  </w:style>
  <w:style w:type="character" w:styleId="1018" w:customStyle="1">
    <w:name w:val="正文缩进 Char"/>
    <w:link w:val="1006"/>
    <w:uiPriority w:val="0"/>
    <w:qFormat/>
    <w:rPr>
      <w:rFonts w:ascii="Times New Roman" w:hAnsi="Times New Roman" w:eastAsia="宋体" w:cs="Times New Roman"/>
      <w:szCs w:val="21"/>
    </w:rPr>
  </w:style>
  <w:style w:type="character" w:styleId="1019" w:customStyle="1">
    <w:name w:val="标题 4 Char"/>
    <w:link w:val="1007"/>
    <w:uiPriority w:val="0"/>
    <w:qFormat/>
    <w:rPr>
      <w:rFonts w:ascii="Arial" w:hAnsi="Arial" w:eastAsia="黑体" w:cs="Arial"/>
      <w:b/>
      <w:bCs/>
      <w:sz w:val="28"/>
      <w:szCs w:val="28"/>
    </w:rPr>
  </w:style>
  <w:style w:type="character" w:styleId="1020" w:customStyle="1">
    <w:name w:val="标题 5 Char"/>
    <w:link w:val="1008"/>
    <w:uiPriority w:val="0"/>
    <w:qFormat/>
    <w:rPr>
      <w:rFonts w:ascii="宋体" w:hAnsi="Times New Roman" w:eastAsia="宋体" w:cs="Times New Roman"/>
      <w:color w:val="000000"/>
      <w:sz w:val="28"/>
      <w:szCs w:val="28"/>
    </w:rPr>
  </w:style>
  <w:style w:type="character" w:styleId="1021" w:customStyle="1">
    <w:name w:val="标题 6 Char"/>
    <w:link w:val="1009"/>
    <w:uiPriority w:val="0"/>
    <w:qFormat/>
    <w:rPr>
      <w:rFonts w:ascii="Arial" w:hAnsi="Arial" w:eastAsia="黑体" w:cs="Times New Roman"/>
      <w:b/>
      <w:bCs/>
      <w:sz w:val="24"/>
      <w:szCs w:val="24"/>
    </w:rPr>
  </w:style>
  <w:style w:type="character" w:styleId="1022" w:customStyle="1">
    <w:name w:val="标题 7 Char"/>
    <w:link w:val="1010"/>
    <w:uiPriority w:val="0"/>
    <w:qFormat/>
    <w:rPr>
      <w:rFonts w:ascii="Times New Roman" w:hAnsi="Times New Roman" w:eastAsia="宋体" w:cs="Times New Roman"/>
      <w:b/>
      <w:bCs/>
      <w:sz w:val="24"/>
      <w:szCs w:val="24"/>
    </w:rPr>
  </w:style>
  <w:style w:type="character" w:styleId="1023" w:customStyle="1">
    <w:name w:val="标题 8 Char"/>
    <w:link w:val="1011"/>
    <w:uiPriority w:val="0"/>
    <w:qFormat/>
    <w:rPr>
      <w:rFonts w:ascii="Arial" w:hAnsi="Arial" w:eastAsia="黑体" w:cs="Times New Roman"/>
      <w:sz w:val="24"/>
      <w:szCs w:val="24"/>
    </w:rPr>
  </w:style>
  <w:style w:type="character" w:styleId="1024" w:customStyle="1">
    <w:name w:val="标题 9 Char"/>
    <w:link w:val="1012"/>
    <w:uiPriority w:val="0"/>
    <w:qFormat/>
    <w:rPr>
      <w:rFonts w:ascii="Arial" w:hAnsi="Arial" w:eastAsia="黑体" w:cs="Times New Roman"/>
      <w:szCs w:val="21"/>
    </w:rPr>
  </w:style>
  <w:style w:type="paragraph" w:styleId="1025" w:customStyle="1">
    <w:name w:val="列表 31"/>
    <w:basedOn w:val="816"/>
    <w:uiPriority w:val="0"/>
    <w:qFormat/>
    <w:pPr>
      <w:ind w:left="100" w:hanging="200"/>
    </w:pPr>
  </w:style>
  <w:style w:type="paragraph" w:styleId="1026" w:customStyle="1">
    <w:name w:val="目录 71"/>
    <w:basedOn w:val="816"/>
    <w:next w:val="816"/>
    <w:uiPriority w:val="0"/>
    <w:semiHidden/>
    <w:qFormat/>
    <w:pPr>
      <w:ind w:left="1260"/>
      <w:jc w:val="left"/>
    </w:pPr>
  </w:style>
  <w:style w:type="paragraph" w:styleId="1027" w:customStyle="1">
    <w:name w:val="文档结构图1"/>
    <w:basedOn w:val="816"/>
    <w:link w:val="1028"/>
    <w:uiPriority w:val="0"/>
    <w:semiHidden/>
    <w:qFormat/>
    <w:pPr>
      <w:shd w:val="clear" w:color="auto" w:fill="000080"/>
    </w:pPr>
  </w:style>
  <w:style w:type="character" w:styleId="1028" w:customStyle="1">
    <w:name w:val="文档结构图 Char"/>
    <w:link w:val="1027"/>
    <w:uiPriority w:val="0"/>
    <w:semiHidden/>
    <w:qFormat/>
    <w:rPr>
      <w:rFonts w:ascii="Times New Roman" w:hAnsi="Times New Roman" w:eastAsia="宋体" w:cs="Times New Roman"/>
      <w:szCs w:val="21"/>
      <w:shd w:val="clear" w:color="auto" w:fill="000080"/>
    </w:rPr>
  </w:style>
  <w:style w:type="paragraph" w:styleId="1029" w:customStyle="1">
    <w:name w:val="批注文字1"/>
    <w:basedOn w:val="816"/>
    <w:link w:val="1030"/>
    <w:uiPriority w:val="0"/>
    <w:semiHidden/>
    <w:qFormat/>
    <w:pPr>
      <w:jc w:val="left"/>
    </w:pPr>
  </w:style>
  <w:style w:type="character" w:styleId="1030" w:customStyle="1">
    <w:name w:val="批注文字 Char"/>
    <w:link w:val="1029"/>
    <w:uiPriority w:val="0"/>
    <w:semiHidden/>
    <w:qFormat/>
    <w:rPr>
      <w:rFonts w:ascii="Times New Roman" w:hAnsi="Times New Roman" w:eastAsia="宋体" w:cs="Times New Roman"/>
      <w:szCs w:val="21"/>
    </w:rPr>
  </w:style>
  <w:style w:type="paragraph" w:styleId="1031" w:customStyle="1">
    <w:name w:val="正文文本 31"/>
    <w:basedOn w:val="816"/>
    <w:link w:val="1032"/>
    <w:uiPriority w:val="0"/>
    <w:qFormat/>
    <w:rPr>
      <w:rFonts w:ascii="仿宋_GB2312" w:hAnsi="Arial" w:eastAsia="仿宋_GB2312"/>
      <w:sz w:val="32"/>
      <w:szCs w:val="32"/>
    </w:rPr>
  </w:style>
  <w:style w:type="character" w:styleId="1032" w:customStyle="1">
    <w:name w:val="正文文本 3 Char"/>
    <w:link w:val="1031"/>
    <w:uiPriority w:val="0"/>
    <w:qFormat/>
    <w:rPr>
      <w:rFonts w:ascii="仿宋_GB2312" w:hAnsi="Arial" w:eastAsia="仿宋_GB2312" w:cs="Times New Roman"/>
      <w:sz w:val="32"/>
      <w:szCs w:val="32"/>
    </w:rPr>
  </w:style>
  <w:style w:type="paragraph" w:styleId="1033" w:customStyle="1">
    <w:name w:val="正文文本1"/>
    <w:basedOn w:val="816"/>
    <w:link w:val="1034"/>
    <w:uiPriority w:val="0"/>
    <w:qFormat/>
    <w:rPr>
      <w:rFonts w:ascii="楷体_GB2312" w:hAnsi="Arial" w:eastAsia="楷体_GB2312"/>
      <w:sz w:val="28"/>
      <w:szCs w:val="28"/>
    </w:rPr>
  </w:style>
  <w:style w:type="character" w:styleId="1034" w:customStyle="1">
    <w:name w:val="正文文本 Char"/>
    <w:link w:val="1033"/>
    <w:uiPriority w:val="0"/>
    <w:qFormat/>
    <w:rPr>
      <w:rFonts w:ascii="楷体_GB2312" w:hAnsi="Arial" w:eastAsia="楷体_GB2312" w:cs="Times New Roman"/>
      <w:sz w:val="28"/>
      <w:szCs w:val="28"/>
    </w:rPr>
  </w:style>
  <w:style w:type="paragraph" w:styleId="1035" w:customStyle="1">
    <w:name w:val="正文文本缩进1"/>
    <w:basedOn w:val="816"/>
    <w:next w:val="816"/>
    <w:link w:val="1036"/>
    <w:uiPriority w:val="0"/>
    <w:qFormat/>
    <w:pPr>
      <w:ind w:firstLine="645"/>
    </w:pPr>
    <w:rPr>
      <w:rFonts w:ascii="楷体_GB2312" w:eastAsia="楷体_GB2312"/>
      <w:sz w:val="32"/>
      <w:szCs w:val="32"/>
    </w:rPr>
  </w:style>
  <w:style w:type="character" w:styleId="1036" w:customStyle="1">
    <w:name w:val="正文文本缩进 Char"/>
    <w:link w:val="1035"/>
    <w:uiPriority w:val="0"/>
    <w:qFormat/>
    <w:rPr>
      <w:rFonts w:ascii="楷体_GB2312" w:hAnsi="Times New Roman" w:eastAsia="楷体_GB2312" w:cs="Times New Roman"/>
      <w:sz w:val="32"/>
      <w:szCs w:val="32"/>
    </w:rPr>
  </w:style>
  <w:style w:type="paragraph" w:styleId="1037" w:customStyle="1">
    <w:name w:val="列表 21"/>
    <w:basedOn w:val="816"/>
    <w:uiPriority w:val="0"/>
    <w:qFormat/>
    <w:pPr>
      <w:ind w:left="100" w:hanging="200"/>
    </w:pPr>
  </w:style>
  <w:style w:type="paragraph" w:styleId="1038" w:customStyle="1">
    <w:name w:val="目录 51"/>
    <w:basedOn w:val="816"/>
    <w:next w:val="816"/>
    <w:uiPriority w:val="0"/>
    <w:semiHidden/>
    <w:qFormat/>
    <w:pPr>
      <w:ind w:left="840"/>
      <w:jc w:val="left"/>
    </w:pPr>
  </w:style>
  <w:style w:type="paragraph" w:styleId="1039" w:customStyle="1">
    <w:name w:val="目录 31"/>
    <w:basedOn w:val="816"/>
    <w:next w:val="816"/>
    <w:uiPriority w:val="0"/>
    <w:semiHidden/>
    <w:qFormat/>
    <w:pPr>
      <w:ind w:left="420"/>
      <w:jc w:val="left"/>
    </w:pPr>
    <w:rPr>
      <w:i/>
      <w:iCs/>
      <w:szCs w:val="24"/>
    </w:rPr>
  </w:style>
  <w:style w:type="paragraph" w:styleId="1040" w:customStyle="1">
    <w:name w:val="纯文本1"/>
    <w:basedOn w:val="816"/>
    <w:link w:val="1041"/>
    <w:uiPriority w:val="0"/>
    <w:qFormat/>
    <w:rPr>
      <w:rFonts w:ascii="宋体" w:hAnsi="Courier New" w:cs="Courier New"/>
    </w:rPr>
  </w:style>
  <w:style w:type="character" w:styleId="1041" w:customStyle="1">
    <w:name w:val="纯文本 Char"/>
    <w:link w:val="1040"/>
    <w:uiPriority w:val="0"/>
    <w:qFormat/>
    <w:rPr>
      <w:rFonts w:ascii="宋体" w:hAnsi="Courier New" w:eastAsia="宋体" w:cs="Courier New"/>
      <w:szCs w:val="21"/>
    </w:rPr>
  </w:style>
  <w:style w:type="paragraph" w:styleId="1042" w:customStyle="1">
    <w:name w:val="目录 81"/>
    <w:basedOn w:val="816"/>
    <w:next w:val="816"/>
    <w:uiPriority w:val="0"/>
    <w:semiHidden/>
    <w:qFormat/>
    <w:pPr>
      <w:ind w:left="1470"/>
      <w:jc w:val="left"/>
    </w:pPr>
  </w:style>
  <w:style w:type="paragraph" w:styleId="1043" w:customStyle="1">
    <w:name w:val="日期1"/>
    <w:basedOn w:val="816"/>
    <w:next w:val="816"/>
    <w:link w:val="1044"/>
    <w:uiPriority w:val="0"/>
    <w:qFormat/>
    <w:rPr>
      <w:sz w:val="24"/>
      <w:szCs w:val="24"/>
    </w:rPr>
  </w:style>
  <w:style w:type="character" w:styleId="1044" w:customStyle="1">
    <w:name w:val="日期 Char"/>
    <w:link w:val="1043"/>
    <w:uiPriority w:val="0"/>
    <w:qFormat/>
    <w:rPr>
      <w:rFonts w:ascii="Times New Roman" w:hAnsi="Times New Roman" w:eastAsia="宋体" w:cs="Times New Roman"/>
      <w:sz w:val="24"/>
      <w:szCs w:val="24"/>
    </w:rPr>
  </w:style>
  <w:style w:type="paragraph" w:styleId="1045" w:customStyle="1">
    <w:name w:val="正文文本缩进 21"/>
    <w:basedOn w:val="816"/>
    <w:link w:val="1046"/>
    <w:uiPriority w:val="0"/>
    <w:qFormat/>
    <w:pPr>
      <w:ind w:left="630" w:firstLine="645"/>
    </w:pPr>
    <w:rPr>
      <w:rFonts w:ascii="Arial" w:hAnsi="Arial" w:eastAsia="仿宋_GB2312" w:cs="Arial"/>
      <w:sz w:val="32"/>
      <w:szCs w:val="32"/>
    </w:rPr>
  </w:style>
  <w:style w:type="character" w:styleId="1046" w:customStyle="1">
    <w:name w:val="正文文本缩进 2 Char"/>
    <w:link w:val="1045"/>
    <w:uiPriority w:val="0"/>
    <w:qFormat/>
    <w:rPr>
      <w:rFonts w:ascii="Arial" w:hAnsi="Arial" w:eastAsia="仿宋_GB2312" w:cs="Arial"/>
      <w:sz w:val="32"/>
      <w:szCs w:val="32"/>
    </w:rPr>
  </w:style>
  <w:style w:type="paragraph" w:styleId="1047" w:customStyle="1">
    <w:name w:val="批注框文本1"/>
    <w:basedOn w:val="816"/>
    <w:link w:val="1048"/>
    <w:uiPriority w:val="0"/>
    <w:semiHidden/>
    <w:qFormat/>
    <w:rPr>
      <w:sz w:val="18"/>
      <w:szCs w:val="18"/>
    </w:rPr>
  </w:style>
  <w:style w:type="character" w:styleId="1048" w:customStyle="1">
    <w:name w:val="批注框文本 Char"/>
    <w:link w:val="1047"/>
    <w:uiPriority w:val="0"/>
    <w:semiHidden/>
    <w:qFormat/>
    <w:rPr>
      <w:rFonts w:ascii="Times New Roman" w:hAnsi="Times New Roman" w:eastAsia="宋体" w:cs="Times New Roman"/>
      <w:sz w:val="18"/>
      <w:szCs w:val="18"/>
    </w:rPr>
  </w:style>
  <w:style w:type="paragraph" w:styleId="1049" w:customStyle="1">
    <w:name w:val="页脚1"/>
    <w:basedOn w:val="816"/>
    <w:link w:val="1050"/>
    <w:uiPriority w:val="0"/>
    <w:qFormat/>
    <w:pPr>
      <w:jc w:val="left"/>
      <w:tabs>
        <w:tab w:val="center" w:pos="4153" w:leader="none"/>
        <w:tab w:val="right" w:pos="8306" w:leader="none"/>
      </w:tabs>
    </w:pPr>
    <w:rPr>
      <w:sz w:val="18"/>
      <w:szCs w:val="18"/>
    </w:rPr>
  </w:style>
  <w:style w:type="character" w:styleId="1050" w:customStyle="1">
    <w:name w:val="页脚 Char"/>
    <w:link w:val="1049"/>
    <w:uiPriority w:val="0"/>
    <w:qFormat/>
    <w:rPr>
      <w:rFonts w:ascii="Times New Roman" w:hAnsi="Times New Roman" w:eastAsia="宋体" w:cs="Times New Roman"/>
      <w:sz w:val="18"/>
      <w:szCs w:val="18"/>
    </w:rPr>
  </w:style>
  <w:style w:type="paragraph" w:styleId="1051" w:customStyle="1">
    <w:name w:val="页眉1"/>
    <w:basedOn w:val="816"/>
    <w:link w:val="1052"/>
    <w:uiPriority w:val="0"/>
    <w:qFormat/>
    <w:pPr>
      <w:jc w:val="center"/>
      <w:tabs>
        <w:tab w:val="center" w:pos="4153" w:leader="none"/>
        <w:tab w:val="right" w:pos="8306" w:leader="none"/>
      </w:tabs>
      <w:pBdr>
        <w:bottom w:val="single" w:color="000000" w:sz="6" w:space="1"/>
      </w:pBdr>
    </w:pPr>
    <w:rPr>
      <w:sz w:val="18"/>
      <w:szCs w:val="18"/>
    </w:rPr>
  </w:style>
  <w:style w:type="character" w:styleId="1052" w:customStyle="1">
    <w:name w:val="页眉 Char"/>
    <w:link w:val="1051"/>
    <w:uiPriority w:val="0"/>
    <w:qFormat/>
    <w:rPr>
      <w:rFonts w:ascii="Times New Roman" w:hAnsi="Times New Roman" w:eastAsia="宋体" w:cs="Times New Roman"/>
      <w:sz w:val="18"/>
      <w:szCs w:val="18"/>
    </w:rPr>
  </w:style>
  <w:style w:type="paragraph" w:styleId="1053" w:customStyle="1">
    <w:name w:val="目录 11"/>
    <w:basedOn w:val="816"/>
    <w:next w:val="816"/>
    <w:uiPriority w:val="0"/>
    <w:semiHidden/>
    <w:qFormat/>
    <w:pPr>
      <w:jc w:val="left"/>
      <w:spacing w:before="120" w:after="120" w:line="400" w:lineRule="exact"/>
      <w:tabs>
        <w:tab w:val="right" w:pos="8720" w:leader="dot"/>
      </w:tabs>
    </w:pPr>
    <w:rPr>
      <w:rFonts w:ascii="宋体" w:hAnsi="宋体"/>
      <w:caps/>
      <w:sz w:val="24"/>
      <w:szCs w:val="24"/>
    </w:rPr>
  </w:style>
  <w:style w:type="paragraph" w:styleId="1054" w:customStyle="1">
    <w:name w:val="目录 41"/>
    <w:basedOn w:val="816"/>
    <w:next w:val="816"/>
    <w:uiPriority w:val="0"/>
    <w:semiHidden/>
    <w:qFormat/>
    <w:pPr>
      <w:ind w:left="630"/>
      <w:jc w:val="left"/>
    </w:pPr>
  </w:style>
  <w:style w:type="paragraph" w:styleId="1055" w:customStyle="1">
    <w:name w:val="列表1"/>
    <w:basedOn w:val="816"/>
    <w:uiPriority w:val="0"/>
    <w:qFormat/>
    <w:pPr>
      <w:ind w:left="200" w:hanging="200"/>
    </w:pPr>
  </w:style>
  <w:style w:type="paragraph" w:styleId="1056" w:customStyle="1">
    <w:name w:val="目录 61"/>
    <w:basedOn w:val="816"/>
    <w:next w:val="816"/>
    <w:uiPriority w:val="0"/>
    <w:semiHidden/>
    <w:qFormat/>
    <w:pPr>
      <w:ind w:left="1050"/>
      <w:jc w:val="left"/>
    </w:pPr>
  </w:style>
  <w:style w:type="paragraph" w:styleId="1057" w:customStyle="1">
    <w:name w:val="正文文本缩进 31"/>
    <w:basedOn w:val="816"/>
    <w:link w:val="1058"/>
    <w:uiPriority w:val="0"/>
    <w:qFormat/>
    <w:pPr>
      <w:ind w:left="645" w:firstLine="645"/>
    </w:pPr>
    <w:rPr>
      <w:rFonts w:ascii="Arial" w:hAnsi="Arial" w:eastAsia="仿宋_GB2312" w:cs="Arial"/>
      <w:color w:val="ffff00"/>
      <w:sz w:val="32"/>
      <w:szCs w:val="32"/>
    </w:rPr>
  </w:style>
  <w:style w:type="character" w:styleId="1058" w:customStyle="1">
    <w:name w:val="正文文本缩进 3 Char"/>
    <w:link w:val="1057"/>
    <w:uiPriority w:val="0"/>
    <w:qFormat/>
    <w:rPr>
      <w:rFonts w:ascii="Arial" w:hAnsi="Arial" w:eastAsia="仿宋_GB2312" w:cs="Arial"/>
      <w:color w:val="ffff00"/>
      <w:sz w:val="32"/>
      <w:szCs w:val="32"/>
    </w:rPr>
  </w:style>
  <w:style w:type="paragraph" w:styleId="1059" w:customStyle="1">
    <w:name w:val="图表目录1"/>
    <w:basedOn w:val="816"/>
    <w:next w:val="816"/>
    <w:uiPriority w:val="0"/>
    <w:semiHidden/>
    <w:qFormat/>
    <w:pPr>
      <w:ind w:left="840" w:hanging="420"/>
    </w:pPr>
  </w:style>
  <w:style w:type="paragraph" w:styleId="1060" w:customStyle="1">
    <w:name w:val="目录 21"/>
    <w:basedOn w:val="816"/>
    <w:next w:val="816"/>
    <w:uiPriority w:val="0"/>
    <w:semiHidden/>
    <w:qFormat/>
    <w:pPr>
      <w:ind w:left="210"/>
      <w:jc w:val="left"/>
    </w:pPr>
    <w:rPr>
      <w:smallCaps/>
      <w:szCs w:val="24"/>
    </w:rPr>
  </w:style>
  <w:style w:type="paragraph" w:styleId="1061" w:customStyle="1">
    <w:name w:val="目录 91"/>
    <w:basedOn w:val="816"/>
    <w:next w:val="816"/>
    <w:uiPriority w:val="0"/>
    <w:semiHidden/>
    <w:qFormat/>
    <w:pPr>
      <w:ind w:left="1680"/>
      <w:jc w:val="left"/>
    </w:pPr>
  </w:style>
  <w:style w:type="paragraph" w:styleId="1062" w:customStyle="1">
    <w:name w:val="正文文本 21"/>
    <w:basedOn w:val="816"/>
    <w:link w:val="1063"/>
    <w:uiPriority w:val="0"/>
    <w:qFormat/>
    <w:pPr>
      <w:jc w:val="center"/>
      <w:widowControl/>
    </w:pPr>
    <w:rPr>
      <w:rFonts w:ascii="楷体_GB2312" w:eastAsia="楷体_GB2312"/>
      <w:sz w:val="28"/>
      <w:szCs w:val="28"/>
    </w:rPr>
  </w:style>
  <w:style w:type="character" w:styleId="1063" w:customStyle="1">
    <w:name w:val="正文文本 2 Char"/>
    <w:link w:val="1062"/>
    <w:uiPriority w:val="0"/>
    <w:qFormat/>
    <w:rPr>
      <w:rFonts w:ascii="楷体_GB2312" w:hAnsi="Times New Roman" w:eastAsia="楷体_GB2312" w:cs="Times New Roman"/>
      <w:sz w:val="28"/>
      <w:szCs w:val="28"/>
    </w:rPr>
  </w:style>
  <w:style w:type="paragraph" w:styleId="1064" w:customStyle="1">
    <w:name w:val="普通(网站)1"/>
    <w:basedOn w:val="816"/>
    <w:uiPriority w:val="99"/>
    <w:qFormat/>
    <w:pPr>
      <w:jc w:val="left"/>
      <w:spacing w:before="100" w:beforeAutospacing="1" w:after="100" w:afterAutospacing="1"/>
      <w:widowControl/>
    </w:pPr>
    <w:rPr>
      <w:rFonts w:ascii="宋体" w:hAnsi="宋体" w:cs="宋体"/>
      <w:sz w:val="24"/>
      <w:szCs w:val="24"/>
    </w:rPr>
  </w:style>
  <w:style w:type="paragraph" w:styleId="1065" w:customStyle="1">
    <w:name w:val="索引 11"/>
    <w:basedOn w:val="816"/>
    <w:next w:val="816"/>
    <w:uiPriority w:val="0"/>
    <w:semiHidden/>
    <w:qFormat/>
    <w:pPr>
      <w:spacing w:line="240" w:lineRule="atLeast"/>
    </w:pPr>
    <w:rPr>
      <w:b/>
      <w:bCs/>
    </w:rPr>
  </w:style>
  <w:style w:type="paragraph" w:styleId="1066" w:customStyle="1">
    <w:name w:val="批注主题1"/>
    <w:basedOn w:val="1029"/>
    <w:next w:val="1029"/>
    <w:link w:val="1067"/>
    <w:uiPriority w:val="0"/>
    <w:semiHidden/>
    <w:qFormat/>
    <w:rPr>
      <w:b/>
      <w:bCs/>
    </w:rPr>
  </w:style>
  <w:style w:type="character" w:styleId="1067" w:customStyle="1">
    <w:name w:val="批注主题 Char"/>
    <w:link w:val="1066"/>
    <w:uiPriority w:val="0"/>
    <w:semiHidden/>
    <w:qFormat/>
    <w:rPr>
      <w:rFonts w:ascii="Times New Roman" w:hAnsi="Times New Roman" w:eastAsia="宋体" w:cs="Times New Roman"/>
      <w:b/>
      <w:bCs/>
      <w:szCs w:val="21"/>
    </w:rPr>
  </w:style>
  <w:style w:type="paragraph" w:styleId="1068" w:customStyle="1">
    <w:name w:val="正文首行缩进1"/>
    <w:basedOn w:val="816"/>
    <w:link w:val="1069"/>
    <w:uiPriority w:val="0"/>
    <w:qFormat/>
    <w:pPr>
      <w:ind w:firstLine="200"/>
      <w:spacing w:line="360" w:lineRule="auto"/>
    </w:pPr>
    <w:rPr>
      <w:rFonts w:ascii="仿宋_GB2312" w:eastAsia="仿宋_GB2312"/>
      <w:sz w:val="30"/>
      <w:szCs w:val="30"/>
    </w:rPr>
  </w:style>
  <w:style w:type="character" w:styleId="1069" w:customStyle="1">
    <w:name w:val="正文首行缩进 Char"/>
    <w:link w:val="1068"/>
    <w:uiPriority w:val="0"/>
    <w:qFormat/>
    <w:rPr>
      <w:rFonts w:ascii="仿宋_GB2312" w:hAnsi="Times New Roman" w:eastAsia="仿宋_GB2312" w:cs="Times New Roman"/>
      <w:sz w:val="30"/>
      <w:szCs w:val="30"/>
    </w:rPr>
  </w:style>
  <w:style w:type="paragraph" w:styleId="1070" w:customStyle="1">
    <w:name w:val="正文首行缩进 21"/>
    <w:basedOn w:val="1035"/>
    <w:link w:val="1071"/>
    <w:uiPriority w:val="0"/>
    <w:qFormat/>
    <w:pPr>
      <w:ind w:firstLine="420"/>
      <w:spacing w:line="360" w:lineRule="auto"/>
    </w:pPr>
    <w:rPr>
      <w:rFonts w:ascii="宋体" w:hAnsi="宋体" w:eastAsia="宋体"/>
      <w:sz w:val="21"/>
      <w:szCs w:val="20"/>
    </w:rPr>
  </w:style>
  <w:style w:type="character" w:styleId="1071" w:customStyle="1">
    <w:name w:val="正文首行缩进 2 Char"/>
    <w:link w:val="1070"/>
    <w:uiPriority w:val="0"/>
    <w:qFormat/>
    <w:rPr>
      <w:rFonts w:ascii="宋体" w:hAnsi="宋体" w:eastAsia="宋体" w:cs="Times New Roman"/>
      <w:sz w:val="32"/>
      <w:szCs w:val="20"/>
    </w:rPr>
  </w:style>
  <w:style w:type="table" w:styleId="1072" w:customStyle="1">
    <w:name w:val="网格型1"/>
    <w:basedOn w:val="1014"/>
    <w:uiPriority w:val="0"/>
    <w:qFormat/>
    <w:pPr>
      <w:jc w:val="both"/>
      <w:widowControl w:val="off"/>
    </w:pPr>
    <w:tblPr/>
  </w:style>
  <w:style w:type="character" w:styleId="1073" w:customStyle="1">
    <w:name w:val="要点1"/>
    <w:uiPriority w:val="0"/>
    <w:qFormat/>
    <w:rPr>
      <w:b/>
      <w:bCs/>
    </w:rPr>
  </w:style>
  <w:style w:type="character" w:styleId="1074" w:customStyle="1">
    <w:name w:val="页码1"/>
    <w:uiPriority w:val="0"/>
    <w:qFormat/>
  </w:style>
  <w:style w:type="character" w:styleId="1075" w:customStyle="1">
    <w:name w:val="访问过的超链接1"/>
    <w:uiPriority w:val="0"/>
    <w:qFormat/>
    <w:rPr>
      <w:color w:val="800080"/>
      <w:u w:val="single"/>
    </w:rPr>
  </w:style>
  <w:style w:type="character" w:styleId="1076" w:customStyle="1">
    <w:name w:val="超链接1"/>
    <w:uiPriority w:val="0"/>
    <w:qFormat/>
    <w:rPr>
      <w:color w:val="0000ff"/>
      <w:u w:val="single"/>
    </w:rPr>
  </w:style>
  <w:style w:type="character" w:styleId="1077" w:customStyle="1">
    <w:name w:val="批注引用1"/>
    <w:uiPriority w:val="0"/>
    <w:semiHidden/>
    <w:qFormat/>
    <w:rPr>
      <w:sz w:val="21"/>
      <w:szCs w:val="21"/>
    </w:rPr>
  </w:style>
  <w:style w:type="paragraph" w:styleId="1078" w:customStyle="1">
    <w:name w:val="正文空2字"/>
    <w:basedOn w:val="1079"/>
    <w:uiPriority w:val="99"/>
    <w:qFormat/>
    <w:pPr>
      <w:ind w:firstLine="640"/>
      <w:spacing w:line="560" w:lineRule="exact"/>
      <w:widowControl w:val="off"/>
    </w:pPr>
    <w:rPr>
      <w:rFonts w:ascii="仿宋_GB2312" w:hAnsi="仿宋_GB2312" w:cs="仿宋_GB2312"/>
      <w:lang w:val="zh-TW"/>
    </w:rPr>
  </w:style>
  <w:style w:type="paragraph" w:styleId="1079" w:customStyle="1">
    <w:name w:val="左对齐正文"/>
    <w:uiPriority w:val="99"/>
    <w:qFormat/>
    <w:rPr>
      <w:rFonts w:ascii="Calibri" w:hAnsi="Calibri" w:eastAsia="仿宋_GB2312" w:cs="Calibri"/>
      <w:sz w:val="32"/>
      <w:szCs w:val="32"/>
      <w:lang w:val="en-US" w:eastAsia="zh-CN" w:bidi="ar-SA"/>
    </w:rPr>
  </w:style>
  <w:style w:type="paragraph" w:styleId="1080" w:customStyle="1">
    <w:name w:val="索引 41"/>
    <w:basedOn w:val="816"/>
    <w:next w:val="816"/>
    <w:uiPriority w:val="0"/>
    <w:semiHidden/>
    <w:qFormat/>
    <w:pPr>
      <w:ind w:left="1260"/>
    </w:pPr>
    <w:rPr>
      <w:rFonts w:ascii="Calibri" w:hAnsi="Calibri" w:eastAsia="Calibri" w:cs="宋体"/>
      <w:sz w:val="20"/>
      <w:lang w:val="zh-CN"/>
    </w:rPr>
  </w:style>
  <w:style w:type="character" w:styleId="1081" w:customStyle="1">
    <w:name w:val="font5 Char"/>
    <w:uiPriority w:val="0"/>
    <w:qFormat/>
    <w:rPr>
      <w:rFonts w:ascii="宋体" w:hAnsi="宋体" w:eastAsia="宋体"/>
      <w:sz w:val="28"/>
      <w:szCs w:val="28"/>
      <w:lang w:val="en-US" w:eastAsia="zh-CN" w:bidi="ar-SA"/>
    </w:rPr>
  </w:style>
  <w:style w:type="character" w:styleId="1082" w:customStyle="1">
    <w:name w:val="二级目录 Char"/>
    <w:link w:val="1083"/>
    <w:uiPriority w:val="0"/>
    <w:qFormat/>
    <w:rPr>
      <w:b/>
      <w:sz w:val="30"/>
      <w:szCs w:val="28"/>
    </w:rPr>
  </w:style>
  <w:style w:type="paragraph" w:styleId="1083" w:customStyle="1">
    <w:name w:val="二级目录"/>
    <w:next w:val="816"/>
    <w:link w:val="1082"/>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84" w:customStyle="1">
    <w:name w:val="列出段落 Char"/>
    <w:link w:val="1085"/>
    <w:uiPriority w:val="0"/>
    <w:qFormat/>
    <w:rPr>
      <w:rFonts w:ascii="Calibri" w:hAnsi="Calibri"/>
      <w:sz w:val="24"/>
      <w:szCs w:val="24"/>
      <w:lang w:eastAsia="en-US" w:bidi="en-US"/>
    </w:rPr>
  </w:style>
  <w:style w:type="paragraph" w:styleId="1085" w:customStyle="1">
    <w:name w:val="列出段落1"/>
    <w:basedOn w:val="816"/>
    <w:link w:val="1084"/>
    <w:uiPriority w:val="0"/>
    <w:qFormat/>
    <w:pPr>
      <w:contextualSpacing/>
      <w:ind w:left="720"/>
      <w:jc w:val="left"/>
      <w:widowControl/>
    </w:pPr>
    <w:rPr>
      <w:rFonts w:ascii="Calibri" w:hAnsi="Calibri"/>
      <w:sz w:val="24"/>
      <w:szCs w:val="24"/>
      <w:lang w:eastAsia="en-US" w:bidi="en-US"/>
    </w:rPr>
  </w:style>
  <w:style w:type="paragraph" w:styleId="1086" w:customStyle="1">
    <w:name w:val="Body Text(ch)"/>
    <w:basedOn w:val="816"/>
    <w:next w:val="1033"/>
    <w:uiPriority w:val="0"/>
    <w:qFormat/>
    <w:pPr>
      <w:spacing w:after="120"/>
    </w:pPr>
    <w:rPr>
      <w:rFonts w:ascii="宋体" w:hAnsi="Arial"/>
      <w:bCs/>
      <w:iCs/>
      <w:szCs w:val="24"/>
    </w:rPr>
  </w:style>
  <w:style w:type="paragraph" w:styleId="1087" w:customStyle="1">
    <w:name w:val="xl27"/>
    <w:basedOn w:val="8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8" w:customStyle="1">
    <w:name w:val="xl26"/>
    <w:basedOn w:val="8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9" w:customStyle="1">
    <w:name w:val="Char"/>
    <w:basedOn w:val="816"/>
    <w:uiPriority w:val="0"/>
    <w:qFormat/>
    <w:pPr>
      <w:ind w:firstLine="200"/>
      <w:tabs>
        <w:tab w:val="left" w:pos="360" w:leader="none"/>
      </w:tabs>
    </w:pPr>
    <w:rPr>
      <w:sz w:val="28"/>
      <w:szCs w:val="30"/>
    </w:rPr>
  </w:style>
  <w:style w:type="paragraph" w:styleId="1090" w:customStyle="1">
    <w:name w:val="Char1"/>
    <w:basedOn w:val="1027"/>
    <w:uiPriority w:val="0"/>
    <w:qFormat/>
    <w:rPr>
      <w:rFonts w:ascii="Tahoma" w:hAnsi="Tahoma"/>
      <w:sz w:val="24"/>
      <w:szCs w:val="24"/>
    </w:rPr>
  </w:style>
  <w:style w:type="paragraph" w:styleId="1091" w:customStyle="1">
    <w:name w:val="普通正文"/>
    <w:basedOn w:val="816"/>
    <w:uiPriority w:val="0"/>
    <w:qFormat/>
    <w:pPr>
      <w:ind w:firstLine="480"/>
      <w:jc w:val="left"/>
      <w:spacing w:before="120" w:after="120" w:line="360" w:lineRule="auto"/>
    </w:pPr>
    <w:rPr>
      <w:rFonts w:ascii="Arial" w:hAnsi="Arial"/>
      <w:sz w:val="24"/>
      <w:szCs w:val="24"/>
    </w:rPr>
  </w:style>
  <w:style w:type="paragraph" w:styleId="1092" w:customStyle="1">
    <w:name w:val="table_lines"/>
    <w:basedOn w:val="816"/>
    <w:uiPriority w:val="0"/>
    <w:qFormat/>
    <w:pPr>
      <w:jc w:val="left"/>
      <w:widowControl/>
    </w:pPr>
    <w:rPr>
      <w:sz w:val="20"/>
      <w:szCs w:val="20"/>
      <w:lang w:val="de-DE" w:eastAsia="de-DE"/>
    </w:rPr>
  </w:style>
  <w:style w:type="paragraph" w:styleId="1093"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94" w:customStyle="1">
    <w:name w:val="font7"/>
    <w:basedOn w:val="816"/>
    <w:uiPriority w:val="0"/>
    <w:qFormat/>
    <w:pPr>
      <w:jc w:val="left"/>
      <w:spacing w:before="100" w:beforeAutospacing="1" w:after="100" w:afterAutospacing="1"/>
      <w:widowControl/>
    </w:pPr>
    <w:rPr>
      <w:rFonts w:hint="eastAsia" w:ascii="宋体" w:hAnsi="宋体"/>
      <w:sz w:val="18"/>
      <w:szCs w:val="18"/>
    </w:rPr>
  </w:style>
  <w:style w:type="paragraph" w:styleId="1095" w:customStyle="1">
    <w:name w:val="Char Char Char Char"/>
    <w:basedOn w:val="1027"/>
    <w:uiPriority w:val="0"/>
    <w:qFormat/>
    <w:pPr>
      <w:spacing w:line="360" w:lineRule="auto"/>
    </w:pPr>
    <w:rPr>
      <w:rFonts w:ascii="Tahoma" w:hAnsi="Tahoma"/>
      <w:sz w:val="24"/>
      <w:szCs w:val="24"/>
    </w:rPr>
  </w:style>
  <w:style w:type="paragraph" w:styleId="1096" w:customStyle="1">
    <w:name w:val="列出段落2"/>
    <w:basedOn w:val="816"/>
    <w:uiPriority w:val="0"/>
    <w:qFormat/>
    <w:pPr>
      <w:contextualSpacing/>
      <w:ind w:left="720"/>
      <w:jc w:val="left"/>
      <w:widowControl/>
    </w:pPr>
    <w:rPr>
      <w:rFonts w:ascii="Calibri" w:hAnsi="Calibri"/>
      <w:sz w:val="24"/>
      <w:szCs w:val="24"/>
      <w:lang w:eastAsia="en-US" w:bidi="en-US"/>
    </w:rPr>
  </w:style>
  <w:style w:type="paragraph" w:styleId="1097" w:customStyle="1">
    <w:name w:val="4"/>
    <w:basedOn w:val="816"/>
    <w:next w:val="1057"/>
    <w:uiPriority w:val="0"/>
    <w:qFormat/>
    <w:pPr>
      <w:ind w:firstLine="420"/>
      <w:spacing w:line="360" w:lineRule="auto"/>
    </w:pPr>
    <w:rPr>
      <w:color w:val="ff0000"/>
      <w:sz w:val="24"/>
      <w:szCs w:val="24"/>
    </w:rPr>
  </w:style>
  <w:style w:type="paragraph" w:styleId="1098" w:customStyle="1">
    <w:name w:val="普通 (Web)"/>
    <w:basedOn w:val="816"/>
    <w:uiPriority w:val="0"/>
    <w:qFormat/>
    <w:pPr>
      <w:jc w:val="left"/>
      <w:spacing w:before="100" w:beforeAutospacing="1" w:after="100" w:afterAutospacing="1"/>
      <w:widowControl/>
    </w:pPr>
    <w:rPr>
      <w:rFonts w:ascii="宋体" w:hAnsi="宋体"/>
      <w:sz w:val="24"/>
      <w:szCs w:val="24"/>
    </w:rPr>
  </w:style>
  <w:style w:type="paragraph" w:styleId="1099" w:customStyle="1">
    <w:name w:val="Char Char Char Char Char Char Char Char Char Char"/>
    <w:basedOn w:val="816"/>
    <w:uiPriority w:val="0"/>
    <w:qFormat/>
    <w:pPr>
      <w:spacing w:line="360" w:lineRule="auto"/>
    </w:pPr>
    <w:rPr>
      <w:sz w:val="24"/>
      <w:szCs w:val="20"/>
    </w:rPr>
  </w:style>
  <w:style w:type="paragraph" w:styleId="1100" w:customStyle="1">
    <w:name w:val="样式1"/>
    <w:basedOn w:val="816"/>
    <w:uiPriority w:val="0"/>
    <w:qFormat/>
    <w:pPr>
      <w:numPr>
        <w:ilvl w:val="0"/>
        <w:numId w:val="3"/>
      </w:numPr>
    </w:pPr>
    <w:rPr>
      <w:rFonts w:ascii="宋体" w:hAnsi="宋体"/>
    </w:rPr>
  </w:style>
  <w:style w:type="paragraph" w:styleId="1101" w:customStyle="1">
    <w:name w:val="font6"/>
    <w:basedOn w:val="816"/>
    <w:uiPriority w:val="0"/>
    <w:qFormat/>
    <w:pPr>
      <w:jc w:val="left"/>
      <w:spacing w:before="100" w:beforeAutospacing="1" w:after="100" w:afterAutospacing="1"/>
      <w:widowControl/>
    </w:pPr>
    <w:rPr>
      <w:rFonts w:hint="eastAsia" w:ascii="宋体" w:hAnsi="宋体"/>
      <w:sz w:val="28"/>
      <w:szCs w:val="28"/>
      <w:u w:val="single"/>
    </w:rPr>
  </w:style>
  <w:style w:type="paragraph" w:styleId="1102" w:customStyle="1">
    <w:name w:val="xl25"/>
    <w:basedOn w:val="81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03" w:customStyle="1">
    <w:name w:val="图标"/>
    <w:basedOn w:val="816"/>
    <w:next w:val="81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04" w:customStyle="1">
    <w:name w:val="标题3"/>
    <w:basedOn w:val="816"/>
    <w:next w:val="816"/>
    <w:uiPriority w:val="0"/>
    <w:qFormat/>
    <w:pPr>
      <w:ind w:firstLine="624"/>
      <w:spacing w:line="590" w:lineRule="atLeast"/>
    </w:pPr>
    <w:rPr>
      <w:rFonts w:ascii="方正黑体_GBK" w:eastAsia="方正黑体_GBK"/>
      <w:sz w:val="32"/>
      <w:szCs w:val="32"/>
    </w:rPr>
  </w:style>
  <w:style w:type="paragraph" w:styleId="1105" w:customStyle="1">
    <w:name w:val="xl24"/>
    <w:basedOn w:val="8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6" w:customStyle="1">
    <w:name w:val="xl29"/>
    <w:basedOn w:val="81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07" w:customStyle="1">
    <w:name w:val="Char Char Char Char Char Char Char Char"/>
    <w:basedOn w:val="816"/>
    <w:uiPriority w:val="0"/>
    <w:qFormat/>
    <w:pPr>
      <w:jc w:val="left"/>
      <w:spacing w:after="160" w:line="240" w:lineRule="exact"/>
      <w:widowControl/>
    </w:pPr>
    <w:rPr>
      <w:rFonts w:ascii="Verdana" w:hAnsi="Verdana"/>
      <w:sz w:val="20"/>
      <w:szCs w:val="20"/>
      <w:lang w:eastAsia="en-US"/>
    </w:rPr>
  </w:style>
  <w:style w:type="paragraph" w:styleId="1108" w:customStyle="1">
    <w:name w:val="xl28"/>
    <w:basedOn w:val="81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09" w:customStyle="1">
    <w:name w:val="Char Char Char Char Char Char Char Char1"/>
    <w:basedOn w:val="816"/>
    <w:uiPriority w:val="0"/>
    <w:qFormat/>
    <w:pPr>
      <w:jc w:val="left"/>
      <w:spacing w:after="160" w:line="240" w:lineRule="exact"/>
      <w:widowControl/>
    </w:pPr>
    <w:rPr>
      <w:rFonts w:ascii="Verdana" w:hAnsi="Verdana"/>
      <w:sz w:val="20"/>
      <w:szCs w:val="20"/>
      <w:lang w:eastAsia="en-US"/>
    </w:rPr>
  </w:style>
  <w:style w:type="paragraph" w:styleId="1110" w:customStyle="1">
    <w:name w:val="xl30"/>
    <w:basedOn w:val="816"/>
    <w:uiPriority w:val="0"/>
    <w:qFormat/>
    <w:pPr>
      <w:jc w:val="center"/>
      <w:spacing w:before="100" w:beforeAutospacing="1" w:after="100" w:afterAutospacing="1"/>
      <w:widowControl/>
    </w:pPr>
    <w:rPr>
      <w:rFonts w:ascii="宋体" w:hAnsi="宋体"/>
      <w:b/>
      <w:bCs/>
      <w:sz w:val="36"/>
      <w:szCs w:val="36"/>
    </w:rPr>
  </w:style>
  <w:style w:type="paragraph" w:styleId="1111" w:customStyle="1">
    <w:name w:val="Char Char Char Char1"/>
    <w:basedOn w:val="1027"/>
    <w:uiPriority w:val="0"/>
    <w:qFormat/>
    <w:pPr>
      <w:spacing w:line="360" w:lineRule="auto"/>
    </w:pPr>
    <w:rPr>
      <w:rFonts w:ascii="Tahoma" w:hAnsi="Tahoma"/>
      <w:sz w:val="24"/>
      <w:szCs w:val="24"/>
    </w:rPr>
  </w:style>
  <w:style w:type="paragraph" w:styleId="1112" w:customStyle="1">
    <w:name w:val="table_1stline"/>
    <w:basedOn w:val="816"/>
    <w:uiPriority w:val="0"/>
    <w:qFormat/>
    <w:pPr>
      <w:jc w:val="left"/>
      <w:spacing w:before="120"/>
      <w:widowControl/>
    </w:pPr>
    <w:rPr>
      <w:bCs/>
      <w:sz w:val="20"/>
      <w:szCs w:val="20"/>
      <w:lang w:val="de-DE" w:eastAsia="de-DE"/>
    </w:rPr>
  </w:style>
  <w:style w:type="paragraph" w:styleId="1113" w:customStyle="1">
    <w:name w:val="font5"/>
    <w:basedOn w:val="816"/>
    <w:uiPriority w:val="0"/>
    <w:qFormat/>
    <w:pPr>
      <w:jc w:val="left"/>
      <w:spacing w:before="100" w:beforeAutospacing="1" w:after="100" w:afterAutospacing="1"/>
      <w:widowControl/>
    </w:pPr>
    <w:rPr>
      <w:rFonts w:hint="eastAsia" w:ascii="宋体" w:hAnsi="宋体"/>
      <w:sz w:val="28"/>
      <w:szCs w:val="28"/>
    </w:rPr>
  </w:style>
  <w:style w:type="paragraph" w:styleId="1114" w:customStyle="1">
    <w:name w:val="标题1"/>
    <w:basedOn w:val="816"/>
    <w:next w:val="81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15" w:customStyle="1">
    <w:name w:val="修订1"/>
    <w:uiPriority w:val="99"/>
    <w:semiHidden/>
    <w:qFormat/>
    <w:rPr>
      <w:rFonts w:ascii="Times New Roman" w:hAnsi="Times New Roman" w:eastAsia="宋体" w:cs="Times New Roman"/>
      <w:sz w:val="21"/>
      <w:szCs w:val="21"/>
      <w:lang w:val="en-US" w:eastAsia="zh-CN" w:bidi="ar-SA"/>
    </w:rPr>
  </w:style>
  <w:style w:type="paragraph" w:styleId="1116"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table" w:styleId="1117" w:customStyle="1">
    <w:name w:val="Table Normal"/>
    <w:uiPriority w:val="0"/>
    <w:qFormat/>
    <w:tblPr>
      <w:tblCellMar>
        <w:left w:w="0" w:type="dxa"/>
        <w:top w:w="0" w:type="dxa"/>
        <w:right w:w="0" w:type="dxa"/>
        <w:bottom w:w="0" w:type="dxa"/>
      </w:tblCellMar>
    </w:tblPr>
  </w:style>
  <w:style w:type="paragraph" w:styleId="1118"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1119" w:customStyle="1">
    <w:name w:val="Normal_6_0"/>
    <w:uiPriority w:val="0"/>
    <w:qFormat/>
    <w:rPr>
      <w:rFonts w:ascii="黑体" w:hAnsi="黑体" w:eastAsia="黑体" w:cs="黑体"/>
      <w:b/>
      <w:sz w:val="32"/>
      <w:szCs w:val="24"/>
      <w:lang w:val="en-US" w:eastAsia="zh-CN" w:bidi="ar-SA"/>
    </w:rPr>
  </w:style>
  <w:style w:type="paragraph" w:styleId="1120" w:customStyle="1">
    <w:name w:val="Normal_1_2"/>
    <w:uiPriority w:val="0"/>
    <w:qFormat/>
    <w:rPr>
      <w:rFonts w:ascii="Times New Roman" w:hAnsi="Times New Roman" w:eastAsia="Times New Roman" w:cs="Times New Roman"/>
      <w:sz w:val="24"/>
      <w:szCs w:val="24"/>
      <w:lang w:val="en-US" w:eastAsia="zh-CN" w:bidi="ar-SA"/>
    </w:rPr>
  </w:style>
  <w:style w:type="paragraph" w:styleId="1121"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122" w:customStyle="1">
    <w:name w:val="正文文本12"/>
    <w:basedOn w:val="816"/>
    <w:uiPriority w:val="1"/>
    <w:qFormat/>
    <w:pPr>
      <w:ind w:left="120"/>
    </w:pPr>
    <w:rPr>
      <w:rFonts w:ascii="宋体" w:hAnsi="宋体" w:cs="宋体"/>
      <w:lang w:val="zh-CN" w:bidi="zh-CN"/>
    </w:rPr>
  </w:style>
  <w:style w:type="paragraph" w:styleId="1123" w:customStyle="1">
    <w:name w:val="正文2"/>
    <w:basedOn w:val="816"/>
    <w:uiPriority w:val="0"/>
    <w:qFormat/>
    <w:pPr>
      <w:ind w:firstLine="510"/>
      <w:spacing w:before="156" w:line="360" w:lineRule="auto"/>
    </w:pPr>
    <w:rPr>
      <w:sz w:val="24"/>
      <w:szCs w:val="20"/>
    </w:rPr>
  </w:style>
  <w:style w:type="paragraph" w:styleId="1124" w:customStyle="1">
    <w:name w:val="首行缩进"/>
    <w:basedOn w:val="816"/>
    <w:uiPriority w:val="0"/>
    <w:qFormat/>
    <w:pPr>
      <w:ind w:firstLine="480"/>
    </w:pPr>
    <w:rPr>
      <w:lang w:val="zh-CN"/>
    </w:rPr>
  </w:style>
  <w:style w:type="paragraph" w:styleId="1125" w:customStyle="1">
    <w:name w:val="Normal_18_0"/>
    <w:uiPriority w:val="0"/>
    <w:qFormat/>
    <w:rPr>
      <w:rFonts w:ascii="黑体" w:hAnsi="黑体" w:eastAsia="黑体" w:cs="黑体"/>
      <w:b/>
      <w:sz w:val="32"/>
      <w:szCs w:val="24"/>
      <w:lang w:val="en-US" w:eastAsia="zh-CN" w:bidi="ar-SA"/>
    </w:rPr>
  </w:style>
  <w:style w:type="paragraph" w:styleId="1126" w:customStyle="1">
    <w:name w:val="正文_12_0_0_0_0"/>
    <w:basedOn w:val="816"/>
    <w:uiPriority w:val="0"/>
    <w:qFormat/>
    <w:rPr>
      <w:szCs w:val="24"/>
    </w:rPr>
  </w:style>
  <w:style w:type="paragraph" w:styleId="1127"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128"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129"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130" w:customStyle="1">
    <w:name w:val="Normal_20"/>
    <w:uiPriority w:val="0"/>
    <w:qFormat/>
    <w:rPr>
      <w:rFonts w:ascii="黑体" w:hAnsi="黑体" w:eastAsia="黑体" w:cs="黑体"/>
      <w:b/>
      <w:sz w:val="32"/>
      <w:szCs w:val="24"/>
      <w:lang w:val="en-US" w:eastAsia="zh-CN" w:bidi="ar-SA"/>
    </w:rPr>
  </w:style>
  <w:style w:type="paragraph" w:styleId="1131"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132" w:customStyle="1">
    <w:name w:val="Normal_0"/>
    <w:uiPriority w:val="0"/>
    <w:qFormat/>
    <w:rPr>
      <w:rFonts w:ascii="黑体" w:hAnsi="黑体" w:eastAsia="黑体" w:cs="Times New Roman"/>
      <w:b/>
      <w:sz w:val="32"/>
      <w:szCs w:val="24"/>
      <w:lang w:val="en-US" w:eastAsia="zh-CN" w:bidi="ar-SA"/>
    </w:rPr>
  </w:style>
  <w:style w:type="paragraph" w:styleId="1133" w:customStyle="1">
    <w:name w:val="部分1"/>
    <w:basedOn w:val="816"/>
    <w:uiPriority w:val="0"/>
    <w:qFormat/>
    <w:pPr>
      <w:jc w:val="center"/>
      <w:keepNext/>
      <w:pageBreakBefore/>
      <w:spacing w:line="360" w:lineRule="auto"/>
      <w:tabs>
        <w:tab w:val="left" w:pos="720" w:leader="none"/>
      </w:tabs>
      <w:outlineLvl w:val="0"/>
    </w:pPr>
    <w:rPr>
      <w:rFonts w:eastAsia="黑体"/>
      <w:b/>
      <w:sz w:val="36"/>
      <w:szCs w:val="20"/>
    </w:rPr>
  </w:style>
  <w:style w:type="paragraph" w:styleId="1134" w:customStyle="1">
    <w:name w:val="正文_2_0"/>
    <w:uiPriority w:val="0"/>
    <w:qFormat/>
    <w:pPr>
      <w:jc w:val="both"/>
      <w:widowControl w:val="off"/>
    </w:pPr>
    <w:rPr>
      <w:rFonts w:ascii="Calibri" w:hAnsi="Calibri" w:eastAsia="宋体" w:cs="Times New Roman"/>
      <w:lang w:val="en-US" w:eastAsia="zh-CN" w:bidi="ar-SA"/>
    </w:rPr>
  </w:style>
  <w:style w:type="paragraph" w:styleId="1135" w:customStyle="1">
    <w:name w:val="正文_21"/>
    <w:uiPriority w:val="0"/>
    <w:qFormat/>
    <w:pPr>
      <w:jc w:val="both"/>
      <w:widowControl w:val="off"/>
    </w:pPr>
    <w:rPr>
      <w:rFonts w:ascii="Calibri" w:hAnsi="Calibri" w:eastAsia="宋体" w:cs="Times New Roman"/>
      <w:sz w:val="21"/>
      <w:szCs w:val="22"/>
      <w:lang w:val="en-US" w:eastAsia="zh-CN" w:bidi="ar-SA"/>
    </w:rPr>
  </w:style>
  <w:style w:type="paragraph" w:styleId="1136" w:customStyle="1">
    <w:name w:val="正文3"/>
    <w:uiPriority w:val="0"/>
    <w:qFormat/>
    <w:pPr>
      <w:jc w:val="both"/>
      <w:widowControl w:val="off"/>
    </w:pPr>
    <w:rPr>
      <w:rFonts w:ascii="Calibri" w:hAnsi="Calibri" w:eastAsia="宋体" w:cs="Times New Roman"/>
      <w:lang w:val="en-US" w:eastAsia="zh-CN" w:bidi="ar-SA"/>
    </w:rPr>
  </w:style>
  <w:style w:type="paragraph" w:styleId="1137" w:customStyle="1">
    <w:name w:val="正文_2_1"/>
    <w:uiPriority w:val="0"/>
    <w:qFormat/>
    <w:pPr>
      <w:jc w:val="both"/>
      <w:widowControl w:val="off"/>
    </w:pPr>
    <w:rPr>
      <w:rFonts w:ascii="Calibri" w:hAnsi="Calibri" w:eastAsia="宋体" w:cs="Times New Roman"/>
      <w:sz w:val="21"/>
      <w:szCs w:val="22"/>
      <w:lang w:val="en-US" w:eastAsia="zh-CN" w:bidi="ar-SA"/>
    </w:rPr>
  </w:style>
  <w:style w:type="paragraph" w:styleId="1138" w:customStyle="1">
    <w:name w:val="正文1_0"/>
    <w:next w:val="1136"/>
    <w:uiPriority w:val="0"/>
    <w:qFormat/>
    <w:pPr>
      <w:jc w:val="both"/>
      <w:widowControl w:val="off"/>
    </w:pPr>
    <w:rPr>
      <w:rFonts w:ascii="Calibri" w:hAnsi="Calibri" w:eastAsia="宋体" w:cs="Times New Roman"/>
      <w:lang w:val="en-US" w:eastAsia="zh-CN" w:bidi="ar-SA"/>
    </w:rPr>
  </w:style>
  <w:style w:type="paragraph" w:styleId="1139" w:customStyle="1">
    <w:name w:val="Normal_19"/>
    <w:uiPriority w:val="0"/>
    <w:qFormat/>
    <w:pPr>
      <w:jc w:val="both"/>
      <w:widowControl w:val="off"/>
    </w:pPr>
    <w:rPr>
      <w:rFonts w:ascii="Calibri" w:hAnsi="Calibri" w:eastAsia="宋体" w:cs="Times New Roman"/>
      <w:lang w:val="en-US" w:eastAsia="zh-CN" w:bidi="ar-SA"/>
    </w:rPr>
  </w:style>
  <w:style w:type="paragraph" w:styleId="1140" w:customStyle="1">
    <w:name w:val="正文_3_0"/>
    <w:uiPriority w:val="0"/>
    <w:qFormat/>
    <w:pPr>
      <w:jc w:val="both"/>
      <w:widowControl w:val="off"/>
    </w:pPr>
    <w:rPr>
      <w:rFonts w:ascii="Calibri" w:hAnsi="Calibri" w:eastAsia="宋体" w:cs="Times New Roman"/>
      <w:lang w:val="en-US" w:eastAsia="zh-CN" w:bidi="ar-SA"/>
    </w:rPr>
  </w:style>
  <w:style w:type="paragraph" w:styleId="1141" w:customStyle="1">
    <w:name w:val="Normal_19_0"/>
    <w:next w:val="1130"/>
    <w:uiPriority w:val="0"/>
    <w:qFormat/>
    <w:pPr>
      <w:jc w:val="both"/>
      <w:widowControl w:val="off"/>
    </w:pPr>
    <w:rPr>
      <w:rFonts w:ascii="Times New Roman" w:hAnsi="Times New Roman" w:eastAsia="Times New Roman" w:cs="Times New Roman"/>
      <w:lang w:val="en-US" w:eastAsia="zh-CN" w:bidi="ar-SA"/>
    </w:rPr>
  </w:style>
  <w:style w:type="paragraph" w:styleId="1142" w:customStyle="1">
    <w:name w:val="Normal1"/>
    <w:uiPriority w:val="0"/>
    <w:qFormat/>
    <w:pPr>
      <w:jc w:val="both"/>
      <w:widowControl w:val="off"/>
    </w:pPr>
    <w:rPr>
      <w:rFonts w:ascii="Calibri" w:hAnsi="Calibri" w:eastAsia="宋体" w:cs="Times New Roman"/>
      <w:lang w:val="en-US" w:eastAsia="zh-CN" w:bidi="ar-SA"/>
    </w:rPr>
  </w:style>
  <w:style w:type="paragraph" w:styleId="1143" w:customStyle="1">
    <w:name w:val="正文_2_0_1"/>
    <w:uiPriority w:val="0"/>
    <w:qFormat/>
    <w:pPr>
      <w:jc w:val="both"/>
      <w:widowControl w:val="off"/>
    </w:pPr>
    <w:rPr>
      <w:rFonts w:ascii="Calibri" w:hAnsi="Calibri" w:eastAsia="宋体" w:cs="Times New Roman"/>
      <w:lang w:val="en-US" w:eastAsia="zh-CN" w:bidi="ar-SA"/>
    </w:rPr>
  </w:style>
  <w:style w:type="paragraph" w:styleId="1144" w:customStyle="1">
    <w:name w:val="正文_19"/>
    <w:uiPriority w:val="0"/>
    <w:qFormat/>
    <w:pPr>
      <w:jc w:val="both"/>
      <w:widowControl w:val="off"/>
    </w:pPr>
    <w:rPr>
      <w:rFonts w:ascii="Calibri" w:hAnsi="Calibri" w:eastAsia="宋体" w:cs="Times New Roman"/>
      <w:lang w:val="en-US" w:eastAsia="zh-CN" w:bidi="ar-SA"/>
    </w:rPr>
  </w:style>
  <w:style w:type="paragraph" w:styleId="1145" w:customStyle="1">
    <w:name w:val="正文_2_0_0"/>
    <w:uiPriority w:val="0"/>
    <w:qFormat/>
    <w:pPr>
      <w:jc w:val="both"/>
      <w:widowControl w:val="off"/>
    </w:pPr>
    <w:rPr>
      <w:rFonts w:ascii="Calibri" w:hAnsi="Calibri" w:eastAsia="微软雅黑" w:cs="Times New Roman"/>
      <w:lang w:val="en-US" w:eastAsia="zh-CN" w:bidi="ar-SA"/>
    </w:rPr>
  </w:style>
  <w:style w:type="paragraph" w:styleId="1146" w:customStyle="1">
    <w:name w:val="正文_3"/>
    <w:uiPriority w:val="0"/>
    <w:qFormat/>
    <w:pPr>
      <w:jc w:val="both"/>
      <w:widowControl w:val="off"/>
    </w:pPr>
    <w:rPr>
      <w:rFonts w:ascii="Calibri" w:hAnsi="Calibri" w:eastAsia="宋体" w:cs="Times New Roman"/>
      <w:lang w:val="en-US" w:eastAsia="zh-CN" w:bidi="ar-SA"/>
    </w:rPr>
  </w:style>
  <w:style w:type="paragraph" w:styleId="1147" w:customStyle="1">
    <w:name w:val="正文1_1"/>
    <w:next w:val="1142"/>
    <w:uiPriority w:val="0"/>
    <w:qFormat/>
    <w:pPr>
      <w:jc w:val="both"/>
      <w:widowControl w:val="off"/>
    </w:pPr>
    <w:rPr>
      <w:rFonts w:ascii="Calibri" w:hAnsi="Calibri" w:eastAsia="宋体" w:cs="Times New Roman"/>
      <w:lang w:val="en-US" w:eastAsia="zh-CN" w:bidi="ar-SA"/>
    </w:rPr>
  </w:style>
  <w:style w:type="character" w:styleId="1148" w:customStyle="1">
    <w:name w:val="批注框文本 Char1"/>
    <w:basedOn w:val="826"/>
    <w:link w:val="836"/>
    <w:uiPriority w:val="99"/>
    <w:semiHidden/>
    <w:qFormat/>
    <w:rPr>
      <w:sz w:val="18"/>
      <w:szCs w:val="18"/>
    </w:rPr>
  </w:style>
  <w:style w:type="character" w:styleId="1149" w:customStyle="1">
    <w:name w:val="批注文字 Char1"/>
    <w:basedOn w:val="826"/>
    <w:link w:val="830"/>
    <w:uiPriority w:val="99"/>
    <w:semiHidden/>
    <w:qFormat/>
    <w:rPr>
      <w:sz w:val="21"/>
      <w:szCs w:val="21"/>
    </w:rPr>
  </w:style>
  <w:style w:type="character" w:styleId="1150" w:customStyle="1">
    <w:name w:val="批注主题 Char1"/>
    <w:basedOn w:val="1149"/>
    <w:link w:val="849"/>
    <w:uiPriority w:val="99"/>
    <w:semiHidden/>
    <w:qFormat/>
    <w:rPr>
      <w:b/>
      <w:bCs/>
      <w:sz w:val="21"/>
      <w:szCs w:val="21"/>
    </w:rPr>
  </w:style>
  <w:style w:type="numbering" w:styleId="11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20a1a5ad-9e0c-4d58-80a1-52e8933993ae</errorID>
      <errorWord>(</errorWord>
      <group>L1_Format</group>
      <groupName>格式问题</groupName>
      <ability>L2_HalfPunc_CN</ability>
      <abilityName>全半角问题</abilityName>
      <candidateList>
        <item>（</item>
      </candidateList>
      <explain>文本全半角错误。</explain>
      <paraID> 6C053E7</paraID>
      <start>62</start>
      <end>63</end>
      <status>unmodified</status>
      <modifiedWord/>
      <trackRevisions>false</trackRevisions>
    </reviewItem>
    <reviewItem>
      <errorID>c8894303-adb2-4b8e-a167-07c9b04cd3d2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6C053E7</paraID>
      <start>63</start>
      <end>64</end>
      <status>unmodified</status>
      <modifiedWord/>
      <trackRevisions>false</trackRevisions>
    </reviewItem>
    <reviewItem>
      <errorID>96eb20d0-a345-4efa-984f-ed00b61fceb9</errorID>
      <errorWord>)</errorWord>
      <group>L1_Format</group>
      <groupName>格式问题</groupName>
      <ability>L2_HalfPunc_CN</ability>
      <abilityName>全半角问题</abilityName>
      <candidateList>
        <item>）</item>
      </candidateList>
      <explain>文本全半角错误。</explain>
      <paraID> 6C053E7</paraID>
      <start>68</start>
      <end>69</end>
      <status>unmodified</status>
      <modifiedWord/>
      <trackRevisions>false</trackRevisions>
    </reviewItem>
    <reviewItem>
      <errorID>215652e6-7942-4c94-b0bc-4b49d7e2ccb4</errorID>
      <errorWord>(</errorWord>
      <group>L1_Format</group>
      <groupName>格式问题</groupName>
      <ability>L2_HalfPunc_CN</ability>
      <abilityName>全半角问题</abilityName>
      <candidateList>
        <item>（</item>
      </candidateList>
      <explain>文本全半角错误。</explain>
      <paraID>21D954C8</paraID>
      <start>90</start>
      <end>91</end>
      <status>unmodified</status>
      <modifiedWord/>
      <trackRevisions>false</trackRevisions>
    </reviewItem>
    <reviewItem>
      <errorID>0b522a87-7bdb-493d-8779-ec2e13b74b1a</errorID>
      <errorWord>)</errorWord>
      <group>L1_Format</group>
      <groupName>格式问题</groupName>
      <ability>L2_HalfPunc_CN</ability>
      <abilityName>全半角问题</abilityName>
      <candidateList>
        <item>）</item>
      </candidateList>
      <explain>文本全半角错误。</explain>
      <paraID>21D954C8</paraID>
      <start>95</start>
      <end>96</end>
      <status>unmodified</status>
      <modifiedWord/>
      <trackRevisions>false</trackRevisions>
    </reviewItem>
    <reviewItem>
      <errorID>d45d9173-c4ce-46d8-8c0c-c00c1e3c3cca</errorID>
      <errorWord>(</errorWord>
      <group>L1_Format</group>
      <groupName>格式问题</groupName>
      <ability>L2_HalfPunc_CN</ability>
      <abilityName>全半角问题</abilityName>
      <candidateList>
        <item>（</item>
      </candidateList>
      <explain>文本全半角错误。</explain>
      <paraID>21D954C8</paraID>
      <start>120</start>
      <end>121</end>
      <status>unmodified</status>
      <modifiedWord/>
      <trackRevisions>false</trackRevisions>
    </reviewItem>
    <reviewItem>
      <errorID>58feffda-705c-4140-8ae6-cd65368beb97</errorID>
      <errorWord>)</errorWord>
      <group>L1_Format</group>
      <groupName>格式问题</groupName>
      <ability>L2_HalfPunc_CN</ability>
      <abilityName>全半角问题</abilityName>
      <candidateList>
        <item>）</item>
      </candidateList>
      <explain>文本全半角错误。</explain>
      <paraID>21D954C8</paraID>
      <start>125</start>
      <end>126</end>
      <status>unmodified</status>
      <modifiedWord/>
      <trackRevisions>false</trackRevisions>
    </reviewItem>
    <reviewItem>
      <errorID>906a55ef-5bc0-4c75-94d0-11943f3bebcc</errorID>
      <errorWord>(</errorWord>
      <group>L1_Format</group>
      <groupName>格式问题</groupName>
      <ability>L2_HalfPunc_CN</ability>
      <abilityName>全半角问题</abilityName>
      <candidateList>
        <item>（</item>
      </candidateList>
      <explain>文本全半角错误。</explain>
      <paraID>21D954C8</paraID>
      <start>146</start>
      <end>147</end>
      <status>unmodified</status>
      <modifiedWord/>
      <trackRevisions>false</trackRevisions>
    </reviewItem>
    <reviewItem>
      <errorID>98f8e68e-652f-4e78-ad6b-e7333d1c6e02</errorID>
      <errorWord>)</errorWord>
      <group>L1_Format</group>
      <groupName>格式问题</groupName>
      <ability>L2_HalfPunc_CN</ability>
      <abilityName>全半角问题</abilityName>
      <candidateList>
        <item>）</item>
      </candidateList>
      <explain>文本全半角错误。</explain>
      <paraID>21D954C8</paraID>
      <start>169</start>
      <end>170</end>
      <status>unmodified</status>
      <modifiedWord/>
      <trackRevisions>false</trackRevisions>
    </reviewItem>
    <reviewItem>
      <errorID>223a785b-4efd-4980-b7b4-7b78ace27709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21D954C8</paraID>
      <start>177</start>
      <end>178</end>
      <status>unmodified</status>
      <modifiedWord/>
      <trackRevisions>false</trackRevisions>
    </reviewItem>
    <reviewItem>
      <errorID>5e961096-f042-43b4-b94f-472552a290ea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21D954C8</paraID>
      <start>201</start>
      <end>202</end>
      <status>unmodified</status>
      <modifiedWord/>
      <trackRevisions>false</trackRevisions>
    </reviewItem>
    <reviewItem>
      <errorID>89001af7-1d2f-4e57-a994-36eebf5ea832</errorID>
      <errorWord>,</errorWord>
      <group>L1_Format</group>
      <groupName>格式问题</groupName>
      <ability>L2_HalfPunc_CN</ability>
      <abilityName>全半角问题</abilityName>
      <candidateList>
        <item>，</item>
      </candidateList>
      <explain>文本全半角错误。</explain>
      <paraID>12C4E25B</paraID>
      <start>37</start>
      <end>38</end>
      <status>unmodified</status>
      <modifiedWord/>
      <trackRevisions>false</trackRevisions>
    </reviewItem>
    <reviewItem>
      <errorID>90476664-24b8-4be3-9df8-688661c7f92c</errorID>
      <errorWord>“.</errorWord>
      <group>L1_Punc</group>
      <groupName>标点问题</groupName>
      <ability>L2_Punc_CN</ability>
      <abilityName>标点符号问题</abilityName>
      <candidateList>
        <item>“</item>
      </candidateList>
      <explain/>
      <paraID>6D864742</paraID>
      <start>132</start>
      <end>134</end>
      <status>unmodified</status>
      <modifiedWord/>
      <trackRevisions>false</trackRevisions>
    </reviewItem>
    <reviewItem>
      <errorID>35034162-1b98-417a-96a2-fe45c4ccbf68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48F853E8</paraID>
      <start>0</start>
      <end>2</end>
      <status>unmodified</status>
      <modifiedWord/>
      <trackRevisions>false</trackRevisions>
    </reviewItem>
    <reviewItem>
      <errorID>d6563050-145c-4798-9aa7-06fb95918da4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4B06B07B</paraID>
      <start>0</start>
      <end>2</end>
      <status>unmodified</status>
      <modifiedWord/>
      <trackRevisions>false</trackRevisions>
    </reviewItem>
    <reviewItem>
      <errorID>529ecbcf-8fe8-4a09-833e-a46b6626e85a</errorID>
      <errorWord>【2022】002号</errorWord>
      <group>L1_Knowledge</group>
      <groupName>知识性问题</groupName>
      <ability>L2_Knowledge</ability>
      <abilityName>其他知识</abilityName>
      <candidateList>
        <item>〔2022〕2号</item>
      </candidateList>
      <explain>发文字号格式错误。</explain>
      <paraID>19900567</paraID>
      <start>5</start>
      <end>15</end>
      <status>unmodified</status>
      <modifiedWord/>
      <trackRevisions>false</trackRevisions>
    </reviewItem>
    <reviewItem>
      <errorID>a4097daa-620d-4df2-ae1e-ce321451e070</errorID>
      <errorWord>(</errorWord>
      <group>L1_Format</group>
      <groupName>格式问题</groupName>
      <ability>L2_HalfPunc_CN</ability>
      <abilityName>全半角问题</abilityName>
      <candidateList>
        <item>（</item>
      </candidateList>
      <explain>文本全半角错误。</explain>
      <paraID> 954E6C3</paraID>
      <start>27</start>
      <end>28</end>
      <status>unmodified</status>
      <modifiedWord/>
      <trackRevisions>false</trackRevisions>
    </reviewItem>
    <reviewItem>
      <errorID>3368130a-d685-4831-9f9b-1a15c04648bf</errorID>
      <errorWord>(2026)36号</errorWord>
      <group>L1_Knowledge</group>
      <groupName>知识性问题</groupName>
      <ability>L2_Knowledge</ability>
      <abilityName>其他知识</abilityName>
      <candidateList>
        <item>〔2026〕36号</item>
      </candidateList>
      <explain>发文字号格式错误。</explain>
      <paraID> 954E6C3</paraID>
      <start>31</start>
      <end>40</end>
      <status>modified</status>
      <modifiedWord>〔2026〕36号</modifiedWord>
      <trackRevisions>false</trackRevisions>
    </reviewItem>
    <reviewItem>
      <errorID>42e81d76-5254-44ab-b171-d77f45c69261</errorID>
      <errorWord>)</errorWord>
      <group>L1_Format</group>
      <groupName>格式问题</groupName>
      <ability>L2_HalfPunc_CN</ability>
      <abilityName>全半角问题</abilityName>
      <candidateList>
        <item>）</item>
      </candidateList>
      <explain>文本全半角错误。</explain>
      <paraID> 954E6C3</paraID>
      <start>40</start>
      <end>41</end>
      <status>unmodified</status>
      <modifiedWord/>
      <trackRevisions>false</trackRevisions>
    </reviewItem>
    <reviewItem>
      <errorID>2c3d8851-694b-400a-b200-fdda3e2657b7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7374A9AA</paraID>
      <start>0</start>
      <end>2</end>
      <status>unmodified</status>
      <modifiedWord/>
      <trackRevisions>false</trackRevisions>
    </reviewItem>
    <reviewItem>
      <errorID>abfeb5ec-131f-45bb-b506-252e188c0d6d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4BD3B6D8</paraID>
      <start>0</start>
      <end>2</end>
      <status>unmodified</status>
      <modifiedWord/>
      <trackRevisions>false</trackRevisions>
    </reviewItem>
    <reviewItem>
      <errorID>29dc1bfd-6608-48b5-8e32-57e48e87041a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402D7095</paraID>
      <start>0</start>
      <end>2</end>
      <status>unmodified</status>
      <modifiedWord/>
      <trackRevisions>false</trackRevisions>
    </reviewItem>
    <reviewItem>
      <errorID>97a3a0b4-9094-42a3-ad47-89f68f02e830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A0ECC4F</paraID>
      <start>0</start>
      <end>2</end>
      <status>unmodified</status>
      <modifiedWord/>
      <trackRevisions>false</trackRevisions>
    </reviewItem>
    <reviewItem>
      <errorID>18dc236a-716b-4c2c-a0fd-45545a14b0aa</errorID>
      <errorWord>【2022】002号</errorWord>
      <group>L1_Knowledge</group>
      <groupName>知识性问题</groupName>
      <ability>L2_Knowledge</ability>
      <abilityName>其他知识</abilityName>
      <candidateList>
        <item>〔2022〕2号</item>
      </candidateList>
      <explain>发文字号格式错误。</explain>
      <paraID>32944CDE</paraID>
      <start>23</start>
      <end>33</end>
      <status>unmodified</status>
      <modifiedWord/>
      <trackRevisions>false</trackRevisions>
    </reviewItem>
    <reviewItem>
      <errorID>23b27019-1a66-43dd-a68e-8862e86c468f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37CC710D</paraID>
      <start>0</start>
      <end>2</end>
      <status>unmodified</status>
      <modifiedWord/>
      <trackRevisions>false</trackRevisions>
    </reviewItem>
    <reviewItem>
      <errorID>45078703-25fc-4cbd-8b95-e9f3afefc53a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51FDC2F0</paraID>
      <start>0</start>
      <end>2</end>
      <status>unmodified</status>
      <modifiedWord/>
      <trackRevisions>false</trackRevisions>
    </reviewItem>
    <reviewItem>
      <errorID>d69448f3-da7f-4529-b79c-2fed1e124c0a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3658A56</paraID>
      <start>0</start>
      <end>2</end>
      <status>unmodified</status>
      <modifiedWord/>
      <trackRevisions>false</trackRevisions>
    </reviewItem>
    <reviewItem>
      <errorID>4db8734e-b18a-49f9-a1e3-d11ce3555be2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2BC189C9</paraID>
      <start>0</start>
      <end>2</end>
      <status>unmodified</status>
      <modifiedWord/>
      <trackRevisions>false</trackRevisions>
    </reviewItem>
    <reviewItem>
      <errorID>9afd61f0-058d-4c95-9f65-012ba05000a3</errorID>
      <errorWord>间</errorWord>
      <group>L1_Word</group>
      <groupName>字词问题</groupName>
      <ability>L2_Typo</ability>
      <abilityName>字词错误</abilityName>
      <candidateList>
        <item>间之</item>
      </candidateList>
      <explain/>
      <paraID>772BC117</paraID>
      <start>10</start>
      <end>12</end>
      <status>modified</status>
      <modifiedWord>间之</modifiedWord>
      <trackRevisions>false</trackRevisions>
    </reviewItem>
    <reviewItem>
      <errorID>5ca05ac6-303d-40b0-8de9-d0c270d75b7e</errorID>
      <errorWord>将在将在</errorWord>
      <group>L1_Word</group>
      <groupName>字词问题</groupName>
      <ability>L2_Typo</ability>
      <abilityName>字词错误</abilityName>
      <candidateList>
        <item>将在</item>
      </candidateList>
      <explain/>
      <paraID>6638AF4E</paraID>
      <start>10</start>
      <end>12</end>
      <status>modified</status>
      <modifiedWord>将在</modifiedWord>
      <trackRevisions>false</trackRevisions>
    </reviewItem>
    <reviewItem>
      <errorID>efbf73d1-501f-4565-b8c7-d816b00c89e0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A40053E</paraID>
      <start>0</start>
      <end>2</end>
      <status>unmodified</status>
      <modifiedWord/>
      <trackRevisions>false</trackRevisions>
    </reviewItem>
    <reviewItem>
      <errorID>b7d2c295-868d-45a5-a640-1d258400b04f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3E57C967</paraID>
      <start>0</start>
      <end>3</end>
      <status>unmodified</status>
      <modifiedWord/>
      <trackRevisions>false</trackRevisions>
    </reviewItem>
    <reviewItem>
      <errorID>ec3c2960-2743-41b9-a32f-decf852fb166</errorID>
      <errorWord>(</errorWord>
      <group>L1_Format</group>
      <groupName>格式问题</groupName>
      <ability>L2_HalfPunc_CN</ability>
      <abilityName>全半角问题</abilityName>
      <candidateList>
        <item>（</item>
      </candidateList>
      <explain>文本全半角错误。</explain>
      <paraID>6C26CCC9</paraID>
      <start>116</start>
      <end>117</end>
      <status>unmodified</status>
      <modifiedWord/>
      <trackRevisions>false</trackRevisions>
    </reviewItem>
    <reviewItem>
      <errorID>eaa1eb90-4496-42bc-bf14-48f49e5794bf</errorID>
      <errorWord>)</errorWord>
      <group>L1_Format</group>
      <groupName>格式问题</groupName>
      <ability>L2_HalfPunc_CN</ability>
      <abilityName>全半角问题</abilityName>
      <candidateList>
        <item>）</item>
      </candidateList>
      <explain>文本全半角错误。</explain>
      <paraID>6C26CCC9</paraID>
      <start>134</start>
      <end>135</end>
      <status>unmodified</status>
      <modifiedWord/>
      <trackRevisions>false</trackRevisions>
    </reviewItem>
    <reviewItem>
      <errorID>23ca5571-b1e8-4464-a1e1-f348d8b1a924</errorID>
      <errorWord>子</errorWord>
      <group>L1_Word</group>
      <groupName>字词问题</groupName>
      <ability>L2_Typo</ability>
      <abilityName>字词错误</abilityName>
      <candidateList>
        <item>子文</item>
      </candidateList>
      <explain/>
      <paraID>10259101</paraID>
      <start>161</start>
      <end>163</end>
      <status>modified</status>
      <modifiedWord>子文</modifiedWord>
      <trackRevisions>false</trackRevisions>
    </reviewItem>
    <reviewItem>
      <errorID>682e2d3c-0463-4a85-9498-9cbbc5878b77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466147B3</paraID>
      <start>0</start>
      <end>3</end>
      <status>unmodified</status>
      <modifiedWord/>
      <trackRevisions>false</trackRevisions>
    </reviewItem>
    <reviewItem>
      <errorID>7dd72d5b-4a2f-4825-b843-5b13d8b64276</errorID>
      <errorWord>法律、法规</errorWord>
      <group>L1_Word</group>
      <groupName>字词问题</groupName>
      <ability>L2_Typo</ability>
      <abilityName>字词错误</abilityName>
      <candidateList>
        <item>法律法规</item>
      </candidateList>
      <explain/>
      <paraID>57D33B99</paraID>
      <start>15</start>
      <end>19</end>
      <status>modified</status>
      <modifiedWord>法律法规</modifiedWord>
      <trackRevisions>false</trackRevisions>
    </reviewItem>
    <reviewItem>
      <errorID>a4eac07a-6837-4f47-b398-1790af9c0d1a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5A4F46AC</paraID>
      <start>0</start>
      <end>3</end>
      <status>unmodified</status>
      <modifiedWord/>
      <trackRevisions>false</trackRevisions>
    </reviewItem>
    <reviewItem>
      <errorID>94a3da44-c540-487e-bfc4-e1144413f95d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55E39FB2</paraID>
      <start>100</start>
      <end>102</end>
      <status>modified</status>
      <modifiedWord>涉及</modifiedWord>
      <trackRevisions>false</trackRevisions>
    </reviewItem>
    <reviewItem>
      <errorID>723e2c41-2528-47f4-90f6-a75ab05f856b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1808FA91</paraID>
      <start>0</start>
      <end>3</end>
      <status>unmodified</status>
      <modifiedWord/>
      <trackRevisions>false</trackRevisions>
    </reviewItem>
    <reviewItem>
      <errorID>7d796e12-3be3-4bc8-8915-3f783018b344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69710DB3</paraID>
      <start>0</start>
      <end>3</end>
      <status>unmodified</status>
      <modifiedWord/>
      <trackRevisions>false</trackRevisions>
    </reviewItem>
    <reviewItem>
      <errorID>5340204c-5b0e-414b-97a0-051c7f3cf49a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5EC2454A</paraID>
      <start>0</start>
      <end>3</end>
      <status>unmodified</status>
      <modifiedWord/>
      <trackRevisions>false</trackRevisions>
    </reviewItem>
    <reviewItem>
      <errorID>2658a30f-59d4-4887-9537-d9abc168d25a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64FF9B56</paraID>
      <start>0</start>
      <end>3</end>
      <status>unmodified</status>
      <modifiedWord/>
      <trackRevisions>false</trackRevisions>
    </reviewItem>
    <reviewItem>
      <errorID>d8307579-585e-49bf-a694-7fa33fd0879a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1C3D225C</paraID>
      <start>0</start>
      <end>3</end>
      <status>unmodified</status>
      <modifiedWord/>
      <trackRevisions>false</trackRevisions>
    </reviewItem>
    <reviewItem>
      <errorID>1ae1f33b-03e9-4169-a3c6-ffaf513ce981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17C0FFCA</paraID>
      <start>0</start>
      <end>3</end>
      <status>unmodified</status>
      <modifiedWord/>
      <trackRevisions>false</trackRevisions>
    </reviewItem>
    <reviewItem>
      <errorID>b8694bca-dbc4-4771-b23d-253d8a0c058d</errorID>
      <errorWord>做无效投标</errorWord>
      <group>L1_Word</group>
      <groupName>字词问题</groupName>
      <ability>L2_Typo</ability>
      <abilityName>字词错误</abilityName>
      <candidateList>
        <item>作无效投标</item>
      </candidateList>
      <explain/>
      <paraID>5B6071B8</paraID>
      <start>68</start>
      <end>73</end>
      <status>modified</status>
      <modifiedWord>作无效投标</modifiedWord>
      <trackRevisions>false</trackRevisions>
    </reviewItem>
    <reviewItem>
      <errorID>2a09ac25-9bf5-49d3-8f6e-c27638f8c5fd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2D73D76</paraID>
      <start>0</start>
      <end>3</end>
      <status>unmodified</status>
      <modifiedWord/>
      <trackRevisions>false</trackRevisions>
    </reviewItem>
    <reviewItem>
      <errorID>ab899d9f-0e7d-4b03-a204-9d921125a0e4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44C10DFD</paraID>
      <start>0</start>
      <end>3</end>
      <status>unmodified</status>
      <modifiedWord/>
      <trackRevisions>false</trackRevisions>
    </reviewItem>
    <reviewItem>
      <errorID>0f68c238-31f8-4317-bfa2-b8dbe3653e80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6F827C02</paraID>
      <start>0</start>
      <end>3</end>
      <status>unmodified</status>
      <modifiedWord/>
      <trackRevisions>false</trackRevisions>
    </reviewItem>
    <reviewItem>
      <errorID>229e4894-7b28-4502-8494-c80264850428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7B82D5F9</paraID>
      <start>13</start>
      <end>15</end>
      <status>modified</status>
      <modifiedWord>涉及</modifiedWord>
      <trackRevisions>false</trackRevisions>
    </reviewItem>
    <reviewItem>
      <errorID>ed476e96-88cc-43bf-96c9-cc0ad6dbb275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4DE84</paraID>
      <start>0</start>
      <end>3</end>
      <status>unmodified</status>
      <modifiedWord/>
      <trackRevisions>false</trackRevisions>
    </reviewItem>
    <reviewItem>
      <errorID>ef6898fd-65d2-4d84-be1a-907a521df066</errorID>
      <errorWord>侯选人</errorWord>
      <group>L1_Word</group>
      <groupName>字词问题</groupName>
      <ability>L2_Typo</ability>
      <abilityName>字词错误</abilityName>
      <candidateList>
        <item>候选人</item>
      </candidateList>
      <explain/>
      <paraID>1D1E3718</paraID>
      <start>30</start>
      <end>33</end>
      <status>modified</status>
      <modifiedWord>候选人</modifiedWord>
      <trackRevisions>false</trackRevisions>
    </reviewItem>
    <reviewItem>
      <errorID>eabd7073-87c6-49f0-98a0-d69148ed2541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C567E6E</paraID>
      <start>0</start>
      <end>3</end>
      <status>unmodified</status>
      <modifiedWord/>
      <trackRevisions>false</trackRevisions>
    </reviewItem>
    <reviewItem>
      <errorID>3610983a-6ec9-465b-8607-2975979d66f0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6A720A6C</paraID>
      <start>0</start>
      <end>3</end>
      <status>unmodified</status>
      <modifiedWord/>
      <trackRevisions>false</trackRevisions>
    </reviewItem>
    <reviewItem>
      <errorID>cb0f0778-c85b-4472-8dd4-b6c1787a7d80</errorID>
      <errorWord>做出</errorWord>
      <group>L1_Word</group>
      <groupName>字词问题</groupName>
      <ability>L2_Typo</ability>
      <abilityName>字词错误</abilityName>
      <candidateList>
        <item>作出</item>
      </candidateList>
      <explain/>
      <paraID>4561FC30</paraID>
      <start>33</start>
      <end>35</end>
      <status>modified</status>
      <modifiedWord>作出</modifiedWord>
      <trackRevisions>false</trackRevisions>
    </reviewItem>
    <reviewItem>
      <errorID>444b6751-18c7-4b2e-bc5d-e0b60389de96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2DCCC459</paraID>
      <start>0</start>
      <end>3</end>
      <status>unmodified</status>
      <modifiedWord/>
      <trackRevisions>false</trackRevisions>
    </reviewItem>
    <reviewItem>
      <errorID>6124f7b7-fae6-491c-8b74-c24e077c19aa</errorID>
      <errorWord>,</errorWord>
      <group>L1_Format</group>
      <groupName>格式问题</groupName>
      <ability>L2_HalfPunc_CN</ability>
      <abilityName>全半角问题</abilityName>
      <candidateList>
        <item>，</item>
      </candidateList>
      <explain>文本全半角错误。</explain>
      <paraID>73CD0246</paraID>
      <start>78</start>
      <end>79</end>
      <status>unmodified</status>
      <modifiedWord/>
      <trackRevisions>false</trackRevisions>
    </reviewItem>
    <reviewItem>
      <errorID>c2690ce2-8b56-47b7-8011-a88b2207f23a</errorID>
      <errorWord>,</errorWord>
      <group>L1_Format</group>
      <groupName>格式问题</groupName>
      <ability>L2_HalfPunc_CN</ability>
      <abilityName>全半角问题</abilityName>
      <candidateList>
        <item>，</item>
      </candidateList>
      <explain>文本全半角错误。</explain>
      <paraID>2A93A937</paraID>
      <start>54</start>
      <end>55</end>
      <status>unmodified</status>
      <modifiedWord/>
      <trackRevisions>false</trackRevisions>
    </reviewItem>
    <reviewItem>
      <errorID>c8ab3f24-b46a-4c05-9939-77d070f59bf0</errorID>
      <errorWord>&lt;</errorWord>
      <group>L1_Format</group>
      <groupName>格式问题</groupName>
      <ability>L2_HalfPunc_CN</ability>
      <abilityName>全半角问题</abilityName>
      <candidateList>
        <item>〈</item>
      </candidateList>
      <explain>文本全半角错误。</explain>
      <paraID>5716218C</paraID>
      <start>38</start>
      <end>39</end>
      <status>unmodified</status>
      <modifiedWord/>
      <trackRevisions>false</trackRevisions>
    </reviewItem>
    <reviewItem>
      <errorID>7f93f3c4-9f9c-4c4b-84d2-1fc4ca970fc4</errorID>
      <errorWord>&lt;</errorWord>
      <group>L1_Format</group>
      <groupName>格式问题</groupName>
      <ability>L2_HalfPunc_CN</ability>
      <abilityName>全半角问题</abilityName>
      <candidateList>
        <item>〈</item>
      </candidateList>
      <explain>文本全半角错误。</explain>
      <paraID>243BE866</paraID>
      <start>38</start>
      <end>39</end>
      <status>unmodified</status>
      <modifiedWord/>
      <trackRevisions>false</trackRevisions>
    </reviewItem>
    <reviewItem>
      <errorID>58d3c238-bbdc-42c9-ae78-df071dd31e0c</errorID>
      <errorWord>&lt;</errorWord>
      <group>L1_Format</group>
      <groupName>格式问题</groupName>
      <ability>L2_HalfPunc_CN</ability>
      <abilityName>全半角问题</abilityName>
      <candidateList>
        <item>〈</item>
      </candidateList>
      <explain>文本全半角错误。</explain>
      <paraID>21C8C83B</paraID>
      <start>27</start>
      <end>28</end>
      <status>unmodified</status>
      <modifiedWord/>
      <trackRevisions>false</trackRevisions>
    </reviewItem>
    <reviewItem>
      <errorID>c389196a-7f7f-4ffb-b05b-3c97cd8f60f6</errorID>
      <errorWord>应应</errorWord>
      <group>L1_Word</group>
      <groupName>字词问题</groupName>
      <ability>L2_Typo</ability>
      <abilityName>字词错误</abilityName>
      <candidateList>
        <item>应</item>
      </candidateList>
      <explain/>
      <paraID>17C4FD86</paraID>
      <start>16</start>
      <end>17</end>
      <status>modified</status>
      <modifiedWord>应</modifiedWord>
      <trackRevisions>false</trackRevisions>
    </reviewItem>
    <reviewItem>
      <errorID>9939e09d-690a-4d83-b572-a0d77b059514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704B6C5E</paraID>
      <start>0</start>
      <end>3</end>
      <status>unmodified</status>
      <modifiedWord/>
      <trackRevisions>false</trackRevisions>
    </reviewItem>
    <reviewItem>
      <errorID>997142fd-5e34-4787-904d-b56ee5403b60</errorID>
      <errorWord>国家发改委</errorWord>
      <group>L1_Knowledge</group>
      <groupName>知识性问题</groupName>
      <ability>L2_Knowledge</ability>
      <abilityName>其他知识</abilityName>
      <candidateList>
        <item>国家发展改革委</item>
      </candidateList>
      <explain/>
      <paraID> 9178D0E</paraID>
      <start>19</start>
      <end>26</end>
      <status>modified</status>
      <modifiedWord>国家发展改革委</modifiedWord>
      <trackRevisions>false</trackRevisions>
    </reviewItem>
    <reviewItem>
      <errorID>f4d3f43f-2b68-4c1b-a9c5-3b1fdc251c7a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9178D0E</paraID>
      <start>44</start>
      <end>47</end>
      <status>unmodified</status>
      <modifiedWord/>
      <trackRevisions>false</trackRevisions>
    </reviewItem>
    <reviewItem>
      <errorID>eda2613b-43d0-46d5-8228-8f149ef6c7b7</errorID>
      <errorWord>法律、法规</errorWord>
      <group>L1_Word</group>
      <groupName>字词问题</groupName>
      <ability>L2_Typo</ability>
      <abilityName>字词错误</abilityName>
      <candidateList>
        <item>法律法规</item>
      </candidateList>
      <explain/>
      <paraID>1539A2BD</paraID>
      <start>9</start>
      <end>13</end>
      <status>modified</status>
      <modifiedWord>法律法规</modifiedWord>
      <trackRevisions>false</trackRevisions>
    </reviewItem>
    <reviewItem>
      <errorID>230f2327-9f7a-47f5-8713-90af71d64e46</errorID>
      <errorWord>属</errorWord>
      <group>L1_Word</group>
      <groupName>字词问题</groupName>
      <ability>L2_Typo</ability>
      <abilityName>字词错误</abilityName>
      <candidateList>
        <item>属于</item>
      </candidateList>
      <explain/>
      <paraID>1539A2BD</paraID>
      <start>22</start>
      <end>24</end>
      <status>modified</status>
      <modifiedWord>属于</modifiedWord>
      <trackRevisions>false</trackRevisions>
    </reviewItem>
    <reviewItem>
      <errorID>ead911b8-176f-4337-a839-990ef9fe09d2</errorID>
      <errorWord>系统系统故障</errorWord>
      <group>L1_Word</group>
      <groupName>字词问题</groupName>
      <ability>L2_Typo</ability>
      <abilityName>字词错误</abilityName>
      <candidateList>
        <item>系统故障</item>
      </candidateList>
      <explain/>
      <paraID>52E67606</paraID>
      <start>13</start>
      <end>17</end>
      <status>modified</status>
      <modifiedWord>系统故障</modifiedWord>
      <trackRevisions>false</trackRevisions>
    </reviewItem>
    <reviewItem>
      <errorID>aa460ffa-7b07-4f3e-a4bc-b186665fe78f</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64786682</paraID>
      <start>0</start>
      <end>3</end>
      <status>unmodified</status>
      <modifiedWord/>
      <trackRevisions>false</trackRevisions>
    </reviewItem>
    <reviewItem>
      <errorID>0ad8c9e9-2380-4bf0-a79e-7c213ae41693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5E55034B</paraID>
      <start>0</start>
      <end>3</end>
      <status>unmodified</status>
      <modifiedWord/>
      <trackRevisions>false</trackRevisions>
    </reviewItem>
    <reviewItem>
      <errorID>afb10214-03e4-4033-8dec-dba9f233e005</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672510E0</paraID>
      <start>0</start>
      <end>3</end>
      <status>unmodified</status>
      <modifiedWord/>
      <trackRevisions>false</trackRevisions>
    </reviewItem>
    <reviewItem>
      <errorID>ae095f66-e66c-40da-a670-af0abfa29a1f</errorID>
      <errorWord>：/；</errorWord>
      <group>L1_Punc</group>
      <groupName>标点问题</groupName>
      <ability>L2_Punc_CN</ability>
      <abilityName>标点符号问题</abilityName>
      <candidateList>
        <item>：</item>
      </candidateList>
      <explain/>
      <paraID>16287440</paraID>
      <start>40</start>
      <end>43</end>
      <status>unmodified</status>
      <modifiedWord/>
      <trackRevisions>false</trackRevisions>
    </reviewItem>
    <reviewItem>
      <errorID>366b5118-1c18-4982-be0e-3d08458d98c6</errorID>
      <errorWord>,</errorWord>
      <group>L1_Format</group>
      <groupName>格式问题</groupName>
      <ability>L2_HalfPunc_CN</ability>
      <abilityName>全半角问题</abilityName>
      <candidateList>
        <item>，</item>
      </candidateList>
      <explain>文本全半角错误。</explain>
      <paraID>1A1E196F</paraID>
      <start>35</start>
      <end>36</end>
      <status>unmodified</status>
      <modifiedWord/>
      <trackRevisions>false</trackRevisions>
    </reviewItem>
    <reviewItem>
      <errorID>3624e03f-cb65-46ae-9258-82179fb19371</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57F285F8</paraID>
      <start>0</start>
      <end>3</end>
      <status>unmodified</status>
      <modifiedWord/>
      <trackRevisions>false</trackRevisions>
    </reviewItem>
    <reviewItem>
      <errorID>fdf3afb8-b24a-4439-a28c-fcbd1073ed8b</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721B4654</paraID>
      <start>0</start>
      <end>3</end>
      <status>unmodified</status>
      <modifiedWord/>
      <trackRevisions>false</trackRevisions>
    </reviewItem>
    <reviewItem>
      <errorID>9c8f80b7-8938-4a24-ae45-6236b7ab689f</errorID>
      <errorWord>&lt;</errorWord>
      <group>L1_Format</group>
      <groupName>格式问题</groupName>
      <ability>L2_HalfPunc_CN</ability>
      <abilityName>全半角问题</abilityName>
      <candidateList>
        <item>〈</item>
      </candidateList>
      <explain>文本全半角错误。</explain>
      <paraID>191688DE</paraID>
      <start>28</start>
      <end>29</end>
      <status>unmodified</status>
      <modifiedWord/>
      <trackRevisions>false</trackRevisions>
    </reviewItem>
    <reviewItem>
      <errorID>da6c4524-fc03-483e-9bf8-562897fae249</errorID>
      <errorWord>&gt;的通知》</errorWord>
      <group>L1_Punc</group>
      <groupName>标点问题</groupName>
      <ability>L2_Punc_CN</ability>
      <abilityName>标点符号问题</abilityName>
      <candidateList>
        <item>〉的通知》</item>
      </candidateList>
      <explain/>
      <paraID>191688DE</paraID>
      <start>52</start>
      <end>57</end>
      <status>unmodified</status>
      <modifiedWord/>
      <trackRevisions>false</trackRevisions>
    </reviewItem>
    <reviewItem>
      <errorID>df190bdc-7a92-4b03-82df-881dccf2a88f</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35985E5F</paraID>
      <start>0</start>
      <end>3</end>
      <status>unmodified</status>
      <modifiedWord/>
      <trackRevisions>false</trackRevisions>
    </reviewItem>
    <reviewItem>
      <errorID>a4109bb5-65c6-4cd4-89b4-c8c359bc2788</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3BAB137B</paraID>
      <start>0</start>
      <end>3</end>
      <status>unmodified</status>
      <modifiedWord/>
      <trackRevisions>false</trackRevisions>
    </reviewItem>
    <reviewItem>
      <errorID>0c1b2666-c09c-4f4c-80ac-1153531f2dd5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B300AA4</paraID>
      <start>0</start>
      <end>2</end>
      <status>unmodified</status>
      <modifiedWord/>
      <trackRevisions>false</trackRevisions>
    </reviewItem>
    <reviewItem>
      <errorID>8850d4e2-3795-4a7d-abea-b0220694c938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53AEB516</paraID>
      <start>0</start>
      <end>2</end>
      <status>unmodified</status>
      <modifiedWord/>
      <trackRevisions>false</trackRevisions>
    </reviewItem>
    <reviewItem>
      <errorID>3ac76dc5-5929-4492-8607-73474d5fc30f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3DFB4962</paraID>
      <start>0</start>
      <end>2</end>
      <status>unmodified</status>
      <modifiedWord/>
      <trackRevisions>false</trackRevisions>
    </reviewItem>
    <reviewItem>
      <errorID>6c48b11f-4be5-4014-9838-bebfb029afe2</errorID>
      <errorWord>(</errorWord>
      <group>L1_Format</group>
      <groupName>格式问题</groupName>
      <ability>L2_HalfPunc_CN</ability>
      <abilityName>全半角问题</abilityName>
      <candidateList>
        <item>（</item>
      </candidateList>
      <explain>文本全半角错误。</explain>
      <paraID>13E0A92F</paraID>
      <start>120</start>
      <end>121</end>
      <status>unmodified</status>
      <modifiedWord/>
      <trackRevisions>false</trackRevisions>
    </reviewItem>
    <reviewItem>
      <errorID>e0b8a360-8a27-45ca-af89-8bd9934c610b</errorID>
      <errorWord>)</errorWord>
      <group>L1_Format</group>
      <groupName>格式问题</groupName>
      <ability>L2_HalfPunc_CN</ability>
      <abilityName>全半角问题</abilityName>
      <candidateList>
        <item>）</item>
      </candidateList>
      <explain>文本全半角错误。</explain>
      <paraID>13E0A92F</paraID>
      <start>124</start>
      <end>125</end>
      <status>unmodified</status>
      <modifiedWord/>
      <trackRevisions>false</trackRevisions>
    </reviewItem>
    <reviewItem>
      <errorID>a63a9bcd-1967-465b-847f-d055bd651fd8</errorID>
      <errorWord>肆份</errorWord>
      <group>L1_Word</group>
      <groupName>字词问题</groupName>
      <ability>L2_Typo</ability>
      <abilityName>字词错误</abilityName>
      <candidateList>
        <item>四份</item>
      </candidateList>
      <explain>存在发音相同字词的误用。</explain>
      <paraID>1753B51C</paraID>
      <start>5</start>
      <end>7</end>
      <status>unmodified</status>
      <modifiedWord/>
      <trackRevisions>false</trackRevisions>
    </reviewItem>
    <reviewItem>
      <errorID>29066472-84e4-43cc-9b76-99f16bc3da0d</errorID>
      <errorWord>;</errorWord>
      <group>L1_Format</group>
      <groupName>格式问题</groupName>
      <ability>L2_HalfPunc_CN</ability>
      <abilityName>全半角问题</abilityName>
      <candidateList>
        <item>；</item>
      </candidateList>
      <explain>文本全半角错误。</explain>
      <paraID>1C255862</paraID>
      <start>23</start>
      <end>24</end>
      <status>unmodified</status>
      <modifiedWord/>
      <trackRevisions>false</trackRevisions>
    </reviewItem>
    <reviewItem>
      <errorID>d70a294a-dd53-46c9-8835-4929b4ef2bee</errorID>
      <errorWord>(</errorWord>
      <group>L1_Format</group>
      <groupName>格式问题</groupName>
      <ability>L2_HalfPunc_CN</ability>
      <abilityName>全半角问题</abilityName>
      <candidateList>
        <item>（</item>
      </candidateList>
      <explain>文本全半角错误。</explain>
      <paraID>1A099DE9</paraID>
      <start>237</start>
      <end>238</end>
      <status>unmodified</status>
      <modifiedWord/>
      <trackRevisions>false</trackRevisions>
    </reviewItem>
    <reviewItem>
      <errorID>e44ccfac-c7ea-438d-ba94-6c991e825fb4</errorID>
      <errorWord>)</errorWord>
      <group>L1_Format</group>
      <groupName>格式问题</groupName>
      <ability>L2_HalfPunc_CN</ability>
      <abilityName>全半角问题</abilityName>
      <candidateList>
        <item>）</item>
      </candidateList>
      <explain>文本全半角错误。</explain>
      <paraID>1A099DE9</paraID>
      <start>242</start>
      <end>243</end>
      <status>unmodified</status>
      <modifiedWord/>
      <trackRevisions>false</trackRevisions>
    </reviewItem>
    <reviewItem>
      <errorID>c440820b-fa34-40b0-bb3b-309bacf27c0c</errorID>
      <errorWord>(</errorWord>
      <group>L1_Format</group>
      <groupName>格式问题</groupName>
      <ability>L2_HalfPunc_CN</ability>
      <abilityName>全半角问题</abilityName>
      <candidateList>
        <item>（</item>
      </candidateList>
      <explain>文本全半角错误。</explain>
      <paraID>1A099DE9</paraID>
      <start>267</start>
      <end>268</end>
      <status>unmodified</status>
      <modifiedWord/>
      <trackRevisions>false</trackRevisions>
    </reviewItem>
    <reviewItem>
      <errorID>38bd88e5-2e9d-481f-b6a6-95a02a84a284</errorID>
      <errorWord>)</errorWord>
      <group>L1_Format</group>
      <groupName>格式问题</groupName>
      <ability>L2_HalfPunc_CN</ability>
      <abilityName>全半角问题</abilityName>
      <candidateList>
        <item>）</item>
      </candidateList>
      <explain>文本全半角错误。</explain>
      <paraID>1A099DE9</paraID>
      <start>272</start>
      <end>273</end>
      <status>unmodified</status>
      <modifiedWord/>
      <trackRevisions>false</trackRevisions>
    </reviewItem>
    <reviewItem>
      <errorID>17e49ab8-9090-4c1a-b694-6ca2514c4a2c</errorID>
      <errorWord>(</errorWord>
      <group>L1_Format</group>
      <groupName>格式问题</groupName>
      <ability>L2_HalfPunc_CN</ability>
      <abilityName>全半角问题</abilityName>
      <candidateList>
        <item>（</item>
      </candidateList>
      <explain>文本全半角错误。</explain>
      <paraID>1A099DE9</paraID>
      <start>293</start>
      <end>294</end>
      <status>unmodified</status>
      <modifiedWord/>
      <trackRevisions>false</trackRevisions>
    </reviewItem>
    <reviewItem>
      <errorID>ed621f38-ba86-47be-8068-c6e709538721</errorID>
      <errorWord>)</errorWord>
      <group>L1_Format</group>
      <groupName>格式问题</groupName>
      <ability>L2_HalfPunc_CN</ability>
      <abilityName>全半角问题</abilityName>
      <candidateList>
        <item>）</item>
      </candidateList>
      <explain>文本全半角错误。</explain>
      <paraID>1A099DE9</paraID>
      <start>316</start>
      <end>317</end>
      <status>unmodified</status>
      <modifiedWord/>
      <trackRevisions>false</trackRevisions>
    </reviewItem>
    <reviewItem>
      <errorID>b61c828a-ffef-4eb2-b6c8-d6a0622ed5db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1A099DE9</paraID>
      <start>324</start>
      <end>325</end>
      <status>unmodified</status>
      <modifiedWord/>
      <trackRevisions>false</trackRevisions>
    </reviewItem>
    <reviewItem>
      <errorID>a4115e0a-4774-4942-b631-3f6106d81087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1A099DE9</paraID>
      <start>348</start>
      <end>349</end>
      <status>unmodified</status>
      <modifiedWord/>
      <trackRevisions>false</trackRevisions>
    </reviewItem>
    <reviewItem>
      <errorID>aeac1fcd-25d2-4ef8-b782-ee203df99bd3</errorID>
      <errorWord>《江苏省公示地价体系建设技术指引》（试行）</errorWord>
      <group>L1_Knowledge</group>
      <groupName>知识性问题</groupName>
      <ability>L2_Knowledge</ability>
      <abilityName>其他知识</abilityName>
      <candidateList>
        <item>《江苏省公示地价体系建设技术指引（试行）》</item>
      </candidateList>
      <explain>疑似政策文件、法律法规名称等书写不规范，请注意检查。</explain>
      <paraID>35FBE73A</paraID>
      <start>3</start>
      <end>24</end>
      <status>unmodified</status>
      <modifiedWord/>
      <trackRevisions>false</trackRevisions>
    </reviewItem>
    <reviewItem>
      <errorID>ca12cd92-4958-49a1-ab18-81a75ab78968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7F205A3D</paraID>
      <start>0</start>
      <end>2</end>
      <status>unmodified</status>
      <modifiedWord/>
      <trackRevisions>false</trackRevisions>
    </reviewItem>
    <reviewItem>
      <errorID>d5a8f906-ebba-46cb-bcec-5fa1c168901d</errorID>
      <errorWord>:</errorWord>
      <group>L1_Format</group>
      <groupName>格式问题</groupName>
      <ability>L2_HalfPunc_CN</ability>
      <abilityName>全半角问题</abilityName>
      <candidateList>
        <item>：</item>
      </candidateList>
      <explain>文本全半角错误。</explain>
      <paraID>54D80DAE</paraID>
      <start>7</start>
      <end>8</end>
      <status>unmodified</status>
      <modifiedWord/>
      <trackRevisions>false</trackRevisions>
    </reviewItem>
    <reviewItem>
      <errorID>dc3c7285-269c-4848-a99d-f32a03821a03</errorID>
      <errorWord>(</errorWord>
      <group>L1_Format</group>
      <groupName>格式问题</groupName>
      <ability>L2_HalfPunc_CN</ability>
      <abilityName>全半角问题</abilityName>
      <candidateList>
        <item>（</item>
      </candidateList>
      <explain>文本全半角错误。</explain>
      <paraID> D069708</paraID>
      <start>25</start>
      <end>26</end>
      <status>unmodified</status>
      <modifiedWord/>
      <trackRevisions>false</trackRevisions>
    </reviewItem>
    <reviewItem>
      <errorID>4530b725-5327-43ba-9823-26e09a39cc73</errorID>
      <errorWord>(2026)36号</errorWord>
      <group>L1_Knowledge</group>
      <groupName>知识性问题</groupName>
      <ability>L2_Knowledge</ability>
      <abilityName>其他知识</abilityName>
      <candidateList>
        <item>〔2026〕36号</item>
      </candidateList>
      <explain>发文字号格式错误。</explain>
      <paraID> D069708</paraID>
      <start>29</start>
      <end>38</end>
      <status>modified</status>
      <modifiedWord>〔2026〕36号</modifiedWord>
      <trackRevisions>false</trackRevisions>
    </reviewItem>
    <reviewItem>
      <errorID>51cb1a66-57f4-4874-8898-82dc253046d1</errorID>
      <errorWord>)</errorWord>
      <group>L1_Format</group>
      <groupName>格式问题</groupName>
      <ability>L2_HalfPunc_CN</ability>
      <abilityName>全半角问题</abilityName>
      <candidateList>
        <item>）</item>
      </candidateList>
      <explain>文本全半角错误。</explain>
      <paraID> D069708</paraID>
      <start>38</start>
      <end>39</end>
      <status>unmodified</status>
      <modifiedWord/>
      <trackRevisions>false</trackRevisions>
    </reviewItem>
    <reviewItem>
      <errorID>68df1bb1-335e-4e02-9e67-bd5216cec4d9</errorID>
      <errorWord>,</errorWord>
      <group>L1_Format</group>
      <groupName>格式问题</groupName>
      <ability>L2_HalfPunc_CN</ability>
      <abilityName>全半角问题</abilityName>
      <candidateList>
        <item>，</item>
      </candidateList>
      <explain>文本全半角错误。</explain>
      <paraID>67C49720</paraID>
      <start>18</start>
      <end>19</end>
      <status>unmodified</status>
      <modifiedWord/>
      <trackRevisions>false</trackRevisions>
    </reviewItem>
    <reviewItem>
      <errorID>8afc870f-4318-47c5-9fec-61506721674c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1891092D</paraID>
      <start>0</start>
      <end>2</end>
      <status>unmodified</status>
      <modifiedWord/>
      <trackRevisions>false</trackRevisions>
    </reviewItem>
    <reviewItem>
      <errorID>f03535b1-c971-4016-9b0f-f2b287c3c70e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6E67BECC</paraID>
      <start>0</start>
      <end>2</end>
      <status>unmodified</status>
      <modifiedWord/>
      <trackRevisions>false</trackRevisions>
    </reviewItem>
    <reviewItem>
      <errorID>ac747268-1980-443f-9dd2-fb8c102e6f83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DE74F40</paraID>
      <start>0</start>
      <end>2</end>
      <status>unmodified</status>
      <modifiedWord/>
      <trackRevisions>false</trackRevisions>
    </reviewItem>
    <reviewItem>
      <errorID>5c24df1b-f465-4064-9c0e-173e223b825d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6A30CAE0</paraID>
      <start>0</start>
      <end>2</end>
      <status>unmodified</status>
      <modifiedWord/>
      <trackRevisions>false</trackRevisions>
    </reviewItem>
    <reviewItem>
      <errorID>4116770d-e6a5-4dc5-81be-9186c394e351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197E735C</paraID>
      <start>0</start>
      <end>2</end>
      <status>unmodified</status>
      <modifiedWord/>
      <trackRevisions>false</trackRevisions>
    </reviewItem>
    <reviewItem>
      <errorID>1901a229-5556-4f4b-b381-d9a67e4cccb1</errorID>
      <errorWord>,</errorWord>
      <group>L1_Format</group>
      <groupName>格式问题</groupName>
      <ability>L2_HalfPunc_CN</ability>
      <abilityName>全半角问题</abilityName>
      <candidateList>
        <item>，</item>
      </candidateList>
      <explain>文本全半角错误。</explain>
      <paraID>197E735C</paraID>
      <start>32</start>
      <end>33</end>
      <status>unmodified</status>
      <modifiedWord/>
      <trackRevisions>false</trackRevisions>
    </reviewItem>
    <reviewItem>
      <errorID>1d648fa4-20bf-4e73-9439-168066788f5d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C559E9C</paraID>
      <start>33</start>
      <end>34</end>
      <status>unmodified</status>
      <modifiedWord/>
      <trackRevisions>false</trackRevisions>
    </reviewItem>
    <reviewItem>
      <errorID>a6b06be8-62b1-45c2-a482-07dcc7d29654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C559E9C</paraID>
      <start>41</start>
      <end>42</end>
      <status>unmodified</status>
      <modifiedWord/>
      <trackRevisions>false</trackRevisions>
    </reviewItem>
    <reviewItem>
      <errorID>8d696407-de80-415b-98fb-66eca2476992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22A7B59C</paraID>
      <start>0</start>
      <end>2</end>
      <status>unmodified</status>
      <modifiedWord/>
      <trackRevisions>false</trackRevisions>
    </reviewItem>
    <reviewItem>
      <errorID>183a90a1-8993-4952-9fe6-2d04f931f56c</errorID>
      <errorWord>(</errorWord>
      <group>L1_Format</group>
      <groupName>格式问题</groupName>
      <ability>L2_HalfPunc_CN</ability>
      <abilityName>全半角问题</abilityName>
      <candidateList>
        <item>（</item>
      </candidateList>
      <explain>文本全半角错误。</explain>
      <paraID>2ACFB1DA</paraID>
      <start>94</start>
      <end>95</end>
      <status>unmodified</status>
      <modifiedWord/>
      <trackRevisions>false</trackRevisions>
    </reviewItem>
    <reviewItem>
      <errorID>358a258f-4d9e-45a5-87d8-3c4fbe08f562</errorID>
      <errorWord>)</errorWord>
      <group>L1_Format</group>
      <groupName>格式问题</groupName>
      <ability>L2_HalfPunc_CN</ability>
      <abilityName>全半角问题</abilityName>
      <candidateList>
        <item>）</item>
      </candidateList>
      <explain>文本全半角错误。</explain>
      <paraID>2ACFB1DA</paraID>
      <start>104</start>
      <end>105</end>
      <status>unmodified</status>
      <modifiedWord/>
      <trackRevisions>false</trackRevisions>
    </reviewItem>
    <reviewItem>
      <errorID>0aabdee6-3689-4875-b992-564b2a733a80</errorID>
      <errorWord>（</errorWord>
      <group>L1_Word</group>
      <groupName>字词问题</groupName>
      <ability>L2_Typo</ability>
      <abilityName>字词错误</abilityName>
      <candidateList>
        <item>（在</item>
      </candidateList>
      <explain/>
      <paraID>2ACFB1DA</paraID>
      <start>119</start>
      <end>120</end>
      <status>unmodified</status>
      <modifiedWord/>
      <trackRevisions>false</trackRevisions>
    </reviewItem>
    <reviewItem>
      <errorID>f7777c8a-fbaf-4f94-a509-834312514626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78971995</paraID>
      <start>179</start>
      <end>182</end>
      <status>unmodified</status>
      <modifiedWord/>
      <trackRevisions>false</trackRevisions>
    </reviewItem>
    <reviewItem>
      <errorID>bf23f9ce-b9dc-4671-b37e-f56fac210fda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3DD42DDA</paraID>
      <start>0</start>
      <end>2</end>
      <status>unmodified</status>
      <modifiedWord/>
      <trackRevisions>false</trackRevisions>
    </reviewItem>
    <reviewItem>
      <errorID>3d5976a6-e311-4bf7-9ec3-486f0060aeb8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5291D871</paraID>
      <start>0</start>
      <end>2</end>
      <status>unmodified</status>
      <modifiedWord/>
      <trackRevisions>false</trackRevisions>
    </reviewItem>
    <reviewItem>
      <errorID>6e6dedaa-8a25-4c00-8235-85acbdf357de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6756F901</paraID>
      <start>47</start>
      <end>50</end>
      <status>unmodified</status>
      <modifiedWord/>
      <trackRevisions>false</trackRevisions>
    </reviewItem>
    <reviewItem>
      <errorID>53255e02-72dd-4b94-b5ed-f2bfb5b2a4bb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4913674A</paraID>
      <start>0</start>
      <end>2</end>
      <status>unmodified</status>
      <modifiedWord/>
      <trackRevisions>false</trackRevisions>
    </reviewItem>
    <reviewItem>
      <errorID>c89120ba-4e05-4e98-8413-89178cedc40e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45C193AA</paraID>
      <start>58</start>
      <end>59</end>
      <status>unmodified</status>
      <modifiedWord/>
      <trackRevisions>false</trackRevisions>
    </reviewItem>
    <reviewItem>
      <errorID>bac7ee07-abdb-46f2-9ef1-bd29bbbac567</errorID>
      <errorWord>法律、法规</errorWord>
      <group>L1_Word</group>
      <groupName>字词问题</groupName>
      <ability>L2_Typo</ability>
      <abilityName>字词错误</abilityName>
      <candidateList>
        <item>法律法规</item>
      </candidateList>
      <explain/>
      <paraID>54DC7635</paraID>
      <start>43</start>
      <end>47</end>
      <status>modified</status>
      <modifiedWord>法律法规</modifiedWord>
      <trackRevisions>false</trackRevisions>
    </reviewItem>
    <reviewItem>
      <errorID>088e7b73-8840-4e54-895a-5c059911b445</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6D8C9983</paraID>
      <start>97</start>
      <end>101</end>
      <status>modified</status>
      <modifiedWord>其他所有</modifiedWord>
      <trackRevisions>false</trackRevisions>
    </reviewItem>
    <reviewItem>
      <errorID>21728c0f-0673-4811-add6-2c931d3ba435</errorID>
      <errorWord>(</errorWord>
      <group>L1_Format</group>
      <groupName>格式问题</groupName>
      <ability>L2_HalfPunc_CN</ability>
      <abilityName>全半角问题</abilityName>
      <candidateList>
        <item>（</item>
      </candidateList>
      <explain>文本全半角错误。</explain>
      <paraID>4AFE0E42</paraID>
      <start>33</start>
      <end>34</end>
      <status>unmodified</status>
      <modifiedWord/>
      <trackRevisions>false</trackRevisions>
    </reviewItem>
    <reviewItem>
      <errorID>78e1a95b-f8ac-45aa-b05c-44f4ef1f5c17</errorID>
      <errorWord>[2020]46号</errorWord>
      <group>L1_Knowledge</group>
      <groupName>知识性问题</groupName>
      <ability>L2_Knowledge</ability>
      <abilityName>其他知识</abilityName>
      <candidateList>
        <item>〔2020〕46号</item>
      </candidateList>
      <explain>发文字号格式错误。</explain>
      <paraID>4AFE0E42</paraID>
      <start>36</start>
      <end>45</end>
      <status>unmodified</status>
      <modifiedWord/>
      <trackRevisions>false</trackRevisions>
    </reviewItem>
    <reviewItem>
      <errorID>62e2cd85-bb98-4d5e-88d6-353b6217abb1</errorID>
      <errorWord>)</errorWord>
      <group>L1_Format</group>
      <groupName>格式问题</groupName>
      <ability>L2_HalfPunc_CN</ability>
      <abilityName>全半角问题</abilityName>
      <candidateList>
        <item>）</item>
      </candidateList>
      <explain>文本全半角错误。</explain>
      <paraID>4AFE0E42</paraID>
      <start>45</start>
      <end>46</end>
      <status>unmodified</status>
      <modifiedWord/>
      <trackRevisions>false</trackRevisions>
    </reviewItem>
    <reviewItem>
      <errorID>a8d613c2-779b-45d5-9e0b-ec44b679dba8</errorID>
      <errorWord>(</errorWord>
      <group>L1_Format</group>
      <groupName>格式问题</groupName>
      <ability>L2_HalfPunc_CN</ability>
      <abilityName>全半角问题</abilityName>
      <candidateList>
        <item>（</item>
      </candidateList>
      <explain>文本全半角错误。</explain>
      <paraID>4AFE0E42</paraID>
      <start>172</start>
      <end>173</end>
      <status>unmodified</status>
      <modifiedWord/>
      <trackRevisions>false</trackRevisions>
    </reviewItem>
    <reviewItem>
      <errorID>6ea52012-250f-4ba3-b6d3-97ac9e86cf98</errorID>
      <errorWord>[2011]300号</errorWord>
      <group>L1_Knowledge</group>
      <groupName>知识性问题</groupName>
      <ability>L2_Knowledge</ability>
      <abilityName>其他知识</abilityName>
      <candidateList>
        <item>〔2011〕300号</item>
      </candidateList>
      <explain>发文字号格式错误。</explain>
      <paraID>4AFE0E42</paraID>
      <start>179</start>
      <end>189</end>
      <status>unmodified</status>
      <modifiedWord/>
      <trackRevisions>false</trackRevisions>
    </reviewItem>
    <reviewItem>
      <errorID>ac5ff32f-f135-4769-8c98-5c4a97d88f93</errorID>
      <errorWord>)</errorWord>
      <group>L1_Format</group>
      <groupName>格式问题</groupName>
      <ability>L2_HalfPunc_CN</ability>
      <abilityName>全半角问题</abilityName>
      <candidateList>
        <item>）</item>
      </candidateList>
      <explain>文本全半角错误。</explain>
      <paraID>4AFE0E42</paraID>
      <start>189</start>
      <end>190</end>
      <status>unmodified</status>
      <modifiedWord/>
      <trackRevisions>false</trackRevisions>
    </reviewItem>
    <reviewItem>
      <errorID>aec75519-1b00-4af2-8de2-4e0215be3653</errorID>
      <errorWord>〔2017〕 141号</errorWord>
      <group>L1_Knowledge</group>
      <groupName>知识性问题</groupName>
      <ability>L2_Knowledge</ability>
      <abilityName>其他知识</abilityName>
      <candidateList>
        <item>〔2017〕141号</item>
      </candidateList>
      <explain>发文字号格式错误。</explain>
      <paraID>1734DE8F</paraID>
      <start>49</start>
      <end>60</end>
      <status>unmodified</status>
      <modifiedWord/>
      <trackRevisions>false</trackRevisions>
    </reviewItem>
    <reviewItem>
      <errorID>e26b2ec6-24b6-4e4a-8d5e-a1456f46dcb1</errorID>
      <errorWord>......</errorWord>
      <group>L1_Punc</group>
      <groupName>标点问题</groupName>
      <ability>L2_Punc_CN</ability>
      <abilityName>标点符号问题</abilityName>
      <candidateList>
        <item>……</item>
      </candidateList>
      <explain/>
      <paraID>6655E683</paraID>
      <start>0</start>
      <end>6</end>
      <status>unmodified</status>
      <modifiedWord/>
      <trackRevisions>false</trackRevisions>
    </reviewItem>
    <reviewItem>
      <errorID>2ca710df-5089-4a76-9b68-7b2caeacda3f</errorID>
      <errorWord>(</errorWord>
      <group>L1_Format</group>
      <groupName>格式问题</groupName>
      <ability>L2_HalfPunc_CN</ability>
      <abilityName>全半角问题</abilityName>
      <candidateList>
        <item>（</item>
      </candidateList>
      <explain>文本全半角错误。</explain>
      <paraID>57C1802D</paraID>
      <start>2</start>
      <end>3</end>
      <status>unmodified</status>
      <modifiedWord/>
      <trackRevisions>false</trackRevisions>
    </reviewItem>
    <reviewItem>
      <errorID>50400c48-fe4b-41be-ad13-271e4e52e180</errorID>
      <errorWord>)</errorWord>
      <group>L1_Format</group>
      <groupName>格式问题</groupName>
      <ability>L2_HalfPunc_CN</ability>
      <abilityName>全半角问题</abilityName>
      <candidateList>
        <item>）</item>
      </candidateList>
      <explain>文本全半角错误。</explain>
      <paraID>57C1802D</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6850D2FF-67F4-4EE1-AFE1-715EEFA17DC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刘伟佳</cp:lastModifiedBy>
  <cp:revision>7</cp:revision>
  <dcterms:created xsi:type="dcterms:W3CDTF">2026-09-02T02:08:00Z</dcterms:created>
  <dcterms:modified xsi:type="dcterms:W3CDTF">2026-09-24T06:49:43Z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eyJoZGlkIjoiOTRkYjc0MmIwMDBjNjZlZjJmODlhZjkwNzdhNGQ1OGYiLCJ1c2VySWQiOiI1MzM1OTQxMzcifQ==</vt:lpwstr>
  </property>
  <property fmtid="{D5CDD505-2E9C-101B-9397-08002B2CF9AE}" pid="3" name="KSOProductBuildVer">
    <vt:lpwstr>2052-12.1.0.28505</vt:lpwstr>
  </property>
  <property fmtid="{D5CDD505-2E9C-101B-9397-08002B2CF9AE}" pid="4" name="ICV">
    <vt:lpwstr>BF54DF99410C4F7096C1F1E0C9AE61C4</vt:lpwstr>
  </property>
</Properties>
</file>