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JSZC-320500-JZCG-C2026-0252</w:t>
      </w:r>
      <w:r/>
    </w:p>
    <w:p>
      <w:pPr>
        <w:ind w:firstLine="1285"/>
        <w:jc w:val="left"/>
        <w:spacing w:line="480" w:lineRule="auto"/>
        <w:rPr>
          <w:rFonts w:ascii="Times New Roman" w:hAnsi="Times New Roman"/>
          <w:sz w:val="32"/>
        </w:rPr>
      </w:pPr>
      <w:r>
        <w:rPr>
          <w:rFonts w:ascii="Times New Roman" w:hAnsi="Times New Roman"/>
          <w:b/>
          <w:sz w:val="32"/>
        </w:rPr>
        <w:t xml:space="preserve">采购单位</w:t>
      </w:r>
      <w:r>
        <w:rPr>
          <w:rFonts w:hint="eastAsia" w:ascii="Times New Roman" w:hAnsi="Times New Roman"/>
          <w:b/>
          <w:sz w:val="32"/>
        </w:rPr>
        <w:t xml:space="preserve">：苏州市第五人民医院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GCP</w:t>
      </w:r>
      <w:r>
        <w:rPr>
          <w:rFonts w:hint="eastAsia" w:ascii="Times New Roman" w:hAnsi="Times New Roman"/>
          <w:b/>
          <w:sz w:val="32"/>
        </w:rPr>
        <w:t xml:space="preserve">业务系统</w:t>
      </w:r>
      <w:r>
        <w:rPr>
          <w:rFonts w:hint="eastAsia" w:ascii="Times New Roman" w:hAnsi="Times New Roman"/>
          <w:b/>
          <w:sz w:val="32"/>
        </w:rPr>
        <w:t xml:space="preserve">(</w:t>
      </w:r>
      <w:r>
        <w:rPr>
          <w:rFonts w:hint="eastAsia" w:ascii="Times New Roman" w:hAnsi="Times New Roman"/>
          <w:b/>
          <w:sz w:val="32"/>
        </w:rPr>
        <w:t xml:space="preserve">临床试验项目管理系统、伦理审查系统、</w:t>
      </w:r>
      <w:r>
        <w:rPr>
          <w:rFonts w:hint="eastAsia" w:ascii="Times New Roman" w:hAnsi="Times New Roman"/>
          <w:b/>
          <w:sz w:val="32"/>
        </w:rPr>
        <w:t xml:space="preserve">I</w:t>
      </w:r>
      <w:r>
        <w:rPr>
          <w:rFonts w:hint="eastAsia" w:ascii="Times New Roman" w:hAnsi="Times New Roman"/>
          <w:b/>
          <w:sz w:val="32"/>
        </w:rPr>
        <w:t xml:space="preserve">期临床研究管理系统等</w:t>
      </w:r>
      <w:r>
        <w:rPr>
          <w:rFonts w:hint="eastAsia" w:ascii="Times New Roman" w:hAnsi="Times New Roman"/>
          <w:b/>
          <w:sz w:val="32"/>
        </w:rPr>
        <w:t xml:space="preserve">)</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 </w:t>
      </w:r>
      <w:r>
        <w:rPr>
          <w:rFonts w:ascii="宋体" w:hAnsi="宋体" w:cs="宋体"/>
          <w:b/>
          <w:sz w:val="32"/>
        </w:rPr>
        <w:t xml:space="preserve">10</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8"/>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1059"/>
            <w:b w:val="0"/>
            <w:sz w:val="32"/>
            <w:szCs w:val="32"/>
          </w:rPr>
          <w:t xml:space="preserve">第一章</w:t>
        </w:r>
        <w:r>
          <w:rPr>
            <w:rStyle w:val="1059"/>
            <w:b w:val="0"/>
            <w:sz w:val="32"/>
            <w:szCs w:val="32"/>
          </w:rPr>
          <w:t xml:space="preserve"> </w:t>
        </w:r>
        <w:r>
          <w:rPr>
            <w:rStyle w:val="1059"/>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1059"/>
            <w:b w:val="0"/>
            <w:sz w:val="32"/>
            <w:szCs w:val="32"/>
          </w:rPr>
          <w:t xml:space="preserve">第二章</w:t>
        </w:r>
        <w:r>
          <w:rPr>
            <w:rStyle w:val="1059"/>
            <w:b w:val="0"/>
            <w:sz w:val="32"/>
            <w:szCs w:val="32"/>
          </w:rPr>
          <w:t xml:space="preserve"> </w:t>
        </w:r>
        <w:r>
          <w:rPr>
            <w:rStyle w:val="1059"/>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1059"/>
            <w:b w:val="0"/>
            <w:sz w:val="32"/>
            <w:szCs w:val="32"/>
          </w:rPr>
          <w:t xml:space="preserve">第三章</w:t>
        </w:r>
        <w:r>
          <w:rPr>
            <w:rStyle w:val="1059"/>
            <w:b w:val="0"/>
            <w:sz w:val="32"/>
            <w:szCs w:val="32"/>
          </w:rPr>
          <w:t xml:space="preserve"> </w:t>
        </w:r>
        <w:r>
          <w:rPr>
            <w:rStyle w:val="1059"/>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1059"/>
            <w:b w:val="0"/>
            <w:sz w:val="32"/>
            <w:szCs w:val="32"/>
          </w:rPr>
          <w:t xml:space="preserve">第四章</w:t>
        </w:r>
        <w:r>
          <w:rPr>
            <w:rStyle w:val="1059"/>
            <w:b w:val="0"/>
            <w:sz w:val="32"/>
            <w:szCs w:val="32"/>
          </w:rPr>
          <w:t xml:space="preserve"> </w:t>
        </w:r>
        <w:r>
          <w:rPr>
            <w:rStyle w:val="1059"/>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1059"/>
            <w:b w:val="0"/>
            <w:sz w:val="32"/>
            <w:szCs w:val="32"/>
          </w:rPr>
          <w:t xml:space="preserve">第五章</w:t>
        </w:r>
        <w:r>
          <w:rPr>
            <w:rStyle w:val="1059"/>
            <w:b w:val="0"/>
            <w:sz w:val="32"/>
            <w:szCs w:val="32"/>
          </w:rPr>
          <w:t xml:space="preserve"> </w:t>
        </w:r>
        <w:r>
          <w:rPr>
            <w:rStyle w:val="1059"/>
            <w:b w:val="0"/>
            <w:sz w:val="32"/>
            <w:szCs w:val="32"/>
          </w:rPr>
          <w:t xml:space="preserve">合同及主要条款</w:t>
        </w:r>
        <w:r>
          <w:rPr>
            <w:b w:val="0"/>
            <w:sz w:val="32"/>
            <w:szCs w:val="32"/>
          </w:rPr>
          <w:tab/>
          <w:t xml:space="preserve">59</w:t>
        </w:r>
      </w:hyperlink>
      <w:r/>
      <w:r/>
    </w:p>
    <w:p>
      <w:pPr>
        <w:pStyle w:val="1028"/>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1059"/>
            <w:b w:val="0"/>
            <w:sz w:val="32"/>
            <w:szCs w:val="32"/>
          </w:rPr>
          <w:t xml:space="preserve">第六章</w:t>
        </w:r>
        <w:r>
          <w:rPr>
            <w:rStyle w:val="1059"/>
            <w:b w:val="0"/>
            <w:sz w:val="32"/>
            <w:szCs w:val="32"/>
          </w:rPr>
          <w:t xml:space="preserve"> </w:t>
        </w:r>
        <w:r>
          <w:rPr>
            <w:rStyle w:val="1059"/>
            <w:b w:val="0"/>
            <w:sz w:val="32"/>
            <w:szCs w:val="32"/>
          </w:rPr>
          <w:t xml:space="preserve">评审办法和评分标准</w:t>
        </w:r>
        <w:r>
          <w:rPr>
            <w:b w:val="0"/>
            <w:sz w:val="32"/>
            <w:szCs w:val="32"/>
          </w:rPr>
          <w:tab/>
          <w:t xml:space="preserve">67</w:t>
        </w:r>
      </w:hyperlink>
      <w:r/>
      <w:r/>
    </w:p>
    <w:p>
      <w:pPr>
        <w:pStyle w:val="1028"/>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2642"/>
      <w:r/>
      <w:bookmarkStart w:id="2" w:name="_Toc16121"/>
      <w:r/>
      <w:bookmarkStart w:id="3" w:name="_Toc1568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JSZC-320500-JZCG-C2026-0252</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GCP业务系统(临床试验项目管理系统、伦理审查系统、I期临床研究管理系统等)</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江工</w:t>
            </w:r>
            <w:r/>
          </w:p>
          <w:p>
            <w:pPr>
              <w:pStyle w:val="1054"/>
              <w:ind w:left="0" w:firstLine="0"/>
            </w:pPr>
            <w:r>
              <w:rPr>
                <w:rFonts w:hint="eastAsia" w:ascii="宋体" w:hAnsi="宋体"/>
                <w:szCs w:val="21"/>
              </w:rPr>
              <w:t xml:space="preserve">联系电话：0</w:t>
            </w:r>
            <w:r>
              <w:rPr>
                <w:rFonts w:ascii="宋体" w:hAnsi="宋体"/>
                <w:szCs w:val="21"/>
              </w:rPr>
              <w:t xml:space="preserve">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名称：苏州市第五人民医院</w:t>
            </w:r>
            <w:r/>
          </w:p>
          <w:p>
            <w:pPr>
              <w:ind w:left="0"/>
              <w:jc w:val="left"/>
              <w:spacing w:line="312" w:lineRule="auto"/>
              <w:rPr>
                <w:rFonts w:ascii="宋体" w:hAnsi="宋体"/>
                <w:sz w:val="21"/>
                <w:szCs w:val="21"/>
              </w:rPr>
            </w:pPr>
            <w:r>
              <w:rPr>
                <w:rFonts w:hint="eastAsia" w:ascii="宋体" w:hAnsi="宋体"/>
                <w:sz w:val="21"/>
                <w:szCs w:val="21"/>
              </w:rPr>
              <w:t xml:space="preserve">地址：苏州市相城区广前路10号</w:t>
            </w:r>
            <w:r/>
          </w:p>
          <w:p>
            <w:pPr>
              <w:ind w:left="0"/>
              <w:jc w:val="left"/>
              <w:spacing w:line="312" w:lineRule="auto"/>
              <w:rPr>
                <w:rFonts w:ascii="宋体" w:hAnsi="宋体"/>
                <w:sz w:val="21"/>
                <w:szCs w:val="21"/>
              </w:rPr>
            </w:pPr>
            <w:r>
              <w:rPr>
                <w:rFonts w:hint="eastAsia" w:ascii="宋体" w:hAnsi="宋体"/>
                <w:sz w:val="21"/>
                <w:szCs w:val="21"/>
              </w:rPr>
              <w:t xml:space="preserve">联系人：顾利青</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13913137101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28592"/>
            <w:r/>
            <w:bookmarkStart w:id="5" w:name="_Toc58248879"/>
            <w:r/>
            <w:bookmarkStart w:id="6" w:name="_Toc57376405"/>
            <w:r/>
            <w:bookmarkStart w:id="7" w:name="_Toc7166"/>
            <w:r/>
            <w:bookmarkStart w:id="8" w:name="_Toc68611034"/>
            <w:r/>
            <w:bookmarkStart w:id="9"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 11 月 03 日 09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11 月 03 日 09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7"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11 月 03 日 09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highlight w:val="none"/>
              </w:rPr>
              <w:t xml:space="preserve">合同金额的1</w:t>
            </w:r>
            <w:r>
              <w:rPr>
                <w:rFonts w:ascii="宋体" w:hAnsi="宋体" w:cs="宋体"/>
                <w:sz w:val="21"/>
                <w:szCs w:val="21"/>
                <w:highlight w:val="none"/>
              </w:rPr>
              <w:t xml:space="preserve">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4"/>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4"/>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6"/>
        <w:ind w:left="0" w:firstLine="0"/>
        <w:jc w:val="center"/>
        <w:spacing w:line="480" w:lineRule="auto"/>
        <w:rPr>
          <w:b/>
          <w:sz w:val="44"/>
          <w:szCs w:val="44"/>
        </w:rPr>
      </w:pPr>
      <w:r>
        <w:rPr>
          <w:rFonts w:hint="eastAsia"/>
          <w:b/>
          <w:sz w:val="44"/>
          <w:szCs w:val="44"/>
        </w:rPr>
        <w:br w:type="page" w:clear="all"/>
      </w:r>
      <w:bookmarkStart w:id="10"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16571"/>
      <w:r/>
      <w:bookmarkStart w:id="12" w:name="_Toc3644"/>
      <w:r/>
      <w:bookmarkStart w:id="13" w:name="_Toc58248880"/>
      <w:r/>
      <w:bookmarkStart w:id="14" w:name="_Toc2412"/>
      <w:r/>
      <w:bookmarkStart w:id="15" w:name="_Toc57376406"/>
      <w:r/>
      <w:bookmarkStart w:id="16" w:name="_Toc6217"/>
      <w:r>
        <w:rPr>
          <w:rFonts w:hint="eastAsia" w:ascii="宋体" w:hAnsi="宋体"/>
          <w:b/>
          <w:sz w:val="21"/>
          <w:szCs w:val="21"/>
        </w:rPr>
        <w:t xml:space="preserve">项目概况：</w:t>
      </w:r>
      <w:r>
        <w:rPr>
          <w:rFonts w:hint="eastAsia" w:ascii="宋体" w:hAnsi="宋体"/>
          <w:b/>
          <w:sz w:val="21"/>
          <w:szCs w:val="21"/>
          <w:u w:val="single"/>
        </w:rPr>
        <w:t xml:space="preserve"> GCP业务系统(临床试验项目管理系统、伦理审查系统、I期临床研究管理系统等)</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w:t>
      </w:r>
      <w:r>
        <w:rPr>
          <w:rFonts w:hint="eastAsia" w:ascii="宋体" w:hAnsi="宋体"/>
          <w:b/>
          <w:sz w:val="21"/>
          <w:szCs w:val="21"/>
          <w:u w:val="single"/>
        </w:rPr>
        <w:t xml:space="preserve">11月</w:t>
      </w:r>
      <w:r>
        <w:rPr>
          <w:rFonts w:ascii="宋体" w:hAnsi="宋体"/>
          <w:b/>
          <w:sz w:val="21"/>
          <w:szCs w:val="21"/>
          <w:u w:val="single"/>
        </w:rPr>
        <w:t xml:space="preserve"> 03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 30</w:t>
      </w:r>
      <w:r>
        <w:rPr>
          <w:rFonts w:ascii="宋体" w:hAnsi="宋体"/>
          <w:b/>
          <w:sz w:val="21"/>
          <w:szCs w:val="21"/>
          <w:u w:val="single"/>
        </w:rPr>
        <w:t xml:space="preserve">  </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r/>
      <w:bookmarkEnd w:id="12"/>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JSZC-320500-JZCG-C2026-0252</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2、项目名称：GCP业务系统(临床试验项目管理系统、伦理审查系统、I期临床研究管理系统等)</w:t>
      </w:r>
      <w:r>
        <w:rPr>
          <w:rFonts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4、预算金额：人民币壹佰肆拾伍万元整（¥</w:t>
      </w:r>
      <w:r>
        <w:rPr>
          <w:rFonts w:ascii="宋体" w:hAnsi="宋体" w:cs="宋体"/>
          <w:bCs/>
          <w:sz w:val="21"/>
          <w:szCs w:val="21"/>
        </w:rPr>
        <w:t xml:space="preserve">1450000.00</w:t>
      </w:r>
      <w:r>
        <w:rPr>
          <w:rFonts w:hint="eastAsia" w:ascii="宋体" w:hAnsi="宋体" w:cs="宋体"/>
          <w:bCs/>
          <w:sz w:val="21"/>
          <w:szCs w:val="21"/>
        </w:rPr>
        <w:t xml:space="preserve">）</w:t>
      </w:r>
      <w:r>
        <w:rPr>
          <w:rFonts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5、最高限价：人民币壹佰肆拾伍万元整（¥</w:t>
      </w:r>
      <w:r>
        <w:rPr>
          <w:rFonts w:ascii="宋体" w:hAnsi="宋体" w:cs="宋体"/>
          <w:bCs/>
          <w:sz w:val="21"/>
          <w:szCs w:val="21"/>
        </w:rPr>
        <w:t xml:space="preserve">1450000.00</w:t>
      </w:r>
      <w:r>
        <w:rPr>
          <w:rFonts w:hint="eastAsia" w:ascii="宋体" w:hAnsi="宋体" w:cs="宋体"/>
          <w:bCs/>
          <w:sz w:val="21"/>
          <w:szCs w:val="21"/>
        </w:rPr>
        <w:t xml:space="preserve">）</w:t>
      </w:r>
      <w:r>
        <w:rPr>
          <w:rFonts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Times New Roman" w:hAnsi="Times New Roman"/>
          <w:sz w:val="21"/>
        </w:rPr>
        <w:t xml:space="preserve">签订合同后</w:t>
      </w:r>
      <w:r>
        <w:rPr>
          <w:rFonts w:ascii="Times New Roman" w:hAnsi="Times New Roman"/>
          <w:sz w:val="21"/>
        </w:rPr>
        <w:t xml:space="preserve">2</w:t>
      </w:r>
      <w:r>
        <w:rPr>
          <w:rFonts w:hint="eastAsia" w:ascii="Times New Roman" w:hAnsi="Times New Roman"/>
          <w:sz w:val="21"/>
        </w:rPr>
        <w:t xml:space="preserve">个月内完成系统安装调试并投入业务试运行。</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7、采购需求：GCP业务系统(临床试验项目管理系统、伦理审查系统、I期临床研究管理系统等)（详见采购文件第四章）</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13"/>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13"/>
        <w:ind w:left="0" w:firstLine="420"/>
        <w:spacing w:line="360" w:lineRule="auto"/>
        <w:rPr>
          <w:rFonts w:ascii="宋体" w:hAnsi="宋体"/>
          <w:b/>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3"/>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 11 月 03 日 09 点 30 分</w:t>
      </w:r>
      <w:r>
        <w:rPr>
          <w:rFonts w:hint="eastAsia" w:ascii="宋体" w:hAnsi="宋体" w:cs="宋体"/>
          <w:bCs/>
          <w:sz w:val="21"/>
          <w:szCs w:val="21"/>
        </w:rPr>
        <w:t xml:space="preserve">（北京时间）；</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13"/>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 11 月 03 日 09 点 30 分</w:t>
      </w:r>
      <w:r>
        <w:rPr>
          <w:rFonts w:hint="eastAsia" w:ascii="宋体" w:hAnsi="宋体" w:cs="宋体"/>
          <w:bCs/>
          <w:sz w:val="21"/>
          <w:szCs w:val="21"/>
        </w:rPr>
        <w:t xml:space="preserve">（北京时间）；</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13"/>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3"/>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名称：苏州市第五人民医院  </w:t>
      </w:r>
      <w:r>
        <w:rPr>
          <w:rFonts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地址：苏州市相城区广前路10号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联系人：顾利青</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13913137101</w:t>
      </w:r>
      <w:r>
        <w:rPr>
          <w:rFonts w:hint="eastAsia"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联系方式：0</w:t>
      </w:r>
      <w:r>
        <w:rPr>
          <w:rFonts w:ascii="宋体" w:hAnsi="宋体" w:cs="宋体"/>
          <w:bCs/>
          <w:sz w:val="21"/>
          <w:szCs w:val="21"/>
        </w:rPr>
        <w:t xml:space="preserve">512-69820710</w:t>
      </w:r>
      <w:r>
        <w:rPr>
          <w:rFonts w:hint="eastAsia" w:ascii="宋体" w:hAnsi="宋体" w:cs="宋体"/>
          <w:bCs/>
          <w:sz w:val="21"/>
          <w:szCs w:val="21"/>
        </w:rPr>
        <w:t xml:space="preserve">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项目联系人：江工 </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电话：0</w:t>
      </w:r>
      <w:r>
        <w:rPr>
          <w:rFonts w:ascii="宋体" w:hAnsi="宋体" w:cs="宋体"/>
          <w:bCs/>
          <w:sz w:val="21"/>
          <w:szCs w:val="21"/>
        </w:rPr>
        <w:t xml:space="preserve">512-69820710</w:t>
      </w:r>
      <w:r/>
    </w:p>
    <w:p>
      <w:pPr>
        <w:ind w:left="0" w:firstLine="420"/>
        <w:spacing w:line="360" w:lineRule="auto"/>
        <w:rPr>
          <w:rFonts w:ascii="宋体" w:hAnsi="宋体"/>
          <w:sz w:val="21"/>
          <w:szCs w:val="21"/>
        </w:rPr>
      </w:pPr>
      <w:r>
        <w:rPr>
          <w:rFonts w:ascii="宋体" w:hAnsi="宋体"/>
          <w:sz w:val="21"/>
          <w:szCs w:val="21"/>
        </w:rPr>
      </w:r>
      <w:r/>
    </w:p>
    <w:p>
      <w:pPr>
        <w:pStyle w:val="996"/>
        <w:ind w:left="0" w:firstLine="0"/>
        <w:jc w:val="center"/>
        <w:spacing w:line="360" w:lineRule="auto"/>
        <w:rPr>
          <w:rFonts w:ascii="宋体" w:hAnsi="宋体"/>
          <w:b/>
          <w:sz w:val="44"/>
          <w:szCs w:val="44"/>
        </w:rPr>
      </w:pPr>
      <w:r>
        <w:rPr>
          <w:b/>
          <w:sz w:val="44"/>
          <w:szCs w:val="44"/>
        </w:rPr>
        <w:br w:type="page" w:clear="all"/>
      </w:r>
      <w:bookmarkStart w:id="17" w:name="_Toc167285804"/>
      <w:r/>
      <w:bookmarkStart w:id="18" w:name="_Toc68611035"/>
      <w:r/>
      <w:bookmarkStart w:id="19" w:name="_Toc11400"/>
      <w:r>
        <w:rPr>
          <w:rFonts w:hint="eastAsia"/>
          <w:b/>
          <w:sz w:val="44"/>
          <w:szCs w:val="44"/>
        </w:rPr>
        <w:t xml:space="preserve">第二章</w:t>
      </w:r>
      <w:r>
        <w:rPr>
          <w:rFonts w:hint="eastAsia"/>
          <w:b/>
          <w:sz w:val="44"/>
          <w:szCs w:val="44"/>
        </w:rPr>
        <w:t xml:space="preserve"> </w:t>
      </w:r>
      <w:bookmarkStart w:id="20" w:name="投标人须知"/>
      <w:r/>
      <w:bookmarkEnd w:id="20"/>
      <w:r>
        <w:rPr>
          <w:rFonts w:hint="eastAsia"/>
          <w:b/>
          <w:sz w:val="44"/>
          <w:szCs w:val="44"/>
        </w:rPr>
        <w:t xml:space="preserve">磋商须知</w:t>
      </w:r>
      <w:bookmarkEnd w:id="13"/>
      <w:r/>
      <w:bookmarkEnd w:id="14"/>
      <w:r/>
      <w:bookmarkEnd w:id="15"/>
      <w:r/>
      <w:bookmarkEnd w:id="16"/>
      <w:r/>
      <w:bookmarkEnd w:id="17"/>
      <w:r/>
      <w:bookmarkEnd w:id="18"/>
      <w:r/>
      <w:bookmarkEnd w:id="19"/>
      <w:r/>
      <w:r/>
    </w:p>
    <w:p>
      <w:pPr>
        <w:pStyle w:val="1013"/>
        <w:ind w:left="0" w:firstLine="422"/>
        <w:spacing w:line="360" w:lineRule="auto"/>
        <w:rPr>
          <w:rFonts w:ascii="宋体" w:hAnsi="宋体" w:cs="宋体"/>
          <w:b/>
          <w:sz w:val="21"/>
          <w:szCs w:val="21"/>
        </w:rPr>
      </w:pPr>
      <w:r/>
      <w:bookmarkStart w:id="21" w:name="_Toc24711"/>
      <w:r/>
      <w:bookmarkStart w:id="22" w:name="_Toc7264"/>
      <w:r/>
      <w:bookmarkStart w:id="23" w:name="_Toc57376407"/>
      <w:r/>
      <w:bookmarkStart w:id="24" w:name="_Toc58248881"/>
      <w:r>
        <w:rPr>
          <w:rFonts w:hint="eastAsia" w:ascii="宋体" w:hAnsi="宋体" w:cs="宋体"/>
          <w:b/>
          <w:sz w:val="21"/>
          <w:szCs w:val="21"/>
        </w:rPr>
        <w:t xml:space="preserve">一、响应文件的组成及要求</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101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13"/>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实质性响应内容</w:t>
      </w:r>
      <w:r>
        <w:rPr>
          <w:rFonts w:hint="eastAsia" w:ascii="宋体" w:hAnsi="宋体" w:cs="宋体"/>
          <w:b/>
          <w:sz w:val="21"/>
          <w:szCs w:val="21"/>
        </w:rPr>
        <w:t xml:space="preserve">(供应商根据采购文件中实质性响应内容制作)</w:t>
      </w:r>
      <w:r>
        <w:rPr>
          <w:rFonts w:hint="eastAsia" w:ascii="宋体" w:hAnsi="宋体" w:cs="宋体"/>
          <w:sz w:val="21"/>
          <w:szCs w:val="21"/>
        </w:rPr>
        <w:t xml:space="preserve">；</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1013"/>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1013"/>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13"/>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rPr>
        <w:t xml:space="preserve">6</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13"/>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13"/>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13"/>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pStyle w:val="1013"/>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13"/>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1013"/>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13"/>
        <w:ind w:left="0" w:firstLine="422"/>
        <w:spacing w:line="360" w:lineRule="auto"/>
        <w:rPr>
          <w:rFonts w:ascii="宋体" w:hAnsi="宋体" w:cs="宋体"/>
          <w:b/>
          <w:sz w:val="21"/>
          <w:szCs w:val="21"/>
        </w:rPr>
      </w:pPr>
      <w:r>
        <w:rPr>
          <w:rFonts w:ascii="宋体" w:hAnsi="宋体" w:cs="宋体"/>
          <w:b/>
          <w:sz w:val="21"/>
          <w:szCs w:val="21"/>
        </w:rPr>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1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13"/>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04"/>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1013"/>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13"/>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1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101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101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304"/>
        <w:ind w:left="0" w:firstLine="422"/>
        <w:spacing w:line="360" w:lineRule="auto"/>
        <w:rPr>
          <w:rFonts w:ascii="宋体" w:hAnsi="宋体" w:cs="宋体"/>
          <w:b/>
          <w:color w:val="000000" w:themeColor="text1"/>
          <w:sz w:val="21"/>
          <w:szCs w:val="21"/>
        </w:rPr>
      </w:pPr>
      <w:r/>
      <w:bookmarkStart w:id="25"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304"/>
        <w:ind w:left="0" w:firstLine="422"/>
        <w:spacing w:line="360" w:lineRule="auto"/>
        <w:rPr>
          <w:rFonts w:ascii="宋体" w:hAnsi="宋体" w:cs="宋体"/>
          <w:b/>
          <w:color w:val="000000" w:themeColor="text1"/>
          <w:sz w:val="21"/>
          <w:szCs w:val="21"/>
          <w:lang w:val="en-US"/>
        </w:rPr>
      </w:pPr>
      <w:r/>
      <w:bookmarkStart w:id="26" w:name="OLE_LINK36"/>
      <w:r/>
      <w:bookmarkEnd w:id="25"/>
      <w:r>
        <w:rPr>
          <w:rFonts w:ascii="宋体" w:hAnsi="宋体" w:cs="宋体"/>
          <w:b/>
          <w:color w:val="000000" w:themeColor="text1"/>
          <w:sz w:val="21"/>
          <w:szCs w:val="21"/>
          <w:lang w:val="en-US"/>
        </w:rPr>
        <w:t xml:space="preserve">11.</w:t>
      </w:r>
      <w:bookmarkEnd w:id="26"/>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3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（1）响应报价低于全部通过符合性审查供应商响应报价平均值50%的，即响应报价&lt;全部通过符合性审查供应商响应报价平均值×50%；</w:t>
      </w:r>
      <w:r/>
    </w:p>
    <w:p>
      <w:pPr>
        <w:pStyle w:val="13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（2）响应报价低于通过符合性审查的次低报价供应商响应报价50%的，即响应报价&lt;通过符合性审查的次低报价供应商响应报价×50%；</w:t>
      </w:r>
      <w:r/>
    </w:p>
    <w:p>
      <w:pPr>
        <w:pStyle w:val="13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27" w:name="OLE_LINK28"/>
      <w:r/>
      <w:bookmarkStart w:id="28" w:name="OLE_LINK27"/>
      <w:r>
        <w:rPr>
          <w:rFonts w:hint="eastAsia" w:ascii="宋体" w:hAnsi="宋体" w:cs="宋体"/>
          <w:b/>
          <w:color w:val="000000" w:themeColor="text1"/>
          <w:sz w:val="21"/>
          <w:szCs w:val="21"/>
          <w:lang w:val="en-US"/>
        </w:rPr>
        <w:t xml:space="preserve">响应报价</w:t>
      </w:r>
      <w:bookmarkEnd w:id="27"/>
      <w:r/>
      <w:bookmarkEnd w:id="28"/>
      <w:r>
        <w:rPr>
          <w:rFonts w:hint="eastAsia" w:ascii="宋体" w:hAnsi="宋体" w:cs="宋体"/>
          <w:b/>
          <w:color w:val="000000" w:themeColor="text1"/>
          <w:sz w:val="21"/>
          <w:szCs w:val="21"/>
          <w:lang w:val="en-US"/>
        </w:rPr>
        <w:t xml:space="preserve">低于采购项目最高限价45%的，即响应报价&lt;采购项目最高限价×45%；</w:t>
      </w:r>
      <w:r/>
    </w:p>
    <w:p>
      <w:pPr>
        <w:pStyle w:val="13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29" w:name="OLE_LINK3"/>
      <w:r/>
      <w:bookmarkStart w:id="30" w:name="OLE_LINK4"/>
      <w:r>
        <w:rPr>
          <w:rFonts w:hint="eastAsia" w:ascii="宋体" w:hAnsi="宋体" w:cs="宋体"/>
          <w:b/>
          <w:color w:val="000000" w:themeColor="text1"/>
          <w:sz w:val="21"/>
          <w:szCs w:val="21"/>
          <w:lang w:val="en-US"/>
        </w:rPr>
        <w:t xml:space="preserve">磋商小组基于专业判断，认为供应商报价过低，有可能影响产品质量或者不能诚信履约的其他情形。</w:t>
      </w:r>
      <w:bookmarkEnd w:id="29"/>
      <w:r/>
      <w:bookmarkEnd w:id="30"/>
      <w:r/>
      <w:r/>
    </w:p>
    <w:p>
      <w:pPr>
        <w:pStyle w:val="1013"/>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2启动异常低价响应审查后，</w:t>
      </w:r>
      <w:bookmarkStart w:id="31" w:name="OLE_LINK44"/>
      <w:r/>
      <w:bookmarkStart w:id="32" w:name="OLE_LINK37"/>
      <w:r>
        <w:rPr>
          <w:rFonts w:hint="eastAsia" w:ascii="宋体" w:hAnsi="宋体"/>
          <w:b/>
          <w:color w:val="000000" w:themeColor="text1"/>
          <w:sz w:val="21"/>
          <w:szCs w:val="21"/>
        </w:rPr>
        <w:t xml:space="preserve">磋商小组</w:t>
      </w:r>
      <w:bookmarkEnd w:id="31"/>
      <w:r/>
      <w:bookmarkEnd w:id="32"/>
      <w:r>
        <w:rPr>
          <w:rFonts w:hint="eastAsia" w:ascii="宋体" w:hAnsi="宋体"/>
          <w:b/>
          <w:color w:val="000000" w:themeColor="text1"/>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.1第（3）项情形，供应商已随响应文件一并提交相关书面说明及必要的证明材料的，在评审现场可不再重复提交。</w:t>
      </w:r>
      <w:r/>
    </w:p>
    <w:p>
      <w:pPr>
        <w:pStyle w:val="1013"/>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3" w:name="OLE_LINK47"/>
      <w:r/>
      <w:bookmarkStart w:id="34" w:name="OLE_LINK46"/>
      <w:r/>
      <w:bookmarkStart w:id="35" w:name="OLE_LINK45"/>
      <w:r>
        <w:rPr>
          <w:rFonts w:hint="eastAsia" w:ascii="宋体" w:hAnsi="宋体"/>
          <w:b/>
          <w:color w:val="000000" w:themeColor="text1"/>
          <w:sz w:val="21"/>
          <w:szCs w:val="21"/>
        </w:rPr>
        <w:t xml:space="preserve">磋商小组</w:t>
      </w:r>
      <w:bookmarkEnd w:id="33"/>
      <w:r/>
      <w:bookmarkEnd w:id="34"/>
      <w:r/>
      <w:bookmarkEnd w:id="35"/>
      <w:r>
        <w:rPr>
          <w:rFonts w:hint="eastAsia" w:ascii="宋体" w:hAnsi="宋体"/>
          <w:b/>
          <w:color w:val="000000" w:themeColor="text1"/>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w:t>
      </w:r>
      <w:r>
        <w:rPr>
          <w:rFonts w:hint="eastAsia" w:ascii="宋体" w:hAnsi="宋体"/>
          <w:b/>
          <w:color w:val="000000" w:themeColor="text1"/>
          <w:sz w:val="21"/>
          <w:szCs w:val="21"/>
        </w:rPr>
        <w:t xml:space="preserve">明、证明材料，或者提供的书面说明、证明材料不能证明其报价合理性的，磋商小组应当将其作为无效响应处理。</w:t>
      </w:r>
      <w:r/>
    </w:p>
    <w:p>
      <w:pPr>
        <w:pStyle w:val="1013"/>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013"/>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304"/>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1013"/>
        <w:ind w:left="0" w:firstLine="422"/>
        <w:spacing w:line="360" w:lineRule="auto"/>
        <w:rPr>
          <w:rFonts w:ascii="宋体" w:hAnsi="宋体" w:cs="宋体"/>
          <w:b/>
          <w:sz w:val="21"/>
          <w:szCs w:val="21"/>
        </w:rPr>
      </w:pPr>
      <w:r>
        <w:rPr>
          <w:rFonts w:ascii="宋体" w:hAnsi="宋体" w:cs="宋体"/>
          <w:b/>
          <w:sz w:val="21"/>
          <w:szCs w:val="21"/>
        </w:rPr>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13"/>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3"/>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1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1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3"/>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6" w:name="OLE_LINK42"/>
      <w:r/>
      <w:bookmarkStart w:id="37" w:name="OLE_LINK41"/>
      <w:r>
        <w:rPr>
          <w:rFonts w:hint="eastAsia" w:ascii="宋体" w:hAnsi="宋体"/>
          <w:b/>
          <w:sz w:val="21"/>
          <w:szCs w:val="21"/>
        </w:rPr>
        <w:t xml:space="preserve">请将</w:t>
      </w:r>
      <w:r>
        <w:rPr>
          <w:rFonts w:hint="eastAsia" w:ascii="宋体" w:hAnsi="宋体"/>
          <w:b/>
          <w:sz w:val="21"/>
          <w:szCs w:val="21"/>
        </w:rPr>
        <w:t xml:space="preserve">合法获取采购文件的证明材料（即《投标供应商确认函》）、</w:t>
      </w:r>
      <w:bookmarkStart w:id="3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6"/>
      <w:r/>
      <w:bookmarkEnd w:id="37"/>
      <w:r/>
      <w:bookmarkEnd w:id="38"/>
      <w:r>
        <w:rPr>
          <w:rFonts w:hint="eastAsia" w:ascii="宋体" w:hAnsi="宋体"/>
          <w:b/>
          <w:sz w:val="21"/>
          <w:szCs w:val="21"/>
        </w:rPr>
        <w:t xml:space="preserve">与质疑函一起递交，否则不予受理。</w:t>
      </w:r>
      <w:r/>
    </w:p>
    <w:p>
      <w:pPr>
        <w:pStyle w:val="1013"/>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1013"/>
        <w:ind w:left="0" w:firstLine="422"/>
        <w:spacing w:line="360" w:lineRule="auto"/>
        <w:rPr>
          <w:rFonts w:ascii="宋体" w:hAnsi="宋体" w:cs="宋体"/>
          <w:b/>
          <w:sz w:val="21"/>
          <w:szCs w:val="21"/>
        </w:rPr>
      </w:pPr>
      <w:r/>
      <w:bookmarkStart w:id="39" w:name="OLE_LINK38"/>
      <w:r/>
      <w:bookmarkStart w:id="40" w:name="OLE_LINK32"/>
      <w:r/>
      <w:bookmarkStart w:id="41" w:name="OLE_LINK33"/>
      <w:r/>
      <w:bookmarkStart w:id="42" w:name="OLE_LINK19"/>
      <w:r/>
      <w:bookmarkStart w:id="43" w:name="OLE_LINK22"/>
      <w:r/>
      <w:bookmarkStart w:id="44" w:name="OLE_LINK35"/>
      <w:r>
        <w:rPr>
          <w:rFonts w:hint="eastAsia" w:ascii="宋体" w:hAnsi="宋体" w:cs="宋体"/>
          <w:b/>
          <w:sz w:val="21"/>
          <w:szCs w:val="21"/>
        </w:rPr>
        <w:t xml:space="preserve">联系电话：0512-69826795</w:t>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联系地址：苏州高新区邓尉路105号狮山科技馆7楼7</w:t>
      </w:r>
      <w:r>
        <w:rPr>
          <w:rFonts w:ascii="宋体" w:hAnsi="宋体" w:cs="宋体"/>
          <w:b/>
          <w:sz w:val="21"/>
          <w:szCs w:val="21"/>
        </w:rPr>
        <w:t xml:space="preserve">17</w:t>
      </w:r>
      <w:r>
        <w:rPr>
          <w:rFonts w:hint="eastAsia" w:ascii="宋体" w:hAnsi="宋体" w:cs="宋体"/>
          <w:b/>
          <w:sz w:val="21"/>
          <w:szCs w:val="21"/>
        </w:rPr>
        <w:t xml:space="preserve">室</w:t>
      </w:r>
      <w:bookmarkEnd w:id="39"/>
      <w:r/>
      <w:bookmarkEnd w:id="40"/>
      <w:r/>
      <w:bookmarkEnd w:id="41"/>
      <w:r/>
      <w:bookmarkEnd w:id="42"/>
      <w:r/>
      <w:bookmarkEnd w:id="43"/>
      <w:r/>
      <w:bookmarkEnd w:id="44"/>
      <w:r/>
      <w:r/>
    </w:p>
    <w:p>
      <w:pPr>
        <w:rPr>
          <w:lang w:val="zh-CN"/>
        </w:rPr>
      </w:pPr>
      <w:r>
        <w:rPr>
          <w:lang w:val="zh-CN"/>
        </w:rPr>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13"/>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13"/>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13"/>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13"/>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13"/>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13"/>
        <w:ind w:left="0" w:firstLine="422"/>
        <w:spacing w:line="360" w:lineRule="auto"/>
        <w:rPr>
          <w:rFonts w:ascii="宋体" w:hAnsi="宋体" w:cs="宋体"/>
          <w:b/>
          <w:sz w:val="21"/>
          <w:szCs w:val="21"/>
        </w:rPr>
      </w:pPr>
      <w:r>
        <w:rPr>
          <w:rFonts w:ascii="宋体" w:hAnsi="宋体" w:cs="宋体"/>
          <w:b/>
          <w:sz w:val="21"/>
          <w:szCs w:val="21"/>
        </w:rPr>
      </w:r>
      <w:r/>
    </w:p>
    <w:p>
      <w:pPr>
        <w:pStyle w:val="1013"/>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1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1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13"/>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w:t>
      </w:r>
      <w:r>
        <w:rPr>
          <w:rFonts w:hint="eastAsia" w:ascii="宋体" w:hAnsi="宋体"/>
          <w:b/>
          <w:sz w:val="21"/>
        </w:rPr>
        <w:t xml:space="preserve">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996"/>
        <w:ind w:left="0" w:firstLine="0"/>
        <w:jc w:val="center"/>
        <w:rPr>
          <w:rFonts w:ascii="宋体" w:hAnsi="宋体" w:cs="宋体"/>
          <w:b/>
          <w:sz w:val="44"/>
          <w:szCs w:val="44"/>
          <w:lang w:val="zh-CN"/>
        </w:rPr>
      </w:pPr>
      <w:r>
        <w:rPr>
          <w:b/>
          <w:sz w:val="44"/>
          <w:szCs w:val="44"/>
        </w:rPr>
        <w:br w:type="page" w:clear="all"/>
      </w:r>
      <w:bookmarkStart w:id="45" w:name="_Toc167285805"/>
      <w:r/>
      <w:bookmarkStart w:id="46" w:name="_Toc68611036"/>
      <w:r/>
      <w:bookmarkStart w:id="47" w:name="_Toc14106"/>
      <w:r/>
      <w:bookmarkStart w:id="48" w:name="_Toc58248882"/>
      <w:r/>
      <w:bookmarkStart w:id="49" w:name="_Toc57376408"/>
      <w:r/>
      <w:bookmarkStart w:id="50" w:name="_Toc23660"/>
      <w:r/>
      <w:bookmarkStart w:id="51" w:name="_Toc4098"/>
      <w:r/>
      <w:bookmarkStart w:id="52" w:name="_Toc6898"/>
      <w:r/>
      <w:bookmarkStart w:id="53" w:name="_Toc68611037"/>
      <w:r/>
      <w:bookmarkEnd w:id="21"/>
      <w:r/>
      <w:bookmarkEnd w:id="22"/>
      <w:r/>
      <w:bookmarkEnd w:id="23"/>
      <w:r/>
      <w:bookmarkEnd w:id="24"/>
      <w:r>
        <w:rPr>
          <w:rFonts w:hint="eastAsia"/>
          <w:b/>
          <w:sz w:val="44"/>
          <w:szCs w:val="44"/>
        </w:rPr>
        <w:t xml:space="preserve">第三章</w:t>
      </w:r>
      <w:bookmarkStart w:id="54" w:name="投标文件格式"/>
      <w:r/>
      <w:bookmarkEnd w:id="54"/>
      <w:r>
        <w:rPr>
          <w:b/>
          <w:sz w:val="44"/>
          <w:szCs w:val="44"/>
        </w:rPr>
        <w:t xml:space="preserve"> </w:t>
      </w:r>
      <w:r>
        <w:rPr>
          <w:rFonts w:hint="eastAsia"/>
          <w:b/>
          <w:sz w:val="44"/>
          <w:szCs w:val="44"/>
        </w:rPr>
        <w:t xml:space="preserve">响应文件格式</w:t>
      </w:r>
      <w:bookmarkEnd w:id="45"/>
      <w:r/>
      <w:bookmarkEnd w:id="46"/>
      <w:r/>
      <w:bookmarkEnd w:id="47"/>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4"/>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5" w:name="_Toc17036"/>
      <w:r/>
      <w:bookmarkStart w:id="56" w:name="_Toc3821"/>
      <w:r/>
      <w:r/>
    </w:p>
    <w:p>
      <w:pPr>
        <w:ind w:left="0"/>
        <w:rPr>
          <w:rFonts w:ascii="宋体" w:hAnsi="宋体"/>
          <w:b/>
          <w:sz w:val="21"/>
          <w:szCs w:val="21"/>
        </w:rPr>
      </w:pPr>
      <w:r>
        <w:rPr>
          <w:rFonts w:ascii="宋体" w:hAnsi="宋体"/>
          <w:b/>
          <w:sz w:val="21"/>
          <w:szCs w:val="21"/>
        </w:rPr>
      </w:r>
      <w:r/>
    </w:p>
    <w:p>
      <w:pPr>
        <w:pStyle w:val="996"/>
        <w:ind w:left="0" w:firstLine="0"/>
        <w:spacing w:before="0" w:after="0" w:line="360" w:lineRule="auto"/>
        <w:rPr>
          <w:rFonts w:ascii="宋体" w:hAnsi="宋体"/>
          <w:b/>
          <w:sz w:val="21"/>
          <w:szCs w:val="21"/>
        </w:rPr>
      </w:pPr>
      <w:r/>
      <w:bookmarkStart w:id="57" w:name="_Toc167285806"/>
      <w:r>
        <w:rPr>
          <w:rFonts w:ascii="宋体" w:hAnsi="宋体"/>
          <w:b/>
          <w:sz w:val="21"/>
          <w:szCs w:val="21"/>
        </w:rPr>
        <w:t xml:space="preserve">附件</w:t>
      </w:r>
      <w:r>
        <w:rPr>
          <w:rFonts w:hint="eastAsia" w:ascii="宋体" w:hAnsi="宋体"/>
          <w:b/>
          <w:sz w:val="21"/>
          <w:szCs w:val="21"/>
        </w:rPr>
        <w:t xml:space="preserve">1.开标一览表</w:t>
      </w:r>
      <w:bookmarkEnd w:id="57"/>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62"/>
        <w:ind w:left="0" w:firstLine="0"/>
      </w:pPr>
      <w:r/>
      <w:r/>
    </w:p>
    <w:p>
      <w:pPr>
        <w:pStyle w:val="1062"/>
        <w:ind w:left="0" w:firstLine="0"/>
      </w:pPr>
      <w:r/>
      <w:r/>
    </w:p>
    <w:p>
      <w:pPr>
        <w:pStyle w:val="1062"/>
        <w:ind w:left="0" w:firstLine="0"/>
        <w:rPr>
          <w:rFonts w:ascii="宋体" w:hAnsi="宋体"/>
          <w:sz w:val="21"/>
          <w:szCs w:val="21"/>
        </w:rPr>
      </w:pPr>
      <w:r>
        <w:rPr>
          <w:rFonts w:hint="eastAsia" w:ascii="宋体" w:hAnsi="宋体"/>
          <w:sz w:val="21"/>
          <w:szCs w:val="21"/>
        </w:rPr>
        <w:t xml:space="preserve">投标人全称（加盖公章）：</w:t>
      </w:r>
      <w:r/>
    </w:p>
    <w:p>
      <w:pPr>
        <w:pStyle w:val="1062"/>
        <w:ind w:left="0" w:firstLine="0"/>
        <w:rPr>
          <w:rFonts w:ascii="宋体" w:hAnsi="宋体"/>
          <w:sz w:val="21"/>
          <w:szCs w:val="21"/>
        </w:rPr>
      </w:pPr>
      <w:r>
        <w:rPr>
          <w:rFonts w:hint="eastAsia" w:ascii="宋体" w:hAnsi="宋体"/>
          <w:sz w:val="21"/>
          <w:szCs w:val="21"/>
        </w:rPr>
        <w:t xml:space="preserve">项目编号：</w:t>
      </w:r>
      <w:r/>
    </w:p>
    <w:p>
      <w:pPr>
        <w:pStyle w:val="1062"/>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996"/>
        <w:ind w:left="0" w:firstLine="0"/>
        <w:spacing w:before="0" w:after="0" w:line="360" w:lineRule="auto"/>
        <w:rPr>
          <w:rFonts w:ascii="宋体" w:hAnsi="宋体"/>
          <w:sz w:val="21"/>
          <w:szCs w:val="21"/>
        </w:rPr>
      </w:pPr>
      <w:r/>
      <w:bookmarkStart w:id="58"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8"/>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996"/>
        <w:ind w:left="0" w:firstLine="0"/>
        <w:spacing w:before="0" w:after="0" w:line="360" w:lineRule="auto"/>
        <w:rPr>
          <w:rFonts w:ascii="宋体" w:hAnsi="宋体"/>
          <w:b/>
          <w:sz w:val="21"/>
          <w:szCs w:val="21"/>
        </w:rPr>
      </w:pPr>
      <w:r/>
      <w:bookmarkStart w:id="59" w:name="_Toc167285809"/>
      <w:r>
        <w:rPr>
          <w:rFonts w:hint="eastAsia" w:ascii="宋体" w:hAnsi="宋体"/>
          <w:b/>
          <w:sz w:val="21"/>
          <w:szCs w:val="21"/>
        </w:rPr>
        <w:t xml:space="preserve">附件</w:t>
      </w:r>
      <w:bookmarkEnd w:id="55"/>
      <w:r/>
      <w:bookmarkEnd w:id="56"/>
      <w:r>
        <w:rPr>
          <w:rFonts w:ascii="宋体" w:hAnsi="宋体"/>
          <w:b/>
          <w:sz w:val="21"/>
          <w:szCs w:val="21"/>
        </w:rPr>
        <w:t xml:space="preserve">3</w:t>
      </w:r>
      <w:r>
        <w:rPr>
          <w:rFonts w:hint="eastAsia" w:ascii="宋体" w:hAnsi="宋体"/>
          <w:b/>
          <w:sz w:val="21"/>
          <w:szCs w:val="21"/>
        </w:rPr>
        <w:t xml:space="preserve">.磋商响应函</w:t>
      </w:r>
      <w:bookmarkEnd w:id="59"/>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6"/>
        <w:ind w:left="0" w:firstLine="0"/>
        <w:spacing w:before="0" w:after="0" w:line="360" w:lineRule="auto"/>
        <w:rPr>
          <w:rFonts w:ascii="宋体" w:hAnsi="宋体"/>
          <w:b/>
          <w:sz w:val="21"/>
          <w:szCs w:val="21"/>
        </w:rPr>
      </w:pPr>
      <w:r/>
      <w:bookmarkStart w:id="60" w:name="_Toc167285810"/>
      <w:r>
        <w:rPr>
          <w:rFonts w:ascii="宋体" w:hAnsi="宋体"/>
          <w:b/>
          <w:sz w:val="21"/>
          <w:szCs w:val="21"/>
        </w:rPr>
        <w:t xml:space="preserve">附件4</w:t>
      </w:r>
      <w:r>
        <w:rPr>
          <w:rFonts w:hint="eastAsia" w:ascii="宋体" w:hAnsi="宋体"/>
          <w:b/>
          <w:sz w:val="21"/>
          <w:szCs w:val="21"/>
        </w:rPr>
        <w:t xml:space="preserve">.磋商报价分析表</w:t>
      </w:r>
      <w:bookmarkEnd w:id="60"/>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996"/>
        <w:ind w:left="0" w:firstLine="0"/>
        <w:spacing w:before="0" w:after="0" w:line="360" w:lineRule="auto"/>
        <w:rPr>
          <w:rFonts w:ascii="宋体" w:hAnsi="宋体"/>
          <w:b/>
          <w:sz w:val="21"/>
          <w:szCs w:val="21"/>
        </w:rPr>
      </w:pPr>
      <w:r/>
      <w:bookmarkStart w:id="61"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1"/>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2" w:name="_Toc7945"/>
      <w:r/>
      <w:bookmarkStart w:id="63" w:name="_Toc241"/>
      <w:r/>
      <w:r/>
    </w:p>
    <w:p>
      <w:pPr>
        <w:ind w:left="0"/>
        <w:rPr>
          <w:rFonts w:ascii="宋体" w:hAnsi="宋体"/>
          <w:color w:val="000000"/>
          <w:sz w:val="21"/>
          <w:szCs w:val="21"/>
        </w:rPr>
        <w:outlineLvl w:val="0"/>
      </w:pPr>
      <w:r/>
      <w:bookmarkStart w:id="64"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4"/>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54"/>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54"/>
        <w:ind w:left="400"/>
        <w:rPr>
          <w:lang w:val="zh-CN"/>
        </w:rPr>
      </w:pPr>
      <w:r>
        <w:rPr>
          <w:lang w:val="zh-CN"/>
        </w:rPr>
      </w:r>
      <w:r/>
    </w:p>
    <w:p>
      <w:pPr>
        <w:pStyle w:val="1054"/>
        <w:ind w:left="400"/>
        <w:rPr>
          <w:lang w:val="zh-CN"/>
        </w:rPr>
      </w:pPr>
      <w:r>
        <w:rPr>
          <w:lang w:val="zh-CN"/>
        </w:rPr>
      </w:r>
      <w:r/>
    </w:p>
    <w:p>
      <w:pPr>
        <w:pStyle w:val="1054"/>
        <w:ind w:left="400"/>
        <w:rPr>
          <w:lang w:val="zh-CN"/>
        </w:rPr>
      </w:pPr>
      <w:r>
        <w:rPr>
          <w:lang w:val="zh-CN"/>
        </w:rPr>
      </w:r>
      <w:r/>
    </w:p>
    <w:p>
      <w:pPr>
        <w:pStyle w:val="1054"/>
        <w:ind w:left="400"/>
        <w:rPr>
          <w:lang w:val="zh-CN"/>
        </w:rPr>
      </w:pPr>
      <w:r>
        <w:rPr>
          <w:lang w:val="zh-CN"/>
        </w:rPr>
      </w:r>
      <w:r/>
    </w:p>
    <w:p>
      <w:pPr>
        <w:pStyle w:val="1054"/>
        <w:ind w:left="400"/>
        <w:rPr>
          <w:lang w:val="zh-CN"/>
        </w:rPr>
      </w:pPr>
      <w:r>
        <w:rPr>
          <w:lang w:val="zh-CN"/>
        </w:rPr>
      </w:r>
      <w:r/>
    </w:p>
    <w:p>
      <w:pPr>
        <w:ind w:left="0"/>
        <w:rPr>
          <w:rFonts w:ascii="Times New Roman" w:hAnsi="Times New Roman"/>
          <w:b/>
          <w:sz w:val="21"/>
          <w:szCs w:val="22"/>
        </w:rPr>
        <w:outlineLvl w:val="0"/>
      </w:pPr>
      <w:r/>
      <w:bookmarkStart w:id="65"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5"/>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54"/>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4"/>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6"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6"/>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54"/>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7"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7"/>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2"/>
      </w:pPr>
      <w:r/>
      <w:r/>
    </w:p>
    <w:p>
      <w:pPr>
        <w:pStyle w:val="1062"/>
        <w:rPr>
          <w:lang w:val="zh-CN"/>
        </w:rPr>
      </w:pPr>
      <w:r>
        <w:rPr>
          <w:lang w:val="zh-CN"/>
        </w:rPr>
      </w:r>
      <w:r/>
    </w:p>
    <w:p>
      <w:pPr>
        <w:ind w:left="0"/>
      </w:pPr>
      <w:r/>
      <w:bookmarkEnd w:id="62"/>
      <w:r/>
      <w:bookmarkEnd w:id="63"/>
      <w:r/>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8" w:name="_Toc19621"/>
      <w:r/>
      <w:bookmarkStart w:id="69" w:name="_Toc21574"/>
      <w:r/>
      <w:r/>
    </w:p>
    <w:p>
      <w:pPr>
        <w:ind w:left="0"/>
        <w:rPr>
          <w:rFonts w:ascii="宋体" w:hAnsi="宋体"/>
          <w:b/>
          <w:sz w:val="21"/>
          <w:szCs w:val="21"/>
        </w:rPr>
        <w:outlineLvl w:val="0"/>
      </w:pPr>
      <w:r/>
      <w:bookmarkStart w:id="70"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8"/>
      <w:r/>
      <w:bookmarkEnd w:id="69"/>
      <w:r/>
      <w:bookmarkEnd w:id="70"/>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苏州市第五人民医院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GCP业务系统(临床试验项目管理系统、伦理审查系统、I期临床研究管理系统等)</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GCP业务系统(临床试验项目管理系统、伦理审查系统、I期临床研究管理系统等)</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54"/>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1"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1"/>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2" w:name="_Toc3869"/>
      <w:r/>
      <w:bookmarkStart w:id="73" w:name="_Toc15378"/>
      <w:r/>
      <w:bookmarkStart w:id="74"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2"/>
      <w:r/>
      <w:bookmarkEnd w:id="73"/>
      <w:r/>
      <w:bookmarkEnd w:id="74"/>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2"/>
      </w:pPr>
      <w:r/>
      <w:r/>
    </w:p>
    <w:p>
      <w:pPr>
        <w:pStyle w:val="1054"/>
        <w:ind w:left="0" w:firstLine="0"/>
        <w:spacing w:after="0"/>
        <w:rPr>
          <w:rFonts w:ascii="宋体" w:hAnsi="宋体"/>
          <w:b/>
          <w:sz w:val="20"/>
          <w:lang w:val="zh-CN"/>
        </w:rPr>
      </w:pPr>
      <w:r>
        <w:rPr>
          <w:rFonts w:ascii="宋体" w:hAnsi="宋体"/>
          <w:b/>
          <w:sz w:val="20"/>
          <w:lang w:val="zh-CN"/>
        </w:rPr>
      </w:r>
      <w:r/>
    </w:p>
    <w:p>
      <w:pPr>
        <w:pStyle w:val="1054"/>
        <w:ind w:left="0" w:firstLine="0"/>
        <w:spacing w:after="0"/>
        <w:rPr>
          <w:rFonts w:ascii="宋体" w:hAnsi="宋体"/>
          <w:b/>
          <w:sz w:val="20"/>
          <w:lang w:val="zh-CN"/>
        </w:rPr>
      </w:pPr>
      <w:r>
        <w:rPr>
          <w:rFonts w:ascii="宋体" w:hAnsi="宋体"/>
          <w:b/>
          <w:sz w:val="20"/>
          <w:lang w:val="zh-CN"/>
        </w:rPr>
      </w:r>
      <w:r/>
    </w:p>
    <w:p>
      <w:pPr>
        <w:pStyle w:val="1054"/>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1054"/>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105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105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105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105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1054"/>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4"/>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1054"/>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5"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6" w:name="OLE_LINK1"/>
      <w:r/>
      <w:bookmarkStart w:id="77" w:name="OLE_LINK2"/>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78" w:name="OLE_LINK50"/>
      <w:r/>
      <w:bookmarkStart w:id="79" w:name="OLE_LINK49"/>
      <w:r>
        <w:rPr>
          <w:rFonts w:hint="eastAsia" w:ascii="宋体" w:hAnsi="宋体"/>
          <w:b/>
          <w:color w:val="000000" w:themeColor="text1"/>
          <w:sz w:val="21"/>
          <w:szCs w:val="21"/>
          <w:lang w:val="zh-CN"/>
        </w:rPr>
        <w:t xml:space="preserve">响应报价</w:t>
      </w:r>
      <w:bookmarkEnd w:id="78"/>
      <w:r/>
      <w:bookmarkEnd w:id="79"/>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80" w:name="OLE_LINK51"/>
      <w:r>
        <w:rPr>
          <w:rFonts w:hint="eastAsia" w:ascii="宋体" w:hAnsi="宋体"/>
          <w:b/>
          <w:color w:val="000000" w:themeColor="text1"/>
          <w:sz w:val="21"/>
          <w:szCs w:val="21"/>
          <w:lang w:val="zh-CN"/>
        </w:rPr>
        <w:t xml:space="preserve">磋商小组</w:t>
      </w:r>
      <w:bookmarkEnd w:id="80"/>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6"/>
      <w:r/>
      <w:bookmarkEnd w:id="77"/>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4"/>
        <w:ind w:left="0" w:firstLine="0"/>
        <w:spacing w:after="0"/>
        <w:rPr>
          <w:rFonts w:ascii="宋体" w:hAnsi="宋体"/>
          <w:b/>
          <w:sz w:val="20"/>
          <w:lang w:val="zh-CN"/>
        </w:rPr>
      </w:pPr>
      <w:r>
        <w:rPr>
          <w:rFonts w:ascii="宋体" w:hAnsi="宋体"/>
          <w:b/>
          <w:sz w:val="20"/>
          <w:lang w:val="zh-CN"/>
        </w:rPr>
      </w:r>
      <w:r/>
    </w:p>
    <w:p>
      <w:pPr>
        <w:pStyle w:val="996"/>
        <w:ind w:left="0" w:firstLine="0"/>
        <w:jc w:val="center"/>
        <w:spacing w:line="360" w:lineRule="auto"/>
        <w:rPr>
          <w:b/>
          <w:sz w:val="44"/>
          <w:szCs w:val="44"/>
        </w:rPr>
      </w:pPr>
      <w:r>
        <w:rPr>
          <w:rFonts w:hint="eastAsia"/>
          <w:b/>
          <w:sz w:val="44"/>
          <w:szCs w:val="44"/>
        </w:rPr>
        <w:br w:type="page" w:clear="all"/>
      </w:r>
      <w:bookmarkStart w:id="81" w:name="_Toc167285819"/>
      <w:r>
        <w:rPr>
          <w:rFonts w:hint="eastAsia"/>
          <w:b/>
          <w:sz w:val="44"/>
          <w:szCs w:val="44"/>
        </w:rPr>
        <w:t xml:space="preserve">第四章</w:t>
      </w:r>
      <w:bookmarkStart w:id="82" w:name="招标书"/>
      <w:r/>
      <w:bookmarkEnd w:id="48"/>
      <w:r/>
      <w:bookmarkEnd w:id="49"/>
      <w:r/>
      <w:bookmarkEnd w:id="50"/>
      <w:r/>
      <w:bookmarkEnd w:id="51"/>
      <w:r/>
      <w:bookmarkEnd w:id="82"/>
      <w:r>
        <w:rPr>
          <w:b/>
          <w:sz w:val="44"/>
          <w:szCs w:val="44"/>
        </w:rPr>
        <w:t xml:space="preserve"> </w:t>
      </w:r>
      <w:r>
        <w:rPr>
          <w:rFonts w:hint="eastAsia"/>
          <w:b/>
          <w:sz w:val="44"/>
          <w:szCs w:val="44"/>
        </w:rPr>
        <w:t xml:space="preserve">采购内容</w:t>
      </w:r>
      <w:bookmarkEnd w:id="52"/>
      <w:r/>
      <w:bookmarkEnd w:id="53"/>
      <w:r/>
      <w:bookmarkEnd w:id="81"/>
      <w:r/>
      <w:r/>
    </w:p>
    <w:p>
      <w:pPr>
        <w:ind w:left="0" w:firstLine="420"/>
        <w:spacing w:line="360" w:lineRule="auto"/>
        <w:rPr>
          <w:rFonts w:ascii="宋体" w:hAnsi="宋体" w:cs="宋体"/>
          <w:sz w:val="21"/>
          <w:szCs w:val="21"/>
        </w:rPr>
      </w:pPr>
      <w:r/>
      <w:bookmarkStart w:id="83" w:name="_Toc68611038"/>
      <w:r/>
      <w:bookmarkStart w:id="84" w:name="_Toc11789"/>
      <w:r/>
      <w:bookmarkStart w:id="85" w:name="_Toc12719"/>
      <w:r/>
      <w:bookmarkStart w:id="86" w:name="_Toc5111"/>
      <w:r/>
      <w:bookmarkStart w:id="87" w:name="_Toc58248883"/>
      <w:r/>
      <w:bookmarkStart w:id="88" w:name="_Toc57376409"/>
      <w:r/>
      <w:bookmarkStart w:id="89"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苏州市第五人民医院</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GCP业务系统(临床试验项目管理系统、伦理审查系统、I期临床研究管理系统等)</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JSZC-320500-JZCG-C2026-0252</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项目名称：GCP业务系统(临床试验项目管理系统、伦理审查系统、I期临床研究管理系统等)</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人民币壹佰肆拾伍万元整（¥</w:t>
      </w:r>
      <w:r>
        <w:rPr>
          <w:rFonts w:ascii="宋体" w:hAnsi="宋体" w:cs="宋体"/>
          <w:bCs/>
          <w:sz w:val="21"/>
          <w:szCs w:val="21"/>
        </w:rPr>
        <w:t xml:space="preserve">1450000.00</w:t>
      </w:r>
      <w:r>
        <w:rPr>
          <w:rFonts w:hint="eastAsia" w:ascii="宋体" w:hAnsi="宋体" w:cs="宋体"/>
          <w:bCs/>
          <w:sz w:val="21"/>
          <w:szCs w:val="21"/>
        </w:rPr>
        <w:t xml:space="preserve">）</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人民币壹佰肆拾伍万元整（¥</w:t>
      </w:r>
      <w:r>
        <w:rPr>
          <w:rFonts w:ascii="宋体" w:hAnsi="宋体" w:cs="宋体"/>
          <w:bCs/>
          <w:sz w:val="21"/>
          <w:szCs w:val="21"/>
        </w:rPr>
        <w:t xml:space="preserve">1450000.00</w:t>
      </w:r>
      <w:r>
        <w:rPr>
          <w:rFonts w:hint="eastAsia" w:ascii="宋体" w:hAnsi="宋体" w:cs="宋体"/>
          <w:bCs/>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Times New Roman" w:hAnsi="Times New Roman"/>
          <w:sz w:val="21"/>
        </w:rPr>
        <w:t xml:space="preserve"> </w:t>
      </w:r>
      <w:r>
        <w:rPr>
          <w:rFonts w:hint="eastAsia" w:ascii="Times New Roman" w:hAnsi="Times New Roman"/>
          <w:sz w:val="21"/>
        </w:rPr>
        <w:t xml:space="preserve">签订合同后</w:t>
      </w:r>
      <w:r>
        <w:rPr>
          <w:rFonts w:ascii="Times New Roman" w:hAnsi="Times New Roman"/>
          <w:sz w:val="21"/>
        </w:rPr>
        <w:t xml:space="preserve">2</w:t>
      </w:r>
      <w:r>
        <w:rPr>
          <w:rFonts w:hint="eastAsia" w:ascii="Times New Roman" w:hAnsi="Times New Roman"/>
          <w:sz w:val="21"/>
        </w:rPr>
        <w:t xml:space="preserve">个月内完成系统安装调试并投入业务试运行。</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pStyle w:val="1054"/>
        <w:ind w:left="0" w:firstLine="0"/>
        <w:tabs>
          <w:tab w:val="left" w:pos="342" w:leader="none"/>
        </w:tabs>
        <w:rPr>
          <w:b/>
        </w:rPr>
      </w:pPr>
      <w:r>
        <w:tab/>
      </w:r>
      <w:r>
        <w:rPr>
          <w:rFonts w:hint="eastAsia"/>
          <w:b/>
        </w:rPr>
        <w:t xml:space="preserve">（一）项目背景</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国家各部委相关政策明确要求临床试验机构通过信息化建设强化管理，临床研究信息系统建设已成为行业共识。当前，随着我院临床研究项目数量不断增加，项目审查管理工作量大幅攀升，同时面临着临床数据管理分散、研究效率低下、数据安全存在风险等突出问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临床研究中，数据的准确性与完整性直接关系到试验的真实性和安全性，但目前依赖手工记录的方式，不仅导致数据错误率偏高，且难以实现溯源；与此同时，国家药监局对临床试验质量的监管力度持续加大，数据核查成为监管重点，信息化可溯源已成为临床试验的刚性需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建设临床研究信息系统，既能实现临床研究数据的集中管理，提升数据的准确性与完整性，也能有效推动院内外科研合作、共享科研资源，进而提升医院的科研影响力和行业竞争力。为促进我院</w:t>
      </w:r>
      <w:r>
        <w:rPr>
          <w:rFonts w:hint="eastAsia" w:ascii="Times New Roman" w:hAnsi="Times New Roman"/>
          <w:sz w:val="21"/>
        </w:rPr>
        <w:t xml:space="preserve">GCP</w:t>
      </w:r>
      <w:r>
        <w:rPr>
          <w:rFonts w:hint="eastAsia" w:ascii="Times New Roman" w:hAnsi="Times New Roman"/>
          <w:sz w:val="21"/>
        </w:rPr>
        <w:t xml:space="preserve">工作高质量发展，拟采购相关临床研究信息系统。</w:t>
      </w:r>
      <w:r/>
    </w:p>
    <w:p>
      <w:pPr>
        <w:ind w:left="0" w:firstLine="402"/>
        <w:spacing w:line="360" w:lineRule="auto"/>
        <w:tabs>
          <w:tab w:val="left" w:pos="420" w:leader="none"/>
          <w:tab w:val="left" w:pos="540" w:leader="none"/>
        </w:tabs>
        <w:rPr>
          <w:rFonts w:ascii="Times New Roman" w:hAnsi="Times New Roman"/>
          <w:b/>
          <w:sz w:val="21"/>
        </w:rPr>
      </w:pPr>
      <w:r>
        <w:rPr>
          <w:rFonts w:hint="eastAsia"/>
          <w:b/>
        </w:rPr>
        <w:t xml:space="preserve">（二）建设内容</w:t>
      </w:r>
      <w:r/>
    </w:p>
    <w:tbl>
      <w:tblPr>
        <w:tblW w:w="48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84"/>
        <w:gridCol w:w="5204"/>
        <w:gridCol w:w="2005"/>
      </w:tblGrid>
      <w:tr>
        <w:trPr>
          <w:jc w:val="center"/>
          <w:trHeight w:val="505"/>
        </w:trPr>
        <w:tc>
          <w:tcPr>
            <w:tcW w:w="1203"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序号</w:t>
            </w:r>
            <w:r/>
          </w:p>
        </w:tc>
        <w:tc>
          <w:tcPr>
            <w:tcW w:w="2741"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名称</w:t>
            </w:r>
            <w:r/>
          </w:p>
        </w:tc>
        <w:tc>
          <w:tcPr>
            <w:tcW w:w="105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数量</w:t>
            </w:r>
            <w:r/>
          </w:p>
        </w:tc>
      </w:tr>
      <w:tr>
        <w:trPr>
          <w:jc w:val="center"/>
          <w:trHeight w:val="505"/>
        </w:trPr>
        <w:tc>
          <w:tcPr>
            <w:tcW w:w="1203"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p>
        </w:tc>
        <w:tc>
          <w:tcPr>
            <w:tcW w:w="2741"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临床试验项目管理系统</w:t>
            </w:r>
            <w:r/>
          </w:p>
        </w:tc>
        <w:tc>
          <w:tcPr>
            <w:tcW w:w="105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套</w:t>
            </w:r>
            <w:r/>
          </w:p>
        </w:tc>
      </w:tr>
      <w:tr>
        <w:trPr>
          <w:jc w:val="center"/>
          <w:trHeight w:val="505"/>
        </w:trPr>
        <w:tc>
          <w:tcPr>
            <w:tcW w:w="1203"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p>
        </w:tc>
        <w:tc>
          <w:tcPr>
            <w:tcW w:w="2741"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伦理审查系统</w:t>
            </w:r>
            <w:r/>
          </w:p>
        </w:tc>
        <w:tc>
          <w:tcPr>
            <w:tcW w:w="105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套</w:t>
            </w:r>
            <w:r/>
          </w:p>
        </w:tc>
      </w:tr>
      <w:tr>
        <w:trPr>
          <w:jc w:val="center"/>
          <w:trHeight w:val="505"/>
        </w:trPr>
        <w:tc>
          <w:tcPr>
            <w:tcW w:w="1203"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p>
        </w:tc>
        <w:tc>
          <w:tcPr>
            <w:tcW w:w="2741"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I</w:t>
            </w:r>
            <w:r>
              <w:rPr>
                <w:rFonts w:hint="eastAsia" w:ascii="Times New Roman" w:hAnsi="Times New Roman"/>
                <w:sz w:val="21"/>
              </w:rPr>
              <w:t xml:space="preserve">期临床研究管理系统及相关配套硬件</w:t>
            </w:r>
            <w:r/>
          </w:p>
        </w:tc>
        <w:tc>
          <w:tcPr>
            <w:tcW w:w="105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套</w:t>
            </w:r>
            <w:r/>
          </w:p>
        </w:tc>
      </w:tr>
      <w:tr>
        <w:trPr>
          <w:jc w:val="center"/>
          <w:trHeight w:val="505"/>
        </w:trPr>
        <w:tc>
          <w:tcPr>
            <w:tcW w:w="1203"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p>
        </w:tc>
        <w:tc>
          <w:tcPr>
            <w:tcW w:w="2741"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受试者智能识别管理系统</w:t>
            </w:r>
            <w:r/>
          </w:p>
        </w:tc>
        <w:tc>
          <w:tcPr>
            <w:tcW w:w="105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套</w:t>
            </w:r>
            <w:r/>
          </w:p>
        </w:tc>
      </w:tr>
    </w:tbl>
    <w:p>
      <w:pPr>
        <w:ind w:left="0"/>
      </w:pPr>
      <w:r/>
      <w:r/>
    </w:p>
    <w:p>
      <w:pPr>
        <w:pStyle w:val="1008"/>
        <w:ind w:left="0" w:firstLine="0"/>
      </w:pPr>
      <w:r>
        <w:br w:type="page" w:clear="all"/>
      </w:r>
      <w:r/>
    </w:p>
    <w:p>
      <w:pPr>
        <w:ind w:left="0"/>
        <w:spacing w:line="360" w:lineRule="auto"/>
        <w:rPr>
          <w:rFonts w:ascii="宋体" w:hAnsi="宋体" w:cs="宋体"/>
          <w:b/>
          <w:sz w:val="21"/>
          <w:szCs w:val="21"/>
        </w:rPr>
        <w:outlineLvl w:val="1"/>
      </w:pPr>
      <w:r>
        <w:rPr>
          <w:rFonts w:hint="eastAsia" w:ascii="宋体" w:hAnsi="宋体" w:cs="宋体"/>
          <w:b/>
          <w:sz w:val="21"/>
          <w:szCs w:val="21"/>
        </w:rPr>
        <w:t xml:space="preserve">1、临床试验项目管理系统功能模块及技术参数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
        <w:gridCol w:w="1392"/>
        <w:gridCol w:w="7489"/>
      </w:tblGrid>
      <w:tr>
        <w:trPr>
          <w:trHeight w:val="664"/>
          <w:tblHeader/>
        </w:trPr>
        <w:tc>
          <w:tcPr>
            <w:shd w:val="clear" w:color="auto" w:fill="bfbfbf"/>
            <w:tcW w:w="495" w:type="pct"/>
            <w:vAlign w:val="center"/>
            <w:textDirection w:val="lrTb"/>
            <w:noWrap w:val="false"/>
          </w:tcPr>
          <w:p>
            <w:pPr>
              <w:ind w:left="0"/>
              <w:jc w:val="center"/>
              <w:widowControl w:val="off"/>
              <w:rPr>
                <w:rFonts w:ascii="宋体" w:hAnsi="宋体" w:cs="宋体"/>
                <w:b/>
                <w:bCs/>
                <w:color w:val="000000"/>
                <w:sz w:val="21"/>
                <w:szCs w:val="21"/>
              </w:rPr>
            </w:pPr>
            <w:r>
              <w:rPr>
                <w:rFonts w:hint="eastAsia" w:ascii="宋体" w:hAnsi="宋体" w:cs="宋体"/>
                <w:b/>
                <w:bCs/>
                <w:color w:val="000000"/>
                <w:sz w:val="21"/>
                <w:szCs w:val="21"/>
                <w:lang w:bidi="ar"/>
              </w:rPr>
              <w:t xml:space="preserve">功能模块</w:t>
            </w:r>
            <w:r/>
          </w:p>
        </w:tc>
        <w:tc>
          <w:tcPr>
            <w:shd w:val="clear" w:color="auto" w:fill="bfbfbf"/>
            <w:tcW w:w="706" w:type="pct"/>
            <w:vAlign w:val="center"/>
            <w:textDirection w:val="lrTb"/>
            <w:noWrap w:val="false"/>
          </w:tcPr>
          <w:p>
            <w:pPr>
              <w:ind w:left="0"/>
              <w:jc w:val="center"/>
              <w:widowControl w:val="off"/>
              <w:rPr>
                <w:rFonts w:ascii="宋体" w:hAnsi="宋体" w:cs="宋体"/>
                <w:b/>
                <w:bCs/>
                <w:color w:val="000000"/>
                <w:sz w:val="21"/>
                <w:szCs w:val="21"/>
              </w:rPr>
            </w:pPr>
            <w:r>
              <w:rPr>
                <w:rFonts w:hint="eastAsia" w:ascii="宋体" w:hAnsi="宋体" w:cs="宋体"/>
                <w:b/>
                <w:bCs/>
                <w:color w:val="000000"/>
                <w:sz w:val="21"/>
                <w:szCs w:val="21"/>
                <w:lang w:bidi="ar"/>
              </w:rPr>
              <w:t xml:space="preserve">子模块</w:t>
            </w:r>
            <w:r/>
          </w:p>
        </w:tc>
        <w:tc>
          <w:tcPr>
            <w:shd w:val="clear" w:color="auto" w:fill="bfbfbf"/>
            <w:tcW w:w="3799" w:type="pct"/>
            <w:vAlign w:val="center"/>
            <w:textDirection w:val="lrTb"/>
            <w:noWrap w:val="false"/>
          </w:tcPr>
          <w:p>
            <w:pPr>
              <w:ind w:left="0"/>
              <w:jc w:val="center"/>
              <w:widowControl w:val="off"/>
              <w:rPr>
                <w:rFonts w:ascii="宋体" w:hAnsi="宋体" w:cs="宋体"/>
                <w:b/>
                <w:bCs/>
                <w:color w:val="000000"/>
                <w:sz w:val="21"/>
                <w:szCs w:val="21"/>
              </w:rPr>
            </w:pPr>
            <w:r>
              <w:rPr>
                <w:rFonts w:hint="eastAsia" w:ascii="宋体" w:hAnsi="宋体" w:cs="宋体"/>
                <w:b/>
                <w:bCs/>
                <w:sz w:val="21"/>
                <w:szCs w:val="21"/>
              </w:rPr>
              <w:t xml:space="preserve">功能描述</w:t>
            </w:r>
            <w:r/>
          </w:p>
        </w:tc>
      </w:tr>
      <w:tr>
        <w:trPr>
          <w:trHeight w:val="740"/>
        </w:trPr>
        <w:tc>
          <w:tcPr>
            <w:tcW w:w="495"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组织管理</w:t>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组织信息</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机构可以编辑本组织信息，设置本组织可承担的项目类型，可以添加、编辑、启用/禁用、删除组织管理员；</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人员管理</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允许通过设置人员所属科室，实现对本医院机构、各专业科室人员的分类管理；</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允许给每个人分配对应的角色及权限，按照分配的权限来管理人员的基本信息，账号信息，简历信息以及人员的角色配置，严格控制每个角色的系统权限；</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允许内/外部账号有所区分；</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允许对人员进行批量授权和批量取消授权；</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允许个人自主管理个人的基本信息、账号信息、个人简历信息，并可在系统内设置个人签名密码； </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人员资格证临期时需有短信消息提醒，需同步提醒到账号本人及机构秘书；</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允许批量导入组织人员，且可以上传个人头像；</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需要可以自动生成人员简历表并导出用于项目存档；</w:t>
            </w:r>
            <w:r/>
          </w:p>
        </w:tc>
      </w:tr>
      <w:tr>
        <w:trPr>
          <w:trHeight w:val="604"/>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sz w:val="21"/>
                <w:szCs w:val="21"/>
              </w:rPr>
              <w:t xml:space="preserve">允许在CRC、CRA、PM申请加入组织/项目时可要求其上传简历、保密协议、派遣函、身份证等文件，申请加入项目时需可以配置审核流程；</w:t>
            </w:r>
            <w:r/>
          </w:p>
        </w:tc>
      </w:tr>
      <w:tr>
        <w:trPr>
          <w:trHeight w:val="604"/>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允许CRA、CRC注册完成后，向机构发起加入申请，管理员可以根据申请人资质进行审核，并授权相应角色；</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角色管理</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角色管理需分为机构组织级和项目级，可以分开进行账号角色配置；</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组织层级可授权机构办主任、机构秘书、科室主任、主要研究者等角色，隔离项目数据权限，严格按照分配的权限查阅相应的数据；</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项目层级可授权PI、研究者、CRC、CRA等角色，支持给每个项目的参与人员单独授权角色，参与临床试验的项目人员根据所授权的角色执行对应权限的操作，严格按照分配的权限进行工作，确保所有人员的工作都是通过授权；</w:t>
            </w:r>
            <w:r/>
          </w:p>
        </w:tc>
      </w:tr>
      <w:tr>
        <w:trPr>
          <w:trHeight w:val="320"/>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专业管理</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允许设置本机构的专业，以及专业可承担的试验类型；</w:t>
            </w:r>
            <w:r/>
          </w:p>
        </w:tc>
      </w:tr>
      <w:tr>
        <w:trPr>
          <w:trHeight w:val="604"/>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审计日志</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所有操作轨迹都需在系统中留痕，并且可以通过操作类型、开始结束日期、操作人员姓名等方式快速筛选溯源；</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高级管理</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允许设置密码安全策略，要求可以选择包含大小写字母、数字、特殊符号、最小密码长度，以及密码过期间隔天数；</w:t>
            </w:r>
            <w:r/>
          </w:p>
        </w:tc>
      </w:tr>
      <w:tr>
        <w:trPr>
          <w:trHeight w:val="604"/>
        </w:trPr>
        <w:tc>
          <w:tcPr>
            <w:tcW w:w="495"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SOP配置</w:t>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项目进度模板</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允许为不同项目类型配置项目进度模块，并可以按项目类型自动匹配对应的项目进度模板；</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项目文件夹目录</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允许按项目类型自定义配置文件目录模板，目录要求根据GCP规范构建，如立项表、研究方案、知情同意书、研究者手册、财务文件、药品管理文件、质量管理文件、沟通文件等，支持自定义扩展添加；</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文件清单管理</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允许按项目类型自定义配置，如立项、合同、付款、启动、结题等所有流程需要递交的材料；</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允许按机构要求针对单份文件设置文件名称、文件描述、是否必传、是否不适用、是否必填版本号、版本日期、-文件编号、文件类型、可上传文件数量、允许上</w:t>
            </w:r>
            <w:r>
              <w:rPr>
                <w:rFonts w:hint="eastAsia" w:ascii="宋体" w:hAnsi="宋体" w:cs="宋体"/>
                <w:color w:val="000000"/>
                <w:sz w:val="21"/>
                <w:szCs w:val="21"/>
                <w:lang w:bidi="ar"/>
              </w:rPr>
              <w:t xml:space="preserve">传的文件格式，以及文件模板；</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在各业务中的清单文件的预览、下载、批注、标注、在线编辑等操作全程记录稽查轨迹，并在文件有批注或退回重新提交时会保留历史文件；</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表单管理</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允许按项目类型自定义配置各个阶段需要填写的表单（如项目申请、合同、付款、启动、结题等环节）；</w:t>
            </w:r>
            <w:r/>
          </w:p>
        </w:tc>
      </w:tr>
      <w:tr>
        <w:trPr>
          <w:trHeight w:val="940"/>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工作流管理</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允许按需配置项目审批工作流程（如立项审批流程、合同审批流程、人遗办资源审批流程、合同审批流程、费用收支审批流程）；</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允许流程能够按照指定角色、指定具体人员配置审核人，系统需自动解析项目所属科室专业的角色人员及项目成员，自动流转至对应的科室主任、专业秘书或PI等角色进行审核。</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w:t>
            </w:r>
            <w:r>
              <w:rPr>
                <w:rFonts w:hint="eastAsia" w:ascii="宋体" w:hAnsi="宋体" w:cs="宋体"/>
                <w:sz w:val="21"/>
                <w:szCs w:val="21"/>
              </w:rPr>
              <w:t xml:space="preserve">许审批流程配置，满足多人审批时全部通过或一人通过的模式选择，支持自定义审批退回起始或指定节点，具备设置是否允许发起人查看当前节点审批结果与意见功能，可设定相邻节点为同一人时自动跳过，发起人可以选择审批人、上一节点审批人可以设置当前节点审批人，以实现多样化、精细化审批流程管理需求。</w:t>
            </w:r>
            <w:r/>
          </w:p>
        </w:tc>
      </w:tr>
      <w:tr>
        <w:trPr>
          <w:trHeight w:val="604"/>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sz w:val="21"/>
                <w:szCs w:val="21"/>
              </w:rPr>
              <w:t xml:space="preserve">允许依据配置条件判断分支以推进审批流程，实现由条件分支流判定或上一节点处理人决策流程分支走向，满足机构精准化、多样化审批路径管理需求；</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rPr>
              <w:t xml:space="preserve">报表管理</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sz w:val="21"/>
                <w:szCs w:val="21"/>
              </w:rPr>
              <w:t xml:space="preserve">允许意向、立项、合同、付款、支出、人遗、启动、结题、质控等各个环节都可按机构模板自动生成报表，申请人在提交业务时可核对报表信息，对报表文件下载、更新或撤回修改；允许对报表文件进行电子签署；业务完成后报表文件自动归档为PDF文件；</w:t>
            </w:r>
            <w:r/>
          </w:p>
        </w:tc>
      </w:tr>
      <w:tr>
        <w:trPr>
          <w:trHeight w:val="312"/>
        </w:trPr>
        <w:tc>
          <w:tcPr>
            <w:tcW w:w="495"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项目全流程管理</w:t>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进度管理</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允许根据机构SOP灵活配置项目进度管理看板，设置项目阶段及各阶段的项目任务，如任务描述、起止时间、指定任务责任人、完成此任务需要提交的资料文件，并可设置任务的审批流程；</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允许设置任务依赖与强制完成关系，如：必须完成首笔款付款任务才可以召开项目启动会；</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sz w:val="21"/>
                <w:szCs w:val="21"/>
              </w:rPr>
              <w:t xml:space="preserve">允许将临床试验的各个任务定义为里程碑，通过里程碑进度可以查询项目的整体情况；</w:t>
            </w:r>
            <w:r/>
          </w:p>
        </w:tc>
      </w:tr>
      <w:tr>
        <w:trPr>
          <w:trHeight w:val="42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允许通过看板、列表、里程碑等不同模式查看进度视图；</w:t>
            </w:r>
            <w:r/>
          </w:p>
        </w:tc>
      </w:tr>
      <w:tr>
        <w:trPr>
          <w:trHeight w:val="42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各任务的提交审批等操作按时间线全程记录，并允许下载；</w:t>
            </w:r>
            <w:r/>
          </w:p>
        </w:tc>
      </w:tr>
      <w:tr>
        <w:trPr>
          <w:trHeight w:val="90"/>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对任务进行的所有操作都需在任务进度中留下操作痕迹，便于快速溯源；</w:t>
            </w:r>
            <w:r/>
          </w:p>
        </w:tc>
      </w:tr>
      <w:tr>
        <w:trPr>
          <w:trHeight w:val="90"/>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立项管理</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能够根据机构SOP配置是否需要意向洽谈阶段，意向审批通过后，在此基础上可以直接发起立项申请；</w:t>
            </w:r>
            <w:r/>
          </w:p>
        </w:tc>
      </w:tr>
      <w:tr>
        <w:trPr>
          <w:trHeight w:val="90"/>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支持申请多药物注册分类、多申办方、多承担专业的项目；</w:t>
            </w:r>
            <w:r/>
          </w:p>
        </w:tc>
      </w:tr>
      <w:tr>
        <w:trPr>
          <w:trHeight w:val="90"/>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sz w:val="21"/>
                <w:szCs w:val="21"/>
              </w:rPr>
              <w:t xml:space="preserve">申办方上传立项资料时系统能够自动识别文件的版本号、版本日期；</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申办方/CRA能够按照要求在线填写项目申请材料，提交机构办公室审批，可重复修改提交，多次审核，并且可以实时查阅审查进度；</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受理审批时可填写针对项目的评估意见，可进行签名密码确认；</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受理时机构秘书可对审核的每一份资料能够单独标注是否合格，审批合格后可以锁定，不可再进行更新修改，确保文件可控，并且可单独针对每一份文件填写意见，如果受理通过，则可根据配置的审批流程进行审批；</w:t>
            </w:r>
            <w:r/>
          </w:p>
        </w:tc>
      </w:tr>
      <w:tr>
        <w:trPr>
          <w:trHeight w:val="937"/>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允许在立项审批退回后，申请人在修改时可以看到退回意见及文件的标注，快速根据意见进行修改，并可对标注的退回意见进行回复；</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立项审批通过后可根据设置的规则自动生成立项受理号；</w:t>
            </w:r>
            <w:r/>
          </w:p>
        </w:tc>
      </w:tr>
      <w:tr>
        <w:trPr>
          <w:trHeight w:val="91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允许</w:t>
            </w:r>
            <w:r>
              <w:rPr>
                <w:rFonts w:hint="eastAsia" w:ascii="宋体" w:hAnsi="宋体" w:cs="宋体"/>
                <w:color w:val="000000"/>
                <w:sz w:val="21"/>
                <w:szCs w:val="21"/>
              </w:rPr>
              <w:t xml:space="preserve">立项时能够先上传部分文件，其他文件可在启动会召开之前补齐，对后补的文件可单独配置审批流程；并可设置后补文件递交时限，到达时限还未递交会短信提醒指定人员；</w:t>
            </w:r>
            <w:r/>
          </w:p>
        </w:tc>
      </w:tr>
      <w:tr>
        <w:trPr>
          <w:trHeight w:val="414"/>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能够实时导出待受理和已受理项目的统计表格；</w:t>
            </w:r>
            <w:r/>
          </w:p>
        </w:tc>
      </w:tr>
      <w:tr>
        <w:trPr>
          <w:trHeight w:val="414"/>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rPr>
              <w:t xml:space="preserve">支持立项审批通过后下载或批量下载带机构水印的立项资料；</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人遗办资源管理</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能够按照组长单位/非组长单位、各申报类型配置人遗办表单、文件清单、报表及审批流程；</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CRA可以在线递交人遗办资料，申请递交以后机构能够及时审批，CRA能够实时了解审批进度；</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支持人遗初次申报、变更申报，且可分开查询；变更申报可在初次申报的基础上进行修改；</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sz w:val="21"/>
                <w:szCs w:val="21"/>
                <w:lang w:bidi="ar"/>
              </w:rPr>
            </w:pPr>
            <w:r>
              <w:rPr>
                <w:rFonts w:hint="eastAsia" w:ascii="宋体" w:hAnsi="宋体" w:cs="宋体"/>
                <w:sz w:val="21"/>
                <w:szCs w:val="21"/>
                <w:lang w:bidi="ar"/>
              </w:rPr>
              <w:t xml:space="preserve">支持在系统中对人遗办院内签章资料的上传，并通知相关人员领取；</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能够在线反馈及确认卫健委结果；</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支持项目不涉及人遗时给申请人推送上传不涉及人遗说明材料的递交待办，上传说明材料后可由机构办人员审核确认；</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支持对所有待申报人遗项目、不涉及人遗申报项目、已申报人遗记录分开查看与管理</w:t>
            </w:r>
            <w:r/>
          </w:p>
        </w:tc>
      </w:tr>
      <w:tr>
        <w:trPr>
          <w:trHeight w:val="299"/>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项目启动</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支持按照机构的要求来递交启动会资料；</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允许项目启动可以分为两个阶段：启动预约、正式启动；</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系统支持配置启动会召开条件，在预约启动会时自动校验是否满足；</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启动预约审批通过后可短信通知相关人员参加启动会；启动条件如没有达到可重新预约；</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允许PI根据线下分工授权表在线分配团队成员角色；</w:t>
            </w:r>
            <w:r/>
          </w:p>
        </w:tc>
      </w:tr>
      <w:tr>
        <w:trPr>
          <w:trHeight w:val="625"/>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项目结题</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可按机构要求设置结题阶段各环节，如结题申请、经费确认、分中心小结递交、项目归档等，各环节所需要的资料需要允许机构进行设置，支持按照要求进行资料递交；</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tabs>
                <w:tab w:val="left" w:pos="732" w:leader="none"/>
              </w:tabs>
              <w:rPr>
                <w:rFonts w:ascii="宋体" w:hAnsi="宋体" w:cs="宋体"/>
                <w:color w:val="000000"/>
                <w:sz w:val="21"/>
                <w:szCs w:val="21"/>
                <w:lang w:bidi="ar"/>
              </w:rPr>
            </w:pPr>
            <w:r>
              <w:rPr>
                <w:rFonts w:hint="eastAsia" w:ascii="宋体" w:hAnsi="宋体" w:cs="宋体"/>
                <w:color w:val="000000"/>
                <w:sz w:val="21"/>
                <w:szCs w:val="21"/>
                <w:lang w:bidi="ar"/>
              </w:rPr>
              <w:t xml:space="preserve">支持结题时自动获取项目的合同金额、付款信息、经费支出等费用进行项目经费决算；</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结题阶段各环节流程，需经相关人员在线审查同意后（如经过主要研究者、机构秘书同意结题申请、经费管理员确认项目财务、机构药品管理员确认药品情况、</w:t>
            </w:r>
            <w:r>
              <w:rPr>
                <w:rFonts w:hint="eastAsia" w:ascii="宋体" w:hAnsi="宋体" w:cs="宋体"/>
                <w:color w:val="000000"/>
                <w:sz w:val="21"/>
                <w:szCs w:val="21"/>
                <w:lang w:bidi="ar"/>
              </w:rPr>
              <w:t xml:space="preserve">机构资料管理员确认项目资料齐全等），才完成项目结题工作；</w:t>
            </w:r>
            <w:r/>
          </w:p>
        </w:tc>
      </w:tr>
      <w:tr>
        <w:trPr>
          <w:trHeight w:val="576"/>
        </w:trPr>
        <w:tc>
          <w:tcPr>
            <w:gridSpan w:val="2"/>
            <w:tcW w:w="1201"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项目中心</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需满足分级管理模式：机构管理人员能够查看到整个机构所有的项目，科室主任可查看本科室所有专业的项目，专业负责人可查看本专业所有项目，项目PI及项目成员仅可查看自己的项目；</w:t>
            </w:r>
            <w:r/>
          </w:p>
        </w:tc>
      </w:tr>
      <w:tr>
        <w:trPr>
          <w:trHeight w:val="382"/>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支持对项目成员的简历、证书一键导出；</w:t>
            </w:r>
            <w:r/>
          </w:p>
        </w:tc>
      </w:tr>
      <w:tr>
        <w:trPr>
          <w:trHeight w:val="386"/>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能够快速筛选出自己所参与的项目；</w:t>
            </w:r>
            <w:r/>
          </w:p>
        </w:tc>
      </w:tr>
      <w:tr>
        <w:trPr>
          <w:trHeight w:val="436"/>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能够快速筛选出不同项目阶段的项目汇总表；</w:t>
            </w:r>
            <w:r/>
          </w:p>
        </w:tc>
      </w:tr>
      <w:tr>
        <w:trPr>
          <w:trHeight w:val="576"/>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sz w:val="21"/>
                <w:szCs w:val="21"/>
              </w:rPr>
              <w:t xml:space="preserve">能够根据机构要求选择导出项目信息汇总表，如项目信息、本中心信息、组长单位信息、参与组织信息、参与者入组信息、参与者安全/质控信息、项目结题/归档信息；</w:t>
            </w:r>
            <w:r/>
          </w:p>
        </w:tc>
      </w:tr>
      <w:tr>
        <w:trPr>
          <w:trHeight w:val="312"/>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能够满足项目概况一览，如：任务完成进度、参与者入组进度、质控次数、方案违背次数、SAE报告次数、SAE发生率；</w:t>
            </w:r>
            <w:r/>
          </w:p>
        </w:tc>
      </w:tr>
      <w:tr>
        <w:trPr>
          <w:trHeight w:val="312"/>
        </w:trPr>
        <w:tc>
          <w:tcPr>
            <w:gridSpan w:val="2"/>
            <w:tcW w:w="1201"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rPr>
              <w:t xml:space="preserve">智能核查</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★支持对临床试验项目中关键核查要素进行一键自查，如启动会召开前相关事项的时间逻辑判定、伦理初始审查是否已完成、人遗申报是否已完成、合同是否已签署、首笔款是否已支付、试验用药械管理等等；</w:t>
            </w:r>
            <w:r/>
          </w:p>
        </w:tc>
      </w:tr>
      <w:tr>
        <w:trPr>
          <w:trHeight w:val="312"/>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支持人工判定，并说明判定理由；</w:t>
            </w:r>
            <w:r/>
          </w:p>
        </w:tc>
      </w:tr>
      <w:tr>
        <w:trPr>
          <w:trHeight w:val="312"/>
        </w:trPr>
        <w:tc>
          <w:tcPr>
            <w:tcW w:w="495"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文档管理</w:t>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项目文档</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项目执行过程中产生的各种文档在审核通过以后，能够自动归档到指定的位置；</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能够查阅每一个项目的归档文件的信息；</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可以批量下载项目文档，下载后保持系统设置的文件目录结构；</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SOP文档</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能够在线管理本机构体系文件，如SOP、设备检定证书、正常值范围等资料，相关资料可根据项目需要授权相关人员查询、更新、下载、打印；</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能够按照机构要求来自定义文档管理目录，并且能给每一个目录单独配置权限；</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归档申请</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机构能够进行文件归档配置，</w:t>
            </w:r>
            <w:r>
              <w:rPr>
                <w:rFonts w:hint="eastAsia" w:ascii="宋体" w:hAnsi="宋体" w:cs="宋体"/>
                <w:sz w:val="21"/>
                <w:szCs w:val="21"/>
              </w:rPr>
              <w:t xml:space="preserve">可设置归档申请表单、报表、审批流程、且可以推送归档任务到项目看板；</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纸质资料归档</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机构能够设置纸质资料归档目录，并设置文件版本信息、文件编号及文件保存要求；</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能够对纸质文档进行归档申请，在线审批，设置资料归档存放的档案盒及档案柜位置，并支持保管到期提醒；</w:t>
            </w:r>
            <w:r/>
          </w:p>
        </w:tc>
      </w:tr>
      <w:tr>
        <w:trPr>
          <w:trHeight w:val="384"/>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档案柜管理</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★可视化档案柜管理，能够清晰掌握机构内所有文件柜的数量、具体摆放位置以及每个柜子的文件存储状况。同时支持对档案盒的编号、类型、位置和存放状态等信息进行修改。</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允许对历史项目手动设置归档；</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可以添加和导出档案室温湿度记录，且超出适宜温湿度范围时会有相应预警标识；</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允许全局搜索档案柜中某项目资料或某个档案盒；</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文件借阅</w:t>
            </w:r>
            <w:r/>
          </w:p>
        </w:tc>
        <w:tc>
          <w:tcPr>
            <w:tcW w:w="3799" w:type="pct"/>
            <w:vAlign w:val="center"/>
            <w:textDirection w:val="lrTb"/>
            <w:noWrap/>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纸质文件能够借阅和归还，可自定义借阅流程；</w:t>
            </w:r>
            <w:r/>
          </w:p>
        </w:tc>
      </w:tr>
      <w:tr>
        <w:trPr>
          <w:trHeight w:val="312"/>
        </w:trPr>
        <w:tc>
          <w:tcPr>
            <w:tcW w:w="495"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会议管</w:t>
            </w:r>
            <w:r>
              <w:rPr>
                <w:rFonts w:hint="eastAsia" w:ascii="宋体" w:hAnsi="宋体" w:cs="宋体"/>
                <w:color w:val="000000"/>
                <w:sz w:val="21"/>
                <w:szCs w:val="21"/>
                <w:lang w:bidi="ar"/>
              </w:rPr>
              <w:t xml:space="preserve">理</w:t>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会议预约</w:t>
            </w:r>
            <w:r/>
          </w:p>
        </w:tc>
        <w:tc>
          <w:tcPr>
            <w:tcW w:w="3799" w:type="pct"/>
            <w:vAlign w:val="center"/>
            <w:textDirection w:val="lrTb"/>
            <w:noWrap/>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能够满足日历视图（周/日）、列表视图；</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会议能够进行预约、更新和取消；</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会议室设置</w:t>
            </w:r>
            <w:r/>
          </w:p>
        </w:tc>
        <w:tc>
          <w:tcPr>
            <w:tcW w:w="3799" w:type="pct"/>
            <w:vAlign w:val="center"/>
            <w:textDirection w:val="lrTb"/>
            <w:noWrap/>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满足会议室的新增、编辑、启用、停用；</w:t>
            </w:r>
            <w:r/>
          </w:p>
        </w:tc>
      </w:tr>
      <w:tr>
        <w:trPr>
          <w:trHeight w:val="312"/>
        </w:trPr>
        <w:tc>
          <w:tcPr>
            <w:gridSpan w:val="2"/>
            <w:tcW w:w="1201"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伦理审查</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机构系统需智能对接伦理审查系统，允许机构系统选择对应的伦理委员会进行关联，支持立项通过后立项资料能够带到伦理始审查记录中，并自动递交到对应的伦理组织进行审查；</w:t>
            </w:r>
            <w:r/>
          </w:p>
        </w:tc>
      </w:tr>
      <w:tr>
        <w:trPr>
          <w:trHeight w:val="312"/>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递交伦理审查时可按不同审查类型先由PI或指定人员审批确认，审批时可对需要签署的文件进行电子签署；也可提醒到机构相关人员；</w:t>
            </w:r>
            <w:r/>
          </w:p>
        </w:tc>
      </w:tr>
      <w:tr>
        <w:trPr>
          <w:trHeight w:val="312"/>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可按照伦理委员会要求从机构系统递交初始审查、跟踪审查等各种类型的审查；伦理审查过程中能够持续了解伦理审查的进度，接收伦理反馈的意见以及审查结论；</w:t>
            </w:r>
            <w:r/>
          </w:p>
        </w:tc>
      </w:tr>
      <w:tr>
        <w:trPr>
          <w:trHeight w:val="312"/>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伦理审查系统伦理委员会出具的伦理批件可以同步发放至机构项目文档；</w:t>
            </w:r>
            <w:r/>
          </w:p>
        </w:tc>
      </w:tr>
      <w:tr>
        <w:trPr>
          <w:trHeight w:val="312"/>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伦理审查完成后，机构人员可对此次审查进行备案，对送审资料及批件文件手动归档到指定位置；</w:t>
            </w:r>
            <w:r/>
          </w:p>
        </w:tc>
      </w:tr>
      <w:tr>
        <w:trPr>
          <w:trHeight w:val="312"/>
        </w:trPr>
        <w:tc>
          <w:tcPr>
            <w:tcW w:w="495"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仪器设备</w:t>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仪器设备管理及校准</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新增仪器信息（含名称、编号、类型、规格、品牌、序列号、入库时间、校准有效期等），并可上传校准、确认、检定、维修、报废等相关报告，支持清单的批量导入与导出。系统具备多维度查询功能，可根据校准有效期、入库时间、保修期、仪器状态、名称编号、存放位置等条件进行检索。同时支持在线申请校准、灵活设置仪器状态，并允许指定设备管理员与所属部门，实现对仪器设备全生命周期的信息化管理；</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支持批量导入仪器设备信息清单；</w:t>
            </w:r>
            <w:r/>
          </w:p>
        </w:tc>
      </w:tr>
      <w:tr>
        <w:trPr>
          <w:trHeight w:val="576"/>
        </w:trPr>
        <w:tc>
          <w:tcPr>
            <w:tcW w:w="495"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财务管理</w:t>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合同管理</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能够按照机构要求对主合同、主合同补充协议、SMO合同、补充协议、其他协议进行统一的管理，支持按照机构要求递交合同材料，递交完后能够及时查阅审核进度，了解审核过程中的反馈信息；</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支持直接引用机构合同模板在修订模式下在线填写合同内容后提交；</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机构可以灵活配置申办方/CRA需递交的合同材料，可设置如由研究者、机构、财务、法务等管理人员逐一审核；</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审核人可以在线打开合同文件，对问题内容直接进行批注，并将已批注的版本退回给申请人，申请人可根据批注的内容进行修改后再提交，直到形成最终合同/协议，审核过程中有任何问题能够及时退回修改后再次提交；过程中的历史文件都需要保留，并可查看文件提交、退回修改、批注等稽查轨迹；</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★机构可以根据申办方/CRA递交的合同，与院内合同模板一键快速比对，修改后的合同材料也可以与之前提交的历史版本进行智能比对；存储在本地的院外合同可以与申办方/CRA提交的合同材料进行智能比对；</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能够根据合同总额，拆解成各费用类型的预算；</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能够按参与者入组例数/总预算比例/固定金额的方式制定各费用类型的总预算，各费用类型预算总和需等于合同总额，可根据扣税比例自动计算税额；</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能够根据项目开展进度/参与者入组进度/定期定额/定期据实付款，预置付款计划节点，如：甲方在合同签订后7个工作日内支付合同总金额30%的费用、甲方</w:t>
            </w:r>
            <w:r>
              <w:rPr>
                <w:rFonts w:hint="eastAsia" w:ascii="宋体" w:hAnsi="宋体" w:cs="宋体"/>
                <w:color w:val="000000"/>
                <w:sz w:val="21"/>
                <w:szCs w:val="21"/>
                <w:lang w:bidi="ar"/>
              </w:rPr>
              <w:t xml:space="preserve">在入组病例数达到预计病例数的50%时，支付合同总金额的30%的费用等；</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支持当满足付款条件时自动触发付款提醒，可按短信及系统消息的方式通知申办方；</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预算费控、付款计划可按需选择配置在草案合同或纸质合同环节；</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从系统中下载已审核通过的合同自动生成二维码，扫码可溯源合同文件，防止合同篡改，保证数据真实性；</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审核完成的合同文件可以直接打印且带有防复印水印，防止合同篡改；</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支持电子合同文件审核通过后下载清洁版文件进行后续签署；</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费用审批流程</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能够按项目类型自定义配置各费用审批流，如申办方打款、机构经费入账、研究者经费支出申请、参与者费用报销申请、经费调整申请，实现在线审批；</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能够按照机构的要求自定义各种费用类型，如：研究者观察费、参与者检查费、参与者补偿费、CRC费、税费、机构管理费，同时允许对费用类型进行分类分层级设置和调整；</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访视费用设置</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支持在项目中根据访视对研究者劳务费、参与者补助费的金额进行设置，发布后参与者每完成一次访视，按配置规则自动生成对应的费用明细；</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经费入账</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申办方可以按照机构要求上传打款凭证，打款的费用明细，机构审核完成以后，自动转换成机构的内部收入；</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允许根据扣税比例自动计算税额；</w:t>
            </w:r>
            <w:r/>
          </w:p>
        </w:tc>
      </w:tr>
      <w:tr>
        <w:trPr>
          <w:trHeight w:val="577"/>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能够针对每一笔打款标记是否已经开票，是否已经领取发票，同时可以指定人员发送领取发票的短信提醒；</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支持经费付款后可生成财务开票报表，允许同一笔打款可开多张票；</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sz w:val="21"/>
                <w:szCs w:val="21"/>
              </w:rPr>
              <w:t xml:space="preserve">允许在开票时，上传发票后系统可自动识别发票号和发票日期；</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经费支出</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研究者、CRC、项目费用管理员可以在线填报参与者费用报销申请；</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研究者能够在线申请项目研究经费；</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能够作废已完成的经费支出申请，并自动将已扣除的支出金额退回至该费用类型的预算中；</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PI及机构管理员能查阅项目的经费收支情况、实时余额；</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能够自动计算主合同和补充协议中各费用类型的预算总额；</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能够严格控制每笔费用支出的申请金额不可以超出预算总额；</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能够自动冻结正在审核中的申请金额，避免重复使用同一笔预算，审核通过后将自动扣除预算，审核退回则自动释放此笔冻结金额，可用于下次支出申请；</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申请经费支出时，自动比对该费用类型的实际可用的入账金额，若超出则提醒审核人具体超出金额，审核人可酌情审批；</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允许在合同审批通过后，合同中的固定费用直接在经费支出中扣除，如机构管理费；</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经费支出时费用类型可以选择到预算科目的下级科目；</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经费支出时可关联到访视产生的费用明细，并自动生成对应的汇总报表；</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临床试验中止时，可以对临床试验经费进行退费处理；</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费用明细</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在参与者完成访视后，系统需可以按照发布的费用规则，自动生成与之相对应的参与者补助费以及研究者劳务费的费用明细；</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允许对费用明细手动设置已结算，或关联到经费支出中自动设置已结算；</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允许费用明细按科室、费用名称、参与者等维度进行统计汇总；</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允许手动修改生成的费用明细金额；</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经费调整</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能够申请调整各费用类型的预算和实际可用结余，并进行在线审批；</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经费调整时，可以增加新的预算科目；</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经费调整审批通过后，自动更新各费用类型的预算和实际可用结余，可按最新的预算申请支出经费；</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rPr>
              <w:t xml:space="preserve">经费台账及汇总</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允许自动生成经费台账及经费汇总列表，经费台账记录每笔付款或支出后的经费预算及结余情况；经费汇总记录当前各个费用类型的汇总情况，需包含</w:t>
            </w:r>
            <w:r>
              <w:rPr>
                <w:rFonts w:hint="eastAsia" w:ascii="宋体" w:hAnsi="宋体" w:cs="宋体"/>
                <w:sz w:val="21"/>
                <w:szCs w:val="21"/>
              </w:rPr>
              <w:t xml:space="preserve">总预算、总可用预算、预算税额、入账总额、入账税额、入账可用金额、支出总额、支出冻结金额、退费总额、退费冻结金额、当前剩余预算、当前剩余可用预算、当前可用结余，</w:t>
            </w:r>
            <w:r>
              <w:rPr>
                <w:rFonts w:hint="eastAsia" w:ascii="宋体" w:hAnsi="宋体" w:cs="宋体"/>
                <w:color w:val="000000"/>
                <w:sz w:val="21"/>
                <w:szCs w:val="21"/>
                <w:lang w:bidi="ar"/>
              </w:rPr>
              <w:t xml:space="preserve">并支持导出；</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财务概况</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允许自动核算项目经费，临床试验的协议金额、入账金额、支出金额、账户余额等查询、统计与导出；</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能够根据合同付款计划触发条件，自动统计项目应付金额、实付金额、未付金额；</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各项财务数据如：临床观察费、实验室检查费等在线统计功能，可自动生成费用支出分布报表图；</w:t>
            </w:r>
            <w:r/>
          </w:p>
        </w:tc>
      </w:tr>
      <w:tr>
        <w:trPr>
          <w:trHeight w:val="312"/>
        </w:trPr>
        <w:tc>
          <w:tcPr>
            <w:tcW w:w="495" w:type="pct"/>
            <w:vAlign w:val="center"/>
            <w:vMerge w:val="restart"/>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方案</w:t>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访视设计</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支持临床试验方案版本管理，包括：新增、发布、更新版本及查看历史版本；</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sz w:val="21"/>
                <w:szCs w:val="21"/>
              </w:rPr>
            </w:pPr>
            <w:r>
              <w:rPr>
                <w:rFonts w:hint="eastAsia" w:ascii="宋体" w:hAnsi="宋体" w:cs="宋体"/>
                <w:sz w:val="21"/>
                <w:szCs w:val="21"/>
              </w:rPr>
              <w:t xml:space="preserve">可设置访视对应组别，支持设置周期性访视，参与者的访视列表可重复添加周期性访视；</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sz w:val="21"/>
                <w:szCs w:val="21"/>
              </w:rPr>
              <w:t xml:space="preserve">能够按照项目方案在系统中设置参与者访视计划，包括每次访视的窗口期、访视任务等。</w:t>
            </w:r>
            <w:r/>
          </w:p>
        </w:tc>
      </w:tr>
      <w:tr>
        <w:trPr>
          <w:trHeight w:val="438"/>
        </w:trPr>
        <w:tc>
          <w:tcPr>
            <w:tcW w:w="495"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参与者管理</w:t>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参与者及访视</w:t>
            </w:r>
            <w:r/>
          </w:p>
        </w:tc>
        <w:tc>
          <w:tcPr>
            <w:tcW w:w="3799" w:type="pct"/>
            <w:vAlign w:val="center"/>
            <w:textDirection w:val="lrTb"/>
            <w:noWrap w:val="false"/>
          </w:tcPr>
          <w:p>
            <w:pPr>
              <w:ind w:left="0"/>
              <w:widowControl w:val="off"/>
              <w:tabs>
                <w:tab w:val="left" w:pos="1459" w:leader="none"/>
              </w:tabs>
              <w:rPr>
                <w:rFonts w:ascii="宋体" w:hAnsi="宋体" w:cs="宋体"/>
                <w:color w:val="000000"/>
                <w:sz w:val="21"/>
                <w:szCs w:val="21"/>
                <w:lang w:bidi="ar"/>
              </w:rPr>
            </w:pPr>
            <w:r>
              <w:rPr>
                <w:rFonts w:hint="eastAsia" w:ascii="宋体" w:hAnsi="宋体" w:cs="宋体"/>
                <w:color w:val="000000"/>
                <w:sz w:val="21"/>
                <w:szCs w:val="21"/>
                <w:lang w:bidi="ar"/>
              </w:rPr>
              <w:t xml:space="preserve">支持参与者基础信息维护；</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能够根据状态统计参与者数据，如筛选总人数、筛选中、筛选失败、已入组、中止、脱落、退出、已完成；</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能够根据参与者例数计算中心入组率；</w:t>
            </w:r>
            <w:r/>
          </w:p>
        </w:tc>
      </w:tr>
      <w:tr>
        <w:trPr>
          <w:trHeight w:val="63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支持对参与者添加计划外访视、计划外访视任务、周期性访视；</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支持手动开始、结束、跳过访视，设置访视中检验检验检查任务为完成；</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支持访视中的检验检查任务可以上传外院的结果报告；</w:t>
            </w:r>
            <w:r/>
          </w:p>
        </w:tc>
      </w:tr>
      <w:tr>
        <w:trPr>
          <w:trHeight w:val="90"/>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能够根据访视规则自动生成访视日历；</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能够根据不同状态查看访视信息，如未开始、待访视、即将超窗的访视、超窗访视、已完成访视、超窗完成访视；</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能够统计不同状态的访视完成率；</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能够根据月周日查看访视信息；</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能够通过访视日历点击跳转进行访视录入；</w:t>
            </w:r>
            <w:r/>
          </w:p>
        </w:tc>
      </w:tr>
      <w:tr>
        <w:trPr>
          <w:trHeight w:val="312"/>
        </w:trPr>
        <w:tc>
          <w:tcPr>
            <w:tcW w:w="495"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参与者安全管理</w:t>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AE</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研究者可以在线填写AE事件报告表，AE事件记录列表可以导出，并可以查看记录的修改痕迹；</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能够汇总当前组织所有项目的AE记录，支持导出数据；</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SAE</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管理院内SAE事件，可新增SAE事件的首次、随访、总结报告，新增报告后提交给PI进行审核确认，确认时可以对报告文件进行电子签署；支持上报多方：可上报至申办方邮箱，上报机构办指定人员签收，上报至伦理委员会邮箱、上报至伦理委员会进行严重不良事件或安全性事件的伦理审查；机构查阅时支持退回和签收；可查看待签收及已签收的情况；</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支持CRA反馈申办方对SAE事件是否为SUSAR、药物相关性的评估，如为SUSAR可继续上报SUSAR报告；</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能够统计研究者汇报的时效，是否超时汇报、超时时间，SAE事件自动生成线下报告，并支持导出；</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支持汇报外院SAE事件，可批量导入或新增外院SAE记录，也可只以汇总文件的方式进行上报；支持上报多方，上报研究者及机构办指定人员签收；</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SAE新增、确认、上报、签收等操作全程记录留痕，可快速筛选正在随访中的事件；</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能够汇总当前组织所有项目的SAE记录，支持导出数据，能够通过SAE例数计算项目的SAE发生率；</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SUSAR</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管理院内SUSAR事件，可新增院内SUSAR事件并上报多方：上报研究者指定角色签收，上报机构办指定人员签收，上报至伦理委员会邮箱、上报至伦理委员会进行SUSAR或安全性事件的伦理审查；研究者及机构查阅时支持退回和签收可查看待签收及已签收的情况；</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能够统计上报的时效，是否超时上报、超时时间；</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SUSAR新增、上报、签收等操作全程记录留痕，可快速筛选正在随访中的SUSAR</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能够将SUSAR事件生成线下报告，并支持打印、导出；</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能够汇总当前组织所有项目的SUSAR记录，支持导出数据；</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能够通过SUSAR例数计算项目的SUSAR发生率；</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DSUR</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申办方可以新增DSUR事件，并将DSUR事件上报至研究者、机构，能够签收申办方上报的DSUR事件；</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安全统计</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能够统计SAE、SUSAR报告次数、发生例次、发生例数、随访中事件数、发生率等指标；</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能够以严重程度、转归情况、与试验药的关系、SAE情况、汇报情况、数据来源等多维度统计发生例次及百分比；</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能够汇总当前组织所有项目的DSUR记录，支持导出数据；</w:t>
            </w:r>
            <w:r/>
          </w:p>
        </w:tc>
      </w:tr>
      <w:tr>
        <w:trPr>
          <w:trHeight w:val="312"/>
        </w:trPr>
        <w:tc>
          <w:tcPr>
            <w:tcW w:w="495"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质控管理</w:t>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质控配置</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满足机构质控和专业质控要求，可以按照机构实际要求进行配置，</w:t>
            </w:r>
            <w:r>
              <w:rPr>
                <w:rFonts w:hint="eastAsia" w:ascii="宋体" w:hAnsi="宋体" w:cs="宋体"/>
                <w:sz w:val="21"/>
                <w:szCs w:val="21"/>
              </w:rPr>
              <w:t xml:space="preserve">机构质控员可查看到所有项目；</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允许设置立项、启动、抽查病例、结题等不同的质控类型；</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能够配置质控问题库，可以设置质控问题项的所属类型及质控项结果；</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能够预置质控问题项的整改建议，在执行质控过程中可以将预置的整改建议发送至整改人；</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能够针对同一质控问题项历次整改建议自动形成历史整改建议库，在执行质控过程中可以从历史整改建议中快速选择整改建议发送给整改人；</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针对质控过程中需要的每一个质控单，可以从质控问题库中选择质控问题项配置成符合机构要求的模板；</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能够在线设计质控报告和整改报告模板，在质控完成后可自动生成质控报告，完成整改后自动生成整改报告，同时可以配置报告审批流程；</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支持线上或线下质控模式，线上质控全程在系统完成，自动生成质控报告；线下质控自行完成质控后将相关报告文件上传系统存档；</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能够设置质控员的开放质控预约日和预约时间段；</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质控计划</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可按照机构质控要求设定质控计划，如：质控抽检例数、质控人员，整改人员等按项目需要实现配置；也支持按项目手动新增质控计划；</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能够自动跟踪质控计划，满足质控节点条件时，自动触发质控任务并提醒质控员完成相关任务，有效避免质控工作遗漏和任务完成超期；</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质控预约</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允许CRC或者研究者提前预约质控老师进行质控，质控老师根据项目的情况以及自己的工作安排来审核预约，审核通过后，能自动生成自己的质控工作计划；</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预约成功后因特殊情况可以取消预约；</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能够在组织层以列表视图和日历视图的方式查看所有项目的质控预约；</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质控报告</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除预先设置好的质控计划外，也支持质控员发起计划外质控；</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可按立项质控、启动质控、抽查病历质控、结题质控等类型配置质控项，并可设置质控项的评分标准或结果判断方式；支持多人质控，质控结果自动汇总，自动生成质控分数，根据分数自动定义评价等级；</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质控完成后，支持质控员在线自动生成质控报告，质控报告审批通过后，自动归档至项目文档中心的指定位置，形成归档文件，方便日后进行查阅；</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在质控过程中发现的问题，能够实时记录问题描述、严重等级、发现时间等信息；</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质控员可以从问题的历史整改建议中选择整改建议发送给指定的整改人，并通知到整改人，收到问题的人能够根据整改建议来进行整改回复；</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质控员可以自行对整改报告进行配置，系统可自动生成整改报告；</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能够在线跟踪本次质控的问题整改进度，查看问题最后整改时间和最后关闭时间；</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问题跟踪</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质控问题的跟踪管理，质控问题状态分类：未解决、不适用、无法解决、已解决；整改状态分类：待回复、待确认、待复核、已完成；质控问题严重等级分类：严重、主要、一般、轻微；</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质控问题可指定对应的整改回复人，整改人回复后可由PI确认，最后需由质控员进行复核，复核可退回整改人重新整改；</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能够自动对质控问题进行汇总，质控人员可以随时查看质控问题以及所处的状态</w:t>
            </w:r>
            <w:r>
              <w:rPr>
                <w:rFonts w:hint="eastAsia" w:ascii="宋体" w:hAnsi="宋体" w:cs="宋体"/>
                <w:color w:val="000000"/>
                <w:sz w:val="21"/>
                <w:szCs w:val="21"/>
                <w:lang w:bidi="ar"/>
              </w:rPr>
              <w:t xml:space="preserve">等，确保质控问题得到解决；</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质控员能够发送催办消息提醒整改人对问题进行整改回复；</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自查报告</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能够选择无法解决的质控问题生成自查报告，可手动将自查报告归档至项目文档的指定位置；</w:t>
            </w:r>
            <w:r/>
          </w:p>
        </w:tc>
      </w:tr>
      <w:tr>
        <w:trPr>
          <w:trHeight w:val="434"/>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质控概况</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能够对项目质控情况进行动态分析，对质控过程中产生的问题/质疑进行归类分析，并提供相关的图表分析，便于研究者、项目组成员、机构管理者对质控问题/质疑进行查阅以及了解整改/反馈情况；</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能够统计质控次数、质控问题总数、质控问题整改率、整改回复平均耗时；</w:t>
            </w:r>
            <w:r/>
          </w:p>
        </w:tc>
      </w:tr>
      <w:tr>
        <w:trPr>
          <w:trHeight w:val="90"/>
        </w:trPr>
        <w:tc>
          <w:tcPr>
            <w:tcW w:w="495"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统计分析</w:t>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项目统计</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支持按年度统计机构项目承接数、项目类型分布、项目状态分布、试验分期分布、承担专业分布；能够统计出各研究者曾经参与的项目数，以及在研的项目数，为机构决策提供基础信息；</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rPr>
              <w:t xml:space="preserve">财务统计</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支持按年度统计机构财务收益分布、项目类型分布、合同类型分布、费用收支情况、费用收支分布；</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rPr>
              <w:t xml:space="preserve">质量统计</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支持统计机构质控实施项目数、质控总次数、质控问题总数、质控问题整改率、整改回复平均耗时、质控问题类型分布明细、质控问题状态分布、项目质控问题列表，</w:t>
            </w:r>
            <w:r>
              <w:rPr>
                <w:rFonts w:hint="eastAsia" w:ascii="宋体" w:hAnsi="宋体" w:cs="宋体"/>
                <w:sz w:val="21"/>
                <w:szCs w:val="21"/>
              </w:rPr>
              <w:t xml:space="preserve">问题严重等级分布（分专业和PI）、</w:t>
            </w:r>
            <w:r>
              <w:rPr>
                <w:rFonts w:hint="eastAsia" w:ascii="宋体" w:hAnsi="宋体" w:cs="宋体"/>
                <w:color w:val="000000"/>
                <w:sz w:val="21"/>
                <w:szCs w:val="21"/>
                <w:lang w:bidi="ar"/>
              </w:rPr>
              <w:t xml:space="preserve">支持多条件组合筛选统计，帮助机构更好的提升质量；</w:t>
            </w:r>
            <w:r/>
          </w:p>
        </w:tc>
      </w:tr>
      <w:tr>
        <w:trPr>
          <w:trHeight w:val="122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rPr>
              <w:t xml:space="preserve">安全统计</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支持按年、按季度、按月统计机构</w:t>
            </w:r>
            <w:r>
              <w:rPr>
                <w:rFonts w:hint="eastAsia" w:ascii="宋体" w:hAnsi="宋体" w:cs="宋体"/>
                <w:color w:val="000000"/>
                <w:sz w:val="21"/>
                <w:szCs w:val="21"/>
                <w:lang w:bidi="ar"/>
              </w:rPr>
              <w:t xml:space="preserve">报告</w:t>
            </w:r>
            <w:r>
              <w:rPr>
                <w:rFonts w:hint="eastAsia" w:ascii="宋体" w:hAnsi="宋体" w:cs="宋体"/>
                <w:color w:val="000000"/>
                <w:sz w:val="21"/>
                <w:szCs w:val="21"/>
                <w:lang w:bidi="ar"/>
              </w:rPr>
              <w:t xml:space="preserve">SAE/SUSAR</w:t>
            </w:r>
            <w:r>
              <w:rPr>
                <w:rFonts w:hint="eastAsia" w:ascii="宋体" w:hAnsi="宋体" w:cs="宋体"/>
                <w:color w:val="000000"/>
                <w:sz w:val="21"/>
                <w:szCs w:val="21"/>
                <w:lang w:bidi="ar"/>
              </w:rPr>
              <w:t xml:space="preserve">的项目数、</w:t>
            </w:r>
            <w:r>
              <w:rPr>
                <w:rFonts w:hint="eastAsia" w:ascii="宋体" w:hAnsi="宋体" w:cs="宋体"/>
                <w:color w:val="000000"/>
                <w:sz w:val="21"/>
                <w:szCs w:val="21"/>
                <w:lang w:bidi="ar"/>
              </w:rPr>
              <w:t xml:space="preserve">SAE/SUSAR总报告次数、发生总例数、发生总例次、SAE/SUSAR发生率、SAE/SUSAR正常汇报例数、SAE/SUSAR超时汇报例数、严重程度分布、转归情况分布、与试验药的关系分布、SAE/SUSAR情况分布、数据来源分布；支持多条件组合筛选统计；</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rPr>
              <w:t xml:space="preserve">人遗统计</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支持统计所有项目发生的人遗申报总次数、已申报项目数、待申报项目数、不涉及人遗申报项目数；</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支持统计所有项目的人遗申请类型分布、申报类型分布、涉及的采集活动分布、采集样本类型分布、采集的人类遗传资源疾病类型分布；</w:t>
            </w:r>
            <w:r/>
          </w:p>
        </w:tc>
      </w:tr>
      <w:tr>
        <w:trPr>
          <w:trHeight w:val="312"/>
        </w:trPr>
        <w:tc>
          <w:tcPr>
            <w:gridSpan w:val="2"/>
            <w:tcW w:w="1201"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合作组织管理</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可以从项目中自动汇总出本机构合作的申办方、SMO、CRO组织，形成本机构合作组织库，允许机构管理合作组织及参与人员的联系方式；</w:t>
            </w:r>
            <w:r/>
          </w:p>
        </w:tc>
      </w:tr>
      <w:tr>
        <w:trPr>
          <w:trHeight w:val="576"/>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能够根据合作组织的项目数及项目开展情况对合作组织进行星标操作，在立项处理等过程中可对标星合作组织的项目优先处理，提升合作组织的黏性；</w:t>
            </w:r>
            <w:r/>
          </w:p>
        </w:tc>
      </w:tr>
      <w:tr>
        <w:trPr>
          <w:trHeight w:val="312"/>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能够汇总查看机构中所有项目的CRA/CRC，可查看其个人简历，可显示到期资格证，并可标记人员状态为在岗、离岗；</w:t>
            </w:r>
            <w:r/>
          </w:p>
        </w:tc>
      </w:tr>
      <w:tr>
        <w:trPr>
          <w:trHeight w:val="312"/>
        </w:trPr>
        <w:tc>
          <w:tcPr>
            <w:gridSpan w:val="2"/>
            <w:tcW w:w="1201"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门户网站</w:t>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机构老师、研究者、CRC、CRA可以通过机构门户网站直接登录进入平台；</w:t>
            </w:r>
            <w:r/>
          </w:p>
        </w:tc>
      </w:tr>
      <w:tr>
        <w:trPr>
          <w:trHeight w:val="312"/>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支持配置门户网站的菜单栏目，允许机构根据自身要求对栏目进行调整，允许按照机构的要求来进行网站内容建设；</w:t>
            </w:r>
            <w:r/>
          </w:p>
        </w:tc>
      </w:tr>
      <w:tr>
        <w:trPr>
          <w:trHeight w:val="576"/>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rPr>
            </w:pPr>
            <w:r>
              <w:rPr>
                <w:rFonts w:hint="eastAsia" w:ascii="宋体" w:hAnsi="宋体" w:cs="宋体"/>
                <w:color w:val="000000"/>
                <w:sz w:val="21"/>
                <w:szCs w:val="21"/>
                <w:lang w:bidi="ar"/>
              </w:rPr>
              <w:t xml:space="preserve">设置机构对外宣传的门户，能够按照机构配置的内容进行展示，如：制度法规在线阅览、机构的办事流程、通知、公告，以及表单、模板下载等。需要到机构来办事的人员可以门户了解机构基本情况和办事流程，减少沟通成本；</w:t>
            </w:r>
            <w:r/>
          </w:p>
        </w:tc>
      </w:tr>
      <w:tr>
        <w:trPr>
          <w:trHeight w:val="576"/>
        </w:trPr>
        <w:tc>
          <w:tcPr>
            <w:tcW w:w="495"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培训考试</w:t>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课件管理</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允许上传、查看、删除、下载相关培训课程，并对培训的课程与课件进行管理，课件需支持上传音频、视频、图片、Excel、Word、PPT、TXT、PDF类型的文件；</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分类管理</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支持自定义课程类别，可添加多级子类，可对上传的课件进行分类管理；</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培训课程</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允许创建课程，维护课程的名称、所属类别、作者、课程封面、课程介绍、上传课件，配置中能完成暂存，支持对学员的学习过程进行验证，并完成课程发布；</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允许发布课程、编辑课程、结束课程，并可查看课程相关学习人员的学习记录；</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允许将课程指派给相应人员学习，被指派人员能收到培训任务；</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培训记录</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允许在完成课程培训后自动生成系统培训记录，支持查看、编辑、删除培训记录，允许新增及批量导入线下培训记录，并可同步至个人简历培训信息；</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允许查询平台所有人员的培训记录，包括培训机构、培训方式、培训起止时间、学时、培训级别、证书有效期、证书查看；</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证书管理</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允许在考试通过后自动生成证书；</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学员培训</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允许学员查看已发布课程的详情，包括课程基本信息、结课方式、课程描述、课件列表。</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允许在课程播放时可以随机进行暂停。</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考试管理</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sz w:val="21"/>
                <w:szCs w:val="21"/>
                <w:lang w:bidi="ar"/>
              </w:rPr>
              <w:t xml:space="preserve">考试管理需提供单选、多选、判断题多种类型，</w:t>
            </w:r>
            <w:r>
              <w:rPr>
                <w:rFonts w:hint="eastAsia" w:ascii="宋体" w:hAnsi="宋体" w:cs="宋体"/>
                <w:color w:val="000000"/>
                <w:sz w:val="21"/>
                <w:szCs w:val="21"/>
                <w:lang w:bidi="ar"/>
              </w:rPr>
              <w:t xml:space="preserve">允许</w:t>
            </w:r>
            <w:r>
              <w:rPr>
                <w:rFonts w:hint="eastAsia" w:ascii="宋体" w:hAnsi="宋体" w:cs="宋体"/>
                <w:sz w:val="21"/>
                <w:szCs w:val="21"/>
                <w:lang w:bidi="ar"/>
              </w:rPr>
              <w:t xml:space="preserve">设定选择的数量与顺序，</w:t>
            </w:r>
            <w:r>
              <w:rPr>
                <w:rFonts w:hint="eastAsia" w:ascii="宋体" w:hAnsi="宋体" w:cs="宋体"/>
                <w:color w:val="000000"/>
                <w:sz w:val="21"/>
                <w:szCs w:val="21"/>
                <w:lang w:bidi="ar"/>
              </w:rPr>
              <w:t xml:space="preserve">允许</w:t>
            </w:r>
            <w:r>
              <w:rPr>
                <w:rFonts w:hint="eastAsia" w:ascii="宋体" w:hAnsi="宋体" w:cs="宋体"/>
                <w:sz w:val="21"/>
                <w:szCs w:val="21"/>
                <w:lang w:bidi="ar"/>
              </w:rPr>
              <w:t xml:space="preserve">从试题库中随机组卷、自动生成试卷，</w:t>
            </w:r>
            <w:r>
              <w:rPr>
                <w:rFonts w:hint="eastAsia" w:ascii="宋体" w:hAnsi="宋体" w:cs="宋体"/>
                <w:color w:val="000000"/>
                <w:sz w:val="21"/>
                <w:szCs w:val="21"/>
                <w:lang w:bidi="ar"/>
              </w:rPr>
              <w:t xml:space="preserve">允许</w:t>
            </w:r>
            <w:r>
              <w:rPr>
                <w:rFonts w:hint="eastAsia" w:ascii="宋体" w:hAnsi="宋体" w:cs="宋体"/>
                <w:sz w:val="21"/>
                <w:szCs w:val="21"/>
                <w:lang w:bidi="ar"/>
              </w:rPr>
              <w:t xml:space="preserve">自动判卷并生成成绩单。</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允许考试人员在线考试，在线考试可设置考试名称、考试开放时间、开始人员、答卷时长、答卷次数、及格分数、是否查看答案和解析、可设置通知学员考试、以及试题的顺序和选项的顺序。</w:t>
            </w:r>
            <w:r/>
          </w:p>
        </w:tc>
      </w:tr>
      <w:tr>
        <w:trPr>
          <w:trHeight w:val="312"/>
        </w:trPr>
        <w:tc>
          <w:tcPr>
            <w:tcW w:w="495" w:type="pct"/>
            <w:vAlign w:val="center"/>
            <w:vMerge w:val="restart"/>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药房管理</w:t>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管理模式</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满足中心药房管理、科室药房等不同的管理模式，同时，满足对药物的接收预约、接收入库、移库、出库、回收、退回、销毁、管控等药物的全流程管理；</w:t>
            </w:r>
            <w:r/>
          </w:p>
        </w:tc>
      </w:tr>
      <w:tr>
        <w:trPr>
          <w:trHeight w:val="312"/>
        </w:trPr>
        <w:tc>
          <w:tcPr>
            <w:tcW w:w="49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按照人员类别实现机构药品管理(机构人员可操作所有药品)及专业药品管理(专业人员仅可操作本专业药品)。</w:t>
            </w:r>
            <w:r/>
          </w:p>
        </w:tc>
      </w:tr>
      <w:tr>
        <w:trPr>
          <w:trHeight w:val="91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标签管理</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能够自定义规则生成并打印产品的标签，设置编号生成规则，并按规则自动生成编号；</w:t>
            </w:r>
            <w:r/>
          </w:p>
        </w:tc>
      </w:tr>
      <w:tr>
        <w:trPr>
          <w:trHeight w:val="314"/>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产品维护</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CRA/药房管理员可以录入药物基础信息和贮存条件，满足药物临床试验产品管理的特殊性，包括最大包装单位和最小单位；</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满足产品最大包装单位和最小单位的设置：</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sz w:val="21"/>
                <w:szCs w:val="21"/>
              </w:rPr>
              <w:t xml:space="preserve">允许</w:t>
            </w:r>
            <w:r>
              <w:rPr>
                <w:rFonts w:hint="eastAsia" w:ascii="宋体" w:hAnsi="宋体" w:cs="宋体"/>
                <w:color w:val="000000"/>
                <w:sz w:val="21"/>
                <w:szCs w:val="21"/>
                <w:lang w:bidi="ar"/>
              </w:rPr>
              <w:t xml:space="preserve">药品、医疗器械、体外诊断试剂等多种产品类型的维护；</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sz w:val="21"/>
                <w:szCs w:val="21"/>
              </w:rPr>
              <w:t xml:space="preserve">允许</w:t>
            </w:r>
            <w:r>
              <w:rPr>
                <w:rFonts w:hint="eastAsia" w:ascii="宋体" w:hAnsi="宋体" w:cs="宋体"/>
                <w:color w:val="000000"/>
                <w:sz w:val="21"/>
                <w:szCs w:val="21"/>
                <w:lang w:bidi="ar"/>
              </w:rPr>
              <w:t xml:space="preserve">公共包装的维护，多个产品可包装在一个公共包装下，作为一个整体进行药房相关业务操作；</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禁用药等注意事项设置：针对每一个项目，能够单独设置项目的注意事项、禁用药物等信息，方便在项目执行过程中进行提醒；</w:t>
            </w:r>
            <w:r/>
          </w:p>
        </w:tc>
      </w:tr>
      <w:tr>
        <w:trPr>
          <w:trHeight w:val="35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sz w:val="21"/>
                <w:szCs w:val="21"/>
              </w:rPr>
              <w:t xml:space="preserve">允许</w:t>
            </w:r>
            <w:r>
              <w:rPr>
                <w:rFonts w:hint="eastAsia" w:ascii="宋体" w:hAnsi="宋体" w:cs="宋体"/>
                <w:color w:val="000000"/>
                <w:sz w:val="21"/>
                <w:szCs w:val="21"/>
                <w:lang w:bidi="ar"/>
              </w:rPr>
              <w:t xml:space="preserve">组织自购产品的维护、接收入库、发放、回收、管控；</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存储位置维护</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能够按层级、按部门维护药房存储位置，支持正常库和回收库的设置；</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接收预约</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申办方发起产品寄送预约申请，在线告知机构药房管理员寄送产品的详细信息，包括产品名称、规格、型号、包装单位及规格、贮存条件、温湿度要求、产品批号、有效期、生产日期及寄送数量，同时注明预计到货时间和具体时段，以及预约接收的科室。</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接收入库</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CRA/申办方提交接收申请后，药品管理员核对信息、数量后接收入库，若暂收或拒收，需说明暂收或拒收理由；</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能够对接收申请的产品部分接收、暂收、拒收、留样；</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能够针对申办方就暂收产品所给出的反馈（表明产品可用或不可用）进行相应处理：若产品反馈为可用，则需要上传该产品的相关证明文件，待药房管理员确认之后，暂收的产品将由隔离状态转为正常库存状态；</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能够在接收时填写运输方式、运输过程中的控温记录（上传附件）、保存条件及标准、药物检查内容；</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发放</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研究医生能够在线开处方，药房管理员核对发药；</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能够对单个参与者发放或多个参与者集中发放；支持扫描产品标签来进行二次确认和发放，避免发放错误，也可以手动批量发放。若退回，需说明退回理由；发放后自动生成一条待回收的申请记录；</w:t>
            </w:r>
            <w:r/>
          </w:p>
        </w:tc>
      </w:tr>
      <w:tr>
        <w:trPr>
          <w:trHeight w:val="177"/>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回收</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产品回收时，能够定义产品的回收内容，如服用数量、剩余药物、空包装、损耗的数量等信息；并可以多次分批回收，需选择位置和数量后入库到回收库存；</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大型医疗器械回收后可重复使用；</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回收产品直接回收到科室、直接回收到中心药房、先回收到科室到统一回收到中心药房；</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退回</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能够定期把回收产品部分或者全部退回给申办方；针对库存的产品，也允许退回给申办方，所有退回，均保存完整的退回记录；</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销毁</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CRA/申办方清点需要销毁的回收产品或库存产品后发起销毁申请，机构同意后完成销毁，保存销毁相关记录；支持上传申办方的销毁授权书；</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移库</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产品能够从中心转移到科室、科室转移到科室、科室返回到中心；</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能够记录移库从出库到接收的运输方式、运输过程中的控温记录（上传附件）等；</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管控</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能够对产品存储位置变更；</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能够对产品状态的变更，需要说明理由并上传相关文件；</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能够对近效期产品进行提醒，对过期产品自动隔离；</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能够对低库存产品进行提醒；</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消杀</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支持医疗器械消杀记录；</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湿度监测</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药房管理员对药房的温湿度记录进行在线填写、或者按照一定格式要求进行自动导入，生成的温湿度记录允许自动导出；</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能够对超温的记录进行标识 ；</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库存统计</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允许按产品、产品批号、存储位置统计库存信息；</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回收明细</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允许按项目信息、产品名称、参与者信息、项目状态、发放开始时间、发放结束时间筛选统计项目发放回收明细，并支持导出表格；</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产品业务统计</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允许按照表格和图表两种形式统计项目的产品业务信息，并支持导出数据；</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药房业务统计</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允许按项目信息、项目状态统计分析药房业务信息，并支持导出数据；</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报表</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支持出入库记录表和发放回收记录表，按项目维度导出表格；</w:t>
            </w:r>
            <w:r/>
          </w:p>
        </w:tc>
      </w:tr>
      <w:tr>
        <w:trPr>
          <w:trHeight w:val="31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盘点</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支持药房管理员按照项目、按照存储位置生成并导出盘点表，方便药房管理员进行库房盘点；</w:t>
            </w:r>
            <w:r/>
          </w:p>
        </w:tc>
      </w:tr>
      <w:tr>
        <w:trPr>
          <w:trHeight w:val="312"/>
        </w:trPr>
        <w:tc>
          <w:tcPr>
            <w:gridSpan w:val="2"/>
            <w:tcW w:w="1201" w:type="pct"/>
            <w:vAlign w:val="center"/>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审计日志</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自动记录操作日志，支持多维度的审计追踪，做到针对所有人员、所有操作、所有时间、所有数据的全面留痕；</w:t>
            </w:r>
            <w:r/>
          </w:p>
        </w:tc>
      </w:tr>
      <w:tr>
        <w:trPr>
          <w:trHeight w:val="312"/>
        </w:trPr>
        <w:tc>
          <w:tcPr>
            <w:gridSpan w:val="2"/>
            <w:tcW w:w="1201" w:type="pct"/>
            <w:vAlign w:val="center"/>
            <w:vMerge w:val="restart"/>
            <w:textDirection w:val="lrTb"/>
            <w:noWrap w:val="false"/>
          </w:tcPr>
          <w:p>
            <w:pPr>
              <w:ind w:left="0"/>
              <w:jc w:val="center"/>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手机端小程序</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能够通过手机端进行药品的接收、入库、发放核对，</w:t>
            </w:r>
            <w:r>
              <w:rPr>
                <w:rFonts w:hint="eastAsia" w:ascii="宋体" w:hAnsi="宋体" w:cs="宋体"/>
                <w:sz w:val="21"/>
                <w:szCs w:val="21"/>
              </w:rPr>
              <w:t xml:space="preserve">支持回收、移库的审批</w:t>
            </w:r>
            <w:r>
              <w:rPr>
                <w:rFonts w:hint="eastAsia" w:ascii="宋体" w:hAnsi="宋体" w:cs="宋体"/>
                <w:color w:val="000000"/>
                <w:sz w:val="21"/>
                <w:szCs w:val="21"/>
                <w:lang w:bidi="ar"/>
              </w:rPr>
              <w:t xml:space="preserve">；</w:t>
            </w:r>
            <w:r/>
          </w:p>
        </w:tc>
      </w:tr>
      <w:tr>
        <w:trPr>
          <w:trHeight w:val="312"/>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能够通过手机端查看项目资料，进行流程审批，审批时支持填写审批表单；</w:t>
            </w:r>
            <w:r/>
          </w:p>
        </w:tc>
      </w:tr>
      <w:tr>
        <w:trPr>
          <w:trHeight w:val="312"/>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能够通过手机端</w:t>
            </w:r>
            <w:r>
              <w:rPr>
                <w:rFonts w:hint="eastAsia" w:ascii="宋体" w:hAnsi="宋体" w:cs="宋体"/>
                <w:sz w:val="21"/>
                <w:szCs w:val="21"/>
              </w:rPr>
              <w:t xml:space="preserve">进行质控计划、质控预约、质控报告、整改报告的审批，且支持执行质控、问题整改回复、整改确认、整改复核；</w:t>
            </w:r>
            <w:r/>
          </w:p>
        </w:tc>
      </w:tr>
      <w:tr>
        <w:trPr>
          <w:trHeight w:val="312"/>
        </w:trPr>
        <w:tc>
          <w:tcPr>
            <w:gridSpan w:val="2"/>
            <w:tcW w:w="1201"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能够通过手机端对文件进行电子签署；</w:t>
            </w:r>
            <w:r/>
          </w:p>
        </w:tc>
      </w:tr>
      <w:tr>
        <w:trPr>
          <w:trHeight w:val="782"/>
        </w:trPr>
        <w:tc>
          <w:tcPr>
            <w:tcW w:w="495"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lang w:bidi="ar"/>
              </w:rPr>
              <w:t xml:space="preserve">文件受控管理</w:t>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rPr>
              <w:t xml:space="preserve">体系管理</w:t>
            </w:r>
            <w:r/>
          </w:p>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f1115"/>
                <w:sz w:val="21"/>
                <w:szCs w:val="21"/>
                <w:shd w:val="clear" w:color="auto" w:fill="ffffff"/>
              </w:rPr>
              <w:t xml:space="preserve">系统支持对质量文件及试验过程相关文件的全生命周期管控，覆盖文件上传、修订、审批、批准、生效等全流程节点，并可实现操作轨迹的全程可溯源。</w:t>
            </w:r>
            <w:r/>
          </w:p>
        </w:tc>
      </w:tr>
      <w:tr>
        <w:trPr>
          <w:trHeight w:val="78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f1115"/>
                <w:sz w:val="21"/>
                <w:szCs w:val="21"/>
                <w:shd w:val="clear" w:color="auto" w:fill="ffffff"/>
              </w:rPr>
              <w:t xml:space="preserve">在批准环节支持符合法规要求的电子签名，且签名时同步留存操作日期，以确保操作的合规性与不可否认性</w:t>
            </w:r>
            <w:r/>
          </w:p>
        </w:tc>
      </w:tr>
      <w:tr>
        <w:trPr>
          <w:trHeight w:val="78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f1115"/>
                <w:sz w:val="21"/>
                <w:szCs w:val="21"/>
                <w:shd w:val="clear" w:color="auto" w:fill="ffffff"/>
              </w:rPr>
              <w:t xml:space="preserve">系统支持将文件分发给相应人员学习，</w:t>
            </w:r>
            <w:r>
              <w:rPr>
                <w:rFonts w:hint="eastAsia" w:ascii="宋体" w:hAnsi="宋体" w:cs="宋体"/>
                <w:sz w:val="21"/>
                <w:szCs w:val="21"/>
              </w:rPr>
              <w:t xml:space="preserve">基于角色权限精准划分文件查看权限，确保只有授权人员可接触相关文件，全面保障试验文件的受控性、保密性与可追溯性。 </w:t>
            </w:r>
            <w:r>
              <w:rPr>
                <w:rFonts w:hint="eastAsia" w:ascii="宋体" w:hAnsi="宋体" w:cs="宋体"/>
                <w:color w:val="000000"/>
                <w:sz w:val="21"/>
                <w:szCs w:val="21"/>
                <w:lang w:bidi="ar"/>
              </w:rPr>
              <w:t xml:space="preserve">；</w:t>
            </w:r>
            <w:r/>
          </w:p>
        </w:tc>
      </w:tr>
      <w:tr>
        <w:trPr>
          <w:trHeight w:val="78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允许对机构的文件进行自定义分类管理，包括：文件夹新增、编辑、删除；</w:t>
            </w:r>
            <w:r/>
          </w:p>
        </w:tc>
      </w:tr>
      <w:tr>
        <w:trPr>
          <w:trHeight w:val="78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f1115"/>
                <w:sz w:val="21"/>
                <w:szCs w:val="21"/>
                <w:shd w:val="clear" w:color="auto" w:fill="ffffff"/>
              </w:rPr>
              <w:t xml:space="preserve">系统支持设置文件定期审核提醒，并具备版本控制功能，可有效防止旧版文件的误用。</w:t>
            </w:r>
            <w:r/>
          </w:p>
        </w:tc>
      </w:tr>
      <w:tr>
        <w:trPr>
          <w:trHeight w:val="78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允许批量上传机构体系文件，系统需自动解析上传文件的名称及文件页数，可同时设置文件的版本号、版本日期、文件编码，以及文件适用的项目类型；</w:t>
            </w:r>
            <w:r/>
          </w:p>
        </w:tc>
      </w:tr>
      <w:tr>
        <w:trPr>
          <w:trHeight w:val="758"/>
        </w:trPr>
        <w:tc>
          <w:tcPr>
            <w:tcW w:w="495"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允许自定义配置体系文件的审核流程，不同的管理体系文件可配置不同的流程，如机构办的管理的体系文件由机构主任审核，科室的体系文件由科室主任审核；</w:t>
            </w:r>
            <w:r/>
          </w:p>
        </w:tc>
      </w:tr>
      <w:tr>
        <w:trPr>
          <w:trHeight w:val="90"/>
        </w:trPr>
        <w:tc>
          <w:tcPr>
            <w:tcW w:w="495"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可设置表格模板类型的文件可引用至项目使用，能够自动校验文件的最新版本，文件更新后能自动提醒所有未结题项目进行更新；</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允许查询体系文件的所有历史版本；</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spacing w:before="170" w:after="170"/>
              <w:widowControl w:val="off"/>
              <w:rPr>
                <w:rFonts w:ascii="宋体" w:hAnsi="宋体" w:cs="宋体"/>
                <w:sz w:val="21"/>
                <w:szCs w:val="21"/>
              </w:rPr>
            </w:pPr>
            <w:r>
              <w:rPr>
                <w:rFonts w:hint="eastAsia" w:ascii="宋体" w:hAnsi="宋体" w:cs="宋体"/>
                <w:sz w:val="21"/>
                <w:szCs w:val="21"/>
              </w:rPr>
              <w:t xml:space="preserve">项目模板</w:t>
            </w:r>
            <w:r/>
          </w:p>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对接CTMS系统，自动获取立项完成的项目，对项目需要受控的模板文件进行管理；</w:t>
            </w:r>
            <w:r/>
          </w:p>
        </w:tc>
      </w:tr>
      <w:tr>
        <w:trPr>
          <w:trHeight w:val="821"/>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允许在项目模板文件中配置规则参数，根据规则获取项目信息自动生成，如：项目名称、申办方名称、承担专业及PI等。</w:t>
            </w:r>
            <w:r/>
          </w:p>
        </w:tc>
      </w:tr>
      <w:tr>
        <w:trPr>
          <w:trHeight w:val="647"/>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允许受控文件水印可以按照机构要求自行配置；</w:t>
            </w:r>
            <w:r/>
          </w:p>
        </w:tc>
      </w:tr>
      <w:tr>
        <w:trPr>
          <w:trHeight w:val="647"/>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允许引用机构已生效的模板文件至项目中，申办方也可以直接上传其本地的模板文件，审核人员可在线对比项目模板文件与项目受控文件目录的一致性，经审核通过后进行在线打印/发放；</w:t>
            </w:r>
            <w:r/>
          </w:p>
        </w:tc>
      </w:tr>
      <w:tr>
        <w:trPr>
          <w:trHeight w:val="554"/>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允许机构自定义配置项目模板的审核流程；</w:t>
            </w:r>
            <w:r/>
          </w:p>
        </w:tc>
      </w:tr>
      <w:tr>
        <w:trPr>
          <w:trHeight w:val="560"/>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允许模版文件下发审批时短信提醒审核人；</w:t>
            </w:r>
            <w:r/>
          </w:p>
        </w:tc>
      </w:tr>
      <w:tr>
        <w:trPr>
          <w:trHeight w:val="72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允许按项目进行模板文件的版本更新，审核通过后自动生效最新版本，已失效版本不可再打印；</w:t>
            </w:r>
            <w:r/>
          </w:p>
        </w:tc>
      </w:tr>
      <w:tr>
        <w:trPr>
          <w:trHeight w:val="72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rPr>
              <w:t xml:space="preserve">运维管理</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允许自定义配置受控文件编码的生成规则，根据规则自动生成受控文件唯一编码。</w:t>
            </w:r>
            <w:r/>
          </w:p>
        </w:tc>
      </w:tr>
      <w:tr>
        <w:trPr>
          <w:trHeight w:val="72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sz w:val="21"/>
                <w:szCs w:val="21"/>
              </w:rPr>
              <w:t xml:space="preserve">允许对体系模板文件、项目模板文件进行替换申请及审核；</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tabs>
                <w:tab w:val="left" w:pos="401" w:leader="none"/>
              </w:tabs>
              <w:rPr>
                <w:rFonts w:ascii="宋体" w:hAnsi="宋体" w:cs="宋体"/>
                <w:color w:val="000000"/>
                <w:sz w:val="21"/>
                <w:szCs w:val="21"/>
              </w:rPr>
            </w:pPr>
            <w:r>
              <w:rPr>
                <w:rFonts w:hint="eastAsia" w:ascii="宋体" w:hAnsi="宋体" w:cs="宋体"/>
                <w:sz w:val="21"/>
                <w:szCs w:val="21"/>
              </w:rPr>
              <w:t xml:space="preserve">受控文件</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允许受控文件打印、发放、使用登记、回收、遗失、作废、销毁全流程管理。</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tabs>
                <w:tab w:val="left" w:pos="401" w:leader="none"/>
              </w:tabs>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能够满足线上、线下两种受控方式，对在线打印的文件进行线上受控，有装订或特殊纸张等要求的文件进行线下受控；</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tabs>
                <w:tab w:val="left" w:pos="401" w:leader="none"/>
              </w:tabs>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允许在线打印的受控文件，可自动生成防复印水印、文件唯一编码、审核人与审核时间以及打印人与打印时间等信息，可适配主流打印机；</w:t>
            </w:r>
            <w:r/>
          </w:p>
        </w:tc>
      </w:tr>
      <w:tr>
        <w:trPr>
          <w:trHeight w:val="5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tabs>
                <w:tab w:val="left" w:pos="401" w:leader="none"/>
              </w:tabs>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允许打印预览与调试；</w:t>
            </w:r>
            <w:r/>
          </w:p>
        </w:tc>
      </w:tr>
      <w:tr>
        <w:trPr>
          <w:trHeight w:val="374"/>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tabs>
                <w:tab w:val="left" w:pos="401" w:leader="none"/>
              </w:tabs>
              <w:rPr>
                <w:rFonts w:ascii="宋体" w:hAnsi="宋体" w:cs="宋体"/>
                <w:color w:val="000000"/>
                <w:sz w:val="21"/>
                <w:szCs w:val="21"/>
                <w:lang w:bidi="ar"/>
              </w:rPr>
            </w:pPr>
            <w:r>
              <w:rPr>
                <w:rFonts w:ascii="宋体" w:hAnsi="宋体" w:cs="宋体"/>
                <w:color w:val="000000"/>
                <w:sz w:val="21"/>
                <w:szCs w:val="21"/>
                <w:lang w:bidi="ar"/>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允许在线发起回收/作废/遗失申请及审核；</w:t>
            </w:r>
            <w:r/>
          </w:p>
        </w:tc>
      </w:tr>
      <w:tr>
        <w:trPr>
          <w:trHeight w:val="398"/>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允许按项目对受控文件进行统一销毁；</w:t>
            </w:r>
            <w:r/>
          </w:p>
        </w:tc>
      </w:tr>
      <w:tr>
        <w:trPr>
          <w:trHeight w:val="400"/>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允许按文件受控编码追溯文件的状态。</w:t>
            </w:r>
            <w:r/>
          </w:p>
        </w:tc>
      </w:tr>
      <w:tr>
        <w:trPr>
          <w:trHeight w:val="676"/>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restart"/>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 w:val="21"/>
                <w:szCs w:val="21"/>
              </w:rPr>
              <w:t xml:space="preserve">受控台账</w:t>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根据受控文件的使用情况进行记录，自动生成受控台账，可分别按项目、文件查询明细；</w:t>
            </w:r>
            <w:r/>
          </w:p>
        </w:tc>
      </w:tr>
      <w:tr>
        <w:trPr>
          <w:trHeight w:val="66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允许汇总统计受控文件的打印/发放份数、使用、回收/遗失/作废/销毁的份数，并打印使用记录报表；</w:t>
            </w:r>
            <w:r/>
          </w:p>
        </w:tc>
      </w:tr>
      <w:tr>
        <w:trPr>
          <w:trHeight w:val="472"/>
        </w:trPr>
        <w:tc>
          <w:tcPr>
            <w:tcW w:w="495"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706"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tcW w:w="3799" w:type="pct"/>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允许按份数溯源打印份数与使用、回收/遗失/作废/销毁份数的恒等。</w:t>
            </w:r>
            <w:r/>
          </w:p>
        </w:tc>
      </w:tr>
    </w:tbl>
    <w:p>
      <w:pPr>
        <w:pStyle w:val="1054"/>
        <w:ind w:left="0" w:firstLine="0"/>
        <w:tabs>
          <w:tab w:val="left" w:pos="1173" w:leader="none"/>
        </w:tabs>
        <w:rPr>
          <w:rFonts w:ascii="宋体" w:hAnsi="宋体" w:cs="宋体"/>
          <w:szCs w:val="21"/>
        </w:rPr>
      </w:pPr>
      <w:r>
        <w:rPr>
          <w:rFonts w:ascii="宋体" w:hAnsi="宋体" w:cs="宋体"/>
          <w:szCs w:val="21"/>
        </w:rPr>
      </w:r>
      <w:r/>
    </w:p>
    <w:p>
      <w:pPr>
        <w:pStyle w:val="1054"/>
        <w:ind w:left="0" w:firstLine="0"/>
        <w:tabs>
          <w:tab w:val="left" w:pos="1173" w:leader="none"/>
        </w:tabs>
        <w:rPr>
          <w:rFonts w:ascii="宋体" w:hAnsi="宋体" w:cs="宋体"/>
          <w:szCs w:val="21"/>
        </w:rPr>
      </w:pPr>
      <w:r>
        <w:rPr>
          <w:rFonts w:ascii="宋体" w:hAnsi="宋体" w:cs="宋体"/>
          <w:szCs w:val="21"/>
        </w:rPr>
      </w:r>
      <w:r/>
    </w:p>
    <w:p>
      <w:pPr>
        <w:ind w:left="0"/>
        <w:spacing w:line="360" w:lineRule="auto"/>
        <w:rPr>
          <w:rFonts w:ascii="宋体" w:hAnsi="宋体" w:cs="宋体"/>
          <w:b/>
          <w:sz w:val="21"/>
          <w:szCs w:val="21"/>
        </w:rPr>
        <w:outlineLvl w:val="1"/>
      </w:pPr>
      <w:r>
        <w:rPr>
          <w:rFonts w:hint="eastAsia" w:ascii="宋体" w:hAnsi="宋体" w:cs="宋体"/>
          <w:b/>
          <w:sz w:val="21"/>
          <w:szCs w:val="21"/>
        </w:rPr>
        <w:t xml:space="preserve">2、伦理审查系统功能模块及技术参数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592"/>
        <w:gridCol w:w="7123"/>
      </w:tblGrid>
      <w:tr>
        <w:trPr>
          <w:jc w:val="center"/>
          <w:trHeight w:val="90"/>
        </w:trPr>
        <w:tc>
          <w:tcPr>
            <w:shd w:val="clear" w:color="auto" w:fill="d7d7d7"/>
            <w:tcW w:w="1592" w:type="dxa"/>
            <w:vAlign w:val="center"/>
            <w:textDirection w:val="lrTb"/>
            <w:noWrap w:val="false"/>
          </w:tcPr>
          <w:p>
            <w:pPr>
              <w:ind w:left="0"/>
              <w:jc w:val="center"/>
              <w:rPr>
                <w:rFonts w:ascii="宋体" w:hAnsi="宋体" w:cs="宋体"/>
                <w:b/>
                <w:bCs/>
                <w:color w:val="000000"/>
                <w:sz w:val="21"/>
                <w:szCs w:val="21"/>
                <w:lang w:bidi="ar"/>
              </w:rPr>
            </w:pPr>
            <w:r>
              <w:rPr>
                <w:rFonts w:hint="eastAsia" w:ascii="宋体" w:hAnsi="宋体" w:cs="宋体"/>
                <w:b/>
                <w:bCs/>
                <w:color w:val="000000"/>
                <w:sz w:val="21"/>
                <w:szCs w:val="21"/>
                <w:lang w:bidi="ar"/>
              </w:rPr>
              <w:t xml:space="preserve">功能名称</w:t>
            </w:r>
            <w:r/>
          </w:p>
        </w:tc>
        <w:tc>
          <w:tcPr>
            <w:shd w:val="clear" w:color="auto" w:fill="d7d7d7"/>
            <w:tcW w:w="7123" w:type="dxa"/>
            <w:vAlign w:val="center"/>
            <w:textDirection w:val="lrTb"/>
            <w:noWrap w:val="false"/>
          </w:tcPr>
          <w:p>
            <w:pPr>
              <w:ind w:left="0"/>
              <w:jc w:val="center"/>
              <w:rPr>
                <w:rFonts w:ascii="宋体" w:hAnsi="宋体" w:cs="宋体"/>
                <w:b/>
                <w:bCs/>
                <w:color w:val="000000"/>
                <w:sz w:val="21"/>
                <w:szCs w:val="21"/>
                <w:lang w:bidi="ar"/>
              </w:rPr>
            </w:pPr>
            <w:r>
              <w:rPr>
                <w:rFonts w:hint="eastAsia" w:ascii="宋体" w:hAnsi="宋体" w:cs="宋体"/>
                <w:b/>
                <w:bCs/>
                <w:color w:val="000000"/>
                <w:sz w:val="21"/>
                <w:szCs w:val="21"/>
                <w:lang w:bidi="ar"/>
              </w:rPr>
              <w:t xml:space="preserve">功能要求</w:t>
            </w:r>
            <w:r/>
          </w:p>
        </w:tc>
      </w:tr>
      <w:tr>
        <w:trPr>
          <w:jc w:val="center"/>
          <w:trHeight w:val="830"/>
        </w:trPr>
        <w:tc>
          <w:tcPr>
            <w:shd w:val="clear" w:color="auto" w:fill="ffffff"/>
            <w:tcW w:w="1592"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系统管理</w:t>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rPr>
            </w:pPr>
            <w:r>
              <w:rPr>
                <w:rFonts w:hint="eastAsia" w:ascii="宋体" w:hAnsi="宋体" w:cs="宋体"/>
                <w:sz w:val="21"/>
                <w:szCs w:val="21"/>
                <w:lang w:bidi="ar"/>
              </w:rPr>
              <w:t xml:space="preserve">系</w:t>
            </w:r>
            <w:r>
              <w:rPr>
                <w:rFonts w:hint="eastAsia" w:ascii="宋体" w:hAnsi="宋体" w:cs="宋体"/>
                <w:sz w:val="21"/>
                <w:szCs w:val="21"/>
                <w:shd w:val="clear" w:color="auto" w:fill="ffffff"/>
                <w:lang w:bidi="ar"/>
              </w:rPr>
              <w:t xml:space="preserve">统内可以给每个人员分配不同角色，不同的角色可拥有不同的权限，如管理员、委员、伦理秘书、办公室主任、研究者、独立顾问等。</w:t>
            </w:r>
            <w:r/>
          </w:p>
        </w:tc>
      </w:tr>
      <w:tr>
        <w:trPr>
          <w:jc w:val="center"/>
          <w:trHeight w:val="830"/>
        </w:trPr>
        <w:tc>
          <w:tcPr>
            <w:shd w:val="clear" w:color="auto" w:fill="ffffff"/>
            <w:tcW w:w="1592"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系统能够支持伦理委员会在线管理账号，如新增、修改、启用、停用等操作。委员既可以自行创建账号，也可以由伦理秘书协助创建。系统能够自动生成唯一的人员账号，以自己的账号登录工作，分工明确，相互协作，各尽其职。</w:t>
            </w:r>
            <w:r/>
          </w:p>
        </w:tc>
      </w:tr>
      <w:tr>
        <w:trPr>
          <w:jc w:val="center"/>
          <w:trHeight w:val="830"/>
        </w:trPr>
        <w:tc>
          <w:tcPr>
            <w:shd w:val="clear" w:color="auto" w:fill="ffffff"/>
            <w:tcW w:w="1592" w:type="dxa"/>
            <w:vAlign w:val="center"/>
            <w:vMerge w:val="continue"/>
            <w:textDirection w:val="lrTb"/>
            <w:noWrap w:val="false"/>
          </w:tcPr>
          <w:p>
            <w:pPr>
              <w:ind w:left="0"/>
              <w:rPr>
                <w:rFonts w:ascii="宋体" w:hAnsi="宋体" w:cs="宋体"/>
                <w:sz w:val="21"/>
                <w:szCs w:val="21"/>
                <w:lang w:bidi="ar"/>
              </w:rPr>
            </w:pPr>
            <w:r>
              <w:rPr>
                <w:rFonts w:ascii="宋体" w:hAnsi="宋体" w:cs="宋体"/>
                <w:sz w:val="21"/>
                <w:szCs w:val="21"/>
                <w:lang w:bidi="ar"/>
              </w:rPr>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项目的展示要满足数据独立、相互隔离的要求，申请人登录仅可查看该账号下所提交的项目信息。</w:t>
            </w:r>
            <w:r/>
          </w:p>
        </w:tc>
      </w:tr>
      <w:tr>
        <w:trPr>
          <w:jc w:val="center"/>
          <w:trHeight w:val="830"/>
        </w:trPr>
        <w:tc>
          <w:tcPr>
            <w:shd w:val="clear" w:color="auto" w:fill="ffffff"/>
            <w:tcW w:w="1592" w:type="dxa"/>
            <w:vAlign w:val="center"/>
            <w:vMerge w:val="continue"/>
            <w:textDirection w:val="lrTb"/>
            <w:noWrap w:val="false"/>
          </w:tcPr>
          <w:p>
            <w:pPr>
              <w:ind w:left="0"/>
              <w:rPr>
                <w:rFonts w:ascii="宋体" w:hAnsi="宋体" w:cs="宋体"/>
                <w:sz w:val="21"/>
                <w:szCs w:val="21"/>
                <w:lang w:bidi="ar"/>
              </w:rPr>
            </w:pPr>
            <w:r>
              <w:rPr>
                <w:rFonts w:ascii="宋体" w:hAnsi="宋体" w:cs="宋体"/>
                <w:sz w:val="21"/>
                <w:szCs w:val="21"/>
                <w:lang w:bidi="ar"/>
              </w:rPr>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在线管理伦理委员会的基本信息，委员会信息要能在生成批件时自动填充。</w:t>
            </w:r>
            <w:r/>
          </w:p>
        </w:tc>
      </w:tr>
      <w:tr>
        <w:trPr>
          <w:jc w:val="center"/>
          <w:trHeight w:val="830"/>
        </w:trPr>
        <w:tc>
          <w:tcPr>
            <w:shd w:val="clear" w:color="auto" w:fill="ffffff"/>
            <w:tcW w:w="1592" w:type="dxa"/>
            <w:vAlign w:val="center"/>
            <w:vMerge w:val="continue"/>
            <w:textDirection w:val="lrTb"/>
            <w:noWrap w:val="false"/>
          </w:tcPr>
          <w:p>
            <w:pPr>
              <w:ind w:left="0"/>
              <w:rPr>
                <w:rFonts w:ascii="宋体" w:hAnsi="宋体" w:cs="宋体"/>
                <w:sz w:val="21"/>
                <w:szCs w:val="21"/>
                <w:lang w:bidi="ar"/>
              </w:rPr>
            </w:pPr>
            <w:r>
              <w:rPr>
                <w:rFonts w:ascii="宋体" w:hAnsi="宋体" w:cs="宋体"/>
                <w:sz w:val="21"/>
                <w:szCs w:val="21"/>
                <w:lang w:bidi="ar"/>
              </w:rPr>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需可以设置文档个人姓名水印、文本水印及图片水印，并在预览文件、下载文件时需携带已设置的水印，使文件受控。</w:t>
            </w:r>
            <w:r/>
          </w:p>
        </w:tc>
      </w:tr>
      <w:tr>
        <w:trPr>
          <w:jc w:val="center"/>
          <w:trHeight w:val="830"/>
        </w:trPr>
        <w:tc>
          <w:tcPr>
            <w:shd w:val="clear" w:color="auto" w:fill="ffffff"/>
            <w:tcW w:w="1592" w:type="dxa"/>
            <w:vAlign w:val="center"/>
            <w:vMerge w:val="continue"/>
            <w:textDirection w:val="lrTb"/>
            <w:noWrap w:val="false"/>
          </w:tcPr>
          <w:p>
            <w:pPr>
              <w:ind w:left="0"/>
              <w:rPr>
                <w:rFonts w:ascii="宋体" w:hAnsi="宋体" w:cs="宋体"/>
                <w:sz w:val="21"/>
                <w:szCs w:val="21"/>
                <w:lang w:bidi="ar"/>
              </w:rPr>
            </w:pPr>
            <w:r>
              <w:rPr>
                <w:rFonts w:ascii="宋体" w:hAnsi="宋体" w:cs="宋体"/>
                <w:sz w:val="21"/>
                <w:szCs w:val="21"/>
                <w:lang w:bidi="ar"/>
              </w:rPr>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系统需支持在秘书受理后可指定“主任委员/副主任委员/办公室主任”任意一种角色进行受理后的审核，并可指定相应角色下具体人员。</w:t>
            </w:r>
            <w:r/>
          </w:p>
        </w:tc>
      </w:tr>
      <w:tr>
        <w:trPr>
          <w:jc w:val="center"/>
          <w:trHeight w:val="620"/>
        </w:trPr>
        <w:tc>
          <w:tcPr>
            <w:shd w:val="clear" w:color="auto" w:fill="ffffff"/>
            <w:tcW w:w="1592" w:type="dxa"/>
            <w:vAlign w:val="center"/>
            <w:vMerge w:val="restart"/>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组织</w:t>
            </w:r>
            <w:r/>
          </w:p>
          <w:p>
            <w:pPr>
              <w:ind w:left="0"/>
              <w:jc w:val="center"/>
              <w:rPr>
                <w:rFonts w:ascii="宋体" w:hAnsi="宋体" w:cs="宋体"/>
                <w:sz w:val="21"/>
                <w:szCs w:val="21"/>
                <w:lang w:bidi="ar"/>
              </w:rPr>
            </w:pPr>
            <w:r>
              <w:rPr>
                <w:rFonts w:hint="eastAsia" w:ascii="宋体" w:hAnsi="宋体" w:cs="宋体"/>
                <w:sz w:val="21"/>
                <w:szCs w:val="21"/>
                <w:lang w:bidi="ar"/>
              </w:rPr>
              <w:t xml:space="preserve">管理</w:t>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伦理委员会可以在线填写组织信息，并提交伦理委员会管理机构进行认证审核。</w:t>
            </w:r>
            <w:r/>
          </w:p>
        </w:tc>
      </w:tr>
      <w:tr>
        <w:trPr>
          <w:jc w:val="center"/>
          <w:trHeight w:val="620"/>
        </w:trPr>
        <w:tc>
          <w:tcPr>
            <w:shd w:val="clear" w:color="auto" w:fill="ffffff"/>
            <w:tcW w:w="1592" w:type="dxa"/>
            <w:vAlign w:val="center"/>
            <w:vMerge w:val="continue"/>
            <w:textDirection w:val="lrTb"/>
            <w:noWrap w:val="false"/>
          </w:tcPr>
          <w:p>
            <w:pPr>
              <w:ind w:left="0"/>
              <w:tabs>
                <w:tab w:val="left" w:pos="0" w:leader="none"/>
              </w:tabs>
              <w:rPr>
                <w:rFonts w:ascii="宋体" w:hAnsi="宋体" w:cs="宋体"/>
                <w:sz w:val="21"/>
                <w:szCs w:val="21"/>
              </w:rPr>
            </w:pPr>
            <w:r>
              <w:rPr>
                <w:rFonts w:ascii="宋体" w:hAnsi="宋体" w:cs="宋体"/>
                <w:sz w:val="21"/>
                <w:szCs w:val="21"/>
              </w:rPr>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支持本单位多级监督管理需求，可进行本单位下多个伦理委员会的管理模式，并能实现按层级进行组织信息、项目信息的监督。</w:t>
            </w:r>
            <w:r/>
          </w:p>
        </w:tc>
      </w:tr>
      <w:tr>
        <w:trPr>
          <w:jc w:val="center"/>
          <w:trHeight w:val="620"/>
        </w:trPr>
        <w:tc>
          <w:tcPr>
            <w:shd w:val="clear" w:color="auto" w:fill="ffffff"/>
            <w:tcW w:w="1592" w:type="dxa"/>
            <w:vAlign w:val="center"/>
            <w:vMerge w:val="continue"/>
            <w:textDirection w:val="lrTb"/>
            <w:noWrap w:val="false"/>
          </w:tcPr>
          <w:p>
            <w:pPr>
              <w:ind w:left="0"/>
              <w:tabs>
                <w:tab w:val="left" w:pos="0" w:leader="none"/>
              </w:tabs>
              <w:rPr>
                <w:rFonts w:ascii="宋体" w:hAnsi="宋体" w:cs="宋体"/>
                <w:sz w:val="21"/>
                <w:szCs w:val="21"/>
                <w:highlight w:val="yellow"/>
                <w:lang w:bidi="ar"/>
              </w:rPr>
            </w:pPr>
            <w:r>
              <w:rPr>
                <w:rFonts w:ascii="宋体" w:hAnsi="宋体" w:cs="宋体"/>
                <w:sz w:val="21"/>
                <w:szCs w:val="21"/>
                <w:highlight w:val="yellow"/>
                <w:lang w:bidi="ar"/>
              </w:rPr>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实现上级委员会下多个分委会的管理模式，如审核分委会组织注册信息、组织变更信息等。</w:t>
            </w:r>
            <w:r/>
          </w:p>
        </w:tc>
      </w:tr>
      <w:tr>
        <w:trPr>
          <w:jc w:val="center"/>
          <w:trHeight w:val="724"/>
        </w:trPr>
        <w:tc>
          <w:tcPr>
            <w:shd w:val="clear" w:color="auto" w:fill="ffffff"/>
            <w:tcW w:w="1592"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人员管理</w:t>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可管理人员的个人信息，如基本信息、教育经历、培训记录等，委员发生变更时可进行委员的更换。                </w:t>
            </w:r>
            <w:r/>
          </w:p>
        </w:tc>
      </w:tr>
      <w:tr>
        <w:trPr>
          <w:jc w:val="center"/>
          <w:trHeight w:val="724"/>
        </w:trPr>
        <w:tc>
          <w:tcPr>
            <w:shd w:val="clear" w:color="auto" w:fill="ffffff"/>
            <w:tcW w:w="1592" w:type="dxa"/>
            <w:vAlign w:val="center"/>
            <w:vMerge w:val="continue"/>
            <w:textDirection w:val="lrTb"/>
            <w:noWrap w:val="false"/>
          </w:tcPr>
          <w:p>
            <w:pPr>
              <w:ind w:left="0"/>
              <w:tabs>
                <w:tab w:val="left" w:pos="0" w:leader="none"/>
              </w:tabs>
              <w:rPr>
                <w:rFonts w:ascii="宋体" w:hAnsi="宋体" w:cs="宋体"/>
                <w:sz w:val="21"/>
                <w:szCs w:val="21"/>
              </w:rPr>
            </w:pPr>
            <w:r>
              <w:rPr>
                <w:rFonts w:ascii="宋体" w:hAnsi="宋体" w:cs="宋体"/>
                <w:sz w:val="21"/>
                <w:szCs w:val="21"/>
              </w:rPr>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系统支持将委员、顾问、普通人员分开独立管理，形成委员专家库、顾问专家库，并支持委员的禁用、解聘操作。</w:t>
            </w:r>
            <w:r/>
          </w:p>
        </w:tc>
      </w:tr>
      <w:tr>
        <w:trPr>
          <w:jc w:val="center"/>
          <w:trHeight w:val="724"/>
        </w:trPr>
        <w:tc>
          <w:tcPr>
            <w:shd w:val="clear" w:color="auto" w:fill="ffffff"/>
            <w:tcW w:w="1592" w:type="dxa"/>
            <w:vAlign w:val="center"/>
            <w:vMerge w:val="continue"/>
            <w:textDirection w:val="lrTb"/>
            <w:noWrap w:val="false"/>
          </w:tcPr>
          <w:p>
            <w:pPr>
              <w:ind w:left="0"/>
              <w:tabs>
                <w:tab w:val="left" w:pos="0" w:leader="none"/>
              </w:tabs>
              <w:rPr>
                <w:rFonts w:ascii="宋体" w:hAnsi="宋体" w:cs="宋体"/>
                <w:sz w:val="21"/>
                <w:szCs w:val="21"/>
                <w:lang w:bidi="ar"/>
              </w:rPr>
            </w:pPr>
            <w:r>
              <w:rPr>
                <w:rFonts w:ascii="宋体" w:hAnsi="宋体" w:cs="宋体"/>
                <w:sz w:val="21"/>
                <w:szCs w:val="21"/>
                <w:lang w:bidi="ar"/>
              </w:rPr>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系统支持设置委员会届次信息，如设置当届届次信息，支持对委员进行换届、续聘操作，并可对本届委员、历届委员信息进行管理。  </w:t>
            </w:r>
            <w:r/>
          </w:p>
        </w:tc>
      </w:tr>
      <w:tr>
        <w:trPr>
          <w:jc w:val="center"/>
          <w:trHeight w:val="624"/>
        </w:trPr>
        <w:tc>
          <w:tcPr>
            <w:shd w:val="clear" w:color="auto" w:fill="ffffff"/>
            <w:tcW w:w="15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角色管理</w:t>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支持管理员按不同岗位设置角色，允许针对不同角色分配详细的功能、按钮权限。</w:t>
            </w:r>
            <w:r/>
          </w:p>
        </w:tc>
      </w:tr>
      <w:tr>
        <w:trPr>
          <w:jc w:val="center"/>
          <w:trHeight w:val="624"/>
        </w:trPr>
        <w:tc>
          <w:tcPr>
            <w:shd w:val="clear" w:color="auto" w:fill="ffffff"/>
            <w:tcW w:w="1592"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文件管理</w:t>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可以在线管理伦理委员会的组织文件，如体系文件、指南、委员聘书等；能自由选择审阅人员，并可及时查看各委员反馈的修订意见，设定文件生效状态。</w:t>
            </w:r>
            <w:r/>
          </w:p>
        </w:tc>
      </w:tr>
      <w:tr>
        <w:trPr>
          <w:jc w:val="center"/>
          <w:trHeight w:val="624"/>
        </w:trPr>
        <w:tc>
          <w:tcPr>
            <w:shd w:val="clear" w:color="auto" w:fill="ffffff"/>
            <w:tcW w:w="1592" w:type="dxa"/>
            <w:vAlign w:val="center"/>
            <w:vMerge w:val="continue"/>
            <w:textDirection w:val="lrTb"/>
            <w:noWrap w:val="false"/>
          </w:tcPr>
          <w:p>
            <w:pPr>
              <w:ind w:left="0"/>
              <w:jc w:val="center"/>
              <w:widowControl w:val="off"/>
              <w:rPr>
                <w:rFonts w:ascii="宋体" w:hAnsi="宋体" w:cs="宋体"/>
                <w:sz w:val="21"/>
                <w:szCs w:val="21"/>
              </w:rPr>
            </w:pPr>
            <w:r>
              <w:rPr>
                <w:rFonts w:ascii="宋体" w:hAnsi="宋体" w:cs="宋体"/>
                <w:sz w:val="21"/>
                <w:szCs w:val="21"/>
              </w:rPr>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提供单独发起文件签署的流程，如利益冲突、用章申请、保密协议等可以在线发起给相关人员在线签署，并能实时跟进签署进度，主动催办。</w:t>
            </w:r>
            <w:r/>
          </w:p>
        </w:tc>
      </w:tr>
      <w:tr>
        <w:trPr>
          <w:jc w:val="center"/>
          <w:trHeight w:val="312"/>
        </w:trPr>
        <w:tc>
          <w:tcPr>
            <w:shd w:val="clear" w:color="auto" w:fill="ffffff"/>
            <w:tcW w:w="1592" w:type="dxa"/>
            <w:vAlign w:val="center"/>
            <w:vMerge w:val="continue"/>
            <w:textDirection w:val="lrTb"/>
            <w:noWrap w:val="false"/>
          </w:tcPr>
          <w:p>
            <w:pPr>
              <w:ind w:left="0"/>
              <w:jc w:val="center"/>
              <w:widowControl w:val="off"/>
              <w:rPr>
                <w:rFonts w:ascii="宋体" w:hAnsi="宋体" w:cs="宋体"/>
                <w:sz w:val="21"/>
                <w:szCs w:val="21"/>
              </w:rPr>
            </w:pPr>
            <w:r>
              <w:rPr>
                <w:rFonts w:ascii="宋体" w:hAnsi="宋体" w:cs="宋体"/>
                <w:sz w:val="21"/>
                <w:szCs w:val="21"/>
              </w:rPr>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支持审查结束后相关文件自动归档，归档后的文件如需查看或下载，需发起借阅申请。</w:t>
            </w:r>
            <w:r/>
          </w:p>
        </w:tc>
      </w:tr>
      <w:tr>
        <w:trPr>
          <w:jc w:val="center"/>
          <w:trHeight w:val="90"/>
        </w:trPr>
        <w:tc>
          <w:tcPr>
            <w:shd w:val="clear" w:color="auto" w:fill="ffffff"/>
            <w:tcW w:w="1592"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门户管理</w:t>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可以在线设置伦理委员会对外展示的门户，可发布图文、图片、视频、音频等信息，并按照制定的模板效果、顺序进行展示。</w:t>
            </w:r>
            <w:r/>
          </w:p>
        </w:tc>
      </w:tr>
      <w:tr>
        <w:trPr>
          <w:jc w:val="center"/>
          <w:trHeight w:val="932"/>
        </w:trPr>
        <w:tc>
          <w:tcPr>
            <w:shd w:val="clear" w:color="auto" w:fill="ffffff"/>
            <w:tcW w:w="1592" w:type="dxa"/>
            <w:vAlign w:val="center"/>
            <w:vMerge w:val="continue"/>
            <w:textDirection w:val="lrTb"/>
            <w:noWrap w:val="false"/>
          </w:tcPr>
          <w:p>
            <w:pPr>
              <w:ind w:left="0"/>
              <w:tabs>
                <w:tab w:val="left" w:pos="0" w:leader="none"/>
              </w:tabs>
              <w:rPr>
                <w:rFonts w:ascii="宋体" w:hAnsi="宋体" w:cs="宋体"/>
                <w:sz w:val="21"/>
                <w:szCs w:val="21"/>
              </w:rPr>
            </w:pPr>
            <w:r>
              <w:rPr>
                <w:rFonts w:ascii="宋体" w:hAnsi="宋体" w:cs="宋体"/>
                <w:sz w:val="21"/>
                <w:szCs w:val="21"/>
              </w:rPr>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支持对门户网站的展示栏目与信息进行自定义配置，如设定：制度法规在线阅览、伦理委员会办事指南、通知公告以及表单、模板下载中心等。</w:t>
            </w:r>
            <w:r/>
          </w:p>
        </w:tc>
      </w:tr>
      <w:tr>
        <w:trPr>
          <w:jc w:val="center"/>
          <w:trHeight w:val="932"/>
        </w:trPr>
        <w:tc>
          <w:tcPr>
            <w:shd w:val="clear" w:color="auto" w:fill="ffffff"/>
            <w:tcW w:w="1592" w:type="dxa"/>
            <w:vAlign w:val="center"/>
            <w:vMerge w:val="continue"/>
            <w:textDirection w:val="lrTb"/>
            <w:noWrap w:val="false"/>
          </w:tcPr>
          <w:p>
            <w:pPr>
              <w:ind w:left="0"/>
              <w:tabs>
                <w:tab w:val="left" w:pos="0" w:leader="none"/>
              </w:tabs>
              <w:rPr>
                <w:rFonts w:ascii="宋体" w:hAnsi="宋体" w:cs="宋体"/>
                <w:sz w:val="21"/>
                <w:szCs w:val="21"/>
                <w:lang w:bidi="ar"/>
              </w:rPr>
            </w:pPr>
            <w:r>
              <w:rPr>
                <w:rFonts w:ascii="宋体" w:hAnsi="宋体" w:cs="宋体"/>
                <w:sz w:val="21"/>
                <w:szCs w:val="21"/>
                <w:lang w:bidi="ar"/>
              </w:rPr>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申请人可以通过该门户去了解伦理委员会的基本情况，查阅和下载伦理申请所需的相关文件，熟悉伦理委员会的审查流程，能够直接通过网站递交项目资料，查阅项目受理信息与查看进展、获取批件，减少沟通成本。</w:t>
            </w:r>
            <w:r/>
          </w:p>
        </w:tc>
      </w:tr>
      <w:tr>
        <w:trPr>
          <w:jc w:val="center"/>
          <w:trHeight w:val="624"/>
        </w:trPr>
        <w:tc>
          <w:tcPr>
            <w:shd w:val="clear" w:color="auto" w:fill="ffffff"/>
            <w:tcW w:w="159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模板</w:t>
            </w:r>
            <w:r/>
          </w:p>
          <w:p>
            <w:pPr>
              <w:ind w:left="0"/>
              <w:jc w:val="center"/>
              <w:rPr>
                <w:rFonts w:ascii="宋体" w:hAnsi="宋体" w:cs="宋体"/>
                <w:sz w:val="21"/>
                <w:szCs w:val="21"/>
              </w:rPr>
            </w:pPr>
            <w:r>
              <w:rPr>
                <w:rFonts w:hint="eastAsia" w:ascii="宋体" w:hAnsi="宋体" w:cs="宋体"/>
                <w:sz w:val="21"/>
                <w:szCs w:val="21"/>
                <w:lang w:bidi="ar"/>
              </w:rPr>
              <w:t xml:space="preserve">配置</w:t>
            </w:r>
            <w:r/>
          </w:p>
        </w:tc>
        <w:tc>
          <w:tcPr>
            <w:shd w:val="clear" w:color="auto" w:fill="ffffff"/>
            <w:tcW w:w="7123" w:type="dxa"/>
            <w:vAlign w:val="center"/>
            <w:textDirection w:val="lrTb"/>
            <w:noWrap w:val="false"/>
          </w:tcPr>
          <w:p>
            <w:pPr>
              <w:ind w:left="0"/>
              <w:tabs>
                <w:tab w:val="left" w:pos="0" w:leader="none"/>
              </w:tabs>
              <w:rPr>
                <w:rFonts w:ascii="宋体" w:hAnsi="宋体" w:cs="宋体"/>
                <w:sz w:val="21"/>
                <w:szCs w:val="21"/>
                <w:lang w:bidi="ar"/>
              </w:rPr>
            </w:pPr>
            <w:r>
              <w:rPr>
                <w:rFonts w:hint="eastAsia" w:ascii="宋体" w:hAnsi="宋体" w:cs="宋体"/>
                <w:sz w:val="21"/>
                <w:szCs w:val="21"/>
                <w:lang w:bidi="ar"/>
              </w:rPr>
              <w:t xml:space="preserve">提供配置化功能，以便系统能够根据伦理委员会的SOP在系统中灵活嵌入，并支持伦理委员会SOP更新升级后，也能在系统中快速调整，包括：</w:t>
            </w:r>
            <w:r/>
          </w:p>
          <w:p>
            <w:pPr>
              <w:numPr>
                <w:ilvl w:val="0"/>
                <w:numId w:val="2"/>
              </w:numPr>
              <w:ind w:left="0"/>
              <w:widowControl w:val="off"/>
              <w:rPr>
                <w:rFonts w:ascii="宋体" w:hAnsi="宋体" w:cs="宋体"/>
                <w:sz w:val="21"/>
                <w:szCs w:val="21"/>
                <w:lang w:bidi="ar"/>
              </w:rPr>
            </w:pPr>
            <w:r>
              <w:rPr>
                <w:rFonts w:hint="eastAsia" w:ascii="宋体" w:hAnsi="宋体" w:cs="宋体"/>
                <w:sz w:val="21"/>
                <w:szCs w:val="21"/>
                <w:lang w:bidi="ar"/>
              </w:rPr>
              <w:t xml:space="preserve">送审文件清单管理：可根据各种项目类型、审查类型、审查方式，分别设置不同的送审文件清单要求，包括文件目录、数量、格式、日期及版本信息、可上传模板文件并提醒申请人使用新模板。 </w:t>
            </w:r>
            <w:r/>
          </w:p>
          <w:p>
            <w:pPr>
              <w:numPr>
                <w:ilvl w:val="0"/>
                <w:numId w:val="2"/>
              </w:numPr>
              <w:ind w:left="0"/>
              <w:widowControl w:val="off"/>
              <w:rPr>
                <w:rFonts w:ascii="宋体" w:hAnsi="宋体" w:cs="宋体"/>
                <w:sz w:val="21"/>
                <w:szCs w:val="21"/>
                <w:lang w:bidi="ar"/>
              </w:rPr>
            </w:pPr>
            <w:r>
              <w:rPr>
                <w:rFonts w:hint="eastAsia" w:ascii="宋体" w:hAnsi="宋体" w:cs="宋体"/>
                <w:sz w:val="21"/>
                <w:szCs w:val="21"/>
                <w:lang w:bidi="ar"/>
              </w:rPr>
              <w:t xml:space="preserve">审查批件及意见函等文档模板管理：管理伦理委员会各种审查结果文档，如：批件、审查意见表、投票单等，系统支持识别文档模板自动生成相应文件；                                                                  </w:t>
            </w:r>
            <w:r/>
          </w:p>
          <w:p>
            <w:pPr>
              <w:numPr>
                <w:ilvl w:val="0"/>
                <w:numId w:val="2"/>
              </w:numPr>
              <w:ind w:left="0"/>
              <w:jc w:val="left"/>
              <w:widowControl w:val="off"/>
              <w:rPr>
                <w:rFonts w:ascii="宋体" w:hAnsi="宋体" w:cs="宋体"/>
                <w:sz w:val="21"/>
                <w:szCs w:val="21"/>
                <w:lang w:bidi="ar"/>
              </w:rPr>
            </w:pPr>
            <w:r>
              <w:rPr>
                <w:rFonts w:hint="eastAsia" w:ascii="宋体" w:hAnsi="宋体" w:cs="宋体"/>
                <w:sz w:val="21"/>
                <w:szCs w:val="21"/>
                <w:lang w:bidi="ar"/>
              </w:rPr>
              <w:t xml:space="preserve">审查标准管理：支持设置伦理委员审查事项与独立顾问的咨询事项，并支持不同人员的专业分配不同的审查事项与咨询事项。                                                                                   （4）其他：系统要支持合规性参数设置，如设置会审、简审法定人数要求、表决一致人数要求、会议提醒时间要求、人员请假要求、批件整理周期要求等伦理委员会日常运行的SOP规定。</w:t>
            </w:r>
            <w:r/>
          </w:p>
        </w:tc>
      </w:tr>
      <w:tr>
        <w:trPr>
          <w:jc w:val="center"/>
          <w:trHeight w:val="624"/>
        </w:trPr>
        <w:tc>
          <w:tcPr>
            <w:shd w:val="clear" w:color="auto" w:fill="ffffff"/>
            <w:tcW w:w="159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批件生成</w:t>
            </w:r>
            <w:r/>
          </w:p>
        </w:tc>
        <w:tc>
          <w:tcPr>
            <w:shd w:val="clear" w:color="auto" w:fill="ffffff"/>
            <w:tcW w:w="7123" w:type="dxa"/>
            <w:vAlign w:val="center"/>
            <w:textDirection w:val="lrTb"/>
            <w:noWrap w:val="false"/>
          </w:tcPr>
          <w:p>
            <w:pPr>
              <w:ind w:left="0"/>
              <w:jc w:val="left"/>
              <w:rPr>
                <w:rFonts w:ascii="宋体" w:hAnsi="宋体" w:cs="宋体"/>
                <w:sz w:val="21"/>
                <w:szCs w:val="21"/>
                <w:lang w:bidi="ar"/>
              </w:rPr>
            </w:pPr>
            <w:r>
              <w:rPr>
                <w:rFonts w:hint="eastAsia" w:ascii="宋体" w:hAnsi="宋体" w:cs="宋体"/>
                <w:sz w:val="21"/>
                <w:szCs w:val="21"/>
                <w:lang w:bidi="ar"/>
              </w:rPr>
              <w:t xml:space="preserve">（1）允许根据不同伦理委员会的要求和试验类型（如药物、器械、临床研究等）灵活配置审查批件模板，系统能够自动匹配并生成相应的批件内容，且支持下载、修改、更新文件，所有操作记录都会完整保留，确保整个过程既高效又合规。</w:t>
            </w:r>
            <w:r>
              <w:rPr>
                <w:rFonts w:hint="eastAsia" w:ascii="宋体" w:hAnsi="宋体" w:cs="宋体"/>
                <w:sz w:val="21"/>
                <w:szCs w:val="21"/>
                <w:lang w:bidi="ar"/>
              </w:rPr>
              <w:br/>
              <w:t xml:space="preserve">（2）支持批量整理及批量生成审查结果文件，批量应用设置的跟踪审查频率信息、支持将受理号/备案号自动填充为批件号。</w:t>
            </w:r>
            <w:r/>
          </w:p>
        </w:tc>
      </w:tr>
      <w:tr>
        <w:trPr>
          <w:jc w:val="center"/>
          <w:trHeight w:val="312"/>
        </w:trPr>
        <w:tc>
          <w:tcPr>
            <w:shd w:val="clear" w:color="auto" w:fill="ffffff"/>
            <w:tcW w:w="15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在线审查</w:t>
            </w:r>
            <w:r/>
          </w:p>
        </w:tc>
        <w:tc>
          <w:tcPr>
            <w:shd w:val="clear" w:color="auto" w:fill="ffffff"/>
            <w:tcW w:w="7123" w:type="dxa"/>
            <w:vAlign w:val="center"/>
            <w:textDirection w:val="lrTb"/>
            <w:noWrap w:val="false"/>
          </w:tcPr>
          <w:p>
            <w:pPr>
              <w:ind w:left="0"/>
              <w:jc w:val="left"/>
              <w:rPr>
                <w:rFonts w:ascii="宋体" w:hAnsi="宋体" w:cs="宋体"/>
                <w:sz w:val="21"/>
                <w:szCs w:val="21"/>
                <w:lang w:bidi="ar"/>
              </w:rPr>
            </w:pPr>
            <w:r>
              <w:rPr>
                <w:rFonts w:hint="eastAsia" w:ascii="宋体" w:hAnsi="宋体" w:cs="宋体"/>
                <w:sz w:val="21"/>
                <w:szCs w:val="21"/>
                <w:lang w:bidi="ar"/>
              </w:rPr>
              <w:t xml:space="preserve">实现申请、受理、审查、传达决定、文件存档的全流程在线审查管理：   </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（1）项目类型：支持根据委员会按需求进行配置，如药物、器械、体外诊断试剂、医疗新技术、科研项目、实验动物、人工智能等多种项目类型，并且可以根据需求配置申请人填写的项目申请表单。    </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2）审查类型：支持申报前审查、初始审查、修正案审查、年度定期跟踪审查、严重不良事件审查、SUSAR审查、不依从/违背方案审查、暂停/终止研究审查、暂停研究再启动审查、复审、复核后再审、备案、免除审查等各种审查类型。</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（3）审查方式：支持简易审查、会议审查、紧急会议审查多种审查方式。                                              </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（4）投票表决项：支持根据委员会需求按项目分类、审查类型、审查方式配置投票表决选项及表决项名称。     </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（5）送审文件：支持基于不同审查目的的审查文件类型配置，在伦理申请时可自动加载并向申请人提供向导提示，可精细控制文件的格式、数量、是否必传、版本日期是否必填，帮助申请人快速正确提交文件。  </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★（6）支持设置项目文件的盲态和非盲态，并且可通过权限控制对盲态文件的查看权限，如盲态研究者不可查看盲态文件。                                                       </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7）审查受理与处理：支持伦理秘书对各类审查申请在线形式审查、受理，可初步指定审查方式、分配主审委员并由主委最终确定等伦理审查受理与处理业务。支持常见问题回复选项，可设置常见回复用语并自动生成受理回执函。申请人进行送审文件的修改后系统自动记录修改内容。受理成功后，所有资料自动添加水印，项目可自动生成受理号或备案号，支持秘书受理时可选择“备案”发起批件签署流程。受理通过后自动生成递交信回执文件，并发起在线签署。</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（8）指派主审：支持在伦理秘书受理时、主任委员等角色处理审查时，可指定具体主审委员。并且在安排会议前支持主任委员等角色更换主审委员，在安排会议时秘书可根据要求调整主审委员。</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（9）委员预审：针对会议审查项目，在预审窗口期内为上会委员提供审查项目送审材料的在线审阅。 </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（10）主审审查：支持伦理审查的主审审查并实现审查文件的在线审阅，审查要素工作表的在线填报、在线签名。</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（11）独立顾问咨询表：根据伦理审查的需要，支持添加独立顾问咨询表的咨询事项配置并实现在线咨询填报。   </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12）会议安排：支持伦理秘书可以随时创建会议，设定参会时间和地点，添加参会委员、顾问、会议中需要签署的文档、拟上会的项目、本次会议通报项目、通报文件等内容，并支持向参会委员及顾问自动发送会议通知的功能。当会议的时间和地点发生变更时，系统能自动重新发送消息提醒参会人员。  </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（13）支持伦理会议所需的委员签到表、审查投票表等文件的自动生成与输出，支持会议议程、会议记录的上传以及在线生成会议纪要并允许修改内容、下载、在线签字。</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（14）投票过程中，支持通过手机、平板、电脑三种方式进行在线投票。委员投票信息需自动关联到每个项目的会议审查决议表中，同时支持会中投票结果的统计汇总。                                                                                                                                                                                  </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（15）支持秘书可批量发放项目审查结果文件，可撤回已发放的批件，且支持补发批件。伦理审查缴费记录关联审查记录，秘书发放批件时可查看该审查是否已缴费。</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（16）系统能自动识别汇总快到年审期限的项目发送通知，同时支持对已逾期年审项目批量发送催办消息，提醒申请人及研究者。 </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★（17）支持以单个项目为维度，在同一页面快速切换查阅该项目历次递交的审查记录，包含：审查状态、送审材料、修改记录、审查进度、递交回执文件、批件等。</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（18）支持通过语义结构智能分析检测项目的相似度。</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（19）支持设置始审查结果需专家复核时，限制申请人必须完成“复核后再审”审查，才可递交其它类型的跟踪审查。</w:t>
            </w:r>
            <w:r/>
          </w:p>
        </w:tc>
      </w:tr>
      <w:tr>
        <w:trPr>
          <w:jc w:val="center"/>
          <w:trHeight w:val="414"/>
        </w:trPr>
        <w:tc>
          <w:tcPr>
            <w:shd w:val="clear" w:color="auto" w:fill="ffffff"/>
            <w:tcW w:w="15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在线</w:t>
            </w:r>
            <w:r/>
          </w:p>
          <w:p>
            <w:pPr>
              <w:ind w:left="0"/>
              <w:jc w:val="center"/>
              <w:widowControl w:val="off"/>
              <w:rPr>
                <w:rFonts w:ascii="宋体" w:hAnsi="宋体" w:cs="宋体"/>
                <w:sz w:val="21"/>
                <w:szCs w:val="21"/>
              </w:rPr>
            </w:pPr>
            <w:r>
              <w:rPr>
                <w:rFonts w:hint="eastAsia" w:ascii="宋体" w:hAnsi="宋体" w:cs="宋体"/>
                <w:sz w:val="21"/>
                <w:szCs w:val="21"/>
              </w:rPr>
              <w:t xml:space="preserve">批注</w:t>
            </w:r>
            <w:r/>
          </w:p>
        </w:tc>
        <w:tc>
          <w:tcPr>
            <w:shd w:val="clear" w:color="auto" w:fill="ffffff"/>
            <w:tcW w:w="7123"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能够针对PDF文件在线批注：</w:t>
            </w:r>
            <w:r/>
          </w:p>
          <w:p>
            <w:pPr>
              <w:ind w:left="0"/>
              <w:rPr>
                <w:rFonts w:ascii="宋体" w:hAnsi="宋体" w:cs="宋体"/>
                <w:sz w:val="21"/>
                <w:szCs w:val="21"/>
              </w:rPr>
            </w:pPr>
            <w:r>
              <w:rPr>
                <w:rFonts w:hint="eastAsia" w:ascii="宋体" w:hAnsi="宋体" w:cs="宋体"/>
                <w:sz w:val="21"/>
                <w:szCs w:val="21"/>
              </w:rPr>
              <w:t xml:space="preserve">（1）对PDF文件中选定区域多次发表意见，对于同个问题可发表多条意见。</w:t>
            </w:r>
            <w:r/>
          </w:p>
          <w:p>
            <w:pPr>
              <w:ind w:left="0"/>
              <w:rPr>
                <w:rFonts w:ascii="宋体" w:hAnsi="宋体" w:cs="宋体"/>
                <w:sz w:val="21"/>
                <w:szCs w:val="21"/>
              </w:rPr>
            </w:pPr>
            <w:r>
              <w:rPr>
                <w:rFonts w:hint="eastAsia" w:ascii="宋体" w:hAnsi="宋体" w:cs="宋体"/>
                <w:sz w:val="21"/>
                <w:szCs w:val="21"/>
              </w:rPr>
              <w:t xml:space="preserve">（2）已发表的意见可看到文件页码信息，选中该意见可快速精准定位至具体区域。</w:t>
            </w:r>
            <w:r/>
          </w:p>
          <w:p>
            <w:pPr>
              <w:ind w:left="0"/>
              <w:rPr>
                <w:rFonts w:ascii="宋体" w:hAnsi="宋体" w:cs="宋体"/>
                <w:sz w:val="21"/>
                <w:szCs w:val="21"/>
                <w:lang w:bidi="ar"/>
              </w:rPr>
            </w:pPr>
            <w:r>
              <w:rPr>
                <w:rFonts w:hint="eastAsia" w:ascii="宋体" w:hAnsi="宋体" w:cs="宋体"/>
                <w:sz w:val="21"/>
                <w:szCs w:val="21"/>
              </w:rPr>
              <w:t xml:space="preserve">（3）已发表的意见能实时同步至审核、受理、处理、预审、投票环节，便于各角色开展工作时使用。</w:t>
            </w:r>
            <w:r/>
          </w:p>
        </w:tc>
      </w:tr>
      <w:tr>
        <w:trPr>
          <w:jc w:val="center"/>
          <w:trHeight w:val="406"/>
        </w:trPr>
        <w:tc>
          <w:tcPr>
            <w:shd w:val="clear" w:color="auto" w:fill="ffffff"/>
            <w:tcW w:w="159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待复审列表</w:t>
            </w:r>
            <w:r/>
          </w:p>
        </w:tc>
        <w:tc>
          <w:tcPr>
            <w:shd w:val="clear" w:color="auto" w:fill="ffffff"/>
            <w:tcW w:w="7123" w:type="dxa"/>
            <w:vAlign w:val="center"/>
            <w:textDirection w:val="lrTb"/>
            <w:noWrap w:val="false"/>
          </w:tcPr>
          <w:p>
            <w:pPr>
              <w:ind w:left="0"/>
              <w:jc w:val="left"/>
              <w:rPr>
                <w:rFonts w:ascii="宋体" w:hAnsi="宋体" w:cs="宋体"/>
                <w:b/>
                <w:bCs/>
                <w:sz w:val="21"/>
                <w:szCs w:val="21"/>
                <w:lang w:bidi="ar"/>
              </w:rPr>
            </w:pPr>
            <w:r>
              <w:rPr>
                <w:rFonts w:hint="eastAsia" w:ascii="宋体" w:hAnsi="宋体" w:cs="宋体"/>
                <w:sz w:val="21"/>
                <w:szCs w:val="21"/>
              </w:rPr>
              <w:t xml:space="preserve">允许在整理环节设置需复审的审查项目后，系统可自动获取并汇总生成待复审列表，支持根据复审截止时间自动计算复审倒计时，并可按截止时间设置提醒，同时支持手动发送递交复审的催办通知。递交复审时支持关联待复审审查，关联后该复审记录与原待复审审查临近排序。同时支持手动标记已进行复审，便于用户实时掌握复审进度和状态。</w:t>
            </w:r>
            <w:r/>
          </w:p>
        </w:tc>
      </w:tr>
      <w:tr>
        <w:trPr>
          <w:jc w:val="center"/>
          <w:trHeight w:val="406"/>
        </w:trPr>
        <w:tc>
          <w:tcPr>
            <w:shd w:val="clear" w:color="auto" w:fill="ffffff"/>
            <w:tcW w:w="15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项目交接</w:t>
            </w:r>
            <w:r/>
          </w:p>
        </w:tc>
        <w:tc>
          <w:tcPr>
            <w:shd w:val="clear" w:color="auto" w:fill="ffffff"/>
            <w:tcW w:w="712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允许申请人在线进行项目交接流程，在审核确认后完成交接操作，交接成功后的项目由新的申请人继续负责后续工作，原来的申请人无法查看该项目。</w:t>
            </w:r>
            <w:r/>
          </w:p>
        </w:tc>
      </w:tr>
      <w:tr>
        <w:trPr>
          <w:jc w:val="center"/>
          <w:trHeight w:val="624"/>
        </w:trPr>
        <w:tc>
          <w:tcPr>
            <w:shd w:val="clear" w:color="auto" w:fill="ffffff"/>
            <w:tcW w:w="1592"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远程视频会议</w:t>
            </w:r>
            <w:r/>
          </w:p>
        </w:tc>
        <w:tc>
          <w:tcPr>
            <w:shd w:val="clear" w:color="auto" w:fill="ffffff"/>
            <w:tcW w:w="712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提供PC端远程视频会议功能，视频会议中支持远程PPT及文档演示。</w:t>
            </w:r>
            <w:r/>
          </w:p>
        </w:tc>
      </w:tr>
      <w:tr>
        <w:trPr>
          <w:jc w:val="center"/>
          <w:trHeight w:val="624"/>
        </w:trPr>
        <w:tc>
          <w:tcPr>
            <w:shd w:val="clear" w:color="auto" w:fill="ffffff"/>
            <w:tcW w:w="1592" w:type="dxa"/>
            <w:vAlign w:val="center"/>
            <w:vMerge w:val="continue"/>
            <w:textDirection w:val="lrTb"/>
            <w:noWrap w:val="false"/>
          </w:tcPr>
          <w:p>
            <w:pPr>
              <w:ind w:left="0"/>
              <w:jc w:val="center"/>
              <w:rPr>
                <w:rFonts w:ascii="宋体" w:hAnsi="宋体" w:cs="宋体"/>
                <w:sz w:val="21"/>
                <w:szCs w:val="21"/>
                <w:lang w:bidi="ar"/>
              </w:rPr>
            </w:pPr>
            <w:r>
              <w:rPr>
                <w:rFonts w:ascii="宋体" w:hAnsi="宋体" w:cs="宋体"/>
                <w:sz w:val="21"/>
                <w:szCs w:val="21"/>
                <w:lang w:bidi="ar"/>
              </w:rPr>
            </w:r>
            <w:r/>
          </w:p>
        </w:tc>
        <w:tc>
          <w:tcPr>
            <w:shd w:val="clear" w:color="auto" w:fill="ffffff"/>
            <w:tcW w:w="7123" w:type="dxa"/>
            <w:vAlign w:val="center"/>
            <w:textDirection w:val="lrTb"/>
            <w:noWrap w:val="false"/>
          </w:tcPr>
          <w:p>
            <w:pPr>
              <w:ind w:left="0"/>
              <w:jc w:val="left"/>
              <w:rPr>
                <w:rFonts w:ascii="宋体" w:hAnsi="宋体" w:cs="宋体"/>
                <w:sz w:val="21"/>
                <w:szCs w:val="21"/>
                <w:lang w:bidi="ar"/>
              </w:rPr>
            </w:pPr>
            <w:r>
              <w:rPr>
                <w:rFonts w:hint="eastAsia" w:ascii="宋体" w:hAnsi="宋体" w:cs="宋体"/>
                <w:sz w:val="21"/>
                <w:szCs w:val="21"/>
                <w:lang w:bidi="ar"/>
              </w:rPr>
              <w:t xml:space="preserve">远程视频会议支持全程录制，并可进行视频回放，以备核查。</w:t>
            </w:r>
            <w:r/>
          </w:p>
        </w:tc>
      </w:tr>
      <w:tr>
        <w:trPr>
          <w:jc w:val="center"/>
          <w:trHeight w:val="624"/>
        </w:trPr>
        <w:tc>
          <w:tcPr>
            <w:shd w:val="clear" w:color="auto" w:fill="ffffff"/>
            <w:tcW w:w="1592"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文档集中管理</w:t>
            </w:r>
            <w:r/>
          </w:p>
        </w:tc>
        <w:tc>
          <w:tcPr>
            <w:shd w:val="clear" w:color="auto" w:fill="ffffff"/>
            <w:tcW w:w="712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自动归档审查过程中产生的审查文档，集中管理每个项目历次审查生成的资料，所有文档访问实施安全有效的权限控制。                  </w:t>
            </w:r>
            <w:r/>
          </w:p>
        </w:tc>
      </w:tr>
      <w:tr>
        <w:trPr>
          <w:jc w:val="center"/>
          <w:trHeight w:val="312"/>
        </w:trPr>
        <w:tc>
          <w:tcPr>
            <w:shd w:val="clear" w:color="auto" w:fill="ffffff"/>
            <w:tcW w:w="1592" w:type="dxa"/>
            <w:vAlign w:val="center"/>
            <w:vMerge w:val="continue"/>
            <w:textDirection w:val="lrTb"/>
            <w:noWrap w:val="false"/>
          </w:tcPr>
          <w:p>
            <w:pPr>
              <w:ind w:left="0"/>
              <w:jc w:val="center"/>
              <w:widowControl w:val="off"/>
              <w:rPr>
                <w:rFonts w:ascii="宋体" w:hAnsi="宋体" w:cs="宋体"/>
                <w:sz w:val="21"/>
                <w:szCs w:val="21"/>
              </w:rPr>
            </w:pPr>
            <w:r>
              <w:rPr>
                <w:rFonts w:ascii="宋体" w:hAnsi="宋体" w:cs="宋体"/>
                <w:sz w:val="21"/>
                <w:szCs w:val="21"/>
              </w:rPr>
            </w:r>
            <w:r/>
          </w:p>
        </w:tc>
        <w:tc>
          <w:tcPr>
            <w:shd w:val="clear" w:color="auto" w:fill="ffffff"/>
            <w:tcW w:w="712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满足伦理审查各流程节点的申请表、审查工作表、审查批件等各类文件的生成与打印。                                      </w:t>
            </w:r>
            <w:r/>
          </w:p>
        </w:tc>
      </w:tr>
      <w:tr>
        <w:trPr>
          <w:jc w:val="center"/>
          <w:trHeight w:val="312"/>
        </w:trPr>
        <w:tc>
          <w:tcPr>
            <w:shd w:val="clear" w:color="auto" w:fill="ffffff"/>
            <w:tcW w:w="1592" w:type="dxa"/>
            <w:vAlign w:val="center"/>
            <w:vMerge w:val="continue"/>
            <w:textDirection w:val="lrTb"/>
            <w:noWrap w:val="false"/>
          </w:tcPr>
          <w:p>
            <w:pPr>
              <w:ind w:left="0"/>
              <w:jc w:val="center"/>
              <w:widowControl w:val="off"/>
              <w:rPr>
                <w:rFonts w:ascii="宋体" w:hAnsi="宋体" w:cs="宋体"/>
                <w:sz w:val="21"/>
                <w:szCs w:val="21"/>
              </w:rPr>
            </w:pPr>
            <w:r>
              <w:rPr>
                <w:rFonts w:ascii="宋体" w:hAnsi="宋体" w:cs="宋体"/>
                <w:sz w:val="21"/>
                <w:szCs w:val="21"/>
              </w:rPr>
            </w:r>
            <w:r/>
          </w:p>
        </w:tc>
        <w:tc>
          <w:tcPr>
            <w:shd w:val="clear" w:color="auto" w:fill="ffffff"/>
            <w:tcW w:w="712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批件签名盖章后，可选择反馈给不同的人员，如申请人、项目立项部门，并且有短信通知。</w:t>
            </w:r>
            <w:r/>
          </w:p>
        </w:tc>
      </w:tr>
      <w:tr>
        <w:trPr>
          <w:jc w:val="center"/>
          <w:trHeight w:val="936"/>
        </w:trPr>
        <w:tc>
          <w:tcPr>
            <w:shd w:val="clear" w:color="auto" w:fill="ffffff"/>
            <w:tcW w:w="15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电子签名签章</w:t>
            </w:r>
            <w:r/>
          </w:p>
        </w:tc>
        <w:tc>
          <w:tcPr>
            <w:shd w:val="clear" w:color="auto" w:fill="ffffff"/>
            <w:tcW w:w="712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符合《中华人民共和国电子签名法》的要求，对接国家级CA数字中心、互联网存证机构，保存电子签名全证据链，在保证安全、法律效力的前提下，提高签名、签章工作的效率与便捷性，需要同时支持在电脑、平板、手机端进行电子签名与签章。</w:t>
            </w:r>
            <w:r/>
          </w:p>
        </w:tc>
      </w:tr>
      <w:tr>
        <w:trPr>
          <w:jc w:val="center"/>
          <w:trHeight w:val="624"/>
        </w:trPr>
        <w:tc>
          <w:tcPr>
            <w:shd w:val="clear" w:color="auto" w:fill="ffffff"/>
            <w:tcW w:w="1592"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培训考试</w:t>
            </w:r>
            <w:r/>
          </w:p>
        </w:tc>
        <w:tc>
          <w:tcPr>
            <w:shd w:val="clear" w:color="auto" w:fill="ffffff"/>
            <w:tcW w:w="712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支持在线培训功能，设置的课件支持Word、Excel、PPT、PDF、音频、视频形式，可控制参与课程的人员与培训时间，控制学习的时长。  </w:t>
            </w:r>
            <w:r/>
          </w:p>
        </w:tc>
      </w:tr>
      <w:tr>
        <w:trPr>
          <w:jc w:val="center"/>
          <w:trHeight w:val="312"/>
        </w:trPr>
        <w:tc>
          <w:tcPr>
            <w:shd w:val="clear" w:color="auto" w:fill="ffffff"/>
            <w:tcW w:w="1592" w:type="dxa"/>
            <w:vAlign w:val="center"/>
            <w:vMerge w:val="continue"/>
            <w:textDirection w:val="lrTb"/>
            <w:noWrap w:val="false"/>
          </w:tcPr>
          <w:p>
            <w:pPr>
              <w:ind w:left="0"/>
              <w:jc w:val="center"/>
              <w:widowControl w:val="off"/>
              <w:rPr>
                <w:rFonts w:ascii="宋体" w:hAnsi="宋体" w:cs="宋体"/>
                <w:sz w:val="21"/>
                <w:szCs w:val="21"/>
              </w:rPr>
            </w:pPr>
            <w:r>
              <w:rPr>
                <w:rFonts w:ascii="宋体" w:hAnsi="宋体" w:cs="宋体"/>
                <w:sz w:val="21"/>
                <w:szCs w:val="21"/>
              </w:rPr>
            </w:r>
            <w:r/>
          </w:p>
        </w:tc>
        <w:tc>
          <w:tcPr>
            <w:shd w:val="clear" w:color="auto" w:fill="ffffff"/>
            <w:tcW w:w="712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系统中要有至少500+的医学伦理等相关考题，支持随机组卷功能。                                                     </w:t>
            </w:r>
            <w:r/>
          </w:p>
        </w:tc>
      </w:tr>
      <w:tr>
        <w:trPr>
          <w:jc w:val="center"/>
          <w:trHeight w:val="624"/>
        </w:trPr>
        <w:tc>
          <w:tcPr>
            <w:shd w:val="clear" w:color="auto" w:fill="ffffff"/>
            <w:tcW w:w="1592" w:type="dxa"/>
            <w:vAlign w:val="center"/>
            <w:vMerge w:val="continue"/>
            <w:textDirection w:val="lrTb"/>
            <w:noWrap w:val="false"/>
          </w:tcPr>
          <w:p>
            <w:pPr>
              <w:ind w:left="0"/>
              <w:jc w:val="center"/>
              <w:widowControl w:val="off"/>
              <w:rPr>
                <w:rFonts w:ascii="宋体" w:hAnsi="宋体" w:cs="宋体"/>
                <w:sz w:val="21"/>
                <w:szCs w:val="21"/>
              </w:rPr>
            </w:pPr>
            <w:r>
              <w:rPr>
                <w:rFonts w:ascii="宋体" w:hAnsi="宋体" w:cs="宋体"/>
                <w:sz w:val="21"/>
                <w:szCs w:val="21"/>
              </w:rPr>
            </w:r>
            <w:r/>
          </w:p>
        </w:tc>
        <w:tc>
          <w:tcPr>
            <w:shd w:val="clear" w:color="auto" w:fill="ffffff"/>
            <w:tcW w:w="712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考试管理提供单选、多选、判断题多种类型，支持设定选择的数量与顺序，支持从试题库中随机组卷、自动生成试卷，支持自动判卷并生成成绩单。</w:t>
            </w:r>
            <w:r/>
          </w:p>
        </w:tc>
      </w:tr>
      <w:tr>
        <w:trPr>
          <w:jc w:val="center"/>
          <w:trHeight w:val="624"/>
        </w:trPr>
        <w:tc>
          <w:tcPr>
            <w:shd w:val="clear" w:color="auto" w:fill="ffffff"/>
            <w:tcW w:w="1592" w:type="dxa"/>
            <w:vAlign w:val="center"/>
            <w:vMerge w:val="continue"/>
            <w:textDirection w:val="lrTb"/>
            <w:noWrap w:val="false"/>
          </w:tcPr>
          <w:p>
            <w:pPr>
              <w:ind w:left="0"/>
              <w:jc w:val="center"/>
              <w:widowControl w:val="off"/>
              <w:rPr>
                <w:rFonts w:ascii="宋体" w:hAnsi="宋体" w:cs="宋体"/>
                <w:sz w:val="21"/>
                <w:szCs w:val="21"/>
              </w:rPr>
            </w:pPr>
            <w:r>
              <w:rPr>
                <w:rFonts w:ascii="宋体" w:hAnsi="宋体" w:cs="宋体"/>
                <w:sz w:val="21"/>
                <w:szCs w:val="21"/>
              </w:rPr>
            </w:r>
            <w:r/>
          </w:p>
        </w:tc>
        <w:tc>
          <w:tcPr>
            <w:shd w:val="clear" w:color="auto" w:fill="ffffff"/>
            <w:tcW w:w="7123" w:type="dxa"/>
            <w:vAlign w:val="center"/>
            <w:textDirection w:val="lrTb"/>
            <w:noWrap w:val="false"/>
          </w:tcPr>
          <w:p>
            <w:pPr>
              <w:ind w:left="0"/>
              <w:jc w:val="left"/>
              <w:rPr>
                <w:rFonts w:ascii="宋体" w:hAnsi="宋体" w:cs="宋体"/>
                <w:sz w:val="21"/>
                <w:szCs w:val="21"/>
                <w:lang w:bidi="ar"/>
              </w:rPr>
            </w:pPr>
            <w:r>
              <w:rPr>
                <w:rFonts w:hint="eastAsia" w:ascii="宋体" w:hAnsi="宋体" w:cs="宋体"/>
                <w:sz w:val="21"/>
                <w:szCs w:val="21"/>
                <w:lang w:bidi="ar"/>
              </w:rPr>
              <w:t xml:space="preserve">支持通过基础题自动生成衍生题；支持设置试题考点、细分领域；可设置每份试卷允许出现几份相同考点的试题。</w:t>
            </w:r>
            <w:r/>
          </w:p>
        </w:tc>
      </w:tr>
      <w:tr>
        <w:trPr>
          <w:jc w:val="center"/>
          <w:trHeight w:val="624"/>
        </w:trPr>
        <w:tc>
          <w:tcPr>
            <w:shd w:val="clear" w:color="auto" w:fill="ffffff"/>
            <w:tcW w:w="1592" w:type="dxa"/>
            <w:vAlign w:val="center"/>
            <w:vMerge w:val="continue"/>
            <w:textDirection w:val="lrTb"/>
            <w:noWrap w:val="false"/>
          </w:tcPr>
          <w:p>
            <w:pPr>
              <w:ind w:left="0"/>
              <w:jc w:val="center"/>
              <w:widowControl w:val="off"/>
              <w:rPr>
                <w:rFonts w:ascii="宋体" w:hAnsi="宋体" w:cs="宋体"/>
                <w:sz w:val="21"/>
                <w:szCs w:val="21"/>
              </w:rPr>
            </w:pPr>
            <w:r>
              <w:rPr>
                <w:rFonts w:ascii="宋体" w:hAnsi="宋体" w:cs="宋体"/>
                <w:sz w:val="21"/>
                <w:szCs w:val="21"/>
              </w:rPr>
            </w:r>
            <w:r/>
          </w:p>
        </w:tc>
        <w:tc>
          <w:tcPr>
            <w:shd w:val="clear" w:color="auto" w:fill="ffffff"/>
            <w:tcW w:w="712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支持在完成课程培训后自动生成系统培训记录，支持新增及批量导入线下培训记录，并可同步至个人简历培训信息。</w:t>
            </w:r>
            <w:r/>
          </w:p>
        </w:tc>
      </w:tr>
      <w:tr>
        <w:trPr>
          <w:jc w:val="center"/>
          <w:trHeight w:val="775"/>
        </w:trPr>
        <w:tc>
          <w:tcPr>
            <w:shd w:val="clear" w:color="auto" w:fill="ffffff"/>
            <w:tcW w:w="1592"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经费管理</w:t>
            </w:r>
            <w:r/>
          </w:p>
        </w:tc>
        <w:tc>
          <w:tcPr>
            <w:shd w:val="clear" w:color="auto" w:fill="ffffff"/>
            <w:tcW w:w="7123" w:type="dxa"/>
            <w:vAlign w:val="center"/>
            <w:textDirection w:val="lrTb"/>
            <w:noWrap w:val="false"/>
          </w:tcPr>
          <w:p>
            <w:pPr>
              <w:ind w:left="0"/>
              <w:jc w:val="left"/>
              <w:rPr>
                <w:rFonts w:ascii="宋体" w:hAnsi="宋体" w:cs="宋体"/>
                <w:sz w:val="21"/>
                <w:szCs w:val="21"/>
                <w:lang w:bidi="ar"/>
              </w:rPr>
            </w:pPr>
            <w:r>
              <w:rPr>
                <w:rFonts w:hint="eastAsia" w:ascii="宋体" w:hAnsi="宋体" w:cs="宋体"/>
                <w:sz w:val="21"/>
                <w:szCs w:val="21"/>
                <w:lang w:bidi="ar"/>
              </w:rPr>
              <w:t xml:space="preserve">支持按照伦理委员会的规则配置伦理审查收入规则、支出规则，并可以在确认收入、新增支出时自动计算金额，如金额存在差异时能够自动提醒。</w:t>
            </w:r>
            <w:r/>
          </w:p>
        </w:tc>
      </w:tr>
      <w:tr>
        <w:trPr>
          <w:jc w:val="center"/>
          <w:trHeight w:val="775"/>
        </w:trPr>
        <w:tc>
          <w:tcPr>
            <w:shd w:val="clear" w:color="auto" w:fill="ffffff"/>
            <w:tcW w:w="1592"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ffffff"/>
            <w:tcW w:w="7123" w:type="dxa"/>
            <w:vAlign w:val="center"/>
            <w:textDirection w:val="lrTb"/>
            <w:noWrap w:val="false"/>
          </w:tcPr>
          <w:p>
            <w:pPr>
              <w:ind w:left="0"/>
              <w:jc w:val="left"/>
              <w:rPr>
                <w:rFonts w:ascii="宋体" w:hAnsi="宋体" w:cs="宋体"/>
                <w:sz w:val="21"/>
                <w:szCs w:val="21"/>
                <w:lang w:bidi="ar"/>
              </w:rPr>
            </w:pPr>
            <w:r>
              <w:rPr>
                <w:rFonts w:hint="eastAsia" w:ascii="宋体" w:hAnsi="宋体" w:cs="宋体"/>
                <w:sz w:val="21"/>
                <w:szCs w:val="21"/>
                <w:lang w:bidi="ar"/>
              </w:rPr>
              <w:t xml:space="preserve">支持由申请人填写项目支出金额，秘书审批通过后自动转为伦理委员会收入，可以自动生成每个项目的收入和支出清单。</w:t>
            </w:r>
            <w:r/>
          </w:p>
        </w:tc>
      </w:tr>
      <w:tr>
        <w:trPr>
          <w:jc w:val="center"/>
          <w:trHeight w:val="624"/>
        </w:trPr>
        <w:tc>
          <w:tcPr>
            <w:shd w:val="clear" w:color="auto" w:fill="ffffff"/>
            <w:tcW w:w="15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智慧消息</w:t>
            </w:r>
            <w:r/>
          </w:p>
        </w:tc>
        <w:tc>
          <w:tcPr>
            <w:shd w:val="clear" w:color="auto" w:fill="ffffff"/>
            <w:tcW w:w="712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平台能够主动推送待办工作，并在业务的各个关键节点通过短信及时将消息通知到责任人，实现各类事项的自动提醒，有效减轻伦理委员会的日常工作负荷。针对会议通知、审查退回、审查完成、年度跟踪审查到期以及复审到期等重要节点，系统支持以短信和邮件的方式同步通知主要研究者。</w:t>
            </w:r>
            <w:r/>
          </w:p>
        </w:tc>
      </w:tr>
      <w:tr>
        <w:trPr>
          <w:jc w:val="center"/>
          <w:trHeight w:val="312"/>
        </w:trPr>
        <w:tc>
          <w:tcPr>
            <w:shd w:val="clear" w:color="auto" w:fill="ffffff"/>
            <w:tcW w:w="159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统计</w:t>
            </w:r>
            <w:r/>
          </w:p>
          <w:p>
            <w:pPr>
              <w:ind w:left="0"/>
              <w:jc w:val="center"/>
              <w:rPr>
                <w:rFonts w:ascii="宋体" w:hAnsi="宋体" w:cs="宋体"/>
                <w:sz w:val="21"/>
                <w:szCs w:val="21"/>
              </w:rPr>
            </w:pPr>
            <w:r>
              <w:rPr>
                <w:rFonts w:hint="eastAsia" w:ascii="宋体" w:hAnsi="宋体" w:cs="宋体"/>
                <w:sz w:val="21"/>
                <w:szCs w:val="21"/>
                <w:lang w:bidi="ar"/>
              </w:rPr>
              <w:t xml:space="preserve">分析</w:t>
            </w:r>
            <w:r/>
          </w:p>
        </w:tc>
        <w:tc>
          <w:tcPr>
            <w:shd w:val="clear" w:color="auto" w:fill="ffffff"/>
            <w:tcW w:w="7123" w:type="dxa"/>
            <w:vAlign w:val="center"/>
            <w:textDirection w:val="lrTb"/>
            <w:noWrap w:val="false"/>
          </w:tcPr>
          <w:p>
            <w:pPr>
              <w:ind w:left="0"/>
              <w:jc w:val="left"/>
              <w:rPr>
                <w:rFonts w:ascii="宋体" w:hAnsi="宋体" w:cs="宋体"/>
                <w:sz w:val="21"/>
                <w:szCs w:val="21"/>
                <w:lang w:bidi="ar"/>
              </w:rPr>
            </w:pPr>
            <w:r>
              <w:rPr>
                <w:rFonts w:hint="eastAsia" w:ascii="宋体" w:hAnsi="宋体" w:cs="宋体"/>
                <w:sz w:val="21"/>
                <w:szCs w:val="21"/>
                <w:lang w:bidi="ar"/>
              </w:rPr>
              <w:t xml:space="preserve">提供多角度、多维度统计分析功能：</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（1）为伦理秘书、委员、独立顾问多个角度提供统计功能；</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（2）从项目、审查、会议/简审、委员出勤情况多维度进行统计，其中项目和审查统计能自动计算与上年度的同比增长率；</w:t>
            </w:r>
            <w:r/>
          </w:p>
          <w:p>
            <w:pPr>
              <w:ind w:left="0"/>
              <w:jc w:val="left"/>
              <w:widowControl w:val="off"/>
              <w:rPr>
                <w:rFonts w:ascii="宋体" w:hAnsi="宋体" w:cs="宋体"/>
                <w:sz w:val="21"/>
                <w:szCs w:val="21"/>
                <w:lang w:bidi="ar"/>
              </w:rPr>
            </w:pPr>
            <w:r>
              <w:rPr>
                <w:rFonts w:hint="eastAsia" w:ascii="宋体" w:hAnsi="宋体" w:cs="宋体"/>
                <w:sz w:val="21"/>
                <w:szCs w:val="21"/>
              </w:rPr>
              <w:t xml:space="preserve">（3）支持根据审查流程的关键时间节点，自动计算项目的审查周期。如可依据“受理完成日期”至“审查完成日期”之间的时间跨度，统计每个项目的审查耗时，并支持用户选择特定时间段，自动生成简易审查、会议审查以及紧急会议审查的平均审查周期数据，为伦理委员会优化审查效率提供数据支持。</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（4）支持自定义统计条件，实现表格、饼图、柱状图、折线图丰富的统计结果展现形式；</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（5）支持按年自动生成年度工作报告；    </w:t>
            </w:r>
            <w:r/>
          </w:p>
          <w:p>
            <w:pPr>
              <w:ind w:left="0"/>
              <w:jc w:val="left"/>
              <w:widowControl w:val="off"/>
              <w:rPr>
                <w:rFonts w:ascii="宋体" w:hAnsi="宋体" w:cs="宋体"/>
                <w:sz w:val="21"/>
                <w:szCs w:val="21"/>
                <w:lang w:bidi="ar"/>
              </w:rPr>
            </w:pPr>
            <w:r>
              <w:rPr>
                <w:rFonts w:hint="eastAsia" w:ascii="宋体" w:hAnsi="宋体" w:cs="宋体"/>
                <w:sz w:val="21"/>
                <w:szCs w:val="21"/>
                <w:lang w:bidi="ar"/>
              </w:rPr>
              <w:t xml:space="preserve">（6）支持导出各类统计报表。                                                                       </w:t>
            </w:r>
            <w:r/>
          </w:p>
        </w:tc>
      </w:tr>
      <w:tr>
        <w:trPr>
          <w:jc w:val="center"/>
          <w:trHeight w:val="847"/>
        </w:trPr>
        <w:tc>
          <w:tcPr>
            <w:shd w:val="clear" w:color="auto" w:fill="ffffff"/>
            <w:tcW w:w="15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监管</w:t>
            </w:r>
            <w:r/>
          </w:p>
          <w:p>
            <w:pPr>
              <w:ind w:left="0"/>
              <w:jc w:val="center"/>
              <w:widowControl w:val="off"/>
              <w:rPr>
                <w:rFonts w:ascii="宋体" w:hAnsi="宋体" w:cs="宋体"/>
                <w:sz w:val="21"/>
                <w:szCs w:val="21"/>
              </w:rPr>
            </w:pPr>
            <w:r>
              <w:rPr>
                <w:rFonts w:hint="eastAsia" w:ascii="宋体" w:hAnsi="宋体" w:cs="宋体"/>
                <w:sz w:val="21"/>
                <w:szCs w:val="21"/>
              </w:rPr>
              <w:t xml:space="preserve">大屏数据</w:t>
            </w:r>
            <w:r/>
          </w:p>
        </w:tc>
        <w:tc>
          <w:tcPr>
            <w:shd w:val="clear" w:color="auto" w:fill="ffffff"/>
            <w:tcW w:w="7123" w:type="dxa"/>
            <w:vAlign w:val="center"/>
            <w:textDirection w:val="lrTb"/>
            <w:noWrap w:val="false"/>
          </w:tcPr>
          <w:p>
            <w:pPr>
              <w:ind w:left="0"/>
              <w:jc w:val="left"/>
              <w:rPr>
                <w:rFonts w:ascii="宋体" w:hAnsi="宋体" w:cs="宋体"/>
                <w:sz w:val="21"/>
                <w:szCs w:val="21"/>
                <w:lang w:bidi="ar"/>
              </w:rPr>
            </w:pPr>
            <w:r>
              <w:rPr>
                <w:rFonts w:hint="eastAsia" w:ascii="宋体" w:hAnsi="宋体" w:cs="宋体"/>
                <w:sz w:val="21"/>
                <w:szCs w:val="21"/>
                <w:lang w:bidi="ar"/>
              </w:rPr>
              <w:t xml:space="preserve">提供在线的、实时的、全方位的监管大屏数据，监管大屏可展示和统计各年度、各种维度项目审查数据。</w:t>
            </w:r>
            <w:r/>
          </w:p>
        </w:tc>
      </w:tr>
      <w:tr>
        <w:trPr>
          <w:jc w:val="center"/>
          <w:trHeight w:val="312"/>
        </w:trPr>
        <w:tc>
          <w:tcPr>
            <w:shd w:val="clear" w:color="auto" w:fill="ffffff"/>
            <w:tcW w:w="15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审计追踪</w:t>
            </w:r>
            <w:r/>
          </w:p>
        </w:tc>
        <w:tc>
          <w:tcPr>
            <w:shd w:val="clear" w:color="auto" w:fill="ffffff"/>
            <w:tcW w:w="7123" w:type="dxa"/>
            <w:vAlign w:val="center"/>
            <w:textDirection w:val="lrTb"/>
            <w:noWrap w:val="false"/>
          </w:tcPr>
          <w:p>
            <w:pPr>
              <w:ind w:left="0"/>
              <w:jc w:val="left"/>
              <w:rPr>
                <w:rFonts w:ascii="宋体" w:hAnsi="宋体" w:cs="宋体"/>
                <w:sz w:val="21"/>
                <w:szCs w:val="21"/>
                <w:lang w:bidi="ar"/>
              </w:rPr>
            </w:pPr>
            <w:r>
              <w:rPr>
                <w:rFonts w:hint="eastAsia" w:ascii="宋体" w:hAnsi="宋体" w:cs="宋体"/>
                <w:sz w:val="21"/>
                <w:szCs w:val="21"/>
                <w:lang w:bidi="ar"/>
              </w:rPr>
              <w:t xml:space="preserve">支持多维度的审计追踪，可从项目、会议、组织、登录四个角度查看操作轨迹，做到数据的全面留痕。</w:t>
            </w:r>
            <w:r/>
          </w:p>
        </w:tc>
      </w:tr>
      <w:tr>
        <w:trPr>
          <w:jc w:val="center"/>
          <w:trHeight w:val="624"/>
        </w:trPr>
        <w:tc>
          <w:tcPr>
            <w:shd w:val="clear" w:color="auto" w:fill="ffffff"/>
            <w:tcW w:w="15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多终端接入</w:t>
            </w:r>
            <w:r/>
          </w:p>
        </w:tc>
        <w:tc>
          <w:tcPr>
            <w:shd w:val="clear" w:color="auto" w:fill="ffffff"/>
            <w:tcW w:w="7123"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支持通过PC电脑、平板、手机端使用系统，方便随时随地使用系统进行审查，提高审查的效率。</w:t>
            </w:r>
            <w:r/>
          </w:p>
        </w:tc>
      </w:tr>
    </w:tbl>
    <w:p>
      <w:pPr>
        <w:pStyle w:val="1054"/>
        <w:ind w:left="0" w:firstLine="0"/>
        <w:tabs>
          <w:tab w:val="left" w:pos="1173" w:leader="none"/>
        </w:tabs>
        <w:rPr>
          <w:rFonts w:ascii="宋体" w:hAnsi="宋体" w:cs="宋体"/>
          <w:b/>
          <w:szCs w:val="21"/>
        </w:rPr>
      </w:pPr>
      <w:r>
        <w:rPr>
          <w:rFonts w:ascii="宋体" w:hAnsi="宋体" w:cs="宋体"/>
          <w:b/>
          <w:szCs w:val="21"/>
        </w:rPr>
      </w:r>
      <w:r/>
    </w:p>
    <w:p>
      <w:pPr>
        <w:ind w:left="0"/>
        <w:spacing w:line="360" w:lineRule="auto"/>
        <w:rPr>
          <w:rFonts w:ascii="宋体" w:hAnsi="宋体" w:cs="宋体"/>
          <w:b/>
          <w:sz w:val="21"/>
          <w:szCs w:val="21"/>
        </w:rPr>
        <w:outlineLvl w:val="1"/>
      </w:pPr>
      <w:r>
        <w:rPr>
          <w:rFonts w:hint="eastAsia" w:ascii="宋体" w:hAnsi="宋体" w:cs="宋体"/>
          <w:b/>
          <w:sz w:val="21"/>
          <w:szCs w:val="21"/>
        </w:rPr>
        <w:t xml:space="preserve">3、I期临床研究管理系统功能模块及技术参数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4"/>
        <w:gridCol w:w="8102"/>
      </w:tblGrid>
      <w:tr>
        <w:trPr>
          <w:jc w:val="center"/>
          <w:trHeight w:val="520"/>
        </w:trPr>
        <w:tc>
          <w:tcPr>
            <w:shd w:val="clear" w:color="auto" w:fill="bebebe"/>
            <w:tcW w:w="890" w:type="pct"/>
            <w:vAlign w:val="center"/>
            <w:textDirection w:val="lrTb"/>
            <w:noWrap w:val="false"/>
          </w:tcPr>
          <w:p>
            <w:pPr>
              <w:ind w:left="0"/>
              <w:jc w:val="center"/>
              <w:widowControl w:val="off"/>
              <w:rPr>
                <w:rFonts w:ascii="宋体" w:hAnsi="宋体" w:cs="宋体"/>
                <w:bCs/>
                <w:sz w:val="21"/>
                <w:szCs w:val="21"/>
              </w:rPr>
            </w:pPr>
            <w:r>
              <w:rPr>
                <w:rFonts w:hint="eastAsia" w:ascii="宋体" w:hAnsi="宋体" w:cs="宋体"/>
                <w:bCs/>
                <w:sz w:val="21"/>
                <w:szCs w:val="21"/>
              </w:rPr>
              <w:t xml:space="preserve">功能名称</w:t>
            </w:r>
            <w:r/>
          </w:p>
        </w:tc>
        <w:tc>
          <w:tcPr>
            <w:shd w:val="clear" w:color="auto" w:fill="bebebe"/>
            <w:tcW w:w="4109" w:type="pct"/>
            <w:vAlign w:val="center"/>
            <w:textDirection w:val="lrTb"/>
            <w:noWrap w:val="false"/>
          </w:tcPr>
          <w:p>
            <w:pPr>
              <w:ind w:left="0"/>
              <w:jc w:val="center"/>
              <w:widowControl w:val="off"/>
              <w:rPr>
                <w:rFonts w:ascii="宋体" w:hAnsi="宋体" w:cs="宋体"/>
                <w:bCs/>
                <w:sz w:val="21"/>
                <w:szCs w:val="21"/>
              </w:rPr>
            </w:pPr>
            <w:r>
              <w:rPr>
                <w:rFonts w:hint="eastAsia" w:ascii="宋体" w:hAnsi="宋体" w:cs="宋体"/>
                <w:bCs/>
                <w:sz w:val="21"/>
                <w:szCs w:val="21"/>
              </w:rPr>
              <w:t xml:space="preserve">功能要求</w:t>
            </w:r>
            <w:r/>
          </w:p>
        </w:tc>
      </w:tr>
      <w:tr>
        <w:trPr>
          <w:jc w:val="center"/>
          <w:trHeight w:val="446"/>
        </w:trPr>
        <w:tc>
          <w:tcPr>
            <w:tcW w:w="890" w:type="pct"/>
            <w:vAlign w:val="center"/>
            <w:vMerge w:val="restart"/>
            <w:textDirection w:val="lrTb"/>
            <w:noWrap w:val="false"/>
          </w:tcPr>
          <w:p>
            <w:pPr>
              <w:ind w:left="0"/>
              <w:jc w:val="center"/>
              <w:widowControl w:val="off"/>
              <w:rPr>
                <w:rFonts w:ascii="宋体" w:hAnsi="宋体" w:cs="宋体"/>
                <w:bCs/>
                <w:sz w:val="21"/>
                <w:szCs w:val="21"/>
              </w:rPr>
            </w:pPr>
            <w:r>
              <w:rPr>
                <w:rFonts w:hint="eastAsia" w:ascii="宋体" w:hAnsi="宋体" w:cs="宋体"/>
                <w:bCs/>
                <w:sz w:val="21"/>
                <w:szCs w:val="21"/>
              </w:rPr>
              <w:t xml:space="preserve">基础管理</w:t>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系统支持临床试验项目的多样化创建方式，可在主项目下灵活建立多个子试验，支持查看项目的整体进展及每位参与者的个体试验进度，实现对研究进程的全面掌控。</w:t>
            </w:r>
            <w:r/>
          </w:p>
        </w:tc>
      </w:tr>
      <w:tr>
        <w:trPr>
          <w:jc w:val="center"/>
          <w:trHeight w:val="446"/>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shd w:val="clear" w:color="auto" w:fill="ffffff"/>
              </w:rPr>
              <w:t xml:space="preserve">系统灵活性强，可针对不同研究方案调整病历结构和规则，实现个性化配置，满足临床试验需求。</w:t>
            </w:r>
            <w:r/>
          </w:p>
        </w:tc>
      </w:tr>
      <w:tr>
        <w:trPr>
          <w:jc w:val="center"/>
          <w:trHeight w:val="312"/>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shd w:val="clear" w:color="auto" w:fill="ffffff"/>
              </w:rPr>
              <w:t xml:space="preserve">系统提供多种预设表单模板，能灵活适配不同方案配置需求,支持导入项目模板，以快速进行建库配置。</w:t>
            </w:r>
            <w:r/>
          </w:p>
        </w:tc>
      </w:tr>
      <w:tr>
        <w:trPr>
          <w:jc w:val="center"/>
          <w:trHeight w:val="668"/>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系统可根据临床研究机构的实际需求，灵活配置餐食记录，支持定义核对人签名、结束时间、剩余量的显示或隐藏，以适应不同场景的操作规范要求。</w:t>
            </w:r>
            <w:r/>
          </w:p>
        </w:tc>
      </w:tr>
      <w:tr>
        <w:trPr>
          <w:jc w:val="center"/>
          <w:trHeight w:val="422"/>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shd w:val="clear" w:color="auto" w:fill="ffffff"/>
              </w:rPr>
              <w:t xml:space="preserve">系统需支持通过站内消息、短信等多种渠道发送关键信息提示，如项目数据重置、研究方案解锁重要操作通知。</w:t>
            </w:r>
            <w:r/>
          </w:p>
        </w:tc>
      </w:tr>
      <w:tr>
        <w:trPr>
          <w:jc w:val="center"/>
          <w:trHeight w:val="776"/>
        </w:trPr>
        <w:tc>
          <w:tcPr>
            <w:tcW w:w="890" w:type="pct"/>
            <w:vAlign w:val="center"/>
            <w:textDirection w:val="lrTb"/>
            <w:noWrap w:val="false"/>
          </w:tcPr>
          <w:p>
            <w:pPr>
              <w:ind w:left="0"/>
              <w:jc w:val="center"/>
              <w:widowControl w:val="off"/>
              <w:rPr>
                <w:rFonts w:ascii="宋体" w:hAnsi="宋体" w:cs="宋体"/>
                <w:bCs/>
                <w:sz w:val="21"/>
                <w:szCs w:val="21"/>
              </w:rPr>
            </w:pPr>
            <w:r>
              <w:rPr>
                <w:rFonts w:hint="eastAsia" w:ascii="宋体" w:hAnsi="宋体" w:cs="宋体"/>
                <w:bCs/>
                <w:sz w:val="21"/>
                <w:szCs w:val="21"/>
              </w:rPr>
              <w:t xml:space="preserve">研究人员管理</w:t>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color w:val="0f1115"/>
                <w:sz w:val="21"/>
                <w:szCs w:val="21"/>
                <w:shd w:val="clear" w:color="auto" w:fill="ffffff"/>
              </w:rPr>
              <w:t xml:space="preserve">支持研究人员在线自主管理基本信息、账号、研究经验、专业治疗领域、简历，便于信息及时更新。系统可建立完整人员档案，包括任命文件、简历、资格证明、培训记录等。人员资格证临期时系统自动发送短信提醒，确保资质管理的及时合规。</w:t>
            </w:r>
            <w:r/>
          </w:p>
        </w:tc>
      </w:tr>
      <w:tr>
        <w:trPr>
          <w:jc w:val="center"/>
          <w:trHeight w:val="776"/>
        </w:trPr>
        <w:tc>
          <w:tcPr>
            <w:tcW w:w="890" w:type="pct"/>
            <w:vAlign w:val="center"/>
            <w:vMerge w:val="restart"/>
            <w:textDirection w:val="lrTb"/>
            <w:noWrap w:val="false"/>
          </w:tcPr>
          <w:p>
            <w:pPr>
              <w:ind w:left="0"/>
              <w:jc w:val="center"/>
              <w:widowControl w:val="off"/>
              <w:rPr>
                <w:rFonts w:ascii="宋体" w:hAnsi="宋体" w:cs="宋体"/>
                <w:bCs/>
                <w:sz w:val="21"/>
                <w:szCs w:val="21"/>
              </w:rPr>
            </w:pPr>
            <w:r>
              <w:rPr>
                <w:rFonts w:hint="eastAsia" w:ascii="宋体" w:hAnsi="宋体" w:cs="宋体"/>
                <w:bCs/>
                <w:sz w:val="21"/>
                <w:szCs w:val="21"/>
              </w:rPr>
              <w:t xml:space="preserve">人员权限管理</w:t>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系统支持角色权限管理功能，支持根据实际需求创建PI、研究医生、研究护士等岗位角色。所有角色权限分配必须基于线下分工授权表执行，确保只有授权人员才能进行配置，杜绝未授权访问。</w:t>
            </w:r>
            <w:r/>
          </w:p>
        </w:tc>
      </w:tr>
      <w:tr>
        <w:trPr>
          <w:jc w:val="center"/>
          <w:trHeight w:val="686"/>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具备权限的人员可以在系统中管理人员账号，如创建新账号、修改人员账号信息、给人员授权角色权限，必要时能禁用或锁定人员账号。</w:t>
            </w:r>
            <w:r/>
          </w:p>
        </w:tc>
      </w:tr>
      <w:tr>
        <w:trPr>
          <w:jc w:val="center"/>
          <w:trHeight w:val="90"/>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系统支持除管理本机构人员账号外，还需支持为项目合作方及第三方机构人员开设账号，并设置相应的系统使用有效期。</w:t>
            </w:r>
            <w:r/>
          </w:p>
        </w:tc>
      </w:tr>
      <w:tr>
        <w:trPr>
          <w:jc w:val="center"/>
          <w:trHeight w:val="646"/>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★系统应实现按钮级别的权限控制，并能完整记录每一次角色权限的变更历史。对于新增或删除的权限，系统需以不同颜色进行区分，确保所有权限调整都可追溯、可核查。</w:t>
            </w:r>
            <w:r/>
          </w:p>
        </w:tc>
      </w:tr>
      <w:tr>
        <w:trPr>
          <w:jc w:val="center"/>
          <w:trHeight w:val="776"/>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系统中的人员账号必须是自动生成并且唯一存在的，不可以存在共用账号的情况，人员以自己的账号登录系统开展工作，分工明确，相互协作，各尽其职。</w:t>
            </w:r>
            <w:r/>
          </w:p>
        </w:tc>
      </w:tr>
      <w:tr>
        <w:trPr>
          <w:jc w:val="center"/>
          <w:trHeight w:val="686"/>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密码是账号信息安全的基础，</w:t>
            </w:r>
            <w:r>
              <w:rPr>
                <w:rFonts w:hint="eastAsia" w:ascii="宋体" w:hAnsi="宋体" w:cs="宋体"/>
                <w:bCs/>
                <w:sz w:val="21"/>
                <w:szCs w:val="21"/>
                <w:shd w:val="clear" w:color="auto" w:fill="ffffff"/>
              </w:rPr>
              <w:t xml:space="preserve">系统应支持设置密码长度和复杂度要求</w:t>
            </w:r>
            <w:r>
              <w:rPr>
                <w:rFonts w:hint="eastAsia" w:ascii="宋体" w:hAnsi="宋体" w:cs="宋体"/>
                <w:bCs/>
                <w:sz w:val="21"/>
                <w:szCs w:val="21"/>
              </w:rPr>
              <w:t xml:space="preserve">，有效保障账号的安全。</w:t>
            </w:r>
            <w:r/>
          </w:p>
        </w:tc>
      </w:tr>
      <w:tr>
        <w:trPr>
          <w:jc w:val="center"/>
          <w:trHeight w:val="654"/>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当项目完成时，系统可自动回收项目成员的相关权限，以有效保障数据安全。</w:t>
            </w:r>
            <w:r/>
          </w:p>
        </w:tc>
      </w:tr>
      <w:tr>
        <w:trPr>
          <w:jc w:val="center"/>
          <w:trHeight w:val="656"/>
        </w:trPr>
        <w:tc>
          <w:tcPr>
            <w:tcW w:w="890" w:type="pct"/>
            <w:vAlign w:val="center"/>
            <w:vMerge w:val="restart"/>
            <w:textDirection w:val="lrTb"/>
            <w:noWrap w:val="false"/>
          </w:tcPr>
          <w:p>
            <w:pPr>
              <w:ind w:left="0"/>
              <w:jc w:val="center"/>
              <w:widowControl w:val="off"/>
              <w:rPr>
                <w:rFonts w:ascii="宋体" w:hAnsi="宋体" w:cs="宋体"/>
                <w:bCs/>
                <w:sz w:val="21"/>
                <w:szCs w:val="21"/>
              </w:rPr>
            </w:pPr>
            <w:r>
              <w:rPr>
                <w:rFonts w:hint="eastAsia" w:ascii="宋体" w:hAnsi="宋体" w:cs="宋体"/>
                <w:bCs/>
                <w:sz w:val="21"/>
                <w:szCs w:val="21"/>
              </w:rPr>
              <w:t xml:space="preserve">项目方案配置</w:t>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系统提供标准化的电子病历模块库，支持研究病历按照项目需求进行模板化管理，确保各项病历要素可在不同临床试验中灵活复用，同时具备良好的扩展性，便于病历模板的持续补充与优化。</w:t>
            </w:r>
            <w:r/>
          </w:p>
        </w:tc>
      </w:tr>
      <w:tr>
        <w:trPr>
          <w:jc w:val="center"/>
          <w:trHeight w:val="746"/>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要可以根据各项目的临床研究方案灵活自定义配置从参与者筛选、入住、入组到出组等全流程的关键标准与参数，包括但不限于“试验周期、试验组别、给药时间点、采样时间点、生命体征监测时间点、血糖监测时间点、控水时间点、样本处理方案，访视病历模板以及饮食管理要求”等内容；同时，仅限具备相应权限的授权人员方可进行配置操作，以确保所有执行环节严格遵循试验方案及医院标准操作规程（SOP）。</w:t>
            </w:r>
            <w:r/>
          </w:p>
        </w:tc>
      </w:tr>
      <w:tr>
        <w:trPr>
          <w:jc w:val="center"/>
          <w:trHeight w:val="296"/>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系统要可以根据临床研究方案的具体要求，灵活组合“试验周期、试验组别、试验药物、给药时间点、采样时间点、生命体征监测时间点”等基础参数，并自动生成与其研究流程完全匹配的临床研究病历表单。</w:t>
            </w:r>
            <w:r/>
          </w:p>
        </w:tc>
      </w:tr>
      <w:tr>
        <w:trPr>
          <w:jc w:val="center"/>
          <w:trHeight w:val="296"/>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应支持基于表单配置角色权限，并可按表单分别设置为可见、可编辑或不可见，从而满足不同人员对不同表单的访问控制需求，同时确保盲态角色无法查看指定表单。例如，“随机分组”表单仅对非盲研究医生可见，“人口学资料”表单允许所有研究医生进行编辑等。</w:t>
            </w:r>
            <w:r/>
          </w:p>
        </w:tc>
      </w:tr>
      <w:tr>
        <w:trPr>
          <w:jc w:val="center"/>
          <w:trHeight w:val="746"/>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应支持根据各项目的临床研究方案要求自定义配置筛选号的生成规则，并能够按照完成知情同意书签署的时间顺序依次给参与者分配唯一的“筛选号”；同时，还需支持多个子试验的参与者共享同一套筛选号生成规则的需求。</w:t>
            </w:r>
            <w:r/>
          </w:p>
        </w:tc>
      </w:tr>
      <w:tr>
        <w:trPr>
          <w:jc w:val="center"/>
          <w:trHeight w:val="746"/>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系统应支持根据各项目的临床研究方案要求，自定义配置试验号的生成规则，并能够按照筛选成功的参与者筛选号的时间顺序依次</w:t>
            </w:r>
            <w:r>
              <w:rPr>
                <w:rFonts w:hint="eastAsia" w:ascii="宋体" w:hAnsi="宋体" w:cs="宋体"/>
                <w:bCs/>
                <w:sz w:val="21"/>
                <w:szCs w:val="21"/>
                <w:shd w:val="clear" w:color="auto" w:fill="ffffff"/>
              </w:rPr>
              <w:t xml:space="preserve">分配唯一的试验号</w:t>
            </w:r>
            <w:r>
              <w:rPr>
                <w:rFonts w:hint="eastAsia" w:ascii="宋体" w:hAnsi="宋体" w:cs="宋体"/>
                <w:bCs/>
                <w:sz w:val="21"/>
                <w:szCs w:val="21"/>
              </w:rPr>
              <w:t xml:space="preserve">；</w:t>
            </w:r>
            <w:r>
              <w:rPr>
                <w:rFonts w:hint="eastAsia" w:ascii="宋体" w:hAnsi="宋体" w:cs="宋体"/>
                <w:bCs/>
                <w:sz w:val="21"/>
                <w:szCs w:val="21"/>
              </w:rPr>
              <w:t xml:space="preserve">同时，特定场景下还需支持添加及分配备选试验号。</w:t>
            </w:r>
            <w:r/>
          </w:p>
        </w:tc>
      </w:tr>
      <w:tr>
        <w:trPr>
          <w:jc w:val="center"/>
          <w:trHeight w:val="746"/>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系统应支持根据各项目的临床研究方案要求自定义标签配置，并允许灵活设计标签样式，确保与方案中样本命名原则保持一致；同时，系统还应支持在同一试验中根据临床研究方案配置要求，生成多组</w:t>
            </w:r>
            <w:r>
              <w:rPr>
                <w:rFonts w:hint="eastAsia" w:ascii="宋体" w:hAnsi="宋体" w:cs="宋体"/>
                <w:bCs/>
                <w:sz w:val="21"/>
                <w:szCs w:val="21"/>
              </w:rPr>
              <w:t xml:space="preserve">给药时间点和采样时间点</w:t>
            </w:r>
            <w:r>
              <w:rPr>
                <w:rFonts w:hint="eastAsia" w:ascii="宋体" w:hAnsi="宋体" w:cs="宋体"/>
                <w:bCs/>
                <w:sz w:val="21"/>
                <w:szCs w:val="21"/>
              </w:rPr>
              <w:t xml:space="preserve">的标签，并能一键批量生成标签，以简化研究人员操作流程。</w:t>
            </w:r>
            <w:r/>
          </w:p>
        </w:tc>
      </w:tr>
      <w:tr>
        <w:trPr>
          <w:jc w:val="center"/>
          <w:trHeight w:val="746"/>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系统应支持为PI、研究医生、研究护士、CRC等角色的人员账号生成唯一身份识别的标签，用于身份信息核对。</w:t>
            </w:r>
            <w:r/>
          </w:p>
        </w:tc>
      </w:tr>
      <w:tr>
        <w:trPr>
          <w:jc w:val="center"/>
          <w:trHeight w:val="746"/>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系统需支持导出样本标签的转码信息，以便在转运过程中随样本一同寄送至分析实验室使用。</w:t>
            </w:r>
            <w:r/>
          </w:p>
        </w:tc>
      </w:tr>
      <w:tr>
        <w:trPr>
          <w:jc w:val="center"/>
          <w:trHeight w:val="746"/>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sz w:val="21"/>
                <w:szCs w:val="21"/>
              </w:rPr>
              <w:t xml:space="preserve">系统应支持在试验期内批量导入外部第三方标签，涵盖血液及尿液相关容器标签（采集管、离心管、冻存管），并且可通过界面选择或扫码识别两种方式，完成外部标签的数据记录。系统应确保外部导入标签在样本核对环节达到与系统原生标签完全一致的校验效果，不因标签来源不同而降低操作的严谨性与准确性。</w:t>
            </w:r>
            <w:r/>
          </w:p>
        </w:tc>
      </w:tr>
      <w:tr>
        <w:trPr>
          <w:jc w:val="center"/>
          <w:trHeight w:val="746"/>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系统应支持在项目正式启动前对所有已配置内容进行全面测试，当测试过程中发现配置问题时，具备相应权限的人员可及时调整配置，并能够清除测试数据，以便项目正式运行时使用。</w:t>
            </w:r>
            <w:r/>
          </w:p>
        </w:tc>
      </w:tr>
      <w:tr>
        <w:trPr>
          <w:jc w:val="center"/>
          <w:trHeight w:val="444"/>
        </w:trPr>
        <w:tc>
          <w:tcPr>
            <w:tcW w:w="890" w:type="pct"/>
            <w:vAlign w:val="center"/>
            <w:vMerge w:val="restart"/>
            <w:textDirection w:val="lrTb"/>
            <w:noWrap w:val="false"/>
          </w:tcPr>
          <w:p>
            <w:pPr>
              <w:ind w:left="0"/>
              <w:jc w:val="center"/>
              <w:widowControl w:val="off"/>
              <w:rPr>
                <w:rFonts w:ascii="宋体" w:hAnsi="宋体" w:cs="宋体"/>
                <w:bCs/>
                <w:sz w:val="21"/>
                <w:szCs w:val="21"/>
              </w:rPr>
            </w:pPr>
            <w:r>
              <w:rPr>
                <w:rFonts w:hint="eastAsia" w:ascii="宋体" w:hAnsi="宋体" w:cs="宋体"/>
                <w:bCs/>
                <w:sz w:val="21"/>
                <w:szCs w:val="21"/>
              </w:rPr>
              <w:t xml:space="preserve">受试者管理</w:t>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系统应支持多种添加参与者的方式，除手动录入外，还支持通过刷取身份证自动识别并录入参与者信息，实现快速添加。</w:t>
            </w:r>
            <w:r/>
          </w:p>
        </w:tc>
      </w:tr>
      <w:tr>
        <w:trPr>
          <w:jc w:val="center"/>
          <w:trHeight w:val="444"/>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系统要能够与认证查重系统互通参与者的状态，例如同步参与者的基础信息及查重后的结果（查重成功或查重失败）。</w:t>
            </w:r>
            <w:r/>
          </w:p>
        </w:tc>
      </w:tr>
      <w:tr>
        <w:trPr>
          <w:jc w:val="center"/>
          <w:trHeight w:val="444"/>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提供对参与者各状态统计的功能，可以让研究人员一目了然的获知项目研究中筛选阶段、入组阶段、完成阶段的参与者数量，例如根据拟承担例数、总人数、未筛选、筛选中、筛选失败、入组总数、入组率、已入组、已中止、已脱落、已退出、已完成状态分别统计参与者信息。</w:t>
            </w:r>
            <w:r/>
          </w:p>
        </w:tc>
      </w:tr>
      <w:tr>
        <w:trPr>
          <w:jc w:val="center"/>
          <w:trHeight w:val="444"/>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系统应支持在特定情况下允许授权人员将已筛选失败或已退出的参与者状态重新调整为正常状态，使这些参与者能够继续参与后续研究流程。</w:t>
            </w:r>
            <w:r/>
          </w:p>
        </w:tc>
      </w:tr>
      <w:tr>
        <w:trPr>
          <w:jc w:val="center"/>
          <w:trHeight w:val="444"/>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系统支持依据预置的筛选号与试验号编码规则，对受试者赋予唯一编码，支持按编码规程实现全流程标准化管理。</w:t>
            </w:r>
            <w:r/>
          </w:p>
        </w:tc>
      </w:tr>
      <w:tr>
        <w:trPr>
          <w:jc w:val="center"/>
          <w:trHeight w:val="444"/>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系统支持设置严格的受试者信息查阅权限，研究者、系统审计管理员可设置未脱敏查看，监查员稽查员可设置脱敏查看，确保受试者个人隐私数据安全。</w:t>
            </w:r>
            <w:r/>
          </w:p>
        </w:tc>
      </w:tr>
      <w:tr>
        <w:trPr>
          <w:jc w:val="center"/>
          <w:trHeight w:val="444"/>
        </w:trPr>
        <w:tc>
          <w:tcPr>
            <w:tcW w:w="890" w:type="pct"/>
            <w:vAlign w:val="center"/>
            <w:vMerge w:val="restart"/>
            <w:textDirection w:val="lrTb"/>
            <w:noWrap w:val="false"/>
          </w:tcPr>
          <w:p>
            <w:pPr>
              <w:ind w:left="0"/>
              <w:jc w:val="center"/>
              <w:widowControl w:val="off"/>
              <w:rPr>
                <w:rFonts w:ascii="宋体" w:hAnsi="宋体" w:cs="宋体"/>
                <w:bCs/>
                <w:sz w:val="21"/>
                <w:szCs w:val="21"/>
              </w:rPr>
            </w:pPr>
            <w:r>
              <w:rPr>
                <w:rFonts w:hint="eastAsia" w:ascii="宋体" w:hAnsi="宋体" w:cs="宋体"/>
                <w:bCs/>
                <w:sz w:val="21"/>
                <w:szCs w:val="21"/>
              </w:rPr>
              <w:t xml:space="preserve">访视</w:t>
            </w:r>
            <w:r>
              <w:rPr>
                <w:rFonts w:hint="eastAsia" w:ascii="宋体" w:hAnsi="宋体" w:cs="宋体"/>
                <w:bCs/>
                <w:sz w:val="21"/>
                <w:szCs w:val="21"/>
              </w:rPr>
              <w:t xml:space="preserve">管理</w:t>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参与者参加筛选访视时要提供生成其唯一身份识别的筛选期标签，满足研究者通过扫描标签完成参与者筛选期检查的记录及入住记录。</w:t>
            </w:r>
            <w:r/>
          </w:p>
        </w:tc>
      </w:tr>
      <w:tr>
        <w:trPr>
          <w:jc w:val="center"/>
          <w:trHeight w:val="444"/>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参与者入组后要提供生成其唯一身份识别的试验期标签或手腕带标签，满足研究者通过扫描标签或识别手腕带完成参与者试验期的给药、采样、生命体征、生活观察、用餐、不良事件（AE）等管理，完成全流程的病历数据在线采集。</w:t>
            </w:r>
            <w:r/>
          </w:p>
        </w:tc>
      </w:tr>
      <w:tr>
        <w:trPr>
          <w:jc w:val="center"/>
          <w:trHeight w:val="90"/>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系统可以实时记录试验过程中的各项数据，例如生命体征、尿检、血样采集、体检采血等，同时表单中每个字段的录入操作自动生成时间留痕。</w:t>
            </w:r>
            <w:r/>
          </w:p>
        </w:tc>
      </w:tr>
      <w:tr>
        <w:trPr>
          <w:jc w:val="center"/>
          <w:trHeight w:val="90"/>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sz w:val="21"/>
                <w:szCs w:val="21"/>
              </w:rPr>
              <w:t xml:space="preserve">系统支持电子源数据可呈现数据来源，如通过硬件对接后自动采集的电子数据，保证正确、及时地采集或记录。</w:t>
            </w:r>
            <w:r/>
          </w:p>
        </w:tc>
      </w:tr>
      <w:tr>
        <w:trPr>
          <w:jc w:val="center"/>
          <w:trHeight w:val="444"/>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在试验期出现给药或者采样时间超出窗口期时，系统能够有醒目的颜色或者标识提醒研究者。</w:t>
            </w:r>
            <w:r/>
          </w:p>
        </w:tc>
      </w:tr>
      <w:tr>
        <w:trPr>
          <w:jc w:val="center"/>
          <w:trHeight w:val="444"/>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试验过程中的各种计划外事件，系统要支持通过增加计划外访视或者计划外表单及时记录发生的事件信息。</w:t>
            </w:r>
            <w:r/>
          </w:p>
        </w:tc>
      </w:tr>
      <w:tr>
        <w:trPr>
          <w:jc w:val="center"/>
          <w:trHeight w:val="444"/>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支持不良事件（AE）记录、合并用药记录、随访记录的结构化录入，内置标准化字段与数据关联机制，支持随访记录与AE记录的双向多对多关联，完整还原真实诊疗路径，所有关联操作全程留痕、可溯源；可汇总查看参与者在访视期间所发生的不良事件（AE）及其合并用药信息、随访信息，方便研究者快速掌握参与者的整体情况。</w:t>
            </w:r>
            <w:r/>
          </w:p>
        </w:tc>
      </w:tr>
      <w:tr>
        <w:trPr>
          <w:jc w:val="center"/>
          <w:trHeight w:val="444"/>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系统能独立管理药品分装记录，并且能记录备份药品分装的详情，能根据研究机构的习惯选择分装过程的记录方式，如按每份药品记录分装时间或者按所有药品批量记录分装时间。</w:t>
            </w:r>
            <w:r/>
          </w:p>
        </w:tc>
      </w:tr>
      <w:tr>
        <w:trPr>
          <w:jc w:val="center"/>
          <w:trHeight w:val="444"/>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当采集的数据出现修改、删除、异常值或被判定为具有临床意义的情况时，系统应采用醒目的颜色或标识进行提示，并完整保留数据修改的详细痕迹，以便项目质控人员快速核查。</w:t>
            </w:r>
            <w:r/>
          </w:p>
        </w:tc>
      </w:tr>
      <w:tr>
        <w:trPr>
          <w:jc w:val="center"/>
          <w:trHeight w:val="444"/>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应自动汇总所有参与者的异常值数据，并以醒目的方式实时提醒研究医生，帮助研究者快速识别需要临床意义判定的关键数据。当判定结果为异常时，系统需支持直接基于该异常值快速记录相关不良事件（AE）</w:t>
            </w:r>
            <w:r/>
          </w:p>
        </w:tc>
      </w:tr>
      <w:tr>
        <w:trPr>
          <w:jc w:val="center"/>
          <w:trHeight w:val="444"/>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系统应在试验期的给药、采样等关键环节智能识别参与者与药品/采样管的匹配情况，当发现药品或采样管拿错时立即提醒研究者，避免操作错误。若发生错误，系统需同步发出语音警告并显示详细错误信息。</w:t>
            </w:r>
            <w:r/>
          </w:p>
        </w:tc>
      </w:tr>
      <w:tr>
        <w:trPr>
          <w:jc w:val="center"/>
          <w:trHeight w:val="444"/>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参与者的病历表单应支持与不同版本的临床研究方案内容相兼容，并能够真实、完整地呈现各版本方案对应的病历表单信息。</w:t>
            </w:r>
            <w:r/>
          </w:p>
        </w:tc>
      </w:tr>
      <w:tr>
        <w:trPr>
          <w:jc w:val="center"/>
          <w:trHeight w:val="444"/>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在查阅和导出研究病历时，应以友好的格式清晰展示参与者的采集信息。当表格内容较多时，系统应支持自动切换为横向页面布局，以提升信息展示的可读性和完整性，便于研究人员查看、打印及后续归档管理。</w:t>
            </w:r>
            <w:r/>
          </w:p>
        </w:tc>
      </w:tr>
      <w:tr>
        <w:trPr>
          <w:jc w:val="center"/>
          <w:trHeight w:val="444"/>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需自动汇总全流程采集的研究病历信息，并允许授权人员导出汇总表。汇总表应清晰展示参与者完成情况，使用醒目标识突出显示存在修改或异常值的数据，便于管理者、监查人员和质控人员快速识别。同时，系统需支持按访视周期、参与者状态等条件快速筛选和查询汇总信息。</w:t>
            </w:r>
            <w:r/>
          </w:p>
        </w:tc>
      </w:tr>
      <w:tr>
        <w:trPr>
          <w:jc w:val="center"/>
          <w:trHeight w:val="623"/>
        </w:trPr>
        <w:tc>
          <w:tcPr>
            <w:tcW w:w="890" w:type="pct"/>
            <w:vAlign w:val="center"/>
            <w:vMerge w:val="restart"/>
            <w:textDirection w:val="lrTb"/>
            <w:noWrap w:val="false"/>
          </w:tcPr>
          <w:p>
            <w:pPr>
              <w:ind w:left="0"/>
              <w:jc w:val="center"/>
              <w:widowControl w:val="off"/>
              <w:rPr>
                <w:rFonts w:ascii="宋体" w:hAnsi="宋体" w:cs="宋体"/>
                <w:bCs/>
                <w:sz w:val="21"/>
                <w:szCs w:val="21"/>
              </w:rPr>
            </w:pPr>
            <w:r>
              <w:rPr>
                <w:rFonts w:hint="eastAsia" w:ascii="宋体" w:hAnsi="宋体" w:cs="宋体"/>
                <w:bCs/>
                <w:sz w:val="21"/>
                <w:szCs w:val="21"/>
              </w:rPr>
              <w:t xml:space="preserve">样本管理</w:t>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系统可以按照项目的临床研究方案要求自定义配置样本处理过程中的操作条件要求，例如冰浴时间、混匀方式、添加物质成分、转运条件、转运温度、离心温度、离心时间、离心转速/离心力、分装条件等。</w:t>
            </w:r>
            <w:r/>
          </w:p>
        </w:tc>
      </w:tr>
      <w:tr>
        <w:trPr>
          <w:jc w:val="center"/>
          <w:trHeight w:val="623"/>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系统应具备灵活的配置功能，以满足临床研究方案对样本分管的需求。支持根据实际业务要求，自定义设置样本采集管与离心管、冻存管之间的分管关系。</w:t>
            </w:r>
            <w:r/>
          </w:p>
        </w:tc>
      </w:tr>
      <w:tr>
        <w:trPr>
          <w:jc w:val="center"/>
          <w:trHeight w:val="623"/>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可以按照项目的临床研究方案要求自定义配置样本处理各节点的时间窗要求，例如配置从采血开始到样本离心的时间窗要求、从采血开始到样本存入的时间窗要求，并按实际操作时间自动计算是否超窗，超窗的样本记录要有醒目的提示，方便研究者直观发现异常，并且能点击查看超窗的详细情况。</w:t>
            </w:r>
            <w:r/>
          </w:p>
        </w:tc>
      </w:tr>
      <w:tr>
        <w:trPr>
          <w:jc w:val="center"/>
          <w:trHeight w:val="463"/>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要能满足临床试验提前在筛选期或者入住期打印样本采集标签的需求，要能够快速的一次性将所有类型的标签生成，例如样本标签、容器标签等，生成完成后可以按照使用习惯按周期、按参与者、按采集时间点等有序打印标签，并如实记录标签的打印次数、打印原因。</w:t>
            </w:r>
            <w:r/>
          </w:p>
        </w:tc>
      </w:tr>
      <w:tr>
        <w:trPr>
          <w:jc w:val="center"/>
          <w:trHeight w:val="623"/>
        </w:trPr>
        <w:tc>
          <w:tcPr>
            <w:tcW w:w="890" w:type="pct"/>
            <w:vAlign w:val="center"/>
            <w:vMerge w:val="continue"/>
            <w:textDirection w:val="lrTb"/>
            <w:noWrap w:val="false"/>
          </w:tcPr>
          <w:p>
            <w:pPr>
              <w:ind w:left="0" w:right="17"/>
              <w:widowControl w:val="off"/>
              <w:rPr>
                <w:rFonts w:ascii="宋体" w:hAnsi="宋体" w:cs="宋体"/>
                <w:bCs/>
                <w:sz w:val="21"/>
                <w:szCs w:val="21"/>
                <w:lang w:bidi="zh-CN"/>
              </w:rPr>
            </w:pPr>
            <w:r>
              <w:rPr>
                <w:rFonts w:ascii="宋体" w:hAnsi="宋体" w:cs="宋体"/>
                <w:bCs/>
                <w:sz w:val="21"/>
                <w:szCs w:val="21"/>
                <w:lang w:bidi="zh-CN"/>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支持通过扫码方式实现样本全流程管理（包括预处理、移交、离心、分装、出入库及转运），既可单样本记录也可批量操作，确保实时记录样本数据、时间及操作人员签名等信息。同时系统能精确校验样本采集管与离心管、测试管及容器标签的匹配性，发现不匹配时立即智能提醒样本管理员，通过警示音或显示不匹配详情等方式发出警告。</w:t>
            </w:r>
            <w:r/>
          </w:p>
        </w:tc>
      </w:tr>
      <w:tr>
        <w:trPr>
          <w:jc w:val="center"/>
          <w:trHeight w:val="486"/>
        </w:trPr>
        <w:tc>
          <w:tcPr>
            <w:tcW w:w="890" w:type="pct"/>
            <w:vAlign w:val="center"/>
            <w:vMerge w:val="continue"/>
            <w:textDirection w:val="lrTb"/>
            <w:noWrap w:val="false"/>
          </w:tcPr>
          <w:p>
            <w:pPr>
              <w:ind w:left="0" w:right="17"/>
              <w:widowControl w:val="off"/>
              <w:rPr>
                <w:rFonts w:ascii="宋体" w:hAnsi="宋体" w:cs="宋体"/>
                <w:bCs/>
                <w:sz w:val="21"/>
                <w:szCs w:val="21"/>
                <w:lang w:bidi="zh-CN"/>
              </w:rPr>
            </w:pPr>
            <w:r>
              <w:rPr>
                <w:rFonts w:ascii="宋体" w:hAnsi="宋体" w:cs="宋体"/>
                <w:bCs/>
                <w:sz w:val="21"/>
                <w:szCs w:val="21"/>
                <w:lang w:bidi="zh-CN"/>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支持同时处理多个时间点的样本离心操作。  </w:t>
            </w:r>
            <w:r/>
          </w:p>
        </w:tc>
      </w:tr>
      <w:tr>
        <w:trPr>
          <w:jc w:val="center"/>
          <w:trHeight w:val="623"/>
        </w:trPr>
        <w:tc>
          <w:tcPr>
            <w:tcW w:w="890" w:type="pct"/>
            <w:vAlign w:val="center"/>
            <w:vMerge w:val="continue"/>
            <w:textDirection w:val="lrTb"/>
            <w:noWrap w:val="false"/>
          </w:tcPr>
          <w:p>
            <w:pPr>
              <w:ind w:left="0" w:right="17"/>
              <w:widowControl w:val="off"/>
              <w:rPr>
                <w:rFonts w:ascii="宋体" w:hAnsi="宋体" w:cs="宋体"/>
                <w:bCs/>
                <w:sz w:val="21"/>
                <w:szCs w:val="21"/>
                <w:lang w:bidi="zh-CN"/>
              </w:rPr>
            </w:pPr>
            <w:r>
              <w:rPr>
                <w:rFonts w:ascii="宋体" w:hAnsi="宋体" w:cs="宋体"/>
                <w:bCs/>
                <w:sz w:val="21"/>
                <w:szCs w:val="21"/>
                <w:lang w:bidi="zh-CN"/>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当样本处理过程中出现异常时能及时记录异常状况（如泼洒、混溶等）、异常程度（轻度、中度、严重等）及处理措施等信息，并对异常样本进行醒目标识，所有异常样本信息需自动汇总生成列表；同时支持对异常样本进行再次离心、分装等操作，并通过特殊标识让研究者能快速识别出需要重新处理的样本。</w:t>
            </w:r>
            <w:r/>
          </w:p>
        </w:tc>
      </w:tr>
      <w:tr>
        <w:trPr>
          <w:jc w:val="center"/>
          <w:trHeight w:val="623"/>
        </w:trPr>
        <w:tc>
          <w:tcPr>
            <w:tcW w:w="890" w:type="pct"/>
            <w:vAlign w:val="center"/>
            <w:vMerge w:val="continue"/>
            <w:textDirection w:val="lrTb"/>
            <w:noWrap w:val="false"/>
          </w:tcPr>
          <w:p>
            <w:pPr>
              <w:ind w:left="0" w:right="17"/>
              <w:widowControl w:val="off"/>
              <w:rPr>
                <w:rFonts w:ascii="宋体" w:hAnsi="宋体" w:cs="宋体"/>
                <w:bCs/>
                <w:sz w:val="21"/>
                <w:szCs w:val="21"/>
                <w:lang w:bidi="zh-CN"/>
              </w:rPr>
            </w:pPr>
            <w:r>
              <w:rPr>
                <w:rFonts w:ascii="宋体" w:hAnsi="宋体" w:cs="宋体"/>
                <w:bCs/>
                <w:sz w:val="21"/>
                <w:szCs w:val="21"/>
                <w:lang w:bidi="zh-CN"/>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★样本容器可视化管理，清楚展现容器内部预先配置的样本和数量、摆放位置，方便与真实的样本容器进行核对。</w:t>
            </w:r>
            <w:r/>
          </w:p>
        </w:tc>
      </w:tr>
      <w:tr>
        <w:trPr>
          <w:jc w:val="center"/>
          <w:trHeight w:val="440"/>
        </w:trPr>
        <w:tc>
          <w:tcPr>
            <w:tcW w:w="890" w:type="pct"/>
            <w:vAlign w:val="center"/>
            <w:vMerge w:val="continue"/>
            <w:textDirection w:val="lrTb"/>
            <w:noWrap w:val="false"/>
          </w:tcPr>
          <w:p>
            <w:pPr>
              <w:ind w:left="0" w:right="17"/>
              <w:widowControl w:val="off"/>
              <w:rPr>
                <w:rFonts w:ascii="宋体" w:hAnsi="宋体" w:cs="宋体"/>
                <w:bCs/>
                <w:sz w:val="21"/>
                <w:szCs w:val="21"/>
                <w:lang w:bidi="zh-CN"/>
              </w:rPr>
            </w:pPr>
            <w:r>
              <w:rPr>
                <w:rFonts w:ascii="宋体" w:hAnsi="宋体" w:cs="宋体"/>
                <w:bCs/>
                <w:sz w:val="21"/>
                <w:szCs w:val="21"/>
                <w:lang w:bidi="zh-CN"/>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支持样本转运环节自动生成样本转运交接单，并能统计出容器存储的样本详细信息，能导出文档供业务使用。还需支持导出样本标签的转码信息，以便在转运过程中随样本一同寄送至分析实验室使用。</w:t>
            </w:r>
            <w:r/>
          </w:p>
        </w:tc>
      </w:tr>
      <w:tr>
        <w:trPr>
          <w:jc w:val="center"/>
          <w:trHeight w:val="440"/>
        </w:trPr>
        <w:tc>
          <w:tcPr>
            <w:tcW w:w="890" w:type="pct"/>
            <w:vAlign w:val="center"/>
            <w:vMerge w:val="continue"/>
            <w:textDirection w:val="lrTb"/>
            <w:noWrap w:val="false"/>
          </w:tcPr>
          <w:p>
            <w:pPr>
              <w:ind w:left="0" w:right="17"/>
              <w:widowControl w:val="off"/>
              <w:rPr>
                <w:rFonts w:ascii="宋体" w:hAnsi="宋体" w:cs="宋体"/>
                <w:bCs/>
                <w:sz w:val="21"/>
                <w:szCs w:val="21"/>
                <w:lang w:bidi="zh-CN"/>
              </w:rPr>
            </w:pPr>
            <w:r>
              <w:rPr>
                <w:rFonts w:ascii="宋体" w:hAnsi="宋体" w:cs="宋体"/>
                <w:bCs/>
                <w:sz w:val="21"/>
                <w:szCs w:val="21"/>
                <w:lang w:bidi="zh-CN"/>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sz w:val="21"/>
                <w:szCs w:val="21"/>
              </w:rPr>
              <w:t xml:space="preserve">系统自动汇总样本采集至样本处理全流程的样本记录，可以各环节统计记录次数及对应样本管数量；直观呈现样本超窗、样本异常状态；支持灵活选取不同流程阶段，校验样本记录的时间逻辑性、数据完整性，减少人工核对工作量，提升监查质控效率。</w:t>
            </w:r>
            <w:r/>
          </w:p>
        </w:tc>
      </w:tr>
      <w:tr>
        <w:trPr>
          <w:jc w:val="center"/>
          <w:trHeight w:val="623"/>
        </w:trPr>
        <w:tc>
          <w:tcPr>
            <w:tcW w:w="890" w:type="pct"/>
            <w:vAlign w:val="center"/>
            <w:vMerge w:val="continue"/>
            <w:textDirection w:val="lrTb"/>
            <w:noWrap w:val="false"/>
          </w:tcPr>
          <w:p>
            <w:pPr>
              <w:ind w:left="0" w:right="17"/>
              <w:widowControl w:val="off"/>
              <w:rPr>
                <w:rFonts w:ascii="宋体" w:hAnsi="宋体" w:cs="宋体"/>
                <w:bCs/>
                <w:sz w:val="21"/>
                <w:szCs w:val="21"/>
                <w:lang w:bidi="zh-CN"/>
              </w:rPr>
            </w:pPr>
            <w:r>
              <w:rPr>
                <w:rFonts w:ascii="宋体" w:hAnsi="宋体" w:cs="宋体"/>
                <w:bCs/>
                <w:sz w:val="21"/>
                <w:szCs w:val="21"/>
                <w:lang w:bidi="zh-CN"/>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在样本处理过程中，系统能根据样本离心、样本出入库操作同步生成离心机、冰箱的设备使用记录，减少人工录入工作量，支持导出设备台账汇总表。</w:t>
            </w:r>
            <w:r/>
          </w:p>
        </w:tc>
      </w:tr>
      <w:tr>
        <w:trPr>
          <w:jc w:val="center"/>
          <w:trHeight w:val="619"/>
        </w:trPr>
        <w:tc>
          <w:tcPr>
            <w:tcW w:w="890" w:type="pct"/>
            <w:vAlign w:val="center"/>
            <w:vMerge w:val="restart"/>
            <w:textDirection w:val="lrTb"/>
            <w:noWrap w:val="false"/>
          </w:tcPr>
          <w:p>
            <w:pPr>
              <w:ind w:left="0"/>
              <w:jc w:val="center"/>
              <w:widowControl w:val="off"/>
              <w:rPr>
                <w:rFonts w:ascii="宋体" w:hAnsi="宋体" w:cs="宋体"/>
                <w:bCs/>
                <w:sz w:val="21"/>
                <w:szCs w:val="21"/>
              </w:rPr>
            </w:pPr>
            <w:r>
              <w:rPr>
                <w:rFonts w:hint="eastAsia" w:ascii="宋体" w:hAnsi="宋体" w:cs="宋体"/>
                <w:bCs/>
                <w:sz w:val="21"/>
                <w:szCs w:val="21"/>
              </w:rPr>
              <w:t xml:space="preserve">安全监护管理</w:t>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在I期临床试验项目中，研究者可以通过系统对参与者住院期间的随访进行全流程管理和记录。</w:t>
            </w:r>
            <w:r/>
          </w:p>
        </w:tc>
      </w:tr>
      <w:tr>
        <w:trPr>
          <w:jc w:val="center"/>
          <w:trHeight w:val="619"/>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需支持对参与者在院期间的饮食流程进行完整记录，包括禁食、禁水、备餐、备水、给餐、给水、留样、弃样等关键环节。系统应该具备灵活性，能够根据临床研究机构的操作习惯选择不同的记录方式，例如，可以为每个参与者单独记录详细的饮食信息，也可以按批次统一记录，或者统一记录开始时间后再单独记录结束时间。</w:t>
            </w:r>
            <w:r/>
          </w:p>
        </w:tc>
      </w:tr>
      <w:tr>
        <w:trPr>
          <w:jc w:val="center"/>
          <w:trHeight w:val="411"/>
        </w:trPr>
        <w:tc>
          <w:tcPr>
            <w:tcW w:w="890" w:type="pct"/>
            <w:vAlign w:val="center"/>
            <w:vMerge w:val="restart"/>
            <w:textDirection w:val="lrTb"/>
            <w:noWrap w:val="false"/>
          </w:tcPr>
          <w:p>
            <w:pPr>
              <w:ind w:left="0"/>
              <w:jc w:val="center"/>
              <w:widowControl w:val="off"/>
              <w:rPr>
                <w:rFonts w:ascii="宋体" w:hAnsi="宋体" w:cs="宋体"/>
                <w:bCs/>
                <w:sz w:val="21"/>
                <w:szCs w:val="21"/>
              </w:rPr>
            </w:pPr>
            <w:r>
              <w:rPr>
                <w:rFonts w:hint="eastAsia" w:ascii="宋体" w:hAnsi="宋体" w:cs="宋体"/>
                <w:bCs/>
                <w:sz w:val="21"/>
                <w:szCs w:val="21"/>
              </w:rPr>
              <w:t xml:space="preserve">eCRF数据管理</w:t>
            </w:r>
            <w:r/>
          </w:p>
        </w:tc>
        <w:tc>
          <w:tcPr>
            <w:tcW w:w="4109" w:type="pct"/>
            <w:vAlign w:val="center"/>
            <w:textDirection w:val="lrTb"/>
            <w:noWrap w:val="false"/>
          </w:tcPr>
          <w:p>
            <w:pPr>
              <w:ind w:left="0"/>
              <w:rPr>
                <w:rFonts w:ascii="宋体" w:hAnsi="宋体" w:cs="宋体"/>
                <w:bCs/>
                <w:sz w:val="21"/>
                <w:szCs w:val="21"/>
              </w:rPr>
            </w:pPr>
            <w:r>
              <w:rPr>
                <w:rFonts w:hint="eastAsia" w:ascii="宋体" w:hAnsi="宋体" w:cs="宋体"/>
                <w:bCs/>
                <w:sz w:val="21"/>
                <w:szCs w:val="21"/>
              </w:rPr>
              <w:t xml:space="preserve">需要支持将现有项目的系统访视病历模板转化为研究机构的公共模板，便于后续新项目的快速配置。通用模板可直接导入新项目实现高效复用，从而提升配置效率。同时，在创建新CRF时，系统应清晰记录并区分系统版本、纸质研究病历版本及其日期等信息，以方便后续的版本管理和追溯查询。</w:t>
            </w:r>
            <w:r/>
          </w:p>
        </w:tc>
      </w:tr>
      <w:tr>
        <w:trPr>
          <w:jc w:val="center"/>
          <w:trHeight w:val="931"/>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应支持按项目自定义规则来约束操作并进行智能判断与异常提示（例如输入身高体重后自动计算BMI值并判断是否在标准范围内），以减少人为误差和操作偏差。同时，系统需提供快速模式，支持一键添加常规预设规则（包括BMI计算、字段显示/隐藏、理论时间计算、超窗识别、参与者状态变更等功能）。</w:t>
            </w:r>
            <w:r/>
          </w:p>
        </w:tc>
      </w:tr>
      <w:tr>
        <w:trPr>
          <w:jc w:val="center"/>
          <w:trHeight w:val="412"/>
        </w:trPr>
        <w:tc>
          <w:tcPr>
            <w:tcW w:w="890" w:type="pct"/>
            <w:vAlign w:val="center"/>
            <w:vMerge w:val="restart"/>
            <w:textDirection w:val="lrTb"/>
            <w:noWrap w:val="false"/>
          </w:tcPr>
          <w:p>
            <w:pPr>
              <w:ind w:left="0"/>
              <w:jc w:val="center"/>
              <w:widowControl w:val="off"/>
              <w:rPr>
                <w:rFonts w:ascii="宋体" w:hAnsi="宋体" w:cs="宋体"/>
                <w:bCs/>
                <w:sz w:val="21"/>
                <w:szCs w:val="21"/>
              </w:rPr>
            </w:pPr>
            <w:r>
              <w:rPr>
                <w:rFonts w:hint="eastAsia" w:ascii="宋体" w:hAnsi="宋体" w:cs="宋体"/>
                <w:bCs/>
                <w:sz w:val="21"/>
                <w:szCs w:val="21"/>
              </w:rPr>
              <w:t xml:space="preserve">数据获取</w:t>
            </w:r>
            <w:r/>
          </w:p>
        </w:tc>
        <w:tc>
          <w:tcPr>
            <w:tcW w:w="4109"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系统支持在移动设备上完成多种业务场景的信息记录，包括病历数据录入、样本全流程处理、药品分装、生活管理和出入院管理等关键环节。为适应不同使用场景，系统提供触屏优化的操作界面，便于快速录入测量时间、身高、体重、BMI值、测量结果及操作人员签名等信息。</w:t>
            </w:r>
            <w:r/>
          </w:p>
        </w:tc>
      </w:tr>
      <w:tr>
        <w:trPr>
          <w:jc w:val="center"/>
          <w:trHeight w:val="412"/>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widowControl w:val="off"/>
              <w:rPr>
                <w:rFonts w:ascii="宋体" w:hAnsi="宋体" w:cs="宋体"/>
                <w:bCs/>
                <w:sz w:val="21"/>
                <w:szCs w:val="21"/>
              </w:rPr>
            </w:pPr>
            <w:r>
              <w:rPr>
                <w:rFonts w:hint="eastAsia" w:ascii="宋体" w:hAnsi="宋体" w:cs="宋体"/>
                <w:bCs/>
                <w:sz w:val="21"/>
                <w:szCs w:val="21"/>
                <w:lang w:bidi="ar"/>
              </w:rPr>
              <w:t xml:space="preserve">支持与 I 期病房中主要硬件设备的接口对接，实现设备数据的自动获取，如身高体重仪、生命体征仪等。</w:t>
            </w:r>
            <w:r/>
          </w:p>
        </w:tc>
      </w:tr>
      <w:tr>
        <w:trPr>
          <w:jc w:val="center"/>
          <w:trHeight w:val="516"/>
        </w:trPr>
        <w:tc>
          <w:tcPr>
            <w:tcW w:w="890" w:type="pct"/>
            <w:vAlign w:val="center"/>
            <w:vMerge w:val="restart"/>
            <w:textDirection w:val="lrTb"/>
            <w:noWrap w:val="false"/>
          </w:tcPr>
          <w:p>
            <w:pPr>
              <w:ind w:left="0"/>
              <w:jc w:val="center"/>
              <w:widowControl w:val="off"/>
              <w:rPr>
                <w:rFonts w:ascii="宋体" w:hAnsi="宋体" w:cs="宋体"/>
                <w:bCs/>
                <w:sz w:val="21"/>
                <w:szCs w:val="21"/>
              </w:rPr>
            </w:pPr>
            <w:r>
              <w:rPr>
                <w:rFonts w:hint="eastAsia" w:ascii="宋体" w:hAnsi="宋体" w:cs="宋体"/>
                <w:bCs/>
                <w:sz w:val="21"/>
                <w:szCs w:val="21"/>
              </w:rPr>
              <w:t xml:space="preserve">审计日志</w:t>
            </w:r>
            <w:r/>
          </w:p>
        </w:tc>
        <w:tc>
          <w:tcPr>
            <w:tcW w:w="4109" w:type="pct"/>
            <w:vAlign w:val="center"/>
            <w:textDirection w:val="lrTb"/>
            <w:noWrap w:val="false"/>
          </w:tcPr>
          <w:p>
            <w:pPr>
              <w:ind w:left="0"/>
              <w:rPr>
                <w:rFonts w:ascii="宋体" w:hAnsi="宋体" w:cs="宋体"/>
                <w:bCs/>
                <w:sz w:val="21"/>
                <w:szCs w:val="21"/>
              </w:rPr>
            </w:pPr>
            <w:r>
              <w:rPr>
                <w:rFonts w:hint="eastAsia" w:ascii="宋体" w:hAnsi="宋体" w:cs="宋体"/>
                <w:bCs/>
                <w:sz w:val="21"/>
                <w:szCs w:val="21"/>
              </w:rPr>
              <w:t xml:space="preserve">所有操作过程均如实记录操作痕迹。</w:t>
            </w:r>
            <w:r>
              <w:rPr>
                <w:rFonts w:hint="eastAsia" w:ascii="宋体" w:hAnsi="宋体" w:cs="宋体"/>
                <w:bCs/>
                <w:sz w:val="21"/>
                <w:szCs w:val="21"/>
              </w:rPr>
              <w:t xml:space="preserve">审计日志应涵盖配置日志、人员管理日志、数据采集日志等，能够完整追踪数据的所有操作记录，包括但不限于新增、修改及删除等操作，</w:t>
            </w:r>
            <w:r>
              <w:rPr>
                <w:rFonts w:hint="eastAsia" w:ascii="宋体" w:hAnsi="宋体" w:cs="宋体"/>
                <w:bCs/>
                <w:sz w:val="21"/>
                <w:szCs w:val="21"/>
              </w:rPr>
              <w:t xml:space="preserve">并且不允许从系统中删除日志或修改日志，保障数据的可追溯性。</w:t>
            </w:r>
            <w:r/>
          </w:p>
        </w:tc>
      </w:tr>
      <w:tr>
        <w:trPr>
          <w:jc w:val="center"/>
          <w:trHeight w:val="516"/>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Pr>
                <w:rFonts w:ascii="宋体" w:hAnsi="宋体" w:cs="宋体"/>
                <w:bCs/>
                <w:sz w:val="21"/>
                <w:szCs w:val="21"/>
              </w:rPr>
            </w:pPr>
            <w:r>
              <w:rPr>
                <w:rFonts w:hint="eastAsia" w:ascii="宋体" w:hAnsi="宋体" w:cs="宋体"/>
                <w:bCs/>
                <w:sz w:val="21"/>
                <w:szCs w:val="21"/>
              </w:rPr>
              <w:t xml:space="preserve">所有过程中采集数据的日志均真实、准确地记录数据的产生时间（如何时录入开始时间、何时变更开始时间等），以确保数据的完整性和可靠性。</w:t>
            </w:r>
            <w:r/>
          </w:p>
        </w:tc>
      </w:tr>
      <w:tr>
        <w:trPr>
          <w:jc w:val="center"/>
          <w:trHeight w:val="516"/>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Pr>
                <w:rFonts w:ascii="宋体" w:hAnsi="宋体" w:cs="宋体"/>
                <w:bCs/>
                <w:sz w:val="21"/>
                <w:szCs w:val="21"/>
              </w:rPr>
            </w:pPr>
            <w:r>
              <w:rPr>
                <w:rFonts w:hint="eastAsia" w:ascii="宋体" w:hAnsi="宋体" w:cs="宋体"/>
                <w:bCs/>
                <w:sz w:val="21"/>
                <w:szCs w:val="21"/>
              </w:rPr>
              <w:t xml:space="preserve">操作类型日志需体现关键信息，如操作者、操作角色、操作时间、操作类型、操作详情、原因等。</w:t>
            </w:r>
            <w:r/>
          </w:p>
        </w:tc>
      </w:tr>
      <w:tr>
        <w:trPr>
          <w:jc w:val="center"/>
          <w:trHeight w:val="516"/>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Pr>
                <w:rFonts w:ascii="宋体" w:hAnsi="宋体" w:cs="宋体"/>
                <w:bCs/>
                <w:sz w:val="21"/>
                <w:szCs w:val="21"/>
              </w:rPr>
            </w:pPr>
            <w:r>
              <w:rPr>
                <w:rFonts w:hint="eastAsia" w:ascii="宋体" w:hAnsi="宋体" w:cs="宋体"/>
                <w:bCs/>
                <w:sz w:val="21"/>
                <w:szCs w:val="21"/>
              </w:rPr>
              <w:t xml:space="preserve">系统应记录访问日志及访问日志的日志，</w:t>
            </w:r>
            <w:r>
              <w:rPr>
                <w:rFonts w:hint="eastAsia" w:ascii="宋体" w:hAnsi="宋体" w:cs="宋体"/>
                <w:sz w:val="21"/>
                <w:szCs w:val="21"/>
                <w:shd w:val="clear" w:color="auto" w:fill="ffffff"/>
              </w:rPr>
              <w:t xml:space="preserve">能够清晰追溯并完整还原审核工作路径。</w:t>
            </w:r>
            <w:r/>
          </w:p>
        </w:tc>
      </w:tr>
      <w:tr>
        <w:trPr>
          <w:jc w:val="center"/>
          <w:trHeight w:val="516"/>
        </w:trPr>
        <w:tc>
          <w:tcPr>
            <w:tcW w:w="890" w:type="pct"/>
            <w:vAlign w:val="center"/>
            <w:vMerge w:val="continue"/>
            <w:textDirection w:val="lrTb"/>
            <w:noWrap w:val="false"/>
          </w:tcPr>
          <w:p>
            <w:pPr>
              <w:ind w:left="0"/>
              <w:jc w:val="center"/>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Pr>
                <w:rFonts w:ascii="宋体" w:hAnsi="宋体" w:cs="宋体"/>
                <w:bCs/>
                <w:sz w:val="21"/>
                <w:szCs w:val="21"/>
              </w:rPr>
            </w:pPr>
            <w:r>
              <w:rPr>
                <w:rFonts w:hint="eastAsia" w:ascii="宋体" w:hAnsi="宋体" w:cs="宋体"/>
                <w:bCs/>
                <w:sz w:val="21"/>
                <w:szCs w:val="21"/>
              </w:rPr>
              <w:t xml:space="preserve">登录日志需体现关键信息，如账号信息、登录/登出时间、登录失败原因、IP等。</w:t>
            </w:r>
            <w:r/>
          </w:p>
        </w:tc>
      </w:tr>
      <w:tr>
        <w:trPr>
          <w:jc w:val="center"/>
          <w:trHeight w:val="624"/>
        </w:trPr>
        <w:tc>
          <w:tcPr>
            <w:tcW w:w="890" w:type="pct"/>
            <w:vAlign w:val="center"/>
            <w:vMerge w:val="restart"/>
            <w:textDirection w:val="lrTb"/>
            <w:noWrap w:val="false"/>
          </w:tcPr>
          <w:p>
            <w:pPr>
              <w:ind w:left="0"/>
              <w:jc w:val="center"/>
              <w:widowControl w:val="off"/>
              <w:rPr>
                <w:rFonts w:ascii="宋体" w:hAnsi="宋体" w:cs="宋体"/>
                <w:bCs/>
                <w:sz w:val="21"/>
                <w:szCs w:val="21"/>
              </w:rPr>
            </w:pPr>
            <w:r>
              <w:rPr>
                <w:rFonts w:hint="eastAsia" w:ascii="宋体" w:hAnsi="宋体" w:cs="宋体"/>
                <w:bCs/>
                <w:sz w:val="21"/>
                <w:szCs w:val="21"/>
              </w:rPr>
              <w:t xml:space="preserve">试验用药品管理</w:t>
            </w:r>
            <w:r/>
          </w:p>
        </w:tc>
        <w:tc>
          <w:tcPr>
            <w:tcW w:w="4109" w:type="pct"/>
            <w:vAlign w:val="center"/>
            <w:textDirection w:val="lrTb"/>
            <w:noWrap w:val="false"/>
          </w:tcPr>
          <w:p>
            <w:pPr>
              <w:ind w:left="0"/>
              <w:rPr>
                <w:rFonts w:ascii="宋体" w:hAnsi="宋体" w:cs="宋体"/>
                <w:bCs/>
                <w:sz w:val="21"/>
                <w:szCs w:val="21"/>
              </w:rPr>
            </w:pPr>
            <w:r>
              <w:rPr>
                <w:rFonts w:hint="eastAsia" w:ascii="宋体" w:hAnsi="宋体" w:cs="宋体"/>
                <w:bCs/>
                <w:sz w:val="21"/>
                <w:szCs w:val="21"/>
              </w:rPr>
              <w:t xml:space="preserve">系统支持药房管理员对药物的接收、贮存、分发、回收、留样、退回及销毁等环节实施全程信息化管控，并允许用户自定义药品标签条码规则，在流转各环节通过唯一编码进行标识与追溯，确保因分装等操作产生的新编码可关联至原包装编码。对近效期与低库存产品自动预警并通过短信提示，对过期药品执行自动隔离，保障用药安全。</w:t>
            </w:r>
            <w:r/>
          </w:p>
        </w:tc>
      </w:tr>
      <w:tr>
        <w:trPr>
          <w:jc w:val="center"/>
          <w:trHeight w:val="624"/>
        </w:trPr>
        <w:tc>
          <w:tcPr>
            <w:tcW w:w="890" w:type="pct"/>
            <w:vAlign w:val="center"/>
            <w:vMerge w:val="continue"/>
            <w:textDirection w:val="lrTb"/>
            <w:noWrap w:val="false"/>
          </w:tcPr>
          <w:p>
            <w:pPr>
              <w:ind w:left="0" w:right="17"/>
              <w:widowControl w:val="off"/>
              <w:rPr>
                <w:rFonts w:ascii="宋体" w:hAnsi="宋体" w:cs="宋体"/>
                <w:bCs/>
                <w:sz w:val="21"/>
                <w:szCs w:val="21"/>
              </w:rPr>
            </w:pPr>
            <w:r>
              <w:rPr>
                <w:rFonts w:ascii="宋体" w:hAnsi="宋体" w:cs="宋体"/>
                <w:bCs/>
                <w:sz w:val="21"/>
                <w:szCs w:val="21"/>
              </w:rPr>
            </w:r>
            <w:r/>
          </w:p>
        </w:tc>
        <w:tc>
          <w:tcPr>
            <w:tcW w:w="4109" w:type="pct"/>
            <w:vAlign w:val="center"/>
            <w:textDirection w:val="lrTb"/>
            <w:noWrap w:val="false"/>
          </w:tcPr>
          <w:p>
            <w:pPr>
              <w:ind w:left="0"/>
              <w:rPr>
                <w:rFonts w:ascii="宋体" w:hAnsi="宋体" w:cs="宋体"/>
                <w:bCs/>
                <w:sz w:val="21"/>
                <w:szCs w:val="21"/>
              </w:rPr>
            </w:pPr>
            <w:r>
              <w:rPr>
                <w:rFonts w:hint="eastAsia" w:ascii="宋体" w:hAnsi="宋体" w:cs="宋体"/>
                <w:bCs/>
                <w:sz w:val="21"/>
                <w:szCs w:val="21"/>
              </w:rPr>
              <w:t xml:space="preserve">支持打印药盒标签，并能扫码识别，在药品分装环节可比对药盒与受试者信息，识别药物分装的准确性。</w:t>
            </w:r>
            <w:r/>
          </w:p>
        </w:tc>
      </w:tr>
      <w:tr>
        <w:trPr>
          <w:jc w:val="center"/>
          <w:trHeight w:val="624"/>
        </w:trPr>
        <w:tc>
          <w:tcPr>
            <w:tcW w:w="890"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仪器设备管理</w:t>
            </w:r>
            <w:r/>
          </w:p>
        </w:tc>
        <w:tc>
          <w:tcPr>
            <w:tcW w:w="4109" w:type="pct"/>
            <w:vAlign w:val="center"/>
            <w:textDirection w:val="lrTb"/>
            <w:noWrap w:val="false"/>
          </w:tcPr>
          <w:p>
            <w:pPr>
              <w:ind w:left="0"/>
              <w:rPr>
                <w:rFonts w:ascii="宋体" w:hAnsi="宋体" w:cs="宋体"/>
                <w:bCs/>
                <w:sz w:val="21"/>
                <w:szCs w:val="21"/>
              </w:rPr>
            </w:pPr>
            <w:r>
              <w:rPr>
                <w:rFonts w:hint="eastAsia" w:ascii="宋体" w:hAnsi="宋体" w:cs="宋体"/>
                <w:bCs/>
                <w:sz w:val="21"/>
                <w:szCs w:val="21"/>
              </w:rPr>
              <w:t xml:space="preserve">支持新增仪器信息（含名称、编号、类型、规格、品牌、序列号、入库时间、校准有效期等），并可上传校准、确认、检定、维修、报废等相关报告，支持清单的批量导入与导出。系统具备多维度查询功能，可根据校准有效期、入库时间、保修期、仪器状态、名称编号、存放位置等条件进行检索。同时支持在线申请校准、灵活设置仪器状态，并允许指定设备管理员与所属部门，实现对仪器设备全生命周期的信息化管理。</w:t>
            </w:r>
            <w:r/>
          </w:p>
        </w:tc>
      </w:tr>
      <w:tr>
        <w:trPr>
          <w:jc w:val="center"/>
          <w:trHeight w:val="624"/>
        </w:trPr>
        <w:tc>
          <w:tcPr>
            <w:tcW w:w="890" w:type="pct"/>
            <w:vAlign w:val="center"/>
            <w:textDirection w:val="lrTb"/>
            <w:noWrap w:val="false"/>
          </w:tcPr>
          <w:p>
            <w:pPr>
              <w:ind w:left="0" w:right="17"/>
              <w:widowControl w:val="off"/>
              <w:rPr>
                <w:rFonts w:ascii="宋体" w:hAnsi="宋体" w:cs="宋体"/>
                <w:bCs/>
                <w:sz w:val="21"/>
                <w:szCs w:val="21"/>
              </w:rPr>
            </w:pPr>
            <w:r>
              <w:rPr>
                <w:rFonts w:hint="eastAsia" w:ascii="宋体" w:hAnsi="宋体" w:cs="宋体"/>
                <w:bCs/>
                <w:sz w:val="21"/>
                <w:szCs w:val="21"/>
              </w:rPr>
              <w:t xml:space="preserve">质量文件管理</w:t>
            </w:r>
            <w:r/>
          </w:p>
        </w:tc>
        <w:tc>
          <w:tcPr>
            <w:tcW w:w="4109" w:type="pct"/>
            <w:vAlign w:val="center"/>
            <w:textDirection w:val="lrTb"/>
            <w:noWrap w:val="false"/>
          </w:tcPr>
          <w:p>
            <w:pPr>
              <w:ind w:left="0"/>
              <w:rPr>
                <w:rFonts w:ascii="宋体" w:hAnsi="宋体" w:cs="宋体"/>
                <w:color w:val="0f1115"/>
                <w:sz w:val="21"/>
                <w:szCs w:val="21"/>
                <w:shd w:val="clear" w:color="auto" w:fill="ffffff"/>
              </w:rPr>
            </w:pPr>
            <w:r>
              <w:rPr>
                <w:rFonts w:hint="eastAsia" w:ascii="宋体" w:hAnsi="宋体" w:cs="宋体"/>
                <w:sz w:val="21"/>
                <w:szCs w:val="21"/>
                <w:lang w:bidi="ar"/>
              </w:rPr>
              <w:t xml:space="preserve">★</w:t>
            </w:r>
            <w:r>
              <w:rPr>
                <w:rFonts w:hint="eastAsia" w:ascii="宋体" w:hAnsi="宋体" w:cs="宋体"/>
                <w:color w:val="0f1115"/>
                <w:sz w:val="21"/>
                <w:szCs w:val="21"/>
                <w:shd w:val="clear" w:color="auto" w:fill="ffffff"/>
              </w:rPr>
              <w:t xml:space="preserve">系统支持对质量文件及试验过程相关文件的全生命周期管控，覆盖文件上传、修订、审批、批准、生效等全流程节点，并可实现操作轨迹的全程可溯源。在批准环节支持符合法规要求的电子签名，且签名时同步留存操作日期，以确保操作的合规性与不可否认性。系统支持设置文件定期审核提醒，并具备版本控制功能，可有效防止旧版文件的误用。同时，系统支持对文件进行分发授权管理，</w:t>
            </w:r>
            <w:r>
              <w:rPr>
                <w:rFonts w:hint="eastAsia" w:ascii="宋体" w:hAnsi="宋体" w:cs="宋体"/>
                <w:sz w:val="21"/>
                <w:szCs w:val="21"/>
              </w:rPr>
              <w:t xml:space="preserve">基于角色权限精准划分文件查看权限，确保只有授权人员可接触相关文件，全面保障试验文件的受控性、保密性与可追溯性。 </w:t>
            </w:r>
            <w:r/>
          </w:p>
        </w:tc>
      </w:tr>
    </w:tbl>
    <w:p>
      <w:pPr>
        <w:pStyle w:val="1054"/>
        <w:ind w:left="0" w:firstLine="0"/>
        <w:tabs>
          <w:tab w:val="left" w:pos="1173" w:leader="none"/>
        </w:tabs>
        <w:rPr>
          <w:rFonts w:ascii="宋体" w:hAnsi="宋体" w:cs="宋体"/>
          <w:szCs w:val="21"/>
        </w:rPr>
      </w:pPr>
      <w:r>
        <w:rPr>
          <w:rFonts w:ascii="宋体" w:hAnsi="宋体" w:cs="宋体"/>
          <w:szCs w:val="21"/>
        </w:rPr>
      </w:r>
      <w:r/>
    </w:p>
    <w:p>
      <w:pPr>
        <w:ind w:left="0"/>
        <w:spacing w:line="360" w:lineRule="auto"/>
        <w:rPr>
          <w:rFonts w:ascii="宋体" w:hAnsi="宋体" w:cs="宋体"/>
          <w:b/>
          <w:sz w:val="21"/>
          <w:szCs w:val="21"/>
        </w:rPr>
        <w:outlineLvl w:val="1"/>
      </w:pPr>
      <w:r>
        <w:rPr>
          <w:rFonts w:hint="eastAsia" w:ascii="宋体" w:hAnsi="宋体" w:cs="宋体"/>
          <w:b/>
          <w:sz w:val="21"/>
          <w:szCs w:val="21"/>
        </w:rPr>
        <w:t xml:space="preserve">4、受试者智能识别管理系统功能模块及技术参数</w:t>
      </w:r>
      <w:r/>
    </w:p>
    <w:tbl>
      <w:tblPr>
        <w:tblW w:w="4876" w:type="pct"/>
        <w:jc w:val="center"/>
        <w:tblLook w:val="04A0" w:firstRow="1" w:lastRow="0" w:firstColumn="1" w:lastColumn="0" w:noHBand="0" w:noVBand="1"/>
      </w:tblPr>
      <w:tblGrid>
        <w:gridCol w:w="1067"/>
        <w:gridCol w:w="1078"/>
        <w:gridCol w:w="1100"/>
        <w:gridCol w:w="6367"/>
      </w:tblGrid>
      <w:tr>
        <w:trPr>
          <w:jc w:val="center"/>
          <w:trHeight w:val="624"/>
        </w:trPr>
        <w:tc>
          <w:tcPr>
            <w:gridSpan w:val="3"/>
            <w:shd w:val="clear" w:color="auto" w:fill="bebebe"/>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rPr>
              <w:t xml:space="preserve">功能名称</w:t>
            </w:r>
            <w:r/>
          </w:p>
        </w:tc>
        <w:tc>
          <w:tcPr>
            <w:shd w:val="clear" w:color="auto" w:fill="bebebe"/>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rPr>
              <w:t xml:space="preserve">功能要求</w:t>
            </w:r>
            <w:r/>
          </w:p>
        </w:tc>
      </w:tr>
      <w:tr>
        <w:trPr>
          <w:jc w:val="center"/>
          <w:trHeight w:val="624"/>
        </w:trPr>
        <w:tc>
          <w:tcPr>
            <w:gridSpan w:val="3"/>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创建项目</w:t>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填写项目基本信息，包括备案号/登记号/批件号、试验名称、受试者类别、试验类别、给药途径、药品类别等，完成项目新增。</w:t>
            </w:r>
            <w:r/>
          </w:p>
        </w:tc>
      </w:tr>
      <w:tr>
        <w:trPr>
          <w:jc w:val="center"/>
          <w:trHeight w:val="312"/>
        </w:trPr>
        <w:tc>
          <w:tcPr>
            <w:gridSpan w:val="3"/>
            <w:tcBorders>
              <w:top w:val="single" w:color="000000" w:sz="4" w:space="0"/>
              <w:left w:val="single" w:color="000000" w:sz="4" w:space="0"/>
              <w:bottom w:val="single" w:color="000000" w:sz="4" w:space="0"/>
              <w:right w:val="single" w:color="000000" w:sz="4" w:space="0"/>
            </w:tcBorders>
            <w:tcW w:w="1688" w:type="pct"/>
            <w:vAlign w:val="center"/>
            <w:vMerge w:val="restart"/>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项目列表</w:t>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1、显示机构所有的项目，实现数据范围控制，只能查看自己创建或者被授权查看的项目；</w:t>
            </w:r>
            <w:r/>
          </w:p>
        </w:tc>
      </w:tr>
      <w:tr>
        <w:trPr>
          <w:jc w:val="center"/>
          <w:trHeight w:val="312"/>
        </w:trPr>
        <w:tc>
          <w:tcPr>
            <w:gridSpan w:val="3"/>
            <w:tcBorders>
              <w:top w:val="single" w:color="000000" w:sz="4" w:space="0"/>
              <w:left w:val="single" w:color="000000" w:sz="4" w:space="0"/>
              <w:bottom w:val="single" w:color="000000" w:sz="4" w:space="0"/>
              <w:right w:val="single" w:color="000000" w:sz="4" w:space="0"/>
            </w:tcBorders>
            <w:tcW w:w="1688"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2、支持按申办方、试验类别、备案号/登记号/批件号、试验名称进行搜索；</w:t>
            </w:r>
            <w:r/>
          </w:p>
        </w:tc>
      </w:tr>
      <w:tr>
        <w:trPr>
          <w:jc w:val="center"/>
          <w:trHeight w:val="312"/>
        </w:trPr>
        <w:tc>
          <w:tcPr>
            <w:gridSpan w:val="3"/>
            <w:tcBorders>
              <w:top w:val="single" w:color="000000" w:sz="4" w:space="0"/>
              <w:left w:val="single" w:color="000000" w:sz="4" w:space="0"/>
              <w:bottom w:val="single" w:color="000000" w:sz="4" w:space="0"/>
              <w:right w:val="single" w:color="000000" w:sz="4" w:space="0"/>
            </w:tcBorders>
            <w:tcW w:w="1688"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3、支持按进行中、已完成不同状态分别查看项目清单；</w:t>
            </w:r>
            <w:r/>
          </w:p>
        </w:tc>
      </w:tr>
      <w:tr>
        <w:trPr>
          <w:jc w:val="center"/>
          <w:trHeight w:val="312"/>
        </w:trPr>
        <w:tc>
          <w:tcPr>
            <w:gridSpan w:val="3"/>
            <w:tcBorders>
              <w:top w:val="single" w:color="000000" w:sz="4" w:space="0"/>
              <w:left w:val="single" w:color="000000" w:sz="4" w:space="0"/>
              <w:bottom w:val="single" w:color="000000" w:sz="4" w:space="0"/>
              <w:right w:val="single" w:color="000000" w:sz="4" w:space="0"/>
            </w:tcBorders>
            <w:tcW w:w="1688"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4、支持对重点项目进行标识，加入到“我关注的”项目清单。</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restart"/>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试验项目</w:t>
            </w:r>
            <w:r/>
          </w:p>
        </w:tc>
        <w:tc>
          <w:tcPr>
            <w:tcBorders>
              <w:top w:val="single" w:color="000000" w:sz="4" w:space="0"/>
              <w:left w:val="single" w:color="000000" w:sz="4" w:space="0"/>
              <w:bottom w:val="single" w:color="000000" w:sz="4" w:space="0"/>
              <w:right w:val="single" w:color="000000" w:sz="4" w:space="0"/>
            </w:tcBorders>
            <w:tcW w:w="561" w:type="pct"/>
            <w:vAlign w:val="center"/>
            <w:vMerge w:val="restart"/>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项目管理</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项目信息管理</w:t>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支持对项目基本信息进行管理，包括编辑项目基本信息、删除项目、结束项目。</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left="0"/>
              <w:jc w:val="center"/>
              <w:rPr>
                <w:rFonts w:ascii="宋体" w:hAnsi="宋体" w:cs="宋体"/>
                <w:color w:val="000000"/>
                <w:sz w:val="21"/>
                <w:szCs w:val="21"/>
              </w:rPr>
            </w:pPr>
            <w:r>
              <w:rPr>
                <w:rFonts w:hint="eastAsia" w:ascii="宋体" w:hAnsi="宋体" w:cs="宋体"/>
                <w:sz w:val="21"/>
                <w:szCs w:val="21"/>
                <w:lang w:bidi="ar"/>
              </w:rPr>
              <w:t xml:space="preserve">★</w:t>
            </w:r>
            <w:r>
              <w:rPr>
                <w:rFonts w:hint="eastAsia" w:ascii="宋体" w:hAnsi="宋体" w:cs="宋体"/>
                <w:color w:val="000000"/>
                <w:sz w:val="21"/>
                <w:szCs w:val="21"/>
              </w:rPr>
              <w:t xml:space="preserve">自定义设置</w:t>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针对项目特殊管理要求进行设置，主要包括：</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1、设置全网联网筛查的参数，包括设置距上次给药天数、距上次访视天数、距上次筛选天数；</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2、支持设置项目是否需要开启“首次签到”功能；</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3、除了必须的开始、完成环节，支持灵活设置项目需要进行身份认证识别的关键环节。</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签到</w:t>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1、支持通过身份证读取设备自动读取受试者身份信息，记录受试者签到时间；</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2、支持清除签到测试数据；</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3、支持按受试者姓名、缩写、身份证号搜索签到受试者；</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4、支持导出受试者签到数据。</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受试者管理</w:t>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1、提供按设置的环节对受试者进行身份识别；</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2、提供多种识别方式，包括身份信息读取、人证比对、全网试验状态联网查询受试者是否具有参与试验资格等；</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3、支持读取身份证、输入身份证号等不同方式识别受试者；</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4、支持自动分配受试者筛选号；</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5、支持按受试者姓名缩写、身份证号、筛选号搜索受试者；</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6、支持按项目过程环节统计受试者参与项目情况；</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7、支持对受试者进行脱落、编辑、标记不良记录等操作，并支持批量操作；</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8、支持导出参与试验的受试者。</w:t>
            </w:r>
            <w:r/>
          </w:p>
        </w:tc>
      </w:tr>
      <w:tr>
        <w:trPr>
          <w:jc w:val="center"/>
          <w:trHeight w:val="1063"/>
        </w:trPr>
        <w:tc>
          <w:tcPr>
            <w:tcBorders>
              <w:top w:val="single" w:color="000000" w:sz="4" w:space="0"/>
              <w:left w:val="single" w:color="000000" w:sz="4" w:space="0"/>
              <w:bottom w:val="single" w:color="000000" w:sz="4" w:space="0"/>
              <w:right w:val="single" w:color="000000" w:sz="4" w:space="0"/>
            </w:tcBorders>
            <w:tcW w:w="555" w:type="pct"/>
            <w:vAlign w:val="center"/>
            <w:vMerge w:val="restart"/>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受试者查询</w:t>
            </w:r>
            <w:r/>
          </w:p>
        </w:tc>
        <w:tc>
          <w:tcPr>
            <w:gridSpan w:val="2"/>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试验查询</w:t>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查询本机构的所有受试者临床试验参与情况，支持按受试者姓名缩写、身份证号、试验名称、受试者状态等条件进行搜索，并支持查看受试者参与项目的详细情况。</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不良记录</w:t>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查询被本机构标记为不良记录的受试者情况。</w:t>
            </w:r>
            <w:r/>
          </w:p>
        </w:tc>
      </w:tr>
      <w:tr>
        <w:trPr>
          <w:jc w:val="center"/>
          <w:trHeight w:val="619"/>
        </w:trPr>
        <w:tc>
          <w:tcPr>
            <w:gridSpan w:val="3"/>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不合格记录</w:t>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展示所有参与本机构临床试验项目筛选时联网筛查结果不合格的记录，包括筛查时间、筛查条件、失败原因及当时操作人等。</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555" w:type="pct"/>
            <w:vAlign w:val="center"/>
            <w:vMerge w:val="restart"/>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统计分析</w:t>
            </w:r>
            <w:r/>
          </w:p>
        </w:tc>
        <w:tc>
          <w:tcPr>
            <w:gridSpan w:val="2"/>
            <w:tcBorders>
              <w:top w:val="single" w:color="000000" w:sz="4" w:space="0"/>
              <w:left w:val="single" w:color="000000" w:sz="4" w:space="0"/>
              <w:bottom w:val="single" w:color="000000" w:sz="4" w:space="0"/>
              <w:right w:val="single" w:color="auto" w:sz="4" w:space="0"/>
            </w:tcBorders>
            <w:tcW w:w="113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试验分析</w:t>
            </w:r>
            <w:r/>
          </w:p>
        </w:tc>
        <w:tc>
          <w:tcPr>
            <w:tcBorders>
              <w:top w:val="single" w:color="auto" w:sz="4" w:space="0"/>
              <w:left w:val="single" w:color="auto" w:sz="4" w:space="0"/>
              <w:bottom w:val="single" w:color="auto" w:sz="4" w:space="0"/>
              <w:right w:val="single" w:color="auto"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统计分析本机构开展的临床试验项目情况，支持从试验类别、药品类别、给药途径等各种角度进行分类统计。</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auto" w:sz="4" w:space="0"/>
            </w:tcBorders>
            <w:tcW w:w="113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受试者分析</w:t>
            </w:r>
            <w:r/>
          </w:p>
        </w:tc>
        <w:tc>
          <w:tcPr>
            <w:tcBorders>
              <w:top w:val="single" w:color="auto" w:sz="4" w:space="0"/>
              <w:left w:val="single" w:color="auto" w:sz="4" w:space="0"/>
              <w:bottom w:val="single" w:color="auto" w:sz="4" w:space="0"/>
              <w:right w:val="single" w:color="auto"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统计分析所有参与过本机构临床试验项目的受试者，支持从性别、年龄层次、籍贯、参加试验时间等多角度进行分类统计。</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不良记录分析</w:t>
            </w:r>
            <w:r/>
          </w:p>
        </w:tc>
        <w:tc>
          <w:tcPr>
            <w:tcBorders>
              <w:top w:val="single" w:color="auto"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统计分析所有被本机构标记为不良记录的受试者情况，支持按照性别、年龄、籍贯、标记时间、不良记录有效期、标记原因等各种角度进行统计。</w:t>
            </w:r>
            <w:r/>
          </w:p>
        </w:tc>
      </w:tr>
      <w:tr>
        <w:trPr>
          <w:jc w:val="center"/>
          <w:trHeight w:val="374"/>
        </w:trPr>
        <w:tc>
          <w:tcPr>
            <w:gridSpan w:val="3"/>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rPr>
              <w:t xml:space="preserve">审计追踪</w:t>
            </w:r>
            <w:r/>
          </w:p>
        </w:tc>
        <w:tc>
          <w:tcPr>
            <w:tcBorders>
              <w:top w:val="single" w:color="000000" w:sz="4" w:space="0"/>
              <w:left w:val="single" w:color="000000" w:sz="4" w:space="0"/>
              <w:bottom w:val="single" w:color="000000" w:sz="4" w:space="0"/>
              <w:right w:val="single" w:color="000000" w:sz="4" w:space="0"/>
            </w:tcBorders>
            <w:tcW w:w="3311" w:type="pct"/>
            <w:vAlign w:val="center"/>
            <w:textDirection w:val="lrTb"/>
            <w:noWrap w:val="false"/>
          </w:tcPr>
          <w:p>
            <w:pPr>
              <w:ind w:left="0"/>
              <w:jc w:val="left"/>
              <w:rPr>
                <w:rFonts w:ascii="宋体" w:hAnsi="宋体" w:cs="宋体"/>
                <w:color w:val="000000"/>
                <w:sz w:val="21"/>
                <w:szCs w:val="21"/>
              </w:rPr>
            </w:pPr>
            <w:r>
              <w:rPr>
                <w:rFonts w:hint="eastAsia" w:ascii="宋体" w:hAnsi="宋体" w:cs="宋体"/>
                <w:color w:val="000000"/>
                <w:sz w:val="21"/>
                <w:szCs w:val="21"/>
              </w:rPr>
              <w:t xml:space="preserve">查询所有的系统操作记录，对操作痕迹进行全过程追踪。支持记录操作账号、手机号、操作人员姓名、项目、操作时间，并且详细记录操作的具体内容。</w:t>
            </w:r>
            <w:r/>
          </w:p>
        </w:tc>
      </w:tr>
    </w:tbl>
    <w:p>
      <w:pPr>
        <w:pStyle w:val="1054"/>
        <w:ind w:left="0" w:firstLine="0"/>
        <w:tabs>
          <w:tab w:val="left" w:pos="1173" w:leader="none"/>
        </w:tabs>
      </w:pPr>
      <w:r/>
      <w:r/>
    </w:p>
    <w:p>
      <w:pPr>
        <w:pStyle w:val="1054"/>
        <w:ind w:left="0" w:firstLine="0"/>
        <w:tabs>
          <w:tab w:val="left" w:pos="1173" w:leader="none"/>
        </w:tabs>
        <w:rPr>
          <w:b/>
        </w:rPr>
      </w:pPr>
      <w:r>
        <w:rPr>
          <w:rFonts w:hint="eastAsia"/>
          <w:b/>
        </w:rPr>
        <w:t xml:space="preserve">（三）其他商务要求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、实施地点：苏州市第五人民医院（江苏省苏州市相城区广前路</w:t>
      </w:r>
      <w:r>
        <w:rPr>
          <w:rFonts w:hint="eastAsia" w:ascii="Times New Roman" w:hAnsi="Times New Roman"/>
          <w:sz w:val="21"/>
        </w:rPr>
        <w:t xml:space="preserve">10</w:t>
      </w:r>
      <w:r>
        <w:rPr>
          <w:rFonts w:hint="eastAsia" w:ascii="Times New Roman" w:hAnsi="Times New Roman"/>
          <w:sz w:val="21"/>
        </w:rPr>
        <w:t xml:space="preserve">号）。</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、实施工期：签订合同后</w:t>
      </w:r>
      <w:r>
        <w:rPr>
          <w:rFonts w:ascii="Times New Roman" w:hAnsi="Times New Roman"/>
          <w:sz w:val="21"/>
        </w:rPr>
        <w:t xml:space="preserve">2</w:t>
      </w:r>
      <w:r>
        <w:rPr>
          <w:rFonts w:hint="eastAsia" w:ascii="Times New Roman" w:hAnsi="Times New Roman"/>
          <w:sz w:val="21"/>
        </w:rPr>
        <w:t xml:space="preserve">个月内完成系统安装调试并投入业务试运行。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hint="eastAsia" w:ascii="Times New Roman" w:hAnsi="Times New Roman"/>
          <w:sz w:val="21"/>
        </w:rPr>
        <w:t xml:space="preserve">、付款方式：合同签订后</w:t>
      </w:r>
      <w:r>
        <w:rPr>
          <w:rFonts w:hint="eastAsia" w:ascii="Times New Roman" w:hAnsi="Times New Roman"/>
          <w:sz w:val="21"/>
        </w:rPr>
        <w:t xml:space="preserve">10</w:t>
      </w:r>
      <w:r>
        <w:rPr>
          <w:rFonts w:hint="eastAsia" w:ascii="Times New Roman" w:hAnsi="Times New Roman"/>
          <w:sz w:val="21"/>
        </w:rPr>
        <w:t xml:space="preserve">个工作日内，成交单位提交经采购单位书面确认的进一步优化的项目实施方案、项目实施计划后的</w:t>
      </w:r>
      <w:r>
        <w:rPr>
          <w:rFonts w:hint="eastAsia" w:ascii="Times New Roman" w:hAnsi="Times New Roman"/>
          <w:sz w:val="21"/>
        </w:rPr>
        <w:t xml:space="preserve">20</w:t>
      </w:r>
      <w:r>
        <w:rPr>
          <w:rFonts w:hint="eastAsia" w:ascii="Times New Roman" w:hAnsi="Times New Roman"/>
          <w:sz w:val="21"/>
        </w:rPr>
        <w:t xml:space="preserve">个工作日内，由采购人向成交单位支付合同总价</w:t>
      </w:r>
      <w:r>
        <w:rPr>
          <w:rFonts w:hint="eastAsia" w:ascii="Times New Roman" w:hAnsi="Times New Roman"/>
          <w:sz w:val="21"/>
        </w:rPr>
        <w:t xml:space="preserve">30%</w:t>
      </w:r>
      <w:r>
        <w:rPr>
          <w:rFonts w:hint="eastAsia" w:ascii="Times New Roman" w:hAnsi="Times New Roman"/>
          <w:sz w:val="21"/>
        </w:rPr>
        <w:t xml:space="preserve">的预付款；成交单位完成项目的全部系统交付并通过初步验收，进入试运行后，成交单位向采购人提出申请，采购人</w:t>
      </w:r>
      <w:r>
        <w:rPr>
          <w:rFonts w:hint="eastAsia" w:ascii="Times New Roman" w:hAnsi="Times New Roman"/>
          <w:sz w:val="21"/>
        </w:rPr>
        <w:t xml:space="preserve">30</w:t>
      </w:r>
      <w:r>
        <w:rPr>
          <w:rFonts w:hint="eastAsia" w:ascii="Times New Roman" w:hAnsi="Times New Roman"/>
          <w:sz w:val="21"/>
        </w:rPr>
        <w:t xml:space="preserve">个工作日内向成交单位支付合同总价</w:t>
      </w:r>
      <w:r>
        <w:rPr>
          <w:rFonts w:hint="eastAsia" w:ascii="Times New Roman" w:hAnsi="Times New Roman"/>
          <w:sz w:val="21"/>
        </w:rPr>
        <w:t xml:space="preserve">30%</w:t>
      </w:r>
      <w:r>
        <w:rPr>
          <w:rFonts w:hint="eastAsia" w:ascii="Times New Roman" w:hAnsi="Times New Roman"/>
          <w:sz w:val="21"/>
        </w:rPr>
        <w:t xml:space="preserve">的合同款；系统投入试运行，且正常运行</w:t>
      </w:r>
      <w:r>
        <w:rPr>
          <w:rFonts w:hint="eastAsia" w:ascii="Times New Roman" w:hAnsi="Times New Roman"/>
          <w:sz w:val="21"/>
        </w:rPr>
        <w:t xml:space="preserve">1</w:t>
      </w:r>
      <w:r>
        <w:rPr>
          <w:rFonts w:hint="eastAsia" w:ascii="Times New Roman" w:hAnsi="Times New Roman"/>
          <w:sz w:val="21"/>
        </w:rPr>
        <w:t xml:space="preserve">个月后，成交单位完成本项目的培训任务，建立完善的系统运维体系，向采购人提交全部报告材料，并通过采购人组织的最终验收，成交单位向采购人提出申请，采购人</w:t>
      </w:r>
      <w:r>
        <w:rPr>
          <w:rFonts w:hint="eastAsia" w:ascii="Times New Roman" w:hAnsi="Times New Roman"/>
          <w:sz w:val="21"/>
        </w:rPr>
        <w:t xml:space="preserve">30</w:t>
      </w:r>
      <w:r>
        <w:rPr>
          <w:rFonts w:hint="eastAsia" w:ascii="Times New Roman" w:hAnsi="Times New Roman"/>
          <w:sz w:val="21"/>
        </w:rPr>
        <w:t xml:space="preserve">个工作日内向成交单位支付合同总价</w:t>
      </w:r>
      <w:r>
        <w:rPr>
          <w:rFonts w:hint="eastAsia" w:ascii="Times New Roman" w:hAnsi="Times New Roman"/>
          <w:sz w:val="21"/>
        </w:rPr>
        <w:t xml:space="preserve">30%</w:t>
      </w:r>
      <w:r>
        <w:rPr>
          <w:rFonts w:hint="eastAsia" w:ascii="Times New Roman" w:hAnsi="Times New Roman"/>
          <w:sz w:val="21"/>
        </w:rPr>
        <w:t xml:space="preserve">的合同款。剩余合同总价</w:t>
      </w:r>
      <w:r>
        <w:rPr>
          <w:rFonts w:hint="eastAsia" w:ascii="Times New Roman" w:hAnsi="Times New Roman"/>
          <w:sz w:val="21"/>
        </w:rPr>
        <w:t xml:space="preserve">10%</w:t>
      </w:r>
      <w:r>
        <w:rPr>
          <w:rFonts w:hint="eastAsia" w:ascii="Times New Roman" w:hAnsi="Times New Roman"/>
          <w:sz w:val="21"/>
        </w:rPr>
        <w:t xml:space="preserve">，一年质保期满，经采购人确认无质量问题后</w:t>
      </w:r>
      <w:r>
        <w:rPr>
          <w:rFonts w:hint="eastAsia" w:ascii="Times New Roman" w:hAnsi="Times New Roman"/>
          <w:sz w:val="21"/>
        </w:rPr>
        <w:t xml:space="preserve">30</w:t>
      </w:r>
      <w:r>
        <w:rPr>
          <w:rFonts w:hint="eastAsia" w:ascii="Times New Roman" w:hAnsi="Times New Roman"/>
          <w:sz w:val="21"/>
        </w:rPr>
        <w:t xml:space="preserve">个工作日无息付清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rPr>
          <w:rFonts w:hint="eastAsia" w:ascii="Times New Roman" w:hAnsi="Times New Roman"/>
          <w:sz w:val="21"/>
        </w:rPr>
        <w:t xml:space="preserve">、项目验收要求：系统正式上线，各个功能模块安装调试到位，且实现稳定运行。成交单位可向采购人提出验收申请，采购人根据合同、采购文件、响应文件组织验收。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rPr>
          <w:rFonts w:hint="eastAsia" w:ascii="Times New Roman" w:hAnsi="Times New Roman"/>
          <w:sz w:val="21"/>
        </w:rPr>
        <w:t xml:space="preserve">、系统对接费用：响应单位报价应包含涉及的所有第三方系统（如</w:t>
      </w:r>
      <w:r>
        <w:rPr>
          <w:rFonts w:hint="eastAsia" w:ascii="Times New Roman" w:hAnsi="Times New Roman"/>
          <w:sz w:val="21"/>
        </w:rPr>
        <w:t xml:space="preserve">HIS</w:t>
      </w:r>
      <w:r>
        <w:rPr>
          <w:rFonts w:hint="eastAsia" w:ascii="Times New Roman" w:hAnsi="Times New Roman"/>
          <w:sz w:val="21"/>
        </w:rPr>
        <w:t xml:space="preserve">、</w:t>
      </w:r>
      <w:r>
        <w:rPr>
          <w:rFonts w:hint="eastAsia" w:ascii="Times New Roman" w:hAnsi="Times New Roman"/>
          <w:sz w:val="21"/>
        </w:rPr>
        <w:t xml:space="preserve">LIS</w:t>
      </w:r>
      <w:r>
        <w:rPr>
          <w:rFonts w:hint="eastAsia" w:ascii="Times New Roman" w:hAnsi="Times New Roman"/>
          <w:sz w:val="21"/>
        </w:rPr>
        <w:t xml:space="preserve">等）的双方对接的接口费用及确保本系统正常运行的相应配套的软硬件。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w:t>
      </w:r>
      <w:r>
        <w:rPr>
          <w:rFonts w:hint="eastAsia" w:ascii="Times New Roman" w:hAnsi="Times New Roman"/>
          <w:sz w:val="21"/>
        </w:rPr>
        <w:t xml:space="preserve">、若采购人需要国产化适配，成交单位应在成交后无条件支持国产适配部署。</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7</w:t>
      </w:r>
      <w:r>
        <w:rPr>
          <w:rFonts w:hint="eastAsia" w:ascii="Times New Roman" w:hAnsi="Times New Roman"/>
          <w:sz w:val="21"/>
        </w:rPr>
        <w:t xml:space="preserve">、系统兼容要求：本次采购的全部系统之间须实现“完全一体化协同、原生数据互通”，全面满足：软件版本兼容、数据库兼容、接口协议兼容、业务数据兼容、客户端环境兼容五大兼容要求，并实现权限体系的跨系统协同与单点登录集成；同时实现数据同源、业务流程贯通、界面风格统一、运维体系统一，保障院内业务顺畅流转，系统间主数据、业务数据双向交互同步。若因成交单位系统兼容性、数据流转问题造成业务中断、数据错乱、数据不一致等问题，由成交单位负责无偿完成全部整改工作，并承担由此产生的相应损失。</w:t>
      </w:r>
      <w:r>
        <w:rPr>
          <w:rFonts w:hint="eastAsia" w:ascii="Times New Roman" w:hAnsi="Times New Roman"/>
          <w:b/>
          <w:sz w:val="21"/>
        </w:rPr>
        <w:t xml:space="preserve">响应单位须在响应文件中提供针对本条全部要求的书面承诺函并加盖响应单位公章，承诺函格式自拟，未提供或未按要求提供视为非实质性响应。</w:t>
      </w:r>
      <w:r/>
    </w:p>
    <w:p>
      <w:pPr>
        <w:ind w:left="0" w:firstLine="402"/>
        <w:spacing w:line="360" w:lineRule="auto"/>
        <w:tabs>
          <w:tab w:val="left" w:pos="420" w:leader="none"/>
          <w:tab w:val="left" w:pos="540" w:leader="none"/>
        </w:tabs>
        <w:rPr>
          <w:rFonts w:ascii="Times New Roman" w:hAnsi="Times New Roman"/>
          <w:b/>
          <w:sz w:val="21"/>
        </w:rPr>
      </w:pPr>
      <w:r>
        <w:rPr>
          <w:b/>
        </w:rPr>
        <w:tab/>
      </w:r>
      <w:r>
        <w:rPr>
          <w:rFonts w:hint="eastAsia" w:ascii="Times New Roman" w:hAnsi="Times New Roman"/>
          <w:b/>
          <w:sz w:val="21"/>
        </w:rPr>
        <w:t xml:space="preserve">（四）售后服务要求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、要求响应单位自项目验收合格之日起提供两年免费维护服务。在免费服务期满后，如采购人仍需成交单位提供维保服务，由双方协商后收取相应费用，但最高不得超过中标合同价的</w:t>
      </w:r>
      <w:r>
        <w:rPr>
          <w:rFonts w:hint="eastAsia" w:ascii="Times New Roman" w:hAnsi="Times New Roman"/>
          <w:sz w:val="21"/>
        </w:rPr>
        <w:t xml:space="preserve"> 6%</w:t>
      </w:r>
      <w:r>
        <w:rPr>
          <w:rFonts w:hint="eastAsia" w:ascii="Times New Roman" w:hAnsi="Times New Roman"/>
          <w:sz w:val="21"/>
        </w:rPr>
        <w:t xml:space="preserve">年（备注：服务期满后的维保服务不在本次采购预算范围内，后续甲方如需成交单位提供维保服务，须符合政府采购法律法规以及甲方内部采购管理相关制度要求）。响应单位在免费售后服务期的维护服务内容包含但不限于系统的维护服务、定期巡检、系统故障修复、使用问题答疑、日常技术支持等。</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、响应单位应具有良好的售后服务体系，能够满足采购文件要求的各项服务要求。有完备的售后服务方案，提出完整而切实可行的服务方案。其中，至少应提供</w:t>
      </w:r>
      <w:r>
        <w:rPr>
          <w:rFonts w:hint="eastAsia" w:ascii="Times New Roman" w:hAnsi="Times New Roman"/>
          <w:sz w:val="21"/>
        </w:rPr>
        <w:t xml:space="preserve"> 7</w:t>
      </w:r>
      <w:r>
        <w:rPr>
          <w:rFonts w:hint="eastAsia" w:ascii="Times New Roman" w:hAnsi="Times New Roman"/>
          <w:sz w:val="21"/>
        </w:rPr>
        <w:t xml:space="preserve">×</w:t>
      </w:r>
      <w:r>
        <w:rPr>
          <w:rFonts w:hint="eastAsia" w:ascii="Times New Roman" w:hAnsi="Times New Roman"/>
          <w:sz w:val="21"/>
        </w:rPr>
        <w:t xml:space="preserve">24 </w:t>
      </w:r>
      <w:r>
        <w:rPr>
          <w:rFonts w:hint="eastAsia" w:ascii="Times New Roman" w:hAnsi="Times New Roman"/>
          <w:sz w:val="21"/>
        </w:rPr>
        <w:t xml:space="preserve">小时热线电话、远程网络、现场等服务方式。热线电话和远程网络提供技术咨询和即时服务，半小时内给予明确的响应，并立即采取措施解决问题；现场服务适用于排解重大故障，应在接到服务请求后</w:t>
      </w:r>
      <w:r>
        <w:rPr>
          <w:rFonts w:hint="eastAsia" w:ascii="Times New Roman" w:hAnsi="Times New Roman"/>
          <w:sz w:val="21"/>
        </w:rPr>
        <w:t xml:space="preserve">48</w:t>
      </w:r>
      <w:r>
        <w:rPr>
          <w:rFonts w:hint="eastAsia" w:ascii="Times New Roman" w:hAnsi="Times New Roman"/>
          <w:sz w:val="21"/>
        </w:rPr>
        <w:t xml:space="preserve">小时内到达现场解决。</w:t>
      </w:r>
      <w:r/>
    </w:p>
    <w:p>
      <w:pPr>
        <w:pStyle w:val="1054"/>
        <w:ind w:left="0" w:firstLine="0"/>
        <w:tabs>
          <w:tab w:val="left" w:pos="1173" w:leader="none"/>
        </w:tabs>
        <w:rPr>
          <w:b/>
        </w:rPr>
      </w:pPr>
      <w:r>
        <w:rPr>
          <w:rFonts w:hint="eastAsia"/>
          <w:b/>
        </w:rPr>
        <w:t xml:space="preserve">（五）培训要求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为了保证响应单位所提供的系统能良好运行，要求响应单位负责提供有关系统功能、安装、操作、维护以及应用软件使用的文档和培训。</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、操作人员培训：提供对管理层、中层干部及最终用户的分层次培训，操作人员能够使用该系统完成日常工作。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维护人员培训：培训维护人员，达到全面了解该应用软件系统的运行模式，并熟知应用系统业务及处理流程，能够给操作人员提供系统使用方面的帮助，能够完成应用系统的数据维护设置，能够判断系统运行过程中出现的一般故障并能排除，保证系统的正常运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hint="eastAsia" w:ascii="Times New Roman" w:hAnsi="Times New Roman"/>
          <w:sz w:val="21"/>
        </w:rPr>
        <w:t xml:space="preserve">、系统管理人员培训：培训系统管理人员，达到全面掌握应用系统软件的安装、设置和使用，能确定系统故障原因并排除，保证系统的正常运行。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rPr>
          <w:rFonts w:hint="eastAsia" w:ascii="Times New Roman" w:hAnsi="Times New Roman"/>
          <w:sz w:val="21"/>
        </w:rPr>
        <w:t xml:space="preserve">、培训方式和产品操作手册：成交单位应提供详细的培训计划、产品操作手册纸质文件和电子文件，方便用户学习和使用。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（六）履约验收基本要求（服务）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采购人将根据《江苏省财政厅关于印发</w:t>
      </w:r>
      <w:r>
        <w:rPr>
          <w:rFonts w:hint="eastAsia" w:ascii="Times New Roman" w:hAnsi="Times New Roman"/>
          <w:sz w:val="21"/>
        </w:rPr>
        <w:t xml:space="preserve">&lt;</w:t>
      </w:r>
      <w:r>
        <w:rPr>
          <w:rFonts w:hint="eastAsia" w:ascii="Times New Roman" w:hAnsi="Times New Roman"/>
          <w:sz w:val="21"/>
        </w:rPr>
        <w:t xml:space="preserve">江苏省政府采购履约验收管理办法</w:t>
      </w:r>
      <w:r>
        <w:rPr>
          <w:rFonts w:hint="eastAsia" w:ascii="Times New Roman" w:hAnsi="Times New Roman"/>
          <w:sz w:val="21"/>
        </w:rPr>
        <w:t xml:space="preserve">&gt;</w:t>
      </w:r>
      <w:r>
        <w:rPr>
          <w:rFonts w:hint="eastAsia" w:ascii="Times New Roman" w:hAnsi="Times New Roman"/>
          <w:sz w:val="21"/>
        </w:rPr>
        <w:t xml:space="preserve">的通知》</w:t>
      </w:r>
      <w:r>
        <w:rPr>
          <w:rFonts w:hint="eastAsia" w:ascii="Times New Roman" w:hAnsi="Times New Roman"/>
          <w:sz w:val="21"/>
        </w:rPr>
        <w:t xml:space="preserve">(</w:t>
      </w:r>
      <w:r>
        <w:rPr>
          <w:rFonts w:hint="eastAsia" w:ascii="Times New Roman" w:hAnsi="Times New Roman"/>
          <w:sz w:val="21"/>
        </w:rPr>
        <w:t xml:space="preserve">苏财规</w:t>
      </w:r>
      <w:r>
        <w:rPr>
          <w:rFonts w:hint="eastAsia" w:ascii="Times New Roman" w:hAnsi="Times New Roman"/>
          <w:sz w:val="21"/>
        </w:rPr>
        <w:t xml:space="preserve">(2024)7</w:t>
      </w:r>
      <w:r>
        <w:rPr>
          <w:rFonts w:hint="eastAsia" w:ascii="Times New Roman" w:hAnsi="Times New Roman"/>
          <w:sz w:val="21"/>
        </w:rPr>
        <w:t xml:space="preserve">号</w:t>
      </w:r>
      <w:r>
        <w:rPr>
          <w:rFonts w:hint="eastAsia" w:ascii="Times New Roman" w:hAnsi="Times New Roman"/>
          <w:sz w:val="21"/>
        </w:rPr>
        <w:t xml:space="preserve">)</w:t>
      </w:r>
      <w:r>
        <w:rPr>
          <w:rFonts w:hint="eastAsia" w:ascii="Times New Roman" w:hAnsi="Times New Roman"/>
          <w:sz w:val="21"/>
        </w:rPr>
        <w:t xml:space="preserve">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w:t>
      </w:r>
      <w:r>
        <w:rPr>
          <w:rFonts w:hint="eastAsia" w:ascii="Times New Roman" w:hAnsi="Times New Roman"/>
          <w:sz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54"/>
        <w:ind w:left="0" w:firstLine="0"/>
      </w:pPr>
      <w:r/>
      <w:r/>
    </w:p>
    <w:p>
      <w:pPr>
        <w:rPr>
          <w:b/>
          <w:sz w:val="44"/>
          <w:szCs w:val="44"/>
        </w:rPr>
      </w:pPr>
      <w:r>
        <w:rPr>
          <w:rFonts w:hint="eastAsia"/>
          <w:b/>
          <w:sz w:val="44"/>
          <w:szCs w:val="44"/>
        </w:rPr>
        <w:br w:type="page" w:clear="all"/>
      </w:r>
      <w:r/>
    </w:p>
    <w:p>
      <w:pPr>
        <w:pStyle w:val="996"/>
        <w:ind w:left="0" w:firstLine="0"/>
        <w:jc w:val="center"/>
        <w:spacing w:line="360" w:lineRule="auto"/>
        <w:rPr>
          <w:b/>
          <w:sz w:val="44"/>
          <w:szCs w:val="44"/>
        </w:rPr>
      </w:pPr>
      <w:r/>
      <w:bookmarkStart w:id="90" w:name="_Toc167285820"/>
      <w:r>
        <w:rPr>
          <w:rFonts w:hint="eastAsia"/>
          <w:b/>
          <w:sz w:val="44"/>
          <w:szCs w:val="44"/>
        </w:rPr>
        <w:t xml:space="preserve">第五章</w:t>
      </w:r>
      <w:r>
        <w:rPr>
          <w:rFonts w:hint="eastAsia"/>
          <w:b/>
          <w:sz w:val="44"/>
          <w:szCs w:val="44"/>
        </w:rPr>
        <w:t xml:space="preserve"> </w:t>
      </w:r>
      <w:bookmarkStart w:id="91" w:name="合同的特殊条款"/>
      <w:r/>
      <w:bookmarkEnd w:id="91"/>
      <w:r>
        <w:rPr>
          <w:rFonts w:hint="eastAsia"/>
          <w:b/>
          <w:sz w:val="44"/>
          <w:szCs w:val="44"/>
        </w:rPr>
        <w:t xml:space="preserve">合同及主要条款</w:t>
      </w:r>
      <w:bookmarkEnd w:id="83"/>
      <w:r/>
      <w:bookmarkEnd w:id="84"/>
      <w:r/>
      <w:bookmarkEnd w:id="85"/>
      <w:r/>
      <w:bookmarkEnd w:id="86"/>
      <w:r/>
      <w:bookmarkEnd w:id="87"/>
      <w:r/>
      <w:bookmarkEnd w:id="88"/>
      <w:r/>
      <w:bookmarkEnd w:id="90"/>
      <w:r/>
      <w:r/>
    </w:p>
    <w:p>
      <w:pPr>
        <w:ind w:left="0"/>
        <w:jc w:val="center"/>
        <w:rPr>
          <w:rFonts w:ascii="宋体" w:hAnsi="宋体" w:cs="宋体"/>
          <w:b/>
          <w:sz w:val="32"/>
          <w:szCs w:val="32"/>
        </w:rPr>
      </w:pPr>
      <w:r/>
      <w:bookmarkStart w:id="92" w:name="_Toc58248884"/>
      <w:r/>
      <w:bookmarkStart w:id="93" w:name="_Toc27667"/>
      <w:r/>
      <w:bookmarkStart w:id="94" w:name="_Toc57376410"/>
      <w:r/>
      <w:bookmarkStart w:id="95" w:name="_Toc8564"/>
      <w:r/>
      <w:bookmarkStart w:id="96" w:name="_Toc32730"/>
      <w:r/>
      <w:bookmarkEnd w:id="89"/>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（应明确一次性支付合同款项的条件）                    </w:t>
      </w:r>
      <w:r/>
    </w:p>
    <w:p>
      <w:pPr>
        <w:ind w:left="0" w:firstLine="420"/>
        <w:spacing w:line="480" w:lineRule="exact"/>
        <w:widowControl w:val="off"/>
        <w:rPr>
          <w:rFonts w:ascii="宋体" w:hAnsi="宋体" w:cs="宋体"/>
          <w:sz w:val="21"/>
          <w:szCs w:val="21"/>
          <w:u w:val="single"/>
        </w:rPr>
      </w:pPr>
      <w:r>
        <w:rPr>
          <w:rFonts w:ascii="Wingdings 2" w:hAnsi="Wingdings 2" w:eastAsia="Wingdings 2" w:cs="Wingdings 2"/>
          <w:sz w:val="21"/>
          <w:szCs w:val="21"/>
        </w:rPr>
        <w:t xml:space="preserve">R</w:t>
      </w:r>
      <w:r>
        <w:rPr>
          <w:rFonts w:hint="eastAsia" w:ascii="宋体" w:hAnsi="宋体" w:cs="宋体"/>
          <w:sz w:val="21"/>
          <w:szCs w:val="21"/>
        </w:rPr>
        <w:t xml:space="preserve">分期付款：</w:t>
      </w:r>
      <w:r>
        <w:rPr>
          <w:rFonts w:hint="eastAsia" w:ascii="宋体" w:hAnsi="宋体" w:cs="宋体"/>
          <w:sz w:val="21"/>
          <w:szCs w:val="21"/>
          <w:u w:val="single"/>
        </w:rPr>
        <w:t xml:space="preserve">  合同签订后10个工作日内，成交单位提交经采购单位书面确认的进一步优化的项目实施方案、项目实施计划后的2</w:t>
      </w:r>
      <w:r>
        <w:rPr>
          <w:rFonts w:hint="eastAsia" w:ascii="宋体" w:hAnsi="宋体" w:cs="宋体"/>
          <w:sz w:val="21"/>
          <w:szCs w:val="21"/>
          <w:u w:val="single"/>
        </w:rPr>
        <w:t xml:space="preserve">0个工作日内，由采购人向成交单位支付合同总价30%的预付款；成交单位完成项目的全部系统交付并通过初步验收，进入试运行后，成交单位向采购人提出申请，采购人30个工作日内向成交单位支付合同总价30%的合同款；系统投入试运行，且正常运行1个月后，成交单位完成本项目的培训任务，建立完善的系统运维体系，向采购人提交全部报告材料，并通过采购人组织的最终验收，成交单位向采购人提出申请，采购人30个工作日内向成交单位支付合同总价30%的合同款。剩余合同总价10%，一年质保期满，经采购人确认无质量问题后30个工作日无息付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2" w:hAnsi="Wingdings 2" w:eastAsia="Wingdings 2" w:cs="Wingdings 2"/>
          <w:sz w:val="21"/>
          <w:szCs w:val="21"/>
        </w:rPr>
        <w:t xml:space="preserve">R</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hint="eastAsia" w:ascii="宋体" w:hAnsi="宋体" w:cs="宋体"/>
          <w:sz w:val="21"/>
          <w:szCs w:val="21"/>
          <w:u w:val="single"/>
        </w:rPr>
        <w:t xml:space="preserve">电子履约保函(保险)、银行保函</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u w:val="single"/>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rPr>
          <w:rFonts w:hint="eastAsia" w:ascii="宋体" w:hAnsi="宋体" w:cs="宋体"/>
          <w:sz w:val="21"/>
          <w:szCs w:val="21"/>
          <w:u w:val="single"/>
        </w:rPr>
        <w:t xml:space="preserve">合同金额的1</w:t>
      </w:r>
      <w:r>
        <w:rPr>
          <w:rFonts w:ascii="宋体" w:hAnsi="宋体" w:cs="宋体"/>
          <w:sz w:val="21"/>
          <w:szCs w:val="21"/>
          <w:u w:val="single"/>
        </w:rPr>
        <w:t xml:space="preserve">0%             </w:t>
      </w:r>
      <w:r/>
    </w:p>
    <w:p>
      <w:pPr>
        <w:pStyle w:val="1008"/>
        <w:ind w:left="0" w:firstLine="630"/>
        <w:rPr>
          <w:rFonts w:ascii="宋体" w:hAnsi="宋体" w:cs="宋体"/>
          <w:sz w:val="21"/>
          <w:szCs w:val="21"/>
        </w:rPr>
      </w:pPr>
      <w:r>
        <w:rPr>
          <w:rFonts w:hint="eastAsia" w:ascii="宋体" w:hAnsi="宋体" w:cs="宋体"/>
          <w:sz w:val="21"/>
          <w:szCs w:val="21"/>
        </w:rPr>
        <w:t xml:space="preserve">履约保函有效期：项目最终验收合格后30日。</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97" w:name="OLE_LINK7"/>
      <w:r/>
      <w:bookmarkStart w:id="98"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97"/>
      <w:r/>
      <w:bookmarkEnd w:id="98"/>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供应商提交完整验收申请资料之日起20个工作日内组织履约验收。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2" w:hAnsi="Wingdings 2" w:eastAsia="Wingdings 2" w:cs="Wingdings 2"/>
          <w:sz w:val="21"/>
          <w:szCs w:val="21"/>
        </w:rPr>
        <w:t xml:space="preserve">R</w:t>
      </w:r>
      <w:r>
        <w:rPr>
          <w:rFonts w:hint="eastAsia" w:ascii="宋体" w:hAnsi="宋体" w:cs="宋体"/>
          <w:bCs/>
          <w:sz w:val="21"/>
          <w:szCs w:val="21"/>
        </w:rPr>
        <w:t xml:space="preserve">分期（段）验收：</w:t>
      </w:r>
      <w:r>
        <w:rPr>
          <w:rFonts w:hint="eastAsia" w:ascii="宋体" w:hAnsi="宋体" w:cs="宋体"/>
          <w:bCs/>
          <w:sz w:val="21"/>
          <w:szCs w:val="21"/>
          <w:u w:val="single"/>
        </w:rPr>
        <w:t xml:space="preserve">本项目分2期验收：①初步验收：全部系统部署完成，功能可用，开展初步验收，进入试运行；②最终验收：系统试运行满1个月，全部工作完成后开展最终履约验收。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包括但不限于组成合同文件所要求的服务内容或承诺，具体为本项目服务质量、服务进度、人员及设备配备情况、项目需求、服务承诺等。</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履约验收标准：采购</w:t>
      </w:r>
      <w:r>
        <w:rPr>
          <w:rFonts w:hint="eastAsia" w:ascii="宋体" w:hAnsi="宋体" w:cs="宋体"/>
          <w:bCs/>
          <w:sz w:val="21"/>
          <w:szCs w:val="21"/>
          <w:u w:val="single"/>
        </w:rPr>
        <w:t xml:space="preserve">文件、投标响应文件、合同约定需求、国家及行业相关技术规范。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验收不通过的，乙方应当按照验收小组整改意见限期完成整改，整改完成后重新组织验收，由此产生全部费用由乙方承担。</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w:t>
      </w:r>
      <w:r>
        <w:rPr>
          <w:rFonts w:hint="eastAsia" w:ascii="宋体" w:hAnsi="宋体" w:cs="宋体"/>
          <w:sz w:val="21"/>
          <w:szCs w:val="21"/>
        </w:rPr>
        <w:t xml:space="preserve">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99" w:name="OLE_LINK10"/>
      <w:r>
        <w:rPr>
          <w:rFonts w:hint="eastAsia" w:ascii="宋体" w:hAnsi="宋体" w:cs="宋体"/>
          <w:sz w:val="21"/>
          <w:szCs w:val="21"/>
        </w:rPr>
        <w:t xml:space="preserve">甲方可以在合同价款10%的范围内追加与合同标的相同的服务</w:t>
      </w:r>
      <w:bookmarkEnd w:id="99"/>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r/>
          </w:p>
        </w:tc>
      </w:tr>
    </w:tbl>
    <w:p>
      <w:pPr>
        <w:ind w:left="0"/>
        <w:spacing w:line="360" w:lineRule="auto"/>
        <w:rPr>
          <w:rFonts w:ascii="宋体" w:hAnsi="宋体" w:cs="宋体"/>
          <w:sz w:val="21"/>
        </w:rPr>
      </w:pPr>
      <w:r>
        <w:rPr>
          <w:rFonts w:ascii="宋体" w:hAnsi="宋体" w:cs="宋体"/>
          <w:sz w:val="21"/>
        </w:rPr>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0" w:name="_Toc68611039"/>
      <w:r/>
      <w:bookmarkStart w:id="101" w:name="_Toc167285821"/>
      <w:r>
        <w:rPr>
          <w:rFonts w:hint="eastAsia"/>
          <w:b/>
          <w:sz w:val="44"/>
          <w:szCs w:val="44"/>
        </w:rPr>
        <w:t xml:space="preserve">第六章</w:t>
      </w:r>
      <w:r>
        <w:rPr>
          <w:rFonts w:hint="eastAsia"/>
          <w:b/>
          <w:sz w:val="44"/>
          <w:szCs w:val="44"/>
        </w:rPr>
        <w:t xml:space="preserve"> </w:t>
      </w:r>
      <w:bookmarkStart w:id="102" w:name="评分要点"/>
      <w:r/>
      <w:bookmarkEnd w:id="102"/>
      <w:r>
        <w:rPr>
          <w:rFonts w:hint="eastAsia"/>
          <w:b/>
          <w:sz w:val="44"/>
          <w:szCs w:val="44"/>
        </w:rPr>
        <w:t xml:space="preserve">评审办法和评分标准</w:t>
      </w:r>
      <w:bookmarkEnd w:id="92"/>
      <w:r/>
      <w:bookmarkEnd w:id="93"/>
      <w:r/>
      <w:bookmarkEnd w:id="94"/>
      <w:r/>
      <w:bookmarkEnd w:id="95"/>
      <w:r/>
      <w:bookmarkEnd w:id="96"/>
      <w:r/>
      <w:bookmarkEnd w:id="100"/>
      <w:r/>
      <w:bookmarkEnd w:id="101"/>
      <w:r/>
      <w:r/>
    </w:p>
    <w:p>
      <w:pPr>
        <w:ind w:left="0" w:firstLine="422"/>
        <w:spacing w:line="360" w:lineRule="auto"/>
        <w:rPr>
          <w:b/>
          <w:sz w:val="21"/>
          <w:szCs w:val="21"/>
        </w:rPr>
      </w:pPr>
      <w:r/>
      <w:bookmarkStart w:id="103" w:name="_Toc16264"/>
      <w:r/>
      <w:bookmarkStart w:id="104" w:name="_Toc698"/>
      <w:r/>
      <w:bookmarkStart w:id="105" w:name="_Toc17476"/>
      <w:r>
        <w:rPr>
          <w:rFonts w:hint="eastAsia"/>
          <w:b/>
          <w:sz w:val="21"/>
          <w:szCs w:val="21"/>
        </w:rPr>
        <w:t xml:space="preserve">一、评审办法：</w:t>
      </w:r>
      <w:bookmarkEnd w:id="103"/>
      <w:r/>
      <w:bookmarkEnd w:id="104"/>
      <w:r/>
      <w:bookmarkEnd w:id="105"/>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54"/>
        <w:ind w:left="0" w:firstLine="0"/>
      </w:pPr>
      <w:r/>
      <w:r/>
    </w:p>
    <w:p>
      <w:pPr>
        <w:pStyle w:val="1054"/>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559"/>
        <w:gridCol w:w="5528"/>
        <w:gridCol w:w="1418"/>
      </w:tblGrid>
      <w:tr>
        <w:trPr>
          <w:trHeight w:val="113"/>
        </w:trPr>
        <w:tc>
          <w:tcPr>
            <w:tcW w:w="141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评审类别</w:t>
            </w:r>
            <w:r/>
          </w:p>
        </w:tc>
        <w:tc>
          <w:tcPr>
            <w:tcW w:w="1559"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评审项</w:t>
            </w:r>
            <w:r/>
          </w:p>
        </w:tc>
        <w:tc>
          <w:tcPr>
            <w:tcW w:w="5528"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评审规则</w:t>
            </w:r>
            <w:r/>
          </w:p>
        </w:tc>
        <w:tc>
          <w:tcPr>
            <w:tcW w:w="1418"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价格部分</w:t>
            </w:r>
            <w:r/>
          </w:p>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（1</w:t>
            </w:r>
            <w:r>
              <w:rPr>
                <w:rFonts w:ascii="宋体" w:hAnsi="宋体"/>
                <w:b/>
                <w:color w:val="000000"/>
                <w:sz w:val="21"/>
                <w:szCs w:val="21"/>
              </w:rPr>
              <w:t xml:space="preserve">0</w:t>
            </w:r>
            <w:r>
              <w:rPr>
                <w:rFonts w:hint="eastAsia" w:ascii="宋体" w:hAnsi="宋体"/>
                <w:b/>
                <w:color w:val="000000"/>
                <w:sz w:val="21"/>
                <w:szCs w:val="21"/>
              </w:rPr>
              <w:t xml:space="preserve">分）</w:t>
            </w:r>
            <w:r/>
          </w:p>
        </w:tc>
        <w:tc>
          <w:tcPr>
            <w:tcW w:w="155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响应报价</w:t>
            </w:r>
            <w:r/>
          </w:p>
        </w:tc>
        <w:tc>
          <w:tcPr>
            <w:tcW w:w="552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磋商报价得分＝（磋商基准价/最终磋商报价）×价格权值×100（价格权值为1</w:t>
            </w:r>
            <w:r>
              <w:rPr>
                <w:rFonts w:ascii="宋体" w:hAnsi="宋体"/>
                <w:color w:val="000000"/>
                <w:sz w:val="21"/>
                <w:szCs w:val="21"/>
                <w:lang w:bidi="ar"/>
              </w:rPr>
              <w:t xml:space="preserve">0</w:t>
            </w:r>
            <w:r>
              <w:rPr>
                <w:rFonts w:hint="eastAsia" w:ascii="宋体" w:hAnsi="宋体"/>
                <w:color w:val="000000"/>
                <w:sz w:val="21"/>
                <w:szCs w:val="21"/>
                <w:lang w:bidi="ar"/>
              </w:rPr>
              <w:t xml:space="preserve">%）</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因落实政府采购政策进行价格调整的，以调整后的价格计算磋商基准价和响应报价。</w:t>
            </w:r>
            <w:r/>
          </w:p>
        </w:tc>
        <w:tc>
          <w:tcPr>
            <w:tcW w:w="1418" w:type="dxa"/>
            <w:vAlign w:val="center"/>
            <w:textDirection w:val="lrTb"/>
            <w:noWrap w:val="false"/>
          </w:tcPr>
          <w:p>
            <w:pPr>
              <w:ind w:left="0"/>
              <w:jc w:val="center"/>
              <w:widowControl w:val="off"/>
              <w:rPr>
                <w:rFonts w:ascii="宋体" w:hAnsi="宋体"/>
                <w:color w:val="000000"/>
                <w:sz w:val="21"/>
                <w:szCs w:val="21"/>
                <w:highlight w:val="yellow"/>
              </w:rPr>
            </w:pPr>
            <w:r>
              <w:rPr>
                <w:rFonts w:hint="eastAsia" w:ascii="宋体" w:hAnsi="宋体"/>
                <w:color w:val="000000"/>
                <w:sz w:val="21"/>
                <w:szCs w:val="21"/>
                <w:lang w:bidi="ar"/>
              </w:rPr>
              <w:t xml:space="preserve">1</w:t>
            </w:r>
            <w:r>
              <w:rPr>
                <w:rFonts w:ascii="宋体" w:hAnsi="宋体"/>
                <w:color w:val="000000"/>
                <w:sz w:val="21"/>
                <w:szCs w:val="21"/>
                <w:lang w:bidi="ar"/>
              </w:rPr>
              <w:t xml:space="preserve">0</w:t>
            </w:r>
            <w:r/>
          </w:p>
        </w:tc>
      </w:tr>
      <w:tr>
        <w:trPr>
          <w:trHeight w:val="113"/>
        </w:trPr>
        <w:tc>
          <w:tcPr>
            <w:tcW w:w="1413" w:type="dxa"/>
            <w:vAlign w:val="center"/>
            <w:vMerge w:val="restart"/>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技术部分</w:t>
            </w:r>
            <w:r/>
          </w:p>
        </w:tc>
        <w:tc>
          <w:tcPr>
            <w:tcW w:w="1559" w:type="dxa"/>
            <w:vAlign w:val="center"/>
            <w:textDirection w:val="lrTb"/>
            <w:noWrap w:val="false"/>
          </w:tcPr>
          <w:p>
            <w:pPr>
              <w:ind w:left="0"/>
              <w:jc w:val="left"/>
              <w:widowControl w:val="off"/>
              <w:rPr>
                <w:rFonts w:ascii="宋体" w:hAnsi="宋体"/>
                <w:color w:val="000000"/>
                <w:sz w:val="21"/>
                <w:szCs w:val="21"/>
              </w:rPr>
            </w:pPr>
            <w:r>
              <w:rPr>
                <w:rFonts w:ascii="宋体" w:hAnsi="宋体" w:cs="宋体"/>
                <w:sz w:val="22"/>
                <w:szCs w:val="22"/>
              </w:rPr>
              <w:t xml:space="preserve">整体设计方案</w:t>
            </w:r>
            <w:r/>
          </w:p>
        </w:tc>
        <w:tc>
          <w:tcPr>
            <w:tcW w:w="552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1、系统建设标准及设计原则</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2、系统框架流程</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3、系统整体架构</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4、系统所需周边及运行环境支持</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5、系统功能说明</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6、系统安全合规性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7、项目质量保障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8、系统部署模式</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分；方案基本合理、具有一定的可行性、具有一定的操作性、与项目实际基本贴合的得1分；每项叙述内容完全脱离采购需求或未作完整叙述的不得分。本项最高得1</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559" w:type="dxa"/>
            <w:vAlign w:val="center"/>
            <w:textDirection w:val="lrTb"/>
            <w:noWrap w:val="false"/>
          </w:tcPr>
          <w:p>
            <w:pPr>
              <w:ind w:left="0"/>
              <w:jc w:val="left"/>
              <w:widowControl w:val="off"/>
              <w:rPr>
                <w:rFonts w:ascii="宋体" w:hAnsi="宋体"/>
                <w:color w:val="000000"/>
                <w:sz w:val="21"/>
                <w:szCs w:val="21"/>
              </w:rPr>
            </w:pPr>
            <w:r>
              <w:rPr>
                <w:rFonts w:ascii="宋体" w:hAnsi="宋体" w:cs="宋体"/>
                <w:sz w:val="22"/>
                <w:szCs w:val="22"/>
              </w:rPr>
              <w:t xml:space="preserve">项目实施方案</w:t>
            </w:r>
            <w:r/>
          </w:p>
        </w:tc>
        <w:tc>
          <w:tcPr>
            <w:tcW w:w="552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项目实施管理原则</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项目管理组织结构</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项目管理办法</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项目质量管理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w:t>
            </w:r>
            <w:r>
              <w:rPr>
                <w:rFonts w:ascii="宋体" w:hAnsi="宋体"/>
                <w:color w:val="000000"/>
                <w:sz w:val="21"/>
                <w:szCs w:val="21"/>
                <w:lang w:bidi="ar"/>
              </w:rPr>
              <w:t xml:space="preserve">项目风险管理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w:t>
            </w:r>
            <w:r>
              <w:rPr>
                <w:rFonts w:hint="eastAsia" w:ascii="宋体" w:hAnsi="宋体"/>
                <w:color w:val="000000"/>
                <w:sz w:val="21"/>
                <w:szCs w:val="21"/>
              </w:rPr>
              <w:t xml:space="preserve">配合采购方进行验收的方案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18</w:t>
            </w:r>
            <w:r>
              <w:rPr>
                <w:rFonts w:hint="eastAsia" w:ascii="宋体" w:hAnsi="宋体"/>
                <w:color w:val="000000"/>
                <w:sz w:val="21"/>
                <w:szCs w:val="21"/>
                <w:lang w:bidi="ar"/>
              </w:rPr>
              <w:t xml:space="preserve">分。</w:t>
            </w:r>
            <w:r/>
          </w:p>
        </w:tc>
        <w:tc>
          <w:tcPr>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559" w:type="dxa"/>
            <w:vAlign w:val="center"/>
            <w:textDirection w:val="lrTb"/>
            <w:noWrap w:val="false"/>
          </w:tcPr>
          <w:p>
            <w:pPr>
              <w:ind w:left="0"/>
              <w:widowControl w:val="off"/>
              <w:rPr>
                <w:rFonts w:ascii="宋体" w:hAnsi="宋体"/>
                <w:color w:val="000000"/>
                <w:sz w:val="21"/>
                <w:szCs w:val="21"/>
                <w:lang w:bidi="ar"/>
              </w:rPr>
            </w:pPr>
            <w:r>
              <w:rPr>
                <w:rFonts w:ascii="宋体" w:hAnsi="宋体" w:cs="宋体"/>
                <w:sz w:val="22"/>
                <w:szCs w:val="22"/>
              </w:rPr>
              <w:t xml:space="preserve">培训方案</w:t>
            </w:r>
            <w:r/>
          </w:p>
        </w:tc>
        <w:tc>
          <w:tcPr>
            <w:tcW w:w="552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1、培训方式及内容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2、培训覆盖范围</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3、培训规划方案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4、培训保障措施等内容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41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559" w:type="dxa"/>
            <w:vAlign w:val="center"/>
            <w:textDirection w:val="lrTb"/>
            <w:noWrap w:val="false"/>
          </w:tcPr>
          <w:p>
            <w:pPr>
              <w:ind w:left="0"/>
              <w:widowControl w:val="off"/>
              <w:rPr>
                <w:rFonts w:ascii="宋体" w:hAnsi="宋体"/>
                <w:color w:val="000000"/>
                <w:sz w:val="21"/>
                <w:szCs w:val="21"/>
              </w:rPr>
            </w:pPr>
            <w:r>
              <w:rPr>
                <w:rFonts w:ascii="宋体" w:hAnsi="宋体" w:cs="宋体"/>
                <w:sz w:val="22"/>
                <w:szCs w:val="22"/>
              </w:rPr>
              <w:t xml:space="preserve">售后服务方案</w:t>
            </w:r>
            <w:r/>
          </w:p>
        </w:tc>
        <w:tc>
          <w:tcPr>
            <w:tcW w:w="552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1、服务内容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2、服务响应时间</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3、服务承诺及保障措施</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4</w:t>
            </w:r>
            <w:r>
              <w:rPr>
                <w:rFonts w:hint="eastAsia" w:ascii="宋体" w:hAnsi="宋体"/>
                <w:color w:val="000000"/>
                <w:sz w:val="21"/>
                <w:szCs w:val="21"/>
                <w:lang w:bidi="ar"/>
              </w:rPr>
              <w:t xml:space="preserve">、质保期满后的售后方案等内容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1418" w:type="dxa"/>
            <w:vAlign w:val="center"/>
            <w:textDirection w:val="lrTb"/>
            <w:noWrap w:val="false"/>
          </w:tcPr>
          <w:p>
            <w:pPr>
              <w:ind w:left="0"/>
              <w:jc w:val="center"/>
              <w:widowControl w:val="off"/>
              <w:rPr>
                <w:rFonts w:ascii="宋体" w:hAnsi="宋体"/>
                <w:b/>
                <w:color w:val="000000"/>
                <w:sz w:val="21"/>
                <w:szCs w:val="21"/>
              </w:rPr>
            </w:pPr>
            <w:r>
              <w:rPr>
                <w:rFonts w:ascii="宋体" w:hAnsi="宋体"/>
                <w:b/>
                <w:color w:val="000000"/>
                <w:sz w:val="21"/>
                <w:szCs w:val="21"/>
              </w:rPr>
              <w:t xml:space="preserve">12</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559" w:type="dxa"/>
            <w:vAlign w:val="center"/>
            <w:textDirection w:val="lrTb"/>
            <w:noWrap w:val="false"/>
          </w:tcPr>
          <w:p>
            <w:pPr>
              <w:ind w:left="0"/>
              <w:widowControl w:val="off"/>
              <w:rPr>
                <w:rFonts w:ascii="宋体" w:hAnsi="宋体"/>
                <w:color w:val="000000"/>
                <w:sz w:val="21"/>
                <w:szCs w:val="21"/>
              </w:rPr>
            </w:pPr>
            <w:r>
              <w:rPr>
                <w:rFonts w:hint="eastAsia" w:ascii="宋体" w:hAnsi="宋体" w:cs="宋体"/>
                <w:sz w:val="22"/>
                <w:szCs w:val="22"/>
              </w:rPr>
              <w:t xml:space="preserve">系统演示</w:t>
            </w:r>
            <w:r/>
          </w:p>
        </w:tc>
        <w:tc>
          <w:tcPr>
            <w:tcW w:w="5528" w:type="dxa"/>
            <w:vAlign w:val="center"/>
            <w:textDirection w:val="lrTb"/>
            <w:noWrap w:val="false"/>
          </w:tcPr>
          <w:p>
            <w:pPr>
              <w:ind w:left="0"/>
              <w:widowControl w:val="off"/>
              <w:rPr>
                <w:rFonts w:ascii="宋体" w:hAnsi="宋体"/>
                <w:color w:val="333333"/>
                <w:sz w:val="21"/>
                <w:szCs w:val="21"/>
              </w:rPr>
            </w:pPr>
            <w:r>
              <w:rPr>
                <w:rFonts w:hint="eastAsia" w:ascii="宋体" w:hAnsi="宋体"/>
                <w:color w:val="333333"/>
                <w:sz w:val="21"/>
                <w:szCs w:val="21"/>
              </w:rPr>
              <w:t xml:space="preserve">功能演示：</w:t>
            </w:r>
            <w:bookmarkStart w:id="106" w:name="OLE_LINK8"/>
            <w:r>
              <w:rPr>
                <w:rFonts w:hint="eastAsia" w:ascii="宋体" w:hAnsi="宋体"/>
                <w:color w:val="333333"/>
                <w:sz w:val="21"/>
                <w:szCs w:val="21"/>
              </w:rPr>
              <w:t xml:space="preserve">标“</w:t>
            </w:r>
            <w:r>
              <w:rPr>
                <w:rFonts w:hint="eastAsia" w:ascii="宋体" w:hAnsi="宋体"/>
                <w:color w:val="000000"/>
                <w:sz w:val="21"/>
                <w:szCs w:val="21"/>
              </w:rPr>
              <w:t xml:space="preserve">★</w:t>
            </w:r>
            <w:r>
              <w:rPr>
                <w:rFonts w:hint="eastAsia" w:ascii="宋体" w:hAnsi="宋体"/>
                <w:color w:val="333333"/>
                <w:sz w:val="21"/>
                <w:szCs w:val="21"/>
              </w:rPr>
              <w:t xml:space="preserve">”的参数</w:t>
            </w:r>
            <w:bookmarkEnd w:id="106"/>
            <w:r>
              <w:rPr>
                <w:rFonts w:hint="eastAsia" w:ascii="宋体" w:hAnsi="宋体"/>
                <w:color w:val="333333"/>
                <w:sz w:val="21"/>
                <w:szCs w:val="21"/>
              </w:rPr>
              <w:t xml:space="preserve">（共</w:t>
            </w:r>
            <w:r>
              <w:rPr>
                <w:rFonts w:ascii="宋体" w:hAnsi="宋体"/>
                <w:color w:val="333333"/>
                <w:sz w:val="21"/>
                <w:szCs w:val="21"/>
              </w:rPr>
              <w:t xml:space="preserve">10</w:t>
            </w:r>
            <w:r>
              <w:rPr>
                <w:rFonts w:hint="eastAsia" w:ascii="宋体" w:hAnsi="宋体"/>
                <w:color w:val="333333"/>
                <w:sz w:val="21"/>
                <w:szCs w:val="21"/>
              </w:rPr>
              <w:t xml:space="preserve">项），需提供功能操作演示，上述每项演示效果流畅、界面设计合理、能实现全部功能的得2分;基本能实现功能、演示效果不流畅的得1分；未实现功能的不得分。本项最高得</w:t>
            </w:r>
            <w:r>
              <w:rPr>
                <w:rFonts w:ascii="宋体" w:hAnsi="宋体"/>
                <w:color w:val="333333"/>
                <w:sz w:val="21"/>
                <w:szCs w:val="21"/>
              </w:rPr>
              <w:t xml:space="preserve">2</w:t>
            </w:r>
            <w:r>
              <w:rPr>
                <w:rFonts w:hint="eastAsia" w:ascii="宋体" w:hAnsi="宋体"/>
                <w:color w:val="333333"/>
                <w:sz w:val="21"/>
                <w:szCs w:val="21"/>
              </w:rPr>
              <w:t xml:space="preserve">0分。</w:t>
            </w:r>
            <w:r/>
          </w:p>
          <w:p>
            <w:pPr>
              <w:ind w:left="0"/>
              <w:widowControl w:val="off"/>
              <w:rPr>
                <w:rFonts w:ascii="宋体" w:hAnsi="宋体"/>
                <w:color w:val="000000"/>
                <w:sz w:val="21"/>
                <w:szCs w:val="21"/>
                <w:lang w:bidi="ar"/>
              </w:rPr>
            </w:pPr>
            <w:r>
              <w:rPr>
                <w:rFonts w:hint="eastAsia" w:ascii="宋体" w:hAnsi="宋体" w:cs="宋体"/>
                <w:b/>
                <w:bCs/>
                <w:color w:val="333333"/>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1418" w:type="dxa"/>
            <w:vAlign w:val="center"/>
            <w:textDirection w:val="lrTb"/>
            <w:noWrap w:val="false"/>
          </w:tcPr>
          <w:p>
            <w:pPr>
              <w:ind w:left="0"/>
              <w:jc w:val="center"/>
              <w:widowControl w:val="off"/>
              <w:rPr>
                <w:rFonts w:ascii="宋体" w:hAnsi="宋体"/>
                <w:b/>
                <w:color w:val="000000"/>
                <w:sz w:val="21"/>
                <w:szCs w:val="21"/>
              </w:rPr>
            </w:pPr>
            <w:r>
              <w:rPr>
                <w:rFonts w:ascii="宋体" w:hAnsi="宋体"/>
                <w:b/>
                <w:color w:val="000000"/>
                <w:sz w:val="21"/>
                <w:szCs w:val="21"/>
              </w:rPr>
              <w:t xml:space="preserve">20</w:t>
            </w:r>
            <w:r/>
          </w:p>
        </w:tc>
      </w:tr>
      <w:tr>
        <w:trPr>
          <w:trHeight w:val="782"/>
        </w:trPr>
        <w:tc>
          <w:tcPr>
            <w:tcW w:w="1413" w:type="dxa"/>
            <w:vAlign w:val="center"/>
            <w:vMerge w:val="restart"/>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商务部分</w:t>
            </w:r>
            <w:r/>
          </w:p>
        </w:tc>
        <w:tc>
          <w:tcPr>
            <w:tcW w:w="1559" w:type="dxa"/>
            <w:vAlign w:val="center"/>
            <w:textDirection w:val="lrTb"/>
            <w:noWrap w:val="false"/>
          </w:tcPr>
          <w:p>
            <w:pPr>
              <w:ind w:left="0"/>
              <w:widowControl w:val="off"/>
              <w:rPr>
                <w:rFonts w:ascii="宋体" w:hAnsi="宋体"/>
                <w:color w:val="000000"/>
                <w:sz w:val="21"/>
                <w:szCs w:val="21"/>
              </w:rPr>
            </w:pPr>
            <w:r>
              <w:rPr>
                <w:rFonts w:hint="eastAsia" w:ascii="宋体" w:hAnsi="宋体"/>
                <w:b/>
                <w:bCs/>
                <w:sz w:val="21"/>
              </w:rPr>
              <w:t xml:space="preserve">▲</w:t>
            </w:r>
            <w:r>
              <w:rPr>
                <w:rFonts w:hint="eastAsia" w:ascii="宋体" w:hAnsi="宋体" w:cs="宋体"/>
                <w:color w:val="000000"/>
                <w:sz w:val="22"/>
                <w:szCs w:val="22"/>
              </w:rPr>
              <w:t xml:space="preserve">软件著作</w:t>
            </w:r>
            <w:r/>
          </w:p>
        </w:tc>
        <w:tc>
          <w:tcPr>
            <w:tcW w:w="552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响应单位提供与本项目相关计算机软件著作权登记证书，每提供1个得1分，最高</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b/>
                <w:color w:val="333333"/>
                <w:sz w:val="21"/>
                <w:szCs w:val="21"/>
              </w:rPr>
              <w:t xml:space="preserve">注：响应文件中须提供有效证书复印件并加盖供应商公章，未提供不得分。</w:t>
            </w:r>
            <w:r/>
          </w:p>
        </w:tc>
        <w:tc>
          <w:tcPr>
            <w:tcW w:w="141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559" w:type="dxa"/>
            <w:vAlign w:val="center"/>
            <w:textDirection w:val="lrTb"/>
            <w:noWrap w:val="false"/>
          </w:tcPr>
          <w:p>
            <w:pPr>
              <w:ind w:left="0"/>
              <w:widowControl w:val="off"/>
              <w:rPr>
                <w:rFonts w:ascii="宋体" w:hAnsi="宋体"/>
                <w:color w:val="000000"/>
                <w:sz w:val="21"/>
                <w:szCs w:val="21"/>
              </w:rPr>
            </w:pPr>
            <w:r>
              <w:rPr>
                <w:rFonts w:hint="eastAsia" w:ascii="宋体" w:hAnsi="宋体"/>
                <w:b/>
                <w:bCs/>
                <w:sz w:val="21"/>
              </w:rPr>
              <w:t xml:space="preserve">▲</w:t>
            </w:r>
            <w:r>
              <w:rPr>
                <w:rFonts w:hint="eastAsia" w:ascii="宋体" w:hAnsi="宋体"/>
                <w:color w:val="000000"/>
                <w:sz w:val="21"/>
                <w:szCs w:val="21"/>
              </w:rPr>
              <w:t xml:space="preserve">体系证书</w:t>
            </w:r>
            <w:r/>
          </w:p>
        </w:tc>
        <w:tc>
          <w:tcPr>
            <w:shd w:val="clear" w:color="auto" w:fill="auto"/>
            <w:tcW w:w="552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响应单位具有有效期内的：</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提供</w:t>
            </w:r>
            <w:r>
              <w:rPr>
                <w:rFonts w:hint="eastAsia" w:ascii="宋体" w:hAnsi="宋体"/>
                <w:color w:val="000000"/>
                <w:sz w:val="21"/>
                <w:szCs w:val="21"/>
                <w:lang w:bidi="ar"/>
              </w:rPr>
              <w:t xml:space="preserve">质量管理体系认证证书</w:t>
            </w:r>
            <w:r>
              <w:rPr>
                <w:rFonts w:hint="eastAsia" w:ascii="宋体" w:hAnsi="宋体"/>
                <w:color w:val="000000"/>
                <w:sz w:val="21"/>
                <w:szCs w:val="21"/>
                <w:lang w:bidi="ar"/>
              </w:rPr>
              <w:t xml:space="preserve">得1分；提供</w:t>
            </w:r>
            <w:r>
              <w:rPr>
                <w:rFonts w:hint="eastAsia" w:ascii="宋体" w:hAnsi="宋体"/>
                <w:color w:val="000000"/>
                <w:sz w:val="21"/>
                <w:szCs w:val="21"/>
                <w:lang w:bidi="ar"/>
              </w:rPr>
              <w:t xml:space="preserve">信息技术服务管理体系认证证书、信息安全管理体系认证证书，每提供一个得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本项最高得5分</w:t>
            </w:r>
            <w:bookmarkStart w:id="107" w:name="_GoBack"/>
            <w:r/>
            <w:bookmarkEnd w:id="107"/>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b/>
                <w:color w:val="000000"/>
                <w:sz w:val="21"/>
                <w:szCs w:val="21"/>
              </w:rPr>
              <w:t xml:space="preserve">注：</w:t>
            </w:r>
            <w:r>
              <w:rPr>
                <w:rFonts w:hint="eastAsia" w:ascii="宋体" w:hAnsi="宋体"/>
                <w:b/>
                <w:color w:val="333333"/>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color w:val="333333"/>
                <w:sz w:val="21"/>
                <w:szCs w:val="21"/>
              </w:rPr>
              <w:t xml:space="preserve">，未提供不得分。</w:t>
            </w:r>
            <w:r/>
          </w:p>
        </w:tc>
        <w:tc>
          <w:tcPr>
            <w:shd w:val="clear" w:color="auto" w:fill="auto"/>
            <w:tcW w:w="141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559" w:type="dxa"/>
            <w:vAlign w:val="center"/>
            <w:textDirection w:val="lrTb"/>
            <w:noWrap w:val="false"/>
          </w:tcPr>
          <w:p>
            <w:pPr>
              <w:ind w:left="0"/>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类似业绩</w:t>
            </w:r>
            <w:r/>
          </w:p>
        </w:tc>
        <w:tc>
          <w:tcPr>
            <w:shd w:val="clear" w:color="auto" w:fill="auto"/>
            <w:tcW w:w="552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响应单位提供自2023年1月1日（以合同签订日期为准）以来承担的类似项目业绩，每具备1项业绩得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olor w:val="000000"/>
                <w:sz w:val="21"/>
                <w:szCs w:val="21"/>
                <w:lang w:bidi="ar"/>
              </w:rPr>
            </w:pPr>
            <w:r>
              <w:rPr>
                <w:rFonts w:hint="eastAsia" w:ascii="宋体" w:hAnsi="宋体"/>
                <w:b/>
                <w:color w:val="000000"/>
                <w:sz w:val="21"/>
                <w:szCs w:val="21"/>
              </w:rPr>
              <w:t xml:space="preserve">注：</w:t>
            </w:r>
            <w:r>
              <w:rPr>
                <w:rFonts w:hint="eastAsia" w:ascii="宋体" w:hAnsi="宋体"/>
                <w:b/>
                <w:color w:val="333333"/>
                <w:sz w:val="21"/>
                <w:szCs w:val="21"/>
              </w:rPr>
              <w:t xml:space="preserve">响应文件内须</w:t>
            </w:r>
            <w:r>
              <w:rPr>
                <w:rFonts w:hint="eastAsia" w:ascii="宋体" w:hAnsi="宋体"/>
                <w:b/>
                <w:bCs/>
                <w:color w:val="333333"/>
                <w:sz w:val="21"/>
                <w:szCs w:val="21"/>
              </w:rPr>
              <w:t xml:space="preserve">提供有效合同</w:t>
            </w:r>
            <w:r>
              <w:rPr>
                <w:rFonts w:hint="eastAsia" w:ascii="宋体" w:hAnsi="宋体"/>
                <w:b/>
                <w:color w:val="000000"/>
                <w:sz w:val="21"/>
                <w:szCs w:val="21"/>
              </w:rPr>
              <w:t xml:space="preserve">扫描件和任意一期发票并加盖供应商公章，未提供不得分</w:t>
            </w:r>
            <w:r>
              <w:rPr>
                <w:rFonts w:hint="eastAsia" w:ascii="宋体" w:hAnsi="宋体"/>
                <w:b/>
                <w:bCs/>
                <w:color w:val="333333"/>
                <w:sz w:val="21"/>
                <w:szCs w:val="21"/>
              </w:rPr>
              <w:t xml:space="preserve">。</w:t>
            </w:r>
            <w:r/>
          </w:p>
        </w:tc>
        <w:tc>
          <w:tcPr>
            <w:shd w:val="clear" w:color="auto" w:fill="auto"/>
            <w:tcW w:w="1418"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spacing w:line="360" w:lineRule="auto"/>
        <w:widowControl w:val="off"/>
        <w:rPr>
          <w:rFonts w:ascii="宋体" w:hAnsi="宋体"/>
          <w:b/>
          <w:sz w:val="44"/>
          <w:szCs w:val="44"/>
        </w:rPr>
      </w:pPr>
      <w:r>
        <w:rPr>
          <w:rFonts w:hint="eastAsia" w:ascii="宋体" w:hAnsi="宋体"/>
          <w:b/>
          <w:bCs/>
          <w:sz w:val="21"/>
        </w:rPr>
        <w:t xml:space="preserve">注：表格中标▲项为客观分</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
    <w:panose1 w:val="02010609060101010101"/>
  </w:font>
  <w:font w:name="等线">
    <w:panose1 w:val="02010600030101010101"/>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64</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7">
    <w:name w:val="Heading 1 Char"/>
    <w:basedOn w:val="1005"/>
    <w:link w:val="996"/>
    <w:uiPriority w:val="9"/>
    <w:rPr>
      <w:rFonts w:ascii="Arial" w:hAnsi="Arial" w:eastAsia="Arial" w:cs="Arial"/>
      <w:sz w:val="40"/>
      <w:szCs w:val="40"/>
    </w:rPr>
  </w:style>
  <w:style w:type="character" w:styleId="848">
    <w:name w:val="Heading 2 Char"/>
    <w:basedOn w:val="1005"/>
    <w:link w:val="997"/>
    <w:uiPriority w:val="9"/>
    <w:rPr>
      <w:rFonts w:ascii="Arial" w:hAnsi="Arial" w:eastAsia="Arial" w:cs="Arial"/>
      <w:sz w:val="34"/>
    </w:rPr>
  </w:style>
  <w:style w:type="character" w:styleId="849">
    <w:name w:val="Heading 3 Char"/>
    <w:basedOn w:val="1005"/>
    <w:link w:val="998"/>
    <w:uiPriority w:val="9"/>
    <w:rPr>
      <w:rFonts w:ascii="Arial" w:hAnsi="Arial" w:eastAsia="Arial" w:cs="Arial"/>
      <w:sz w:val="30"/>
      <w:szCs w:val="30"/>
    </w:rPr>
  </w:style>
  <w:style w:type="character" w:styleId="850">
    <w:name w:val="Heading 4 Char"/>
    <w:basedOn w:val="1005"/>
    <w:link w:val="999"/>
    <w:uiPriority w:val="9"/>
    <w:rPr>
      <w:rFonts w:ascii="Arial" w:hAnsi="Arial" w:eastAsia="Arial" w:cs="Arial"/>
      <w:b/>
      <w:bCs/>
      <w:sz w:val="26"/>
      <w:szCs w:val="26"/>
    </w:rPr>
  </w:style>
  <w:style w:type="character" w:styleId="851">
    <w:name w:val="Heading 5 Char"/>
    <w:basedOn w:val="1005"/>
    <w:link w:val="1000"/>
    <w:uiPriority w:val="9"/>
    <w:rPr>
      <w:rFonts w:ascii="Arial" w:hAnsi="Arial" w:eastAsia="Arial" w:cs="Arial"/>
      <w:b/>
      <w:bCs/>
      <w:sz w:val="24"/>
      <w:szCs w:val="24"/>
    </w:rPr>
  </w:style>
  <w:style w:type="character" w:styleId="852">
    <w:name w:val="Heading 6 Char"/>
    <w:basedOn w:val="1005"/>
    <w:link w:val="1001"/>
    <w:uiPriority w:val="9"/>
    <w:rPr>
      <w:rFonts w:ascii="Arial" w:hAnsi="Arial" w:eastAsia="Arial" w:cs="Arial"/>
      <w:b/>
      <w:bCs/>
      <w:sz w:val="22"/>
      <w:szCs w:val="22"/>
    </w:rPr>
  </w:style>
  <w:style w:type="character" w:styleId="853">
    <w:name w:val="Heading 7 Char"/>
    <w:basedOn w:val="1005"/>
    <w:link w:val="1002"/>
    <w:uiPriority w:val="9"/>
    <w:rPr>
      <w:rFonts w:ascii="Arial" w:hAnsi="Arial" w:eastAsia="Arial" w:cs="Arial"/>
      <w:b/>
      <w:bCs/>
      <w:i/>
      <w:iCs/>
      <w:sz w:val="22"/>
      <w:szCs w:val="22"/>
    </w:rPr>
  </w:style>
  <w:style w:type="character" w:styleId="854">
    <w:name w:val="Heading 8 Char"/>
    <w:basedOn w:val="1005"/>
    <w:link w:val="1003"/>
    <w:uiPriority w:val="9"/>
    <w:rPr>
      <w:rFonts w:ascii="Arial" w:hAnsi="Arial" w:eastAsia="Arial" w:cs="Arial"/>
      <w:i/>
      <w:iCs/>
      <w:sz w:val="22"/>
      <w:szCs w:val="22"/>
    </w:rPr>
  </w:style>
  <w:style w:type="character" w:styleId="855">
    <w:name w:val="Heading 9 Char"/>
    <w:basedOn w:val="1005"/>
    <w:link w:val="1004"/>
    <w:uiPriority w:val="9"/>
    <w:rPr>
      <w:rFonts w:ascii="Arial" w:hAnsi="Arial" w:eastAsia="Arial" w:cs="Arial"/>
      <w:i/>
      <w:iCs/>
      <w:sz w:val="21"/>
      <w:szCs w:val="21"/>
    </w:rPr>
  </w:style>
  <w:style w:type="paragraph" w:styleId="856">
    <w:name w:val="No Spacing"/>
    <w:uiPriority w:val="1"/>
    <w:qFormat/>
    <w:pPr>
      <w:spacing w:before="0" w:after="0" w:line="240" w:lineRule="auto"/>
    </w:pPr>
  </w:style>
  <w:style w:type="paragraph" w:styleId="857">
    <w:name w:val="Title"/>
    <w:basedOn w:val="995"/>
    <w:next w:val="995"/>
    <w:link w:val="858"/>
    <w:uiPriority w:val="10"/>
    <w:qFormat/>
    <w:pPr>
      <w:contextualSpacing/>
      <w:spacing w:before="300" w:after="200"/>
    </w:pPr>
    <w:rPr>
      <w:sz w:val="48"/>
      <w:szCs w:val="48"/>
    </w:rPr>
  </w:style>
  <w:style w:type="character" w:styleId="858">
    <w:name w:val="Title Char"/>
    <w:basedOn w:val="1005"/>
    <w:link w:val="857"/>
    <w:uiPriority w:val="10"/>
    <w:rPr>
      <w:sz w:val="48"/>
      <w:szCs w:val="48"/>
    </w:rPr>
  </w:style>
  <w:style w:type="character" w:styleId="859">
    <w:name w:val="Subtitle Char"/>
    <w:basedOn w:val="1005"/>
    <w:link w:val="1041"/>
    <w:uiPriority w:val="11"/>
    <w:rPr>
      <w:sz w:val="24"/>
      <w:szCs w:val="24"/>
    </w:rPr>
  </w:style>
  <w:style w:type="character" w:styleId="860">
    <w:name w:val="Quote Char"/>
    <w:link w:val="1388"/>
    <w:uiPriority w:val="29"/>
    <w:rPr>
      <w:i/>
    </w:rPr>
  </w:style>
  <w:style w:type="character" w:styleId="861">
    <w:name w:val="Intense Quote Char"/>
    <w:link w:val="1249"/>
    <w:uiPriority w:val="30"/>
    <w:rPr>
      <w:i/>
    </w:rPr>
  </w:style>
  <w:style w:type="character" w:styleId="862">
    <w:name w:val="Header Char"/>
    <w:basedOn w:val="1005"/>
    <w:link w:val="1039"/>
    <w:uiPriority w:val="99"/>
  </w:style>
  <w:style w:type="character" w:styleId="863">
    <w:name w:val="Footer Char"/>
    <w:basedOn w:val="1005"/>
    <w:link w:val="1037"/>
    <w:uiPriority w:val="99"/>
  </w:style>
  <w:style w:type="character" w:styleId="864">
    <w:name w:val="Caption Char"/>
    <w:basedOn w:val="1014"/>
    <w:link w:val="1037"/>
    <w:uiPriority w:val="99"/>
  </w:style>
  <w:style w:type="table" w:styleId="865">
    <w:name w:val="Table Grid Light"/>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basedOn w:val="10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basedOn w:val="10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basedOn w:val="10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basedOn w:val="10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basedOn w:val="10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basedOn w:val="10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basedOn w:val="10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basedOn w:val="10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basedOn w:val="10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1">
    <w:name w:val="Grid Table 5 Dark - Accent 2"/>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2">
    <w:name w:val="Grid Table 5 Dark - Accent 3"/>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3">
    <w:name w:val="Grid Table 5 Dark- Accent 4"/>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4">
    <w:name w:val="Grid Table 5 Dark - Accent 5"/>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5">
    <w:name w:val="Grid Table 5 Dark - Accent 6"/>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6">
    <w:name w:val="Grid Table 6 Colorful"/>
    <w:basedOn w:val="10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basedOn w:val="10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basedOn w:val="10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basedOn w:val="10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2">
    <w:name w:val="Grid Table 6 Colorful - Accent 6"/>
    <w:basedOn w:val="10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3">
    <w:name w:val="Grid Table 7 Colorful"/>
    <w:basedOn w:val="10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basedOn w:val="10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basedOn w:val="10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basedOn w:val="10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basedOn w:val="10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basedOn w:val="10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basedOn w:val="10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basedOn w:val="10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basedOn w:val="100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basedOn w:val="10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basedOn w:val="10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basedOn w:val="10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basedOn w:val="100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basedOn w:val="10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basedOn w:val="10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basedOn w:val="10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basedOn w:val="10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basedOn w:val="10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basedOn w:val="10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basedOn w:val="10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basedOn w:val="10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basedOn w:val="10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6">
    <w:name w:val="List Table 3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7">
    <w:name w:val="List Table 3 - Accent 3"/>
    <w:basedOn w:val="10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8">
    <w:name w:val="List Table 3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9">
    <w:name w:val="List Table 3 - Accent 5"/>
    <w:basedOn w:val="10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0">
    <w:name w:val="List Table 3 - Accent 6"/>
    <w:basedOn w:val="10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1">
    <w:name w:val="List Table 4"/>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basedOn w:val="10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3">
    <w:name w:val="List Table 4 - Accent 2"/>
    <w:basedOn w:val="10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4">
    <w:name w:val="List Table 4 - Accent 3"/>
    <w:basedOn w:val="10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5">
    <w:name w:val="List Table 4 - Accent 4"/>
    <w:basedOn w:val="10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6">
    <w:name w:val="List Table 4 - Accent 5"/>
    <w:basedOn w:val="10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7">
    <w:name w:val="List Table 4 - Accent 6"/>
    <w:basedOn w:val="10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8">
    <w:name w:val="List Table 5 Dark"/>
    <w:basedOn w:val="10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basedOn w:val="10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basedOn w:val="10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basedOn w:val="10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basedOn w:val="10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basedOn w:val="10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basedOn w:val="10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basedOn w:val="10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basedOn w:val="10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7">
    <w:name w:val="List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8">
    <w:name w:val="List Table 6 Colorful - Accent 3"/>
    <w:basedOn w:val="10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9">
    <w:name w:val="List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0">
    <w:name w:val="List Table 6 Colorful - Accent 5"/>
    <w:basedOn w:val="10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1">
    <w:name w:val="List Table 6 Colorful - Accent 6"/>
    <w:basedOn w:val="10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2">
    <w:name w:val="List Table 7 Colorful"/>
    <w:basedOn w:val="10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basedOn w:val="10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4">
    <w:name w:val="List Table 7 Colorful - Accent 2"/>
    <w:basedOn w:val="10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5">
    <w:name w:val="List Table 7 Colorful - Accent 3"/>
    <w:basedOn w:val="10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6">
    <w:name w:val="List Table 7 Colorful - Accent 4"/>
    <w:basedOn w:val="10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7">
    <w:name w:val="List Table 7 Colorful - Accent 5"/>
    <w:basedOn w:val="10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8">
    <w:name w:val="List Table 7 Colorful - Accent 6"/>
    <w:basedOn w:val="10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9">
    <w:name w:val="Lined - Accent"/>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1">
    <w:name w:val="Lined - Accent 2"/>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2">
    <w:name w:val="Lined - Accent 3"/>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3">
    <w:name w:val="Lined - Accent 4"/>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4">
    <w:name w:val="Lined - Accent 5"/>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5">
    <w:name w:val="Lined - Accent 6"/>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6">
    <w:name w:val="Bordered &amp; Lined - Accent"/>
    <w:basedOn w:val="10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basedOn w:val="10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8">
    <w:name w:val="Bordered &amp; Lined - Accent 2"/>
    <w:basedOn w:val="10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9">
    <w:name w:val="Bordered &amp; Lined - Accent 3"/>
    <w:basedOn w:val="10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0">
    <w:name w:val="Bordered &amp; Lined - Accent 4"/>
    <w:basedOn w:val="10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1">
    <w:name w:val="Bordered &amp; Lined - Accent 5"/>
    <w:basedOn w:val="10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2">
    <w:name w:val="Bordered &amp; Lined - Accent 6"/>
    <w:basedOn w:val="10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3">
    <w:name w:val="Bordered"/>
    <w:basedOn w:val="10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Footnote Text Char"/>
    <w:link w:val="1044"/>
    <w:uiPriority w:val="99"/>
    <w:rPr>
      <w:sz w:val="18"/>
    </w:rPr>
  </w:style>
  <w:style w:type="character" w:styleId="991">
    <w:name w:val="Endnote Text Char"/>
    <w:link w:val="1034"/>
    <w:uiPriority w:val="99"/>
    <w:rPr>
      <w:sz w:val="20"/>
    </w:rPr>
  </w:style>
  <w:style w:type="character" w:styleId="992">
    <w:name w:val="endnote reference"/>
    <w:basedOn w:val="1005"/>
    <w:uiPriority w:val="99"/>
    <w:semiHidden/>
    <w:unhideWhenUsed/>
    <w:rPr>
      <w:vertAlign w:val="superscript"/>
    </w:r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next w:val="1008"/>
    <w:qFormat/>
    <w:pPr>
      <w:ind w:left="1024"/>
      <w:jc w:val="both"/>
    </w:pPr>
    <w:rPr>
      <w:rFonts w:ascii="Calibri" w:hAnsi="Calibri"/>
    </w:rPr>
  </w:style>
  <w:style w:type="paragraph" w:styleId="996">
    <w:name w:val="Heading 1"/>
    <w:basedOn w:val="995"/>
    <w:next w:val="995"/>
    <w:link w:val="1404"/>
    <w:qFormat/>
    <w:pPr>
      <w:ind w:left="432" w:firstLine="18"/>
      <w:spacing w:before="340" w:after="330" w:line="578" w:lineRule="auto"/>
      <w:outlineLvl w:val="0"/>
    </w:pPr>
  </w:style>
  <w:style w:type="paragraph" w:styleId="997">
    <w:name w:val="Heading 2"/>
    <w:basedOn w:val="996"/>
    <w:next w:val="995"/>
    <w:qFormat/>
    <w:pPr>
      <w:ind w:left="576" w:firstLine="24"/>
      <w:spacing w:before="260" w:after="260" w:line="416" w:lineRule="auto"/>
      <w:outlineLvl w:val="1"/>
    </w:pPr>
  </w:style>
  <w:style w:type="paragraph" w:styleId="998">
    <w:name w:val="Heading 3"/>
    <w:basedOn w:val="996"/>
    <w:next w:val="995"/>
    <w:qFormat/>
    <w:pPr>
      <w:ind w:left="720"/>
      <w:spacing w:before="260" w:after="260" w:line="416" w:lineRule="auto"/>
      <w:outlineLvl w:val="2"/>
    </w:pPr>
  </w:style>
  <w:style w:type="paragraph" w:styleId="999">
    <w:name w:val="Heading 4"/>
    <w:basedOn w:val="996"/>
    <w:next w:val="995"/>
    <w:qFormat/>
    <w:pPr>
      <w:ind w:left="864" w:firstLine="24"/>
      <w:spacing w:before="280" w:after="290" w:line="376" w:lineRule="auto"/>
      <w:outlineLvl w:val="3"/>
    </w:pPr>
  </w:style>
  <w:style w:type="paragraph" w:styleId="1000">
    <w:name w:val="Heading 5"/>
    <w:basedOn w:val="996"/>
    <w:next w:val="995"/>
    <w:qFormat/>
    <w:pPr>
      <w:ind w:left="1008"/>
      <w:spacing w:before="280" w:after="290" w:line="376" w:lineRule="auto"/>
      <w:outlineLvl w:val="4"/>
    </w:pPr>
  </w:style>
  <w:style w:type="paragraph" w:styleId="1001">
    <w:name w:val="Heading 6"/>
    <w:basedOn w:val="996"/>
    <w:next w:val="995"/>
    <w:qFormat/>
    <w:pPr>
      <w:ind w:left="1152" w:firstLine="20"/>
      <w:spacing w:before="240" w:after="64" w:line="320" w:lineRule="auto"/>
      <w:outlineLvl w:val="5"/>
    </w:pPr>
  </w:style>
  <w:style w:type="paragraph" w:styleId="1002">
    <w:name w:val="Heading 7"/>
    <w:basedOn w:val="996"/>
    <w:next w:val="995"/>
    <w:qFormat/>
    <w:pPr>
      <w:ind w:left="1296" w:firstLine="14"/>
      <w:spacing w:before="240" w:after="64" w:line="320" w:lineRule="auto"/>
      <w:outlineLvl w:val="6"/>
    </w:pPr>
  </w:style>
  <w:style w:type="paragraph" w:styleId="1003">
    <w:name w:val="Heading 8"/>
    <w:basedOn w:val="996"/>
    <w:next w:val="995"/>
    <w:qFormat/>
    <w:pPr>
      <w:ind w:left="1440"/>
      <w:spacing w:before="240" w:after="64" w:line="320" w:lineRule="auto"/>
      <w:outlineLvl w:val="7"/>
    </w:pPr>
  </w:style>
  <w:style w:type="paragraph" w:styleId="1004">
    <w:name w:val="Heading 9"/>
    <w:basedOn w:val="996"/>
    <w:next w:val="995"/>
    <w:qFormat/>
    <w:pPr>
      <w:ind w:left="1584" w:firstLine="22"/>
      <w:spacing w:before="240" w:after="64" w:line="320" w:lineRule="auto"/>
      <w:outlineLvl w:val="8"/>
    </w:pPr>
  </w:style>
  <w:style w:type="character" w:styleId="1005" w:default="1">
    <w:name w:val="Default Paragraph Font"/>
    <w:uiPriority w:val="1"/>
    <w:semiHidden/>
    <w:unhideWhenUsed/>
  </w:style>
  <w:style w:type="table" w:styleId="1006" w:default="1">
    <w:name w:val="Normal Table"/>
    <w:uiPriority w:val="99"/>
    <w:semiHidden/>
    <w:unhideWhenUsed/>
    <w:tblPr>
      <w:tblInd w:w="0" w:type="dxa"/>
      <w:tblCellMar>
        <w:left w:w="108" w:type="dxa"/>
        <w:top w:w="0" w:type="dxa"/>
        <w:right w:w="108" w:type="dxa"/>
        <w:bottom w:w="0" w:type="dxa"/>
      </w:tblCellMar>
    </w:tblPr>
  </w:style>
  <w:style w:type="numbering" w:styleId="1007" w:default="1">
    <w:name w:val="No List"/>
    <w:uiPriority w:val="99"/>
    <w:semiHidden/>
    <w:unhideWhenUsed/>
  </w:style>
  <w:style w:type="paragraph" w:styleId="1008">
    <w:name w:val="Body Text Indent"/>
    <w:basedOn w:val="995"/>
    <w:next w:val="995"/>
    <w:qFormat/>
    <w:pPr>
      <w:ind w:left="420" w:firstLine="1188"/>
      <w:spacing w:line="360" w:lineRule="exact"/>
    </w:pPr>
  </w:style>
  <w:style w:type="paragraph" w:styleId="1009">
    <w:name w:val="toc 7"/>
    <w:basedOn w:val="996"/>
    <w:next w:val="995"/>
    <w:qFormat/>
    <w:pPr>
      <w:ind w:left="1200" w:firstLine="0"/>
      <w:spacing w:before="0" w:after="0" w:line="240" w:lineRule="auto"/>
      <w:outlineLvl w:val="9"/>
    </w:pPr>
    <w:rPr>
      <w:rFonts w:cs="Calibri"/>
      <w:sz w:val="18"/>
      <w:szCs w:val="18"/>
    </w:rPr>
  </w:style>
  <w:style w:type="paragraph" w:styleId="1010">
    <w:name w:val="List Bullet 4"/>
    <w:basedOn w:val="996"/>
    <w:next w:val="1011"/>
    <w:qFormat/>
    <w:pPr>
      <w:ind w:left="1620" w:firstLine="2652"/>
      <w:spacing w:before="0" w:after="0" w:line="360" w:lineRule="auto"/>
    </w:pPr>
  </w:style>
  <w:style w:type="paragraph" w:styleId="1011">
    <w:name w:val="List Bullet 2"/>
    <w:basedOn w:val="996"/>
    <w:next w:val="995"/>
    <w:qFormat/>
    <w:pPr>
      <w:ind w:left="900" w:firstLine="2652"/>
      <w:spacing w:before="0" w:after="0" w:line="360" w:lineRule="auto"/>
    </w:pPr>
  </w:style>
  <w:style w:type="paragraph" w:styleId="1012">
    <w:name w:val="List Number"/>
    <w:basedOn w:val="996"/>
    <w:next w:val="995"/>
    <w:qFormat/>
    <w:pPr>
      <w:ind w:left="454" w:firstLine="2788"/>
      <w:spacing w:before="0" w:after="0" w:line="240" w:lineRule="auto"/>
    </w:pPr>
  </w:style>
  <w:style w:type="paragraph" w:styleId="1013">
    <w:name w:val="Normal Indent"/>
    <w:basedOn w:val="995"/>
    <w:next w:val="995"/>
    <w:link w:val="1065"/>
    <w:qFormat/>
    <w:pPr>
      <w:ind w:left="420" w:firstLine="4772"/>
    </w:pPr>
    <w:rPr>
      <w:lang w:val="zh-CN"/>
    </w:rPr>
  </w:style>
  <w:style w:type="paragraph" w:styleId="1014">
    <w:name w:val="Caption"/>
    <w:basedOn w:val="996"/>
    <w:next w:val="995"/>
    <w:qFormat/>
    <w:pPr>
      <w:ind w:left="200" w:firstLine="2248"/>
      <w:jc w:val="center"/>
      <w:spacing w:before="0" w:after="0" w:line="240" w:lineRule="auto"/>
    </w:pPr>
  </w:style>
  <w:style w:type="paragraph" w:styleId="1015">
    <w:name w:val="List Bullet"/>
    <w:basedOn w:val="996"/>
    <w:next w:val="995"/>
    <w:qFormat/>
    <w:pPr>
      <w:ind w:left="900" w:firstLine="2652"/>
      <w:spacing w:before="0" w:after="0" w:line="360" w:lineRule="auto"/>
    </w:pPr>
  </w:style>
  <w:style w:type="paragraph" w:styleId="1016">
    <w:name w:val="Document Map"/>
    <w:basedOn w:val="996"/>
    <w:next w:val="1017"/>
    <w:qFormat/>
    <w:pPr>
      <w:ind w:left="0" w:firstLine="4"/>
      <w:spacing w:before="0" w:after="0" w:line="240" w:lineRule="auto"/>
      <w:shd w:val="clear" w:color="000000" w:fill="000080"/>
    </w:pPr>
  </w:style>
  <w:style w:type="paragraph" w:styleId="1017">
    <w:name w:val="annotation subject"/>
    <w:next w:val="995"/>
    <w:qFormat/>
    <w:pPr>
      <w:ind w:firstLine="4608"/>
      <w:spacing w:line="360" w:lineRule="auto"/>
    </w:pPr>
    <w:rPr>
      <w:rFonts w:ascii="Calibri" w:hAnsi="Calibri"/>
    </w:rPr>
  </w:style>
  <w:style w:type="paragraph" w:styleId="1018">
    <w:name w:val="annotation text"/>
    <w:basedOn w:val="996"/>
    <w:next w:val="995"/>
    <w:qFormat/>
    <w:pPr>
      <w:ind w:left="0" w:firstLine="3584"/>
      <w:spacing w:line="360" w:lineRule="auto"/>
    </w:pPr>
  </w:style>
  <w:style w:type="paragraph" w:styleId="1019">
    <w:name w:val="Body Text 3"/>
    <w:basedOn w:val="996"/>
    <w:next w:val="995"/>
    <w:qFormat/>
    <w:pPr>
      <w:ind w:left="0" w:firstLine="2048"/>
      <w:spacing w:before="0" w:after="0" w:line="500" w:lineRule="exact"/>
    </w:pPr>
  </w:style>
  <w:style w:type="paragraph" w:styleId="1020">
    <w:name w:val="List Bullet 3"/>
    <w:basedOn w:val="996"/>
    <w:next w:val="995"/>
    <w:qFormat/>
    <w:pPr>
      <w:ind w:left="900" w:firstLine="2652"/>
      <w:spacing w:before="0" w:after="0" w:line="360" w:lineRule="auto"/>
    </w:pPr>
  </w:style>
  <w:style w:type="paragraph" w:styleId="1021">
    <w:name w:val="Body Text"/>
    <w:basedOn w:val="995"/>
    <w:next w:val="1013"/>
    <w:qFormat/>
    <w:pPr>
      <w:ind w:left="0" w:firstLine="2560"/>
    </w:pPr>
  </w:style>
  <w:style w:type="paragraph" w:styleId="1022">
    <w:name w:val="List Number 3"/>
    <w:basedOn w:val="996"/>
    <w:next w:val="995"/>
    <w:qFormat/>
    <w:pPr>
      <w:ind w:left="420" w:firstLine="3584"/>
      <w:spacing w:before="0" w:after="0" w:line="240" w:lineRule="auto"/>
    </w:pPr>
  </w:style>
  <w:style w:type="paragraph" w:styleId="1023">
    <w:name w:val="List 2"/>
    <w:basedOn w:val="996"/>
    <w:next w:val="1009"/>
    <w:qFormat/>
    <w:pPr>
      <w:ind w:left="100" w:firstLine="3640"/>
      <w:spacing w:before="0" w:after="0" w:line="240" w:lineRule="auto"/>
    </w:pPr>
  </w:style>
  <w:style w:type="paragraph" w:styleId="1024">
    <w:name w:val="Block Text"/>
    <w:basedOn w:val="996"/>
    <w:next w:val="995"/>
    <w:qFormat/>
    <w:pPr>
      <w:ind w:left="420" w:right="33" w:firstLine="2560"/>
      <w:spacing w:before="0" w:after="0" w:line="240" w:lineRule="auto"/>
    </w:pPr>
  </w:style>
  <w:style w:type="paragraph" w:styleId="1025">
    <w:name w:val="toc 5"/>
    <w:basedOn w:val="996"/>
    <w:next w:val="995"/>
    <w:qFormat/>
    <w:pPr>
      <w:ind w:left="800" w:firstLine="0"/>
      <w:spacing w:before="0" w:after="0" w:line="240" w:lineRule="auto"/>
      <w:outlineLvl w:val="9"/>
    </w:pPr>
    <w:rPr>
      <w:rFonts w:cs="Calibri"/>
      <w:sz w:val="18"/>
      <w:szCs w:val="18"/>
    </w:rPr>
  </w:style>
  <w:style w:type="paragraph" w:styleId="1026">
    <w:name w:val="toc 3"/>
    <w:basedOn w:val="996"/>
    <w:next w:val="995"/>
    <w:uiPriority w:val="39"/>
    <w:qFormat/>
    <w:pPr>
      <w:ind w:left="400" w:firstLine="0"/>
      <w:spacing w:before="0" w:after="0" w:line="240" w:lineRule="auto"/>
      <w:outlineLvl w:val="9"/>
    </w:pPr>
    <w:rPr>
      <w:rFonts w:cs="Calibri"/>
      <w:i/>
      <w:iCs/>
    </w:rPr>
  </w:style>
  <w:style w:type="paragraph" w:styleId="1027">
    <w:name w:val="Plain Text"/>
    <w:basedOn w:val="996"/>
    <w:next w:val="1028"/>
    <w:link w:val="1066"/>
    <w:qFormat/>
    <w:pPr>
      <w:ind w:left="0" w:firstLine="2048"/>
      <w:spacing w:before="0" w:after="0" w:line="240" w:lineRule="auto"/>
    </w:pPr>
    <w:rPr>
      <w:lang w:val="zh-CN"/>
    </w:rPr>
  </w:style>
  <w:style w:type="paragraph" w:styleId="1028">
    <w:name w:val="toc 1"/>
    <w:basedOn w:val="996"/>
    <w:next w:val="995"/>
    <w:uiPriority w:val="39"/>
    <w:qFormat/>
    <w:pPr>
      <w:ind w:left="0" w:firstLine="0"/>
      <w:spacing w:before="120" w:after="120" w:line="240" w:lineRule="auto"/>
      <w:outlineLvl w:val="9"/>
    </w:pPr>
    <w:rPr>
      <w:rFonts w:cs="Calibri"/>
      <w:b/>
      <w:bCs/>
      <w:caps/>
    </w:rPr>
  </w:style>
  <w:style w:type="paragraph" w:styleId="1029">
    <w:name w:val="List Bullet 5"/>
    <w:basedOn w:val="996"/>
    <w:next w:val="1030"/>
    <w:qFormat/>
    <w:pPr>
      <w:ind w:left="2040" w:firstLine="2560"/>
      <w:spacing w:before="0" w:after="0" w:line="360" w:lineRule="auto"/>
    </w:pPr>
  </w:style>
  <w:style w:type="paragraph" w:styleId="1030" w:customStyle="1">
    <w:name w:val="正文首行缩进1"/>
    <w:next w:val="1022"/>
    <w:qFormat/>
    <w:pPr>
      <w:ind w:left="420" w:firstLine="2724"/>
      <w:spacing w:after="120" w:line="360" w:lineRule="auto"/>
    </w:pPr>
    <w:rPr>
      <w:rFonts w:ascii="Calibri" w:hAnsi="Calibri"/>
    </w:rPr>
  </w:style>
  <w:style w:type="paragraph" w:styleId="1031">
    <w:name w:val="toc 8"/>
    <w:basedOn w:val="996"/>
    <w:next w:val="995"/>
    <w:qFormat/>
    <w:pPr>
      <w:ind w:left="1400" w:firstLine="0"/>
      <w:spacing w:before="0" w:after="0" w:line="240" w:lineRule="auto"/>
      <w:outlineLvl w:val="9"/>
    </w:pPr>
    <w:rPr>
      <w:rFonts w:cs="Calibri"/>
      <w:sz w:val="18"/>
      <w:szCs w:val="18"/>
    </w:rPr>
  </w:style>
  <w:style w:type="paragraph" w:styleId="1032">
    <w:name w:val="Date"/>
    <w:basedOn w:val="996"/>
    <w:next w:val="995"/>
    <w:qFormat/>
    <w:pPr>
      <w:ind w:left="0" w:firstLine="2560"/>
      <w:spacing w:before="0" w:after="0" w:line="240" w:lineRule="auto"/>
    </w:pPr>
  </w:style>
  <w:style w:type="paragraph" w:styleId="1033">
    <w:name w:val="Body Text Indent 2"/>
    <w:basedOn w:val="996"/>
    <w:next w:val="1008"/>
    <w:qFormat/>
    <w:pPr>
      <w:ind w:left="481" w:firstLine="2784"/>
      <w:spacing w:before="0" w:after="0" w:line="400" w:lineRule="exact"/>
    </w:pPr>
  </w:style>
  <w:style w:type="paragraph" w:styleId="1034">
    <w:name w:val="endnote text"/>
    <w:basedOn w:val="996"/>
    <w:next w:val="1035"/>
    <w:qFormat/>
    <w:pPr>
      <w:ind w:left="0" w:firstLine="2560"/>
      <w:spacing w:before="0" w:after="0" w:line="360" w:lineRule="auto"/>
    </w:pPr>
  </w:style>
  <w:style w:type="paragraph" w:styleId="1035" w:customStyle="1">
    <w:name w:val="Char11"/>
    <w:basedOn w:val="996"/>
    <w:next w:val="995"/>
    <w:qFormat/>
    <w:pPr>
      <w:ind w:left="0" w:firstLine="3584"/>
      <w:spacing w:before="0" w:after="0" w:line="240" w:lineRule="auto"/>
    </w:pPr>
  </w:style>
  <w:style w:type="paragraph" w:styleId="1036">
    <w:name w:val="Balloon Text"/>
    <w:basedOn w:val="996"/>
    <w:next w:val="1012"/>
    <w:qFormat/>
    <w:pPr>
      <w:ind w:left="0" w:firstLine="2048"/>
      <w:spacing w:before="0" w:after="0" w:line="240" w:lineRule="auto"/>
    </w:pPr>
  </w:style>
  <w:style w:type="paragraph" w:styleId="1037">
    <w:name w:val="Footer"/>
    <w:basedOn w:val="996"/>
    <w:next w:val="1038"/>
    <w:link w:val="1067"/>
    <w:qFormat/>
    <w:pPr>
      <w:ind w:left="0" w:firstLine="3584"/>
      <w:spacing w:before="0" w:after="0" w:line="240" w:lineRule="auto"/>
    </w:pPr>
    <w:rPr>
      <w:lang w:val="zh-CN"/>
    </w:rPr>
  </w:style>
  <w:style w:type="paragraph" w:styleId="1038" w:customStyle="1">
    <w:name w:val="Char Char Char Char Char Char Char Char Char Char Char Char Char"/>
    <w:basedOn w:val="996"/>
    <w:next w:val="995"/>
    <w:qFormat/>
    <w:pPr>
      <w:ind w:left="0" w:firstLine="3584"/>
      <w:spacing w:before="0" w:after="160" w:line="240" w:lineRule="exact"/>
    </w:pPr>
  </w:style>
  <w:style w:type="paragraph" w:styleId="1039">
    <w:name w:val="Header"/>
    <w:basedOn w:val="996"/>
    <w:next w:val="1032"/>
    <w:link w:val="1068"/>
    <w:qFormat/>
    <w:pPr>
      <w:ind w:left="0" w:firstLine="3584"/>
      <w:jc w:val="center"/>
      <w:spacing w:before="0" w:after="0" w:line="240" w:lineRule="auto"/>
    </w:pPr>
    <w:rPr>
      <w:lang w:val="zh-CN"/>
    </w:rPr>
  </w:style>
  <w:style w:type="paragraph" w:styleId="1040">
    <w:name w:val="toc 4"/>
    <w:basedOn w:val="996"/>
    <w:next w:val="995"/>
    <w:qFormat/>
    <w:pPr>
      <w:ind w:left="600" w:firstLine="0"/>
      <w:spacing w:before="0" w:after="0" w:line="240" w:lineRule="auto"/>
      <w:outlineLvl w:val="9"/>
    </w:pPr>
    <w:rPr>
      <w:rFonts w:cs="Calibri"/>
      <w:sz w:val="18"/>
      <w:szCs w:val="18"/>
    </w:rPr>
  </w:style>
  <w:style w:type="paragraph" w:styleId="1041">
    <w:name w:val="Subtitle"/>
    <w:next w:val="995"/>
    <w:qFormat/>
    <w:pPr>
      <w:ind w:left="1024"/>
      <w:jc w:val="center"/>
      <w:spacing w:after="60"/>
    </w:pPr>
    <w:rPr>
      <w:rFonts w:ascii="Calibri" w:hAnsi="Calibri"/>
    </w:rPr>
  </w:style>
  <w:style w:type="paragraph" w:styleId="1042">
    <w:name w:val="List"/>
    <w:basedOn w:val="996"/>
    <w:next w:val="1043"/>
    <w:qFormat/>
    <w:pPr>
      <w:ind w:left="200" w:firstLine="3640"/>
      <w:spacing w:before="0" w:after="0" w:line="240" w:lineRule="auto"/>
    </w:pPr>
  </w:style>
  <w:style w:type="paragraph" w:styleId="1043">
    <w:name w:val="Body Text First Indent"/>
    <w:next w:val="995"/>
    <w:qFormat/>
    <w:pPr>
      <w:ind w:left="420" w:firstLine="3748"/>
      <w:spacing w:after="120"/>
    </w:pPr>
    <w:rPr>
      <w:rFonts w:ascii="Calibri" w:hAnsi="Calibri"/>
    </w:rPr>
  </w:style>
  <w:style w:type="paragraph" w:styleId="1044">
    <w:name w:val="footnote text"/>
    <w:basedOn w:val="996"/>
    <w:next w:val="1024"/>
    <w:qFormat/>
    <w:pPr>
      <w:ind w:left="0" w:firstLine="3584"/>
      <w:spacing w:before="0" w:after="0" w:line="360" w:lineRule="auto"/>
    </w:pPr>
  </w:style>
  <w:style w:type="paragraph" w:styleId="1045">
    <w:name w:val="toc 6"/>
    <w:basedOn w:val="996"/>
    <w:next w:val="995"/>
    <w:qFormat/>
    <w:pPr>
      <w:ind w:left="1000" w:firstLine="0"/>
      <w:spacing w:before="0" w:after="0" w:line="240" w:lineRule="auto"/>
      <w:outlineLvl w:val="9"/>
    </w:pPr>
    <w:rPr>
      <w:rFonts w:cs="Calibri"/>
      <w:sz w:val="18"/>
      <w:szCs w:val="18"/>
    </w:rPr>
  </w:style>
  <w:style w:type="paragraph" w:styleId="1046">
    <w:name w:val="List 5"/>
    <w:basedOn w:val="996"/>
    <w:next w:val="1021"/>
    <w:qFormat/>
    <w:pPr>
      <w:ind w:left="2100" w:firstLine="3676"/>
      <w:spacing w:before="0" w:after="0" w:line="240" w:lineRule="auto"/>
    </w:pPr>
  </w:style>
  <w:style w:type="paragraph" w:styleId="1047">
    <w:name w:val="Body Text Indent 3"/>
    <w:basedOn w:val="996"/>
    <w:next w:val="1045"/>
    <w:qFormat/>
    <w:pPr>
      <w:ind w:left="480" w:firstLine="2784"/>
      <w:spacing w:before="0" w:after="0" w:line="400" w:lineRule="exact"/>
    </w:pPr>
  </w:style>
  <w:style w:type="paragraph" w:styleId="1048">
    <w:name w:val="toc 2"/>
    <w:basedOn w:val="996"/>
    <w:next w:val="995"/>
    <w:uiPriority w:val="39"/>
    <w:qFormat/>
    <w:pPr>
      <w:ind w:left="200" w:firstLine="0"/>
      <w:spacing w:before="0" w:after="0" w:line="240" w:lineRule="auto"/>
      <w:outlineLvl w:val="9"/>
    </w:pPr>
    <w:rPr>
      <w:rFonts w:cs="Calibri"/>
      <w:smallCaps/>
    </w:rPr>
  </w:style>
  <w:style w:type="paragraph" w:styleId="1049">
    <w:name w:val="toc 9"/>
    <w:basedOn w:val="996"/>
    <w:next w:val="995"/>
    <w:qFormat/>
    <w:pPr>
      <w:ind w:left="1600" w:firstLine="0"/>
      <w:spacing w:before="0" w:after="0" w:line="240" w:lineRule="auto"/>
      <w:outlineLvl w:val="9"/>
    </w:pPr>
    <w:rPr>
      <w:rFonts w:cs="Calibri"/>
      <w:sz w:val="18"/>
      <w:szCs w:val="18"/>
    </w:rPr>
  </w:style>
  <w:style w:type="paragraph" w:styleId="1050">
    <w:name w:val="Body Text 2"/>
    <w:basedOn w:val="996"/>
    <w:next w:val="1015"/>
    <w:qFormat/>
    <w:pPr>
      <w:ind w:left="0" w:firstLine="1024"/>
      <w:spacing w:before="0" w:after="120" w:line="480" w:lineRule="auto"/>
    </w:pPr>
  </w:style>
  <w:style w:type="paragraph" w:styleId="1051">
    <w:name w:val="HTML Preformatted"/>
    <w:basedOn w:val="996"/>
    <w:next w:val="1014"/>
    <w:qFormat/>
    <w:pPr>
      <w:ind w:left="0" w:firstLine="2048"/>
      <w:spacing w:before="0" w:after="0" w:line="253" w:lineRule="atLeast"/>
    </w:pPr>
  </w:style>
  <w:style w:type="paragraph" w:styleId="1052">
    <w:name w:val="Normal (Web)"/>
    <w:basedOn w:val="995"/>
    <w:next w:val="1023"/>
    <w:uiPriority w:val="99"/>
    <w:qFormat/>
    <w:pPr>
      <w:ind w:left="15" w:right="15" w:firstLine="4608"/>
      <w:spacing w:before="60" w:after="60" w:line="312" w:lineRule="auto"/>
    </w:pPr>
  </w:style>
  <w:style w:type="paragraph" w:styleId="1053">
    <w:name w:val="index 1"/>
    <w:basedOn w:val="996"/>
    <w:next w:val="995"/>
    <w:qFormat/>
    <w:pPr>
      <w:ind w:left="0" w:firstLine="3584"/>
      <w:spacing w:before="0" w:after="0" w:line="240" w:lineRule="auto"/>
    </w:pPr>
  </w:style>
  <w:style w:type="paragraph" w:styleId="1054">
    <w:name w:val="Body Text First Indent 2"/>
    <w:uiPriority w:val="99"/>
    <w:unhideWhenUsed/>
    <w:qFormat/>
    <w:pPr>
      <w:ind w:left="420" w:firstLine="420"/>
      <w:jc w:val="both"/>
      <w:spacing w:after="120"/>
      <w:widowControl w:val="off"/>
    </w:pPr>
    <w:rPr>
      <w:rFonts w:ascii="Calibri" w:hAnsi="Calibri"/>
      <w:sz w:val="21"/>
    </w:rPr>
  </w:style>
  <w:style w:type="table" w:styleId="1055">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6">
    <w:name w:val="Strong"/>
    <w:uiPriority w:val="22"/>
    <w:qFormat/>
    <w:rPr>
      <w:b/>
      <w:sz w:val="20"/>
    </w:rPr>
  </w:style>
  <w:style w:type="character" w:styleId="1057">
    <w:name w:val="page number"/>
    <w:qFormat/>
    <w:rPr>
      <w:sz w:val="20"/>
    </w:rPr>
  </w:style>
  <w:style w:type="character" w:styleId="1058">
    <w:name w:val="Emphasis"/>
    <w:qFormat/>
    <w:rPr>
      <w:i/>
      <w:sz w:val="21"/>
    </w:rPr>
  </w:style>
  <w:style w:type="character" w:styleId="1059">
    <w:name w:val="Hyperlink"/>
    <w:uiPriority w:val="99"/>
    <w:qFormat/>
    <w:rPr>
      <w:color w:val="0000ff"/>
      <w:sz w:val="20"/>
      <w:u w:val="single"/>
    </w:rPr>
  </w:style>
  <w:style w:type="character" w:styleId="1060">
    <w:name w:val="annotation reference"/>
    <w:qFormat/>
    <w:rPr>
      <w:sz w:val="20"/>
    </w:rPr>
  </w:style>
  <w:style w:type="character" w:styleId="1061">
    <w:name w:val="footnote reference"/>
    <w:unhideWhenUsed/>
    <w:qFormat/>
    <w:rPr>
      <w:vertAlign w:val="superscript"/>
    </w:rPr>
  </w:style>
  <w:style w:type="paragraph" w:styleId="1062">
    <w:name w:val="List Paragraph"/>
    <w:basedOn w:val="995"/>
    <w:next w:val="1063"/>
    <w:link w:val="1407"/>
    <w:uiPriority w:val="34"/>
    <w:qFormat/>
    <w:pPr>
      <w:ind w:left="420" w:firstLine="3748"/>
    </w:pPr>
  </w:style>
  <w:style w:type="paragraph" w:styleId="1063" w:customStyle="1">
    <w:name w:val="xl91"/>
    <w:basedOn w:val="996"/>
    <w:next w:val="1064"/>
    <w:qFormat/>
    <w:pPr>
      <w:ind w:left="0" w:firstLine="3584"/>
      <w:spacing w:before="280" w:after="280" w:line="240" w:lineRule="auto"/>
    </w:pPr>
  </w:style>
  <w:style w:type="paragraph" w:styleId="1064" w:customStyle="1">
    <w:name w:val="xl76"/>
    <w:basedOn w:val="996"/>
    <w:next w:val="1050"/>
    <w:qFormat/>
    <w:pPr>
      <w:ind w:left="0" w:firstLine="3584"/>
      <w:jc w:val="center"/>
      <w:spacing w:before="280" w:after="280" w:line="240" w:lineRule="auto"/>
    </w:pPr>
  </w:style>
  <w:style w:type="character" w:styleId="1065" w:customStyle="1">
    <w:name w:val="正文缩进 字符"/>
    <w:link w:val="1013"/>
    <w:qFormat/>
    <w:rPr>
      <w:rFonts w:ascii="Calibri" w:hAnsi="Calibri"/>
    </w:rPr>
  </w:style>
  <w:style w:type="character" w:styleId="1066" w:customStyle="1">
    <w:name w:val="纯文本 字符"/>
    <w:link w:val="1027"/>
    <w:qFormat/>
    <w:rPr>
      <w:rFonts w:ascii="Calibri" w:hAnsi="Calibri"/>
    </w:rPr>
  </w:style>
  <w:style w:type="character" w:styleId="1067" w:customStyle="1">
    <w:name w:val="页脚 字符"/>
    <w:link w:val="1037"/>
    <w:qFormat/>
    <w:rPr>
      <w:rFonts w:ascii="Calibri" w:hAnsi="Calibri"/>
    </w:rPr>
  </w:style>
  <w:style w:type="character" w:styleId="1068" w:customStyle="1">
    <w:name w:val="页眉 字符"/>
    <w:link w:val="1039"/>
    <w:qFormat/>
    <w:rPr>
      <w:rFonts w:ascii="Calibri" w:hAnsi="Calibri"/>
    </w:rPr>
  </w:style>
  <w:style w:type="character" w:styleId="1069" w:customStyle="1">
    <w:name w:val="已访问的超链接1"/>
    <w:qFormat/>
    <w:rPr>
      <w:color w:val="800080"/>
      <w:sz w:val="20"/>
      <w:u w:val="single"/>
    </w:rPr>
  </w:style>
  <w:style w:type="character" w:styleId="1070" w:customStyle="1">
    <w:name w:val="图注 Char Char"/>
    <w:qFormat/>
    <w:rPr>
      <w:sz w:val="20"/>
    </w:rPr>
  </w:style>
  <w:style w:type="character" w:styleId="1071" w:customStyle="1">
    <w:name w:val="图片0 Char Char"/>
    <w:qFormat/>
    <w:rPr>
      <w:sz w:val="20"/>
    </w:rPr>
  </w:style>
  <w:style w:type="character" w:styleId="1072" w:customStyle="1">
    <w:name w:val="p141"/>
    <w:qFormat/>
    <w:rPr>
      <w:color w:val="000000"/>
      <w:sz w:val="20"/>
      <w:u w:val="none"/>
    </w:rPr>
  </w:style>
  <w:style w:type="character" w:styleId="1073" w:customStyle="1">
    <w:name w:val="批注框文本 字符"/>
    <w:qFormat/>
    <w:rPr>
      <w:sz w:val="20"/>
    </w:rPr>
  </w:style>
  <w:style w:type="character" w:styleId="1074" w:customStyle="1">
    <w:name w:val="正文文本缩进 3 Char"/>
    <w:qFormat/>
    <w:rPr>
      <w:sz w:val="20"/>
    </w:rPr>
  </w:style>
  <w:style w:type="character" w:styleId="1075" w:customStyle="1">
    <w:name w:val="标题 6 Char1"/>
    <w:semiHidden/>
    <w:qFormat/>
    <w:rPr>
      <w:b/>
      <w:sz w:val="20"/>
    </w:rPr>
  </w:style>
  <w:style w:type="character" w:styleId="1076" w:customStyle="1">
    <w:name w:val="正文文本缩进 Char"/>
    <w:qFormat/>
    <w:rPr>
      <w:sz w:val="20"/>
    </w:rPr>
  </w:style>
  <w:style w:type="character" w:styleId="1077" w:customStyle="1">
    <w:name w:val="正文文本缩进 2 Char"/>
    <w:qFormat/>
    <w:rPr>
      <w:sz w:val="20"/>
    </w:rPr>
  </w:style>
  <w:style w:type="character" w:styleId="1078" w:customStyle="1">
    <w:name w:val="批注引用1"/>
    <w:qFormat/>
    <w:rPr>
      <w:sz w:val="20"/>
    </w:rPr>
  </w:style>
  <w:style w:type="character" w:styleId="1079" w:customStyle="1">
    <w:name w:val="标题 6 Char"/>
    <w:qFormat/>
    <w:rPr>
      <w:b/>
      <w:sz w:val="20"/>
    </w:rPr>
  </w:style>
  <w:style w:type="character" w:styleId="1080" w:customStyle="1">
    <w:name w:val="lh151"/>
    <w:qFormat/>
    <w:rPr>
      <w:color w:val="666666"/>
      <w:sz w:val="20"/>
    </w:rPr>
  </w:style>
  <w:style w:type="character" w:styleId="1081" w:customStyle="1">
    <w:name w:val="_Style 332"/>
    <w:qFormat/>
    <w:rPr>
      <w:i/>
      <w:color w:val="auto"/>
      <w:sz w:val="21"/>
    </w:rPr>
  </w:style>
  <w:style w:type="character" w:styleId="1082" w:customStyle="1">
    <w:name w:val="页眉 Char1"/>
    <w:semiHidden/>
    <w:qFormat/>
    <w:rPr>
      <w:sz w:val="20"/>
    </w:rPr>
  </w:style>
  <w:style w:type="character" w:styleId="1083" w:customStyle="1">
    <w:name w:val="标题 3 Char"/>
    <w:qFormat/>
    <w:rPr>
      <w:b/>
      <w:sz w:val="20"/>
    </w:rPr>
  </w:style>
  <w:style w:type="character" w:styleId="1084" w:customStyle="1">
    <w:name w:val="正文文本 Char"/>
    <w:qFormat/>
    <w:rPr>
      <w:sz w:val="20"/>
    </w:rPr>
  </w:style>
  <w:style w:type="character" w:styleId="1085" w:customStyle="1">
    <w:name w:val="062"/>
    <w:qFormat/>
    <w:rPr>
      <w:b/>
      <w:sz w:val="20"/>
    </w:rPr>
  </w:style>
  <w:style w:type="character" w:styleId="1086" w:customStyle="1">
    <w:name w:val="标题 Char"/>
    <w:qFormat/>
    <w:rPr>
      <w:b/>
      <w:sz w:val="20"/>
    </w:rPr>
  </w:style>
  <w:style w:type="character" w:styleId="1087" w:customStyle="1">
    <w:name w:val="标题 2 Char"/>
    <w:qFormat/>
    <w:rPr>
      <w:b/>
      <w:sz w:val="20"/>
    </w:rPr>
  </w:style>
  <w:style w:type="character" w:styleId="1088" w:customStyle="1">
    <w:name w:val="正文缩进 Char"/>
    <w:qFormat/>
    <w:rPr>
      <w:sz w:val="20"/>
    </w:rPr>
  </w:style>
  <w:style w:type="character" w:styleId="1089" w:customStyle="1">
    <w:name w:val="日期 Char"/>
    <w:qFormat/>
    <w:rPr>
      <w:sz w:val="20"/>
    </w:rPr>
  </w:style>
  <w:style w:type="character" w:styleId="1090" w:customStyle="1">
    <w:name w:val="纯文本 Char1"/>
    <w:semiHidden/>
    <w:qFormat/>
    <w:rPr>
      <w:sz w:val="20"/>
    </w:rPr>
  </w:style>
  <w:style w:type="character" w:styleId="1091" w:customStyle="1">
    <w:name w:val="正文首行缩进 2 Char"/>
    <w:qFormat/>
    <w:rPr>
      <w:sz w:val="20"/>
    </w:rPr>
  </w:style>
  <w:style w:type="character" w:styleId="1092" w:customStyle="1">
    <w:name w:val="表格用 Char Char"/>
    <w:qFormat/>
    <w:rPr>
      <w:sz w:val="20"/>
    </w:rPr>
  </w:style>
  <w:style w:type="character" w:styleId="1093" w:customStyle="1">
    <w:name w:val="Char Char14"/>
    <w:qFormat/>
    <w:rPr>
      <w:sz w:val="20"/>
    </w:rPr>
  </w:style>
  <w:style w:type="character" w:styleId="1094" w:customStyle="1">
    <w:name w:val="批注文字 Char1"/>
    <w:semiHidden/>
    <w:qFormat/>
    <w:rPr>
      <w:sz w:val="20"/>
    </w:rPr>
  </w:style>
  <w:style w:type="character" w:styleId="1095" w:customStyle="1">
    <w:name w:val="正文（首行缩进 2 字符） Char Char"/>
    <w:qFormat/>
    <w:rPr>
      <w:sz w:val="20"/>
    </w:rPr>
  </w:style>
  <w:style w:type="character" w:styleId="1096" w:customStyle="1">
    <w:name w:val="图片 Char"/>
    <w:qFormat/>
    <w:rPr>
      <w:sz w:val="20"/>
    </w:rPr>
  </w:style>
  <w:style w:type="character" w:styleId="1097" w:customStyle="1">
    <w:name w:val="标书正文 Char"/>
    <w:qFormat/>
    <w:rPr>
      <w:sz w:val="20"/>
    </w:rPr>
  </w:style>
  <w:style w:type="character" w:styleId="1098" w:customStyle="1">
    <w:name w:val="批注文字 字符"/>
    <w:qFormat/>
    <w:rPr>
      <w:sz w:val="20"/>
    </w:rPr>
  </w:style>
  <w:style w:type="character" w:styleId="1099" w:customStyle="1">
    <w:name w:val="正文文本 2 Char1"/>
    <w:semiHidden/>
    <w:qFormat/>
    <w:rPr>
      <w:sz w:val="20"/>
    </w:rPr>
  </w:style>
  <w:style w:type="character" w:styleId="1100" w:customStyle="1">
    <w:name w:val="纯文本 Char"/>
    <w:qFormat/>
    <w:rPr>
      <w:sz w:val="20"/>
    </w:rPr>
  </w:style>
  <w:style w:type="character" w:styleId="1101" w:customStyle="1">
    <w:name w:val="标题 2 Char1"/>
    <w:semiHidden/>
    <w:qFormat/>
    <w:rPr>
      <w:b/>
      <w:sz w:val="20"/>
    </w:rPr>
  </w:style>
  <w:style w:type="character" w:styleId="1102" w:customStyle="1">
    <w:name w:val="标题 4 Char"/>
    <w:qFormat/>
    <w:rPr>
      <w:b/>
      <w:sz w:val="20"/>
    </w:rPr>
  </w:style>
  <w:style w:type="character" w:styleId="1103" w:customStyle="1">
    <w:name w:val="超级链接"/>
    <w:qFormat/>
    <w:rPr>
      <w:color w:val="0000ff"/>
      <w:sz w:val="20"/>
      <w:u w:val="single"/>
    </w:rPr>
  </w:style>
  <w:style w:type="character" w:styleId="1104" w:customStyle="1">
    <w:name w:val="1ji Char"/>
    <w:qFormat/>
    <w:rPr>
      <w:b/>
      <w:sz w:val="20"/>
    </w:rPr>
  </w:style>
  <w:style w:type="character" w:styleId="1105" w:customStyle="1">
    <w:name w:val="表格文字图表文字 Char Char"/>
    <w:qFormat/>
    <w:rPr>
      <w:sz w:val="20"/>
    </w:rPr>
  </w:style>
  <w:style w:type="character" w:styleId="1106" w:customStyle="1">
    <w:name w:val="case31"/>
    <w:qFormat/>
    <w:rPr>
      <w:sz w:val="20"/>
    </w:rPr>
  </w:style>
  <w:style w:type="character" w:styleId="1107" w:customStyle="1">
    <w:name w:val="链接"/>
    <w:qFormat/>
    <w:rPr>
      <w:color w:val="0000ff"/>
      <w:sz w:val="20"/>
      <w:u w:val="single"/>
    </w:rPr>
  </w:style>
  <w:style w:type="character" w:styleId="1108" w:customStyle="1">
    <w:name w:val="标准文本 Char Char"/>
    <w:qFormat/>
    <w:rPr>
      <w:sz w:val="20"/>
    </w:rPr>
  </w:style>
  <w:style w:type="character" w:styleId="1109" w:customStyle="1">
    <w:name w:val="标题 7 Char"/>
    <w:qFormat/>
    <w:rPr>
      <w:b/>
      <w:sz w:val="20"/>
    </w:rPr>
  </w:style>
  <w:style w:type="character" w:styleId="1110" w:customStyle="1">
    <w:name w:val="文档结构图 Char"/>
    <w:qFormat/>
    <w:rPr>
      <w:sz w:val="20"/>
    </w:rPr>
  </w:style>
  <w:style w:type="character" w:styleId="1111" w:customStyle="1">
    <w:name w:val="标题 5 Char1"/>
    <w:semiHidden/>
    <w:qFormat/>
    <w:rPr>
      <w:b/>
      <w:sz w:val="20"/>
    </w:rPr>
  </w:style>
  <w:style w:type="character" w:styleId="1112" w:customStyle="1">
    <w:name w:val="图片 Char Char"/>
    <w:qFormat/>
    <w:rPr>
      <w:sz w:val="20"/>
    </w:rPr>
  </w:style>
  <w:style w:type="character" w:styleId="1113" w:customStyle="1">
    <w:name w:val="txt"/>
    <w:qFormat/>
    <w:rPr>
      <w:sz w:val="20"/>
    </w:rPr>
  </w:style>
  <w:style w:type="character" w:styleId="1114" w:customStyle="1">
    <w:name w:val="样式2 Char"/>
    <w:qFormat/>
    <w:rPr>
      <w:b/>
      <w:sz w:val="20"/>
    </w:rPr>
  </w:style>
  <w:style w:type="character" w:styleId="1115" w:customStyle="1">
    <w:name w:val="宏文本 Char"/>
    <w:qFormat/>
    <w:rPr>
      <w:sz w:val="20"/>
    </w:rPr>
  </w:style>
  <w:style w:type="character" w:styleId="1116" w:customStyle="1">
    <w:name w:val="标题 3 Char1"/>
    <w:semiHidden/>
    <w:qFormat/>
    <w:rPr>
      <w:b/>
      <w:sz w:val="20"/>
      <w:u w:val="single"/>
    </w:rPr>
  </w:style>
  <w:style w:type="character" w:styleId="1117" w:customStyle="1">
    <w:name w:val="_Style 336"/>
    <w:qFormat/>
    <w:rPr>
      <w:i/>
      <w:color w:val="auto"/>
      <w:sz w:val="21"/>
    </w:rPr>
  </w:style>
  <w:style w:type="character" w:styleId="1118" w:customStyle="1">
    <w:name w:val="脚注文本 Char"/>
    <w:qFormat/>
    <w:rPr>
      <w:sz w:val="20"/>
    </w:rPr>
  </w:style>
  <w:style w:type="character" w:styleId="1119" w:customStyle="1">
    <w:name w:val="正文首行缩进 Char"/>
    <w:qFormat/>
    <w:rPr>
      <w:sz w:val="20"/>
    </w:rPr>
  </w:style>
  <w:style w:type="character" w:styleId="1120" w:customStyle="1">
    <w:name w:val="题注 Char"/>
    <w:qFormat/>
    <w:rPr>
      <w:sz w:val="20"/>
    </w:rPr>
  </w:style>
  <w:style w:type="character" w:styleId="1121" w:customStyle="1">
    <w:name w:val="正文文本缩进 Char1"/>
    <w:semiHidden/>
    <w:qFormat/>
    <w:rPr>
      <w:sz w:val="20"/>
    </w:rPr>
  </w:style>
  <w:style w:type="character" w:styleId="1122" w:customStyle="1">
    <w:name w:val="标题 4 Char1"/>
    <w:semiHidden/>
    <w:qFormat/>
    <w:rPr>
      <w:b/>
      <w:sz w:val="20"/>
    </w:rPr>
  </w:style>
  <w:style w:type="character" w:styleId="1123" w:customStyle="1">
    <w:name w:val="标题 5 Char"/>
    <w:qFormat/>
    <w:rPr>
      <w:b/>
      <w:sz w:val="20"/>
    </w:rPr>
  </w:style>
  <w:style w:type="character" w:styleId="1124" w:customStyle="1">
    <w:name w:val="HTML 预设格式 Char1"/>
    <w:qFormat/>
    <w:rPr>
      <w:sz w:val="20"/>
    </w:rPr>
  </w:style>
  <w:style w:type="character" w:styleId="1125" w:customStyle="1">
    <w:name w:val="表格用 Char"/>
    <w:qFormat/>
    <w:rPr>
      <w:color w:val="000000"/>
      <w:sz w:val="20"/>
    </w:rPr>
  </w:style>
  <w:style w:type="character" w:styleId="1126" w:customStyle="1">
    <w:name w:val="_Style 313"/>
    <w:qFormat/>
    <w:rPr>
      <w:b/>
      <w:i/>
      <w:sz w:val="21"/>
    </w:rPr>
  </w:style>
  <w:style w:type="character" w:styleId="1127" w:customStyle="1">
    <w:name w:val="表格文字（两侧对齐） Char Char"/>
    <w:qFormat/>
    <w:rPr>
      <w:sz w:val="20"/>
    </w:rPr>
  </w:style>
  <w:style w:type="character" w:styleId="1128" w:customStyle="1">
    <w:name w:val="Plain Text Char"/>
    <w:link w:val="1129"/>
    <w:qFormat/>
    <w:rPr>
      <w:rFonts w:ascii="宋体" w:hAnsi="Courier New" w:eastAsia="楷体_GB2312"/>
      <w:sz w:val="26"/>
    </w:rPr>
  </w:style>
  <w:style w:type="paragraph" w:styleId="1129" w:customStyle="1">
    <w:name w:val="纯文本1"/>
    <w:basedOn w:val="995"/>
    <w:link w:val="1128"/>
    <w:qFormat/>
    <w:pPr>
      <w:ind w:left="0"/>
      <w:widowControl w:val="off"/>
    </w:pPr>
    <w:rPr>
      <w:rFonts w:ascii="宋体" w:hAnsi="Courier New" w:eastAsia="楷体_GB2312"/>
      <w:sz w:val="26"/>
      <w:lang w:val="zh-CN"/>
    </w:rPr>
  </w:style>
  <w:style w:type="character" w:styleId="1130" w:customStyle="1">
    <w:name w:val="H 4 Char"/>
    <w:qFormat/>
    <w:rPr>
      <w:b/>
      <w:sz w:val="20"/>
    </w:rPr>
  </w:style>
  <w:style w:type="character" w:styleId="1131" w:customStyle="1">
    <w:name w:val="标准文本 Char"/>
    <w:qFormat/>
    <w:rPr>
      <w:sz w:val="20"/>
    </w:rPr>
  </w:style>
  <w:style w:type="character" w:styleId="1132" w:customStyle="1">
    <w:name w:val="18h1"/>
    <w:qFormat/>
    <w:rPr>
      <w:color w:val="3b3b3b"/>
      <w:sz w:val="20"/>
    </w:rPr>
  </w:style>
  <w:style w:type="character" w:styleId="1133" w:customStyle="1">
    <w:name w:val="正文文本缩进 3 Char1"/>
    <w:qFormat/>
    <w:rPr>
      <w:sz w:val="20"/>
    </w:rPr>
  </w:style>
  <w:style w:type="character" w:styleId="1134" w:customStyle="1">
    <w:name w:val="标题 1 Char1"/>
    <w:qFormat/>
    <w:rPr>
      <w:b/>
      <w:sz w:val="20"/>
    </w:rPr>
  </w:style>
  <w:style w:type="character" w:styleId="1135" w:customStyle="1">
    <w:name w:val="apple-style-span"/>
    <w:qFormat/>
    <w:rPr>
      <w:sz w:val="20"/>
    </w:rPr>
  </w:style>
  <w:style w:type="character" w:styleId="1136" w:customStyle="1">
    <w:name w:val="列表框1 Char Char"/>
    <w:qFormat/>
    <w:rPr>
      <w:sz w:val="20"/>
    </w:rPr>
  </w:style>
  <w:style w:type="character" w:styleId="1137" w:customStyle="1">
    <w:name w:val="批注主题 字符"/>
    <w:qFormat/>
    <w:rPr>
      <w:b/>
      <w:sz w:val="20"/>
    </w:rPr>
  </w:style>
  <w:style w:type="character" w:styleId="1138" w:customStyle="1">
    <w:name w:val="页脚 Char"/>
    <w:qFormat/>
    <w:rPr>
      <w:sz w:val="20"/>
    </w:rPr>
  </w:style>
  <w:style w:type="character" w:styleId="1139" w:customStyle="1">
    <w:name w:val="列出段落 Char"/>
    <w:qFormat/>
    <w:rPr>
      <w:sz w:val="20"/>
    </w:rPr>
  </w:style>
  <w:style w:type="character" w:styleId="1140" w:customStyle="1">
    <w:name w:val="正文文本 3 Char1"/>
    <w:semiHidden/>
    <w:qFormat/>
    <w:rPr>
      <w:sz w:val="20"/>
    </w:rPr>
  </w:style>
  <w:style w:type="character" w:styleId="1141" w:customStyle="1">
    <w:name w:val="尾注文本 Char"/>
    <w:qFormat/>
    <w:rPr>
      <w:sz w:val="20"/>
    </w:rPr>
  </w:style>
  <w:style w:type="character" w:styleId="1142" w:customStyle="1">
    <w:name w:val="正文文本 3 Char"/>
    <w:qFormat/>
    <w:rPr>
      <w:sz w:val="20"/>
    </w:rPr>
  </w:style>
  <w:style w:type="character" w:styleId="1143" w:customStyle="1">
    <w:name w:val="批注框文本 Char1"/>
    <w:semiHidden/>
    <w:qFormat/>
    <w:rPr>
      <w:sz w:val="20"/>
    </w:rPr>
  </w:style>
  <w:style w:type="character" w:styleId="1144" w:customStyle="1">
    <w:name w:val="H 3 Char"/>
    <w:qFormat/>
    <w:rPr>
      <w:b/>
      <w:sz w:val="20"/>
    </w:rPr>
  </w:style>
  <w:style w:type="character" w:styleId="1145" w:customStyle="1">
    <w:name w:val="apple-converted-space"/>
    <w:qFormat/>
    <w:rPr>
      <w:sz w:val="20"/>
    </w:rPr>
  </w:style>
  <w:style w:type="character" w:styleId="1146" w:customStyle="1">
    <w:name w:val="正文文本 Char1"/>
    <w:semiHidden/>
    <w:qFormat/>
    <w:rPr>
      <w:sz w:val="20"/>
    </w:rPr>
  </w:style>
  <w:style w:type="character" w:styleId="1147" w:customStyle="1">
    <w:name w:val="标题 7 Char1"/>
    <w:semiHidden/>
    <w:qFormat/>
    <w:rPr>
      <w:b/>
      <w:sz w:val="20"/>
    </w:rPr>
  </w:style>
  <w:style w:type="character" w:styleId="1148" w:customStyle="1">
    <w:name w:val="_Style 376"/>
    <w:qFormat/>
    <w:rPr>
      <w:b/>
      <w:color w:val="auto"/>
      <w:sz w:val="21"/>
    </w:rPr>
  </w:style>
  <w:style w:type="character" w:styleId="1149" w:customStyle="1">
    <w:name w:val="批注主题 Char"/>
    <w:qFormat/>
    <w:rPr>
      <w:b/>
      <w:sz w:val="20"/>
    </w:rPr>
  </w:style>
  <w:style w:type="character" w:styleId="1150" w:customStyle="1">
    <w:name w:val="表格 Char"/>
    <w:qFormat/>
    <w:rPr>
      <w:color w:val="000000"/>
      <w:sz w:val="20"/>
    </w:rPr>
  </w:style>
  <w:style w:type="character" w:styleId="1151" w:customStyle="1">
    <w:name w:val="正文文本缩进 2 Char1"/>
    <w:semiHidden/>
    <w:qFormat/>
    <w:rPr>
      <w:sz w:val="20"/>
    </w:rPr>
  </w:style>
  <w:style w:type="character" w:styleId="1152" w:customStyle="1">
    <w:name w:val="正文文本 2 Char"/>
    <w:qFormat/>
    <w:rPr>
      <w:sz w:val="20"/>
    </w:rPr>
  </w:style>
  <w:style w:type="character" w:styleId="1153" w:customStyle="1">
    <w:name w:val="para1"/>
    <w:qFormat/>
    <w:rPr>
      <w:sz w:val="20"/>
    </w:rPr>
  </w:style>
  <w:style w:type="character" w:styleId="1154" w:customStyle="1">
    <w:name w:val="标题 8 Char"/>
    <w:qFormat/>
    <w:rPr>
      <w:sz w:val="20"/>
    </w:rPr>
  </w:style>
  <w:style w:type="character" w:styleId="1155" w:customStyle="1">
    <w:name w:val="批注框文本 Char"/>
    <w:qFormat/>
    <w:rPr>
      <w:sz w:val="20"/>
    </w:rPr>
  </w:style>
  <w:style w:type="character" w:styleId="1156" w:customStyle="1">
    <w:name w:val="样式 首行缩进:  2 字符 Char1"/>
    <w:qFormat/>
    <w:rPr>
      <w:sz w:val="20"/>
    </w:rPr>
  </w:style>
  <w:style w:type="character" w:styleId="1157" w:customStyle="1">
    <w:name w:val="Char Char12"/>
    <w:qFormat/>
    <w:rPr>
      <w:sz w:val="20"/>
    </w:rPr>
  </w:style>
  <w:style w:type="character" w:styleId="1158" w:customStyle="1">
    <w:name w:val="_Style 337"/>
    <w:qFormat/>
    <w:rPr>
      <w:color w:val="auto"/>
      <w:sz w:val="21"/>
    </w:rPr>
  </w:style>
  <w:style w:type="character" w:styleId="1159" w:customStyle="1">
    <w:name w:val="批注文字 Char"/>
    <w:qFormat/>
    <w:rPr>
      <w:sz w:val="20"/>
    </w:rPr>
  </w:style>
  <w:style w:type="character" w:styleId="1160" w:customStyle="1">
    <w:name w:val="插图 Char Char"/>
    <w:qFormat/>
    <w:rPr>
      <w:sz w:val="20"/>
    </w:rPr>
  </w:style>
  <w:style w:type="character" w:styleId="1161" w:customStyle="1">
    <w:name w:val="Char Char2"/>
    <w:qFormat/>
    <w:rPr>
      <w:sz w:val="20"/>
    </w:rPr>
  </w:style>
  <w:style w:type="character" w:styleId="1162" w:customStyle="1">
    <w:name w:val="项目符0 Char"/>
    <w:qFormat/>
    <w:rPr>
      <w:sz w:val="20"/>
    </w:rPr>
  </w:style>
  <w:style w:type="character" w:styleId="1163" w:customStyle="1">
    <w:name w:val="页眉 Char"/>
    <w:qFormat/>
    <w:rPr>
      <w:sz w:val="20"/>
    </w:rPr>
  </w:style>
  <w:style w:type="character" w:styleId="1164" w:customStyle="1">
    <w:name w:val="页码1"/>
    <w:qFormat/>
    <w:rPr>
      <w:sz w:val="20"/>
    </w:rPr>
  </w:style>
  <w:style w:type="character" w:styleId="1165" w:customStyle="1">
    <w:name w:val="文档结构图 Char1"/>
    <w:semiHidden/>
    <w:qFormat/>
    <w:rPr>
      <w:sz w:val="20"/>
    </w:rPr>
  </w:style>
  <w:style w:type="character" w:styleId="1166" w:customStyle="1">
    <w:name w:val="HTML 预设格式 Char"/>
    <w:qFormat/>
    <w:rPr>
      <w:sz w:val="20"/>
    </w:rPr>
  </w:style>
  <w:style w:type="character" w:styleId="1167" w:customStyle="1">
    <w:name w:val="应答文本 Char Char"/>
    <w:qFormat/>
    <w:rPr>
      <w:sz w:val="20"/>
    </w:rPr>
  </w:style>
  <w:style w:type="character" w:styleId="1168" w:customStyle="1">
    <w:name w:val="Char Char13"/>
    <w:qFormat/>
    <w:rPr>
      <w:sz w:val="20"/>
    </w:rPr>
  </w:style>
  <w:style w:type="character" w:styleId="1169" w:customStyle="1">
    <w:name w:val="页脚 Char1"/>
    <w:semiHidden/>
    <w:qFormat/>
    <w:rPr>
      <w:sz w:val="20"/>
    </w:rPr>
  </w:style>
  <w:style w:type="character" w:styleId="1170" w:customStyle="1">
    <w:name w:val="表格 Char Char"/>
    <w:qFormat/>
    <w:rPr>
      <w:sz w:val="20"/>
    </w:rPr>
  </w:style>
  <w:style w:type="character" w:styleId="1171" w:customStyle="1">
    <w:name w:val="标题 9 Char"/>
    <w:qFormat/>
    <w:rPr>
      <w:sz w:val="20"/>
    </w:rPr>
  </w:style>
  <w:style w:type="character" w:styleId="1172" w:customStyle="1">
    <w:name w:val="Char Char3"/>
    <w:qFormat/>
    <w:rPr>
      <w:sz w:val="20"/>
    </w:rPr>
  </w:style>
  <w:style w:type="character" w:styleId="1173" w:customStyle="1">
    <w:name w:val="日期 Char1"/>
    <w:qFormat/>
    <w:rPr>
      <w:sz w:val="20"/>
    </w:rPr>
  </w:style>
  <w:style w:type="character" w:styleId="1174" w:customStyle="1">
    <w:name w:val="批注主题 Char1"/>
    <w:semiHidden/>
    <w:qFormat/>
    <w:rPr>
      <w:b/>
      <w:sz w:val="20"/>
    </w:rPr>
  </w:style>
  <w:style w:type="character" w:styleId="1175" w:customStyle="1">
    <w:name w:val="标题 1 Char"/>
    <w:qFormat/>
    <w:rPr>
      <w:b/>
      <w:sz w:val="20"/>
    </w:rPr>
  </w:style>
  <w:style w:type="paragraph" w:styleId="1176" w:customStyle="1">
    <w:name w:val="正文文本缩进 31"/>
    <w:basedOn w:val="996"/>
    <w:next w:val="1177"/>
    <w:qFormat/>
    <w:pPr>
      <w:ind w:left="1200" w:firstLine="1248"/>
      <w:spacing w:before="120" w:after="0" w:line="22" w:lineRule="atLeast"/>
    </w:pPr>
  </w:style>
  <w:style w:type="paragraph" w:styleId="1177" w:customStyle="1">
    <w:name w:val="样式 正文首行缩进 + 首行缩进:  2 字符5"/>
    <w:next w:val="1178"/>
    <w:qFormat/>
    <w:pPr>
      <w:ind w:left="200" w:firstLine="3784"/>
      <w:spacing w:line="300" w:lineRule="auto"/>
    </w:pPr>
    <w:rPr>
      <w:rFonts w:ascii="Calibri" w:hAnsi="Calibri"/>
    </w:rPr>
  </w:style>
  <w:style w:type="paragraph" w:styleId="1178" w:customStyle="1">
    <w:name w:val="Char2"/>
    <w:basedOn w:val="996"/>
    <w:next w:val="1179"/>
    <w:qFormat/>
    <w:pPr>
      <w:ind w:left="0" w:firstLine="3584"/>
      <w:spacing w:before="0" w:after="160" w:line="240" w:lineRule="exact"/>
    </w:pPr>
  </w:style>
  <w:style w:type="paragraph" w:styleId="1179" w:customStyle="1">
    <w:name w:val="Bullet"/>
    <w:next w:val="1180"/>
    <w:qFormat/>
    <w:pPr>
      <w:ind w:left="567" w:right="2835" w:firstLine="3584"/>
      <w:spacing w:after="60"/>
    </w:pPr>
    <w:rPr>
      <w:rFonts w:ascii="Calibri" w:hAnsi="Calibri"/>
    </w:rPr>
  </w:style>
  <w:style w:type="paragraph" w:styleId="1180" w:customStyle="1">
    <w:name w:val="Char Char Char Char"/>
    <w:next w:val="1181"/>
    <w:qFormat/>
    <w:pPr>
      <w:ind w:firstLine="10"/>
      <w:spacing w:line="360" w:lineRule="auto"/>
      <w:shd w:val="clear" w:color="000000" w:fill="000080"/>
    </w:pPr>
    <w:rPr>
      <w:rFonts w:ascii="Calibri" w:hAnsi="Calibri"/>
    </w:rPr>
  </w:style>
  <w:style w:type="paragraph" w:styleId="1181" w:customStyle="1">
    <w:name w:val="杨昂超式样黑体主"/>
    <w:basedOn w:val="996"/>
    <w:next w:val="1182"/>
    <w:qFormat/>
    <w:pPr>
      <w:ind w:left="0" w:firstLine="4608"/>
      <w:spacing w:before="0" w:after="0" w:line="240" w:lineRule="auto"/>
    </w:pPr>
  </w:style>
  <w:style w:type="paragraph" w:styleId="1182" w:customStyle="1">
    <w:name w:val="Char Char Char Char Char Char1 Char Char Char Char Char Char Char Char Char Char"/>
    <w:basedOn w:val="996"/>
    <w:next w:val="1183"/>
    <w:qFormat/>
    <w:pPr>
      <w:ind w:left="0" w:firstLine="2560"/>
      <w:spacing w:before="0" w:after="0" w:line="240" w:lineRule="auto"/>
    </w:pPr>
  </w:style>
  <w:style w:type="paragraph" w:styleId="1183" w:customStyle="1">
    <w:name w:val="目录1"/>
    <w:basedOn w:val="996"/>
    <w:next w:val="995"/>
    <w:qFormat/>
    <w:pPr>
      <w:ind w:left="0" w:firstLine="7168"/>
      <w:spacing w:before="0" w:after="136" w:line="289" w:lineRule="atLeast"/>
    </w:pPr>
  </w:style>
  <w:style w:type="paragraph" w:styleId="1184" w:customStyle="1">
    <w:name w:val="插图"/>
    <w:next w:val="995"/>
    <w:qFormat/>
    <w:pPr>
      <w:ind w:firstLine="4608"/>
      <w:jc w:val="center"/>
    </w:pPr>
    <w:rPr>
      <w:rFonts w:ascii="Calibri" w:hAnsi="Calibri"/>
    </w:rPr>
  </w:style>
  <w:style w:type="paragraph" w:styleId="1185" w:customStyle="1">
    <w:name w:val="正文符号4"/>
    <w:basedOn w:val="996"/>
    <w:next w:val="1186"/>
    <w:qFormat/>
    <w:pPr>
      <w:ind w:left="0" w:firstLine="5632"/>
      <w:spacing w:before="0" w:after="0" w:line="240" w:lineRule="auto"/>
    </w:pPr>
  </w:style>
  <w:style w:type="paragraph" w:styleId="1186" w:customStyle="1">
    <w:name w:val="样式 加粗 居中"/>
    <w:basedOn w:val="996"/>
    <w:next w:val="1187"/>
    <w:qFormat/>
    <w:pPr>
      <w:ind w:left="0" w:firstLine="2560"/>
      <w:jc w:val="center"/>
      <w:spacing w:before="0" w:after="0" w:line="360" w:lineRule="auto"/>
    </w:pPr>
  </w:style>
  <w:style w:type="paragraph" w:styleId="1187" w:customStyle="1">
    <w:name w:val="_Style 12"/>
    <w:next w:val="1188"/>
    <w:qFormat/>
    <w:pPr>
      <w:ind w:firstLine="14"/>
      <w:spacing w:line="360" w:lineRule="auto"/>
      <w:shd w:val="clear" w:color="000000" w:fill="000080"/>
    </w:pPr>
    <w:rPr>
      <w:rFonts w:ascii="Calibri" w:hAnsi="Calibri"/>
    </w:rPr>
  </w:style>
  <w:style w:type="paragraph" w:styleId="1188" w:customStyle="1">
    <w:name w:val="正文文本缩进1"/>
    <w:basedOn w:val="996"/>
    <w:next w:val="1189"/>
    <w:qFormat/>
    <w:pPr>
      <w:ind w:left="420" w:firstLine="3584"/>
      <w:spacing w:before="0" w:after="120" w:line="240" w:lineRule="auto"/>
    </w:pPr>
  </w:style>
  <w:style w:type="paragraph" w:styleId="1189" w:customStyle="1">
    <w:name w:val="列表编号 31"/>
    <w:basedOn w:val="996"/>
    <w:next w:val="1051"/>
    <w:qFormat/>
    <w:pPr>
      <w:ind w:left="1200" w:firstLine="2712"/>
      <w:spacing w:before="0" w:after="0" w:line="360" w:lineRule="auto"/>
    </w:pPr>
  </w:style>
  <w:style w:type="paragraph" w:styleId="1190" w:customStyle="1">
    <w:name w:val="xl70"/>
    <w:basedOn w:val="996"/>
    <w:next w:val="1049"/>
    <w:qFormat/>
    <w:pPr>
      <w:ind w:left="0" w:firstLine="1024"/>
      <w:spacing w:before="280" w:after="280" w:line="240" w:lineRule="auto"/>
    </w:pPr>
  </w:style>
  <w:style w:type="paragraph" w:styleId="1191" w:customStyle="1">
    <w:name w:val="应答文本"/>
    <w:basedOn w:val="996"/>
    <w:next w:val="1192"/>
    <w:qFormat/>
    <w:pPr>
      <w:ind w:left="1296" w:firstLine="2112"/>
      <w:spacing w:before="0" w:after="0" w:line="460" w:lineRule="exact"/>
    </w:pPr>
  </w:style>
  <w:style w:type="paragraph" w:styleId="1192" w:customStyle="1">
    <w:name w:val="引文目录1"/>
    <w:basedOn w:val="996"/>
    <w:next w:val="995"/>
    <w:qFormat/>
    <w:pPr>
      <w:ind w:left="420" w:firstLine="2560"/>
      <w:jc w:val="center"/>
      <w:spacing w:before="0" w:after="0" w:line="360" w:lineRule="auto"/>
    </w:pPr>
  </w:style>
  <w:style w:type="paragraph" w:styleId="1193" w:customStyle="1">
    <w:name w:val="索引标题1"/>
    <w:basedOn w:val="996"/>
    <w:next w:val="1194"/>
    <w:qFormat/>
    <w:pPr>
      <w:ind w:left="0" w:firstLine="4608"/>
      <w:jc w:val="center"/>
      <w:spacing w:before="0" w:after="0" w:line="360" w:lineRule="auto"/>
    </w:pPr>
  </w:style>
  <w:style w:type="paragraph" w:styleId="1194" w:customStyle="1">
    <w:name w:val="xl90"/>
    <w:basedOn w:val="996"/>
    <w:next w:val="1195"/>
    <w:qFormat/>
    <w:pPr>
      <w:ind w:left="0" w:firstLine="3584"/>
      <w:spacing w:before="280" w:after="280" w:line="240" w:lineRule="auto"/>
    </w:pPr>
  </w:style>
  <w:style w:type="paragraph" w:styleId="1195" w:customStyle="1">
    <w:name w:val="列表框1"/>
    <w:next w:val="1192"/>
    <w:qFormat/>
    <w:pPr>
      <w:ind w:firstLine="2048"/>
      <w:spacing w:line="460" w:lineRule="exact"/>
    </w:pPr>
    <w:rPr>
      <w:rFonts w:ascii="Calibri" w:hAnsi="Calibri"/>
    </w:rPr>
  </w:style>
  <w:style w:type="paragraph" w:styleId="1196" w:customStyle="1">
    <w:name w:val="xl28"/>
    <w:basedOn w:val="996"/>
    <w:next w:val="1197"/>
    <w:qFormat/>
    <w:pPr>
      <w:ind w:left="0" w:firstLine="20"/>
      <w:spacing w:before="280" w:after="280" w:line="240" w:lineRule="auto"/>
      <w:shd w:val="clear" w:color="000000" w:fill="ffffff"/>
    </w:pPr>
  </w:style>
  <w:style w:type="paragraph" w:styleId="1197" w:customStyle="1">
    <w:name w:val="HTML 预设格式1"/>
    <w:basedOn w:val="996"/>
    <w:next w:val="1198"/>
    <w:qFormat/>
    <w:pPr>
      <w:ind w:left="0" w:firstLine="3584"/>
      <w:spacing w:before="0" w:after="0" w:line="253" w:lineRule="atLeast"/>
    </w:pPr>
  </w:style>
  <w:style w:type="paragraph" w:styleId="1198" w:customStyle="1">
    <w:name w:val="项目符号：一级"/>
    <w:basedOn w:val="996"/>
    <w:next w:val="995"/>
    <w:qFormat/>
    <w:pPr>
      <w:ind w:left="425" w:firstLine="1111"/>
      <w:spacing w:before="0" w:after="0" w:line="360" w:lineRule="auto"/>
    </w:pPr>
  </w:style>
  <w:style w:type="paragraph" w:styleId="1199" w:customStyle="1">
    <w:name w:val="四号 居中"/>
    <w:basedOn w:val="996"/>
    <w:next w:val="1200"/>
    <w:qFormat/>
    <w:pPr>
      <w:ind w:left="0" w:firstLine="6144"/>
      <w:jc w:val="center"/>
      <w:spacing w:before="0" w:after="0" w:line="360" w:lineRule="auto"/>
    </w:pPr>
  </w:style>
  <w:style w:type="paragraph" w:styleId="1200" w:customStyle="1">
    <w:name w:val="Char Char Char Char Char Char1 Char Char Char1 Char Char Char Char Char Char"/>
    <w:basedOn w:val="996"/>
    <w:next w:val="1201"/>
    <w:qFormat/>
    <w:pPr>
      <w:ind w:left="0" w:firstLine="2560"/>
      <w:spacing w:before="0" w:after="0" w:line="240" w:lineRule="auto"/>
    </w:pPr>
  </w:style>
  <w:style w:type="paragraph" w:styleId="1201" w:customStyle="1">
    <w:name w:val="样式 标题 3 + (西文) 黑体 (中文) 黑体 (符号) 宋体 小四 段前: 5 磅 段后: 5 磅 行距: 1..."/>
    <w:basedOn w:val="999"/>
    <w:next w:val="1202"/>
    <w:qFormat/>
    <w:pPr>
      <w:ind w:left="1429" w:firstLine="18"/>
      <w:spacing w:before="100" w:after="100" w:line="360" w:lineRule="auto"/>
      <w:outlineLvl w:val="2"/>
    </w:pPr>
  </w:style>
  <w:style w:type="paragraph" w:styleId="1202" w:customStyle="1">
    <w:name w:val="xl22"/>
    <w:basedOn w:val="996"/>
    <w:next w:val="1203"/>
    <w:qFormat/>
    <w:pPr>
      <w:ind w:left="0" w:firstLine="20"/>
      <w:jc w:val="right"/>
      <w:spacing w:before="280" w:after="280" w:line="240" w:lineRule="auto"/>
      <w:shd w:val="clear" w:color="000000" w:fill="ffffff"/>
    </w:pPr>
  </w:style>
  <w:style w:type="paragraph" w:styleId="1203" w:customStyle="1">
    <w:name w:val="自定义一"/>
    <w:basedOn w:val="996"/>
    <w:next w:val="995"/>
    <w:qFormat/>
    <w:pPr>
      <w:ind w:left="0"/>
      <w:spacing w:before="0" w:after="0" w:line="360" w:lineRule="auto"/>
    </w:pPr>
  </w:style>
  <w:style w:type="paragraph" w:styleId="1204" w:customStyle="1">
    <w:name w:val="_Style 224"/>
    <w:next w:val="1205"/>
    <w:semiHidden/>
    <w:qFormat/>
    <w:pPr>
      <w:ind w:firstLine="3584"/>
    </w:pPr>
    <w:rPr>
      <w:rFonts w:ascii="Calibri" w:hAnsi="Calibri"/>
    </w:rPr>
  </w:style>
  <w:style w:type="paragraph" w:styleId="1205" w:customStyle="1">
    <w:name w:val="编号1"/>
    <w:basedOn w:val="996"/>
    <w:next w:val="1206"/>
    <w:qFormat/>
    <w:pPr>
      <w:ind w:left="360" w:right="210" w:firstLine="2200"/>
      <w:spacing w:before="0" w:after="0" w:line="240" w:lineRule="auto"/>
    </w:pPr>
  </w:style>
  <w:style w:type="paragraph" w:styleId="1206" w:customStyle="1">
    <w:name w:val="图片"/>
    <w:basedOn w:val="996"/>
    <w:next w:val="1207"/>
    <w:qFormat/>
    <w:pPr>
      <w:ind w:left="-283" w:firstLine="2674"/>
      <w:jc w:val="center"/>
      <w:spacing w:before="0" w:after="0" w:line="360" w:lineRule="auto"/>
    </w:pPr>
  </w:style>
  <w:style w:type="paragraph" w:styleId="1207" w:customStyle="1">
    <w:name w:val="样式 目录 3 + 左侧:  2 字符"/>
    <w:next w:val="1047"/>
    <w:qFormat/>
    <w:pPr>
      <w:ind w:left="400" w:firstLine="5120"/>
      <w:spacing w:line="360" w:lineRule="auto"/>
      <w:widowControl w:val="off"/>
    </w:pPr>
    <w:rPr>
      <w:rFonts w:ascii="Calibri" w:hAnsi="Calibri"/>
    </w:rPr>
  </w:style>
  <w:style w:type="paragraph" w:styleId="1208" w:customStyle="1">
    <w:name w:val="列出段落2"/>
    <w:basedOn w:val="996"/>
    <w:next w:val="1176"/>
    <w:qFormat/>
    <w:pPr>
      <w:ind w:left="420" w:firstLine="3748"/>
      <w:spacing w:before="0" w:after="0" w:line="240" w:lineRule="auto"/>
    </w:pPr>
  </w:style>
  <w:style w:type="paragraph" w:styleId="1209" w:customStyle="1">
    <w:name w:val="Char Char Char Char Char Char1 Char Char Char1 Char"/>
    <w:basedOn w:val="996"/>
    <w:next w:val="1185"/>
    <w:qFormat/>
    <w:pPr>
      <w:ind w:left="0" w:firstLine="2560"/>
      <w:spacing w:before="0" w:after="0" w:line="240" w:lineRule="auto"/>
    </w:pPr>
  </w:style>
  <w:style w:type="paragraph" w:styleId="1210" w:customStyle="1">
    <w:name w:val="列出段落11"/>
    <w:basedOn w:val="996"/>
    <w:next w:val="1211"/>
    <w:qFormat/>
    <w:pPr>
      <w:ind w:left="420" w:firstLine="3748"/>
      <w:spacing w:before="0" w:after="0" w:line="240" w:lineRule="auto"/>
    </w:pPr>
  </w:style>
  <w:style w:type="paragraph" w:styleId="1211" w:customStyle="1">
    <w:name w:val="样式 标题 2 + (西文) 宋体 非加粗 居中"/>
    <w:basedOn w:val="998"/>
    <w:next w:val="1212"/>
    <w:qFormat/>
    <w:pPr>
      <w:ind w:left="0" w:firstLine="24"/>
      <w:jc w:val="center"/>
      <w:spacing w:line="412" w:lineRule="auto"/>
      <w:outlineLvl w:val="1"/>
    </w:pPr>
  </w:style>
  <w:style w:type="paragraph" w:styleId="1212" w:customStyle="1">
    <w:name w:val="页脚 Char Char"/>
    <w:basedOn w:val="996"/>
    <w:next w:val="1213"/>
    <w:qFormat/>
    <w:pPr>
      <w:ind w:left="0" w:firstLine="5120"/>
      <w:spacing w:before="0" w:after="0" w:line="240" w:lineRule="auto"/>
    </w:pPr>
  </w:style>
  <w:style w:type="paragraph" w:styleId="1213" w:customStyle="1">
    <w:name w:val="样式 标题 1 + 段前: 16 磅 段后: 16 磅"/>
    <w:basedOn w:val="997"/>
    <w:next w:val="1214"/>
    <w:qFormat/>
    <w:pPr>
      <w:ind w:left="0" w:firstLine="18"/>
      <w:jc w:val="center"/>
      <w:spacing w:before="120" w:after="0" w:line="360" w:lineRule="auto"/>
      <w:outlineLvl w:val="0"/>
    </w:pPr>
  </w:style>
  <w:style w:type="paragraph" w:styleId="1214" w:customStyle="1">
    <w:name w:val="Char1 Char Char Char Char Char Char"/>
    <w:basedOn w:val="996"/>
    <w:next w:val="1215"/>
    <w:qFormat/>
    <w:pPr>
      <w:ind w:left="0" w:firstLine="2560"/>
      <w:spacing w:before="0" w:after="0" w:line="240" w:lineRule="auto"/>
    </w:pPr>
  </w:style>
  <w:style w:type="paragraph" w:styleId="1215" w:customStyle="1">
    <w:name w:val="文档标题4"/>
    <w:basedOn w:val="1000"/>
    <w:next w:val="995"/>
    <w:qFormat/>
    <w:pPr>
      <w:ind w:left="851" w:firstLine="30"/>
      <w:spacing w:after="280" w:line="360" w:lineRule="auto"/>
      <w:outlineLvl w:val="3"/>
    </w:pPr>
  </w:style>
  <w:style w:type="paragraph" w:styleId="1216" w:customStyle="1">
    <w:name w:val="Char Char Char Char Char Char Char Char"/>
    <w:next w:val="1217"/>
    <w:qFormat/>
    <w:pPr>
      <w:ind w:firstLine="14"/>
      <w:jc w:val="both"/>
      <w:shd w:val="clear" w:color="000000" w:fill="000080"/>
      <w:widowControl w:val="off"/>
    </w:pPr>
    <w:rPr>
      <w:rFonts w:ascii="Calibri" w:hAnsi="Calibri"/>
    </w:rPr>
  </w:style>
  <w:style w:type="paragraph" w:styleId="1217" w:customStyle="1">
    <w:name w:val="Char Char Char Char Char Char1 Char Char Char1 Char Char Char Char Char Char Char Char Char Char Char Char Char Char Char"/>
    <w:basedOn w:val="996"/>
    <w:next w:val="1218"/>
    <w:qFormat/>
    <w:pPr>
      <w:ind w:left="0" w:firstLine="2560"/>
      <w:spacing w:before="0" w:after="0" w:line="240" w:lineRule="auto"/>
    </w:pPr>
  </w:style>
  <w:style w:type="paragraph" w:styleId="1218" w:customStyle="1">
    <w:name w:val="样式1"/>
    <w:basedOn w:val="996"/>
    <w:next w:val="1219"/>
    <w:qFormat/>
    <w:pPr>
      <w:ind w:left="0" w:firstLine="1536"/>
      <w:spacing w:before="120" w:after="120" w:line="300" w:lineRule="auto"/>
    </w:pPr>
  </w:style>
  <w:style w:type="paragraph" w:styleId="1219" w:customStyle="1">
    <w:name w:val="索引 41"/>
    <w:basedOn w:val="996"/>
    <w:next w:val="995"/>
    <w:qFormat/>
    <w:pPr>
      <w:ind w:left="600" w:firstLine="2560"/>
      <w:jc w:val="center"/>
      <w:spacing w:before="0" w:after="0" w:line="360" w:lineRule="auto"/>
    </w:pPr>
  </w:style>
  <w:style w:type="paragraph" w:styleId="1220" w:customStyle="1">
    <w:name w:val="索引 61"/>
    <w:basedOn w:val="996"/>
    <w:next w:val="995"/>
    <w:qFormat/>
    <w:pPr>
      <w:ind w:left="1000" w:firstLine="2560"/>
      <w:jc w:val="center"/>
      <w:spacing w:before="0" w:after="0" w:line="360" w:lineRule="auto"/>
    </w:pPr>
  </w:style>
  <w:style w:type="paragraph" w:styleId="1221" w:customStyle="1">
    <w:name w:val="图表"/>
    <w:basedOn w:val="996"/>
    <w:next w:val="1222"/>
    <w:qFormat/>
    <w:pPr>
      <w:ind w:left="0" w:firstLine="2048"/>
      <w:jc w:val="center"/>
      <w:spacing w:before="0" w:after="0" w:line="240" w:lineRule="auto"/>
    </w:pPr>
  </w:style>
  <w:style w:type="paragraph" w:styleId="1222" w:customStyle="1">
    <w:name w:val="reader-word-layer"/>
    <w:basedOn w:val="996"/>
    <w:next w:val="1223"/>
    <w:qFormat/>
    <w:pPr>
      <w:ind w:left="0" w:firstLine="1024"/>
      <w:spacing w:before="280" w:after="280" w:line="240" w:lineRule="auto"/>
    </w:pPr>
  </w:style>
  <w:style w:type="paragraph" w:styleId="1223" w:customStyle="1">
    <w:name w:val="样式 加粗 居中1"/>
    <w:next w:val="1224"/>
    <w:qFormat/>
    <w:pPr>
      <w:ind w:firstLine="2560"/>
      <w:jc w:val="center"/>
    </w:pPr>
    <w:rPr>
      <w:rFonts w:ascii="Calibri" w:hAnsi="Calibri"/>
    </w:rPr>
  </w:style>
  <w:style w:type="paragraph" w:styleId="1224" w:customStyle="1">
    <w:name w:val="xl65"/>
    <w:basedOn w:val="996"/>
    <w:next w:val="1225"/>
    <w:qFormat/>
    <w:pPr>
      <w:ind w:left="0" w:firstLine="5120"/>
      <w:spacing w:before="280" w:after="280" w:line="240" w:lineRule="auto"/>
    </w:pPr>
  </w:style>
  <w:style w:type="paragraph" w:styleId="1225" w:customStyle="1">
    <w:name w:val="节标题"/>
    <w:basedOn w:val="996"/>
    <w:next w:val="1226"/>
    <w:qFormat/>
    <w:pPr>
      <w:ind w:left="0" w:firstLine="5120"/>
      <w:jc w:val="center"/>
      <w:spacing w:before="0" w:after="0" w:line="289" w:lineRule="atLeast"/>
    </w:pPr>
  </w:style>
  <w:style w:type="paragraph" w:styleId="1226" w:customStyle="1">
    <w:name w:val="文档标题6"/>
    <w:basedOn w:val="1002"/>
    <w:next w:val="995"/>
    <w:qFormat/>
    <w:pPr>
      <w:ind w:left="1134" w:firstLine="20"/>
      <w:spacing w:before="280" w:after="280" w:line="360" w:lineRule="auto"/>
      <w:outlineLvl w:val="5"/>
    </w:pPr>
  </w:style>
  <w:style w:type="paragraph" w:styleId="1227" w:customStyle="1">
    <w:name w:val="标书正文"/>
    <w:basedOn w:val="996"/>
    <w:next w:val="1228"/>
    <w:qFormat/>
    <w:pPr>
      <w:ind w:left="440" w:right="100" w:firstLine="2760"/>
      <w:spacing w:before="0" w:after="0" w:line="360" w:lineRule="auto"/>
    </w:pPr>
  </w:style>
  <w:style w:type="paragraph" w:styleId="1228" w:customStyle="1">
    <w:name w:val="xl67"/>
    <w:basedOn w:val="996"/>
    <w:next w:val="1220"/>
    <w:qFormat/>
    <w:pPr>
      <w:ind w:left="0" w:firstLine="5120"/>
      <w:spacing w:before="280" w:after="280" w:line="240" w:lineRule="auto"/>
    </w:pPr>
  </w:style>
  <w:style w:type="paragraph" w:styleId="1229" w:customStyle="1">
    <w:name w:val="表内文字"/>
    <w:basedOn w:val="996"/>
    <w:next w:val="1036"/>
    <w:qFormat/>
    <w:pPr>
      <w:ind w:left="0" w:firstLine="7680"/>
      <w:jc w:val="center"/>
      <w:spacing w:before="50" w:after="50" w:line="240" w:lineRule="auto"/>
    </w:pPr>
  </w:style>
  <w:style w:type="paragraph" w:styleId="1230" w:customStyle="1">
    <w:name w:val="Item Step in Table"/>
    <w:next w:val="1231"/>
    <w:qFormat/>
    <w:pPr>
      <w:ind w:left="397" w:firstLine="3699"/>
      <w:jc w:val="both"/>
      <w:spacing w:before="40" w:after="40"/>
    </w:pPr>
    <w:rPr>
      <w:rFonts w:ascii="Calibri" w:hAnsi="Calibri"/>
    </w:rPr>
  </w:style>
  <w:style w:type="paragraph" w:styleId="1231" w:customStyle="1">
    <w:name w:val="Char Char Char Char Char Char1 Char Char Char Char Char Char"/>
    <w:basedOn w:val="996"/>
    <w:next w:val="1232"/>
    <w:qFormat/>
    <w:pPr>
      <w:ind w:left="0" w:firstLine="2560"/>
      <w:spacing w:before="0" w:after="0" w:line="240" w:lineRule="auto"/>
    </w:pPr>
  </w:style>
  <w:style w:type="paragraph" w:styleId="1232" w:customStyle="1">
    <w:name w:val="Char Char1"/>
    <w:basedOn w:val="996"/>
    <w:next w:val="1233"/>
    <w:qFormat/>
    <w:pPr>
      <w:ind w:left="0" w:firstLine="3584"/>
      <w:spacing w:before="0" w:after="160" w:line="240" w:lineRule="exact"/>
    </w:pPr>
  </w:style>
  <w:style w:type="paragraph" w:styleId="1233" w:customStyle="1">
    <w:name w:val="样式 标题 3 + 行距: 1.5 倍行距"/>
    <w:basedOn w:val="999"/>
    <w:next w:val="1053"/>
    <w:qFormat/>
    <w:pPr>
      <w:ind w:left="200" w:firstLine="18"/>
      <w:spacing w:before="0" w:after="0" w:line="360" w:lineRule="auto"/>
      <w:outlineLvl w:val="2"/>
    </w:pPr>
  </w:style>
  <w:style w:type="paragraph" w:styleId="1234" w:customStyle="1">
    <w:name w:val="Char Char Char Char Char Char1"/>
    <w:basedOn w:val="996"/>
    <w:next w:val="1235"/>
    <w:qFormat/>
    <w:pPr>
      <w:ind w:left="0" w:firstLine="2560"/>
      <w:spacing w:before="0" w:after="0" w:line="240" w:lineRule="auto"/>
    </w:pPr>
  </w:style>
  <w:style w:type="paragraph" w:styleId="1235" w:customStyle="1">
    <w:name w:val="正文缩进2"/>
    <w:basedOn w:val="996"/>
    <w:next w:val="1208"/>
    <w:qFormat/>
    <w:pPr>
      <w:ind w:left="420" w:firstLine="1188"/>
      <w:spacing w:before="0" w:after="0" w:line="240" w:lineRule="auto"/>
    </w:pPr>
  </w:style>
  <w:style w:type="paragraph" w:styleId="1236" w:customStyle="1">
    <w:name w:val="索引 31"/>
    <w:basedOn w:val="996"/>
    <w:next w:val="995"/>
    <w:qFormat/>
    <w:pPr>
      <w:ind w:left="400" w:firstLine="2560"/>
      <w:jc w:val="center"/>
      <w:spacing w:before="0" w:after="0" w:line="360" w:lineRule="auto"/>
    </w:pPr>
  </w:style>
  <w:style w:type="paragraph" w:styleId="1237" w:customStyle="1">
    <w:name w:val="项目符0"/>
    <w:basedOn w:val="996"/>
    <w:next w:val="1238"/>
    <w:qFormat/>
    <w:pPr>
      <w:ind w:left="300" w:right="57" w:firstLine="2760"/>
      <w:spacing w:before="0" w:after="0" w:line="300" w:lineRule="auto"/>
    </w:pPr>
  </w:style>
  <w:style w:type="paragraph" w:styleId="1238" w:customStyle="1">
    <w:name w:val="宏文本1"/>
    <w:next w:val="1230"/>
    <w:qFormat/>
    <w:pPr>
      <w:ind w:firstLine="5632"/>
      <w:widowControl w:val="off"/>
    </w:pPr>
    <w:rPr>
      <w:rFonts w:ascii="Calibri" w:hAnsi="Calibri"/>
    </w:rPr>
  </w:style>
  <w:style w:type="paragraph" w:styleId="1239" w:customStyle="1">
    <w:name w:val="xl81"/>
    <w:basedOn w:val="996"/>
    <w:next w:val="1240"/>
    <w:qFormat/>
    <w:pPr>
      <w:ind w:left="0" w:firstLine="5120"/>
      <w:spacing w:before="280" w:after="280" w:line="240" w:lineRule="auto"/>
    </w:pPr>
  </w:style>
  <w:style w:type="paragraph" w:styleId="1240" w:customStyle="1">
    <w:name w:val="xl25"/>
    <w:basedOn w:val="996"/>
    <w:next w:val="1241"/>
    <w:qFormat/>
    <w:pPr>
      <w:ind w:left="0" w:firstLine="14"/>
      <w:spacing w:before="280" w:after="280" w:line="240" w:lineRule="auto"/>
      <w:shd w:val="clear" w:color="000000" w:fill="ffffff"/>
    </w:pPr>
  </w:style>
  <w:style w:type="paragraph" w:styleId="1241" w:customStyle="1">
    <w:name w:val="普通(网站)1"/>
    <w:basedOn w:val="996"/>
    <w:next w:val="1242"/>
    <w:qFormat/>
    <w:pPr>
      <w:ind w:left="200" w:firstLine="1224"/>
      <w:spacing w:before="280" w:after="280" w:line="240" w:lineRule="auto"/>
    </w:pPr>
  </w:style>
  <w:style w:type="paragraph" w:styleId="1242" w:customStyle="1">
    <w:name w:val="xl27"/>
    <w:basedOn w:val="996"/>
    <w:next w:val="1243"/>
    <w:qFormat/>
    <w:pPr>
      <w:ind w:left="0" w:firstLine="20"/>
      <w:spacing w:before="280" w:after="280" w:line="240" w:lineRule="auto"/>
      <w:shd w:val="clear" w:color="000000" w:fill="ffffff"/>
    </w:pPr>
  </w:style>
  <w:style w:type="paragraph" w:styleId="1243" w:customStyle="1">
    <w:name w:val="表格文字图表文字"/>
    <w:basedOn w:val="996"/>
    <w:next w:val="1244"/>
    <w:qFormat/>
    <w:pPr>
      <w:ind w:left="0" w:firstLine="3584"/>
      <w:jc w:val="center"/>
      <w:spacing w:before="0" w:after="0" w:line="240" w:lineRule="auto"/>
    </w:pPr>
  </w:style>
  <w:style w:type="paragraph" w:styleId="1244" w:customStyle="1">
    <w:name w:val="样式 目录 3 + 左侧:  2 字符1"/>
    <w:next w:val="1245"/>
    <w:qFormat/>
    <w:pPr>
      <w:ind w:left="960" w:firstLine="5120"/>
      <w:spacing w:line="360" w:lineRule="auto"/>
      <w:widowControl w:val="off"/>
    </w:pPr>
    <w:rPr>
      <w:rFonts w:ascii="Calibri" w:hAnsi="Calibri"/>
    </w:rPr>
  </w:style>
  <w:style w:type="paragraph" w:styleId="1245" w:customStyle="1">
    <w:name w:val="文档正文"/>
    <w:basedOn w:val="996"/>
    <w:next w:val="1246"/>
    <w:qFormat/>
    <w:pPr>
      <w:ind w:left="567" w:firstLine="3639"/>
      <w:spacing w:before="0" w:after="0" w:line="480" w:lineRule="atLeast"/>
    </w:pPr>
  </w:style>
  <w:style w:type="paragraph" w:styleId="1246" w:customStyle="1">
    <w:name w:val="列表框2"/>
    <w:next w:val="1247"/>
    <w:qFormat/>
    <w:pPr>
      <w:ind w:firstLine="2048"/>
      <w:spacing w:line="460" w:lineRule="exact"/>
    </w:pPr>
    <w:rPr>
      <w:rFonts w:ascii="Calibri" w:hAnsi="Calibri"/>
    </w:rPr>
  </w:style>
  <w:style w:type="paragraph" w:styleId="1247" w:customStyle="1">
    <w:name w:val="font10"/>
    <w:basedOn w:val="996"/>
    <w:next w:val="1027"/>
    <w:qFormat/>
    <w:pPr>
      <w:ind w:left="0" w:firstLine="3584"/>
      <w:spacing w:before="280" w:after="280" w:line="240" w:lineRule="auto"/>
    </w:pPr>
  </w:style>
  <w:style w:type="paragraph" w:styleId="1248" w:customStyle="1">
    <w:name w:val="Char1 Char Char"/>
    <w:basedOn w:val="996"/>
    <w:next w:val="1033"/>
    <w:qFormat/>
    <w:pPr>
      <w:ind w:left="0" w:firstLine="2560"/>
      <w:spacing w:before="0" w:after="0" w:line="240" w:lineRule="auto"/>
    </w:pPr>
  </w:style>
  <w:style w:type="paragraph" w:styleId="1249">
    <w:name w:val="Intense Quote"/>
    <w:next w:val="995"/>
    <w:qFormat/>
    <w:pPr>
      <w:ind w:left="3766" w:right="950"/>
      <w:jc w:val="center"/>
      <w:spacing w:before="360" w:after="360"/>
    </w:pPr>
    <w:rPr>
      <w:rFonts w:ascii="Calibri" w:hAnsi="Calibri"/>
      <w:i/>
    </w:rPr>
  </w:style>
  <w:style w:type="paragraph" w:styleId="1250" w:customStyle="1">
    <w:name w:val="列表编号 21"/>
    <w:basedOn w:val="996"/>
    <w:next w:val="1251"/>
    <w:qFormat/>
    <w:pPr>
      <w:ind w:left="0" w:firstLine="2560"/>
      <w:spacing w:before="0" w:after="0" w:line="360" w:lineRule="auto"/>
    </w:pPr>
  </w:style>
  <w:style w:type="paragraph" w:styleId="1251" w:customStyle="1">
    <w:name w:val="正文文本 21"/>
    <w:basedOn w:val="996"/>
    <w:next w:val="1204"/>
    <w:qFormat/>
    <w:pPr>
      <w:ind w:left="0" w:firstLine="2560"/>
      <w:jc w:val="center"/>
      <w:spacing w:before="0" w:after="120" w:line="480" w:lineRule="auto"/>
    </w:pPr>
  </w:style>
  <w:style w:type="paragraph" w:styleId="1252" w:customStyle="1">
    <w:name w:val="font8"/>
    <w:basedOn w:val="996"/>
    <w:next w:val="1253"/>
    <w:qFormat/>
    <w:pPr>
      <w:ind w:left="0" w:firstLine="2048"/>
      <w:spacing w:before="280" w:after="280" w:line="240" w:lineRule="auto"/>
    </w:pPr>
  </w:style>
  <w:style w:type="paragraph" w:styleId="1253" w:customStyle="1">
    <w:name w:val="Default"/>
    <w:next w:val="1029"/>
    <w:qFormat/>
    <w:pPr>
      <w:ind w:firstLine="5120"/>
      <w:widowControl w:val="off"/>
    </w:pPr>
    <w:rPr>
      <w:rFonts w:ascii="Calibri" w:hAnsi="Calibri"/>
    </w:rPr>
  </w:style>
  <w:style w:type="paragraph" w:styleId="1254" w:customStyle="1">
    <w:name w:val="小节标题"/>
    <w:basedOn w:val="996"/>
    <w:next w:val="995"/>
    <w:qFormat/>
    <w:pPr>
      <w:ind w:left="0" w:firstLine="7168"/>
      <w:spacing w:before="175" w:after="102" w:line="351" w:lineRule="atLeast"/>
    </w:pPr>
  </w:style>
  <w:style w:type="paragraph" w:styleId="1255" w:customStyle="1">
    <w:name w:val="图1"/>
    <w:basedOn w:val="996"/>
    <w:next w:val="995"/>
    <w:qFormat/>
    <w:pPr>
      <w:ind w:left="1105" w:firstLine="2580"/>
      <w:jc w:val="center"/>
      <w:spacing w:before="0" w:after="0" w:line="360" w:lineRule="auto"/>
    </w:pPr>
  </w:style>
  <w:style w:type="paragraph" w:styleId="1256" w:customStyle="1">
    <w:name w:val="Char Char Char Char Char Char1 Char Char Char1 Char Char Char Char Char Char Char Char Char Char Char Char Char Char Char Char"/>
    <w:basedOn w:val="996"/>
    <w:next w:val="1257"/>
    <w:qFormat/>
    <w:pPr>
      <w:ind w:left="0" w:firstLine="2560"/>
      <w:spacing w:before="0" w:after="0" w:line="240" w:lineRule="auto"/>
    </w:pPr>
  </w:style>
  <w:style w:type="paragraph" w:styleId="1257" w:customStyle="1">
    <w:name w:val="1正文"/>
    <w:basedOn w:val="996"/>
    <w:next w:val="1258"/>
    <w:qFormat/>
    <w:pPr>
      <w:ind w:left="480" w:firstLine="2784"/>
      <w:spacing w:before="0" w:after="0" w:line="300" w:lineRule="auto"/>
    </w:pPr>
  </w:style>
  <w:style w:type="paragraph" w:styleId="1258" w:customStyle="1">
    <w:name w:val="目录2"/>
    <w:basedOn w:val="996"/>
    <w:next w:val="995"/>
    <w:qFormat/>
    <w:pPr>
      <w:ind w:left="209" w:firstLine="5329"/>
      <w:spacing w:before="0" w:after="0" w:line="317" w:lineRule="atLeast"/>
    </w:pPr>
  </w:style>
  <w:style w:type="paragraph" w:styleId="1259" w:customStyle="1">
    <w:name w:val="批注主题1"/>
    <w:next w:val="995"/>
    <w:qFormat/>
    <w:pPr>
      <w:ind w:left="200" w:firstLine="4808"/>
      <w:spacing w:line="360" w:lineRule="auto"/>
    </w:pPr>
    <w:rPr>
      <w:rFonts w:ascii="Calibri" w:hAnsi="Calibri"/>
    </w:rPr>
  </w:style>
  <w:style w:type="paragraph" w:styleId="1260" w:customStyle="1">
    <w:name w:val="xl66"/>
    <w:basedOn w:val="996"/>
    <w:next w:val="1261"/>
    <w:qFormat/>
    <w:pPr>
      <w:ind w:left="0" w:firstLine="3584"/>
      <w:spacing w:before="280" w:after="280" w:line="240" w:lineRule="auto"/>
    </w:pPr>
  </w:style>
  <w:style w:type="paragraph" w:styleId="1261" w:customStyle="1">
    <w:name w:val="表格文字（居中）"/>
    <w:basedOn w:val="996"/>
    <w:next w:val="1262"/>
    <w:qFormat/>
    <w:pPr>
      <w:ind w:left="0" w:firstLine="2560"/>
      <w:jc w:val="center"/>
      <w:spacing w:before="0" w:after="0" w:line="360" w:lineRule="auto"/>
    </w:pPr>
  </w:style>
  <w:style w:type="paragraph" w:styleId="1262" w:customStyle="1">
    <w:name w:val="style16"/>
    <w:basedOn w:val="996"/>
    <w:next w:val="1263"/>
    <w:qFormat/>
    <w:pPr>
      <w:ind w:left="0" w:firstLine="2048"/>
      <w:spacing w:before="280" w:after="280" w:line="240" w:lineRule="auto"/>
    </w:pPr>
  </w:style>
  <w:style w:type="paragraph" w:styleId="1263" w:customStyle="1">
    <w:name w:val="font6"/>
    <w:basedOn w:val="996"/>
    <w:next w:val="1264"/>
    <w:qFormat/>
    <w:pPr>
      <w:ind w:left="0" w:firstLine="5120"/>
      <w:spacing w:before="280" w:after="280" w:line="240" w:lineRule="auto"/>
    </w:pPr>
  </w:style>
  <w:style w:type="paragraph" w:styleId="1264" w:customStyle="1">
    <w:name w:val="正文首行缩进 21"/>
    <w:next w:val="1265"/>
    <w:qFormat/>
    <w:pPr>
      <w:ind w:left="200" w:firstLine="3784"/>
      <w:jc w:val="center"/>
      <w:spacing w:after="120" w:line="360" w:lineRule="auto"/>
    </w:pPr>
    <w:rPr>
      <w:rFonts w:ascii="Calibri" w:hAnsi="Calibri"/>
    </w:rPr>
  </w:style>
  <w:style w:type="paragraph" w:styleId="1265" w:customStyle="1">
    <w:name w:val="Body"/>
    <w:next w:val="1266"/>
    <w:qFormat/>
    <w:pPr>
      <w:ind w:left="567" w:right="2835" w:firstLine="3584"/>
      <w:spacing w:after="60"/>
    </w:pPr>
    <w:rPr>
      <w:rFonts w:ascii="Calibri" w:hAnsi="Calibri"/>
    </w:rPr>
  </w:style>
  <w:style w:type="paragraph" w:styleId="1266" w:customStyle="1">
    <w:name w:val="索引 91"/>
    <w:basedOn w:val="996"/>
    <w:next w:val="995"/>
    <w:qFormat/>
    <w:pPr>
      <w:ind w:left="1600" w:firstLine="2560"/>
      <w:jc w:val="center"/>
      <w:spacing w:before="0" w:after="0" w:line="360" w:lineRule="auto"/>
    </w:pPr>
  </w:style>
  <w:style w:type="paragraph" w:styleId="1267" w:customStyle="1">
    <w:name w:val="图片0"/>
    <w:basedOn w:val="996"/>
    <w:next w:val="1042"/>
    <w:qFormat/>
    <w:pPr>
      <w:ind w:left="-161" w:firstLine="1187"/>
      <w:spacing w:before="0" w:after="0" w:line="276" w:lineRule="auto"/>
    </w:pPr>
  </w:style>
  <w:style w:type="paragraph" w:styleId="1268" w:customStyle="1">
    <w:name w:val="正文段"/>
    <w:basedOn w:val="996"/>
    <w:next w:val="1259"/>
    <w:qFormat/>
    <w:pPr>
      <w:ind w:left="454" w:firstLine="1222"/>
      <w:spacing w:before="0" w:after="240" w:line="240" w:lineRule="atLeast"/>
    </w:pPr>
  </w:style>
  <w:style w:type="paragraph" w:styleId="1269" w:customStyle="1">
    <w:name w:val="三号 居中"/>
    <w:basedOn w:val="996"/>
    <w:next w:val="1270"/>
    <w:qFormat/>
    <w:pPr>
      <w:ind w:left="0" w:firstLine="6144"/>
      <w:jc w:val="center"/>
      <w:spacing w:before="0" w:after="0" w:line="360" w:lineRule="auto"/>
    </w:pPr>
  </w:style>
  <w:style w:type="paragraph" w:styleId="1270" w:customStyle="1">
    <w:name w:val="列出段落1"/>
    <w:basedOn w:val="996"/>
    <w:next w:val="1271"/>
    <w:qFormat/>
    <w:pPr>
      <w:ind w:left="420" w:firstLine="3748"/>
      <w:spacing w:before="0" w:after="0" w:line="240" w:lineRule="auto"/>
    </w:pPr>
  </w:style>
  <w:style w:type="paragraph" w:styleId="1271" w:customStyle="1">
    <w:name w:val="Char Char Char Char Char Char1 Char Char Char1 Char Char Char"/>
    <w:basedOn w:val="996"/>
    <w:next w:val="1209"/>
    <w:qFormat/>
    <w:pPr>
      <w:ind w:left="0" w:firstLine="2560"/>
      <w:spacing w:before="0" w:after="0" w:line="240" w:lineRule="auto"/>
    </w:pPr>
  </w:style>
  <w:style w:type="paragraph" w:styleId="1272" w:customStyle="1">
    <w:name w:val="样式 标题 3 + (中文) 黑体 小四 非加粗 段前: 7.8 磅 段后: 0 磅 行距: 固定值 20 磅"/>
    <w:basedOn w:val="999"/>
    <w:next w:val="1227"/>
    <w:qFormat/>
    <w:pPr>
      <w:ind w:left="0"/>
      <w:spacing w:before="0" w:after="0" w:line="400" w:lineRule="exact"/>
      <w:outlineLvl w:val="2"/>
    </w:pPr>
  </w:style>
  <w:style w:type="paragraph" w:styleId="1273" w:customStyle="1">
    <w:name w:val="a2"/>
    <w:basedOn w:val="996"/>
    <w:next w:val="1034"/>
    <w:qFormat/>
    <w:pPr>
      <w:ind w:left="0" w:firstLine="1024"/>
      <w:spacing w:before="280" w:after="280" w:line="240" w:lineRule="auto"/>
    </w:pPr>
  </w:style>
  <w:style w:type="paragraph" w:styleId="1274" w:customStyle="1">
    <w:name w:val="需求文档正文样式"/>
    <w:basedOn w:val="996"/>
    <w:next w:val="1275"/>
    <w:qFormat/>
    <w:pPr>
      <w:ind w:left="437" w:firstLine="2741"/>
      <w:spacing w:before="0" w:after="0" w:line="360" w:lineRule="auto"/>
    </w:pPr>
  </w:style>
  <w:style w:type="paragraph" w:styleId="1275" w:customStyle="1">
    <w:name w:val="xl74"/>
    <w:basedOn w:val="996"/>
    <w:next w:val="1276"/>
    <w:qFormat/>
    <w:pPr>
      <w:ind w:left="0" w:firstLine="16"/>
      <w:jc w:val="center"/>
      <w:spacing w:before="280" w:after="280" w:line="240" w:lineRule="auto"/>
      <w:shd w:val="clear" w:color="000000" w:fill="538dd5"/>
    </w:pPr>
  </w:style>
  <w:style w:type="paragraph" w:styleId="1276" w:customStyle="1">
    <w:name w:val="xl88"/>
    <w:basedOn w:val="996"/>
    <w:next w:val="1190"/>
    <w:qFormat/>
    <w:pPr>
      <w:ind w:left="0" w:firstLine="5120"/>
      <w:spacing w:before="280" w:after="280" w:line="240" w:lineRule="auto"/>
    </w:pPr>
  </w:style>
  <w:style w:type="paragraph" w:styleId="1277" w:customStyle="1">
    <w:name w:val="afont"/>
    <w:basedOn w:val="996"/>
    <w:next w:val="1020"/>
    <w:qFormat/>
    <w:pPr>
      <w:ind w:left="0" w:firstLine="2048"/>
      <w:spacing w:before="100" w:after="100" w:line="285" w:lineRule="atLeast"/>
    </w:pPr>
  </w:style>
  <w:style w:type="paragraph" w:styleId="1278" w:customStyle="1">
    <w:name w:val="日期1"/>
    <w:basedOn w:val="996"/>
    <w:next w:val="995"/>
    <w:qFormat/>
    <w:pPr>
      <w:ind w:left="100" w:firstLine="6144"/>
      <w:spacing w:before="0" w:after="0" w:line="240" w:lineRule="auto"/>
    </w:pPr>
  </w:style>
  <w:style w:type="paragraph" w:styleId="1279" w:customStyle="1">
    <w:name w:val="Char Char Char Char Char Char Char Char Char Char Char Char Char Char Char Char"/>
    <w:basedOn w:val="996"/>
    <w:next w:val="1280"/>
    <w:qFormat/>
    <w:pPr>
      <w:ind w:left="682" w:firstLine="1224"/>
      <w:spacing w:before="0" w:after="0" w:line="360" w:lineRule="auto"/>
    </w:pPr>
  </w:style>
  <w:style w:type="paragraph" w:styleId="1280" w:customStyle="1">
    <w:name w:val="列表编号 51"/>
    <w:basedOn w:val="996"/>
    <w:next w:val="1281"/>
    <w:qFormat/>
    <w:pPr>
      <w:ind w:left="900" w:firstLine="2652"/>
      <w:spacing w:before="0" w:after="0" w:line="360" w:lineRule="auto"/>
    </w:pPr>
  </w:style>
  <w:style w:type="paragraph" w:styleId="1281" w:customStyle="1">
    <w:name w:val="样式 标题 1 + 黑体 (符号) 宋体 三号 段前: 7.8 磅 段后: 7.8 磅 行距: 1.5 倍行距"/>
    <w:basedOn w:val="997"/>
    <w:next w:val="1282"/>
    <w:qFormat/>
    <w:pPr>
      <w:ind w:left="432" w:firstLine="18"/>
      <w:spacing w:before="40" w:after="40" w:line="360" w:lineRule="auto"/>
      <w:outlineLvl w:val="0"/>
    </w:pPr>
  </w:style>
  <w:style w:type="paragraph" w:styleId="1282" w:customStyle="1">
    <w:name w:val="表格用"/>
    <w:basedOn w:val="996"/>
    <w:next w:val="1199"/>
    <w:qFormat/>
    <w:pPr>
      <w:ind w:left="0" w:firstLine="1024"/>
      <w:spacing w:before="0" w:after="0" w:line="360" w:lineRule="auto"/>
    </w:pPr>
  </w:style>
  <w:style w:type="paragraph" w:styleId="1283" w:customStyle="1">
    <w:name w:val="正文（首行缩进 2 字符）"/>
    <w:next w:val="1196"/>
    <w:qFormat/>
    <w:pPr>
      <w:ind w:left="480" w:firstLine="2784"/>
      <w:jc w:val="center"/>
      <w:spacing w:line="300" w:lineRule="auto"/>
    </w:pPr>
    <w:rPr>
      <w:rFonts w:ascii="Calibri" w:hAnsi="Calibri"/>
    </w:rPr>
  </w:style>
  <w:style w:type="paragraph" w:styleId="1284" w:customStyle="1">
    <w:name w:val="Char"/>
    <w:basedOn w:val="996"/>
    <w:next w:val="1285"/>
    <w:qFormat/>
    <w:pPr>
      <w:ind w:left="900" w:firstLine="2608"/>
      <w:spacing w:before="0" w:after="0" w:line="240" w:lineRule="auto"/>
    </w:pPr>
  </w:style>
  <w:style w:type="paragraph" w:styleId="1285" w:customStyle="1">
    <w:name w:val="Char Char Char2 Char Char Char2 Char"/>
    <w:basedOn w:val="996"/>
    <w:next w:val="1286"/>
    <w:qFormat/>
    <w:pPr>
      <w:ind w:left="560" w:firstLine="3632"/>
      <w:spacing w:before="0" w:after="160" w:line="240" w:lineRule="exact"/>
    </w:pPr>
  </w:style>
  <w:style w:type="paragraph" w:styleId="1286" w:customStyle="1">
    <w:name w:val="目录3"/>
    <w:basedOn w:val="996"/>
    <w:next w:val="995"/>
    <w:qFormat/>
    <w:pPr>
      <w:ind w:left="419" w:firstLine="5283"/>
      <w:spacing w:before="0" w:after="0" w:line="317" w:lineRule="atLeast"/>
    </w:pPr>
  </w:style>
  <w:style w:type="paragraph" w:styleId="1287" w:customStyle="1">
    <w:name w:val="表格"/>
    <w:basedOn w:val="996"/>
    <w:next w:val="1288"/>
    <w:qFormat/>
    <w:pPr>
      <w:ind w:left="0" w:firstLine="2560"/>
      <w:spacing w:before="0" w:after="0" w:line="360" w:lineRule="auto"/>
    </w:pPr>
  </w:style>
  <w:style w:type="paragraph" w:styleId="1288" w:customStyle="1">
    <w:name w:val="xl26"/>
    <w:basedOn w:val="996"/>
    <w:next w:val="1248"/>
    <w:qFormat/>
    <w:pPr>
      <w:ind w:left="0" w:firstLine="20"/>
      <w:jc w:val="center"/>
      <w:spacing w:before="280" w:after="280" w:line="240" w:lineRule="auto"/>
      <w:shd w:val="clear" w:color="000000" w:fill="ffffff"/>
    </w:pPr>
  </w:style>
  <w:style w:type="paragraph" w:styleId="1289" w:customStyle="1">
    <w:name w:val="xl71"/>
    <w:basedOn w:val="996"/>
    <w:next w:val="1290"/>
    <w:qFormat/>
    <w:pPr>
      <w:ind w:left="0" w:firstLine="1536"/>
      <w:spacing w:before="280" w:after="280" w:line="240" w:lineRule="auto"/>
    </w:pPr>
  </w:style>
  <w:style w:type="paragraph" w:styleId="1290" w:customStyle="1">
    <w:name w:val="正文文本 31"/>
    <w:basedOn w:val="996"/>
    <w:next w:val="1291"/>
    <w:qFormat/>
    <w:pPr>
      <w:ind w:left="0" w:firstLine="3584"/>
      <w:jc w:val="center"/>
      <w:spacing w:before="0" w:after="120" w:line="360" w:lineRule="auto"/>
    </w:pPr>
  </w:style>
  <w:style w:type="paragraph" w:styleId="1291" w:customStyle="1">
    <w:name w:val="列出段落111"/>
    <w:basedOn w:val="996"/>
    <w:next w:val="1292"/>
    <w:qFormat/>
    <w:pPr>
      <w:ind w:left="420" w:firstLine="3748"/>
      <w:spacing w:before="0" w:after="0" w:line="240" w:lineRule="auto"/>
    </w:pPr>
  </w:style>
  <w:style w:type="paragraph" w:styleId="1292" w:customStyle="1">
    <w:name w:val="xl78"/>
    <w:basedOn w:val="996"/>
    <w:next w:val="1293"/>
    <w:qFormat/>
    <w:pPr>
      <w:ind w:left="0" w:firstLine="3584"/>
      <w:jc w:val="center"/>
      <w:spacing w:before="280" w:after="280" w:line="240" w:lineRule="auto"/>
    </w:pPr>
  </w:style>
  <w:style w:type="paragraph" w:styleId="1293" w:customStyle="1">
    <w:name w:val="段落正文"/>
    <w:next w:val="1283"/>
    <w:qFormat/>
    <w:pPr>
      <w:ind w:firstLine="4608"/>
      <w:jc w:val="center"/>
      <w:spacing w:line="360" w:lineRule="auto"/>
    </w:pPr>
    <w:rPr>
      <w:rFonts w:ascii="Calibri" w:hAnsi="Calibri"/>
    </w:rPr>
  </w:style>
  <w:style w:type="paragraph" w:styleId="1294" w:customStyle="1">
    <w:name w:val="修订1"/>
    <w:uiPriority w:val="99"/>
    <w:unhideWhenUsed/>
    <w:qFormat/>
    <w:rPr>
      <w:rFonts w:ascii="Calibri" w:hAnsi="Calibri"/>
    </w:rPr>
  </w:style>
  <w:style w:type="paragraph" w:styleId="1295" w:customStyle="1">
    <w:name w:val="2-2ji"/>
    <w:basedOn w:val="998"/>
    <w:next w:val="1191"/>
    <w:qFormat/>
    <w:pPr>
      <w:ind w:left="0" w:firstLine="24"/>
      <w:jc w:val="center"/>
      <w:spacing w:before="0" w:after="0" w:line="360" w:lineRule="auto"/>
      <w:outlineLvl w:val="1"/>
    </w:pPr>
  </w:style>
  <w:style w:type="paragraph" w:styleId="1296" w:customStyle="1">
    <w:name w:val="TOC 标题1"/>
    <w:basedOn w:val="997"/>
    <w:next w:val="995"/>
    <w:qFormat/>
    <w:pPr>
      <w:ind w:left="0" w:firstLine="6144"/>
      <w:spacing w:before="480" w:after="0" w:line="276" w:lineRule="auto"/>
    </w:pPr>
    <w:rPr>
      <w:b/>
      <w:sz w:val="30"/>
    </w:rPr>
  </w:style>
  <w:style w:type="paragraph" w:styleId="1297" w:customStyle="1">
    <w:name w:val="样式 小四 行距: 1.5 倍行距 首行缩进:  2 字符"/>
    <w:basedOn w:val="996"/>
    <w:next w:val="1298"/>
    <w:qFormat/>
    <w:pPr>
      <w:ind w:left="480" w:firstLine="2784"/>
      <w:spacing w:before="0" w:after="0" w:line="360" w:lineRule="auto"/>
    </w:pPr>
  </w:style>
  <w:style w:type="paragraph" w:styleId="1298" w:customStyle="1">
    <w:name w:val="xl84"/>
    <w:basedOn w:val="996"/>
    <w:next w:val="1295"/>
    <w:qFormat/>
    <w:pPr>
      <w:ind w:left="0" w:firstLine="2048"/>
      <w:jc w:val="center"/>
      <w:spacing w:before="280" w:after="280" w:line="240" w:lineRule="auto"/>
    </w:pPr>
  </w:style>
  <w:style w:type="paragraph" w:styleId="1299" w:customStyle="1">
    <w:name w:val="纯文本2"/>
    <w:basedOn w:val="996"/>
    <w:next w:val="1300"/>
    <w:qFormat/>
    <w:pPr>
      <w:ind w:left="0" w:firstLine="3584"/>
      <w:spacing w:before="0" w:after="0" w:line="240" w:lineRule="auto"/>
    </w:pPr>
  </w:style>
  <w:style w:type="paragraph" w:styleId="1300" w:customStyle="1">
    <w:name w:val="xl69"/>
    <w:basedOn w:val="996"/>
    <w:next w:val="1301"/>
    <w:qFormat/>
    <w:pPr>
      <w:ind w:left="0" w:firstLine="3584"/>
      <w:spacing w:before="280" w:after="280" w:line="240" w:lineRule="auto"/>
    </w:pPr>
  </w:style>
  <w:style w:type="paragraph" w:styleId="1301" w:customStyle="1">
    <w:name w:val="Char Char Char"/>
    <w:basedOn w:val="996"/>
    <w:next w:val="1287"/>
    <w:qFormat/>
    <w:pPr>
      <w:ind w:left="0" w:firstLine="2560"/>
      <w:spacing w:before="0" w:after="0" w:line="240" w:lineRule="auto"/>
    </w:pPr>
  </w:style>
  <w:style w:type="paragraph" w:styleId="1302" w:customStyle="1">
    <w:name w:val="Char Char Char Char Char Char Char Char Char Char Char Char Char Char Char"/>
    <w:basedOn w:val="996"/>
    <w:next w:val="1296"/>
    <w:qFormat/>
    <w:pPr>
      <w:ind w:left="0" w:firstLine="3584"/>
      <w:jc w:val="center"/>
      <w:spacing w:before="0" w:after="0" w:line="400" w:lineRule="exact"/>
    </w:pPr>
  </w:style>
  <w:style w:type="paragraph" w:styleId="1303" w:customStyle="1">
    <w:name w:val="!方块加粗"/>
    <w:basedOn w:val="996"/>
    <w:next w:val="1297"/>
    <w:qFormat/>
    <w:pPr>
      <w:ind w:left="600" w:firstLine="5212"/>
      <w:spacing w:before="0" w:after="0" w:line="360" w:lineRule="auto"/>
    </w:pPr>
  </w:style>
  <w:style w:type="paragraph" w:styleId="1304" w:customStyle="1">
    <w:name w:val="首行缩进"/>
    <w:basedOn w:val="995"/>
    <w:qFormat/>
    <w:pPr>
      <w:ind w:firstLine="480"/>
    </w:pPr>
    <w:rPr>
      <w:lang w:val="zh-CN"/>
    </w:rPr>
  </w:style>
  <w:style w:type="paragraph" w:styleId="1305" w:customStyle="1">
    <w:name w:val="xl63"/>
    <w:basedOn w:val="996"/>
    <w:next w:val="1306"/>
    <w:qFormat/>
    <w:pPr>
      <w:ind w:left="0" w:firstLine="5120"/>
      <w:spacing w:before="280" w:after="280" w:line="240" w:lineRule="auto"/>
    </w:pPr>
  </w:style>
  <w:style w:type="paragraph" w:styleId="1306" w:customStyle="1">
    <w:name w:val="表格文字（4号居中）"/>
    <w:next w:val="1303"/>
    <w:qFormat/>
    <w:pPr>
      <w:ind w:firstLine="2560"/>
      <w:jc w:val="center"/>
    </w:pPr>
    <w:rPr>
      <w:rFonts w:ascii="Calibri" w:hAnsi="Calibri"/>
    </w:rPr>
  </w:style>
  <w:style w:type="paragraph" w:styleId="1307" w:customStyle="1">
    <w:name w:val="4"/>
    <w:basedOn w:val="996"/>
    <w:next w:val="1008"/>
    <w:qFormat/>
    <w:pPr>
      <w:ind w:left="409" w:firstLine="3737"/>
      <w:spacing w:before="0" w:after="0" w:line="420" w:lineRule="exact"/>
    </w:pPr>
  </w:style>
  <w:style w:type="paragraph" w:styleId="1308" w:customStyle="1">
    <w:name w:val="Char Char"/>
    <w:next w:val="1221"/>
    <w:qFormat/>
    <w:pPr>
      <w:ind w:firstLine="14"/>
      <w:spacing w:line="360" w:lineRule="auto"/>
      <w:shd w:val="clear" w:color="000000" w:fill="000080"/>
    </w:pPr>
    <w:rPr>
      <w:rFonts w:ascii="Calibri" w:hAnsi="Calibri"/>
    </w:rPr>
  </w:style>
  <w:style w:type="paragraph" w:styleId="1309" w:customStyle="1">
    <w:name w:val="111"/>
    <w:next w:val="1307"/>
    <w:qFormat/>
    <w:pPr>
      <w:ind w:left="480" w:firstLine="4320"/>
      <w:spacing w:line="440" w:lineRule="exact"/>
    </w:pPr>
    <w:rPr>
      <w:rFonts w:ascii="Calibri" w:hAnsi="Calibri"/>
    </w:rPr>
  </w:style>
  <w:style w:type="paragraph" w:styleId="1310" w:customStyle="1">
    <w:name w:val="xl24"/>
    <w:basedOn w:val="996"/>
    <w:next w:val="1311"/>
    <w:qFormat/>
    <w:pPr>
      <w:ind w:left="0" w:firstLine="20"/>
      <w:jc w:val="center"/>
      <w:spacing w:before="280" w:after="280" w:line="240" w:lineRule="auto"/>
      <w:shd w:val="clear" w:color="000000" w:fill="ffffff"/>
    </w:pPr>
  </w:style>
  <w:style w:type="paragraph" w:styleId="1311" w:customStyle="1">
    <w:name w:val="Char Char4 Char Char"/>
    <w:basedOn w:val="996"/>
    <w:next w:val="1312"/>
    <w:qFormat/>
    <w:pPr>
      <w:ind w:left="0" w:firstLine="2560"/>
      <w:spacing w:before="0" w:after="0" w:line="240" w:lineRule="auto"/>
    </w:pPr>
  </w:style>
  <w:style w:type="paragraph" w:styleId="1312" w:customStyle="1">
    <w:name w:val="目录4"/>
    <w:basedOn w:val="996"/>
    <w:next w:val="995"/>
    <w:qFormat/>
    <w:pPr>
      <w:ind w:left="629" w:firstLine="5237"/>
      <w:spacing w:before="0" w:after="0" w:line="317" w:lineRule="atLeast"/>
    </w:pPr>
  </w:style>
  <w:style w:type="paragraph" w:styleId="1313" w:customStyle="1">
    <w:name w:val="1"/>
    <w:basedOn w:val="996"/>
    <w:next w:val="1028"/>
    <w:qFormat/>
    <w:pPr>
      <w:ind w:left="0" w:firstLine="2048"/>
      <w:spacing w:before="0" w:after="0" w:line="240" w:lineRule="auto"/>
    </w:pPr>
  </w:style>
  <w:style w:type="paragraph" w:styleId="1314" w:customStyle="1">
    <w:name w:val="二级条标题"/>
    <w:basedOn w:val="996"/>
    <w:next w:val="995"/>
    <w:qFormat/>
    <w:pPr>
      <w:ind w:left="0" w:firstLine="8"/>
      <w:spacing w:before="0" w:after="0" w:line="240" w:lineRule="auto"/>
      <w:outlineLvl w:val="3"/>
    </w:pPr>
  </w:style>
  <w:style w:type="paragraph" w:styleId="1315" w:customStyle="1">
    <w:name w:val="Char Char Char Char Char Char1 Char Char Char1 Char Char Char Char Char Char Char Char Char Char Char Char Char Char Char Char Char Char"/>
    <w:basedOn w:val="996"/>
    <w:next w:val="1316"/>
    <w:qFormat/>
    <w:pPr>
      <w:ind w:left="0" w:firstLine="2560"/>
      <w:spacing w:before="0" w:after="0" w:line="240" w:lineRule="auto"/>
    </w:pPr>
  </w:style>
  <w:style w:type="paragraph" w:styleId="1316" w:customStyle="1">
    <w:name w:val="样式 加粗 居中11"/>
    <w:basedOn w:val="996"/>
    <w:next w:val="1317"/>
    <w:qFormat/>
    <w:pPr>
      <w:ind w:left="0" w:firstLine="2560"/>
      <w:jc w:val="center"/>
      <w:spacing w:before="0" w:after="0" w:line="360" w:lineRule="auto"/>
    </w:pPr>
  </w:style>
  <w:style w:type="paragraph" w:styleId="1317" w:customStyle="1">
    <w:name w:val="xl89"/>
    <w:basedOn w:val="996"/>
    <w:next w:val="1318"/>
    <w:qFormat/>
    <w:pPr>
      <w:ind w:left="0" w:firstLine="3584"/>
      <w:spacing w:before="280" w:after="280" w:line="240" w:lineRule="auto"/>
    </w:pPr>
  </w:style>
  <w:style w:type="paragraph" w:styleId="1318" w:customStyle="1">
    <w:name w:val="Char Char Char Char Char Char1 Char Char Char Char Char Char1 Char Char Char Char Char Char Char Char Char"/>
    <w:basedOn w:val="996"/>
    <w:next w:val="1319"/>
    <w:qFormat/>
    <w:pPr>
      <w:ind w:left="0" w:firstLine="2560"/>
      <w:spacing w:before="0" w:after="0" w:line="240" w:lineRule="auto"/>
    </w:pPr>
  </w:style>
  <w:style w:type="paragraph" w:styleId="1319" w:customStyle="1">
    <w:name w:val="文章附标题"/>
    <w:basedOn w:val="996"/>
    <w:next w:val="996"/>
    <w:qFormat/>
    <w:pPr>
      <w:ind w:left="0" w:firstLine="5120"/>
      <w:jc w:val="center"/>
      <w:spacing w:before="187" w:after="175" w:line="374" w:lineRule="atLeast"/>
    </w:pPr>
  </w:style>
  <w:style w:type="paragraph" w:styleId="1320" w:customStyle="1">
    <w:name w:val="图注"/>
    <w:next w:val="1321"/>
    <w:qFormat/>
    <w:pPr>
      <w:ind w:left="360" w:firstLine="2152"/>
      <w:jc w:val="center"/>
    </w:pPr>
    <w:rPr>
      <w:rFonts w:ascii="Calibri" w:hAnsi="Calibri"/>
    </w:rPr>
  </w:style>
  <w:style w:type="paragraph" w:styleId="1321" w:customStyle="1">
    <w:name w:val="列表编号 41"/>
    <w:basedOn w:val="996"/>
    <w:next w:val="1237"/>
    <w:qFormat/>
    <w:pPr>
      <w:ind w:left="1620" w:firstLine="2712"/>
      <w:spacing w:before="0" w:after="0" w:line="360" w:lineRule="auto"/>
    </w:pPr>
  </w:style>
  <w:style w:type="paragraph" w:styleId="1322" w:customStyle="1">
    <w:name w:val="列出段落3"/>
    <w:basedOn w:val="996"/>
    <w:next w:val="1250"/>
    <w:qFormat/>
    <w:pPr>
      <w:ind w:left="420" w:firstLine="3748"/>
      <w:spacing w:before="0" w:after="0" w:line="240" w:lineRule="auto"/>
    </w:pPr>
  </w:style>
  <w:style w:type="paragraph" w:styleId="1323" w:customStyle="1">
    <w:name w:val="_Style 40"/>
    <w:basedOn w:val="995"/>
    <w:qFormat/>
    <w:pPr>
      <w:ind w:left="0"/>
      <w:jc w:val="left"/>
      <w:spacing w:after="160" w:line="240" w:lineRule="exact"/>
    </w:pPr>
    <w:rPr>
      <w:rFonts w:ascii="Times New Roman" w:hAnsi="Times New Roman"/>
      <w:sz w:val="24"/>
    </w:rPr>
  </w:style>
  <w:style w:type="paragraph" w:styleId="1324" w:customStyle="1">
    <w:name w:val="加粗（居中）"/>
    <w:next w:val="1224"/>
    <w:qFormat/>
    <w:pPr>
      <w:ind w:firstLine="2560"/>
    </w:pPr>
    <w:rPr>
      <w:rFonts w:ascii="Calibri" w:hAnsi="Calibri"/>
    </w:rPr>
  </w:style>
  <w:style w:type="paragraph" w:styleId="1325" w:customStyle="1">
    <w:name w:val="项目符1"/>
    <w:basedOn w:val="996"/>
    <w:next w:val="1326"/>
    <w:qFormat/>
    <w:pPr>
      <w:ind w:left="1365" w:right="100" w:firstLine="2728"/>
      <w:spacing w:before="78" w:after="78" w:line="300" w:lineRule="auto"/>
    </w:pPr>
  </w:style>
  <w:style w:type="paragraph" w:styleId="1326" w:customStyle="1">
    <w:name w:val="引文目录标题1"/>
    <w:basedOn w:val="996"/>
    <w:next w:val="995"/>
    <w:qFormat/>
    <w:pPr>
      <w:ind w:left="0" w:firstLine="4608"/>
      <w:jc w:val="center"/>
      <w:spacing w:before="120" w:after="0" w:line="360" w:lineRule="auto"/>
    </w:pPr>
  </w:style>
  <w:style w:type="paragraph" w:styleId="1327" w:customStyle="1">
    <w:name w:val="xl77"/>
    <w:basedOn w:val="996"/>
    <w:next w:val="1328"/>
    <w:qFormat/>
    <w:pPr>
      <w:ind w:left="0" w:firstLine="3584"/>
      <w:spacing w:before="280" w:after="280" w:line="240" w:lineRule="auto"/>
    </w:pPr>
  </w:style>
  <w:style w:type="paragraph" w:styleId="1328" w:customStyle="1">
    <w:name w:val="Char Char Char1"/>
    <w:basedOn w:val="996"/>
    <w:next w:val="1329"/>
    <w:qFormat/>
    <w:pPr>
      <w:ind w:left="900" w:firstLine="2096"/>
      <w:spacing w:before="0" w:after="0" w:line="240" w:lineRule="auto"/>
    </w:pPr>
  </w:style>
  <w:style w:type="paragraph" w:styleId="1329" w:customStyle="1">
    <w:name w:val="索引 21"/>
    <w:basedOn w:val="996"/>
    <w:next w:val="995"/>
    <w:qFormat/>
    <w:pPr>
      <w:ind w:left="200" w:firstLine="2560"/>
      <w:jc w:val="center"/>
      <w:spacing w:before="0" w:after="0" w:line="360" w:lineRule="auto"/>
    </w:pPr>
  </w:style>
  <w:style w:type="paragraph" w:styleId="1330" w:customStyle="1">
    <w:name w:val="Char Char Char Char Char Char1 Char Char Char Char Char Char1 Char Char Char1"/>
    <w:basedOn w:val="996"/>
    <w:next w:val="1331"/>
    <w:qFormat/>
    <w:pPr>
      <w:ind w:left="0" w:firstLine="2560"/>
      <w:spacing w:before="0" w:after="0" w:line="240" w:lineRule="auto"/>
    </w:pPr>
  </w:style>
  <w:style w:type="paragraph" w:styleId="1331" w:customStyle="1">
    <w:name w:val="xl64"/>
    <w:basedOn w:val="996"/>
    <w:next w:val="1314"/>
    <w:qFormat/>
    <w:pPr>
      <w:ind w:left="0" w:firstLine="3584"/>
      <w:spacing w:before="280" w:after="280" w:line="240" w:lineRule="auto"/>
    </w:pPr>
  </w:style>
  <w:style w:type="paragraph" w:styleId="1332" w:customStyle="1">
    <w:name w:val="Char1 Char Char Char"/>
    <w:basedOn w:val="996"/>
    <w:next w:val="1310"/>
    <w:qFormat/>
    <w:pPr>
      <w:ind w:left="0" w:firstLine="2560"/>
      <w:spacing w:before="0" w:after="0" w:line="240" w:lineRule="auto"/>
    </w:pPr>
  </w:style>
  <w:style w:type="paragraph" w:styleId="1333" w:customStyle="1">
    <w:name w:val="font7"/>
    <w:basedOn w:val="996"/>
    <w:next w:val="1330"/>
    <w:qFormat/>
    <w:pPr>
      <w:ind w:left="0" w:firstLine="3584"/>
      <w:spacing w:before="280" w:after="280" w:line="240" w:lineRule="auto"/>
    </w:pPr>
  </w:style>
  <w:style w:type="paragraph" w:styleId="1334" w:customStyle="1">
    <w:name w:val="WPSOffice手动目录 3"/>
    <w:qFormat/>
    <w:pPr>
      <w:ind w:left="400"/>
    </w:pPr>
  </w:style>
  <w:style w:type="paragraph" w:styleId="1335" w:customStyle="1">
    <w:name w:val="标准文本"/>
    <w:basedOn w:val="996"/>
    <w:next w:val="1336"/>
    <w:qFormat/>
    <w:pPr>
      <w:ind w:left="480" w:firstLine="2784"/>
      <w:spacing w:before="0" w:after="0" w:line="360" w:lineRule="auto"/>
    </w:pPr>
  </w:style>
  <w:style w:type="paragraph" w:styleId="1336" w:customStyle="1">
    <w:name w:val="纯文本11"/>
    <w:basedOn w:val="996"/>
    <w:next w:val="1039"/>
    <w:qFormat/>
    <w:pPr>
      <w:ind w:left="0" w:firstLine="3584"/>
      <w:spacing w:before="0" w:after="0" w:line="240" w:lineRule="auto"/>
    </w:pPr>
  </w:style>
  <w:style w:type="paragraph" w:styleId="1337" w:customStyle="1">
    <w:name w:val="TOC 标题2"/>
    <w:basedOn w:val="996"/>
    <w:next w:val="995"/>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8" w:customStyle="1">
    <w:name w:val="纯文本4"/>
    <w:basedOn w:val="995"/>
    <w:qFormat/>
    <w:pPr>
      <w:ind w:left="0"/>
      <w:widowControl w:val="off"/>
    </w:pPr>
    <w:rPr>
      <w:rFonts w:ascii="宋体" w:hAnsi="Courier New" w:eastAsia="楷体_GB2312"/>
      <w:sz w:val="26"/>
    </w:rPr>
  </w:style>
  <w:style w:type="paragraph" w:styleId="1339" w:customStyle="1">
    <w:name w:val="样式 加粗 居中2"/>
    <w:basedOn w:val="996"/>
    <w:next w:val="1187"/>
    <w:qFormat/>
    <w:pPr>
      <w:ind w:left="0" w:firstLine="2560"/>
      <w:jc w:val="center"/>
      <w:spacing w:before="0" w:after="0" w:line="360" w:lineRule="auto"/>
    </w:pPr>
  </w:style>
  <w:style w:type="paragraph" w:styleId="1340" w:customStyle="1">
    <w:name w:val="xl87"/>
    <w:basedOn w:val="996"/>
    <w:next w:val="1341"/>
    <w:qFormat/>
    <w:pPr>
      <w:ind w:left="0" w:firstLine="5120"/>
      <w:spacing w:before="280" w:after="280" w:line="240" w:lineRule="auto"/>
    </w:pPr>
  </w:style>
  <w:style w:type="paragraph" w:styleId="1341" w:customStyle="1">
    <w:name w:val="招标文件》"/>
    <w:basedOn w:val="996"/>
    <w:next w:val="1299"/>
    <w:qFormat/>
    <w:pPr>
      <w:ind w:left="420" w:firstLine="2140"/>
      <w:spacing w:before="120" w:after="120" w:line="300" w:lineRule="auto"/>
    </w:pPr>
  </w:style>
  <w:style w:type="paragraph" w:styleId="1342" w:customStyle="1">
    <w:name w:val="TOC 标题3"/>
    <w:basedOn w:val="996"/>
    <w:next w:val="995"/>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3" w:customStyle="1">
    <w:name w:val="_Style 169"/>
    <w:next w:val="995"/>
    <w:qFormat/>
    <w:pPr>
      <w:ind w:left="2560"/>
    </w:pPr>
    <w:rPr>
      <w:rFonts w:ascii="Calibri" w:hAnsi="Calibri"/>
    </w:rPr>
  </w:style>
  <w:style w:type="paragraph" w:styleId="1344" w:customStyle="1">
    <w:name w:val="样式"/>
    <w:next w:val="995"/>
    <w:qFormat/>
    <w:pPr>
      <w:ind w:firstLine="3584"/>
      <w:widowControl w:val="off"/>
    </w:pPr>
    <w:rPr>
      <w:rFonts w:ascii="Calibri" w:hAnsi="Calibri"/>
    </w:rPr>
  </w:style>
  <w:style w:type="paragraph" w:styleId="1345" w:customStyle="1">
    <w:name w:val="文档标题5"/>
    <w:basedOn w:val="1001"/>
    <w:next w:val="995"/>
    <w:qFormat/>
    <w:pPr>
      <w:ind w:left="992" w:firstLine="18"/>
      <w:spacing w:before="280" w:after="280" w:line="360" w:lineRule="auto"/>
      <w:outlineLvl w:val="4"/>
    </w:pPr>
  </w:style>
  <w:style w:type="paragraph" w:styleId="1346" w:customStyle="1">
    <w:name w:val="Char Char Char Char Char Char Char"/>
    <w:basedOn w:val="996"/>
    <w:next w:val="1347"/>
    <w:qFormat/>
    <w:pPr>
      <w:ind w:left="200" w:firstLine="4808"/>
      <w:spacing w:before="0" w:after="0" w:line="360" w:lineRule="auto"/>
    </w:pPr>
  </w:style>
  <w:style w:type="paragraph" w:styleId="1347" w:customStyle="1">
    <w:name w:val="font0"/>
    <w:basedOn w:val="996"/>
    <w:next w:val="1348"/>
    <w:qFormat/>
    <w:pPr>
      <w:ind w:left="0" w:firstLine="1024"/>
      <w:spacing w:before="280" w:after="280" w:line="240" w:lineRule="auto"/>
    </w:pPr>
  </w:style>
  <w:style w:type="paragraph" w:styleId="1348" w:customStyle="1">
    <w:name w:val="font9"/>
    <w:basedOn w:val="996"/>
    <w:next w:val="1272"/>
    <w:qFormat/>
    <w:pPr>
      <w:ind w:left="0" w:firstLine="7168"/>
      <w:spacing w:before="280" w:after="280" w:line="240" w:lineRule="auto"/>
    </w:pPr>
  </w:style>
  <w:style w:type="paragraph" w:styleId="1349" w:customStyle="1">
    <w:name w:val="Char Char Char Char Char Char1 Char Char Char Char Char Char1 Char Char Char Char Char Char Char"/>
    <w:basedOn w:val="996"/>
    <w:next w:val="1340"/>
    <w:qFormat/>
    <w:pPr>
      <w:ind w:left="0" w:firstLine="2560"/>
      <w:spacing w:before="0" w:after="0" w:line="240" w:lineRule="auto"/>
    </w:pPr>
  </w:style>
  <w:style w:type="paragraph" w:styleId="1350" w:customStyle="1">
    <w:name w:val="xl82"/>
    <w:basedOn w:val="996"/>
    <w:next w:val="1239"/>
    <w:qFormat/>
    <w:pPr>
      <w:ind w:left="0" w:firstLine="5120"/>
      <w:spacing w:before="280" w:after="280" w:line="240" w:lineRule="auto"/>
    </w:pPr>
  </w:style>
  <w:style w:type="paragraph" w:styleId="1351" w:customStyle="1">
    <w:name w:val="xl80"/>
    <w:basedOn w:val="996"/>
    <w:next w:val="1352"/>
    <w:qFormat/>
    <w:pPr>
      <w:ind w:left="0" w:firstLine="3584"/>
      <w:jc w:val="center"/>
      <w:spacing w:before="280" w:after="280" w:line="240" w:lineRule="auto"/>
    </w:pPr>
  </w:style>
  <w:style w:type="paragraph" w:styleId="1352" w:customStyle="1">
    <w:name w:val="样式2"/>
    <w:basedOn w:val="1001"/>
    <w:next w:val="1278"/>
    <w:qFormat/>
    <w:pPr>
      <w:ind w:left="1134" w:firstLine="18"/>
      <w:spacing w:before="0" w:after="0" w:line="360" w:lineRule="auto"/>
      <w:outlineLvl w:val="4"/>
    </w:pPr>
  </w:style>
  <w:style w:type="paragraph" w:styleId="1353" w:customStyle="1">
    <w:name w:val="msolistparagraph"/>
    <w:basedOn w:val="996"/>
    <w:next w:val="1267"/>
    <w:qFormat/>
    <w:pPr>
      <w:ind w:left="420" w:firstLine="3748"/>
      <w:spacing w:before="0" w:after="0" w:line="240" w:lineRule="auto"/>
    </w:pPr>
  </w:style>
  <w:style w:type="paragraph" w:styleId="1354" w:customStyle="1">
    <w:name w:val="xl68"/>
    <w:basedOn w:val="996"/>
    <w:next w:val="1355"/>
    <w:qFormat/>
    <w:pPr>
      <w:ind w:left="100" w:firstLine="5220"/>
      <w:spacing w:before="280" w:after="280" w:line="240" w:lineRule="auto"/>
    </w:pPr>
  </w:style>
  <w:style w:type="paragraph" w:styleId="1355" w:customStyle="1">
    <w:name w:val="Char1"/>
    <w:basedOn w:val="996"/>
    <w:next w:val="1274"/>
    <w:qFormat/>
    <w:pPr>
      <w:ind w:left="0" w:firstLine="2560"/>
      <w:spacing w:before="0" w:after="0" w:line="240" w:lineRule="auto"/>
    </w:pPr>
  </w:style>
  <w:style w:type="paragraph" w:styleId="1356" w:customStyle="1">
    <w:name w:val="xl83"/>
    <w:basedOn w:val="996"/>
    <w:next w:val="1346"/>
    <w:qFormat/>
    <w:pPr>
      <w:ind w:left="0" w:firstLine="5120"/>
      <w:spacing w:before="280" w:after="280" w:line="240" w:lineRule="auto"/>
    </w:pPr>
  </w:style>
  <w:style w:type="paragraph" w:styleId="1357" w:customStyle="1">
    <w:name w:val="正文符号1"/>
    <w:basedOn w:val="996"/>
    <w:next w:val="1236"/>
    <w:qFormat/>
    <w:pPr>
      <w:ind w:left="987" w:firstLine="5724"/>
      <w:spacing w:before="0" w:after="0" w:line="240" w:lineRule="auto"/>
    </w:pPr>
  </w:style>
  <w:style w:type="paragraph" w:styleId="1358" w:customStyle="1">
    <w:name w:val="2ji"/>
    <w:basedOn w:val="998"/>
    <w:next w:val="1037"/>
    <w:qFormat/>
    <w:pPr>
      <w:ind w:left="0" w:firstLine="24"/>
      <w:spacing w:before="0" w:after="0" w:line="360" w:lineRule="auto"/>
      <w:outlineLvl w:val="1"/>
    </w:pPr>
  </w:style>
  <w:style w:type="paragraph" w:styleId="1359" w:customStyle="1">
    <w:name w:val="xl79"/>
    <w:basedOn w:val="996"/>
    <w:next w:val="1309"/>
    <w:qFormat/>
    <w:pPr>
      <w:ind w:left="0" w:firstLine="3584"/>
      <w:jc w:val="center"/>
      <w:spacing w:before="280" w:after="280" w:line="240" w:lineRule="auto"/>
    </w:pPr>
  </w:style>
  <w:style w:type="paragraph" w:styleId="1360" w:customStyle="1">
    <w:name w:val="xl23"/>
    <w:basedOn w:val="996"/>
    <w:next w:val="1031"/>
    <w:qFormat/>
    <w:pPr>
      <w:ind w:left="0" w:firstLine="20"/>
      <w:spacing w:before="280" w:after="280" w:line="240" w:lineRule="auto"/>
      <w:shd w:val="clear" w:color="000000" w:fill="ffffff"/>
    </w:pPr>
  </w:style>
  <w:style w:type="paragraph" w:styleId="1361" w:customStyle="1">
    <w:name w:val="xl75"/>
    <w:basedOn w:val="996"/>
    <w:next w:val="1040"/>
    <w:qFormat/>
    <w:pPr>
      <w:ind w:left="0" w:firstLine="3584"/>
      <w:jc w:val="center"/>
      <w:spacing w:before="280" w:after="280" w:line="240" w:lineRule="auto"/>
    </w:pPr>
  </w:style>
  <w:style w:type="paragraph" w:styleId="1362" w:customStyle="1">
    <w:name w:val="纯文本3"/>
    <w:basedOn w:val="995"/>
    <w:qFormat/>
    <w:rPr>
      <w:rFonts w:ascii="宋体" w:hAnsi="Courier New"/>
    </w:rPr>
  </w:style>
  <w:style w:type="paragraph" w:styleId="1363" w:customStyle="1">
    <w:name w:val="表格文字（两侧对齐）"/>
    <w:basedOn w:val="996"/>
    <w:next w:val="1284"/>
    <w:qFormat/>
    <w:pPr>
      <w:ind w:left="0" w:firstLine="3584"/>
      <w:spacing w:before="0" w:after="0" w:line="240" w:lineRule="auto"/>
    </w:pPr>
  </w:style>
  <w:style w:type="paragraph" w:styleId="1364" w:customStyle="1">
    <w:name w:val="1ji"/>
    <w:basedOn w:val="997"/>
    <w:next w:val="1327"/>
    <w:qFormat/>
    <w:pPr>
      <w:ind w:left="0" w:firstLine="18"/>
      <w:jc w:val="center"/>
      <w:spacing w:before="0" w:after="0" w:line="240" w:lineRule="auto"/>
      <w:outlineLvl w:val="0"/>
    </w:pPr>
  </w:style>
  <w:style w:type="paragraph" w:styleId="1365" w:customStyle="1">
    <w:name w:val="正文_0_0"/>
    <w:next w:val="1324"/>
    <w:qFormat/>
    <w:pPr>
      <w:ind w:firstLine="3584"/>
      <w:jc w:val="both"/>
      <w:widowControl w:val="off"/>
    </w:pPr>
    <w:rPr>
      <w:rFonts w:ascii="Calibri" w:hAnsi="Calibri"/>
    </w:rPr>
  </w:style>
  <w:style w:type="paragraph" w:styleId="1366" w:customStyle="1">
    <w:name w:val="font5"/>
    <w:basedOn w:val="996"/>
    <w:next w:val="1193"/>
    <w:qFormat/>
    <w:pPr>
      <w:ind w:left="0" w:firstLine="5120"/>
      <w:spacing w:before="280" w:after="280" w:line="240" w:lineRule="auto"/>
    </w:pPr>
  </w:style>
  <w:style w:type="paragraph" w:styleId="1367" w:customStyle="1">
    <w:name w:val="索引 81"/>
    <w:basedOn w:val="996"/>
    <w:next w:val="995"/>
    <w:qFormat/>
    <w:pPr>
      <w:ind w:left="1400" w:firstLine="2560"/>
      <w:jc w:val="center"/>
      <w:spacing w:before="0" w:after="0" w:line="360" w:lineRule="auto"/>
    </w:pPr>
  </w:style>
  <w:style w:type="paragraph" w:styleId="1368" w:customStyle="1">
    <w:name w:val="标书_正文"/>
    <w:basedOn w:val="996"/>
    <w:next w:val="1369"/>
    <w:qFormat/>
    <w:pPr>
      <w:ind w:left="420" w:firstLine="1188"/>
      <w:spacing w:before="0" w:after="0" w:line="360" w:lineRule="auto"/>
    </w:pPr>
  </w:style>
  <w:style w:type="paragraph" w:styleId="1369" w:customStyle="1">
    <w:name w:val="样式 标题 2 + Times New Roman 四号 非加粗 段前: 5 磅 段后: 0 磅 行距: 固定值 20..."/>
    <w:basedOn w:val="998"/>
    <w:next w:val="1269"/>
    <w:qFormat/>
    <w:pPr>
      <w:ind w:left="0" w:firstLine="24"/>
      <w:spacing w:before="100" w:after="0" w:line="400" w:lineRule="exact"/>
      <w:outlineLvl w:val="1"/>
    </w:pPr>
  </w:style>
  <w:style w:type="paragraph" w:styleId="1370" w:customStyle="1">
    <w:name w:val="Text Body"/>
    <w:basedOn w:val="996"/>
    <w:next w:val="1325"/>
    <w:qFormat/>
    <w:pPr>
      <w:ind w:left="0" w:firstLine="4096"/>
      <w:spacing w:before="0" w:after="120" w:line="240" w:lineRule="auto"/>
    </w:pPr>
  </w:style>
  <w:style w:type="paragraph" w:styleId="1371" w:customStyle="1">
    <w:name w:val="索引 71"/>
    <w:basedOn w:val="996"/>
    <w:next w:val="995"/>
    <w:qFormat/>
    <w:pPr>
      <w:ind w:left="1200" w:firstLine="2560"/>
      <w:jc w:val="center"/>
      <w:spacing w:before="0" w:after="0" w:line="360" w:lineRule="auto"/>
    </w:pPr>
  </w:style>
  <w:style w:type="paragraph" w:styleId="1372" w:customStyle="1">
    <w:name w:val="修订2"/>
    <w:uiPriority w:val="99"/>
    <w:semiHidden/>
    <w:qFormat/>
    <w:rPr>
      <w:rFonts w:ascii="Calibri" w:hAnsi="Calibri"/>
    </w:rPr>
  </w:style>
  <w:style w:type="paragraph" w:styleId="1373" w:customStyle="1">
    <w:name w:val="WPSOffice手动目录 2"/>
    <w:qFormat/>
    <w:pPr>
      <w:ind w:left="200"/>
    </w:pPr>
  </w:style>
  <w:style w:type="paragraph" w:styleId="1374" w:customStyle="1">
    <w:name w:val="索引 11"/>
    <w:basedOn w:val="996"/>
    <w:next w:val="995"/>
    <w:qFormat/>
    <w:pPr>
      <w:ind w:left="0" w:firstLine="3584"/>
      <w:spacing w:before="0" w:after="0" w:line="240" w:lineRule="auto"/>
    </w:pPr>
  </w:style>
  <w:style w:type="paragraph" w:styleId="1375" w:customStyle="1">
    <w:name w:val="444"/>
    <w:basedOn w:val="996"/>
    <w:next w:val="1016"/>
    <w:qFormat/>
    <w:pPr>
      <w:ind w:left="0" w:firstLine="4608"/>
      <w:jc w:val="center"/>
      <w:spacing w:before="0" w:after="0" w:line="312" w:lineRule="atLeast"/>
    </w:pPr>
  </w:style>
  <w:style w:type="paragraph" w:styleId="1376" w:customStyle="1">
    <w:name w:val="p15"/>
    <w:basedOn w:val="995"/>
    <w:qFormat/>
    <w:pPr>
      <w:ind w:left="0"/>
    </w:pPr>
    <w:rPr>
      <w:rFonts w:ascii="宋体" w:hAnsi="宋体" w:cs="宋体"/>
      <w:sz w:val="28"/>
      <w:szCs w:val="28"/>
    </w:rPr>
  </w:style>
  <w:style w:type="paragraph" w:styleId="1377" w:customStyle="1">
    <w:name w:val="文档结构图1"/>
    <w:basedOn w:val="996"/>
    <w:next w:val="1358"/>
    <w:qFormat/>
    <w:pPr>
      <w:ind w:left="200" w:firstLine="2248"/>
      <w:spacing w:before="0" w:after="0" w:line="360" w:lineRule="auto"/>
    </w:pPr>
  </w:style>
  <w:style w:type="paragraph" w:styleId="1378" w:customStyle="1">
    <w:name w:val="样式 首行缩进:  2 字符"/>
    <w:basedOn w:val="996"/>
    <w:next w:val="1361"/>
    <w:qFormat/>
    <w:pPr>
      <w:ind w:left="200" w:firstLine="1224"/>
      <w:spacing w:before="0" w:after="0" w:line="400" w:lineRule="exact"/>
    </w:pPr>
  </w:style>
  <w:style w:type="paragraph" w:styleId="1379" w:customStyle="1">
    <w:name w:val="H 3"/>
    <w:basedOn w:val="999"/>
    <w:next w:val="1356"/>
    <w:qFormat/>
    <w:pPr>
      <w:ind w:left="1429" w:firstLine="18"/>
      <w:spacing w:before="0" w:after="0" w:line="360" w:lineRule="auto"/>
      <w:outlineLvl w:val="2"/>
    </w:pPr>
  </w:style>
  <w:style w:type="paragraph" w:styleId="1380" w:customStyle="1">
    <w:name w:val="段"/>
    <w:next w:val="995"/>
    <w:qFormat/>
    <w:pPr>
      <w:ind w:firstLine="200"/>
      <w:jc w:val="both"/>
    </w:pPr>
    <w:rPr>
      <w:rFonts w:ascii="宋体"/>
      <w:sz w:val="21"/>
    </w:rPr>
  </w:style>
  <w:style w:type="paragraph" w:styleId="1381" w:customStyle="1">
    <w:name w:val="xl85"/>
    <w:basedOn w:val="996"/>
    <w:next w:val="1382"/>
    <w:qFormat/>
    <w:pPr>
      <w:ind w:left="0" w:firstLine="2048"/>
      <w:jc w:val="center"/>
      <w:spacing w:before="280" w:after="280" w:line="240" w:lineRule="auto"/>
    </w:pPr>
  </w:style>
  <w:style w:type="paragraph" w:styleId="1382" w:customStyle="1">
    <w:name w:val="文章总标题"/>
    <w:basedOn w:val="996"/>
    <w:next w:val="1378"/>
    <w:qFormat/>
    <w:pPr>
      <w:ind w:left="0" w:firstLine="7168"/>
      <w:jc w:val="center"/>
      <w:spacing w:before="566" w:after="544" w:line="566" w:lineRule="atLeast"/>
    </w:pPr>
  </w:style>
  <w:style w:type="paragraph" w:styleId="1383" w:customStyle="1">
    <w:name w:val="WPSOffice手动目录 1"/>
    <w:qFormat/>
  </w:style>
  <w:style w:type="paragraph" w:styleId="1384" w:customStyle="1">
    <w:name w:val="Pa0"/>
    <w:basedOn w:val="996"/>
    <w:next w:val="995"/>
    <w:qFormat/>
    <w:pPr>
      <w:ind w:left="0" w:firstLine="4608"/>
      <w:spacing w:before="0" w:after="0" w:line="241" w:lineRule="atLeast"/>
    </w:pPr>
  </w:style>
  <w:style w:type="paragraph" w:styleId="1385" w:customStyle="1">
    <w:name w:val="H 4"/>
    <w:basedOn w:val="1000"/>
    <w:next w:val="1350"/>
    <w:qFormat/>
    <w:pPr>
      <w:ind w:left="426" w:firstLine="24"/>
      <w:spacing w:before="0" w:after="0" w:line="360" w:lineRule="auto"/>
      <w:outlineLvl w:val="3"/>
    </w:pPr>
  </w:style>
  <w:style w:type="paragraph" w:styleId="1386" w:customStyle="1">
    <w:name w:val="Default Paragraph Font Para Char Char Char Char Char Char"/>
    <w:basedOn w:val="996"/>
    <w:next w:val="1360"/>
    <w:qFormat/>
    <w:pPr>
      <w:ind w:left="0" w:firstLine="3584"/>
      <w:spacing w:before="0" w:after="160" w:line="240" w:lineRule="exact"/>
    </w:pPr>
  </w:style>
  <w:style w:type="paragraph" w:styleId="1387" w:customStyle="1">
    <w:name w:val="表格文字"/>
    <w:next w:val="1256"/>
    <w:qFormat/>
    <w:pPr>
      <w:ind w:firstLine="3584"/>
    </w:pPr>
    <w:rPr>
      <w:rFonts w:ascii="Calibri" w:hAnsi="Calibri"/>
    </w:rPr>
  </w:style>
  <w:style w:type="paragraph" w:styleId="1388">
    <w:name w:val="Quote"/>
    <w:next w:val="995"/>
    <w:qFormat/>
    <w:pPr>
      <w:ind w:left="3680" w:right="864"/>
      <w:jc w:val="center"/>
      <w:spacing w:before="200" w:after="160"/>
    </w:pPr>
    <w:rPr>
      <w:rFonts w:ascii="Calibri" w:hAnsi="Calibri"/>
      <w:i/>
    </w:rPr>
  </w:style>
  <w:style w:type="paragraph" w:styleId="1389" w:customStyle="1">
    <w:name w:val="索引 51"/>
    <w:basedOn w:val="996"/>
    <w:next w:val="995"/>
    <w:qFormat/>
    <w:pPr>
      <w:ind w:left="800" w:firstLine="2560"/>
      <w:jc w:val="center"/>
      <w:spacing w:before="0" w:after="0" w:line="360" w:lineRule="auto"/>
    </w:pPr>
  </w:style>
  <w:style w:type="paragraph" w:styleId="1390" w:customStyle="1">
    <w:name w:val="xl73"/>
    <w:basedOn w:val="996"/>
    <w:next w:val="1351"/>
    <w:qFormat/>
    <w:pPr>
      <w:ind w:left="0" w:firstLine="3584"/>
      <w:spacing w:before="280" w:after="280" w:line="240" w:lineRule="auto"/>
    </w:pPr>
  </w:style>
  <w:style w:type="paragraph" w:styleId="1391" w:customStyle="1">
    <w:name w:val="Char Char Char Char Char Char1 Char Char Char Char Char Char1 Char Char Char"/>
    <w:basedOn w:val="996"/>
    <w:next w:val="1357"/>
    <w:qFormat/>
    <w:pPr>
      <w:ind w:left="0" w:firstLine="2560"/>
      <w:spacing w:before="0" w:after="0" w:line="240" w:lineRule="auto"/>
    </w:pPr>
  </w:style>
  <w:style w:type="paragraph" w:styleId="1392" w:customStyle="1">
    <w:name w:val="Char Char Char Char Char Char1 Char Char Char1 Char Char Char Char Char Char Char Char Char Char Char Char"/>
    <w:basedOn w:val="996"/>
    <w:next w:val="1381"/>
    <w:qFormat/>
    <w:pPr>
      <w:ind w:left="0" w:firstLine="2560"/>
      <w:spacing w:before="0" w:after="0" w:line="240" w:lineRule="auto"/>
    </w:pPr>
  </w:style>
  <w:style w:type="paragraph" w:styleId="1393" w:customStyle="1">
    <w:name w:val="0"/>
    <w:basedOn w:val="996"/>
    <w:next w:val="1375"/>
    <w:qFormat/>
    <w:pPr>
      <w:ind w:left="0" w:firstLine="2815"/>
      <w:spacing w:before="0" w:after="0" w:line="360" w:lineRule="auto"/>
    </w:pPr>
  </w:style>
  <w:style w:type="paragraph" w:styleId="1394" w:customStyle="1">
    <w:name w:val="自定义二"/>
    <w:basedOn w:val="996"/>
    <w:next w:val="995"/>
    <w:qFormat/>
    <w:pPr>
      <w:ind w:left="0" w:firstLine="14"/>
      <w:spacing w:before="0" w:after="0" w:line="360" w:lineRule="auto"/>
      <w:outlineLvl w:val="1"/>
    </w:pPr>
  </w:style>
  <w:style w:type="paragraph" w:styleId="1395" w:customStyle="1">
    <w:name w:val="目录标题"/>
    <w:basedOn w:val="996"/>
    <w:next w:val="995"/>
    <w:qFormat/>
    <w:pPr>
      <w:ind w:left="419" w:firstLine="7331"/>
      <w:jc w:val="center"/>
      <w:spacing w:before="566" w:after="544" w:line="566" w:lineRule="atLeast"/>
    </w:pPr>
  </w:style>
  <w:style w:type="paragraph" w:styleId="1396" w:customStyle="1">
    <w:name w:val="xl86"/>
    <w:basedOn w:val="996"/>
    <w:next w:val="1371"/>
    <w:qFormat/>
    <w:pPr>
      <w:ind w:left="0" w:firstLine="5120"/>
      <w:spacing w:before="280" w:after="280" w:line="240" w:lineRule="auto"/>
    </w:pPr>
  </w:style>
  <w:style w:type="paragraph" w:styleId="1397" w:customStyle="1">
    <w:name w:val="图表目录1"/>
    <w:basedOn w:val="996"/>
    <w:next w:val="995"/>
    <w:qFormat/>
    <w:pPr>
      <w:ind w:left="200" w:firstLine="2616"/>
      <w:jc w:val="center"/>
      <w:spacing w:before="0" w:after="0" w:line="360" w:lineRule="auto"/>
    </w:pPr>
  </w:style>
  <w:style w:type="paragraph" w:styleId="1398" w:customStyle="1">
    <w:name w:val="正文文本缩进 21"/>
    <w:basedOn w:val="996"/>
    <w:next w:val="1363"/>
    <w:qFormat/>
    <w:pPr>
      <w:ind w:left="480" w:firstLine="4832"/>
      <w:spacing w:before="0" w:after="0" w:line="240" w:lineRule="auto"/>
    </w:pPr>
  </w:style>
  <w:style w:type="paragraph" w:styleId="1399" w:customStyle="1">
    <w:name w:val="xl72"/>
    <w:basedOn w:val="996"/>
    <w:next w:val="1384"/>
    <w:qFormat/>
    <w:pPr>
      <w:ind w:left="0" w:firstLine="3584"/>
      <w:spacing w:before="280" w:after="280" w:line="240" w:lineRule="auto"/>
    </w:pPr>
  </w:style>
  <w:style w:type="paragraph" w:styleId="1400" w:customStyle="1">
    <w:name w:val="默认段落字体 Para Char Char Char Char Char Char Char Char Char1 Char Char Char Char"/>
    <w:basedOn w:val="996"/>
    <w:next w:val="1252"/>
    <w:qFormat/>
    <w:pPr>
      <w:ind w:left="0" w:firstLine="2560"/>
      <w:spacing w:before="0" w:after="0" w:line="240" w:lineRule="auto"/>
    </w:pPr>
  </w:style>
  <w:style w:type="paragraph" w:styleId="1401" w:customStyle="1">
    <w:name w:val="p0"/>
    <w:next w:val="995"/>
    <w:qFormat/>
    <w:pPr>
      <w:ind w:firstLine="2048"/>
      <w:spacing w:line="360" w:lineRule="auto"/>
    </w:pPr>
    <w:rPr>
      <w:rFonts w:ascii="Calibri" w:hAnsi="Calibri"/>
    </w:rPr>
  </w:style>
  <w:style w:type="paragraph" w:styleId="1402" w:customStyle="1">
    <w:name w:val="CM5"/>
    <w:basedOn w:val="996"/>
    <w:next w:val="995"/>
    <w:qFormat/>
    <w:pPr>
      <w:ind w:left="200" w:firstLine="2760"/>
      <w:spacing w:before="0" w:after="0" w:line="400" w:lineRule="atLeast"/>
    </w:pPr>
  </w:style>
  <w:style w:type="paragraph" w:styleId="1403" w:customStyle="1">
    <w:name w:val="正文首行缩进两字符"/>
    <w:basedOn w:val="996"/>
    <w:next w:val="1389"/>
    <w:qFormat/>
    <w:pPr>
      <w:ind w:left="200" w:firstLine="3784"/>
      <w:spacing w:before="0" w:after="0" w:line="360" w:lineRule="auto"/>
    </w:pPr>
  </w:style>
  <w:style w:type="character" w:styleId="1404" w:customStyle="1">
    <w:name w:val="标题 1 字符"/>
    <w:link w:val="996"/>
    <w:qFormat/>
    <w:rPr>
      <w:rFonts w:ascii="Calibri" w:hAnsi="Calibri"/>
    </w:rPr>
  </w:style>
  <w:style w:type="table" w:styleId="1405" w:customStyle="1">
    <w:name w:val="网格型1"/>
    <w:basedOn w:val="100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06" w:customStyle="1">
    <w:name w:val="Body text|1"/>
    <w:basedOn w:val="995"/>
    <w:qFormat/>
    <w:pPr>
      <w:ind w:left="0" w:firstLine="400"/>
      <w:spacing w:line="480" w:lineRule="auto"/>
      <w:widowControl w:val="off"/>
    </w:pPr>
    <w:rPr>
      <w:rFonts w:ascii="宋体" w:hAnsi="宋体" w:cs="宋体"/>
      <w:lang w:val="zh-TW" w:eastAsia="zh-TW" w:bidi="zh-TW"/>
    </w:rPr>
  </w:style>
  <w:style w:type="character" w:styleId="1407" w:customStyle="1">
    <w:name w:val="列出段落 字符"/>
    <w:link w:val="1062"/>
    <w:uiPriority w:val="34"/>
    <w:qFormat/>
    <w:rPr>
      <w:rFonts w:ascii="Calibri" w:hAnsi="Calibri"/>
    </w:rPr>
  </w:style>
  <w:style w:type="character" w:styleId="1408" w:customStyle="1">
    <w:name w:val="font21"/>
    <w:basedOn w:val="1005"/>
    <w:qFormat/>
    <w:rPr>
      <w:rFonts w:hint="default" w:ascii="Times New Roman" w:hAnsi="Times New Roman" w:cs="Times New Roman"/>
      <w:b/>
      <w:bCs/>
      <w:color w:val="000000"/>
      <w:sz w:val="21"/>
      <w:szCs w:val="21"/>
      <w:u w:val="none"/>
    </w:rPr>
  </w:style>
  <w:style w:type="character" w:styleId="1409" w:customStyle="1">
    <w:name w:val="font11"/>
    <w:basedOn w:val="1005"/>
    <w:qFormat/>
    <w:rPr>
      <w:rFonts w:hint="eastAsia" w:ascii="宋体" w:hAnsi="宋体" w:eastAsia="宋体" w:cs="宋体"/>
      <w:b/>
      <w:bCs/>
      <w:color w:val="000000"/>
      <w:sz w:val="21"/>
      <w:szCs w:val="21"/>
      <w:u w:val="none"/>
    </w:rPr>
  </w:style>
  <w:style w:type="character" w:styleId="1410" w:customStyle="1">
    <w:name w:val="font31"/>
    <w:basedOn w:val="1005"/>
    <w:qFormat/>
    <w:rPr>
      <w:rFonts w:hint="eastAsia" w:ascii="宋体" w:hAnsi="宋体" w:eastAsia="宋体" w:cs="宋体"/>
      <w:color w:val="000000"/>
      <w:sz w:val="21"/>
      <w:szCs w:val="21"/>
      <w:u w:val="none"/>
    </w:rPr>
  </w:style>
  <w:style w:type="character" w:styleId="1411" w:customStyle="1">
    <w:name w:val="font41"/>
    <w:basedOn w:val="1005"/>
    <w:qFormat/>
    <w:rPr>
      <w:rFonts w:hint="default" w:ascii="Times New Roman" w:hAnsi="Times New Roman" w:cs="Times New Roman"/>
      <w:color w:val="000000"/>
      <w:sz w:val="21"/>
      <w:szCs w:val="21"/>
      <w:u w:val="none"/>
    </w:rPr>
  </w:style>
  <w:style w:type="character" w:styleId="1412" w:customStyle="1">
    <w:name w:val="font51"/>
    <w:basedOn w:val="1005"/>
    <w:qFormat/>
    <w:rPr>
      <w:rFonts w:hint="eastAsia" w:ascii="宋体" w:hAnsi="宋体" w:eastAsia="宋体" w:cs="宋体"/>
      <w:color w:val="000000"/>
      <w:sz w:val="14"/>
      <w:szCs w:val="14"/>
      <w:u w:val="none"/>
    </w:rPr>
  </w:style>
  <w:style w:type="character" w:styleId="1413" w:customStyle="1">
    <w:name w:val="font01"/>
    <w:qFormat/>
    <w:rPr>
      <w:rFonts w:hint="eastAsia" w:ascii="等线" w:hAnsi="等线" w:eastAsia="等线" w:cs="等线"/>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557FCA8-C5A2-4758-8C9F-D7AB197C25F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155</cp:revision>
  <dcterms:created xsi:type="dcterms:W3CDTF">2023-12-20T13:24:00Z</dcterms:created>
  <dcterms:modified xsi:type="dcterms:W3CDTF">2026-10-20T01:35:36Z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696472001E124EE39E98647CB5510B7F</vt:lpwstr>
  </property>
  <property fmtid="{D5CDD505-2E9C-101B-9397-08002B2CF9AE}" pid="4" name="KSOTemplateDocerSaveRecord">
    <vt:lpwstr>eyJoZGlkIjoiZWM4ZDViMWNmZWY4YjRiNDU3ZTM4YmNmNTUyOWI5OTAiLCJ1c2VySWQiOiI3OTkyNzY4MTIifQ==</vt:lpwstr>
  </property>
</Properties>
</file>