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t xml:space="preserve"> </w:t>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1068"/>
        <w:rPr>
          <w:color w:val="auto"/>
          <w:highlight w:val="none"/>
        </w:rPr>
      </w:pPr>
      <w:r>
        <w:rPr>
          <w:color w:val="auto"/>
          <w:highlight w:val="none"/>
        </w:rPr>
      </w:r>
      <w:r/>
    </w:p>
    <w:p>
      <w:pPr>
        <w:pStyle w:val="106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3"/>
        <w:ind w:firstLine="210"/>
        <w:rPr>
          <w:color w:val="auto"/>
          <w:highlight w:val="none"/>
        </w:rPr>
      </w:pPr>
      <w:r>
        <w:rPr>
          <w:color w:val="auto"/>
          <w:highlight w:val="none"/>
        </w:rPr>
        <w:tab/>
      </w:r>
      <w:r/>
    </w:p>
    <w:p>
      <w:pPr>
        <w:ind w:left="2007" w:hanging="1280"/>
        <w:jc w:val="left"/>
        <w:spacing w:line="360" w:lineRule="auto"/>
        <w:tabs>
          <w:tab w:val="left" w:pos="5609" w:leader="none"/>
        </w:tabs>
        <w:rPr>
          <w:rFonts w:hint="eastAsia"/>
          <w:bCs/>
          <w:color w:val="auto"/>
          <w:sz w:val="32"/>
          <w:szCs w:val="36"/>
          <w:highlight w:val="none"/>
          <w:lang w:eastAsia="zh-CN"/>
        </w:rPr>
      </w:pPr>
      <w:r>
        <w:rPr>
          <w:bCs/>
          <w:color w:val="auto"/>
          <w:sz w:val="32"/>
          <w:szCs w:val="36"/>
          <w:highlight w:val="none"/>
        </w:rPr>
        <w:t xml:space="preserve">项目名称</w:t>
      </w:r>
      <w:r>
        <w:rPr>
          <w:rFonts w:hint="eastAsia"/>
          <w:bCs/>
          <w:color w:val="auto"/>
          <w:sz w:val="32"/>
          <w:szCs w:val="36"/>
          <w:highlight w:val="none"/>
        </w:rPr>
        <w:t xml:space="preserve">：</w:t>
      </w:r>
      <w:r>
        <w:rPr>
          <w:rFonts w:hint="eastAsia"/>
          <w:bCs/>
          <w:color w:val="auto"/>
          <w:sz w:val="32"/>
          <w:szCs w:val="36"/>
          <w:highlight w:val="none"/>
          <w:lang w:eastAsia="zh-CN"/>
        </w:rPr>
        <w:t xml:space="preserve">常州市不动产登记交易中心继承公证服务</w:t>
      </w:r>
      <w:r/>
    </w:p>
    <w:p>
      <w:pPr>
        <w:ind w:left="2003" w:firstLine="320"/>
        <w:jc w:val="left"/>
        <w:spacing w:line="360" w:lineRule="auto"/>
        <w:tabs>
          <w:tab w:val="left" w:pos="5609" w:leader="none"/>
        </w:tabs>
        <w:rPr>
          <w:rFonts w:hint="eastAsia" w:eastAsia="宋体"/>
          <w:bCs/>
          <w:color w:val="auto"/>
          <w:sz w:val="32"/>
          <w:szCs w:val="36"/>
          <w:highlight w:val="none"/>
          <w:lang w:eastAsia="zh-CN"/>
        </w:rPr>
      </w:pPr>
      <w:r>
        <w:rPr>
          <w:rFonts w:hint="eastAsia"/>
          <w:bCs/>
          <w:color w:val="auto"/>
          <w:sz w:val="32"/>
          <w:szCs w:val="36"/>
          <w:highlight w:val="none"/>
          <w:lang w:eastAsia="zh-CN"/>
        </w:rPr>
        <w:t xml:space="preserve">采购项目</w:t>
      </w:r>
      <w:r/>
    </w:p>
    <w:p>
      <w:pPr>
        <w:ind w:left="1687" w:hanging="960"/>
        <w:jc w:val="left"/>
        <w:spacing w:line="360" w:lineRule="auto"/>
        <w:tabs>
          <w:tab w:val="left" w:pos="5609" w:leader="none"/>
        </w:tabs>
        <w:rPr>
          <w:rFonts w:hint="eastAsia"/>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JSZC-320400-ZCCZ-C2026-0032</w:t>
      </w:r>
      <w:r/>
    </w:p>
    <w:p>
      <w:pPr>
        <w:ind w:left="2379" w:hanging="160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采 购 人：</w:t>
      </w:r>
      <w:r>
        <w:rPr>
          <w:rFonts w:hint="eastAsia"/>
          <w:bCs/>
          <w:color w:val="auto"/>
          <w:sz w:val="32"/>
          <w:szCs w:val="36"/>
          <w:highlight w:val="none"/>
          <w:lang w:eastAsia="zh-CN"/>
        </w:rPr>
        <w:t xml:space="preserve">常州市不动产登记交易中心</w:t>
      </w:r>
      <w:r/>
    </w:p>
    <w:p>
      <w:pPr>
        <w:ind w:firstLine="822"/>
        <w:jc w:val="left"/>
        <w:spacing w:line="360" w:lineRule="auto"/>
        <w:tabs>
          <w:tab w:val="left" w:pos="3240" w:leader="none"/>
          <w:tab w:val="left" w:pos="3420"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240"/>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67355964"/>
      <w:r/>
      <w:bookmarkStart w:id="1" w:name="_Toc193985577"/>
      <w:r/>
      <w:bookmarkStart w:id="2"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bookmarkEnd w:id="2"/>
      <w:r/>
      <w:r/>
    </w:p>
    <w:p>
      <w:pPr>
        <w:rPr>
          <w:color w:val="auto"/>
          <w:highlight w:val="none"/>
        </w:rPr>
      </w:pPr>
      <w:r>
        <w:rPr>
          <w:color w:val="auto"/>
          <w:highlight w:val="none"/>
        </w:rPr>
      </w:r>
      <w:r/>
    </w:p>
    <w:p>
      <w:pPr>
        <w:pStyle w:val="1081"/>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color w:val="auto"/>
          <w:highlight w:val="none"/>
        </w:rPr>
        <w:fldChar w:fldCharType="begin"/>
      </w:r>
      <w:r>
        <w:rPr>
          <w:color w:val="auto"/>
          <w:highlight w:val="none"/>
        </w:rPr>
        <w:instrText xml:space="preserve"> HYPERLINK \l "_Toc193985577" </w:instrText>
      </w:r>
      <w:r>
        <w:rPr>
          <w:color w:val="auto"/>
          <w:highlight w:val="none"/>
        </w:rPr>
        <w:fldChar w:fldCharType="separate"/>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"_Toc193985578" </w:instrText>
      </w:r>
      <w:r>
        <w:rPr>
          <w:color w:val="auto"/>
          <w:highlight w:val="none"/>
        </w:rPr>
        <w:fldChar w:fldCharType="separate"/>
      </w:r>
      <w:r>
        <w:rPr>
          <w:rStyle w:val="1100"/>
          <w:rFonts w:hint="eastAsia"/>
          <w:color w:val="auto"/>
          <w:highlight w:val="none"/>
        </w:rPr>
        <w:t xml:space="preserve">第一章</w:t>
      </w:r>
      <w:r>
        <w:rPr>
          <w:rStyle w:val="1100"/>
          <w:color w:val="auto"/>
          <w:highlight w:val="none"/>
        </w:rPr>
        <w:t xml:space="preserve">   </w:t>
      </w:r>
      <w:r>
        <w:rPr>
          <w:rStyle w:val="1100"/>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_Toc193985578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"_Toc193985579" </w:instrText>
      </w:r>
      <w:r>
        <w:rPr>
          <w:color w:val="auto"/>
          <w:highlight w:val="none"/>
        </w:rPr>
        <w:fldChar w:fldCharType="separate"/>
      </w:r>
      <w:r>
        <w:rPr>
          <w:rStyle w:val="1100"/>
          <w:rFonts w:hint="eastAsia"/>
          <w:color w:val="auto"/>
          <w:highlight w:val="none"/>
        </w:rPr>
        <w:t xml:space="preserve">第二章</w:t>
      </w:r>
      <w:r>
        <w:rPr>
          <w:rStyle w:val="1100"/>
          <w:color w:val="auto"/>
          <w:highlight w:val="none"/>
        </w:rPr>
        <w:t xml:space="preserve">   </w:t>
      </w:r>
      <w:r>
        <w:rPr>
          <w:rStyle w:val="1100"/>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_Toc193985579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"_Toc193985580" </w:instrText>
      </w:r>
      <w:r>
        <w:rPr>
          <w:color w:val="auto"/>
          <w:highlight w:val="none"/>
        </w:rPr>
        <w:fldChar w:fldCharType="separate"/>
      </w:r>
      <w:r>
        <w:rPr>
          <w:rStyle w:val="1100"/>
          <w:rFonts w:hint="eastAsia"/>
          <w:color w:val="auto"/>
          <w:highlight w:val="none"/>
        </w:rPr>
        <w:t xml:space="preserve">第三章</w:t>
      </w:r>
      <w:r>
        <w:rPr>
          <w:rStyle w:val="1100"/>
          <w:color w:val="auto"/>
          <w:highlight w:val="none"/>
        </w:rPr>
        <w:t xml:space="preserve">   </w:t>
      </w:r>
      <w:r>
        <w:rPr>
          <w:rStyle w:val="1100"/>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_Toc193985580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"_Toc193985581" </w:instrText>
      </w:r>
      <w:r>
        <w:rPr>
          <w:color w:val="auto"/>
          <w:highlight w:val="none"/>
        </w:rPr>
        <w:fldChar w:fldCharType="separate"/>
      </w:r>
      <w:r>
        <w:rPr>
          <w:rStyle w:val="1100"/>
          <w:rFonts w:hint="eastAsia"/>
          <w:color w:val="auto"/>
          <w:highlight w:val="none"/>
        </w:rPr>
        <w:t xml:space="preserve">第四章</w:t>
      </w:r>
      <w:r>
        <w:rPr>
          <w:rStyle w:val="1100"/>
          <w:color w:val="auto"/>
          <w:highlight w:val="none"/>
        </w:rPr>
        <w:t xml:space="preserve">   </w:t>
      </w:r>
      <w:r>
        <w:rPr>
          <w:rStyle w:val="1100"/>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_Toc193985581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"_Toc193985582" </w:instrText>
      </w:r>
      <w:r>
        <w:rPr>
          <w:color w:val="auto"/>
          <w:highlight w:val="none"/>
        </w:rPr>
        <w:fldChar w:fldCharType="separate"/>
      </w:r>
      <w:r>
        <w:rPr>
          <w:rStyle w:val="1100"/>
          <w:rFonts w:hint="eastAsia"/>
          <w:color w:val="auto"/>
          <w:highlight w:val="none"/>
        </w:rPr>
        <w:t xml:space="preserve">第五章</w:t>
      </w:r>
      <w:r>
        <w:rPr>
          <w:rStyle w:val="1100"/>
          <w:color w:val="auto"/>
          <w:highlight w:val="none"/>
        </w:rPr>
        <w:t xml:space="preserve">   </w:t>
      </w:r>
      <w:r>
        <w:rPr>
          <w:rStyle w:val="1100"/>
          <w:rFonts w:hint="eastAsia"/>
          <w:color w:val="auto"/>
          <w:highlight w:val="none"/>
        </w:rPr>
        <w:t xml:space="preserve">合同草案条款</w:t>
      </w:r>
      <w:r>
        <w:rPr>
          <w:color w:val="auto"/>
          <w:highlight w:val="none"/>
        </w:rPr>
        <w:tab/>
      </w:r>
      <w:r>
        <w:rPr>
          <w:color w:val="auto"/>
          <w:highlight w:val="none"/>
        </w:rPr>
        <w:fldChar w:fldCharType="begin"/>
      </w:r>
      <w:r>
        <w:rPr>
          <w:color w:val="auto"/>
          <w:highlight w:val="none"/>
        </w:rPr>
        <w:instrText xml:space="preserve"> PAGEREF _Toc193985582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1081"/>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"_Toc193985583" </w:instrText>
      </w:r>
      <w:r>
        <w:rPr>
          <w:color w:val="auto"/>
          <w:highlight w:val="none"/>
        </w:rPr>
        <w:fldChar w:fldCharType="separate"/>
      </w:r>
      <w:r>
        <w:rPr>
          <w:rStyle w:val="1100"/>
          <w:rFonts w:hint="eastAsia"/>
          <w:color w:val="auto"/>
          <w:highlight w:val="none"/>
        </w:rPr>
        <w:t xml:space="preserve">第六章</w:t>
      </w:r>
      <w:r>
        <w:rPr>
          <w:rStyle w:val="1100"/>
          <w:color w:val="auto"/>
          <w:highlight w:val="none"/>
        </w:rPr>
        <w:t xml:space="preserve">   </w:t>
      </w:r>
      <w:r>
        <w:rPr>
          <w:rStyle w:val="1100"/>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_Toc193985583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1081"/>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081"/>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193985578"/>
      <w:r>
        <w:rPr>
          <w:b/>
          <w:color w:val="auto"/>
          <w:sz w:val="36"/>
          <w:szCs w:val="36"/>
          <w:highlight w:val="none"/>
        </w:rPr>
        <w:t xml:space="preserve">第一章   采购邀请</w:t>
      </w:r>
      <w:bookmarkEnd w:id="3"/>
      <w:r/>
      <w:bookmarkStart w:id="4" w:name="_Toc35393790"/>
      <w:r/>
      <w:bookmarkStart w:id="5" w:name="_Hlk24379207"/>
      <w:r/>
      <w:bookmarkStart w:id="6" w:name="_Toc35393621"/>
      <w:r/>
      <w:bookmarkStart w:id="7" w:name="_Toc28359002"/>
      <w:r/>
      <w:bookmarkStart w:id="8" w:name="_Toc28359079"/>
      <w:r/>
      <w:bookmarkEnd w:id="4"/>
      <w:r/>
      <w:bookmarkEnd w:id="5"/>
      <w:r/>
      <w:bookmarkEnd w:id="6"/>
      <w:r/>
      <w:bookmarkEnd w:id="7"/>
      <w:r/>
      <w:bookmarkEnd w:id="8"/>
      <w:r/>
      <w:r/>
    </w:p>
    <w:p>
      <w:pPr>
        <w:ind w:firstLine="480"/>
        <w:spacing w:line="360" w:lineRule="auto"/>
        <w:rPr>
          <w:rFonts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lang w:eastAsia="zh-CN"/>
        </w:rPr>
        <w:t xml:space="preserve">常州市不动产登记交易中心继承公证服务采购项目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1051"/>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lang w:eastAsia="zh-CN"/>
        </w:rPr>
        <w:t xml:space="preserve">JSZC-320400-ZCCZ-C2026-0032</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lang w:eastAsia="zh-CN"/>
        </w:rPr>
        <w:t xml:space="preserve">常州市不动产登记交易中心继承公证服务采购项目</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w:t>
      </w:r>
      <w:r>
        <w:rPr>
          <w:rFonts w:hint="eastAsia" w:asciiTheme="minorEastAsia" w:hAnsiTheme="minorEastAsia" w:eastAsiaTheme="minorEastAsia"/>
          <w:color w:val="auto"/>
          <w:sz w:val="24"/>
          <w:highlight w:val="none"/>
          <w:lang w:val="en-US" w:eastAsia="zh-CN"/>
        </w:rPr>
        <w:t xml:space="preserve">150</w:t>
      </w:r>
      <w:r>
        <w:rPr>
          <w:rFonts w:hint="eastAsia" w:asciiTheme="minorEastAsia" w:hAnsiTheme="minorEastAsia" w:eastAsiaTheme="minorEastAsia"/>
          <w:color w:val="auto"/>
          <w:sz w:val="24"/>
          <w:highlight w:val="none"/>
        </w:rPr>
        <w:t xml:space="preserve">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项目最高限价：2</w:t>
      </w:r>
      <w:r>
        <w:rPr>
          <w:rFonts w:hint="eastAsia" w:asciiTheme="minorEastAsia" w:hAnsiTheme="minorEastAsia" w:eastAsiaTheme="minorEastAsia"/>
          <w:color w:val="auto"/>
          <w:sz w:val="24"/>
          <w:highlight w:val="none"/>
          <w:lang w:val="en-US" w:eastAsia="zh-CN"/>
        </w:rPr>
        <w:t xml:space="preserve">0</w:t>
      </w:r>
      <w:r>
        <w:rPr>
          <w:rFonts w:hint="eastAsia" w:asciiTheme="minorEastAsia" w:hAnsiTheme="minorEastAsia" w:eastAsiaTheme="minorEastAsia"/>
          <w:color w:val="auto"/>
          <w:sz w:val="24"/>
          <w:highlight w:val="none"/>
        </w:rPr>
        <w:t xml:space="preserve">00元/件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采购需求：</w:t>
      </w:r>
      <w:r>
        <w:rPr>
          <w:rFonts w:hint="eastAsia" w:asciiTheme="minorEastAsia" w:hAnsiTheme="minorEastAsia" w:eastAsiaTheme="minorEastAsia"/>
          <w:color w:val="auto"/>
          <w:sz w:val="24"/>
          <w:highlight w:val="none"/>
        </w:rPr>
        <w:t xml:space="preserve">为减少遗产继承中的纠纷，有效保护权利人的合法权益，保障不动产登记的真实、合法、有效，拟采购继承公证服务。具体详见</w:t>
      </w:r>
      <w:r>
        <w:rPr>
          <w:rFonts w:hint="eastAsia" w:asciiTheme="minorEastAsia" w:hAnsiTheme="minorEastAsia" w:eastAsiaTheme="minorEastAsia"/>
          <w:color w:val="auto"/>
          <w:sz w:val="24"/>
          <w:highlight w:val="none"/>
          <w:lang w:val="en-US" w:eastAsia="zh-CN"/>
        </w:rPr>
        <w:t xml:space="preserve">采购</w:t>
      </w:r>
      <w:r>
        <w:rPr>
          <w:rFonts w:hint="eastAsia" w:asciiTheme="minorEastAsia" w:hAnsiTheme="minorEastAsia" w:eastAsiaTheme="minorEastAsia"/>
          <w:color w:val="auto"/>
          <w:sz w:val="24"/>
          <w:highlight w:val="none"/>
        </w:rPr>
        <w:t xml:space="preserve">文件。</w:t>
      </w:r>
      <w:r/>
    </w:p>
    <w:p>
      <w:pPr>
        <w:ind w:firstLine="480"/>
        <w:spacing w:line="360" w:lineRule="auto"/>
        <w:rPr>
          <w:rFonts w:hint="eastAsia" w:ascii="宋体" w:hAnsi="宋体" w:eastAsia="宋体" w:cs="宋体"/>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合同履行</w:t>
      </w:r>
      <w:r>
        <w:rPr>
          <w:rFonts w:hint="eastAsia" w:ascii="宋体" w:hAnsi="宋体" w:cs="宋体"/>
          <w:color w:val="auto"/>
          <w:sz w:val="24"/>
          <w:highlight w:val="none"/>
        </w:rPr>
        <w:t xml:space="preserve">期限：</w:t>
      </w:r>
      <w:r>
        <w:rPr>
          <w:rFonts w:hint="eastAsia" w:ascii="宋体" w:hAnsi="宋体" w:cs="宋体"/>
          <w:color w:val="auto"/>
          <w:sz w:val="24"/>
          <w:highlight w:val="none"/>
          <w:lang w:eastAsia="zh-CN"/>
        </w:rPr>
        <w:t xml:space="preserve">合同签订生效之日起一年。</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asciiTheme="minorEastAsia" w:hAnsiTheme="minorEastAsia" w:eastAsiaTheme="minorEastAsia"/>
          <w:color w:val="auto"/>
          <w:sz w:val="24"/>
          <w:highlight w:val="none"/>
        </w:rPr>
        <w:t xml:space="preserve">.本项目是否接受联合体：</w:t>
      </w:r>
      <w:r>
        <w:rPr>
          <w:rFonts w:hint="eastAsia" w:ascii="宋体" w:hAnsi="宋体"/>
          <w:color w:val="auto"/>
          <w:sz w:val="24"/>
          <w:highlight w:val="none"/>
        </w:rPr>
        <w:t xml:space="preserve">■</w:t>
      </w:r>
      <w:r>
        <w:rPr>
          <w:rFonts w:asciiTheme="minorEastAsia" w:hAnsiTheme="minorEastAsia" w:eastAsiaTheme="minorEastAsia"/>
          <w:color w:val="auto"/>
          <w:sz w:val="24"/>
          <w:highlight w:val="none"/>
        </w:rPr>
        <w:t xml:space="preserve">否。</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9.本项目是否接受进口产品响应：□是  ■否。</w:t>
      </w:r>
      <w:r/>
    </w:p>
    <w:p>
      <w:pPr>
        <w:pStyle w:val="1051"/>
        <w:jc w:val="left"/>
        <w:spacing w:before="0" w:line="360" w:lineRule="auto"/>
        <w:rPr>
          <w:rFonts w:ascii="Times New Roman" w:hAnsi="Times New Roman" w:eastAsia="宋体"/>
          <w:color w:val="auto"/>
          <w:sz w:val="24"/>
          <w:szCs w:val="24"/>
          <w:highlight w:val="none"/>
        </w:rPr>
      </w:pPr>
      <w:r/>
      <w:bookmarkStart w:id="9" w:name="_Toc35393791"/>
      <w:r/>
      <w:bookmarkStart w:id="10" w:name="_Toc35393622"/>
      <w:r/>
      <w:bookmarkStart w:id="11" w:name="_Toc28359003"/>
      <w:r/>
      <w:bookmarkStart w:id="12" w:name="_Toc28359080"/>
      <w:r>
        <w:rPr>
          <w:rFonts w:ascii="Times New Roman" w:hAnsi="Times New Roman" w:eastAsia="宋体"/>
          <w:color w:val="auto"/>
          <w:sz w:val="24"/>
          <w:szCs w:val="24"/>
          <w:highlight w:val="none"/>
        </w:rPr>
        <w:t xml:space="preserve">二、申请人的资格要求</w:t>
      </w:r>
      <w:bookmarkEnd w:id="9"/>
      <w:r/>
      <w:bookmarkEnd w:id="10"/>
      <w:r/>
      <w:bookmarkEnd w:id="11"/>
      <w:r/>
      <w:bookmarkEnd w:id="12"/>
      <w:r>
        <w:rPr>
          <w:rFonts w:ascii="Times New Roman" w:hAnsi="Times New Roman" w:eastAsia="宋体"/>
          <w:color w:val="auto"/>
          <w:sz w:val="24"/>
          <w:szCs w:val="24"/>
          <w:highlight w:val="none"/>
        </w:rPr>
        <w:t xml:space="preserve">：</w:t>
      </w:r>
      <w:r/>
    </w:p>
    <w:p>
      <w:pPr>
        <w:ind w:firstLine="480"/>
        <w:spacing w:line="360" w:lineRule="auto"/>
        <w:rPr>
          <w:rFonts w:ascii="宋体" w:hAnsi="宋体"/>
          <w:color w:val="auto"/>
          <w:sz w:val="24"/>
          <w:highlight w:val="none"/>
        </w:rPr>
      </w:pPr>
      <w:r/>
      <w:bookmarkStart w:id="13" w:name="_Toc28359081"/>
      <w:r/>
      <w:bookmarkStart w:id="14" w:name="_Toc28359004"/>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1068"/>
        <w:ind w:firstLine="480"/>
        <w:rPr>
          <w:color w:val="auto"/>
          <w:highlight w:val="none"/>
        </w:rPr>
      </w:pPr>
      <w:r>
        <w:rPr>
          <w:rFonts w:hint="eastAsia"/>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3.3其他特定资格要求：供应商具有有效的《公证机构执业证》。</w:t>
      </w:r>
      <w:bookmarkEnd w:id="13"/>
      <w:r/>
      <w:bookmarkEnd w:id="14"/>
      <w:r/>
      <w:r/>
    </w:p>
    <w:p>
      <w:pPr>
        <w:pStyle w:val="1051"/>
        <w:jc w:val="left"/>
        <w:spacing w:before="0" w:line="360" w:lineRule="auto"/>
        <w:rPr>
          <w:rFonts w:ascii="Times New Roman" w:hAnsi="Times New Roman" w:eastAsia="宋体"/>
          <w:color w:val="auto"/>
          <w:sz w:val="24"/>
          <w:szCs w:val="24"/>
          <w:highlight w:val="none"/>
        </w:rPr>
      </w:pPr>
      <w:r/>
      <w:bookmarkStart w:id="15" w:name="_Toc28359010"/>
      <w:r/>
      <w:bookmarkStart w:id="16" w:name="_Toc28359087"/>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ascii="Arial" w:hAnsi="Arial" w:eastAsia="宋体" w:cs="Arial"/>
          <w:color w:val="auto"/>
          <w:sz w:val="24"/>
          <w:szCs w:val="24"/>
          <w:highlight w:val="none"/>
        </w:rPr>
        <w:t xml:space="preserve">自磋商文件公告发布之日起5个工作日</w:t>
      </w:r>
      <w:r>
        <w:rPr>
          <w:rFonts w:hint="eastAsia" w:asciiTheme="minorEastAsia" w:hAnsiTheme="minorEastAsia" w:eastAsiaTheme="minorEastAsia"/>
          <w:color w:val="auto"/>
          <w:sz w:val="24"/>
          <w:highlight w:val="none"/>
        </w:rPr>
        <w:t xml:space="preserve">，每天上午00:00-12:00，下午12:00-23:59（北京时间，法定节假日除外）。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2.地点：供应商完成注册并办理CA证书后登录“苏采云”（网址：http://jszfcg.jsczt.cn/jszc/login），下载本项目电子版采购文件。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1068"/>
        <w:ind w:firstLine="480"/>
        <w:rPr>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1051"/>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105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105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1089"/>
        <w:ind w:firstLine="480"/>
        <w:spacing w:line="400" w:lineRule="exact"/>
        <w:shd w:val="clear" w:color="auto" w:fill="ffffff"/>
        <w:rPr>
          <w:color w:val="auto"/>
          <w:highlight w:val="none"/>
        </w:rPr>
      </w:pPr>
      <w:r>
        <w:rPr>
          <w:rFonts w:hint="eastAsia"/>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89"/>
        <w:ind w:firstLine="480"/>
        <w:spacing w:line="400" w:lineRule="exact"/>
        <w:shd w:val="clear" w:color="auto" w:fill="ffffff"/>
        <w:rPr>
          <w:color w:val="auto"/>
          <w:highlight w:val="none"/>
        </w:rPr>
      </w:pPr>
      <w:r>
        <w:rPr>
          <w:rFonts w:hint="eastAsia"/>
          <w:color w:val="auto"/>
          <w:highlight w:val="none"/>
        </w:rPr>
        <w:t xml:space="preserve">技术支持服务热线   0519-85588210</w:t>
      </w:r>
      <w:r/>
    </w:p>
    <w:p>
      <w:pPr>
        <w:pStyle w:val="1089"/>
        <w:ind w:firstLine="480"/>
        <w:spacing w:line="400" w:lineRule="exact"/>
        <w:shd w:val="clear" w:color="auto" w:fill="ffffff"/>
        <w:rPr>
          <w:color w:val="auto"/>
          <w:highlight w:val="none"/>
        </w:rPr>
      </w:pPr>
      <w:r>
        <w:rPr>
          <w:rFonts w:hint="eastAsia"/>
          <w:color w:val="auto"/>
          <w:highlight w:val="none"/>
        </w:rPr>
        <w:t xml:space="preserve">CA认证证书办理联系电话   0519-85588120</w:t>
      </w:r>
      <w:r/>
    </w:p>
    <w:p>
      <w:pPr>
        <w:pStyle w:val="1089"/>
        <w:ind w:firstLine="480"/>
        <w:spacing w:line="400" w:lineRule="exact"/>
        <w:shd w:val="clear" w:color="auto" w:fill="ffffff"/>
        <w:rPr>
          <w:color w:val="auto"/>
          <w:highlight w:val="none"/>
        </w:rPr>
      </w:pPr>
      <w:r>
        <w:rPr>
          <w:rFonts w:hint="eastAsia"/>
          <w:color w:val="auto"/>
          <w:highlight w:val="none"/>
        </w:rPr>
        <w:t xml:space="preserve">1.1办理CA认证证书</w:t>
      </w:r>
      <w:r/>
    </w:p>
    <w:p>
      <w:pPr>
        <w:pStyle w:val="1089"/>
        <w:ind w:firstLine="480"/>
        <w:spacing w:line="400" w:lineRule="exact"/>
        <w:shd w:val="clear" w:color="auto" w:fill="ffffff"/>
        <w:rPr>
          <w:color w:val="auto"/>
          <w:highlight w:val="none"/>
        </w:rPr>
      </w:pPr>
      <w:r>
        <w:rPr>
          <w:rFonts w:hint="eastAsia"/>
          <w:color w:val="auto"/>
          <w:highlight w:val="none"/>
        </w:rPr>
        <w:t xml:space="preserve">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1089"/>
        <w:ind w:firstLine="480"/>
        <w:spacing w:line="400" w:lineRule="exact"/>
        <w:shd w:val="clear" w:color="auto" w:fill="ffffff"/>
        <w:rPr>
          <w:color w:val="auto"/>
          <w:highlight w:val="none"/>
        </w:rPr>
      </w:pPr>
      <w:r>
        <w:rPr>
          <w:rFonts w:hint="eastAsia"/>
          <w:color w:val="auto"/>
          <w:highlight w:val="none"/>
        </w:rPr>
        <w:t xml:space="preserve">1.2注册</w:t>
      </w:r>
      <w:r/>
    </w:p>
    <w:p>
      <w:pPr>
        <w:pStyle w:val="1089"/>
        <w:ind w:firstLine="480"/>
        <w:spacing w:line="400" w:lineRule="exact"/>
        <w:shd w:val="clear" w:color="auto" w:fill="ffffff"/>
        <w:rPr>
          <w:color w:val="auto"/>
          <w:highlight w:val="none"/>
        </w:rPr>
      </w:pPr>
      <w:r>
        <w:rPr>
          <w:rFonts w:hint="eastAsia"/>
          <w:color w:val="auto"/>
          <w:highlight w:val="none"/>
        </w:rPr>
        <w:t xml:space="preserve">供应商登录常州市政府采购网-下载中心-“苏采云”系统供应商操作手册”下载相关操作手册，查阅后进行自助注册。</w:t>
      </w:r>
      <w:r/>
    </w:p>
    <w:p>
      <w:pPr>
        <w:pStyle w:val="1089"/>
        <w:ind w:firstLine="480"/>
        <w:spacing w:line="400" w:lineRule="exact"/>
        <w:shd w:val="clear" w:color="auto" w:fill="ffffff"/>
        <w:rPr>
          <w:color w:val="auto"/>
          <w:highlight w:val="none"/>
        </w:rPr>
      </w:pPr>
      <w:r>
        <w:rPr>
          <w:rFonts w:hint="eastAsia"/>
          <w:color w:val="auto"/>
          <w:highlight w:val="none"/>
        </w:rPr>
        <w:t xml:space="preserve">1.3控件、客户端下载</w:t>
      </w:r>
      <w:r/>
    </w:p>
    <w:p>
      <w:pPr>
        <w:pStyle w:val="1089"/>
        <w:ind w:firstLine="480"/>
        <w:spacing w:line="400" w:lineRule="exact"/>
        <w:shd w:val="clear" w:color="auto" w:fill="ffffff"/>
        <w:rPr>
          <w:color w:val="auto"/>
          <w:highlight w:val="none"/>
        </w:rPr>
      </w:pPr>
      <w:r>
        <w:rPr>
          <w:rFonts w:hint="eastAsia"/>
          <w:color w:val="auto"/>
          <w:highlight w:val="none"/>
        </w:rPr>
        <w:t xml:space="preserve">供应商登录“苏采云”“驱动中心”下载相关控件和客户端。</w:t>
      </w:r>
      <w:r/>
    </w:p>
    <w:p>
      <w:pPr>
        <w:pStyle w:val="1089"/>
        <w:ind w:firstLine="480"/>
        <w:spacing w:line="400" w:lineRule="exact"/>
        <w:shd w:val="clear" w:color="auto" w:fill="ffffff"/>
        <w:rPr>
          <w:color w:val="auto"/>
          <w:highlight w:val="none"/>
        </w:rPr>
      </w:pPr>
      <w:r>
        <w:rPr>
          <w:rFonts w:hint="eastAsia"/>
          <w:color w:val="auto"/>
          <w:highlight w:val="none"/>
        </w:rPr>
        <w:t xml:space="preserve">1.4 获取电子采购文件</w:t>
      </w:r>
      <w:r/>
    </w:p>
    <w:p>
      <w:pPr>
        <w:pStyle w:val="1089"/>
        <w:ind w:firstLine="480"/>
        <w:spacing w:line="400" w:lineRule="exact"/>
        <w:shd w:val="clear" w:color="auto" w:fill="ffffff"/>
        <w:rPr>
          <w:color w:val="auto"/>
          <w:highlight w:val="none"/>
        </w:rPr>
      </w:pPr>
      <w:r>
        <w:rPr>
          <w:rFonts w:hint="eastAsia"/>
          <w:color w:val="auto"/>
          <w:highlight w:val="none"/>
        </w:rPr>
        <w:t xml:space="preserve">供应商持CA数字认证证书登录“苏采云”获取电子采购文件。未在规定期限内通过“苏采云”获取采购文件的响应无效。</w:t>
      </w:r>
      <w:r/>
    </w:p>
    <w:p>
      <w:pPr>
        <w:pStyle w:val="1089"/>
        <w:ind w:firstLine="480"/>
        <w:spacing w:line="400" w:lineRule="exact"/>
        <w:shd w:val="clear" w:color="auto" w:fill="ffffff"/>
        <w:rPr>
          <w:color w:val="auto"/>
          <w:highlight w:val="none"/>
        </w:rPr>
      </w:pPr>
      <w:r>
        <w:rPr>
          <w:rFonts w:hint="eastAsia"/>
          <w:color w:val="auto"/>
          <w:highlight w:val="none"/>
        </w:rPr>
        <w:t xml:space="preserve">1.5编制电子投标（响应）文件</w:t>
      </w:r>
      <w:r/>
    </w:p>
    <w:p>
      <w:pPr>
        <w:pStyle w:val="1089"/>
        <w:ind w:firstLine="480"/>
        <w:spacing w:line="400" w:lineRule="exact"/>
        <w:shd w:val="clear" w:color="auto" w:fill="ffffff"/>
        <w:rPr>
          <w:color w:val="auto"/>
          <w:highlight w:val="none"/>
        </w:rPr>
      </w:pPr>
      <w:r>
        <w:rPr>
          <w:rFonts w:hint="eastAsia"/>
          <w:color w:val="auto"/>
          <w:highlight w:val="none"/>
        </w:rPr>
        <w:t xml:space="preserve">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1089"/>
        <w:ind w:firstLine="480"/>
        <w:spacing w:line="400" w:lineRule="exact"/>
        <w:shd w:val="clear" w:color="auto" w:fill="ffffff"/>
        <w:rPr>
          <w:color w:val="auto"/>
          <w:highlight w:val="none"/>
        </w:rPr>
      </w:pPr>
      <w:r>
        <w:rPr>
          <w:rFonts w:hint="eastAsia"/>
          <w:color w:val="auto"/>
          <w:highlight w:val="none"/>
        </w:rPr>
        <w:t xml:space="preserve">1.6提交电子投标（响应）文件</w:t>
      </w:r>
      <w:r/>
    </w:p>
    <w:p>
      <w:pPr>
        <w:pStyle w:val="1089"/>
        <w:ind w:firstLine="480"/>
        <w:spacing w:line="400" w:lineRule="exact"/>
        <w:shd w:val="clear" w:color="auto" w:fill="ffffff"/>
        <w:rPr>
          <w:color w:val="auto"/>
          <w:highlight w:val="none"/>
        </w:rPr>
      </w:pPr>
      <w:r>
        <w:rPr>
          <w:rFonts w:hint="eastAsia"/>
          <w:color w:val="auto"/>
          <w:highlight w:val="none"/>
        </w:rPr>
        <w:t xml:space="preserve">供应商应于投标（响应）截止时间（开启）前在“苏采云”提交电子投标（响应）文件，上传电子投标（响应）文件过程中请保持与互联网的连接畅通。</w:t>
      </w:r>
      <w:r/>
    </w:p>
    <w:p>
      <w:pPr>
        <w:pStyle w:val="1089"/>
        <w:ind w:firstLine="480"/>
        <w:spacing w:line="400" w:lineRule="exact"/>
        <w:shd w:val="clear" w:color="auto" w:fill="ffffff"/>
        <w:rPr>
          <w:color w:val="auto"/>
          <w:highlight w:val="none"/>
        </w:rPr>
      </w:pPr>
      <w:r>
        <w:rPr>
          <w:rFonts w:hint="eastAsia"/>
          <w:color w:val="auto"/>
          <w:highlight w:val="none"/>
        </w:rPr>
        <w:t xml:space="preserve">1.7电子开标</w:t>
      </w:r>
      <w:r/>
    </w:p>
    <w:p>
      <w:pPr>
        <w:pStyle w:val="1089"/>
        <w:ind w:firstLine="480"/>
        <w:spacing w:line="400" w:lineRule="exact"/>
        <w:shd w:val="clear" w:color="auto" w:fill="ffffff"/>
        <w:rPr>
          <w:color w:val="auto"/>
          <w:highlight w:val="none"/>
        </w:rPr>
      </w:pPr>
      <w:r>
        <w:rPr>
          <w:rFonts w:hint="eastAsia"/>
          <w:color w:val="auto"/>
          <w:highlight w:val="none"/>
        </w:rPr>
        <w:t xml:space="preserve">供应商使用CA认证证书登录“苏采云”进行电子化不见面开标。</w:t>
      </w:r>
      <w:r/>
    </w:p>
    <w:p>
      <w:pPr>
        <w:pStyle w:val="1089"/>
        <w:ind w:firstLine="480"/>
        <w:spacing w:line="400" w:lineRule="exact"/>
        <w:shd w:val="clear" w:color="auto" w:fill="ffffff"/>
        <w:rPr>
          <w:color w:val="auto"/>
          <w:highlight w:val="none"/>
        </w:rPr>
      </w:pPr>
      <w:r>
        <w:rPr>
          <w:rFonts w:hint="eastAsia"/>
          <w:color w:val="auto"/>
          <w:highlight w:val="none"/>
        </w:rPr>
        <w:t xml:space="preserve">1.8注意事项</w:t>
      </w:r>
      <w:r/>
    </w:p>
    <w:p>
      <w:pPr>
        <w:pStyle w:val="1089"/>
        <w:ind w:firstLine="480"/>
        <w:spacing w:line="400" w:lineRule="exact"/>
        <w:shd w:val="clear" w:color="auto" w:fill="ffffff"/>
        <w:rPr>
          <w:color w:val="auto"/>
          <w:highlight w:val="none"/>
        </w:rPr>
      </w:pPr>
      <w:r>
        <w:rPr>
          <w:rFonts w:hint="eastAsia"/>
          <w:color w:val="auto"/>
          <w:highlight w:val="none"/>
        </w:rPr>
        <w:t xml:space="preserve">1）有关本次招标的事项若存在变动或修改，敬请及时关注常州市政府采购网发布的更正公告。</w:t>
      </w:r>
      <w:r/>
    </w:p>
    <w:p>
      <w:pPr>
        <w:pStyle w:val="1089"/>
        <w:ind w:firstLine="480"/>
        <w:spacing w:line="400" w:lineRule="exact"/>
        <w:shd w:val="clear" w:color="auto" w:fill="ffffff"/>
        <w:rPr>
          <w:color w:val="auto"/>
          <w:highlight w:val="none"/>
        </w:rPr>
      </w:pPr>
      <w:r>
        <w:rPr>
          <w:rFonts w:hint="eastAsia"/>
          <w:color w:val="auto"/>
          <w:highlight w:val="none"/>
        </w:rPr>
        <w:t xml:space="preserve">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1089"/>
        <w:ind w:firstLine="480"/>
        <w:spacing w:line="400" w:lineRule="exact"/>
        <w:shd w:val="clear" w:color="auto" w:fill="ffffff"/>
        <w:rPr>
          <w:color w:val="auto"/>
          <w:highlight w:val="none"/>
        </w:rPr>
      </w:pPr>
      <w:r>
        <w:rPr>
          <w:rFonts w:hint="eastAsia"/>
          <w:color w:val="auto"/>
          <w:highlight w:val="none"/>
        </w:rPr>
        <w:t xml:space="preserve">3）如潜在供应商未按上述要求操作，将自行承担所产生的风险。</w:t>
      </w:r>
      <w:r/>
    </w:p>
    <w:p>
      <w:pPr>
        <w:pStyle w:val="1089"/>
        <w:ind w:firstLine="480"/>
        <w:spacing w:line="400" w:lineRule="exact"/>
        <w:shd w:val="clear" w:color="auto" w:fill="ffffff"/>
        <w:rPr>
          <w:color w:val="auto"/>
          <w:highlight w:val="none"/>
        </w:rPr>
      </w:pPr>
      <w:r>
        <w:rPr>
          <w:rFonts w:hint="eastAsia"/>
          <w:color w:val="auto"/>
          <w:highlight w:val="none"/>
        </w:rPr>
        <w:t xml:space="preserve">2.关于常州市中小企业政府采购信用融资：</w:t>
      </w:r>
      <w:r/>
    </w:p>
    <w:p>
      <w:pPr>
        <w:pStyle w:val="1089"/>
        <w:ind w:firstLine="480"/>
        <w:spacing w:line="400" w:lineRule="exact"/>
        <w:shd w:val="clear" w:color="auto" w:fill="ffffff"/>
        <w:rPr>
          <w:color w:val="auto"/>
          <w:highlight w:val="none"/>
        </w:rPr>
      </w:pPr>
      <w:r>
        <w:rPr>
          <w:rFonts w:hint="eastAsia"/>
          <w:color w:val="auto"/>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51"/>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常州市不动产登记交易中心</w:t>
      </w:r>
      <w:r/>
    </w:p>
    <w:p>
      <w:p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  </w:t>
      </w:r>
      <w:r>
        <w:rPr>
          <w:rFonts w:hint="eastAsia" w:ascii="宋体" w:hAnsi="宋体" w:cs="宋体"/>
          <w:color w:val="auto"/>
          <w:sz w:val="24"/>
          <w:highlight w:val="none"/>
          <w:lang w:eastAsia="zh-CN"/>
        </w:rPr>
        <w:t xml:space="preserve">址：常州市锦绣路2号</w:t>
      </w:r>
      <w:r/>
    </w:p>
    <w:p>
      <w:p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联系人：武女士</w:t>
      </w:r>
      <w:r/>
    </w:p>
    <w:p>
      <w:p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电　话：0519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88127823</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color w:val="auto"/>
          <w:highlight w:val="none"/>
        </w:rPr>
      </w:pPr>
      <w:r>
        <w:rPr>
          <w:rFonts w:hint="eastAsia" w:ascii="宋体" w:hAnsi="宋体" w:cs="宋体"/>
          <w:color w:val="auto"/>
          <w:sz w:val="24"/>
          <w:highlight w:val="none"/>
        </w:rPr>
        <w:t xml:space="preserve">联系方式：0519-86661066</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何</w:t>
      </w:r>
      <w:r>
        <w:rPr>
          <w:rFonts w:hint="eastAsia" w:ascii="宋体" w:hAnsi="宋体" w:cs="宋体"/>
          <w:color w:val="auto"/>
          <w:sz w:val="24"/>
          <w:highlight w:val="none"/>
        </w:rPr>
        <w:t xml:space="preserve">女士</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  话：0519-86661067</w:t>
      </w:r>
      <w:r/>
    </w:p>
    <w:p>
      <w:pPr>
        <w:rPr>
          <w:b/>
          <w:color w:val="auto"/>
          <w:sz w:val="36"/>
          <w:szCs w:val="36"/>
          <w:highlight w:val="none"/>
        </w:rPr>
      </w:pPr>
      <w:r/>
      <w:bookmarkStart w:id="17" w:name="_Toc226965856"/>
      <w:r/>
      <w:bookmarkStart w:id="18" w:name="_Toc127151777"/>
      <w:r/>
      <w:bookmarkStart w:id="19" w:name="_Toc353825548"/>
      <w:r/>
      <w:bookmarkStart w:id="20" w:name="_Toc305158928"/>
      <w:r/>
      <w:bookmarkStart w:id="21" w:name="_Toc305158854"/>
      <w:r/>
      <w:bookmarkStart w:id="22" w:name="_Toc150774783"/>
      <w:r/>
      <w:bookmarkStart w:id="23" w:name="_Toc353873938"/>
      <w:r/>
      <w:bookmarkStart w:id="24" w:name="_Toc265228423"/>
      <w:r/>
      <w:bookmarkStart w:id="25" w:name="_Toc195842950"/>
      <w:r/>
      <w:bookmarkStart w:id="26" w:name="_Toc264969275"/>
      <w:r/>
      <w:bookmarkStart w:id="27" w:name="_Toc127161488"/>
      <w:r/>
      <w:bookmarkStart w:id="28" w:name="_Toc512937850"/>
      <w:r/>
      <w:bookmarkStart w:id="29" w:name="_Toc28359008"/>
      <w:r/>
      <w:bookmarkStart w:id="30" w:name="_Toc35393796"/>
      <w:r/>
      <w:bookmarkStart w:id="31" w:name="_Toc35393627"/>
      <w:r/>
      <w:bookmarkStart w:id="32" w:name="_Toc28359085"/>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3" w:name="_Toc193985579"/>
      <w:r>
        <w:rPr>
          <w:b/>
          <w:color w:val="auto"/>
          <w:sz w:val="36"/>
          <w:szCs w:val="36"/>
          <w:highlight w:val="none"/>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33"/>
      <w:r/>
      <w:r/>
    </w:p>
    <w:p>
      <w:pPr>
        <w:pStyle w:val="1051"/>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10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825"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480"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841"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480"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6841"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1480"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6841"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825" w:type="dxa"/>
            <w:vAlign w:val="center"/>
            <w:vMerge w:val="restart"/>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6841" w:type="dxa"/>
            <w:vAlign w:val="center"/>
            <w:textDirection w:val="lrTb"/>
            <w:noWrap w:val="false"/>
          </w:tcPr>
          <w:p>
            <w:pPr>
              <w:pStyle w:val="1074"/>
              <w:rPr>
                <w:rFonts w:hint="eastAsia"/>
                <w:color w:val="auto"/>
                <w:highlight w:val="none"/>
              </w:rPr>
            </w:pPr>
            <w:r>
              <w:rPr>
                <w:rFonts w:hint="eastAsia"/>
                <w:color w:val="auto"/>
                <w:highlight w:val="none"/>
              </w:rPr>
              <w:t xml:space="preserve">■不组织</w:t>
            </w:r>
            <w:r/>
          </w:p>
          <w:p>
            <w:pPr>
              <w:pStyle w:val="1074"/>
              <w:rPr>
                <w:rFonts w:hint="eastAsia"/>
                <w:color w:val="auto"/>
                <w:highlight w:val="none"/>
              </w:rPr>
            </w:pPr>
            <w:r>
              <w:rPr>
                <w:rFonts w:hint="eastAsia"/>
                <w:color w:val="auto"/>
                <w:highlight w:val="none"/>
              </w:rPr>
              <w:t xml:space="preserve">□组织，考察时间：___年___月___日___点___分</w:t>
            </w:r>
            <w:r/>
          </w:p>
          <w:p>
            <w:pPr>
              <w:pStyle w:val="1074"/>
              <w:rPr>
                <w:rFonts w:hint="default" w:ascii="Times New Roman" w:hAnsi="Times New Roman" w:eastAsia="宋体"/>
                <w:color w:val="auto"/>
                <w:sz w:val="24"/>
                <w:highlight w:val="none"/>
                <w:lang w:val="en-US" w:eastAsia="zh-CN"/>
              </w:rPr>
            </w:pPr>
            <w:r>
              <w:rPr>
                <w:rFonts w:hint="eastAsia"/>
                <w:color w:val="auto"/>
                <w:highlight w:val="none"/>
              </w:rPr>
              <w:t xml:space="preserve">考察地点：___________。</w:t>
            </w:r>
            <w:r/>
          </w:p>
        </w:tc>
      </w:tr>
      <w:tr>
        <w:trPr>
          <w:jc w:val="center"/>
          <w:trHeight w:val="20"/>
        </w:trPr>
        <w:tc>
          <w:tcPr>
            <w:tcW w:w="825" w:type="dxa"/>
            <w:vAlign w:val="center"/>
            <w:vMerge w:val="continue"/>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6841" w:type="dxa"/>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其他未列明行业</w:t>
            </w:r>
            <w:r>
              <w:rPr>
                <w:rFonts w:hint="eastAsia"/>
                <w:color w:val="auto"/>
                <w:sz w:val="24"/>
                <w:highlight w:val="none"/>
                <w:u w:val="single"/>
              </w:rPr>
              <w:t xml:space="preserve"> </w:t>
            </w:r>
            <w:r/>
          </w:p>
        </w:tc>
      </w:tr>
      <w:tr>
        <w:trPr>
          <w:jc w:val="center"/>
          <w:trHeight w:val="1535"/>
        </w:trPr>
        <w:tc>
          <w:tcPr>
            <w:shd w:val="clear" w:color="auto" w:fill="auto"/>
            <w:tcW w:w="825" w:type="dxa"/>
            <w:vAlign w:val="center"/>
            <w:textDirection w:val="lrTb"/>
            <w:noWrap w:val="false"/>
          </w:tcPr>
          <w:p>
            <w:pPr>
              <w:pStyle w:val="1074"/>
              <w:jc w:val="center"/>
              <w:rPr>
                <w:rFonts w:hint="default" w:ascii="宋体" w:hAnsi="宋体" w:eastAsia="宋体" w:cs="宋体"/>
                <w:color w:val="auto"/>
                <w:sz w:val="24"/>
                <w:szCs w:val="24"/>
                <w:highlight w:val="none"/>
                <w:lang w:val="en-US" w:eastAsia="zh-CN" w:bidi="ar-SA"/>
              </w:rPr>
            </w:pP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.9</w:t>
            </w:r>
            <w:r/>
          </w:p>
        </w:tc>
        <w:tc>
          <w:tcPr>
            <w:shd w:val="clear" w:color="auto" w:fill="auto"/>
            <w:tcW w:w="148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highlight w:val="none"/>
              </w:rPr>
              <w:t xml:space="preserve">本国产品政策支持</w:t>
            </w:r>
            <w:r/>
          </w:p>
        </w:tc>
        <w:tc>
          <w:tcPr>
            <w:shd w:val="clear" w:color="auto" w:fill="auto"/>
            <w:tcW w:w="6841"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328"/>
              <w:jc w:val="both"/>
              <w:keepLines w:val="0"/>
              <w:keepNext w:val="0"/>
              <w:spacing w:before="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1480"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6841"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ascii="宋体" w:hAnsi="宋体" w:cs="宋体"/>
                <w:b/>
                <w:color w:val="auto"/>
                <w:sz w:val="24"/>
                <w:highlight w:val="none"/>
                <w:u w:val="single"/>
              </w:rPr>
              <w:t xml:space="preserve">本项目采用二次报价，</w:t>
            </w:r>
            <w:r>
              <w:rPr>
                <w:rFonts w:hint="eastAsia" w:ascii="宋体" w:hAnsi="宋体" w:cs="宋体"/>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6841"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1480"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6841"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1480"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6841"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482"/>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1480"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6841"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1480"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6841"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825" w:type="dxa"/>
            <w:vAlign w:val="center"/>
            <w:textDirection w:val="lrTb"/>
            <w:noWrap w:val="false"/>
          </w:tcPr>
          <w:p>
            <w:pPr>
              <w:pStyle w:val="107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1480"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6841"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成交供应商</w:t>
            </w:r>
            <w:r/>
          </w:p>
          <w:p>
            <w:pPr>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1）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w:t>
            </w:r>
            <w:r>
              <w:rPr>
                <w:rFonts w:hint="eastAsia" w:ascii="宋体" w:hAnsi="宋体" w:cs="宋体"/>
                <w:bCs/>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5" name="图片 4"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81264549787(1)"/>
                              <pic:cNvPicPr>
                                <a:picLocks noChangeAspect="1"/>
                              </pic:cNvPicPr>
                              <pic:nvPr/>
                            </pic:nvPicPr>
                            <pic:blipFill>
                              <a:blip r:embed="rId23"/>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0.8pt;height:81.8pt;mso-wrap-distance-left:0.0pt;mso-wrap-distance-top:0.0pt;mso-wrap-distance-right:0.0pt;mso-wrap-distance-bottom:0.0pt;" stroked="f">
                      <v:path textboxrect="0,0,0,0"/>
                      <v:imagedata r:id="rId23" o:title=""/>
                    </v:shape>
                  </w:pict>
                </mc:Fallback>
              </mc:AlternateContent>
            </w:r>
            <w:r/>
          </w:p>
          <w:p>
            <w:pPr>
              <w:spacing w:line="360" w:lineRule="auto"/>
              <w:rPr>
                <w:rFonts w:asciiTheme="majorEastAsia" w:hAnsiTheme="majorEastAsia" w:eastAsiaTheme="majorEastAsia" w:cstheme="majorEastAsia"/>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）收费</w:t>
            </w:r>
            <w:r>
              <w:rPr>
                <w:rFonts w:hint="eastAsia" w:ascii="宋体" w:hAnsi="宋体" w:cs="宋体"/>
                <w:color w:val="auto"/>
                <w:sz w:val="24"/>
                <w:highlight w:val="none"/>
              </w:rPr>
              <w:t xml:space="preserve">比例按差额定率累进法计算，</w:t>
            </w:r>
            <w:r>
              <w:rPr>
                <w:rFonts w:hint="eastAsia" w:ascii="宋体" w:hAnsi="宋体"/>
                <w:color w:val="auto"/>
                <w:sz w:val="24"/>
                <w:highlight w:val="none"/>
              </w:rPr>
              <w:t xml:space="preserve">本项目采购代理服务费收费以</w:t>
            </w:r>
            <w:r>
              <w:rPr>
                <w:rFonts w:hint="eastAsia" w:ascii="宋体" w:hAnsi="宋体"/>
                <w:color w:val="auto"/>
                <w:sz w:val="24"/>
                <w:highlight w:val="none"/>
                <w:lang w:val="en-US" w:eastAsia="zh-CN"/>
              </w:rPr>
              <w:t xml:space="preserve">预算</w:t>
            </w:r>
            <w:r>
              <w:rPr>
                <w:rFonts w:hint="eastAsia" w:ascii="宋体" w:hAnsi="宋体"/>
                <w:color w:val="auto"/>
                <w:sz w:val="24"/>
                <w:highlight w:val="none"/>
              </w:rPr>
              <w:t xml:space="preserve">金额为基数计算，</w:t>
            </w:r>
            <w:r>
              <w:rPr>
                <w:rFonts w:hint="eastAsia" w:ascii="宋体" w:hAnsi="宋体" w:cs="宋体"/>
                <w:color w:val="auto"/>
                <w:sz w:val="24"/>
                <w:highlight w:val="none"/>
              </w:rPr>
              <w:t xml:space="preserve">服务收费按上述计算方法不足人民币3000元的，按人民币3000元收取。</w:t>
            </w:r>
            <w:r/>
          </w:p>
          <w:p>
            <w:pPr>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lang w:eastAsia="zh-CN"/>
              </w:rPr>
              <w:t xml:space="preserve">）</w:t>
            </w:r>
            <w:r>
              <w:rPr>
                <w:rFonts w:hint="eastAsia" w:ascii="宋体" w:hAnsi="宋体" w:cs="宋体"/>
                <w:color w:val="auto"/>
                <w:sz w:val="24"/>
                <w:highlight w:val="none"/>
              </w:rPr>
              <w:t xml:space="preserve">成交供应商</w:t>
            </w:r>
            <w:r>
              <w:rPr>
                <w:rFonts w:hint="eastAsia" w:ascii="宋体" w:hAnsi="宋体"/>
                <w:bCs/>
                <w:color w:val="auto"/>
                <w:sz w:val="24"/>
                <w:highlight w:val="none"/>
              </w:rPr>
              <w:t xml:space="preserve">领取中标通知书时须向中采招投标有限公司交纳代理服务费。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1515"/>
        </w:trPr>
        <w:tc>
          <w:tcPr>
            <w:shd w:val="clear" w:color="auto" w:fill="auto"/>
            <w:tcW w:w="825" w:type="dxa"/>
            <w:vAlign w:val="center"/>
            <w:textDirection w:val="lrTb"/>
            <w:noWrap w:val="false"/>
          </w:tcPr>
          <w:p>
            <w:pPr>
              <w:pStyle w:val="1317"/>
              <w:jc w:val="center"/>
              <w:rPr>
                <w:rFonts w:hint="default" w:hAnsi="宋体" w:cs="宋体"/>
                <w:color w:val="auto"/>
                <w:sz w:val="24"/>
                <w:szCs w:val="24"/>
                <w:highlight w:val="none"/>
              </w:rPr>
            </w:pPr>
            <w:r>
              <w:rPr>
                <w:rFonts w:hAnsi="宋体" w:cs="宋体"/>
                <w:color w:val="auto"/>
                <w:sz w:val="24"/>
                <w:szCs w:val="24"/>
                <w:highlight w:val="none"/>
              </w:rPr>
              <w:t xml:space="preserve">26</w:t>
            </w:r>
            <w:r/>
          </w:p>
        </w:tc>
        <w:tc>
          <w:tcPr>
            <w:shd w:val="clear" w:color="auto" w:fill="auto"/>
            <w:tcW w:w="14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6841" w:type="dxa"/>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成交供应商在签订合同前需递交与电子响应文件内容一致的纸质响应文件</w:t>
            </w:r>
            <w:r>
              <w:rPr>
                <w:rFonts w:hint="eastAsia" w:ascii="宋体" w:hAnsi="宋体" w:cs="宋体"/>
                <w:b/>
                <w:color w:val="auto"/>
                <w:sz w:val="24"/>
                <w:highlight w:val="none"/>
                <w:lang w:val="en-US" w:eastAsia="zh-CN"/>
              </w:rPr>
              <w:t xml:space="preserve">贰</w:t>
            </w:r>
            <w:r>
              <w:rPr>
                <w:rFonts w:hint="eastAsia" w:ascii="宋体" w:hAnsi="宋体" w:cs="宋体"/>
                <w:b/>
                <w:color w:val="auto"/>
                <w:sz w:val="24"/>
                <w:highlight w:val="none"/>
              </w:rPr>
              <w:t xml:space="preserve">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bookmarkStart w:id="673" w:name="_GoBack"/>
      <w:r/>
      <w:bookmarkEnd w:id="673"/>
      <w:r/>
      <w:r/>
    </w:p>
    <w:p>
      <w:pPr>
        <w:pStyle w:val="1051"/>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1051"/>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4" w:name="_Toc520356143"/>
      <w:r/>
      <w:bookmarkStart w:id="35" w:name="_Toc127151518"/>
      <w:r>
        <w:rPr>
          <w:rFonts w:ascii="Times New Roman" w:hAnsi="Times New Roman" w:eastAsia="宋体"/>
          <w:color w:val="auto"/>
          <w:sz w:val="28"/>
          <w:highlight w:val="none"/>
        </w:rPr>
        <w:tab/>
      </w:r>
      <w:bookmarkStart w:id="36" w:name="_Toc150774723"/>
      <w:r/>
      <w:bookmarkStart w:id="37" w:name="_Toc151190145"/>
      <w:r/>
      <w:bookmarkStart w:id="38" w:name="_Toc150774618"/>
      <w:r/>
      <w:bookmarkStart w:id="39" w:name="_Toc226965791"/>
      <w:r/>
      <w:bookmarkStart w:id="40" w:name="_Toc150509269"/>
      <w:r/>
      <w:bookmarkStart w:id="41" w:name="_Toc226337214"/>
      <w:r/>
      <w:bookmarkStart w:id="42" w:name="_Toc195842883"/>
      <w:r/>
      <w:bookmarkStart w:id="43" w:name="_Toc151193616"/>
      <w:r/>
      <w:bookmarkStart w:id="44" w:name="_Toc305158786"/>
      <w:r/>
      <w:bookmarkStart w:id="45" w:name="_Toc151193906"/>
      <w:r/>
      <w:bookmarkStart w:id="46" w:name="_Toc150480756"/>
      <w:r/>
      <w:bookmarkStart w:id="47" w:name="_Toc265228356"/>
      <w:r/>
      <w:bookmarkStart w:id="48" w:name="_Toc226965708"/>
      <w:r/>
      <w:bookmarkStart w:id="49" w:name="_Toc151193760"/>
      <w:r/>
      <w:bookmarkStart w:id="50" w:name="_Toc151193688"/>
      <w:r/>
      <w:bookmarkStart w:id="51" w:name="_Toc151193832"/>
      <w:r/>
      <w:bookmarkStart w:id="52" w:name="_Toc142311020"/>
      <w:r/>
      <w:bookmarkStart w:id="53" w:name="_Toc264969208"/>
      <w:r/>
      <w:bookmarkStart w:id="54" w:name="_Toc226309762"/>
      <w:r/>
      <w:bookmarkStart w:id="55" w:name="_Toc305158860"/>
      <w:r>
        <w:rPr>
          <w:rFonts w:ascii="Times New Roman" w:hAnsi="Times New Roman" w:eastAsia="宋体"/>
          <w:color w:val="auto"/>
          <w:sz w:val="28"/>
          <w:highlight w:val="none"/>
        </w:rPr>
        <w:t xml:space="preserve">一、说  明</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rFonts w:ascii="宋体" w:hAnsi="宋体" w:cs="宋体"/>
          <w:color w:val="auto"/>
          <w:sz w:val="24"/>
          <w:highlight w:val="none"/>
        </w:rPr>
        <w:outlineLvl w:val="1"/>
      </w:pPr>
      <w:r/>
      <w:bookmarkStart w:id="56" w:name="_Toc305158861"/>
      <w:r/>
      <w:bookmarkStart w:id="57" w:name="_Toc305158787"/>
      <w:r/>
      <w:bookmarkStart w:id="58" w:name="_Toc265228357"/>
      <w:r/>
      <w:bookmarkStart w:id="59" w:name="_Toc264969209"/>
      <w:r>
        <w:rPr>
          <w:rFonts w:hint="eastAsia" w:ascii="宋体" w:hAnsi="宋体" w:cs="宋体"/>
          <w:color w:val="auto"/>
          <w:sz w:val="24"/>
          <w:highlight w:val="none"/>
        </w:rPr>
        <w:t xml:space="preserve">采购人、采购代理机构、供应商</w:t>
      </w:r>
      <w:bookmarkEnd w:id="56"/>
      <w:r/>
      <w:bookmarkEnd w:id="57"/>
      <w:r/>
      <w:bookmarkEnd w:id="58"/>
      <w:r/>
      <w:bookmarkEnd w:id="5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60" w:name="_Toc151193762"/>
      <w:r/>
      <w:bookmarkStart w:id="61" w:name="_Toc151193834"/>
      <w:r/>
      <w:bookmarkStart w:id="62" w:name="_Toc226965793"/>
      <w:r/>
      <w:bookmarkStart w:id="63" w:name="_Toc195842885"/>
      <w:r/>
      <w:bookmarkStart w:id="64" w:name="_Toc150774620"/>
      <w:r/>
      <w:bookmarkStart w:id="65" w:name="_Toc151193690"/>
      <w:r/>
      <w:bookmarkStart w:id="66" w:name="_Toc164608789"/>
      <w:r/>
      <w:bookmarkStart w:id="67" w:name="_Toc164351614"/>
      <w:r/>
      <w:bookmarkStart w:id="68" w:name="_Toc151193618"/>
      <w:r/>
      <w:bookmarkStart w:id="69" w:name="_Toc127151520"/>
      <w:r/>
      <w:bookmarkStart w:id="70" w:name="_Toc150774725"/>
      <w:r/>
      <w:bookmarkStart w:id="71" w:name="_Toc226965710"/>
      <w:r/>
      <w:bookmarkStart w:id="72" w:name="_Toc164229215"/>
      <w:r/>
      <w:bookmarkStart w:id="73" w:name="_Toc226309764"/>
      <w:r/>
      <w:bookmarkStart w:id="74" w:name="_Toc150509271"/>
      <w:r/>
      <w:bookmarkStart w:id="75" w:name="_Toc164229361"/>
      <w:r/>
      <w:bookmarkStart w:id="76" w:name="_Toc149720813"/>
      <w:r/>
      <w:bookmarkStart w:id="77" w:name="_Toc265228358"/>
      <w:r/>
      <w:bookmarkStart w:id="78" w:name="_Toc142311022"/>
      <w:r/>
      <w:bookmarkStart w:id="79" w:name="_Toc151193908"/>
      <w:r/>
      <w:bookmarkStart w:id="80" w:name="_Toc150480758"/>
      <w:r/>
      <w:bookmarkStart w:id="81" w:name="_Toc264969210"/>
      <w:r/>
      <w:bookmarkStart w:id="82" w:name="_Toc127151721"/>
      <w:r/>
      <w:bookmarkStart w:id="83" w:name="_Toc151190147"/>
      <w:r/>
      <w:bookmarkStart w:id="84" w:name="_Toc305158788"/>
      <w:r/>
      <w:bookmarkStart w:id="85" w:name="_Toc305158862"/>
      <w:r/>
      <w:bookmarkStart w:id="86" w:name="_Toc226337216"/>
      <w:r/>
      <w:bookmarkStart w:id="87" w:name="_Toc164608634"/>
      <w:r/>
      <w:bookmarkStart w:id="88" w:name="_Toc127161434"/>
      <w:r>
        <w:rPr>
          <w:rFonts w:hint="eastAsia" w:ascii="宋体" w:hAnsi="宋体" w:cs="宋体"/>
          <w:color w:val="auto"/>
          <w:sz w:val="24"/>
          <w:highlight w:val="none"/>
        </w:rPr>
        <w:t xml:space="preserve">资金来源</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89" w:name="_Toc305158864"/>
      <w:r/>
      <w:bookmarkStart w:id="90" w:name="_Toc151193910"/>
      <w:r/>
      <w:bookmarkStart w:id="91" w:name="_Toc195842887"/>
      <w:r/>
      <w:bookmarkStart w:id="92" w:name="_Toc151193620"/>
      <w:r/>
      <w:bookmarkStart w:id="93" w:name="_Toc142311024"/>
      <w:r/>
      <w:bookmarkStart w:id="94" w:name="_Toc305158790"/>
      <w:r/>
      <w:bookmarkStart w:id="95" w:name="_Toc151193764"/>
      <w:r/>
      <w:bookmarkStart w:id="96" w:name="_Toc127151522"/>
      <w:r/>
      <w:bookmarkStart w:id="97" w:name="_Toc226337218"/>
      <w:r/>
      <w:bookmarkStart w:id="98" w:name="_Toc150774622"/>
      <w:r/>
      <w:bookmarkStart w:id="99" w:name="_Toc226309766"/>
      <w:r/>
      <w:bookmarkStart w:id="100" w:name="_Toc150509273"/>
      <w:r/>
      <w:bookmarkStart w:id="101" w:name="_Toc151193692"/>
      <w:r/>
      <w:bookmarkStart w:id="102" w:name="_Toc226965712"/>
      <w:r/>
      <w:bookmarkStart w:id="103" w:name="_Toc226965795"/>
      <w:r/>
      <w:bookmarkStart w:id="104" w:name="_Toc151190149"/>
      <w:r/>
      <w:bookmarkStart w:id="105" w:name="_Toc151193836"/>
      <w:r/>
      <w:bookmarkStart w:id="106" w:name="_Toc265228360"/>
      <w:r/>
      <w:bookmarkStart w:id="107" w:name="_Toc150480760"/>
      <w:r/>
      <w:bookmarkStart w:id="108" w:name="_Toc264969212"/>
      <w:r/>
      <w:bookmarkStart w:id="109" w:name="_Toc150774727"/>
      <w:r/>
      <w:bookmarkStart w:id="110" w:name="_Toc520356146"/>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4.2.1.1  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4.2.1.2  供应商提供的货物、工程或者服务符合下列情形的，享受中小企业扶持政策：</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本项目是否专门面向中小企业预留采购份额见第一章《采购邀请》。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采购标的对应的中小企业划分标准所属行业见《供应商须知资料表》。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4.3政府采购节能产品、环境标志产品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4.4支持乡村产业振兴管理</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4.5正版软件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4.6政府采购创新产品政策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4.7绿色采购政策</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4.7.1绿色数据中心政策</w:t>
      </w:r>
      <w:r/>
    </w:p>
    <w:p>
      <w:pPr>
        <w:pStyle w:val="1068"/>
        <w:rPr>
          <w:rFonts w:cs="宋体"/>
          <w:color w:val="auto"/>
          <w:highlight w:val="none"/>
        </w:rPr>
      </w:pPr>
      <w:r>
        <w:rPr>
          <w:rFonts w:hint="eastAsia" w:cs="宋体"/>
          <w:color w:val="auto"/>
          <w:highlight w:val="none"/>
        </w:rPr>
        <w:t xml:space="preserve">依据《绿色数据中心政府采购需求标准（试行）》（财办库〔2023〕7 号）文件精神，采购人在采购数据中心相关设备、运维服务，应当有利于节约能源、环境保护和资源循环利用，</w:t>
      </w:r>
      <w:r>
        <w:rPr>
          <w:rFonts w:hint="eastAsia"/>
          <w:color w:val="auto"/>
          <w:highlight w:val="none"/>
        </w:rPr>
        <w:t xml:space="preserve">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w:t>
      </w:r>
      <w:r>
        <w:rPr>
          <w:rFonts w:hint="eastAsia" w:cs="宋体"/>
          <w:color w:val="auto"/>
          <w:highlight w:val="none"/>
        </w:rPr>
        <w:t xml:space="preserve">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4.7.2推广应用绿色建材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4.7.3优先使用低挥发性有机化合物产品</w:t>
      </w:r>
      <w:r/>
    </w:p>
    <w:p>
      <w:pPr>
        <w:pStyle w:val="1068"/>
        <w:rPr>
          <w:rFonts w:cs="宋体"/>
          <w:color w:val="auto"/>
          <w:highlight w:val="none"/>
        </w:rPr>
      </w:pPr>
      <w:r>
        <w:rPr>
          <w:rFonts w:hint="eastAsia" w:cs="宋体"/>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4.8.2</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宋体" w:hAnsi="宋体" w:cs="宋体"/>
          <w:color w:val="auto"/>
          <w:sz w:val="24"/>
          <w:highlight w:val="none"/>
        </w:rPr>
      </w:pPr>
      <w:r>
        <w:rPr>
          <w:rFonts w:hint="eastAsia" w:ascii="宋体" w:hAnsi="宋体" w:cs="宋体"/>
          <w:color w:val="auto"/>
          <w:sz w:val="24"/>
          <w:highlight w:val="none"/>
        </w:rPr>
        <w:t xml:space="preserve">4.9采购本国产品的支持政策</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1" w:name="_1.8_计量单位"/>
      <w:r/>
      <w:bookmarkEnd w:id="111"/>
      <w:r/>
      <w:r/>
    </w:p>
    <w:p>
      <w:pPr>
        <w:ind w:left="1080"/>
        <w:spacing w:line="360" w:lineRule="auto"/>
        <w:tabs>
          <w:tab w:val="left" w:pos="1080" w:leader="none"/>
          <w:tab w:val="left" w:pos="1589" w:leader="none"/>
          <w:tab w:val="left" w:pos="2014" w:leader="none"/>
        </w:tabs>
        <w:rPr>
          <w:rStyle w:val="1160"/>
          <w:color w:val="auto"/>
          <w:sz w:val="24"/>
          <w:highlight w:val="none"/>
        </w:rPr>
      </w:pPr>
      <w:r>
        <w:rPr>
          <w:color w:val="auto"/>
          <w:sz w:val="24"/>
          <w:highlight w:val="none"/>
        </w:rPr>
      </w:r>
      <w:r/>
    </w:p>
    <w:p>
      <w:pPr>
        <w:pStyle w:val="105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12" w:name="_Toc151193621"/>
      <w:r/>
      <w:bookmarkStart w:id="113" w:name="_Toc151193837"/>
      <w:r/>
      <w:bookmarkStart w:id="114" w:name="_Toc264969213"/>
      <w:r/>
      <w:bookmarkStart w:id="115" w:name="_Toc305158791"/>
      <w:r/>
      <w:bookmarkStart w:id="116" w:name="_Toc150480761"/>
      <w:r/>
      <w:bookmarkStart w:id="117" w:name="_Toc226309767"/>
      <w:r/>
      <w:bookmarkStart w:id="118" w:name="_Toc164608637"/>
      <w:r/>
      <w:bookmarkStart w:id="119" w:name="_Toc305158865"/>
      <w:r/>
      <w:bookmarkStart w:id="120" w:name="_Toc127151523"/>
      <w:r/>
      <w:bookmarkStart w:id="121" w:name="_Toc226337219"/>
      <w:r/>
      <w:bookmarkStart w:id="122" w:name="_Toc520356147"/>
      <w:r/>
      <w:bookmarkStart w:id="123" w:name="_Toc151193693"/>
      <w:r/>
      <w:bookmarkStart w:id="124" w:name="_Toc127151724"/>
      <w:r/>
      <w:bookmarkStart w:id="125" w:name="_Toc164351617"/>
      <w:r/>
      <w:bookmarkStart w:id="126" w:name="_Toc265228361"/>
      <w:r/>
      <w:bookmarkStart w:id="127" w:name="_Toc127161437"/>
      <w:r/>
      <w:bookmarkStart w:id="128" w:name="_Toc149720816"/>
      <w:r/>
      <w:bookmarkStart w:id="129" w:name="_Toc151193765"/>
      <w:r/>
      <w:bookmarkStart w:id="130" w:name="_Toc164608792"/>
      <w:r/>
      <w:bookmarkStart w:id="131" w:name="_Toc226965796"/>
      <w:r/>
      <w:bookmarkStart w:id="132" w:name="_Toc164229218"/>
      <w:r/>
      <w:bookmarkStart w:id="133" w:name="_Toc142311025"/>
      <w:r/>
      <w:bookmarkStart w:id="134" w:name="_Toc151193911"/>
      <w:r/>
      <w:bookmarkStart w:id="135" w:name="_Toc150509274"/>
      <w:r/>
      <w:bookmarkStart w:id="136" w:name="_Toc195842888"/>
      <w:r/>
      <w:bookmarkStart w:id="137" w:name="_Toc151190150"/>
      <w:r/>
      <w:bookmarkStart w:id="138" w:name="_Toc164229364"/>
      <w:r/>
      <w:bookmarkStart w:id="139" w:name="_Toc226965713"/>
      <w:r/>
      <w:bookmarkStart w:id="140" w:name="_Toc150774728"/>
      <w:r/>
      <w:bookmarkStart w:id="141" w:name="_Toc150774623"/>
      <w:r>
        <w:rPr>
          <w:rFonts w:hint="eastAsia" w:ascii="宋体" w:hAnsi="宋体" w:cs="宋体"/>
          <w:color w:val="auto"/>
          <w:sz w:val="24"/>
          <w:highlight w:val="none"/>
        </w:rPr>
        <w:t xml:space="preserve">竞争性磋商文件构</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2" w:name="_Toc516367020"/>
      <w:r/>
      <w:bookmarkStart w:id="143" w:name="_Toc127151526"/>
      <w:r/>
      <w:bookmarkStart w:id="144" w:name="_Toc150774731"/>
      <w:r/>
      <w:bookmarkStart w:id="145" w:name="_Toc151193768"/>
      <w:r/>
      <w:bookmarkStart w:id="146" w:name="_Toc305158868"/>
      <w:r/>
      <w:bookmarkStart w:id="147" w:name="_Toc151193840"/>
      <w:r/>
      <w:bookmarkStart w:id="148" w:name="_Toc151193624"/>
      <w:r/>
      <w:bookmarkStart w:id="149" w:name="_Toc265228364"/>
      <w:r/>
      <w:bookmarkStart w:id="150" w:name="_Toc226309770"/>
      <w:r/>
      <w:bookmarkStart w:id="151" w:name="_Toc142311028"/>
      <w:r/>
      <w:bookmarkStart w:id="152" w:name="_Toc150774626"/>
      <w:r/>
      <w:bookmarkStart w:id="153" w:name="_Toc305158794"/>
      <w:r/>
      <w:bookmarkStart w:id="154" w:name="_Toc264969216"/>
      <w:r/>
      <w:bookmarkStart w:id="155" w:name="_Toc151193914"/>
      <w:r/>
      <w:bookmarkStart w:id="156" w:name="_Toc151193696"/>
      <w:r/>
      <w:bookmarkStart w:id="157" w:name="_Toc151190153"/>
      <w:r/>
      <w:bookmarkStart w:id="158" w:name="_Toc226337222"/>
      <w:r/>
      <w:bookmarkStart w:id="159" w:name="_Toc520356150"/>
      <w:r/>
      <w:bookmarkStart w:id="160" w:name="_Toc150480764"/>
      <w:r/>
      <w:bookmarkStart w:id="161" w:name="_Toc150509277"/>
      <w:r/>
      <w:bookmarkStart w:id="162" w:name="_Toc226965799"/>
      <w:r/>
      <w:bookmarkStart w:id="163" w:name="_Toc195842891"/>
      <w:r/>
      <w:bookmarkStart w:id="164" w:name="_Toc226965716"/>
      <w:r/>
      <w:r/>
    </w:p>
    <w:p>
      <w:pPr>
        <w:pStyle w:val="105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2"/>
      <w:r>
        <w:rPr>
          <w:rFonts w:ascii="Times New Roman" w:hAnsi="Times New Roman" w:eastAsia="宋体"/>
          <w:color w:val="auto"/>
          <w:sz w:val="28"/>
          <w:highlight w:val="none"/>
        </w:rPr>
        <w:t xml:space="preserve">的编制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65" w:name="_Toc151193697"/>
      <w:r/>
      <w:bookmarkStart w:id="166" w:name="_Toc149720820"/>
      <w:r/>
      <w:bookmarkStart w:id="167" w:name="_Toc127161441"/>
      <w:r/>
      <w:bookmarkStart w:id="168" w:name="_Toc151190154"/>
      <w:r/>
      <w:bookmarkStart w:id="169" w:name="_Toc305158869"/>
      <w:r/>
      <w:bookmarkStart w:id="170" w:name="_Toc226965717"/>
      <w:r/>
      <w:bookmarkStart w:id="171" w:name="_Toc195842892"/>
      <w:r/>
      <w:bookmarkStart w:id="172" w:name="_Toc127151527"/>
      <w:r/>
      <w:bookmarkStart w:id="173" w:name="_Toc150509278"/>
      <w:r/>
      <w:bookmarkStart w:id="174" w:name="_Toc150774627"/>
      <w:r/>
      <w:bookmarkStart w:id="175" w:name="_Toc151193625"/>
      <w:r/>
      <w:bookmarkStart w:id="176" w:name="_Toc264969217"/>
      <w:r/>
      <w:bookmarkStart w:id="177" w:name="_Toc164229222"/>
      <w:r/>
      <w:bookmarkStart w:id="178" w:name="_Toc164351621"/>
      <w:r/>
      <w:bookmarkStart w:id="179" w:name="_Toc226337223"/>
      <w:r/>
      <w:bookmarkStart w:id="180" w:name="_Toc226965800"/>
      <w:r/>
      <w:bookmarkStart w:id="181" w:name="_Toc127151728"/>
      <w:r/>
      <w:bookmarkStart w:id="182" w:name="_Toc150480765"/>
      <w:r/>
      <w:bookmarkStart w:id="183" w:name="_Toc150774732"/>
      <w:r/>
      <w:bookmarkStart w:id="184" w:name="_Toc151193769"/>
      <w:r/>
      <w:bookmarkStart w:id="185" w:name="_Toc164608796"/>
      <w:r/>
      <w:bookmarkStart w:id="186" w:name="_Toc305158795"/>
      <w:r/>
      <w:bookmarkStart w:id="187" w:name="_Toc265228365"/>
      <w:r/>
      <w:bookmarkStart w:id="188" w:name="_Toc516367021"/>
      <w:r/>
      <w:bookmarkStart w:id="189" w:name="_Toc226309771"/>
      <w:r/>
      <w:bookmarkStart w:id="190" w:name="_Toc151193841"/>
      <w:r/>
      <w:bookmarkStart w:id="191" w:name="_Toc142311029"/>
      <w:r/>
      <w:bookmarkStart w:id="192" w:name="_Toc164608641"/>
      <w:r/>
      <w:bookmarkStart w:id="193" w:name="_Toc164229368"/>
      <w:r/>
      <w:bookmarkStart w:id="194" w:name="_Toc520356151"/>
      <w:r/>
      <w:bookmarkStart w:id="195" w:name="_Toc151193915"/>
      <w:r>
        <w:rPr>
          <w:rFonts w:hint="eastAsia" w:ascii="宋体" w:hAnsi="宋体" w:cs="宋体"/>
          <w:color w:val="auto"/>
          <w:sz w:val="24"/>
          <w:highlight w:val="none"/>
        </w:rPr>
        <w:t xml:space="preserve">响应范围、竞争性磋商文件中计量单位的使用</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196" w:name="_Toc516367022"/>
      <w:r/>
      <w:bookmarkStart w:id="197" w:name="_Ref467306195"/>
      <w:r/>
      <w:bookmarkStart w:id="198" w:name="_Ref467306676"/>
      <w:r/>
      <w:bookmarkStart w:id="199" w:name="_Toc164608642"/>
      <w:r/>
      <w:bookmarkStart w:id="200" w:name="_Toc142311030"/>
      <w:r/>
      <w:bookmarkStart w:id="201" w:name="_Toc150774733"/>
      <w:r/>
      <w:bookmarkStart w:id="202" w:name="_Toc195842893"/>
      <w:r/>
      <w:bookmarkStart w:id="203" w:name="_Toc150480766"/>
      <w:r/>
      <w:bookmarkStart w:id="204" w:name="_Toc151193770"/>
      <w:r/>
      <w:bookmarkStart w:id="205" w:name="_Toc127161442"/>
      <w:r/>
      <w:bookmarkStart w:id="206" w:name="_Toc151193698"/>
      <w:r/>
      <w:bookmarkStart w:id="207" w:name="_Toc127151528"/>
      <w:r/>
      <w:bookmarkStart w:id="208" w:name="_Toc520356152"/>
      <w:r/>
      <w:bookmarkStart w:id="209" w:name="_Toc151193842"/>
      <w:r/>
      <w:bookmarkStart w:id="210" w:name="_Toc151193626"/>
      <w:r/>
      <w:bookmarkStart w:id="211" w:name="_Toc164229369"/>
      <w:r/>
      <w:bookmarkStart w:id="212" w:name="_Toc265228366"/>
      <w:r/>
      <w:bookmarkStart w:id="213" w:name="_Toc226965718"/>
      <w:r/>
      <w:bookmarkStart w:id="214" w:name="_Toc264969218"/>
      <w:r/>
      <w:bookmarkStart w:id="215" w:name="_Toc151193916"/>
      <w:r/>
      <w:bookmarkStart w:id="216" w:name="_Toc226965801"/>
      <w:r/>
      <w:bookmarkStart w:id="217" w:name="_Toc149720821"/>
      <w:r/>
      <w:bookmarkStart w:id="218" w:name="_Toc164229223"/>
      <w:r/>
      <w:bookmarkStart w:id="219" w:name="_Toc151190155"/>
      <w:r/>
      <w:bookmarkStart w:id="220" w:name="_Toc164351622"/>
      <w:r/>
      <w:bookmarkStart w:id="221" w:name="_Toc305158870"/>
      <w:r/>
      <w:bookmarkStart w:id="222" w:name="_Toc226337224"/>
      <w:r/>
      <w:bookmarkStart w:id="223" w:name="_Toc164608797"/>
      <w:r/>
      <w:bookmarkStart w:id="224" w:name="_Toc150509279"/>
      <w:r/>
      <w:bookmarkStart w:id="225" w:name="_Toc150774628"/>
      <w:r/>
      <w:bookmarkStart w:id="226" w:name="_Toc127151729"/>
      <w:r/>
      <w:bookmarkStart w:id="227" w:name="_Toc305158796"/>
      <w:r/>
      <w:bookmarkStart w:id="228" w:name="_Toc226309772"/>
      <w:r>
        <w:rPr>
          <w:rFonts w:hint="eastAsia" w:ascii="宋体" w:hAnsi="宋体" w:cs="宋体"/>
          <w:color w:val="auto"/>
          <w:sz w:val="24"/>
          <w:highlight w:val="none"/>
        </w:rPr>
        <w:t xml:space="preserve">响应文件</w:t>
      </w:r>
      <w:bookmarkEnd w:id="196"/>
      <w:r/>
      <w:bookmarkEnd w:id="197"/>
      <w:r/>
      <w:bookmarkEnd w:id="198"/>
      <w:r>
        <w:rPr>
          <w:rFonts w:hint="eastAsia" w:ascii="宋体" w:hAnsi="宋体" w:cs="宋体"/>
          <w:color w:val="auto"/>
          <w:sz w:val="24"/>
          <w:highlight w:val="none"/>
        </w:rPr>
        <w:t xml:space="preserve">构成</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229"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29"/>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230" w:name="_Toc127151530"/>
      <w:r/>
      <w:bookmarkStart w:id="231" w:name="_Toc151193628"/>
      <w:r/>
      <w:bookmarkStart w:id="232" w:name="_Toc164229371"/>
      <w:r/>
      <w:bookmarkStart w:id="233" w:name="_Toc195842895"/>
      <w:r/>
      <w:bookmarkStart w:id="234" w:name="_Toc164608799"/>
      <w:r/>
      <w:bookmarkStart w:id="235" w:name="_Toc151190157"/>
      <w:r/>
      <w:bookmarkStart w:id="236" w:name="_Toc164229225"/>
      <w:r/>
      <w:bookmarkStart w:id="237" w:name="_Toc164351624"/>
      <w:r/>
      <w:bookmarkStart w:id="238" w:name="_Toc127151731"/>
      <w:r/>
      <w:bookmarkStart w:id="239" w:name="_Toc151193844"/>
      <w:r/>
      <w:bookmarkStart w:id="240" w:name="_Toc149720823"/>
      <w:r/>
      <w:bookmarkStart w:id="241" w:name="_Toc164608644"/>
      <w:r/>
      <w:bookmarkStart w:id="242" w:name="_Toc150774630"/>
      <w:r/>
      <w:bookmarkStart w:id="243" w:name="_Toc150480768"/>
      <w:r/>
      <w:bookmarkStart w:id="244" w:name="_Toc150774735"/>
      <w:r/>
      <w:bookmarkStart w:id="245" w:name="_Toc151193918"/>
      <w:r/>
      <w:bookmarkStart w:id="246" w:name="_Toc151193700"/>
      <w:r/>
      <w:bookmarkStart w:id="247" w:name="_Toc151193772"/>
      <w:r/>
      <w:bookmarkStart w:id="248" w:name="_Toc150509281"/>
      <w:r/>
      <w:bookmarkStart w:id="249" w:name="_Toc127161444"/>
      <w:r/>
      <w:bookmarkStart w:id="250" w:name="_Toc520356155"/>
      <w:r/>
      <w:bookmarkStart w:id="251" w:name="_Toc142311032"/>
      <w:r>
        <w:rPr>
          <w:rFonts w:hint="eastAsia" w:ascii="宋体" w:hAnsi="宋体" w:cs="宋体"/>
          <w:color w:val="auto"/>
          <w:sz w:val="24"/>
          <w:highlight w:val="none"/>
        </w:rPr>
        <w:t xml:space="preserve">报价</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8"/>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磋商保证金：根据江苏省和常州市的相关文件规定，免收保证金。</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252" w:name="_Toc226965806"/>
      <w:r/>
      <w:bookmarkStart w:id="253" w:name="_Toc226309777"/>
      <w:r/>
      <w:bookmarkStart w:id="254" w:name="_Toc150774633"/>
      <w:r/>
      <w:bookmarkStart w:id="255" w:name="_Toc264969223"/>
      <w:r/>
      <w:bookmarkStart w:id="256" w:name="_Toc149720826"/>
      <w:r/>
      <w:bookmarkStart w:id="257" w:name="_Toc151193703"/>
      <w:r/>
      <w:bookmarkStart w:id="258" w:name="_Toc164229228"/>
      <w:r/>
      <w:bookmarkStart w:id="259" w:name="_Toc164351627"/>
      <w:r/>
      <w:bookmarkStart w:id="260" w:name="_Toc151193775"/>
      <w:r/>
      <w:bookmarkStart w:id="261" w:name="_Toc164608802"/>
      <w:r/>
      <w:bookmarkStart w:id="262" w:name="_Toc195842898"/>
      <w:r/>
      <w:bookmarkStart w:id="263" w:name="_Toc142311035"/>
      <w:r/>
      <w:bookmarkStart w:id="264" w:name="_Toc151193921"/>
      <w:r/>
      <w:bookmarkStart w:id="265" w:name="_Toc127161447"/>
      <w:r/>
      <w:bookmarkStart w:id="266" w:name="_Toc520356158"/>
      <w:r/>
      <w:bookmarkStart w:id="267" w:name="_Toc127151734"/>
      <w:r/>
      <w:bookmarkStart w:id="268" w:name="_Toc265228371"/>
      <w:r/>
      <w:bookmarkStart w:id="269" w:name="_Toc151190160"/>
      <w:r/>
      <w:bookmarkStart w:id="270" w:name="_Toc150480771"/>
      <w:r/>
      <w:bookmarkStart w:id="271" w:name="_Toc164229374"/>
      <w:r/>
      <w:bookmarkStart w:id="272" w:name="_Toc226337229"/>
      <w:r/>
      <w:bookmarkStart w:id="273" w:name="_Toc150509284"/>
      <w:r/>
      <w:bookmarkStart w:id="274" w:name="_Toc305158875"/>
      <w:r/>
      <w:bookmarkStart w:id="275" w:name="_Toc151193631"/>
      <w:r/>
      <w:bookmarkStart w:id="276" w:name="_Toc151193847"/>
      <w:r/>
      <w:bookmarkStart w:id="277" w:name="_Toc127151533"/>
      <w:r/>
      <w:bookmarkStart w:id="278" w:name="_Toc305158801"/>
      <w:r/>
      <w:bookmarkStart w:id="279" w:name="_Toc150774738"/>
      <w:r/>
      <w:bookmarkStart w:id="280" w:name="_Toc226965723"/>
      <w:r/>
      <w:bookmarkStart w:id="281" w:name="_Toc164608647"/>
      <w:r>
        <w:rPr>
          <w:rFonts w:hint="eastAsia" w:ascii="宋体" w:hAnsi="宋体" w:cs="宋体"/>
          <w:color w:val="auto"/>
          <w:sz w:val="24"/>
          <w:highlight w:val="none"/>
        </w:rPr>
        <w:t xml:space="preserve">响应文件的签署</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rFonts w:ascii="宋体" w:hAnsi="宋体" w:cs="宋体"/>
          <w:color w:val="auto"/>
          <w:sz w:val="24"/>
          <w:highlight w:val="none"/>
        </w:rPr>
      </w:pPr>
      <w:r/>
      <w:bookmarkStart w:id="282" w:name="_Toc151193632"/>
      <w:r/>
      <w:bookmarkStart w:id="283" w:name="_Toc150509285"/>
      <w:r/>
      <w:bookmarkStart w:id="284" w:name="_Toc150480772"/>
      <w:r/>
      <w:bookmarkStart w:id="285" w:name="_Toc150774634"/>
      <w:r/>
      <w:bookmarkStart w:id="286" w:name="_Toc151193922"/>
      <w:r/>
      <w:bookmarkStart w:id="287" w:name="_Toc264969224"/>
      <w:r/>
      <w:bookmarkStart w:id="288" w:name="_Toc305158876"/>
      <w:r/>
      <w:bookmarkStart w:id="289" w:name="_Toc226309778"/>
      <w:r/>
      <w:bookmarkStart w:id="290" w:name="_Toc151193704"/>
      <w:r/>
      <w:bookmarkStart w:id="291" w:name="_Toc265228372"/>
      <w:r/>
      <w:bookmarkStart w:id="292" w:name="_Toc151193848"/>
      <w:r/>
      <w:bookmarkStart w:id="293" w:name="_Toc127151534"/>
      <w:r/>
      <w:bookmarkStart w:id="294" w:name="_Toc151193776"/>
      <w:r/>
      <w:bookmarkStart w:id="295" w:name="_Toc226965807"/>
      <w:r/>
      <w:bookmarkStart w:id="296" w:name="_Toc520356159"/>
      <w:r/>
      <w:bookmarkStart w:id="297" w:name="_Toc150774739"/>
      <w:r/>
      <w:bookmarkStart w:id="298" w:name="_Toc226337230"/>
      <w:r/>
      <w:bookmarkStart w:id="299" w:name="_Toc226965724"/>
      <w:r/>
      <w:bookmarkStart w:id="300" w:name="_Toc195842899"/>
      <w:r/>
      <w:bookmarkStart w:id="301" w:name="_Toc151190161"/>
      <w:r/>
      <w:bookmarkStart w:id="302" w:name="_Toc142311036"/>
      <w:r/>
      <w:bookmarkStart w:id="303" w:name="_Toc305158802"/>
      <w:r>
        <w:rPr>
          <w:rFonts w:hint="eastAsia" w:ascii="宋体" w:hAnsi="宋体" w:cs="宋体"/>
          <w:color w:val="auto"/>
          <w:sz w:val="24"/>
          <w:highlight w:val="none"/>
        </w:rPr>
        <w:t xml:space="preserve">竞争性磋商文件要求签字、盖章的内容，供应商须按规定签字、盖章。</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105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04" w:name="_Toc305158803"/>
      <w:r/>
      <w:bookmarkStart w:id="305" w:name="_Toc164229376"/>
      <w:r/>
      <w:bookmarkStart w:id="306" w:name="_Toc151193633"/>
      <w:r/>
      <w:bookmarkStart w:id="307" w:name="_Toc127151736"/>
      <w:r/>
      <w:bookmarkStart w:id="308" w:name="_Toc151190162"/>
      <w:r/>
      <w:bookmarkStart w:id="309" w:name="_Toc164608649"/>
      <w:r/>
      <w:bookmarkStart w:id="310" w:name="_Toc520356160"/>
      <w:r/>
      <w:bookmarkStart w:id="311" w:name="_Toc164608804"/>
      <w:r/>
      <w:bookmarkStart w:id="312" w:name="_Toc226309779"/>
      <w:r/>
      <w:bookmarkStart w:id="313" w:name="_Toc151193777"/>
      <w:r/>
      <w:bookmarkStart w:id="314" w:name="_Toc150480773"/>
      <w:r/>
      <w:bookmarkStart w:id="315" w:name="_Toc195842900"/>
      <w:r/>
      <w:bookmarkStart w:id="316" w:name="_Toc226965808"/>
      <w:r/>
      <w:bookmarkStart w:id="317" w:name="_Toc226965725"/>
      <w:r/>
      <w:bookmarkStart w:id="318" w:name="_Toc265228373"/>
      <w:r/>
      <w:bookmarkStart w:id="319" w:name="_Toc151193849"/>
      <w:r/>
      <w:bookmarkStart w:id="320" w:name="_Toc151193923"/>
      <w:r/>
      <w:bookmarkStart w:id="321" w:name="_Toc142311037"/>
      <w:r/>
      <w:bookmarkStart w:id="322" w:name="_Toc150509286"/>
      <w:r/>
      <w:bookmarkStart w:id="323" w:name="_Toc151193705"/>
      <w:r/>
      <w:bookmarkStart w:id="324" w:name="_Toc150774635"/>
      <w:r/>
      <w:bookmarkStart w:id="325" w:name="_Toc127151535"/>
      <w:r/>
      <w:bookmarkStart w:id="326" w:name="_Toc127161449"/>
      <w:r/>
      <w:bookmarkStart w:id="327" w:name="_Toc164229230"/>
      <w:r/>
      <w:bookmarkStart w:id="328" w:name="_Toc150774740"/>
      <w:r/>
      <w:bookmarkStart w:id="329" w:name="_Toc264969225"/>
      <w:r/>
      <w:bookmarkStart w:id="330" w:name="_Toc149720828"/>
      <w:r/>
      <w:bookmarkStart w:id="331" w:name="_Toc164351629"/>
      <w:r/>
      <w:bookmarkStart w:id="332" w:name="_Toc226337231"/>
      <w:r/>
      <w:bookmarkStart w:id="333" w:name="_Toc305158877"/>
      <w:r>
        <w:rPr>
          <w:rFonts w:hint="eastAsia" w:ascii="宋体" w:hAnsi="宋体" w:cs="宋体"/>
          <w:color w:val="auto"/>
          <w:sz w:val="24"/>
          <w:highlight w:val="none"/>
        </w:rPr>
        <w:t xml:space="preserve">响应文件的</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b/>
          <w:color w:val="auto"/>
          <w:sz w:val="24"/>
          <w:highlight w:val="none"/>
        </w:rPr>
        <w:t xml:space="preserve">磋商开启前不需要提供纸质响应文件。中标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34" w:name="_Toc226309780"/>
      <w:r/>
      <w:bookmarkStart w:id="335" w:name="_Toc150480774"/>
      <w:r/>
      <w:bookmarkStart w:id="336" w:name="_Toc164351630"/>
      <w:r/>
      <w:bookmarkStart w:id="337" w:name="_Toc150774741"/>
      <w:r/>
      <w:bookmarkStart w:id="338" w:name="_Toc151190163"/>
      <w:r/>
      <w:bookmarkStart w:id="339" w:name="_Toc164229231"/>
      <w:r/>
      <w:bookmarkStart w:id="340" w:name="_Toc164608650"/>
      <w:r/>
      <w:bookmarkStart w:id="341" w:name="_Toc264969226"/>
      <w:r/>
      <w:bookmarkStart w:id="342" w:name="_Toc142311038"/>
      <w:r/>
      <w:bookmarkStart w:id="343" w:name="_Toc127151536"/>
      <w:r/>
      <w:bookmarkStart w:id="344" w:name="_Toc226337232"/>
      <w:r/>
      <w:bookmarkStart w:id="345" w:name="_Toc520356161"/>
      <w:r/>
      <w:bookmarkStart w:id="346" w:name="_Toc195842901"/>
      <w:r/>
      <w:bookmarkStart w:id="347" w:name="_Toc164229377"/>
      <w:r/>
      <w:bookmarkStart w:id="348" w:name="_Toc151193924"/>
      <w:r/>
      <w:bookmarkStart w:id="349" w:name="_Toc305158804"/>
      <w:r/>
      <w:bookmarkStart w:id="350" w:name="_Toc150774636"/>
      <w:r/>
      <w:bookmarkStart w:id="351" w:name="_Toc151193850"/>
      <w:r/>
      <w:bookmarkStart w:id="352" w:name="_Toc150509287"/>
      <w:r/>
      <w:bookmarkStart w:id="353" w:name="_Toc151193778"/>
      <w:r/>
      <w:bookmarkStart w:id="354" w:name="_Toc265228374"/>
      <w:r/>
      <w:bookmarkStart w:id="355" w:name="_Toc305158878"/>
      <w:r/>
      <w:bookmarkStart w:id="356" w:name="_Toc151193634"/>
      <w:r/>
      <w:bookmarkStart w:id="357" w:name="_Toc127161450"/>
      <w:r/>
      <w:bookmarkStart w:id="358" w:name="_Toc226965726"/>
      <w:r/>
      <w:bookmarkStart w:id="359" w:name="_Toc151193706"/>
      <w:r/>
      <w:bookmarkStart w:id="360" w:name="_Toc127151737"/>
      <w:r/>
      <w:bookmarkStart w:id="361" w:name="_Toc149720829"/>
      <w:r/>
      <w:bookmarkStart w:id="362" w:name="_Toc164608805"/>
      <w:r/>
      <w:bookmarkStart w:id="363" w:name="_Toc226965809"/>
      <w:r>
        <w:rPr>
          <w:rFonts w:hint="eastAsia" w:ascii="宋体" w:hAnsi="宋体" w:cs="宋体"/>
          <w:color w:val="auto"/>
          <w:sz w:val="24"/>
          <w:highlight w:val="none"/>
        </w:rPr>
        <w:t xml:space="preserve">响应文件截止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color w:val="auto"/>
          <w:sz w:val="24"/>
          <w:highlight w:val="none"/>
        </w:rPr>
        <w:t xml:space="preserve">时间</w:t>
      </w:r>
      <w:r/>
    </w:p>
    <w:p>
      <w:pPr>
        <w:ind w:left="990" w:hanging="511"/>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364" w:name="_Toc151193635"/>
      <w:r/>
      <w:bookmarkStart w:id="365" w:name="_Toc195842902"/>
      <w:r/>
      <w:bookmarkStart w:id="366" w:name="_Toc226337233"/>
      <w:r/>
      <w:bookmarkStart w:id="367" w:name="_Toc151193851"/>
      <w:r/>
      <w:bookmarkStart w:id="368" w:name="_Toc151190164"/>
      <w:r/>
      <w:bookmarkStart w:id="369" w:name="_Toc151193779"/>
      <w:r/>
      <w:bookmarkStart w:id="370" w:name="_Toc520356162"/>
      <w:r/>
      <w:bookmarkStart w:id="371" w:name="_Toc265228375"/>
      <w:r/>
      <w:bookmarkStart w:id="372" w:name="_Toc151193707"/>
      <w:r/>
      <w:bookmarkStart w:id="373" w:name="_Toc164608651"/>
      <w:r/>
      <w:bookmarkStart w:id="374" w:name="_Toc305158879"/>
      <w:r/>
      <w:bookmarkStart w:id="375" w:name="_Toc164229378"/>
      <w:r/>
      <w:bookmarkStart w:id="376" w:name="_Toc127161451"/>
      <w:r/>
      <w:bookmarkStart w:id="377" w:name="_Toc150774742"/>
      <w:r/>
      <w:bookmarkStart w:id="378" w:name="_Toc226965727"/>
      <w:r/>
      <w:bookmarkStart w:id="379" w:name="_Toc127151537"/>
      <w:r/>
      <w:bookmarkStart w:id="380" w:name="_Toc142311039"/>
      <w:r/>
      <w:bookmarkStart w:id="381" w:name="_Toc164351631"/>
      <w:r/>
      <w:bookmarkStart w:id="382" w:name="_Toc305158805"/>
      <w:r/>
      <w:bookmarkStart w:id="383" w:name="_Toc149720830"/>
      <w:r/>
      <w:bookmarkStart w:id="384" w:name="_Toc151193925"/>
      <w:r/>
      <w:bookmarkStart w:id="385" w:name="_Toc226309781"/>
      <w:r/>
      <w:bookmarkStart w:id="386" w:name="_Toc264969227"/>
      <w:r/>
      <w:bookmarkStart w:id="387" w:name="_Toc150480775"/>
      <w:r/>
      <w:bookmarkStart w:id="388" w:name="_Toc150509288"/>
      <w:r/>
      <w:bookmarkStart w:id="389" w:name="_Toc127151738"/>
      <w:r/>
      <w:bookmarkStart w:id="390" w:name="_Toc164229232"/>
      <w:r/>
      <w:bookmarkStart w:id="391" w:name="_Toc226965810"/>
      <w:r/>
      <w:bookmarkStart w:id="392" w:name="_Toc150774637"/>
      <w:r/>
      <w:bookmarkStart w:id="393" w:name="_Toc164608806"/>
      <w:r>
        <w:rPr>
          <w:rFonts w:hint="eastAsia" w:ascii="宋体" w:hAnsi="宋体" w:cs="宋体"/>
          <w:color w:val="auto"/>
          <w:sz w:val="24"/>
          <w:highlight w:val="none"/>
        </w:rPr>
        <w:t xml:space="preserve">响应文件的修改与撤回</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991" w:hanging="422"/>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1051"/>
        <w:ind w:left="600" w:hanging="6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五、评审</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供应商不足3家的，不予开启。</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394" w:name="_Toc520356165"/>
      <w:r>
        <w:rPr>
          <w:rFonts w:hint="eastAsia" w:ascii="宋体" w:hAnsi="宋体" w:cs="宋体"/>
          <w:color w:val="auto"/>
          <w:sz w:val="24"/>
          <w:highlight w:val="none"/>
        </w:rPr>
        <w:t xml:space="preserve">本项目不公开报价。</w:t>
      </w:r>
      <w:bookmarkEnd w:id="394"/>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395" w:name="_Toc520356166"/>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395"/>
      <w:r/>
      <w:bookmarkStart w:id="396" w:name="_Toc520356169"/>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51"/>
        <w:spacing w:before="0" w:line="360" w:lineRule="auto"/>
        <w:rPr>
          <w:rFonts w:ascii="Times New Roman" w:hAnsi="Times New Roman" w:eastAsia="宋体"/>
          <w:color w:val="auto"/>
          <w:sz w:val="28"/>
          <w:highlight w:val="none"/>
        </w:rPr>
      </w:pPr>
      <w:r/>
      <w:bookmarkStart w:id="397" w:name="_Toc264969235"/>
      <w:r/>
      <w:bookmarkStart w:id="398" w:name="_Toc226965735"/>
      <w:r/>
      <w:bookmarkStart w:id="399" w:name="_Toc195842910"/>
      <w:r/>
      <w:bookmarkStart w:id="400" w:name="_Toc150480783"/>
      <w:r/>
      <w:bookmarkStart w:id="401" w:name="_Toc127151545"/>
      <w:r/>
      <w:bookmarkStart w:id="402" w:name="_Toc151193787"/>
      <w:r/>
      <w:bookmarkStart w:id="403" w:name="_Toc151193715"/>
      <w:r/>
      <w:bookmarkStart w:id="404" w:name="_Toc305158813"/>
      <w:r/>
      <w:bookmarkStart w:id="405" w:name="_Toc150774645"/>
      <w:r/>
      <w:bookmarkStart w:id="406" w:name="_Toc226309789"/>
      <w:r/>
      <w:bookmarkStart w:id="407" w:name="_Toc150774750"/>
      <w:r/>
      <w:bookmarkStart w:id="408" w:name="_Toc142311047"/>
      <w:r/>
      <w:bookmarkStart w:id="409" w:name="_Toc150509296"/>
      <w:r/>
      <w:bookmarkStart w:id="410" w:name="_Toc151193643"/>
      <w:r/>
      <w:bookmarkStart w:id="411" w:name="_Toc305158887"/>
      <w:r/>
      <w:bookmarkStart w:id="412" w:name="_Toc151193933"/>
      <w:r/>
      <w:bookmarkStart w:id="413" w:name="_Toc151190172"/>
      <w:r/>
      <w:bookmarkStart w:id="414" w:name="_Toc151193859"/>
      <w:r/>
      <w:bookmarkStart w:id="415" w:name="_Toc226337241"/>
      <w:r/>
      <w:bookmarkStart w:id="416" w:name="_Toc226965818"/>
      <w:r/>
      <w:bookmarkStart w:id="417" w:name="_Toc265228383"/>
      <w:r>
        <w:rPr>
          <w:rFonts w:ascii="Times New Roman" w:hAnsi="Times New Roman" w:eastAsia="宋体"/>
          <w:color w:val="auto"/>
          <w:sz w:val="28"/>
          <w:highlight w:val="none"/>
        </w:rPr>
        <w:t xml:space="preserve">六</w:t>
      </w:r>
      <w:bookmarkEnd w:id="396"/>
      <w:r>
        <w:rPr>
          <w:rFonts w:ascii="Times New Roman" w:hAnsi="Times New Roman" w:eastAsia="宋体"/>
          <w:color w:val="auto"/>
          <w:sz w:val="28"/>
          <w:highlight w:val="none"/>
        </w:rPr>
        <w:t xml:space="preserve">、确定</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18" w:name="_Toc226309791"/>
      <w:r/>
      <w:bookmarkStart w:id="419" w:name="_Toc305158815"/>
      <w:r/>
      <w:bookmarkStart w:id="420" w:name="_Toc164608816"/>
      <w:r/>
      <w:bookmarkStart w:id="421" w:name="_Toc151190174"/>
      <w:r/>
      <w:bookmarkStart w:id="422" w:name="_Toc226965820"/>
      <w:r/>
      <w:bookmarkStart w:id="423" w:name="_Toc150774647"/>
      <w:r/>
      <w:bookmarkStart w:id="424" w:name="_Toc142311049"/>
      <w:r/>
      <w:bookmarkStart w:id="425" w:name="_Toc149720840"/>
      <w:r/>
      <w:bookmarkStart w:id="426" w:name="_Toc150774752"/>
      <w:r/>
      <w:bookmarkStart w:id="427" w:name="_Toc265228385"/>
      <w:r/>
      <w:bookmarkStart w:id="428" w:name="_Toc164351641"/>
      <w:r/>
      <w:bookmarkStart w:id="429" w:name="_Toc150509298"/>
      <w:r/>
      <w:bookmarkStart w:id="430" w:name="_Toc226337243"/>
      <w:r/>
      <w:bookmarkStart w:id="431" w:name="_Toc226965737"/>
      <w:r/>
      <w:bookmarkStart w:id="432" w:name="_Toc127151748"/>
      <w:r/>
      <w:bookmarkStart w:id="433" w:name="_Toc151193645"/>
      <w:r/>
      <w:bookmarkStart w:id="434" w:name="_Toc151193789"/>
      <w:r/>
      <w:bookmarkStart w:id="435" w:name="_Toc264969237"/>
      <w:r/>
      <w:bookmarkStart w:id="436" w:name="_Toc195842912"/>
      <w:r/>
      <w:bookmarkStart w:id="437" w:name="_Toc151193717"/>
      <w:r/>
      <w:bookmarkStart w:id="438" w:name="_Toc164608661"/>
      <w:r/>
      <w:bookmarkStart w:id="439" w:name="_Toc151193935"/>
      <w:r/>
      <w:bookmarkStart w:id="440" w:name="_Toc127151547"/>
      <w:r/>
      <w:bookmarkStart w:id="441" w:name="_Toc127161461"/>
      <w:r/>
      <w:bookmarkStart w:id="442" w:name="_Toc305158889"/>
      <w:r/>
      <w:bookmarkStart w:id="443" w:name="_Toc164229388"/>
      <w:r/>
      <w:bookmarkStart w:id="444" w:name="_Toc151193861"/>
      <w:r/>
      <w:bookmarkStart w:id="445" w:name="_Toc150480785"/>
      <w:r/>
      <w:bookmarkStart w:id="446" w:name="_Toc164229242"/>
      <w:r>
        <w:rPr>
          <w:rFonts w:hint="eastAsia" w:ascii="宋体" w:hAnsi="宋体" w:cs="宋体"/>
          <w:color w:val="auto"/>
          <w:sz w:val="24"/>
          <w:highlight w:val="none"/>
        </w:rPr>
        <w:t xml:space="preserve">确定成交供应商</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47" w:name="_Toc305158891"/>
      <w:r/>
      <w:bookmarkStart w:id="448" w:name="_Toc305158817"/>
      <w:r/>
      <w:bookmarkStart w:id="449" w:name="_Toc150774649"/>
      <w:r/>
      <w:bookmarkStart w:id="450" w:name="_Toc142311051"/>
      <w:r/>
      <w:bookmarkStart w:id="451" w:name="_Toc164229390"/>
      <w:r/>
      <w:bookmarkStart w:id="452" w:name="_Toc150509300"/>
      <w:r/>
      <w:bookmarkStart w:id="453" w:name="_Toc226337245"/>
      <w:r/>
      <w:bookmarkStart w:id="454" w:name="_Toc127161463"/>
      <w:r/>
      <w:bookmarkStart w:id="455" w:name="_Toc151193719"/>
      <w:r/>
      <w:bookmarkStart w:id="456" w:name="_Toc151193647"/>
      <w:r/>
      <w:bookmarkStart w:id="457" w:name="_Toc151193937"/>
      <w:r/>
      <w:bookmarkStart w:id="458" w:name="_Toc149720842"/>
      <w:r/>
      <w:bookmarkStart w:id="459" w:name="_Toc226309793"/>
      <w:r/>
      <w:bookmarkStart w:id="460" w:name="_Toc127151549"/>
      <w:r/>
      <w:bookmarkStart w:id="461" w:name="_Toc195842914"/>
      <w:r/>
      <w:bookmarkStart w:id="462" w:name="_Toc226965739"/>
      <w:r/>
      <w:bookmarkStart w:id="463" w:name="_Toc127151750"/>
      <w:r/>
      <w:bookmarkStart w:id="464" w:name="_Toc164229244"/>
      <w:r/>
      <w:bookmarkStart w:id="465" w:name="_Toc151193791"/>
      <w:r/>
      <w:bookmarkStart w:id="466" w:name="_Toc265228387"/>
      <w:r/>
      <w:bookmarkStart w:id="467" w:name="_Toc264969239"/>
      <w:r/>
      <w:bookmarkStart w:id="468" w:name="_Toc151193863"/>
      <w:r/>
      <w:bookmarkStart w:id="469" w:name="_Toc150480787"/>
      <w:r/>
      <w:bookmarkStart w:id="470" w:name="_Toc164608663"/>
      <w:r/>
      <w:bookmarkStart w:id="471" w:name="_Toc226965822"/>
      <w:r/>
      <w:bookmarkStart w:id="472" w:name="_Toc164608818"/>
      <w:r/>
      <w:bookmarkStart w:id="473" w:name="_Toc150774754"/>
      <w:r/>
      <w:bookmarkStart w:id="474" w:name="_Toc151190176"/>
      <w:r/>
      <w:bookmarkStart w:id="475" w:name="_Toc164351643"/>
      <w:r/>
      <w:bookmarkStart w:id="476" w:name="_Toc520356176"/>
      <w:r/>
      <w:bookmarkStart w:id="477" w:name="_Ref467306425"/>
      <w:r/>
      <w:bookmarkStart w:id="478" w:name="_Ref467307090"/>
      <w:r>
        <w:rPr>
          <w:rFonts w:hint="eastAsia" w:ascii="宋体" w:hAnsi="宋体" w:cs="宋体"/>
          <w:color w:val="auto"/>
          <w:sz w:val="24"/>
          <w:highlight w:val="none"/>
        </w:rPr>
        <w:t xml:space="preserve">成交公告与成交通知书</w:t>
      </w:r>
      <w:bookmarkEnd w:id="447"/>
      <w:r/>
      <w:bookmarkEnd w:id="44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情况严重且影响采购活动公平、公正性的。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bookmarkStart w:id="479" w:name="_Toc150774755"/>
      <w:r/>
      <w:bookmarkStart w:id="480" w:name="_Toc151193792"/>
      <w:r/>
      <w:bookmarkStart w:id="481" w:name="_Toc226337246"/>
      <w:r/>
      <w:bookmarkStart w:id="482" w:name="_Toc150774650"/>
      <w:r/>
      <w:bookmarkStart w:id="483" w:name="_Toc265228388"/>
      <w:r/>
      <w:bookmarkStart w:id="484" w:name="_Ref467306978"/>
      <w:r/>
      <w:bookmarkStart w:id="485" w:name="_Toc127151550"/>
      <w:r/>
      <w:bookmarkStart w:id="486" w:name="_Toc264969240"/>
      <w:r/>
      <w:bookmarkStart w:id="487" w:name="_Ref467306377"/>
      <w:r/>
      <w:bookmarkStart w:id="488" w:name="_Toc164608819"/>
      <w:r/>
      <w:bookmarkStart w:id="489" w:name="_Toc142311052"/>
      <w:r/>
      <w:bookmarkStart w:id="490" w:name="_Toc164351644"/>
      <w:r/>
      <w:bookmarkStart w:id="491" w:name="_Toc150480788"/>
      <w:r/>
      <w:bookmarkStart w:id="492" w:name="_Toc149720843"/>
      <w:r/>
      <w:bookmarkStart w:id="493" w:name="_Toc305158892"/>
      <w:r/>
      <w:bookmarkStart w:id="494" w:name="_Toc127151751"/>
      <w:r/>
      <w:bookmarkStart w:id="495" w:name="_Toc151193720"/>
      <w:r/>
      <w:bookmarkStart w:id="496" w:name="_Toc226309794"/>
      <w:r/>
      <w:bookmarkStart w:id="497" w:name="_Toc226965823"/>
      <w:r/>
      <w:bookmarkStart w:id="498" w:name="_Toc151193864"/>
      <w:r/>
      <w:bookmarkStart w:id="499" w:name="_Toc151190177"/>
      <w:r/>
      <w:bookmarkStart w:id="500" w:name="_Ref467307062"/>
      <w:r/>
      <w:bookmarkStart w:id="501" w:name="_Toc195842915"/>
      <w:r/>
      <w:bookmarkStart w:id="502" w:name="_Toc305158818"/>
      <w:r/>
      <w:bookmarkStart w:id="503" w:name="_Toc151193938"/>
      <w:r/>
      <w:bookmarkStart w:id="504" w:name="_Toc226965740"/>
      <w:r/>
      <w:bookmarkStart w:id="505" w:name="_Toc520356175"/>
      <w:r/>
      <w:bookmarkStart w:id="506" w:name="_Ref467307204"/>
      <w:r/>
      <w:bookmarkStart w:id="507" w:name="_Toc164229245"/>
      <w:r/>
      <w:bookmarkStart w:id="508" w:name="_Toc127161464"/>
      <w:r/>
      <w:bookmarkStart w:id="509" w:name="_Toc164229391"/>
      <w:r/>
      <w:bookmarkStart w:id="510" w:name="_Toc151193648"/>
      <w:r/>
      <w:bookmarkStart w:id="511" w:name="_Toc150509301"/>
      <w:r/>
      <w:bookmarkStart w:id="512" w:name="_Toc164608664"/>
      <w:r>
        <w:rPr>
          <w:rFonts w:hint="eastAsia" w:ascii="宋体" w:hAnsi="宋体" w:cs="宋体"/>
          <w:color w:val="auto"/>
          <w:sz w:val="24"/>
          <w:highlight w:val="none"/>
        </w:rPr>
        <w:t xml:space="preserve">签订合同</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476"/>
      <w:r/>
      <w:bookmarkEnd w:id="477"/>
      <w:r/>
      <w:bookmarkEnd w:id="478"/>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00"/>
          <w:rFonts w:hint="eastAsia" w:ascii="宋体" w:hAnsi="宋体" w:cs="宋体"/>
          <w:color w:val="auto"/>
          <w:sz w:val="24"/>
          <w:highlight w:val="none"/>
        </w:rPr>
        <w:t xml:space="preserve">http://gk</w:t>
      </w:r>
      <w:bookmarkStart w:id="513" w:name="_Hlt100654014"/>
      <w:r>
        <w:rPr>
          <w:rStyle w:val="1100"/>
          <w:rFonts w:hint="eastAsia" w:ascii="宋体" w:hAnsi="宋体" w:cs="宋体"/>
          <w:color w:val="auto"/>
          <w:sz w:val="24"/>
          <w:highlight w:val="none"/>
        </w:rPr>
        <w:t xml:space="preserve">s</w:t>
      </w:r>
      <w:bookmarkEnd w:id="513"/>
      <w:r>
        <w:rPr>
          <w:rStyle w:val="1100"/>
          <w:rFonts w:hint="eastAsia" w:ascii="宋体" w:hAnsi="宋体" w:cs="宋体"/>
          <w:color w:val="auto"/>
          <w:sz w:val="24"/>
          <w:highlight w:val="none"/>
        </w:rPr>
        <w:t xml:space="preserve">.m</w:t>
      </w:r>
      <w:bookmarkStart w:id="514" w:name="_Hlt100653993"/>
      <w:r/>
      <w:bookmarkStart w:id="515" w:name="_Hlt100653994"/>
      <w:r>
        <w:rPr>
          <w:rStyle w:val="1100"/>
          <w:rFonts w:hint="eastAsia" w:ascii="宋体" w:hAnsi="宋体" w:cs="宋体"/>
          <w:color w:val="auto"/>
          <w:sz w:val="24"/>
          <w:highlight w:val="none"/>
        </w:rPr>
        <w:t xml:space="preserve">o</w:t>
      </w:r>
      <w:bookmarkEnd w:id="514"/>
      <w:r/>
      <w:bookmarkEnd w:id="515"/>
      <w:r/>
      <w:bookmarkStart w:id="516" w:name="_Hlt101169156"/>
      <w:r>
        <w:rPr>
          <w:rStyle w:val="1100"/>
          <w:rFonts w:hint="eastAsia" w:ascii="宋体" w:hAnsi="宋体" w:cs="宋体"/>
          <w:color w:val="auto"/>
          <w:sz w:val="24"/>
          <w:highlight w:val="none"/>
        </w:rPr>
        <w:t xml:space="preserve">f</w:t>
      </w:r>
      <w:bookmarkEnd w:id="516"/>
      <w:r>
        <w:rPr>
          <w:rStyle w:val="1100"/>
          <w:rFonts w:hint="eastAsia" w:ascii="宋体" w:hAnsi="宋体" w:cs="宋体"/>
          <w:color w:val="auto"/>
          <w:sz w:val="24"/>
          <w:highlight w:val="none"/>
        </w:rPr>
        <w:t xml:space="preserve">.gov.cn/ztztz/zhengfucaigouguanli/201802/t20180201_2804589.htm</w:t>
      </w:r>
      <w:r>
        <w:rPr>
          <w:rStyle w:val="1100"/>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sectPr>
          <w:footerReference w:type="even" r:id="rId17"/>
          <w:footnotePr/>
          <w:endnotePr/>
          <w:type w:val="nextPage"/>
          <w:pgSz w:w="11907" w:h="16840" w:orient="portrait"/>
          <w:pgMar w:top="1440" w:right="1701" w:bottom="1440" w:left="1701" w:header="851" w:footer="851" w:gutter="0"/>
          <w:cols w:num="1" w:sep="0" w:space="720" w:equalWidth="1"/>
          <w:docGrid w:linePitch="360"/>
        </w:sectPr>
      </w:pPr>
      <w:r>
        <w:rPr>
          <w:rFonts w:ascii="宋体" w:hAnsi="宋体" w:cs="宋体"/>
          <w:color w:val="auto"/>
          <w:sz w:val="24"/>
          <w:highlight w:val="none"/>
        </w:rPr>
      </w:r>
      <w:bookmarkEnd w:id="15"/>
      <w:r/>
      <w:bookmarkEnd w:id="16"/>
      <w:r/>
      <w:bookmarkEnd w:id="29"/>
      <w:r/>
      <w:bookmarkEnd w:id="30"/>
      <w:r/>
      <w:bookmarkEnd w:id="31"/>
      <w:r/>
      <w:bookmarkEnd w:id="32"/>
      <w:r/>
      <w:r/>
    </w:p>
    <w:p>
      <w:pPr>
        <w:jc w:val="center"/>
        <w:spacing w:line="360" w:lineRule="auto"/>
        <w:rPr>
          <w:b/>
          <w:color w:val="auto"/>
          <w:sz w:val="36"/>
          <w:szCs w:val="36"/>
          <w:highlight w:val="none"/>
        </w:rPr>
        <w:outlineLvl w:val="0"/>
      </w:pPr>
      <w:r/>
      <w:bookmarkStart w:id="517" w:name="_Toc353873664"/>
      <w:r/>
      <w:bookmarkStart w:id="518" w:name="_Toc264969244"/>
      <w:r/>
      <w:bookmarkStart w:id="519" w:name="_Toc305158822"/>
      <w:r/>
      <w:bookmarkStart w:id="520" w:name="_Toc305158896"/>
      <w:r/>
      <w:bookmarkStart w:id="521" w:name="_Toc150480792"/>
      <w:r/>
      <w:bookmarkStart w:id="522" w:name="_Toc142311056"/>
      <w:r/>
      <w:bookmarkStart w:id="523" w:name="_Toc226337250"/>
      <w:r/>
      <w:bookmarkStart w:id="524" w:name="_Toc353873934"/>
      <w:r/>
      <w:bookmarkStart w:id="525" w:name="_Toc127151554"/>
      <w:r/>
      <w:bookmarkStart w:id="526" w:name="_Toc265228392"/>
      <w:r/>
      <w:bookmarkStart w:id="527" w:name="_Toc150774759"/>
      <w:r/>
      <w:bookmarkStart w:id="528" w:name="_Toc353825544"/>
      <w:r/>
      <w:bookmarkStart w:id="529" w:name="_Toc226965827"/>
      <w:r/>
      <w:bookmarkStart w:id="530" w:name="_Toc193985580"/>
      <w:r/>
      <w:bookmarkStart w:id="531" w:name="_Toc226337215"/>
      <w:r/>
      <w:bookmarkStart w:id="532" w:name="_Toc164229360"/>
      <w:r/>
      <w:bookmarkStart w:id="533" w:name="_Toc164351613"/>
      <w:r/>
      <w:bookmarkStart w:id="534" w:name="_Toc151193689"/>
      <w:r/>
      <w:bookmarkStart w:id="535" w:name="_Toc142311021"/>
      <w:r/>
      <w:bookmarkStart w:id="536" w:name="_Toc195842884"/>
      <w:r/>
      <w:bookmarkStart w:id="537" w:name="_Toc151193833"/>
      <w:r/>
      <w:bookmarkStart w:id="538" w:name="_Toc149720812"/>
      <w:r/>
      <w:bookmarkStart w:id="539" w:name="_Toc150509270"/>
      <w:r/>
      <w:bookmarkStart w:id="540" w:name="_Toc226965792"/>
      <w:r/>
      <w:bookmarkStart w:id="541" w:name="_Toc151193761"/>
      <w:r/>
      <w:bookmarkStart w:id="542" w:name="_Toc226309763"/>
      <w:r/>
      <w:bookmarkStart w:id="543" w:name="_Toc164229214"/>
      <w:r/>
      <w:bookmarkStart w:id="544" w:name="_Toc226965709"/>
      <w:r/>
      <w:bookmarkStart w:id="545" w:name="_Toc127161433"/>
      <w:r/>
      <w:bookmarkStart w:id="546" w:name="_Toc150480757"/>
      <w:r/>
      <w:bookmarkStart w:id="547" w:name="_Toc164608788"/>
      <w:r/>
      <w:bookmarkStart w:id="548" w:name="_Toc127151519"/>
      <w:r/>
      <w:bookmarkStart w:id="549" w:name="_Toc151193617"/>
      <w:r/>
      <w:bookmarkStart w:id="550" w:name="_Toc150774619"/>
      <w:r/>
      <w:bookmarkStart w:id="551" w:name="_Toc150774724"/>
      <w:r/>
      <w:bookmarkStart w:id="552" w:name="_Toc151190146"/>
      <w:r/>
      <w:bookmarkStart w:id="553" w:name="_Toc520356144"/>
      <w:r/>
      <w:bookmarkStart w:id="554" w:name="_Toc127151720"/>
      <w:r/>
      <w:bookmarkStart w:id="555" w:name="_Toc151193907"/>
      <w:r/>
      <w:bookmarkStart w:id="556" w:name="_Toc164608633"/>
      <w:r>
        <w:rPr>
          <w:b/>
          <w:color w:val="auto"/>
          <w:sz w:val="36"/>
          <w:szCs w:val="36"/>
          <w:highlight w:val="none"/>
        </w:rPr>
        <w:t xml:space="preserve">第三章   </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30"/>
      <w:r/>
      <w:bookmarkStart w:id="557" w:name="_Toc487900382"/>
      <w:r/>
      <w:r/>
    </w:p>
    <w:p>
      <w:pPr>
        <w:pStyle w:val="1051"/>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0"/>
          <w:numId w:val="10"/>
        </w:numPr>
        <w:ind w:left="900" w:hanging="900"/>
        <w:spacing w:line="360" w:lineRule="auto"/>
        <w:tabs>
          <w:tab w:val="left" w:pos="360" w:leader="none"/>
        </w:tabs>
        <w:rPr>
          <w:color w:val="auto"/>
          <w:sz w:val="24"/>
          <w:highlight w:val="none"/>
        </w:rPr>
        <w:outlineLvl w:val="1"/>
      </w:pPr>
      <w:r/>
      <w:bookmarkStart w:id="558" w:name="_Toc127161455"/>
      <w:r/>
      <w:bookmarkStart w:id="559" w:name="_Toc264969231"/>
      <w:r/>
      <w:bookmarkStart w:id="560" w:name="_Toc151190168"/>
      <w:r/>
      <w:bookmarkStart w:id="561" w:name="_Toc150774746"/>
      <w:r/>
      <w:bookmarkStart w:id="562" w:name="_Toc149720834"/>
      <w:r/>
      <w:bookmarkStart w:id="563" w:name="_Toc150774641"/>
      <w:r/>
      <w:bookmarkStart w:id="564" w:name="_Toc305158809"/>
      <w:r/>
      <w:bookmarkStart w:id="565" w:name="_Toc151193929"/>
      <w:r/>
      <w:bookmarkStart w:id="566" w:name="_Toc151193639"/>
      <w:r/>
      <w:bookmarkStart w:id="567" w:name="_Toc164229382"/>
      <w:r/>
      <w:bookmarkStart w:id="568" w:name="_Toc226965731"/>
      <w:r/>
      <w:bookmarkStart w:id="569" w:name="_Toc164608810"/>
      <w:r/>
      <w:bookmarkStart w:id="570" w:name="_Toc305158883"/>
      <w:r/>
      <w:bookmarkStart w:id="571" w:name="_Toc195842906"/>
      <w:r/>
      <w:bookmarkStart w:id="572" w:name="_Toc142311043"/>
      <w:r/>
      <w:bookmarkStart w:id="573" w:name="_Toc150480779"/>
      <w:r/>
      <w:bookmarkStart w:id="574" w:name="_Toc127151742"/>
      <w:r/>
      <w:bookmarkStart w:id="575" w:name="_Toc164608655"/>
      <w:r/>
      <w:bookmarkStart w:id="576" w:name="_Toc127151541"/>
      <w:r/>
      <w:bookmarkStart w:id="577" w:name="_Toc151193855"/>
      <w:r/>
      <w:bookmarkStart w:id="578" w:name="_Toc226309785"/>
      <w:r/>
      <w:bookmarkStart w:id="579" w:name="_Toc226337237"/>
      <w:r/>
      <w:bookmarkStart w:id="580" w:name="_Toc151193711"/>
      <w:r/>
      <w:bookmarkStart w:id="581" w:name="_Toc226965814"/>
      <w:r/>
      <w:bookmarkStart w:id="582" w:name="_Toc164351635"/>
      <w:r/>
      <w:bookmarkStart w:id="583" w:name="_Toc151193783"/>
      <w:r/>
      <w:bookmarkStart w:id="584" w:name="_Toc265228379"/>
      <w:r/>
      <w:bookmarkStart w:id="585" w:name="_Toc164229236"/>
      <w:r/>
      <w:bookmarkStart w:id="586" w:name="_Toc150509292"/>
      <w:r/>
      <w:bookmarkStart w:id="587" w:name="_Toc353873941"/>
      <w:r/>
      <w:bookmarkStart w:id="588" w:name="_Toc353825551"/>
      <w:r/>
      <w:bookmarkStart w:id="589" w:name="_Toc150480793"/>
      <w:r/>
      <w:bookmarkStart w:id="590" w:name="_Toc353825545"/>
      <w:r/>
      <w:bookmarkStart w:id="591" w:name="_Toc264969245"/>
      <w:r/>
      <w:bookmarkStart w:id="592" w:name="_Toc305158897"/>
      <w:r/>
      <w:bookmarkStart w:id="593" w:name="_Toc226337251"/>
      <w:r/>
      <w:bookmarkStart w:id="594" w:name="_Toc265228393"/>
      <w:r/>
      <w:bookmarkStart w:id="595" w:name="_Toc353873665"/>
      <w:r/>
      <w:bookmarkStart w:id="596" w:name="_Toc353873935"/>
      <w:r/>
      <w:bookmarkStart w:id="597" w:name="_Toc142311057"/>
      <w:r/>
      <w:bookmarkStart w:id="598" w:name="_Toc226965828"/>
      <w:r/>
      <w:bookmarkStart w:id="599" w:name="_Toc127151555"/>
      <w:r/>
      <w:bookmarkStart w:id="600" w:name="_Toc305158823"/>
      <w:r/>
      <w:bookmarkStart w:id="601" w:name="_Toc150774760"/>
      <w:r/>
      <w:bookmarkStart w:id="602" w:name="_Toc195842920"/>
      <w:r>
        <w:rPr>
          <w:color w:val="auto"/>
          <w:sz w:val="24"/>
          <w:highlight w:val="none"/>
        </w:rPr>
        <w:t xml:space="preserve">响应文件的</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color w:val="auto"/>
          <w:sz w:val="24"/>
          <w:highlight w:val="none"/>
        </w:rPr>
        <w:t xml:space="preserve">资格性检查和符合性审查</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965"/>
        <w:gridCol w:w="4753"/>
        <w:gridCol w:w="2019"/>
      </w:tblGrid>
      <w:tr>
        <w:trPr>
          <w:cantSplit/>
          <w:trHeight w:val="20"/>
          <w:tblHeader/>
        </w:trPr>
        <w:tc>
          <w:tcPr>
            <w:tcW w:w="338" w:type="pct"/>
            <w:vAlign w:val="center"/>
            <w:textDirection w:val="lrTb"/>
            <w:noWrap w:val="false"/>
          </w:tcPr>
          <w:p>
            <w:pPr>
              <w:jc w:val="center"/>
              <w:tabs>
                <w:tab w:val="left" w:pos="1080" w:leader="none"/>
              </w:tabs>
              <w:rPr>
                <w:b/>
                <w:color w:val="auto"/>
                <w:sz w:val="24"/>
                <w:highlight w:val="none"/>
              </w:rPr>
            </w:pPr>
            <w:r/>
            <w:bookmarkStart w:id="603" w:name="_Hlt487972895"/>
            <w:r/>
            <w:bookmarkEnd w:id="603"/>
            <w:r>
              <w:rPr>
                <w:b/>
                <w:color w:val="auto"/>
                <w:sz w:val="24"/>
                <w:highlight w:val="none"/>
              </w:rPr>
              <w:t xml:space="preserve">序号</w:t>
            </w:r>
            <w:r/>
          </w:p>
        </w:tc>
        <w:tc>
          <w:tcPr>
            <w:tcW w:w="1048"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5"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9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w:t>
            </w:r>
            <w:r>
              <w:rPr>
                <w:rFonts w:hint="eastAsia"/>
                <w:color w:val="auto"/>
                <w:sz w:val="24"/>
                <w:highlight w:val="none"/>
              </w:rPr>
              <w:t xml:space="preserve">由采购代理机构查询</w:t>
            </w:r>
            <w:r>
              <w:rPr>
                <w:color w:val="auto"/>
                <w:sz w:val="24"/>
                <w:highlight w:val="none"/>
              </w:rPr>
              <w:t xml:space="preserve">。</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shd w:val="clear" w:color="auto" w:fill="auto"/>
            <w:tcW w:w="338"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shd w:val="clear" w:color="auto" w:fill="auto"/>
            <w:tcW w:w="1048"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shd w:val="clear" w:color="auto" w:fill="auto"/>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供应商非必须提供；供应商如是属于本项目所属行业的小型、微型企业，残疾人福利性单位、监狱企业的情形的可提供此格式文件，未提供的将不享受有关政策。《中小企业声明函》由参加政府采购活动的供应商出具。</w:t>
            </w:r>
            <w:r/>
          </w:p>
        </w:tc>
        <w:tc>
          <w:tcPr>
            <w:shd w:val="clear" w:color="auto" w:fill="auto"/>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5"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38"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48"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35" w:type="pct"/>
            <w:vAlign w:val="center"/>
            <w:textDirection w:val="lrTb"/>
            <w:noWrap w:val="false"/>
          </w:tcPr>
          <w:p>
            <w:pPr>
              <w:spacing w:line="360" w:lineRule="auto"/>
              <w:rPr>
                <w:color w:val="auto"/>
                <w:sz w:val="24"/>
                <w:highlight w:val="none"/>
              </w:rPr>
            </w:pPr>
            <w:r>
              <w:rPr>
                <w:rFonts w:hint="eastAsia" w:ascii="宋体" w:hAnsi="宋体"/>
                <w:color w:val="auto"/>
                <w:sz w:val="24"/>
                <w:highlight w:val="none"/>
              </w:rPr>
              <w:t xml:space="preserve">供应商具有有效的《公证机构执业证》。</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bl>
    <w:p>
      <w:pPr>
        <w:jc w:val="left"/>
        <w:widowControl/>
        <w:rPr>
          <w:color w:val="auto"/>
          <w:sz w:val="24"/>
          <w:highlight w:val="none"/>
        </w:rPr>
      </w:pPr>
      <w:r>
        <w:rPr>
          <w:color w:val="auto"/>
          <w:sz w:val="24"/>
          <w:highlight w:val="none"/>
        </w:rPr>
        <w:br w:type="page" w:clear="all"/>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60"/>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784"/>
        <w:gridCol w:w="6212"/>
      </w:tblGrid>
      <w:tr>
        <w:trPr>
          <w:jc w:val="center"/>
          <w:trHeight w:val="300"/>
        </w:trPr>
        <w:tc>
          <w:tcPr>
            <w:tcW w:w="485"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007"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507"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485"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007"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485"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tcW w:w="859" w:type="dxa"/>
            <w:vAlign w:val="center"/>
            <w:textDirection w:val="lrTb"/>
            <w:noWrap w:val="false"/>
          </w:tcPr>
          <w:p>
            <w:pPr>
              <w:jc w:val="center"/>
              <w:widowControl/>
              <w:rPr>
                <w:rFonts w:hint="eastAsia"/>
                <w:color w:val="auto"/>
                <w:sz w:val="24"/>
                <w:highlight w:val="none"/>
              </w:rPr>
            </w:pPr>
            <w:r>
              <w:rPr>
                <w:rFonts w:hint="eastAsia"/>
                <w:color w:val="auto"/>
                <w:sz w:val="24"/>
                <w:highlight w:val="none"/>
                <w:lang w:val="en-US" w:eastAsia="zh-CN"/>
              </w:rPr>
              <w:t xml:space="preserve">9</w:t>
            </w:r>
            <w:r/>
          </w:p>
        </w:tc>
        <w:tc>
          <w:tcPr>
            <w:tcW w:w="1784" w:type="dxa"/>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tcW w:w="6212" w:type="dxa"/>
            <w:vAlign w:val="center"/>
            <w:textDirection w:val="lrTb"/>
            <w:noWrap w:val="false"/>
          </w:tcPr>
          <w:p>
            <w:pPr>
              <w:jc w:val="left"/>
              <w:widowControl/>
              <w:rPr>
                <w:rFonts w:hint="default" w:eastAsia="宋体"/>
                <w:color w:val="auto"/>
                <w:sz w:val="24"/>
                <w:highlight w:val="none"/>
                <w:lang w:val="en-US" w:eastAsia="zh-CN"/>
              </w:rPr>
            </w:pPr>
            <w:r>
              <w:rPr>
                <w:rFonts w:hint="eastAsia"/>
                <w:color w:val="auto"/>
                <w:sz w:val="24"/>
                <w:highlight w:val="none"/>
              </w:rPr>
              <w:t xml:space="preserve">报价</w:t>
            </w:r>
            <w:r>
              <w:rPr>
                <w:rFonts w:hint="eastAsia"/>
                <w:color w:val="auto"/>
                <w:sz w:val="24"/>
                <w:highlight w:val="none"/>
                <w:lang w:val="en-US" w:eastAsia="zh-CN"/>
              </w:rPr>
              <w:t xml:space="preserve">不</w:t>
            </w:r>
            <w:r>
              <w:rPr>
                <w:rFonts w:hint="eastAsia"/>
                <w:color w:val="auto"/>
                <w:sz w:val="24"/>
                <w:highlight w:val="none"/>
              </w:rPr>
              <w:t xml:space="preserve">合理，或</w:t>
            </w:r>
            <w:r>
              <w:rPr>
                <w:rFonts w:hint="eastAsia"/>
                <w:color w:val="auto"/>
                <w:sz w:val="24"/>
                <w:highlight w:val="none"/>
                <w:lang w:val="en-US"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val="en-US" w:eastAsia="zh-CN"/>
              </w:rPr>
              <w:t xml:space="preserve">供应商</w:t>
            </w:r>
            <w:r>
              <w:rPr>
                <w:rFonts w:hint="eastAsia"/>
                <w:color w:val="auto"/>
                <w:sz w:val="24"/>
                <w:highlight w:val="none"/>
              </w:rPr>
              <w:t xml:space="preserve">的报价，有可能影响产品质量或者不能诚信履约的，能够应</w:t>
            </w:r>
            <w:r>
              <w:rPr>
                <w:rFonts w:hint="eastAsia"/>
                <w:color w:val="auto"/>
                <w:sz w:val="24"/>
                <w:highlight w:val="none"/>
                <w:lang w:val="en-US" w:eastAsia="zh-CN"/>
              </w:rPr>
              <w:t xml:space="preserve">磋商小组</w:t>
            </w:r>
            <w:r>
              <w:rPr>
                <w:rFonts w:hint="eastAsia"/>
                <w:color w:val="auto"/>
                <w:sz w:val="24"/>
                <w:highlight w:val="none"/>
              </w:rPr>
              <w:t xml:space="preserve">要求在规定时间内证明其报价合理性的；</w:t>
            </w:r>
            <w:r>
              <w:rPr>
                <w:rFonts w:hint="eastAsia"/>
                <w:color w:val="auto"/>
                <w:sz w:val="24"/>
                <w:highlight w:val="none"/>
                <w:lang w:val="en-US" w:eastAsia="zh-CN"/>
              </w:rPr>
              <w:t xml:space="preserve">详见第三章，2.10-2.14项规定</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10</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11</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507"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12</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13</w:t>
            </w:r>
            <w:r/>
          </w:p>
        </w:tc>
        <w:tc>
          <w:tcPr>
            <w:tcW w:w="1007"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507"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859" w:type="dxa"/>
            <w:vAlign w:val="center"/>
            <w:textDirection w:val="lrTb"/>
            <w:noWrap w:val="false"/>
          </w:tcPr>
          <w:p>
            <w:pPr>
              <w:jc w:val="center"/>
              <w:widowControl/>
              <w:rPr>
                <w:color w:val="auto"/>
                <w:sz w:val="24"/>
                <w:highlight w:val="none"/>
              </w:rPr>
            </w:pPr>
            <w:r>
              <w:rPr>
                <w:rFonts w:hint="eastAsia"/>
                <w:color w:val="auto"/>
                <w:sz w:val="24"/>
                <w:highlight w:val="none"/>
                <w:lang w:val="en-US" w:eastAsia="zh-CN"/>
              </w:rPr>
              <w:t xml:space="preserve">14</w:t>
            </w:r>
            <w:r/>
          </w:p>
        </w:tc>
        <w:tc>
          <w:tcPr>
            <w:tcW w:w="1007" w:type="pct"/>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tcW w:w="3507" w:type="pct"/>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r>
              <w:rPr>
                <w:rFonts w:hint="eastAsia"/>
                <w:color w:val="auto"/>
                <w:sz w:val="24"/>
                <w:highlight w:val="none"/>
                <w:lang w:eastAsia="zh-CN"/>
              </w:rPr>
              <w:t xml:space="preserve">。</w:t>
            </w:r>
            <w:bookmarkEnd w:id="587"/>
            <w:r/>
            <w:bookmarkEnd w:id="588"/>
            <w:r/>
            <w:r/>
          </w:p>
        </w:tc>
      </w:tr>
    </w:tbl>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468" w:hanging="90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评审过程中出现下列情形之一的，磋商小组应当启动异常低价响应审查程序：</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响应报价低于全部通过符合性审查供应商响应报价平均值50%的，即响应报价＜全部通过符合性审查供应商响应报价平均值×50%；</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响应报价低于通过符合性审查的次低报价供应商响应报价50%的，即响应报价＜通过符合性审查的次低报价供应商响应报价×50%；</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响应报价低于采购项目最高限价45%的，即响应报价＜采购项目最高限价×45%；</w:t>
      </w:r>
      <w:r/>
    </w:p>
    <w:p>
      <w:pPr>
        <w:numPr>
          <w:ilvl w:val="2"/>
          <w:numId w:val="10"/>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磋商小组基于专业判断，认为供应商报价过低，有可能影响产品质量或者不能诚信履约的其他情形。</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1468" w:hanging="90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1980" w:hanging="900"/>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无，按下述3.2.2-3.2.5项规定修正。</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1980" w:hanging="900"/>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1980"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lang w:val="en-US" w:eastAsia="zh-CN"/>
        </w:rPr>
        <w:t xml:space="preserve">   </w:t>
      </w: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w:t>
      </w:r>
      <w:r>
        <w:rPr>
          <w:rFonts w:hint="eastAsia"/>
          <w:color w:val="auto"/>
          <w:sz w:val="24"/>
          <w:highlight w:val="none"/>
          <w:lang w:eastAsia="zh-CN"/>
        </w:rPr>
        <w:t xml:space="preserve">、</w:t>
      </w:r>
      <w:r>
        <w:rPr>
          <w:rFonts w:hint="eastAsia"/>
          <w:color w:val="auto"/>
          <w:sz w:val="24"/>
          <w:highlight w:val="none"/>
          <w:lang w:val="en-US" w:eastAsia="zh-CN"/>
        </w:rPr>
        <w:t xml:space="preserve">4.9</w:t>
      </w:r>
      <w:r>
        <w:rPr>
          <w:color w:val="auto"/>
          <w:sz w:val="24"/>
          <w:highlight w:val="none"/>
        </w:rPr>
        <w:t xml:space="preserve">条规定情形的，可以享受中小企业扶持政策，用扣除后的价格参加评审；否则，评审时价格不予扣除。</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小微企业价格扣除</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采购本国产品的支持政策</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2098" w:hanging="794"/>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468" w:hanging="900"/>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确定</w:t>
      </w:r>
      <w:bookmarkStart w:id="604" w:name="_Toc520356170"/>
      <w:r/>
      <w:bookmarkStart w:id="605" w:name="_Toc150509297"/>
      <w:r/>
      <w:bookmarkStart w:id="606" w:name="_Toc127161460"/>
      <w:r/>
      <w:bookmarkStart w:id="607" w:name="_Toc127151747"/>
      <w:r/>
      <w:bookmarkStart w:id="608" w:name="_Toc151193934"/>
      <w:r/>
      <w:bookmarkStart w:id="609" w:name="_Toc150774646"/>
      <w:r/>
      <w:bookmarkStart w:id="610" w:name="_Toc226337242"/>
      <w:r/>
      <w:bookmarkStart w:id="611" w:name="_Toc305158888"/>
      <w:r/>
      <w:bookmarkStart w:id="612" w:name="_Toc150774751"/>
      <w:r/>
      <w:bookmarkStart w:id="613" w:name="_Toc151190173"/>
      <w:r/>
      <w:bookmarkStart w:id="614" w:name="_Toc164608660"/>
      <w:r/>
      <w:bookmarkStart w:id="615" w:name="_Toc150480784"/>
      <w:r/>
      <w:bookmarkStart w:id="616" w:name="_Toc127151546"/>
      <w:r/>
      <w:bookmarkStart w:id="617" w:name="_Toc142311048"/>
      <w:r/>
      <w:bookmarkStart w:id="618" w:name="_Toc226965736"/>
      <w:r/>
      <w:bookmarkStart w:id="619" w:name="_Toc164608815"/>
      <w:r/>
      <w:bookmarkStart w:id="620" w:name="_Ref467307010"/>
      <w:r/>
      <w:bookmarkStart w:id="621" w:name="_Toc265228384"/>
      <w:r/>
      <w:bookmarkStart w:id="622" w:name="_Toc164229241"/>
      <w:r/>
      <w:bookmarkStart w:id="623" w:name="_Toc264969236"/>
      <w:r/>
      <w:bookmarkStart w:id="624" w:name="_Toc151193788"/>
      <w:r/>
      <w:bookmarkStart w:id="625" w:name="_Toc226965819"/>
      <w:r/>
      <w:bookmarkStart w:id="626" w:name="_Toc164229387"/>
      <w:r/>
      <w:bookmarkStart w:id="627" w:name="_Toc164351640"/>
      <w:r/>
      <w:bookmarkStart w:id="628" w:name="_Toc151193860"/>
      <w:r/>
      <w:bookmarkStart w:id="629" w:name="_Toc195842911"/>
      <w:r/>
      <w:bookmarkStart w:id="630" w:name="_Toc151193644"/>
      <w:r/>
      <w:bookmarkStart w:id="631" w:name="_Toc151193716"/>
      <w:r/>
      <w:bookmarkStart w:id="632" w:name="_Toc226309790"/>
      <w:r/>
      <w:bookmarkStart w:id="633" w:name="_Toc305158814"/>
      <w:r/>
      <w:bookmarkStart w:id="634" w:name="_Toc149720839"/>
      <w:r>
        <w:rPr>
          <w:color w:val="auto"/>
          <w:sz w:val="24"/>
          <w:highlight w:val="none"/>
        </w:rPr>
        <w:t xml:space="preserve">成交候选人名单</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468" w:hanging="90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ind w:left="900" w:hanging="900"/>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468" w:hanging="90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1068"/>
        <w:rPr>
          <w:color w:val="auto"/>
          <w:highlight w:val="none"/>
        </w:rPr>
      </w:pPr>
      <w:r>
        <w:rPr>
          <w:color w:val="auto"/>
          <w:highlight w:val="none"/>
        </w:rPr>
        <w:br w:type="page" w:clear="all"/>
      </w:r>
      <w:r/>
    </w:p>
    <w:p>
      <w:pPr>
        <w:pStyle w:val="1051"/>
        <w:numPr>
          <w:ilvl w:val="0"/>
          <w:numId w:val="11"/>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60"/>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667"/>
        <w:gridCol w:w="645"/>
        <w:gridCol w:w="4968"/>
        <w:gridCol w:w="1413"/>
      </w:tblGrid>
      <w:tr>
        <w:trPr>
          <w:jc w:val="center"/>
          <w:trHeight w:val="567"/>
          <w:tblHeader/>
        </w:trPr>
        <w:tc>
          <w:tcPr>
            <w:tcW w:w="817"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序号</w:t>
            </w:r>
            <w:r/>
          </w:p>
        </w:tc>
        <w:tc>
          <w:tcPr>
            <w:tcW w:w="1667"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评分因素</w:t>
            </w:r>
            <w:r/>
          </w:p>
        </w:tc>
        <w:tc>
          <w:tcPr>
            <w:tcW w:w="645"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分值</w:t>
            </w:r>
            <w:r/>
          </w:p>
        </w:tc>
        <w:tc>
          <w:tcPr>
            <w:tcW w:w="4968" w:type="dxa"/>
            <w:vAlign w:val="center"/>
            <w:textDirection w:val="lrTb"/>
            <w:noWrap w:val="false"/>
          </w:tcPr>
          <w:p>
            <w:pPr>
              <w:ind w:firstLine="28"/>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highlight w:val="none"/>
              </w:rPr>
              <w:t xml:space="preserve">评分标准</w:t>
            </w:r>
            <w:r/>
          </w:p>
        </w:tc>
        <w:tc>
          <w:tcPr>
            <w:tcW w:w="1413" w:type="dxa"/>
            <w:vAlign w:val="center"/>
            <w:textDirection w:val="lrTb"/>
            <w:noWrap w:val="false"/>
          </w:tcPr>
          <w:p>
            <w:pPr>
              <w:pStyle w:val="1299"/>
              <w:spacing w:before="0" w:after="0"/>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 xml:space="preserve">说明</w:t>
            </w:r>
            <w:r/>
          </w:p>
        </w:tc>
      </w:tr>
      <w:tr>
        <w:trPr>
          <w:jc w:val="center"/>
          <w:trHeight w:val="567"/>
        </w:trPr>
        <w:tc>
          <w:tcPr>
            <w:gridSpan w:val="5"/>
            <w:tcW w:w="951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0分）</w:t>
            </w:r>
            <w:r/>
          </w:p>
        </w:tc>
      </w:tr>
      <w:tr>
        <w:trPr>
          <w:jc w:val="center"/>
          <w:trHeight w:val="2138"/>
        </w:trPr>
        <w:tc>
          <w:tcPr>
            <w:tcW w:w="817"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w:t>
            </w:r>
            <w:r/>
          </w:p>
        </w:tc>
        <w:tc>
          <w:tcPr>
            <w:tcW w:w="1667" w:type="dxa"/>
            <w:vAlign w:val="center"/>
            <w:textDirection w:val="lrTb"/>
            <w:noWrap w:val="false"/>
          </w:tcPr>
          <w:p>
            <w:pPr>
              <w:ind w:firstLine="28"/>
              <w:jc w:val="cente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价格分</w:t>
            </w:r>
            <w:r/>
          </w:p>
        </w:tc>
        <w:tc>
          <w:tcPr>
            <w:tcW w:w="645" w:type="dxa"/>
            <w:vAlign w:val="center"/>
            <w:textDirection w:val="lrTb"/>
            <w:noWrap w:val="false"/>
          </w:tcPr>
          <w:p>
            <w:pPr>
              <w:ind w:firstLine="28"/>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p>
        </w:tc>
        <w:tc>
          <w:tcPr>
            <w:tcW w:w="4968" w:type="dxa"/>
            <w:vAlign w:val="center"/>
            <w:textDirection w:val="lrTb"/>
            <w:noWrap w:val="false"/>
          </w:tcPr>
          <w:p>
            <w:pPr>
              <w:spacing w:line="360" w:lineRule="exact"/>
              <w:rPr>
                <w:rFonts w:hint="eastAsia" w:ascii="宋体" w:hAnsi="宋体" w:eastAsia="宋体" w:cs="宋体"/>
                <w:color w:val="auto"/>
                <w:spacing w:val="-6"/>
                <w:sz w:val="24"/>
                <w:szCs w:val="24"/>
                <w:highlight w:val="none"/>
              </w:rPr>
            </w:pPr>
            <w:r>
              <w:rPr>
                <w:rFonts w:hint="eastAsia" w:ascii="宋体" w:hAnsi="宋体" w:cs="宋体"/>
                <w:color w:val="auto"/>
                <w:spacing w:val="-6"/>
                <w:sz w:val="24"/>
                <w:highlight w:val="none"/>
              </w:rPr>
              <w:t xml:space="preserve">价格分采用低价优先法计算，即满足采购文件要求且投标报价最低的投标报价为磋商基准价，其价格分为满分</w:t>
            </w:r>
            <w:r>
              <w:rPr>
                <w:rFonts w:hint="eastAsia" w:ascii="宋体" w:hAnsi="宋体" w:cs="宋体"/>
                <w:color w:val="auto"/>
                <w:spacing w:val="-6"/>
                <w:sz w:val="24"/>
                <w:highlight w:val="none"/>
                <w:lang w:val="en-US" w:eastAsia="zh-CN"/>
              </w:rPr>
              <w:t xml:space="preserve">2</w:t>
            </w:r>
            <w:r>
              <w:rPr>
                <w:rFonts w:hint="eastAsia" w:ascii="宋体" w:hAnsi="宋体" w:cs="宋体"/>
                <w:color w:val="auto"/>
                <w:spacing w:val="-6"/>
                <w:sz w:val="24"/>
                <w:highlight w:val="none"/>
              </w:rPr>
              <w:t xml:space="preserve">0分。其他投标供应商的价格分统一按照下列公式计算：投标报价得分 =磋商基准价／最后磋商报价×</w:t>
            </w:r>
            <w:r>
              <w:rPr>
                <w:rFonts w:hint="eastAsia" w:ascii="宋体" w:hAnsi="宋体" w:cs="宋体"/>
                <w:color w:val="auto"/>
                <w:spacing w:val="-6"/>
                <w:sz w:val="24"/>
                <w:highlight w:val="none"/>
                <w:lang w:val="en-US" w:eastAsia="zh-CN"/>
              </w:rPr>
              <w:t xml:space="preserve">2</w:t>
            </w:r>
            <w:r>
              <w:rPr>
                <w:rFonts w:hint="eastAsia" w:ascii="宋体" w:hAnsi="宋体" w:cs="宋体"/>
                <w:color w:val="auto"/>
                <w:spacing w:val="-6"/>
                <w:sz w:val="24"/>
                <w:highlight w:val="none"/>
              </w:rPr>
              <w:t xml:space="preserve">0%×100。</w:t>
            </w:r>
            <w:r/>
          </w:p>
        </w:tc>
        <w:tc>
          <w:tcPr>
            <w:tcW w:w="1413" w:type="dxa"/>
            <w:vAlign w:val="center"/>
            <w:textDirection w:val="lrTb"/>
            <w:noWrap w:val="false"/>
          </w:tcPr>
          <w:p>
            <w:pPr>
              <w:spacing w:line="360" w:lineRule="exact"/>
              <w:rPr>
                <w:rFonts w:hint="eastAsia" w:ascii="宋体" w:hAnsi="宋体" w:eastAsia="宋体" w:cs="宋体"/>
                <w:color w:val="auto"/>
                <w:spacing w:val="-6"/>
                <w:sz w:val="24"/>
                <w:szCs w:val="24"/>
                <w:highlight w:val="none"/>
              </w:rPr>
            </w:pPr>
            <w:r>
              <w:rPr>
                <w:rFonts w:hint="eastAsia" w:ascii="宋体" w:hAnsi="宋体" w:cs="宋体"/>
                <w:color w:val="auto"/>
                <w:spacing w:val="-6"/>
                <w:sz w:val="24"/>
                <w:highlight w:val="none"/>
              </w:rPr>
              <w:t xml:space="preserve">此处最终报价指经过报价修正，及因落实政府采购政策进行价格调整后的最终报价。</w:t>
            </w:r>
            <w:r/>
          </w:p>
        </w:tc>
      </w:tr>
      <w:tr>
        <w:trPr>
          <w:jc w:val="center"/>
          <w:trHeight w:val="587"/>
        </w:trPr>
        <w:tc>
          <w:tcPr>
            <w:gridSpan w:val="5"/>
            <w:tcW w:w="9510" w:type="dxa"/>
            <w:vAlign w:val="center"/>
            <w:textDirection w:val="lrTb"/>
            <w:noWrap w:val="false"/>
          </w:tcPr>
          <w:p>
            <w:pPr>
              <w:ind w:left="-38"/>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highlight w:val="none"/>
              </w:rPr>
              <w:t xml:space="preserve">二、技术分（</w:t>
            </w:r>
            <w:r>
              <w:rPr>
                <w:rFonts w:hint="eastAsia" w:ascii="宋体" w:hAnsi="宋体" w:cs="宋体"/>
                <w:b/>
                <w:bCs/>
                <w:color w:val="auto"/>
                <w:sz w:val="24"/>
                <w:highlight w:val="none"/>
                <w:lang w:val="en-US" w:eastAsia="zh-CN"/>
              </w:rPr>
              <w:t xml:space="preserve">47</w:t>
            </w:r>
            <w:r>
              <w:rPr>
                <w:rFonts w:hint="eastAsia" w:ascii="宋体" w:hAnsi="宋体" w:cs="宋体"/>
                <w:b/>
                <w:bCs/>
                <w:color w:val="auto"/>
                <w:sz w:val="24"/>
                <w:highlight w:val="none"/>
              </w:rPr>
              <w:t xml:space="preserve">分）</w:t>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2.1</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项目理解及现状分析方案</w:t>
            </w:r>
            <w:r/>
          </w:p>
        </w:tc>
        <w:tc>
          <w:tcPr>
            <w:shd w:val="clear" w:color="auto" w:fill="auto"/>
            <w:tcW w:w="645" w:type="dxa"/>
            <w:vAlign w:val="center"/>
            <w:textDirection w:val="lrTb"/>
            <w:noWrap w:val="false"/>
          </w:tcPr>
          <w:p>
            <w:pPr>
              <w:ind w:firstLine="28"/>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8</w:t>
            </w:r>
            <w:r/>
          </w:p>
        </w:tc>
        <w:tc>
          <w:tcPr>
            <w:shd w:val="clear" w:color="auto" w:fill="auto"/>
            <w:tcW w:w="4968" w:type="dxa"/>
            <w:vAlign w:val="center"/>
            <w:textDirection w:val="lrTb"/>
            <w:noWrap w:val="false"/>
          </w:tcPr>
          <w:p>
            <w:pPr>
              <w:rPr>
                <w:rStyle w:val="1322"/>
                <w:rFonts w:hint="eastAsia" w:cs="宋体"/>
                <w:color w:val="auto"/>
                <w:highlight w:val="none"/>
              </w:rPr>
            </w:pPr>
            <w:r>
              <w:rPr>
                <w:rStyle w:val="1322"/>
                <w:rFonts w:hint="eastAsia" w:cs="宋体"/>
                <w:color w:val="auto"/>
                <w:highlight w:val="none"/>
              </w:rPr>
              <w:t xml:space="preserve">根据供应商提供的项目背景及现状分析方案进行评审：</w:t>
            </w:r>
            <w:r/>
          </w:p>
          <w:p>
            <w:pPr>
              <w:rPr>
                <w:rStyle w:val="1322"/>
                <w:rFonts w:hint="eastAsia" w:cs="宋体"/>
                <w:color w:val="auto"/>
                <w:highlight w:val="none"/>
              </w:rPr>
            </w:pPr>
            <w:r>
              <w:rPr>
                <w:rStyle w:val="1322"/>
                <w:rFonts w:hint="eastAsia" w:cs="宋体"/>
                <w:color w:val="auto"/>
                <w:highlight w:val="none"/>
              </w:rPr>
              <w:t xml:space="preserve">对项目背景把握透彻，充分结合常州市不动产继承登记业务实际，业务痛点、风险点识别全面、现状了解分析到位得</w:t>
            </w:r>
            <w:r>
              <w:rPr>
                <w:rStyle w:val="1322"/>
                <w:rFonts w:hint="eastAsia" w:cs="宋体"/>
                <w:color w:val="auto"/>
                <w:highlight w:val="none"/>
                <w:lang w:val="en-US" w:eastAsia="zh-CN"/>
              </w:rPr>
              <w:t xml:space="preserve">8</w:t>
            </w:r>
            <w:r>
              <w:rPr>
                <w:rStyle w:val="1322"/>
                <w:rFonts w:hint="eastAsia" w:cs="宋体"/>
                <w:color w:val="auto"/>
                <w:highlight w:val="none"/>
              </w:rPr>
              <w:t xml:space="preserve">分；</w:t>
            </w:r>
            <w:r/>
          </w:p>
          <w:p>
            <w:pPr>
              <w:rPr>
                <w:rStyle w:val="1322"/>
                <w:rFonts w:hint="eastAsia" w:cs="宋体"/>
                <w:color w:val="auto"/>
                <w:highlight w:val="none"/>
              </w:rPr>
            </w:pPr>
            <w:r>
              <w:rPr>
                <w:rStyle w:val="1322"/>
                <w:rFonts w:hint="eastAsia" w:cs="宋体"/>
                <w:color w:val="auto"/>
                <w:highlight w:val="none"/>
              </w:rPr>
              <w:t xml:space="preserve">项目背景及分析理解基本完整，能够识别主要业务场景，风险分析基本到位得</w:t>
            </w:r>
            <w:r>
              <w:rPr>
                <w:rStyle w:val="1322"/>
                <w:rFonts w:hint="eastAsia" w:cs="宋体"/>
                <w:color w:val="auto"/>
                <w:highlight w:val="none"/>
                <w:lang w:val="en-US" w:eastAsia="zh-CN"/>
              </w:rPr>
              <w:t xml:space="preserve">6</w:t>
            </w:r>
            <w:r>
              <w:rPr>
                <w:rStyle w:val="1322"/>
                <w:rFonts w:hint="eastAsia" w:cs="宋体"/>
                <w:color w:val="auto"/>
                <w:highlight w:val="none"/>
              </w:rPr>
              <w:t xml:space="preserve">分；</w:t>
            </w:r>
            <w:r/>
          </w:p>
          <w:p>
            <w:pPr>
              <w:rPr>
                <w:rStyle w:val="1322"/>
                <w:rFonts w:hint="eastAsia" w:cs="宋体"/>
                <w:color w:val="auto"/>
                <w:highlight w:val="none"/>
              </w:rPr>
            </w:pPr>
            <w:r>
              <w:rPr>
                <w:rStyle w:val="1322"/>
                <w:rFonts w:hint="eastAsia" w:cs="宋体"/>
                <w:color w:val="auto"/>
                <w:highlight w:val="none"/>
              </w:rPr>
              <w:t xml:space="preserve">项目背景稍有欠缺且对现状理解稍有偏差，风险识别不够全面得</w:t>
            </w:r>
            <w:r>
              <w:rPr>
                <w:rStyle w:val="1322"/>
                <w:rFonts w:hint="eastAsia" w:cs="宋体"/>
                <w:color w:val="auto"/>
                <w:highlight w:val="none"/>
                <w:lang w:val="en-US" w:eastAsia="zh-CN"/>
              </w:rPr>
              <w:t xml:space="preserve">4</w:t>
            </w:r>
            <w:r>
              <w:rPr>
                <w:rStyle w:val="1322"/>
                <w:rFonts w:hint="eastAsia" w:cs="宋体"/>
                <w:color w:val="auto"/>
                <w:highlight w:val="none"/>
              </w:rPr>
              <w:t xml:space="preserve">分；</w:t>
            </w:r>
            <w:r/>
          </w:p>
          <w:p>
            <w:pPr>
              <w:rPr>
                <w:rStyle w:val="1322"/>
                <w:rFonts w:hint="eastAsia" w:cs="宋体"/>
                <w:color w:val="auto"/>
                <w:highlight w:val="none"/>
              </w:rPr>
            </w:pPr>
            <w:r>
              <w:rPr>
                <w:rStyle w:val="1322"/>
                <w:rFonts w:hint="eastAsia" w:cs="宋体"/>
                <w:color w:val="auto"/>
                <w:highlight w:val="none"/>
              </w:rPr>
              <w:t xml:space="preserve">背景把握有偏差且现状分析错误，仅简单复述采购文件内容得</w:t>
            </w:r>
            <w:r>
              <w:rPr>
                <w:rStyle w:val="1322"/>
                <w:rFonts w:hint="eastAsia" w:cs="宋体"/>
                <w:color w:val="auto"/>
                <w:highlight w:val="none"/>
                <w:lang w:val="en-US" w:eastAsia="zh-CN"/>
              </w:rPr>
              <w:t xml:space="preserve">2</w:t>
            </w:r>
            <w:r>
              <w:rPr>
                <w:rStyle w:val="1322"/>
                <w:rFonts w:hint="eastAsia" w:cs="宋体"/>
                <w:color w:val="auto"/>
                <w:highlight w:val="none"/>
              </w:rPr>
              <w:t xml:space="preserve">分；</w:t>
            </w:r>
            <w:r/>
          </w:p>
          <w:p>
            <w:pP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其余不得分。</w:t>
            </w:r>
            <w:r/>
          </w:p>
        </w:tc>
        <w:tc>
          <w:tcPr>
            <w:tcW w:w="1413" w:type="dxa"/>
            <w:vAlign w:val="center"/>
            <w:textDirection w:val="lrTb"/>
            <w:noWrap w:val="false"/>
          </w:tcPr>
          <w:p>
            <w:pPr>
              <w:jc w:val="left"/>
              <w:rPr>
                <w:rStyle w:val="1322"/>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2.2</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项目实施方案</w:t>
            </w:r>
            <w:r/>
          </w:p>
        </w:tc>
        <w:tc>
          <w:tcPr>
            <w:shd w:val="clear" w:color="auto" w:fill="auto"/>
            <w:tcW w:w="645" w:type="dxa"/>
            <w:vAlign w:val="center"/>
            <w:textDirection w:val="lrTb"/>
            <w:noWrap w:val="false"/>
          </w:tcPr>
          <w:p>
            <w:pPr>
              <w:ind w:firstLine="28"/>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10</w:t>
            </w:r>
            <w:r/>
          </w:p>
        </w:tc>
        <w:tc>
          <w:tcPr>
            <w:shd w:val="clear" w:color="auto" w:fill="auto"/>
            <w:tcW w:w="4968" w:type="dxa"/>
            <w:vAlign w:val="center"/>
            <w:textDirection w:val="lrTb"/>
            <w:noWrap w:val="false"/>
          </w:tcPr>
          <w:p>
            <w:pPr>
              <w:jc w:val="left"/>
              <w:rPr>
                <w:rStyle w:val="1322"/>
                <w:rFonts w:hint="eastAsia" w:cs="宋体"/>
                <w:color w:val="auto"/>
                <w:highlight w:val="none"/>
              </w:rPr>
            </w:pPr>
            <w:r>
              <w:rPr>
                <w:rStyle w:val="1322"/>
                <w:rFonts w:hint="eastAsia" w:cs="宋体"/>
                <w:color w:val="auto"/>
                <w:highlight w:val="none"/>
              </w:rPr>
              <w:t xml:space="preserve">根据供应商提供的服务方案（包括但不限于目标定位、业务需求、服务流程及相关政策法规等）进行评审：</w:t>
            </w:r>
            <w:r/>
          </w:p>
          <w:p>
            <w:pPr>
              <w:jc w:val="left"/>
              <w:rPr>
                <w:rStyle w:val="1322"/>
                <w:rFonts w:hint="eastAsia" w:cs="宋体"/>
                <w:color w:val="auto"/>
                <w:highlight w:val="none"/>
              </w:rPr>
            </w:pPr>
            <w:r>
              <w:rPr>
                <w:rStyle w:val="1322"/>
                <w:rFonts w:hint="eastAsia" w:cs="宋体"/>
                <w:color w:val="auto"/>
                <w:highlight w:val="none"/>
              </w:rPr>
              <w:t xml:space="preserve">贴合项目背景与实施目标，继承公证受理、流转对接、调查核实、出证归档全流程完整，内容完整、分析详实，岗位职责清晰，保障措施合理可行得</w:t>
            </w:r>
            <w:r>
              <w:rPr>
                <w:rStyle w:val="1322"/>
                <w:rFonts w:hint="eastAsia" w:cs="宋体"/>
                <w:color w:val="auto"/>
                <w:highlight w:val="none"/>
                <w:lang w:val="en-US" w:eastAsia="zh-CN"/>
              </w:rPr>
              <w:t xml:space="preserve">10</w:t>
            </w:r>
            <w:r>
              <w:rPr>
                <w:rStyle w:val="1322"/>
                <w:rFonts w:hint="eastAsia" w:cs="宋体"/>
                <w:color w:val="auto"/>
                <w:highlight w:val="none"/>
              </w:rPr>
              <w:t xml:space="preserve">分；</w:t>
            </w:r>
            <w:r/>
          </w:p>
          <w:p>
            <w:pPr>
              <w:jc w:val="left"/>
              <w:rPr>
                <w:rStyle w:val="1322"/>
                <w:rFonts w:hint="eastAsia" w:cs="宋体"/>
                <w:color w:val="auto"/>
                <w:highlight w:val="none"/>
              </w:rPr>
            </w:pPr>
            <w:r>
              <w:rPr>
                <w:rStyle w:val="1322"/>
                <w:rFonts w:hint="eastAsia" w:cs="宋体"/>
                <w:color w:val="auto"/>
                <w:highlight w:val="none"/>
              </w:rPr>
              <w:t xml:space="preserve">匹配项目背景与实施目标，内容较齐全，分析较为到位，措施具备可行性得</w:t>
            </w:r>
            <w:r>
              <w:rPr>
                <w:rStyle w:val="1322"/>
                <w:rFonts w:hint="eastAsia" w:cs="宋体"/>
                <w:color w:val="auto"/>
                <w:highlight w:val="none"/>
                <w:lang w:val="en-US" w:eastAsia="zh-CN"/>
              </w:rPr>
              <w:t xml:space="preserve">8</w:t>
            </w:r>
            <w:r>
              <w:rPr>
                <w:rStyle w:val="1322"/>
                <w:rFonts w:hint="eastAsia" w:cs="宋体"/>
                <w:color w:val="auto"/>
                <w:highlight w:val="none"/>
              </w:rPr>
              <w:t xml:space="preserve">分；</w:t>
            </w:r>
            <w:r/>
          </w:p>
          <w:p>
            <w:pPr>
              <w:jc w:val="left"/>
              <w:rPr>
                <w:rStyle w:val="1322"/>
                <w:rFonts w:hint="eastAsia" w:cs="宋体"/>
                <w:color w:val="auto"/>
                <w:highlight w:val="none"/>
              </w:rPr>
            </w:pPr>
            <w:r>
              <w:rPr>
                <w:rStyle w:val="1322"/>
                <w:rFonts w:hint="eastAsia" w:cs="宋体"/>
                <w:color w:val="auto"/>
                <w:highlight w:val="none"/>
              </w:rPr>
              <w:t xml:space="preserve">仅部分贴合项目需求，内容存在缺漏，分析深度不足，部分措施可操作性弱得</w:t>
            </w:r>
            <w:r>
              <w:rPr>
                <w:rStyle w:val="1322"/>
                <w:rFonts w:hint="eastAsia" w:cs="宋体"/>
                <w:color w:val="auto"/>
                <w:highlight w:val="none"/>
                <w:lang w:val="en-US" w:eastAsia="zh-CN"/>
              </w:rPr>
              <w:t xml:space="preserve">6</w:t>
            </w:r>
            <w:r>
              <w:rPr>
                <w:rStyle w:val="1322"/>
                <w:rFonts w:hint="eastAsia" w:cs="宋体"/>
                <w:color w:val="auto"/>
                <w:highlight w:val="none"/>
              </w:rPr>
              <w:t xml:space="preserve">分；</w:t>
            </w:r>
            <w:r/>
          </w:p>
          <w:p>
            <w:pPr>
              <w:jc w:val="left"/>
              <w:rPr>
                <w:rStyle w:val="1322"/>
                <w:rFonts w:hint="eastAsia" w:cs="宋体"/>
                <w:color w:val="auto"/>
                <w:highlight w:val="none"/>
              </w:rPr>
            </w:pPr>
            <w:r>
              <w:rPr>
                <w:rStyle w:val="1322"/>
                <w:rFonts w:hint="eastAsia" w:cs="宋体"/>
                <w:color w:val="auto"/>
                <w:highlight w:val="none"/>
              </w:rPr>
              <w:t xml:space="preserve">偏离项目实际，内容单薄，措施无实操价值得</w:t>
            </w:r>
            <w:r>
              <w:rPr>
                <w:rStyle w:val="1322"/>
                <w:rFonts w:hint="eastAsia" w:cs="宋体"/>
                <w:color w:val="auto"/>
                <w:highlight w:val="none"/>
                <w:lang w:val="en-US" w:eastAsia="zh-CN"/>
              </w:rPr>
              <w:t xml:space="preserve">4</w:t>
            </w:r>
            <w:r>
              <w:rPr>
                <w:rStyle w:val="1322"/>
                <w:rFonts w:hint="eastAsia" w:cs="宋体"/>
                <w:color w:val="auto"/>
                <w:highlight w:val="none"/>
              </w:rPr>
              <w:t xml:space="preserve">分；</w:t>
            </w:r>
            <w:r/>
          </w:p>
          <w:p>
            <w:pPr>
              <w:jc w:val="left"/>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其余不得分。</w:t>
            </w:r>
            <w:r/>
          </w:p>
        </w:tc>
        <w:tc>
          <w:tcPr>
            <w:tcW w:w="1413" w:type="dxa"/>
            <w:vAlign w:val="center"/>
            <w:textDirection w:val="lrTb"/>
            <w:noWrap w:val="false"/>
          </w:tcPr>
          <w:p>
            <w:pPr>
              <w:jc w:val="left"/>
              <w:rPr>
                <w:rStyle w:val="1322"/>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2.3</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合理化建议</w:t>
            </w:r>
            <w:r/>
          </w:p>
        </w:tc>
        <w:tc>
          <w:tcPr>
            <w:shd w:val="clear" w:color="auto" w:fill="auto"/>
            <w:tcW w:w="645" w:type="dxa"/>
            <w:vAlign w:val="center"/>
            <w:textDirection w:val="lrTb"/>
            <w:noWrap w:val="false"/>
          </w:tcPr>
          <w:p>
            <w:pPr>
              <w:ind w:firstLine="28"/>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w:t>
            </w:r>
            <w:r/>
          </w:p>
        </w:tc>
        <w:tc>
          <w:tcPr>
            <w:shd w:val="clear" w:color="auto" w:fill="auto"/>
            <w:tcW w:w="4968" w:type="dxa"/>
            <w:vAlign w:val="center"/>
            <w:textDirection w:val="lrTb"/>
            <w:noWrap w:val="false"/>
          </w:tcPr>
          <w:p>
            <w:pPr>
              <w:jc w:val="left"/>
              <w:rPr>
                <w:rStyle w:val="1322"/>
                <w:rFonts w:hint="eastAsia" w:ascii="宋体" w:hAnsi="宋体" w:eastAsia="宋体" w:cs="宋体"/>
                <w:color w:val="auto"/>
                <w:highlight w:val="none"/>
              </w:rPr>
            </w:pPr>
            <w:r>
              <w:rPr>
                <w:rStyle w:val="1322"/>
                <w:rFonts w:hint="eastAsia" w:ascii="宋体" w:hAnsi="宋体" w:eastAsia="宋体" w:cs="宋体"/>
                <w:color w:val="auto"/>
                <w:highlight w:val="none"/>
              </w:rPr>
              <w:t xml:space="preserve">针对本项目继承公证业务重点难点进行分析并提出合理有效的建议，从是否能实际解决项目所要解决的问题、具有可操作性、是否具有实用性、能否降低登记机构业务风险等方面评审：</w:t>
            </w:r>
            <w:r/>
          </w:p>
          <w:p>
            <w:pPr>
              <w:jc w:val="left"/>
              <w:rPr>
                <w:rStyle w:val="1322"/>
                <w:rFonts w:hint="eastAsia" w:ascii="宋体" w:hAnsi="宋体" w:eastAsia="宋体" w:cs="宋体"/>
                <w:color w:val="auto"/>
                <w:highlight w:val="none"/>
                <w:lang w:val="en-US" w:eastAsia="zh-CN"/>
              </w:rPr>
            </w:pPr>
            <w:r>
              <w:rPr>
                <w:rStyle w:val="1322"/>
                <w:rFonts w:hint="eastAsia" w:ascii="宋体" w:hAnsi="宋体" w:eastAsia="宋体" w:cs="宋体"/>
                <w:color w:val="auto"/>
                <w:highlight w:val="none"/>
                <w:lang w:val="en-US" w:eastAsia="zh-CN"/>
              </w:rPr>
              <w:t xml:space="preserve">重难点识别精准，建议针对性强、落地性好，可有效防范继承公证纠纷风险得5分；</w:t>
            </w:r>
            <w:r/>
          </w:p>
          <w:p>
            <w:pPr>
              <w:jc w:val="left"/>
              <w:rPr>
                <w:rStyle w:val="1322"/>
                <w:rFonts w:hint="eastAsia" w:ascii="宋体" w:hAnsi="宋体" w:eastAsia="宋体" w:cs="宋体"/>
                <w:color w:val="auto"/>
                <w:highlight w:val="none"/>
                <w:lang w:val="en-US" w:eastAsia="zh-CN"/>
              </w:rPr>
            </w:pPr>
            <w:r>
              <w:rPr>
                <w:rStyle w:val="1322"/>
                <w:rFonts w:hint="eastAsia" w:ascii="宋体" w:hAnsi="宋体" w:eastAsia="宋体" w:cs="宋体"/>
                <w:color w:val="auto"/>
                <w:highlight w:val="none"/>
                <w:lang w:val="en-US" w:eastAsia="zh-CN"/>
              </w:rPr>
              <w:t xml:space="preserve">能够识别重难点，建议较为合理，具备一定实操性得3分；</w:t>
            </w:r>
            <w:r/>
          </w:p>
          <w:p>
            <w:pPr>
              <w:jc w:val="left"/>
              <w:rPr>
                <w:rStyle w:val="1322"/>
                <w:rFonts w:hint="default" w:ascii="宋体" w:hAnsi="宋体" w:eastAsia="宋体" w:cs="宋体"/>
                <w:color w:val="auto"/>
                <w:highlight w:val="none"/>
                <w:lang w:val="en-US" w:eastAsia="zh-CN"/>
              </w:rPr>
            </w:pPr>
            <w:r>
              <w:rPr>
                <w:rStyle w:val="1322"/>
                <w:rFonts w:hint="default" w:ascii="宋体" w:hAnsi="宋体" w:eastAsia="宋体" w:cs="宋体"/>
                <w:color w:val="auto"/>
                <w:highlight w:val="none"/>
                <w:lang w:val="en-US" w:eastAsia="zh-CN"/>
              </w:rPr>
              <w:t xml:space="preserve">重难点分析浅显，建议通用性强、针对性一般得</w:t>
            </w:r>
            <w:r>
              <w:rPr>
                <w:rStyle w:val="1322"/>
                <w:rFonts w:hint="eastAsia" w:ascii="宋体" w:hAnsi="宋体" w:eastAsia="宋体" w:cs="宋体"/>
                <w:color w:val="auto"/>
                <w:highlight w:val="none"/>
                <w:lang w:val="en-US" w:eastAsia="zh-CN"/>
              </w:rPr>
              <w:t xml:space="preserve">1分；</w:t>
            </w:r>
            <w:r/>
          </w:p>
          <w:p>
            <w:pPr>
              <w:jc w:val="left"/>
              <w:rPr>
                <w:rFonts w:hint="default"/>
                <w:lang w:val="en-US" w:eastAsia="zh-CN"/>
              </w:rPr>
            </w:pPr>
            <w:r>
              <w:rPr>
                <w:rStyle w:val="1322"/>
                <w:rFonts w:hint="default" w:ascii="宋体" w:hAnsi="宋体" w:eastAsia="宋体" w:cs="宋体"/>
                <w:color w:val="auto"/>
                <w:highlight w:val="none"/>
                <w:lang w:val="en-US" w:eastAsia="zh-CN"/>
              </w:rPr>
              <w:t xml:space="preserve">未提供不得分。</w:t>
            </w:r>
            <w:r/>
          </w:p>
        </w:tc>
        <w:tc>
          <w:tcPr>
            <w:tcW w:w="1413"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2.4</w:t>
            </w:r>
            <w:r/>
          </w:p>
        </w:tc>
        <w:tc>
          <w:tcPr>
            <w:shd w:val="clear" w:color="auto" w:fill="auto"/>
            <w:tcW w:w="1667" w:type="dxa"/>
            <w:vAlign w:val="center"/>
            <w:textDirection w:val="lrTb"/>
            <w:noWrap w:val="false"/>
          </w:tcPr>
          <w:p>
            <w:pPr>
              <w:pStyle w:val="1327"/>
              <w:jc w:val="center"/>
              <w:spacing w:before="0" w:beforeAutospacing="0" w:after="0" w:afterAutospacing="0" w:line="360" w:lineRule="exact"/>
              <w:widowControl w:val="off"/>
              <w:rPr>
                <w:rFonts w:hint="eastAsia" w:ascii="宋体" w:hAnsi="宋体" w:eastAsia="宋体" w:cs="宋体"/>
                <w:bCs/>
                <w:color w:val="auto"/>
                <w:spacing w:val="-3"/>
                <w:sz w:val="24"/>
                <w:szCs w:val="24"/>
                <w:highlight w:val="none"/>
                <w:lang w:val="en-US" w:eastAsia="zh-CN" w:bidi="ar-SA"/>
              </w:rPr>
            </w:pPr>
            <w:r>
              <w:rPr>
                <w:rFonts w:hint="eastAsia"/>
                <w:color w:val="auto"/>
                <w:highlight w:val="none"/>
                <w:lang w:bidi="ar"/>
              </w:rPr>
              <w:t xml:space="preserve">进度安排</w:t>
            </w:r>
            <w:r/>
          </w:p>
        </w:tc>
        <w:tc>
          <w:tcPr>
            <w:shd w:val="clear" w:color="auto" w:fill="auto"/>
            <w:tcW w:w="645" w:type="dxa"/>
            <w:vAlign w:val="center"/>
            <w:textDirection w:val="lrTb"/>
            <w:noWrap w:val="false"/>
          </w:tcPr>
          <w:p>
            <w:pPr>
              <w:ind w:firstLine="28"/>
              <w:jc w:val="center"/>
              <w:rPr>
                <w:rFonts w:hint="eastAsia" w:ascii="宋体" w:hAnsi="宋体" w:eastAsia="宋体" w:cs="宋体"/>
                <w:bCs/>
                <w:color w:val="auto"/>
                <w:spacing w:val="-3"/>
                <w:sz w:val="24"/>
                <w:szCs w:val="24"/>
                <w:highlight w:val="none"/>
                <w:lang w:val="en-US" w:eastAsia="zh-CN" w:bidi="ar-SA"/>
              </w:rPr>
            </w:pPr>
            <w:r>
              <w:rPr>
                <w:rFonts w:hint="eastAsia" w:ascii="宋体" w:hAnsi="宋体" w:cs="宋体"/>
                <w:color w:val="auto"/>
                <w:sz w:val="24"/>
                <w:highlight w:val="none"/>
                <w:lang w:val="en-US" w:eastAsia="zh-CN" w:bidi="ar"/>
              </w:rPr>
              <w:t xml:space="preserve">8</w:t>
            </w:r>
            <w:r/>
          </w:p>
        </w:tc>
        <w:tc>
          <w:tcPr>
            <w:shd w:val="clear" w:color="auto" w:fill="auto"/>
            <w:tcW w:w="4968" w:type="dxa"/>
            <w:vAlign w:val="center"/>
            <w:textDirection w:val="lrTb"/>
            <w:noWrap w:val="false"/>
          </w:tcPr>
          <w:p>
            <w:pPr>
              <w:pStyle w:val="1327"/>
              <w:spacing w:before="0" w:beforeAutospacing="0" w:after="0" w:afterAutospacing="0" w:line="360" w:lineRule="exact"/>
              <w:widowControl w:val="off"/>
              <w:rPr>
                <w:rFonts w:hint="eastAsia"/>
                <w:color w:val="auto"/>
                <w:highlight w:val="none"/>
                <w:lang w:bidi="ar"/>
              </w:rPr>
            </w:pPr>
            <w:r>
              <w:rPr>
                <w:rFonts w:hint="eastAsia"/>
                <w:color w:val="auto"/>
                <w:highlight w:val="none"/>
                <w:lang w:val="en-US" w:eastAsia="zh-CN" w:bidi="ar"/>
              </w:rPr>
              <w:t xml:space="preserve">根据供应商提供的进度安排方案，包括但不限于</w:t>
            </w:r>
            <w:r>
              <w:rPr>
                <w:rFonts w:hint="eastAsia"/>
                <w:color w:val="auto"/>
                <w:highlight w:val="none"/>
                <w:lang w:bidi="ar"/>
              </w:rPr>
              <w:t xml:space="preserve">进度安排是否合理、工序管理措施是否科学性、工期滞后弥补办法是否合理、疑难案件、突发情况应急办法是否得当等方面进行评审：</w:t>
            </w:r>
            <w:r/>
          </w:p>
          <w:p>
            <w:pPr>
              <w:pStyle w:val="1327"/>
              <w:spacing w:before="0" w:beforeAutospacing="0" w:after="0" w:afterAutospacing="0" w:line="360" w:lineRule="exact"/>
              <w:widowControl w:val="off"/>
              <w:rPr>
                <w:rFonts w:hint="eastAsia"/>
                <w:color w:val="auto"/>
                <w:highlight w:val="none"/>
                <w:lang w:bidi="ar"/>
              </w:rPr>
            </w:pPr>
            <w:r>
              <w:rPr>
                <w:rFonts w:hint="eastAsia"/>
                <w:color w:val="auto"/>
                <w:highlight w:val="none"/>
                <w:lang w:bidi="ar"/>
              </w:rPr>
              <w:t xml:space="preserve">各业务环节时间节点清晰，严格对标公证法办理时限，工期滞后弥补、突发业务应急处置方案完善得</w:t>
            </w:r>
            <w:r>
              <w:rPr>
                <w:rFonts w:hint="eastAsia"/>
                <w:color w:val="auto"/>
                <w:highlight w:val="none"/>
                <w:lang w:val="en-US" w:eastAsia="zh-CN" w:bidi="ar"/>
              </w:rPr>
              <w:t xml:space="preserve">8</w:t>
            </w:r>
            <w:r>
              <w:rPr>
                <w:rFonts w:hint="eastAsia"/>
                <w:color w:val="auto"/>
                <w:highlight w:val="none"/>
                <w:lang w:bidi="ar"/>
              </w:rPr>
              <w:t xml:space="preserve">分；</w:t>
            </w:r>
            <w:r/>
          </w:p>
          <w:p>
            <w:pPr>
              <w:pStyle w:val="1327"/>
              <w:spacing w:before="0" w:beforeAutospacing="0" w:after="0" w:afterAutospacing="0" w:line="360" w:lineRule="exact"/>
              <w:widowControl w:val="off"/>
              <w:rPr>
                <w:rFonts w:hint="eastAsia"/>
                <w:color w:val="auto"/>
                <w:highlight w:val="none"/>
                <w:lang w:bidi="ar"/>
              </w:rPr>
            </w:pPr>
            <w:r>
              <w:rPr>
                <w:rFonts w:hint="eastAsia"/>
                <w:color w:val="auto"/>
                <w:highlight w:val="none"/>
                <w:lang w:bidi="ar"/>
              </w:rPr>
              <w:t xml:space="preserve">进度安排整体合理，主要工序完整，具备完善的工期滞后补救措施及突发情况应急处置方案，个别细节有待优化得</w:t>
            </w:r>
            <w:r>
              <w:rPr>
                <w:rFonts w:hint="eastAsia"/>
                <w:color w:val="auto"/>
                <w:highlight w:val="none"/>
                <w:lang w:val="en-US" w:eastAsia="zh-CN" w:bidi="ar"/>
              </w:rPr>
              <w:t xml:space="preserve">6</w:t>
            </w:r>
            <w:r>
              <w:rPr>
                <w:rFonts w:hint="eastAsia"/>
                <w:color w:val="auto"/>
                <w:highlight w:val="none"/>
                <w:lang w:bidi="ar"/>
              </w:rPr>
              <w:t xml:space="preserve">分；</w:t>
            </w:r>
            <w:r/>
          </w:p>
          <w:p>
            <w:pPr>
              <w:pStyle w:val="1327"/>
              <w:spacing w:before="0" w:beforeAutospacing="0" w:after="0" w:afterAutospacing="0" w:line="360" w:lineRule="exact"/>
              <w:widowControl w:val="off"/>
              <w:rPr>
                <w:rFonts w:hint="eastAsia"/>
                <w:color w:val="auto"/>
                <w:highlight w:val="none"/>
                <w:lang w:bidi="ar"/>
              </w:rPr>
            </w:pPr>
            <w:r>
              <w:rPr>
                <w:rFonts w:hint="eastAsia"/>
                <w:color w:val="auto"/>
                <w:highlight w:val="none"/>
                <w:lang w:bidi="ar"/>
              </w:rPr>
              <w:t xml:space="preserve">进度安排基本合理，主要工序齐全，具备基础的滞后补救、应急处置措施，但针对性不足得</w:t>
            </w:r>
            <w:r>
              <w:rPr>
                <w:rFonts w:hint="eastAsia"/>
                <w:color w:val="auto"/>
                <w:highlight w:val="none"/>
                <w:lang w:val="en-US" w:eastAsia="zh-CN" w:bidi="ar"/>
              </w:rPr>
              <w:t xml:space="preserve">4</w:t>
            </w:r>
            <w:r>
              <w:rPr>
                <w:rFonts w:hint="eastAsia"/>
                <w:color w:val="auto"/>
                <w:highlight w:val="none"/>
                <w:lang w:bidi="ar"/>
              </w:rPr>
              <w:t xml:space="preserve">分；</w:t>
            </w:r>
            <w:r/>
          </w:p>
          <w:p>
            <w:pPr>
              <w:pStyle w:val="1327"/>
              <w:spacing w:before="0" w:beforeAutospacing="0" w:after="0" w:afterAutospacing="0" w:line="360" w:lineRule="exact"/>
              <w:widowControl w:val="off"/>
              <w:rPr>
                <w:rFonts w:hint="default" w:eastAsia="宋体"/>
                <w:color w:val="auto"/>
                <w:highlight w:val="none"/>
                <w:lang w:val="en-US" w:eastAsia="zh-CN" w:bidi="ar"/>
              </w:rPr>
            </w:pPr>
            <w:r>
              <w:rPr>
                <w:rFonts w:hint="eastAsia"/>
                <w:color w:val="auto"/>
                <w:highlight w:val="none"/>
                <w:lang w:bidi="ar"/>
              </w:rPr>
              <w:t xml:space="preserve">进度安排有欠缺，关键节点不全，补救、应急措施不完善，可操作性弱得</w:t>
            </w:r>
            <w:r>
              <w:rPr>
                <w:rFonts w:hint="eastAsia"/>
                <w:color w:val="auto"/>
                <w:highlight w:val="none"/>
                <w:lang w:val="en-US" w:eastAsia="zh-CN" w:bidi="ar"/>
              </w:rPr>
              <w:t xml:space="preserve">2分；</w:t>
            </w:r>
            <w:r/>
          </w:p>
          <w:p>
            <w:pPr>
              <w:pStyle w:val="1327"/>
              <w:spacing w:before="0" w:beforeAutospacing="0" w:after="0" w:afterAutospacing="0" w:line="360" w:lineRule="exact"/>
              <w:widowControl w:val="off"/>
              <w:rPr>
                <w:rFonts w:hint="eastAsia" w:ascii="宋体" w:hAnsi="宋体" w:eastAsia="宋体" w:cs="宋体"/>
                <w:bCs/>
                <w:color w:val="auto"/>
                <w:sz w:val="24"/>
                <w:szCs w:val="24"/>
                <w:highlight w:val="none"/>
                <w:lang w:val="en-US" w:eastAsia="zh-CN" w:bidi="ar-SA"/>
              </w:rPr>
            </w:pPr>
            <w:r>
              <w:rPr>
                <w:rFonts w:hint="eastAsia"/>
                <w:color w:val="auto"/>
                <w:highlight w:val="none"/>
                <w:lang w:bidi="ar"/>
              </w:rPr>
              <w:t xml:space="preserve">未提供不得分。</w:t>
            </w:r>
            <w:r/>
          </w:p>
        </w:tc>
        <w:tc>
          <w:tcPr>
            <w:tcW w:w="1413"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90"/>
        </w:trPr>
        <w:tc>
          <w:tcPr>
            <w:tcW w:w="817" w:type="dxa"/>
            <w:vAlign w:val="center"/>
            <w:textDirection w:val="lrTb"/>
            <w:noWrap w:val="false"/>
          </w:tcPr>
          <w:p>
            <w:pPr>
              <w:jc w:val="center"/>
              <w:spacing w:line="360" w:lineRule="auto"/>
              <w:widowControl/>
              <w:tabs>
                <w:tab w:val="left" w:pos="12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2.5</w:t>
            </w:r>
            <w:r/>
          </w:p>
        </w:tc>
        <w:tc>
          <w:tcPr>
            <w:shd w:val="clear" w:color="auto" w:fill="auto"/>
            <w:tcW w:w="1667" w:type="dxa"/>
            <w:vAlign w:val="center"/>
            <w:textDirection w:val="lrTb"/>
            <w:noWrap w:val="false"/>
          </w:tcPr>
          <w:p>
            <w:pPr>
              <w:ind w:firstLine="28"/>
              <w:jc w:val="center"/>
              <w:rPr>
                <w:rFonts w:hint="eastAsia"/>
                <w:color w:val="auto"/>
                <w:highlight w:val="none"/>
                <w:lang w:bidi="ar"/>
              </w:rPr>
            </w:pPr>
            <w:r>
              <w:rPr>
                <w:rFonts w:hint="eastAsia" w:ascii="宋体" w:hAnsi="宋体" w:cs="等线"/>
                <w:color w:val="auto"/>
                <w:sz w:val="24"/>
                <w:highlight w:val="none"/>
              </w:rPr>
              <w:t xml:space="preserve">质量保证措施</w:t>
            </w:r>
            <w:r/>
          </w:p>
        </w:tc>
        <w:tc>
          <w:tcPr>
            <w:shd w:val="clear" w:color="auto" w:fill="auto"/>
            <w:tcW w:w="645" w:type="dxa"/>
            <w:vAlign w:val="center"/>
            <w:textDirection w:val="lrTb"/>
            <w:noWrap w:val="false"/>
          </w:tcPr>
          <w:p>
            <w:pPr>
              <w:ind w:firstLine="28"/>
              <w:jc w:val="center"/>
              <w:rPr>
                <w:rFonts w:hint="eastAsia" w:ascii="宋体" w:hAnsi="宋体" w:eastAsia="宋体" w:cs="宋体"/>
                <w:color w:val="auto"/>
                <w:sz w:val="24"/>
                <w:highlight w:val="none"/>
                <w:lang w:val="en-US" w:eastAsia="zh-CN" w:bidi="ar"/>
              </w:rPr>
            </w:pPr>
            <w:r>
              <w:rPr>
                <w:rFonts w:hint="eastAsia" w:ascii="宋体" w:hAnsi="宋体" w:cs="等线"/>
                <w:color w:val="auto"/>
                <w:sz w:val="24"/>
                <w:highlight w:val="none"/>
                <w:lang w:val="en-US" w:eastAsia="zh-CN"/>
              </w:rPr>
              <w:t xml:space="preserve">8</w:t>
            </w:r>
            <w:r/>
          </w:p>
        </w:tc>
        <w:tc>
          <w:tcPr>
            <w:shd w:val="clear" w:color="auto" w:fill="auto"/>
            <w:tcW w:w="4968" w:type="dxa"/>
            <w:vAlign w:val="top"/>
            <w:textDirection w:val="lrTb"/>
            <w:noWrap w:val="false"/>
          </w:tcPr>
          <w:p>
            <w:pPr>
              <w:pStyle w:val="1327"/>
              <w:spacing w:before="0" w:beforeAutospacing="0" w:after="0" w:afterAutospacing="0" w:line="360" w:lineRule="exact"/>
              <w:widowControl w:val="off"/>
              <w:rPr>
                <w:rFonts w:hint="eastAsia"/>
                <w:color w:val="auto"/>
                <w:highlight w:val="none"/>
                <w:lang w:val="en-US" w:eastAsia="zh-CN" w:bidi="ar"/>
              </w:rPr>
            </w:pPr>
            <w:r>
              <w:rPr>
                <w:rFonts w:hint="eastAsia"/>
                <w:color w:val="auto"/>
                <w:highlight w:val="none"/>
                <w:lang w:val="en-US" w:eastAsia="zh-CN" w:bidi="ar"/>
              </w:rPr>
              <w:t xml:space="preserve">根据供应商提供的质量保证措施方案，包括但不限于质量管理组织机构是否健全、质量保证措施是否得当、质量管理关键点分析及应对是否合理、错证及公证书瑕疵风险防控、档案及当事人隐私保护机制等方面进行评审：</w:t>
            </w:r>
            <w:r/>
          </w:p>
          <w:p>
            <w:pPr>
              <w:pStyle w:val="1327"/>
              <w:spacing w:before="0" w:beforeAutospacing="0" w:after="0" w:afterAutospacing="0" w:line="360" w:lineRule="exact"/>
              <w:widowControl w:val="off"/>
              <w:rPr>
                <w:rFonts w:hint="eastAsia"/>
                <w:color w:val="auto"/>
                <w:highlight w:val="none"/>
                <w:lang w:val="en-US" w:eastAsia="zh-CN" w:bidi="ar"/>
              </w:rPr>
            </w:pPr>
            <w:r>
              <w:rPr>
                <w:rFonts w:hint="eastAsia"/>
                <w:color w:val="auto"/>
                <w:highlight w:val="none"/>
                <w:lang w:val="en-US" w:eastAsia="zh-CN" w:bidi="ar"/>
              </w:rPr>
              <w:t xml:space="preserve">质量管理体系健全，全流程质量管控、复核审批、风险防控措施完善，与本项目公证瑕疵赔偿责任相匹配得8分；</w:t>
            </w:r>
            <w:r/>
          </w:p>
          <w:p>
            <w:pPr>
              <w:pStyle w:val="1327"/>
              <w:spacing w:before="0" w:beforeAutospacing="0" w:after="0" w:afterAutospacing="0" w:line="360" w:lineRule="exact"/>
              <w:widowControl w:val="off"/>
              <w:rPr>
                <w:rFonts w:hint="eastAsia"/>
                <w:color w:val="auto"/>
                <w:highlight w:val="none"/>
                <w:lang w:val="en-US" w:eastAsia="zh-CN" w:bidi="ar"/>
              </w:rPr>
            </w:pPr>
            <w:r>
              <w:rPr>
                <w:rFonts w:hint="eastAsia"/>
                <w:color w:val="auto"/>
                <w:highlight w:val="none"/>
                <w:lang w:val="en-US" w:eastAsia="zh-CN" w:bidi="ar"/>
              </w:rPr>
              <w:t xml:space="preserve">质量管理机构、制度基本齐全，主要质量控制点具备应对措施得6分；</w:t>
            </w:r>
            <w:r/>
          </w:p>
          <w:p>
            <w:pPr>
              <w:pStyle w:val="1327"/>
              <w:spacing w:before="0" w:beforeAutospacing="0" w:after="0" w:afterAutospacing="0" w:line="360" w:lineRule="exact"/>
              <w:widowControl w:val="off"/>
              <w:rPr>
                <w:rFonts w:hint="eastAsia"/>
                <w:color w:val="auto"/>
                <w:highlight w:val="none"/>
                <w:lang w:val="en-US" w:eastAsia="zh-CN" w:bidi="ar"/>
              </w:rPr>
            </w:pPr>
            <w:r>
              <w:rPr>
                <w:rFonts w:hint="eastAsia"/>
                <w:color w:val="auto"/>
                <w:highlight w:val="none"/>
                <w:lang w:val="en-US" w:eastAsia="zh-CN" w:bidi="ar"/>
              </w:rPr>
              <w:t xml:space="preserve">质量保证措施存在缺漏，关键点分析深度不足得 4分；</w:t>
            </w:r>
            <w:r/>
          </w:p>
          <w:p>
            <w:pPr>
              <w:pStyle w:val="1327"/>
              <w:spacing w:before="0" w:beforeAutospacing="0" w:after="0" w:afterAutospacing="0" w:line="360" w:lineRule="exact"/>
              <w:widowControl w:val="off"/>
              <w:rPr>
                <w:rFonts w:hint="eastAsia"/>
                <w:color w:val="auto"/>
                <w:highlight w:val="none"/>
                <w:lang w:val="en-US" w:eastAsia="zh-CN" w:bidi="ar"/>
              </w:rPr>
            </w:pPr>
            <w:r>
              <w:rPr>
                <w:rFonts w:hint="eastAsia"/>
                <w:color w:val="auto"/>
                <w:highlight w:val="none"/>
                <w:lang w:val="en-US" w:eastAsia="zh-CN" w:bidi="ar"/>
              </w:rPr>
              <w:t xml:space="preserve">措施笼统，缺少针对性管控手段得2分；</w:t>
            </w:r>
            <w:r/>
          </w:p>
          <w:p>
            <w:pPr>
              <w:pStyle w:val="1327"/>
              <w:spacing w:before="0" w:beforeAutospacing="0" w:after="0" w:afterAutospacing="0" w:line="360" w:lineRule="exact"/>
              <w:widowControl w:val="off"/>
              <w:rPr>
                <w:rFonts w:hint="eastAsia"/>
                <w:color w:val="auto"/>
                <w:highlight w:val="none"/>
                <w:lang w:bidi="ar"/>
              </w:rPr>
            </w:pPr>
            <w:r>
              <w:rPr>
                <w:rFonts w:hint="eastAsia"/>
                <w:color w:val="auto"/>
                <w:highlight w:val="none"/>
                <w:lang w:val="en-US" w:eastAsia="zh-CN" w:bidi="ar"/>
              </w:rPr>
              <w:t xml:space="preserve">未提供不得分。</w:t>
            </w:r>
            <w:r/>
          </w:p>
        </w:tc>
        <w:tc>
          <w:tcPr>
            <w:tcW w:w="1413"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2.6</w:t>
            </w:r>
            <w:r/>
          </w:p>
        </w:tc>
        <w:tc>
          <w:tcPr>
            <w:shd w:val="clear" w:color="auto" w:fill="auto"/>
            <w:tcW w:w="1667"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应急响应服务</w:t>
            </w:r>
            <w:r/>
          </w:p>
        </w:tc>
        <w:tc>
          <w:tcPr>
            <w:shd w:val="clear" w:color="auto" w:fill="auto"/>
            <w:tcW w:w="64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4968" w:type="dxa"/>
            <w:vAlign w:val="top"/>
            <w:textDirection w:val="lrTb"/>
            <w:noWrap w:val="false"/>
          </w:tcPr>
          <w:p>
            <w:pPr>
              <w:spacing w:line="360" w:lineRule="exac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根据供应商为采购人提供应急服务及快速响应情况、服务人员是否充足，能保障项目实施、业务咨询、技术培训和数据应用技术支持等情况是否准备到位：</w:t>
            </w:r>
            <w:r/>
          </w:p>
          <w:p>
            <w:pPr>
              <w:spacing w:line="360" w:lineRule="exac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应急处置场景覆盖业务激增、投诉异议、信息泄露等，响应时限明确，人员储备充足，年度业务培训方案完整、技术支持保障到位得</w:t>
            </w:r>
            <w:r>
              <w:rPr>
                <w:rFonts w:hint="eastAsia" w:ascii="宋体" w:hAnsi="宋体" w:cs="宋体"/>
                <w:bCs/>
                <w:color w:val="auto"/>
                <w:spacing w:val="-6"/>
                <w:sz w:val="24"/>
                <w:highlight w:val="none"/>
                <w:lang w:val="en-US" w:eastAsia="zh-CN"/>
              </w:rPr>
              <w:t xml:space="preserve">8</w:t>
            </w:r>
            <w:r>
              <w:rPr>
                <w:rFonts w:hint="eastAsia" w:ascii="宋体" w:hAnsi="宋体" w:cs="宋体"/>
                <w:bCs/>
                <w:color w:val="auto"/>
                <w:spacing w:val="-6"/>
                <w:sz w:val="24"/>
                <w:highlight w:val="none"/>
              </w:rPr>
              <w:t xml:space="preserve">分；</w:t>
            </w:r>
            <w:r/>
          </w:p>
          <w:p>
            <w:pPr>
              <w:spacing w:line="360" w:lineRule="exac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具备应急响应机制，人员配置可保障项目实施，培训、技术支持基本到位得</w:t>
            </w:r>
            <w:r>
              <w:rPr>
                <w:rFonts w:hint="eastAsia" w:ascii="宋体" w:hAnsi="宋体" w:cs="宋体"/>
                <w:bCs/>
                <w:color w:val="auto"/>
                <w:spacing w:val="-6"/>
                <w:sz w:val="24"/>
                <w:highlight w:val="none"/>
                <w:lang w:val="en-US" w:eastAsia="zh-CN"/>
              </w:rPr>
              <w:t xml:space="preserve">6</w:t>
            </w:r>
            <w:r>
              <w:rPr>
                <w:rFonts w:hint="eastAsia" w:ascii="宋体" w:hAnsi="宋体" w:cs="宋体"/>
                <w:bCs/>
                <w:color w:val="auto"/>
                <w:spacing w:val="-6"/>
                <w:sz w:val="24"/>
                <w:highlight w:val="none"/>
              </w:rPr>
              <w:t xml:space="preserve">分；</w:t>
            </w:r>
            <w:r/>
          </w:p>
          <w:p>
            <w:pPr>
              <w:spacing w:line="360" w:lineRule="exac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应急内容有欠缺，人员保障、培训支持不够完善得</w:t>
            </w:r>
            <w:r>
              <w:rPr>
                <w:rFonts w:hint="eastAsia" w:ascii="宋体" w:hAnsi="宋体" w:cs="宋体"/>
                <w:bCs/>
                <w:color w:val="auto"/>
                <w:spacing w:val="-6"/>
                <w:sz w:val="24"/>
                <w:highlight w:val="none"/>
                <w:lang w:val="en-US" w:eastAsia="zh-CN"/>
              </w:rPr>
              <w:t xml:space="preserve">4</w:t>
            </w:r>
            <w:r>
              <w:rPr>
                <w:rFonts w:hint="eastAsia" w:ascii="宋体" w:hAnsi="宋体" w:cs="宋体"/>
                <w:bCs/>
                <w:color w:val="auto"/>
                <w:spacing w:val="-6"/>
                <w:sz w:val="24"/>
                <w:highlight w:val="none"/>
              </w:rPr>
              <w:t xml:space="preserve">分；</w:t>
            </w:r>
            <w:r/>
          </w:p>
          <w:p>
            <w:pPr>
              <w:spacing w:line="360" w:lineRule="exact"/>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内容单薄，缺少可落地响应机制得</w:t>
            </w:r>
            <w:r>
              <w:rPr>
                <w:rFonts w:hint="eastAsia" w:ascii="宋体" w:hAnsi="宋体" w:cs="宋体"/>
                <w:bCs/>
                <w:color w:val="auto"/>
                <w:spacing w:val="-6"/>
                <w:sz w:val="24"/>
                <w:highlight w:val="none"/>
                <w:lang w:val="en-US" w:eastAsia="zh-CN"/>
              </w:rPr>
              <w:t xml:space="preserve">2</w:t>
            </w:r>
            <w:r>
              <w:rPr>
                <w:rFonts w:hint="eastAsia" w:ascii="宋体" w:hAnsi="宋体" w:cs="宋体"/>
                <w:bCs/>
                <w:color w:val="auto"/>
                <w:spacing w:val="-6"/>
                <w:sz w:val="24"/>
                <w:highlight w:val="none"/>
              </w:rPr>
              <w:t xml:space="preserve">分；</w:t>
            </w:r>
            <w:r/>
          </w:p>
          <w:p>
            <w:pPr>
              <w:spacing w:line="360" w:lineRule="exact"/>
              <w:rPr>
                <w:rFonts w:hint="eastAsia" w:ascii="宋体" w:hAnsi="宋体" w:eastAsia="宋体" w:cs="宋体"/>
                <w:bCs/>
                <w:color w:val="auto"/>
                <w:spacing w:val="-6"/>
                <w:sz w:val="24"/>
                <w:szCs w:val="24"/>
                <w:highlight w:val="none"/>
                <w:lang w:val="en-US" w:eastAsia="zh-CN"/>
              </w:rPr>
            </w:pPr>
            <w:r>
              <w:rPr>
                <w:rFonts w:hint="eastAsia" w:ascii="宋体" w:hAnsi="宋体" w:cs="宋体"/>
                <w:bCs/>
                <w:color w:val="auto"/>
                <w:spacing w:val="-6"/>
                <w:sz w:val="24"/>
                <w:highlight w:val="none"/>
              </w:rPr>
              <w:t xml:space="preserve">未提供不得分。</w:t>
            </w:r>
            <w:r/>
          </w:p>
        </w:tc>
        <w:tc>
          <w:tcPr>
            <w:tcW w:w="1413" w:type="dxa"/>
            <w:vAlign w:val="center"/>
            <w:textDirection w:val="lrTb"/>
            <w:noWrap w:val="false"/>
          </w:tcPr>
          <w:p>
            <w:pPr>
              <w:ind w:left="-38"/>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84"/>
        </w:trPr>
        <w:tc>
          <w:tcPr>
            <w:gridSpan w:val="5"/>
            <w:shd w:val="clear" w:color="auto" w:fill="auto"/>
            <w:tcW w:w="9510" w:type="dxa"/>
            <w:vAlign w:val="center"/>
            <w:textDirection w:val="lrTb"/>
            <w:noWrap w:val="false"/>
          </w:tcPr>
          <w:p>
            <w:pPr>
              <w:ind w:left="-38"/>
              <w:jc w:val="left"/>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highlight w:val="none"/>
              </w:rPr>
              <w:t xml:space="preserve">三、商务分（</w:t>
            </w:r>
            <w:r>
              <w:rPr>
                <w:rFonts w:hint="eastAsia" w:ascii="宋体" w:hAnsi="宋体" w:cs="宋体"/>
                <w:b/>
                <w:bCs/>
                <w:color w:val="auto"/>
                <w:sz w:val="24"/>
                <w:highlight w:val="none"/>
                <w:lang w:val="en-US" w:eastAsia="zh-CN"/>
              </w:rPr>
              <w:t xml:space="preserve">33</w:t>
            </w:r>
            <w:r>
              <w:rPr>
                <w:rFonts w:hint="eastAsia" w:ascii="宋体" w:hAnsi="宋体" w:cs="宋体"/>
                <w:b/>
                <w:bCs/>
                <w:color w:val="auto"/>
                <w:sz w:val="24"/>
                <w:highlight w:val="none"/>
              </w:rPr>
              <w:t xml:space="preserve">分）</w:t>
            </w:r>
            <w:r/>
          </w:p>
        </w:tc>
      </w:tr>
      <w:tr>
        <w:trPr>
          <w:jc w:val="center"/>
          <w:trHeight w:val="274"/>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3.1</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类似业绩</w:t>
            </w:r>
            <w:r/>
          </w:p>
        </w:tc>
        <w:tc>
          <w:tcPr>
            <w:shd w:val="clear" w:color="auto" w:fill="auto"/>
            <w:tcW w:w="645" w:type="dxa"/>
            <w:vAlign w:val="center"/>
            <w:textDirection w:val="lrTb"/>
            <w:noWrap w:val="false"/>
          </w:tcPr>
          <w:p>
            <w:pPr>
              <w:ind w:firstLine="28"/>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15</w:t>
            </w:r>
            <w:r/>
          </w:p>
        </w:tc>
        <w:tc>
          <w:tcPr>
            <w:shd w:val="clear" w:color="auto" w:fill="auto"/>
            <w:tcW w:w="4968" w:type="dxa"/>
            <w:vAlign w:val="center"/>
            <w:textDirection w:val="lrTb"/>
            <w:noWrap w:val="false"/>
          </w:tcPr>
          <w:p>
            <w:pPr>
              <w:jc w:val="left"/>
              <w:rPr>
                <w:rStyle w:val="1322"/>
                <w:rFonts w:hint="eastAsia" w:eastAsia="宋体" w:cs="宋体"/>
                <w:color w:val="auto"/>
                <w:highlight w:val="none"/>
                <w:lang w:eastAsia="zh-CN"/>
              </w:rPr>
            </w:pPr>
            <w:r>
              <w:rPr>
                <w:rStyle w:val="1322"/>
                <w:rFonts w:hint="eastAsia" w:cs="宋体"/>
                <w:color w:val="auto"/>
                <w:highlight w:val="none"/>
              </w:rPr>
              <w:t xml:space="preserve">供应商202</w:t>
            </w:r>
            <w:r>
              <w:rPr>
                <w:rStyle w:val="1322"/>
                <w:rFonts w:hint="eastAsia" w:cs="宋体"/>
                <w:color w:val="auto"/>
                <w:highlight w:val="none"/>
                <w:lang w:val="en-US" w:eastAsia="zh-CN"/>
              </w:rPr>
              <w:t xml:space="preserve">2</w:t>
            </w:r>
            <w:r>
              <w:rPr>
                <w:rStyle w:val="1322"/>
                <w:rFonts w:hint="eastAsia" w:cs="宋体"/>
                <w:color w:val="auto"/>
                <w:highlight w:val="none"/>
              </w:rPr>
              <w:t xml:space="preserve">年</w:t>
            </w:r>
            <w:r>
              <w:rPr>
                <w:rStyle w:val="1322"/>
                <w:rFonts w:hint="eastAsia" w:cs="宋体"/>
                <w:color w:val="auto"/>
                <w:highlight w:val="none"/>
                <w:lang w:val="en-US" w:eastAsia="zh-CN"/>
              </w:rPr>
              <w:t xml:space="preserve">1月1日</w:t>
            </w:r>
            <w:r>
              <w:rPr>
                <w:rStyle w:val="1322"/>
                <w:rFonts w:hint="eastAsia" w:cs="宋体"/>
                <w:color w:val="auto"/>
                <w:highlight w:val="none"/>
              </w:rPr>
              <w:t xml:space="preserve">以来</w:t>
            </w:r>
            <w:r>
              <w:rPr>
                <w:rStyle w:val="1322"/>
                <w:rFonts w:hint="eastAsia" w:cs="宋体"/>
                <w:color w:val="auto"/>
                <w:highlight w:val="none"/>
                <w:lang w:eastAsia="zh-CN"/>
              </w:rPr>
              <w:t xml:space="preserve">（</w:t>
            </w:r>
            <w:r>
              <w:rPr>
                <w:rStyle w:val="1322"/>
                <w:rFonts w:hint="eastAsia" w:cs="宋体"/>
                <w:color w:val="auto"/>
                <w:highlight w:val="none"/>
                <w:lang w:val="en-US" w:eastAsia="zh-CN"/>
              </w:rPr>
              <w:t xml:space="preserve">以合同签订时间为准）</w:t>
            </w:r>
            <w:r>
              <w:rPr>
                <w:rStyle w:val="1322"/>
                <w:rFonts w:hint="eastAsia" w:cs="宋体"/>
                <w:color w:val="auto"/>
                <w:highlight w:val="none"/>
              </w:rPr>
              <w:t xml:space="preserve">承担过类似项目，每有一个得5分，最高得1</w:t>
            </w:r>
            <w:r>
              <w:rPr>
                <w:rStyle w:val="1322"/>
                <w:rFonts w:hint="eastAsia" w:cs="宋体"/>
                <w:color w:val="auto"/>
                <w:highlight w:val="none"/>
                <w:lang w:val="en-US" w:eastAsia="zh-CN"/>
              </w:rPr>
              <w:t xml:space="preserve">5</w:t>
            </w:r>
            <w:r>
              <w:rPr>
                <w:rStyle w:val="1322"/>
                <w:rFonts w:hint="eastAsia" w:cs="宋体"/>
                <w:color w:val="auto"/>
                <w:highlight w:val="none"/>
              </w:rPr>
              <w:t xml:space="preserve">分</w:t>
            </w:r>
            <w:r>
              <w:rPr>
                <w:rStyle w:val="1322"/>
                <w:rFonts w:hint="eastAsia" w:cs="宋体"/>
                <w:color w:val="auto"/>
                <w:highlight w:val="none"/>
                <w:lang w:eastAsia="zh-CN"/>
              </w:rPr>
              <w:t xml:space="preserve">。</w:t>
            </w:r>
            <w:r/>
          </w:p>
          <w:p>
            <w:pPr>
              <w:jc w:val="left"/>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注：提供合同扫描件加盖公章，未提供不得分。</w:t>
            </w:r>
            <w:r/>
          </w:p>
        </w:tc>
        <w:tc>
          <w:tcPr>
            <w:shd w:val="clear" w:color="auto" w:fill="auto"/>
            <w:tcW w:w="1413" w:type="dxa"/>
            <w:vAlign w:val="center"/>
            <w:textDirection w:val="lrTb"/>
            <w:noWrap w:val="false"/>
          </w:tcPr>
          <w:p>
            <w:pPr>
              <w:jc w:val="left"/>
              <w:rPr>
                <w:rStyle w:val="132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567"/>
        </w:trPr>
        <w:tc>
          <w:tcPr>
            <w:shd w:val="clear" w:color="auto" w:fill="auto"/>
            <w:tcW w:w="817" w:type="dxa"/>
            <w:vAlign w:val="center"/>
            <w:textDirection w:val="lrTb"/>
            <w:noWrap w:val="false"/>
          </w:tcPr>
          <w:p>
            <w:pPr>
              <w:jc w:val="center"/>
              <w:spacing w:line="360" w:lineRule="auto"/>
              <w:widowControl/>
              <w:tabs>
                <w:tab w:val="left" w:pos="12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p>
        </w:tc>
        <w:tc>
          <w:tcPr>
            <w:shd w:val="clear" w:color="auto" w:fill="auto"/>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项目团队</w:t>
            </w:r>
            <w:r/>
          </w:p>
        </w:tc>
        <w:tc>
          <w:tcPr>
            <w:shd w:val="clear" w:color="auto" w:fill="auto"/>
            <w:tcW w:w="645" w:type="dxa"/>
            <w:vAlign w:val="center"/>
            <w:textDirection w:val="lrTb"/>
            <w:noWrap w:val="false"/>
          </w:tcPr>
          <w:p>
            <w:pPr>
              <w:ind w:firstLine="28"/>
              <w:jc w:val="center"/>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18</w:t>
            </w:r>
            <w:r/>
          </w:p>
        </w:tc>
        <w:tc>
          <w:tcPr>
            <w:shd w:val="clear" w:color="auto" w:fill="auto"/>
            <w:tcW w:w="4968" w:type="dxa"/>
            <w:vAlign w:val="center"/>
            <w:textDirection w:val="lrTb"/>
            <w:noWrap w:val="false"/>
          </w:tcPr>
          <w:p>
            <w:pPr>
              <w:jc w:val="left"/>
              <w:rPr>
                <w:rStyle w:val="1322"/>
                <w:rFonts w:hint="eastAsia" w:cs="宋体"/>
                <w:color w:val="auto"/>
                <w:highlight w:val="none"/>
              </w:rPr>
            </w:pPr>
            <w:r>
              <w:rPr>
                <w:rStyle w:val="1322"/>
                <w:rFonts w:hint="eastAsia" w:cs="宋体"/>
                <w:color w:val="auto"/>
                <w:highlight w:val="none"/>
                <w:lang w:val="en-US" w:eastAsia="zh-CN"/>
              </w:rPr>
              <w:t xml:space="preserve">(1)</w:t>
            </w:r>
            <w:r>
              <w:rPr>
                <w:rStyle w:val="1322"/>
                <w:rFonts w:hint="eastAsia" w:cs="宋体"/>
                <w:color w:val="auto"/>
                <w:highlight w:val="none"/>
              </w:rPr>
              <w:t xml:space="preserve">拟投入本项目的人员具备有效公证员执业证书，每有1个得</w:t>
            </w:r>
            <w:r>
              <w:rPr>
                <w:rStyle w:val="1322"/>
                <w:rFonts w:hint="eastAsia" w:cs="宋体"/>
                <w:color w:val="auto"/>
                <w:highlight w:val="none"/>
                <w:lang w:val="en-US" w:eastAsia="zh-CN"/>
              </w:rPr>
              <w:t xml:space="preserve">2</w:t>
            </w:r>
            <w:r>
              <w:rPr>
                <w:rStyle w:val="1322"/>
                <w:rFonts w:hint="eastAsia" w:cs="宋体"/>
                <w:color w:val="auto"/>
                <w:highlight w:val="none"/>
              </w:rPr>
              <w:t xml:space="preserve">分；最高1</w:t>
            </w:r>
            <w:r>
              <w:rPr>
                <w:rStyle w:val="1322"/>
                <w:rFonts w:hint="eastAsia" w:cs="宋体"/>
                <w:color w:val="auto"/>
                <w:highlight w:val="none"/>
                <w:lang w:val="en-US" w:eastAsia="zh-CN"/>
              </w:rPr>
              <w:t xml:space="preserve">4</w:t>
            </w:r>
            <w:r>
              <w:rPr>
                <w:rStyle w:val="1322"/>
                <w:rFonts w:hint="eastAsia" w:cs="宋体"/>
                <w:color w:val="auto"/>
                <w:highlight w:val="none"/>
              </w:rPr>
              <w:t xml:space="preserve">分。</w:t>
            </w:r>
            <w:r/>
          </w:p>
          <w:p>
            <w:pPr>
              <w:jc w:val="left"/>
              <w:rPr>
                <w:rStyle w:val="1322"/>
                <w:rFonts w:hint="default" w:cs="宋体"/>
                <w:color w:val="auto"/>
                <w:highlight w:val="none"/>
                <w:lang w:val="en-US" w:eastAsia="zh-CN"/>
              </w:rPr>
            </w:pPr>
            <w:r>
              <w:rPr>
                <w:rStyle w:val="1322"/>
                <w:rFonts w:hint="eastAsia" w:cs="宋体"/>
                <w:color w:val="auto"/>
                <w:highlight w:val="none"/>
                <w:lang w:val="en-US" w:eastAsia="zh-CN"/>
              </w:rPr>
              <w:t xml:space="preserve">(2)拟投入本项目的人员具备中级及以上相关专业职称，每有1个得2分；最高4分。</w:t>
            </w:r>
            <w:r/>
          </w:p>
          <w:p>
            <w:pPr>
              <w:jc w:val="left"/>
              <w:rPr>
                <w:rFonts w:hint="eastAsia" w:ascii="宋体" w:hAnsi="宋体" w:eastAsia="宋体" w:cs="宋体"/>
                <w:color w:val="auto"/>
                <w:sz w:val="24"/>
                <w:szCs w:val="24"/>
                <w:highlight w:val="none"/>
                <w:lang w:val="en-US" w:eastAsia="zh-CN" w:bidi="ar-SA"/>
              </w:rPr>
            </w:pPr>
            <w:r>
              <w:rPr>
                <w:rStyle w:val="1322"/>
                <w:rFonts w:hint="eastAsia" w:cs="宋体"/>
                <w:color w:val="auto"/>
                <w:highlight w:val="none"/>
              </w:rPr>
              <w:t xml:space="preserve">注：提供证书扫描件、近3个月任意一个月社保证明并加盖公章，材料不全不得分。</w:t>
            </w:r>
            <w:r/>
          </w:p>
        </w:tc>
        <w:tc>
          <w:tcPr>
            <w:shd w:val="clear" w:color="auto" w:fill="auto"/>
            <w:tcW w:w="1413"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gridSpan w:val="2"/>
            <w:tcW w:w="2484"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合计</w:t>
            </w:r>
            <w:r/>
          </w:p>
        </w:tc>
        <w:tc>
          <w:tcPr>
            <w:tcW w:w="64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100</w:t>
            </w:r>
            <w:r/>
          </w:p>
        </w:tc>
        <w:tc>
          <w:tcPr>
            <w:gridSpan w:val="2"/>
            <w:tcW w:w="638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ind w:firstLine="480"/>
        <w:jc w:val="left"/>
        <w:spacing w:line="312" w:lineRule="auto"/>
        <w:tabs>
          <w:tab w:val="left" w:pos="5940" w:leader="none"/>
        </w:tabs>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5" w:name="_Toc193985581"/>
      <w:r>
        <w:rPr>
          <w:b/>
          <w:color w:val="auto"/>
          <w:sz w:val="36"/>
          <w:szCs w:val="36"/>
          <w:highlight w:val="none"/>
        </w:rPr>
        <w:t xml:space="preserve">第四章   采购需求</w:t>
      </w:r>
      <w:bookmarkEnd w:id="635"/>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bookmarkStart w:id="636" w:name="_Toc193985582"/>
      <w:r>
        <w:rPr>
          <w:rFonts w:hint="eastAsia" w:ascii="宋体" w:hAnsi="宋体"/>
          <w:b/>
          <w:bCs/>
          <w:color w:val="auto"/>
          <w:sz w:val="24"/>
          <w:highlight w:val="none"/>
        </w:rPr>
        <w:t xml:space="preserve">一、</w:t>
      </w:r>
      <w:r>
        <w:rPr>
          <w:rFonts w:hint="eastAsia" w:ascii="宋体" w:hAnsi="宋体" w:cs="宋体"/>
          <w:b/>
          <w:color w:val="auto"/>
          <w:sz w:val="24"/>
          <w:highlight w:val="none"/>
        </w:rPr>
        <w:t xml:space="preserve">采购标的</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1.项目名称：</w:t>
      </w:r>
      <w:r>
        <w:rPr>
          <w:rFonts w:hint="eastAsia" w:ascii="宋体" w:hAnsi="宋体"/>
          <w:color w:val="auto"/>
          <w:sz w:val="24"/>
          <w:highlight w:val="none"/>
        </w:rPr>
        <w:t xml:space="preserve">常州市不动产登记交易中心继承公证服务采购项目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lang w:val="en-US" w:eastAsia="zh-CN"/>
        </w:rPr>
        <w:t xml:space="preserve">150</w:t>
      </w:r>
      <w:r>
        <w:rPr>
          <w:rFonts w:hint="eastAsia" w:ascii="宋体" w:hAnsi="宋体" w:cs="宋体"/>
          <w:color w:val="auto"/>
          <w:sz w:val="24"/>
          <w:highlight w:val="none"/>
        </w:rPr>
        <w:t xml:space="preserve">万元</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3.最高限价：</w:t>
      </w:r>
      <w:r>
        <w:rPr>
          <w:rFonts w:hint="eastAsia" w:ascii="宋体" w:hAnsi="宋体" w:cs="宋体"/>
          <w:color w:val="auto"/>
          <w:sz w:val="24"/>
          <w:highlight w:val="none"/>
          <w:lang w:val="en-US" w:eastAsia="zh-CN"/>
        </w:rPr>
        <w:t xml:space="preserve">2000元/件</w:t>
      </w:r>
      <w:r/>
    </w:p>
    <w:p>
      <w:pPr>
        <w:ind w:firstLine="480"/>
        <w:spacing w:line="360" w:lineRule="auto"/>
        <w:rPr>
          <w:rFonts w:hint="eastAsia" w:asciiTheme="minorEastAsia" w:hAnsiTheme="minorEastAsia" w:eastAsiaTheme="minorEastAsia"/>
          <w:color w:val="auto"/>
          <w:sz w:val="24"/>
          <w:highlight w:val="none"/>
          <w:lang w:eastAsia="zh-CN"/>
        </w:rPr>
      </w:pPr>
      <w:r>
        <w:rPr>
          <w:rFonts w:hint="eastAsia" w:ascii="宋体" w:hAnsi="宋体" w:cs="宋体"/>
          <w:color w:val="auto"/>
          <w:sz w:val="24"/>
          <w:highlight w:val="none"/>
        </w:rPr>
        <w:t xml:space="preserve">4.采购需求（简介）：</w:t>
      </w:r>
      <w:r>
        <w:rPr>
          <w:rFonts w:hint="eastAsia" w:asciiTheme="minorEastAsia" w:hAnsiTheme="minorEastAsia" w:eastAsiaTheme="minorEastAsia"/>
          <w:color w:val="auto"/>
          <w:sz w:val="24"/>
          <w:highlight w:val="none"/>
        </w:rPr>
        <w:t xml:space="preserve">为减少遗产继承中的纠纷，有效保护权利人的合法权益，保障不动产登记的真实、合法、有效，拟采购继承公证服务</w:t>
      </w:r>
      <w:r>
        <w:rPr>
          <w:rFonts w:hint="eastAsia" w:asciiTheme="minorEastAsia" w:hAnsiTheme="minorEastAsia" w:eastAsiaTheme="minorEastAsia"/>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.是/否接受联合体投标：不接受联合体投标。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.是/否接受分支机构参与响应：否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.是/否属于政府购买服务：否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.是/否专门面向中小企业预留采购份额：否</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.本项目的特定资格要求：</w:t>
      </w:r>
      <w:r>
        <w:rPr>
          <w:rFonts w:hint="eastAsia" w:ascii="宋体" w:hAnsi="宋体" w:cs="宋体"/>
          <w:bCs/>
          <w:color w:val="auto"/>
          <w:sz w:val="24"/>
          <w:highlight w:val="none"/>
        </w:rPr>
        <w:t xml:space="preserve">供应商具有有效的《公证机构执业证》</w:t>
      </w:r>
      <w:r/>
    </w:p>
    <w:p>
      <w:pPr>
        <w:ind w:firstLine="480"/>
        <w:spacing w:line="360" w:lineRule="auto"/>
        <w:rPr>
          <w:rFonts w:ascii="宋体" w:hAnsi="宋体"/>
          <w:b/>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.项目类别：服务类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（一）交付（实施）的时间（期限）和地点（范围）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自合同签订生效之日一年。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2.地点：</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指定地点。</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（二）付款条件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每季度支付一次，采购人在收到</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供应商提供的公证书清单及正式税务发票之日起10个工作日内核对无误后支付完毕。</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（三）报价要求</w:t>
      </w:r>
      <w:r/>
    </w:p>
    <w:p>
      <w:pPr>
        <w:ind w:firstLine="480"/>
        <w:spacing w:line="360" w:lineRule="auto"/>
        <w:rPr>
          <w:rFonts w:hint="eastAsia" w:ascii="宋体" w:hAnsi="宋体" w:cs="宋体"/>
          <w:color w:val="auto"/>
          <w:spacing w:val="2"/>
          <w:sz w:val="24"/>
          <w:highlight w:val="none"/>
        </w:rPr>
      </w:pPr>
      <w:r>
        <w:rPr>
          <w:rFonts w:hint="eastAsia" w:ascii="宋体" w:hAnsi="宋体" w:cs="宋体"/>
          <w:color w:val="auto"/>
          <w:sz w:val="24"/>
          <w:highlight w:val="none"/>
        </w:rPr>
        <w:t xml:space="preserve">本项目为</w:t>
      </w:r>
      <w:r>
        <w:rPr>
          <w:rFonts w:hint="eastAsia" w:ascii="宋体" w:hAnsi="宋体" w:cs="宋体"/>
          <w:b/>
          <w:bCs/>
          <w:color w:val="auto"/>
          <w:sz w:val="24"/>
          <w:highlight w:val="none"/>
        </w:rPr>
        <w:t xml:space="preserve">固定</w:t>
      </w:r>
      <w:r>
        <w:rPr>
          <w:rFonts w:hint="eastAsia" w:ascii="宋体" w:hAnsi="宋体" w:cs="宋体"/>
          <w:b/>
          <w:bCs/>
          <w:color w:val="auto"/>
          <w:sz w:val="24"/>
          <w:highlight w:val="none"/>
          <w:lang w:val="en-US" w:eastAsia="zh-CN"/>
        </w:rPr>
        <w:t xml:space="preserve">单价</w:t>
      </w:r>
      <w:r>
        <w:rPr>
          <w:rFonts w:hint="eastAsia" w:ascii="宋体" w:hAnsi="宋体" w:cs="宋体"/>
          <w:color w:val="auto"/>
          <w:sz w:val="24"/>
          <w:highlight w:val="none"/>
        </w:rPr>
        <w:t xml:space="preserve">，</w:t>
      </w:r>
      <w:r>
        <w:rPr>
          <w:rFonts w:hint="eastAsia" w:ascii="宋体" w:hAnsi="宋体" w:cs="宋体"/>
          <w:color w:val="auto"/>
          <w:spacing w:val="2"/>
          <w:sz w:val="24"/>
          <w:highlight w:val="none"/>
        </w:rPr>
        <w:t xml:space="preserve">磋商报价应包括竞争性磋商文件所确定的采购范围相应服务的提供</w:t>
      </w:r>
      <w:r>
        <w:rPr>
          <w:rFonts w:hint="eastAsia" w:ascii="宋体" w:hAnsi="宋体" w:cs="宋体"/>
          <w:color w:val="auto"/>
          <w:spacing w:val="2"/>
          <w:sz w:val="24"/>
          <w:highlight w:val="none"/>
          <w:lang w:eastAsia="zh-CN"/>
        </w:rPr>
        <w:t xml:space="preserve">，</w:t>
      </w:r>
      <w:r>
        <w:rPr>
          <w:rFonts w:hint="eastAsia" w:ascii="宋体" w:hAnsi="宋体" w:cs="宋体"/>
          <w:color w:val="auto"/>
          <w:spacing w:val="2"/>
          <w:sz w:val="24"/>
          <w:highlight w:val="none"/>
        </w:rPr>
        <w:t xml:space="preserve">包括继承公证法律服务及其公证、人工、取证、材料及服务等从项目中标起到项目正式交付以及服务期限内所发生的一切费用</w:t>
      </w:r>
      <w:r>
        <w:rPr>
          <w:rFonts w:hint="eastAsia" w:ascii="宋体" w:hAnsi="宋体" w:cs="宋体"/>
          <w:color w:val="auto"/>
          <w:spacing w:val="2"/>
          <w:sz w:val="24"/>
          <w:highlight w:val="none"/>
          <w:lang w:eastAsia="zh-CN"/>
        </w:rPr>
        <w:t xml:space="preserve">，</w:t>
      </w:r>
      <w:r>
        <w:rPr>
          <w:rFonts w:hint="eastAsia" w:ascii="宋体" w:hAnsi="宋体" w:cs="宋体"/>
          <w:color w:val="auto"/>
          <w:spacing w:val="2"/>
          <w:sz w:val="24"/>
          <w:highlight w:val="none"/>
        </w:rPr>
        <w:t xml:space="preserve">采购人不再支付其他任何费用。</w:t>
      </w:r>
      <w:r/>
    </w:p>
    <w:p>
      <w:pPr>
        <w:pStyle w:val="1061"/>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投标供应商报价时以法律意见文书的平均每件报价作为投标报价，且报价不得超过2000元/件，否则无效响应。</w:t>
      </w:r>
      <w:r/>
    </w:p>
    <w:p>
      <w:pPr>
        <w:jc w:val="left"/>
        <w:spacing w:line="360" w:lineRule="auto"/>
        <w:tabs>
          <w:tab w:val="left" w:pos="735" w:leader="none"/>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采购清单</w:t>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pStyle w:val="1061"/>
        <w:rPr>
          <w:rFonts w:hint="eastAsia"/>
          <w:lang w:val="en-US" w:eastAsia="zh-CN"/>
        </w:rPr>
      </w:pPr>
      <w:r>
        <w:rPr>
          <w:rFonts w:hint="eastAsia"/>
          <w:lang w:val="en-US" w:eastAsia="zh-CN"/>
        </w:rPr>
      </w:r>
      <w:r/>
    </w:p>
    <w:tbl>
      <w:tblPr>
        <w:tblStyle w:val="1319"/>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114"/>
        <w:gridCol w:w="1518"/>
        <w:gridCol w:w="1322"/>
        <w:gridCol w:w="4209"/>
      </w:tblGrid>
      <w:tr>
        <w:trPr>
          <w:trHeight w:val="466"/>
        </w:trPr>
        <w:tc>
          <w:tcPr>
            <w:tcBorders>
              <w:left w:val="single" w:color="000000" w:sz="6" w:space="0"/>
              <w:right w:val="single" w:color="000000" w:sz="8" w:space="0"/>
            </w:tcBorders>
            <w:tcW w:w="1153" w:type="pct"/>
            <w:vAlign w:val="center"/>
            <w:textDirection w:val="lrTb"/>
            <w:noWrap w:val="false"/>
          </w:tcPr>
          <w:p>
            <w:pPr>
              <w:pStyle w:val="1332"/>
              <w:ind w:left="289"/>
              <w:jc w:val="center"/>
              <w:spacing w:before="110" w:line="219" w:lineRule="auto"/>
              <w:rPr>
                <w:rFonts w:hint="eastAsia" w:ascii="宋体" w:hAnsi="宋体" w:eastAsia="宋体" w:cs="宋体"/>
                <w:sz w:val="24"/>
                <w:szCs w:val="24"/>
                <w:highlight w:val="none"/>
                <w:lang w:eastAsia="zh-CN"/>
              </w:rPr>
            </w:pPr>
            <w:r>
              <w:rPr>
                <w:rFonts w:hint="eastAsia" w:ascii="宋体" w:hAnsi="宋体" w:eastAsia="宋体" w:cs="宋体"/>
                <w:spacing w:val="-5"/>
                <w:sz w:val="24"/>
                <w:szCs w:val="24"/>
                <w:highlight w:val="none"/>
                <w:lang w:val="en-US" w:eastAsia="zh-CN"/>
              </w:rPr>
              <w:t xml:space="preserve">类别</w:t>
            </w:r>
            <w:r/>
          </w:p>
        </w:tc>
        <w:tc>
          <w:tcPr>
            <w:tcBorders>
              <w:left w:val="single" w:color="000000" w:sz="8" w:space="0"/>
              <w:right w:val="single" w:color="000000" w:sz="8" w:space="0"/>
            </w:tcBorders>
            <w:tcW w:w="828" w:type="pct"/>
            <w:vAlign w:val="center"/>
            <w:textDirection w:val="lrTb"/>
            <w:noWrap w:val="false"/>
          </w:tcPr>
          <w:p>
            <w:pPr>
              <w:pStyle w:val="1332"/>
              <w:ind w:left="333" w:hanging="230"/>
              <w:jc w:val="center"/>
              <w:spacing w:before="110" w:line="219" w:lineRule="auto"/>
              <w:rPr>
                <w:rFonts w:hint="eastAsia" w:ascii="宋体" w:hAnsi="宋体" w:eastAsia="宋体" w:cs="宋体"/>
                <w:spacing w:val="-5"/>
                <w:sz w:val="24"/>
                <w:szCs w:val="24"/>
                <w:highlight w:val="none"/>
                <w:lang w:val="en-US" w:eastAsia="zh-CN"/>
              </w:rPr>
            </w:pPr>
            <w:r>
              <w:rPr>
                <w:rFonts w:hint="eastAsia" w:cs="宋体"/>
                <w:spacing w:val="-5"/>
                <w:sz w:val="24"/>
                <w:szCs w:val="24"/>
                <w:highlight w:val="none"/>
                <w:lang w:val="en-US" w:eastAsia="zh-CN"/>
              </w:rPr>
              <w:t xml:space="preserve">预估</w:t>
            </w:r>
            <w:r>
              <w:rPr>
                <w:rFonts w:hint="eastAsia" w:ascii="宋体" w:hAnsi="宋体" w:eastAsia="宋体" w:cs="宋体"/>
                <w:spacing w:val="-5"/>
                <w:sz w:val="24"/>
                <w:szCs w:val="24"/>
                <w:highlight w:val="none"/>
                <w:lang w:val="en-US" w:eastAsia="zh-CN"/>
              </w:rPr>
              <w:t xml:space="preserve">数量</w:t>
            </w:r>
            <w:r/>
          </w:p>
          <w:p>
            <w:pPr>
              <w:pStyle w:val="1332"/>
              <w:ind w:left="333" w:hanging="230"/>
              <w:jc w:val="center"/>
              <w:spacing w:before="110" w:line="21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lang w:val="en-US" w:eastAsia="zh-CN"/>
              </w:rPr>
              <w:t xml:space="preserve">（件）</w:t>
            </w:r>
            <w:r/>
          </w:p>
        </w:tc>
        <w:tc>
          <w:tcPr>
            <w:tcBorders>
              <w:left w:val="single" w:color="000000" w:sz="8" w:space="0"/>
              <w:right w:val="single" w:color="000000" w:sz="8" w:space="0"/>
            </w:tcBorders>
            <w:tcW w:w="721" w:type="pct"/>
            <w:vAlign w:val="center"/>
            <w:textDirection w:val="lrTb"/>
            <w:noWrap w:val="false"/>
          </w:tcPr>
          <w:p>
            <w:pPr>
              <w:pStyle w:val="1332"/>
              <w:jc w:val="center"/>
              <w:spacing w:before="110" w:line="219"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单价</w:t>
            </w:r>
            <w:r/>
          </w:p>
          <w:p>
            <w:pPr>
              <w:pStyle w:val="1332"/>
              <w:jc w:val="center"/>
              <w:spacing w:before="110" w:line="219"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lang w:val="en-US" w:eastAsia="zh-CN"/>
              </w:rPr>
              <w:t xml:space="preserve">（元）</w:t>
            </w:r>
            <w:r/>
          </w:p>
        </w:tc>
        <w:tc>
          <w:tcPr>
            <w:tcBorders>
              <w:top w:val="single" w:color="000000" w:sz="6" w:space="0"/>
              <w:left w:val="single" w:color="000000" w:sz="8" w:space="0"/>
            </w:tcBorders>
            <w:tcW w:w="2296" w:type="pct"/>
            <w:vAlign w:val="center"/>
            <w:textDirection w:val="lrTb"/>
            <w:noWrap w:val="false"/>
          </w:tcPr>
          <w:p>
            <w:pPr>
              <w:pStyle w:val="1332"/>
              <w:jc w:val="center"/>
              <w:spacing w:before="109"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备注</w:t>
            </w:r>
            <w:r/>
          </w:p>
        </w:tc>
      </w:tr>
      <w:tr>
        <w:trPr>
          <w:trHeight w:val="1409"/>
        </w:trPr>
        <w:tc>
          <w:tcPr>
            <w:tcW w:w="1153" w:type="pct"/>
            <w:vAlign w:val="center"/>
            <w:textDirection w:val="lrTb"/>
            <w:noWrap w:val="false"/>
          </w:tcPr>
          <w:p>
            <w:pPr>
              <w:pStyle w:val="1332"/>
              <w:ind w:right="173"/>
              <w:jc w:val="center"/>
              <w:spacing w:before="78" w:line="346"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继承公证服务</w:t>
            </w:r>
            <w:r/>
          </w:p>
        </w:tc>
        <w:tc>
          <w:tcPr>
            <w:tcW w:w="828" w:type="pct"/>
            <w:vAlign w:val="center"/>
            <w:textDirection w:val="lrTb"/>
            <w:noWrap w:val="false"/>
          </w:tcPr>
          <w:p>
            <w:pPr>
              <w:jc w:val="center"/>
              <w:spacing w:line="27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750</w:t>
            </w:r>
            <w:r/>
          </w:p>
        </w:tc>
        <w:tc>
          <w:tcPr>
            <w:tcW w:w="721" w:type="pct"/>
            <w:vAlign w:val="center"/>
            <w:textDirection w:val="lrTb"/>
            <w:noWrap w:val="false"/>
          </w:tcPr>
          <w:p>
            <w:pPr>
              <w:pStyle w:val="1332"/>
              <w:jc w:val="center"/>
              <w:spacing w:before="78" w:line="214" w:lineRule="auto"/>
              <w:rPr>
                <w:rFonts w:hint="eastAsia" w:ascii="宋体" w:hAnsi="宋体" w:eastAsia="宋体" w:cs="宋体"/>
                <w:sz w:val="24"/>
                <w:szCs w:val="24"/>
                <w:highlight w:val="none"/>
                <w:lang w:val="en-US" w:eastAsia="zh-CN"/>
              </w:rPr>
            </w:pPr>
            <w:r>
              <w:rPr>
                <w:rFonts w:hint="eastAsia" w:ascii="宋体" w:hAnsi="宋体" w:eastAsia="宋体" w:cs="宋体"/>
                <w:spacing w:val="-5"/>
                <w:sz w:val="24"/>
                <w:szCs w:val="24"/>
                <w:highlight w:val="none"/>
                <w:lang w:val="en-US" w:eastAsia="zh-CN"/>
              </w:rPr>
              <w:t xml:space="preserve">2</w:t>
            </w:r>
            <w:r>
              <w:rPr>
                <w:rFonts w:hint="eastAsia" w:cs="宋体"/>
                <w:spacing w:val="-5"/>
                <w:sz w:val="24"/>
                <w:szCs w:val="24"/>
                <w:highlight w:val="none"/>
                <w:lang w:val="en-US" w:eastAsia="zh-CN"/>
              </w:rPr>
              <w:t xml:space="preserve">0</w:t>
            </w:r>
            <w:r>
              <w:rPr>
                <w:rFonts w:hint="eastAsia" w:ascii="宋体" w:hAnsi="宋体" w:eastAsia="宋体" w:cs="宋体"/>
                <w:spacing w:val="-5"/>
                <w:sz w:val="24"/>
                <w:szCs w:val="24"/>
                <w:highlight w:val="none"/>
                <w:lang w:val="en-US" w:eastAsia="zh-CN"/>
              </w:rPr>
              <w:t xml:space="preserve">00</w:t>
            </w:r>
            <w:r/>
          </w:p>
        </w:tc>
        <w:tc>
          <w:tcPr>
            <w:tcW w:w="2296" w:type="pct"/>
            <w:vAlign w:val="center"/>
            <w:textDirection w:val="lrTb"/>
            <w:noWrap w:val="false"/>
          </w:tcPr>
          <w:p>
            <w:pPr>
              <w:pStyle w:val="1332"/>
              <w:ind w:right="155"/>
              <w:jc w:val="center"/>
              <w:spacing w:before="117" w:line="346" w:lineRule="auto"/>
              <w:rPr>
                <w:rFonts w:hint="eastAsia" w:ascii="宋体" w:hAnsi="宋体" w:eastAsia="宋体" w:cs="宋体"/>
                <w:sz w:val="24"/>
                <w:szCs w:val="24"/>
                <w:highlight w:val="none"/>
                <w:lang w:val="en-US" w:eastAsia="zh-CN"/>
              </w:rPr>
            </w:pPr>
            <w:r>
              <w:rPr>
                <w:rFonts w:hint="eastAsia" w:ascii="宋体" w:hAnsi="宋体" w:eastAsia="宋体" w:cs="宋体"/>
                <w:spacing w:val="-9"/>
                <w:sz w:val="24"/>
                <w:szCs w:val="24"/>
                <w:highlight w:val="none"/>
                <w:lang w:val="en-US" w:eastAsia="zh-CN"/>
              </w:rPr>
              <w:t xml:space="preserve">本项价格包括不动产继承、受遗赠公证法律服务及其公证、人工、取证、材料及服务等费用。</w:t>
            </w:r>
            <w:r/>
          </w:p>
        </w:tc>
      </w:tr>
    </w:tbl>
    <w:p>
      <w:pPr>
        <w:rPr>
          <w:rFonts w:hint="default"/>
          <w:lang w:val="en-US" w:eastAsia="zh-CN"/>
        </w:rPr>
      </w:pPr>
      <w:r>
        <w:rPr>
          <w:rFonts w:hint="default"/>
          <w:lang w:val="en-US" w:eastAsia="zh-CN"/>
        </w:rPr>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）服务内容</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负责接待常州市不动产登记交易中心相关的继承、遗赠事项等咨询，并及时解答常州市不动产登记交易中心提出的有关继承、遗赠等法律问题；</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成交供应商</w:t>
      </w:r>
      <w:r>
        <w:rPr>
          <w:rFonts w:hint="eastAsia" w:ascii="宋体" w:hAnsi="宋体" w:eastAsia="宋体" w:cs="宋体"/>
          <w:bCs/>
          <w:color w:val="000000" w:themeColor="text1"/>
          <w:sz w:val="24"/>
          <w:szCs w:val="24"/>
          <w14:textFill>
            <w14:solidFill>
              <w14:schemeClr w14:val="tx1"/>
            </w14:solidFill>
          </w14:textFill>
        </w:rPr>
        <w:t xml:space="preserve">收到常州市不动产登记交易中心出具的流转单或电子流转单后，负责承担常州市不动产登记交易中心委托的继承、遗赠公证法律服务；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除继承人之间有争议、申请人举证不足或其他无法完成核实的情况外，常州市不动产登记交易中心委托的继承、遗赠公证均须依法办理并出具继承、遗赠公证书；</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负责每年为常州市不动产登记交易中心的工作人员提供不少于1次有关继承公证相关业务和法律知识的培训。</w:t>
      </w:r>
      <w:r/>
    </w:p>
    <w:p>
      <w:pPr>
        <w:pStyle w:val="1329"/>
        <w:contextualSpacing/>
        <w:ind w:left="0" w:firstLine="482"/>
        <w:keepLines w:val="0"/>
        <w:keepNext w:val="0"/>
        <w:pageBreakBefore w:val="0"/>
        <w:spacing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lang w:eastAsia="zh-CN"/>
        </w:rPr>
        <w:t xml:space="preserve">）服务要求</w:t>
      </w:r>
      <w:r/>
    </w:p>
    <w:p>
      <w:pPr>
        <w:ind w:firstLine="480"/>
        <w:jc w:val="left"/>
        <w:keepLines w:val="0"/>
        <w:keepNext w:val="0"/>
        <w:pageBreakBefore w:val="0"/>
        <w:spacing w:line="480" w:lineRule="exact"/>
        <w:widowControl w:val="off"/>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供应商须承诺中标后在常州市区设立办公场所，工作时间与常州市不动产登记交易中心一致；</w:t>
      </w:r>
      <w:r>
        <w:rPr>
          <w:rFonts w:hint="eastAsia" w:ascii="宋体" w:hAnsi="宋体" w:cs="宋体"/>
          <w:bCs/>
          <w:color w:val="000000" w:themeColor="text1"/>
          <w:sz w:val="24"/>
          <w:szCs w:val="24"/>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14:textFill>
            <w14:solidFill>
              <w14:schemeClr w14:val="tx1"/>
            </w14:solidFill>
          </w14:textFill>
        </w:rPr>
        <w:t xml:space="preserve">供应商应在单位官网公示办公地址、办公时间、联系人、联系电话等；</w:t>
      </w:r>
      <w:r>
        <w:rPr>
          <w:rFonts w:hint="eastAsia" w:ascii="宋体" w:hAnsi="宋体" w:cs="宋体"/>
          <w:b/>
          <w:bCs w:val="0"/>
          <w:color w:val="000000" w:themeColor="text1"/>
          <w:sz w:val="24"/>
          <w:szCs w:val="24"/>
          <w:lang w:eastAsia="zh-CN"/>
          <w14:textFill>
            <w14:solidFill>
              <w14:schemeClr w14:val="tx1"/>
            </w14:solidFill>
          </w14:textFill>
        </w:rPr>
        <w:t xml:space="preserve">（</w:t>
      </w:r>
      <w:r>
        <w:rPr>
          <w:rFonts w:hint="eastAsia" w:ascii="宋体" w:hAnsi="宋体" w:cs="宋体"/>
          <w:b/>
          <w:bCs w:val="0"/>
          <w:color w:val="000000" w:themeColor="text1"/>
          <w:sz w:val="24"/>
          <w:szCs w:val="24"/>
          <w:lang w:val="en-US" w:eastAsia="zh-CN"/>
          <w14:textFill>
            <w14:solidFill>
              <w14:schemeClr w14:val="tx1"/>
            </w14:solidFill>
          </w14:textFill>
        </w:rPr>
        <w:t xml:space="preserve">提供承诺函加盖公章，格式自拟</w:t>
      </w:r>
      <w:r>
        <w:rPr>
          <w:rFonts w:hint="eastAsia" w:ascii="宋体" w:hAnsi="宋体" w:cs="宋体"/>
          <w:b/>
          <w:bCs w:val="0"/>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14:textFill>
            <w14:solidFill>
              <w14:schemeClr w14:val="tx1"/>
            </w14:solidFill>
          </w14:textFill>
        </w:rPr>
        <w:t xml:space="preserve">供应商需投入适量公证人员到岗，可根据工作量合理增减人员</w:t>
      </w:r>
      <w:r>
        <w:rPr>
          <w:rFonts w:hint="eastAsia" w:ascii="宋体" w:hAnsi="宋体" w:cs="宋体"/>
          <w:bCs/>
          <w:color w:val="000000" w:themeColor="text1"/>
          <w:sz w:val="24"/>
          <w:szCs w:val="24"/>
          <w:lang w:eastAsia="zh-CN"/>
          <w14:textFill>
            <w14:solidFill>
              <w14:schemeClr w14:val="tx1"/>
            </w14:solidFill>
          </w14:textFill>
        </w:rPr>
        <w:t xml:space="preserve">。</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）服务标准</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态度热情，语言文明，举止得体，服务规范；公正廉洁，依法办事，诚实守信；处理接待事项应当尊重当事人。不得有下列行为：</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歧视办理人员，推诿、拖延办理事项；</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收受办理人员财物；</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泄露当事人隐私；</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遗弃、隐匿和擅自销毁当事人材料；</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向办事人员推介特定机构和人员提供的有偿法律服务。</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）服务责任</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成交供应商需根据公证业务数量合理调配公证人员，对需要取证核实的内容及时安排和完成外业调查，并按照公证法等有关法律规定的时限出具继承公证书。逾期不能办结的，应当及时通报当事人和常州市不动产登记交易中心，并说明具体原因和明确办结时间；</w:t>
      </w:r>
      <w:r/>
    </w:p>
    <w:p>
      <w:pPr>
        <w:contextualSpacing/>
        <w:ind w:left="0"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cs="宋体"/>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因公证机构出具继承公证书存在瑕疵所导致的登记错误而引发的赔偿，包含且不仅限于法院生效的法律文书所认定的登记机构的赔偿责任及由此产生的律师费、诉讼费、赔偿费用，由公证机构承担。</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）人员要求</w:t>
      </w:r>
      <w:r/>
    </w:p>
    <w:tbl>
      <w:tblPr>
        <w:tblStyle w:val="1060"/>
        <w:tblW w:w="9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00"/>
        <w:gridCol w:w="1245"/>
        <w:gridCol w:w="6080"/>
      </w:tblGrid>
      <w:tr>
        <w:trPr>
          <w:jc w:val="center"/>
          <w:trHeight w:val="9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岗位</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配备人数</w:t>
            </w:r>
            <w:r/>
          </w:p>
        </w:tc>
        <w:tc>
          <w:tcPr>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人员要求</w:t>
            </w:r>
            <w:r/>
          </w:p>
        </w:tc>
      </w:tr>
      <w:tr>
        <w:trPr>
          <w:jc w:val="center"/>
          <w:trHeight w:val="2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highlight w:val="none"/>
                <w:lang w:eastAsia="zh-CN"/>
              </w:rPr>
              <w:suppressLineNumbers w:val="0"/>
            </w:pPr>
            <w:r>
              <w:rPr>
                <w:rFonts w:hint="eastAsia" w:ascii="宋体" w:hAnsi="宋体" w:eastAsia="宋体" w:cs="宋体"/>
                <w:b w:val="0"/>
                <w:bCs w:val="0"/>
                <w:sz w:val="24"/>
                <w:szCs w:val="24"/>
                <w:highlight w:val="none"/>
                <w:lang w:val="en-US" w:eastAsia="zh-CN"/>
              </w:rPr>
              <w:t xml:space="preserve">公证人员</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至少10人</w:t>
            </w:r>
            <w:r/>
          </w:p>
        </w:tc>
        <w:tc>
          <w:tcPr>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（1）具有良好的沟通协调能力，责任心强。</w:t>
            </w:r>
            <w:r/>
          </w:p>
          <w:p>
            <w:pPr>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（2）品行端正，无不良嗜好，无违法犯罪记录。</w:t>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 xml:space="preserve">（3）执业经验不少于3年（至本项目公告发布之日），</w:t>
            </w:r>
            <w:r/>
          </w:p>
        </w:tc>
      </w:tr>
    </w:tbl>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七</w:t>
      </w:r>
      <w:r>
        <w:rPr>
          <w:rFonts w:hint="eastAsia" w:ascii="宋体" w:hAnsi="宋体" w:eastAsia="宋体" w:cs="宋体"/>
          <w:b/>
          <w:bCs/>
          <w:sz w:val="24"/>
          <w:szCs w:val="24"/>
          <w:lang w:val="en-US" w:eastAsia="zh-CN" w:bidi="ar-SA"/>
        </w:rPr>
        <w:t xml:space="preserve">）服务费用</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rPr>
          <w:rFonts w:hint="eastAsia" w:ascii="宋体" w:hAnsi="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服务费用是指提供公证法律服务的总费用，包括继承公证费用、调查核实所产生的费用以及为完成继承公证法律服务所支出的其他合理费用。服务费用以常州市不动产登记交易中心收到的其委托办理的继承公证书按件收取，每件不超过2000元。</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hint="eastAsia" w:ascii="宋体" w:hAnsi="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本项目投标报价包括继承公证法律服务及其公证、人工、取证、材料及服务等从项目中标起到项目正式交付以及服务期限内所发生的一切费用。</w:t>
      </w:r>
      <w:r/>
    </w:p>
    <w:p>
      <w:pPr>
        <w:contextualSpacing/>
        <w:ind w:left="0" w:firstLine="482"/>
        <w:jc w:val="left"/>
        <w:keepLines w:val="0"/>
        <w:keepNext w:val="0"/>
        <w:pageBreakBefore w:val="0"/>
        <w:spacing w:line="48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）验收标准</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1.验收依据</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以竞争性磋商文件、</w:t>
      </w:r>
      <w:r>
        <w:rPr>
          <w:rFonts w:hint="eastAsia" w:ascii="宋体" w:hAnsi="宋体" w:cs="宋体"/>
          <w:b w:val="0"/>
          <w:bCs w:val="0"/>
          <w:sz w:val="24"/>
          <w:szCs w:val="24"/>
          <w:lang w:val="en-US" w:eastAsia="zh-CN" w:bidi="ar-SA"/>
        </w:rPr>
        <w:t xml:space="preserve">成交供应商</w:t>
      </w:r>
      <w:r>
        <w:rPr>
          <w:rFonts w:hint="eastAsia" w:ascii="宋体" w:hAnsi="宋体" w:eastAsia="宋体" w:cs="宋体"/>
          <w:b w:val="0"/>
          <w:bCs w:val="0"/>
          <w:sz w:val="24"/>
          <w:szCs w:val="24"/>
          <w:lang w:val="en-US" w:eastAsia="zh-CN" w:bidi="ar-SA"/>
        </w:rPr>
        <w:t xml:space="preserve">响应文件、本项目采购合同、《中华人民共和国公证法》《公证程序规则》、不动产登记相关管理规定作为验收依据。 采购人根据需要可组建履约验收小组开展验收工作，成交供应商必须全程配合验收，如实提供台账、卷宗、记录等全部佐证材料。 本项目实行季度过程核查 + 服务期满最终总体验收。</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服务成果验收</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(1)成交供应商</w:t>
      </w:r>
      <w:r>
        <w:rPr>
          <w:rFonts w:hint="eastAsia" w:ascii="宋体" w:hAnsi="宋体" w:eastAsia="宋体" w:cs="宋体"/>
          <w:b w:val="0"/>
          <w:bCs w:val="0"/>
          <w:sz w:val="24"/>
          <w:szCs w:val="24"/>
          <w:lang w:val="en-US" w:eastAsia="zh-CN" w:bidi="ar-SA"/>
        </w:rPr>
        <w:t xml:space="preserve">收到</w:t>
      </w:r>
      <w:r>
        <w:rPr>
          <w:rFonts w:hint="eastAsia" w:ascii="宋体" w:hAnsi="宋体" w:cs="宋体"/>
          <w:b w:val="0"/>
          <w:bCs w:val="0"/>
          <w:sz w:val="24"/>
          <w:szCs w:val="24"/>
          <w:lang w:val="en-US" w:eastAsia="zh-CN" w:bidi="ar-SA"/>
        </w:rPr>
        <w:t xml:space="preserve">采购人</w:t>
      </w:r>
      <w:r>
        <w:rPr>
          <w:rFonts w:hint="eastAsia" w:ascii="宋体" w:hAnsi="宋体" w:eastAsia="宋体" w:cs="宋体"/>
          <w:b w:val="0"/>
          <w:bCs w:val="0"/>
          <w:sz w:val="24"/>
          <w:szCs w:val="24"/>
          <w:lang w:val="en-US" w:eastAsia="zh-CN" w:bidi="ar-SA"/>
        </w:rPr>
        <w:t xml:space="preserve">流转单/电子流转单后，除继承人存在争议、申请人举证不足、客观条件限制无法核实等法定不予办理情形外，应依法办理继承、遗赠公证并出具公证书。</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w:t>
      </w: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)公证书办理时限符合《公证程序规则》要求；确因客观原因无法按期办结的，须及时向采购人及当事人书面说明原因及预计办结时间，留存通报记录。</w:t>
      </w:r>
      <w:r/>
    </w:p>
    <w:p>
      <w:pPr>
        <w:contextualSpacing/>
        <w:ind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w:t>
      </w:r>
      <w:r>
        <w:rPr>
          <w:rFonts w:hint="eastAsia" w:ascii="宋体" w:hAnsi="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t xml:space="preserve">)出具的公证书真实、合法、格式规范，无错证、重大瑕疵；若因公证书瑕疵造成登记错误引发赔偿的，按合同约定由成交供应商承担全部责任。</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)每季度向</w:t>
      </w:r>
      <w:r>
        <w:rPr>
          <w:rFonts w:hint="eastAsia" w:ascii="宋体" w:hAnsi="宋体" w:cs="宋体"/>
          <w:b w:val="0"/>
          <w:bCs w:val="0"/>
          <w:sz w:val="24"/>
          <w:szCs w:val="24"/>
          <w:lang w:val="en-US" w:eastAsia="zh-CN" w:bidi="ar-SA"/>
        </w:rPr>
        <w:t xml:space="preserve">采购人</w:t>
      </w:r>
      <w:r>
        <w:rPr>
          <w:rFonts w:hint="eastAsia" w:ascii="宋体" w:hAnsi="宋体" w:eastAsia="宋体" w:cs="宋体"/>
          <w:b w:val="0"/>
          <w:bCs w:val="0"/>
          <w:sz w:val="24"/>
          <w:szCs w:val="24"/>
          <w:lang w:val="en-US" w:eastAsia="zh-CN" w:bidi="ar-SA"/>
        </w:rPr>
        <w:t xml:space="preserve">提交完整公证书办理清单，清单包含流转单号、案件编号、当事人、办理结果、出证日期等信息，清单与公证书副本一一对应，作为季度付款核对依据。</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jc w:val="left"/>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第五章   合同草案条款</w:t>
      </w:r>
      <w:bookmarkEnd w:id="636"/>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1068"/>
        <w:rPr>
          <w:color w:val="auto"/>
          <w:highlight w:val="none"/>
        </w:rPr>
      </w:pPr>
      <w:r>
        <w:rPr>
          <w:color w:val="auto"/>
          <w:highlight w:val="none"/>
        </w:rPr>
      </w:r>
      <w:r/>
    </w:p>
    <w:p>
      <w:pPr>
        <w:rPr>
          <w:color w:val="auto"/>
          <w:highlight w:val="none"/>
        </w:rPr>
      </w:pPr>
      <w:r>
        <w:rPr>
          <w:color w:val="auto"/>
          <w:highlight w:val="none"/>
        </w:rPr>
      </w:r>
      <w:r/>
    </w:p>
    <w:p>
      <w:pPr>
        <w:pStyle w:val="1068"/>
        <w:rPr>
          <w:color w:val="auto"/>
          <w:highlight w:val="none"/>
        </w:rPr>
      </w:pPr>
      <w:r>
        <w:rPr>
          <w:color w:val="auto"/>
          <w:highlight w:val="none"/>
        </w:rPr>
      </w:r>
      <w:r/>
    </w:p>
    <w:p>
      <w:pPr>
        <w:rPr>
          <w:color w:val="auto"/>
          <w:highlight w:val="none"/>
        </w:rPr>
      </w:pPr>
      <w:r>
        <w:rPr>
          <w:color w:val="auto"/>
          <w:highlight w:val="none"/>
        </w:rPr>
      </w:r>
      <w:r/>
    </w:p>
    <w:p>
      <w:pPr>
        <w:ind w:right="-58"/>
        <w:jc w:val="center"/>
        <w:rPr>
          <w:rFonts w:hint="eastAsia"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常州市不动产登记交易中心继承公证服务</w:t>
      </w:r>
      <w:r/>
    </w:p>
    <w:p>
      <w:pPr>
        <w:ind w:right="-58"/>
        <w:jc w:val="center"/>
        <w:rPr>
          <w:rFonts w:hint="eastAsia" w:ascii="华文中宋" w:hAnsi="华文中宋" w:eastAsia="华文中宋" w:cs="Times New Roman"/>
          <w:color w:val="auto"/>
          <w:sz w:val="48"/>
          <w:szCs w:val="28"/>
          <w:highlight w:val="none"/>
        </w:rPr>
      </w:pPr>
      <w:r>
        <w:rPr>
          <w:rFonts w:hint="eastAsia" w:ascii="华文中宋" w:hAnsi="华文中宋" w:eastAsia="华文中宋" w:cs="Times New Roman"/>
          <w:color w:val="auto"/>
          <w:sz w:val="48"/>
          <w:szCs w:val="28"/>
          <w:highlight w:val="none"/>
        </w:rPr>
        <w:t xml:space="preserve">采购项目采购合同</w:t>
      </w:r>
      <w:r/>
    </w:p>
    <w:p>
      <w:pPr>
        <w:pStyle w:val="1068"/>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left="2560" w:hanging="964"/>
        <w:spacing w:before="120" w:line="240" w:lineRule="atLeast"/>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甲方：常州市不动产登记交易中心</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1068"/>
        <w:rPr>
          <w:color w:val="auto"/>
          <w:highlight w:val="none"/>
        </w:rPr>
      </w:pPr>
      <w:r>
        <w:rPr>
          <w:color w:val="auto"/>
          <w:highlight w:val="none"/>
        </w:rPr>
      </w:r>
      <w:r/>
    </w:p>
    <w:p>
      <w:pPr>
        <w:rPr>
          <w:color w:val="auto"/>
          <w:highlight w:val="none"/>
        </w:rPr>
      </w:pPr>
      <w:r>
        <w:rPr>
          <w:color w:val="auto"/>
          <w:highlight w:val="none"/>
        </w:rPr>
      </w:r>
      <w:r/>
    </w:p>
    <w:p>
      <w:pPr>
        <w:pStyle w:val="1061"/>
      </w:p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常州市不动产登记交易中心</w:t>
      </w:r>
      <w:r>
        <w:rPr>
          <w:rFonts w:hint="eastAsia" w:ascii="宋体" w:hAnsi="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常州市不动产登记交易中心继承公证服务采购项目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常州市不动产登记交易中心</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（成交供应商名称）   </w:t>
      </w:r>
      <w:r>
        <w:rPr>
          <w:rFonts w:hint="eastAsia" w:ascii="宋体" w:hAnsi="宋体" w:cs="宋体"/>
          <w:color w:val="auto"/>
          <w:sz w:val="24"/>
          <w:highlight w:val="none"/>
        </w:rPr>
        <w:t xml:space="preserve">(以下简称：乙方)协商一致，约定以下合同条款，以兹共同遵守、全面履行。</w:t>
      </w:r>
      <w:r/>
    </w:p>
    <w:p>
      <w:pPr>
        <w:ind w:firstLine="482"/>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2.成交通知书。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3.响应文件（含澄清或者说明文件）。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ind w:firstLine="482"/>
        <w:spacing w:line="360" w:lineRule="auto"/>
        <w:rPr>
          <w:b/>
          <w:color w:val="auto"/>
          <w:sz w:val="24"/>
          <w:highlight w:val="none"/>
        </w:rPr>
      </w:pPr>
      <w:r>
        <w:rPr>
          <w:rFonts w:hint="eastAsia"/>
          <w:b/>
          <w:color w:val="auto"/>
          <w:sz w:val="24"/>
          <w:highlight w:val="none"/>
        </w:rPr>
        <w:t xml:space="preserve">二、合同标的内容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常州市不动产登记交易中心继承公证服务采购项目。</w:t>
      </w:r>
      <w:r/>
    </w:p>
    <w:p>
      <w:pPr>
        <w:ind w:firstLine="480"/>
        <w:spacing w:line="360" w:lineRule="auto"/>
        <w:rPr>
          <w:rFonts w:hint="eastAsia" w:asciiTheme="minorEastAsia" w:hAnsiTheme="minorEastAsia" w:eastAsiaTheme="minorEastAsia"/>
          <w:color w:val="auto"/>
          <w:sz w:val="24"/>
          <w:highlight w:val="none"/>
        </w:rPr>
      </w:pPr>
      <w:r>
        <w:rPr>
          <w:rFonts w:hint="eastAsia" w:ascii="宋体" w:hAnsi="宋体"/>
          <w:color w:val="auto"/>
          <w:sz w:val="24"/>
          <w:highlight w:val="none"/>
        </w:rPr>
        <w:t xml:space="preserve">2.项目内容：</w:t>
      </w:r>
      <w:r>
        <w:rPr>
          <w:rFonts w:hint="eastAsia" w:asciiTheme="minorEastAsia" w:hAnsiTheme="minorEastAsia" w:eastAsiaTheme="minorEastAsia"/>
          <w:color w:val="auto"/>
          <w:sz w:val="24"/>
          <w:highlight w:val="none"/>
        </w:rPr>
        <w:t xml:space="preserve">为减少遗产继承中的纠纷，有效保护权利人的合法权益，保障不动产登记的真实、合法、有效，采购继承公证服务。</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.服务期限：</w:t>
      </w:r>
      <w:r>
        <w:rPr>
          <w:rFonts w:hint="eastAsia" w:ascii="宋体" w:hAnsi="宋体" w:cs="宋体"/>
          <w:color w:val="auto"/>
          <w:sz w:val="24"/>
          <w:highlight w:val="none"/>
        </w:rPr>
        <w:t xml:space="preserve">自合同签订生效之日一年。</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三、合同价款</w:t>
      </w:r>
      <w:r/>
    </w:p>
    <w:p>
      <w:pPr>
        <w:pStyle w:val="1061"/>
        <w:ind w:firstLine="480"/>
        <w:rPr>
          <w:rFonts w:hint="default"/>
          <w:lang w:val="en-US"/>
        </w:rPr>
      </w:pPr>
      <w:r>
        <w:rPr>
          <w:rFonts w:hint="eastAsia" w:ascii="宋体" w:hAnsi="宋体" w:eastAsia="宋体" w:cs="Times New Roman"/>
          <w:color w:val="auto"/>
          <w:sz w:val="24"/>
          <w:szCs w:val="24"/>
          <w:highlight w:val="none"/>
          <w:lang w:val="en-US" w:eastAsia="zh-CN" w:bidi="ar-SA"/>
        </w:rPr>
        <w:t xml:space="preserve">每件服务费用为：¥</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元。</w:t>
      </w:r>
      <w:r/>
    </w:p>
    <w:p>
      <w:pPr>
        <w:ind w:firstLine="482"/>
        <w:spacing w:line="360" w:lineRule="auto"/>
        <w:rPr>
          <w:rFonts w:ascii="宋体" w:hAnsi="宋体"/>
          <w:b/>
          <w:bCs/>
          <w:color w:val="auto"/>
          <w:sz w:val="24"/>
          <w:highlight w:val="none"/>
        </w:rPr>
      </w:pPr>
      <w:r/>
      <w:bookmarkStart w:id="637" w:name="_Toc60748168"/>
      <w:r>
        <w:rPr>
          <w:rFonts w:hint="eastAsia" w:ascii="宋体" w:hAnsi="宋体"/>
          <w:b/>
          <w:bCs/>
          <w:color w:val="auto"/>
          <w:sz w:val="24"/>
          <w:highlight w:val="none"/>
        </w:rPr>
        <w:t xml:space="preserve">四、付款方式和发票开具方式</w:t>
      </w:r>
      <w:bookmarkEnd w:id="63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1.本合同项下所有款项均以人民币支付。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2.结算原则：按照实际发生数量</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中标单价结算。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3.支付方式：每季度支付一次</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在收到</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提供的公证书清单及正式税务发票之日起10个工作日内核对无误后支付完毕。</w:t>
      </w:r>
      <w:r/>
    </w:p>
    <w:p>
      <w:pPr>
        <w:ind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rPr>
        <w:t xml:space="preserve">五、</w:t>
      </w:r>
      <w:r>
        <w:rPr>
          <w:rFonts w:hint="eastAsia" w:ascii="宋体" w:hAnsi="宋体"/>
          <w:b/>
          <w:color w:val="auto"/>
          <w:sz w:val="24"/>
          <w:highlight w:val="none"/>
          <w:lang w:val="en-US" w:eastAsia="zh-CN"/>
        </w:rPr>
        <w:t xml:space="preserve">服务需求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（一）服务内容</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负责接待常州市不动产登记交易中心相关的继承、遗赠事项等咨询，并及时解答常州市不动产登记交易中心提出的有关继承、遗赠等法律问题；</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14:textFill>
            <w14:solidFill>
              <w14:schemeClr w14:val="tx1"/>
            </w14:solidFill>
          </w14:textFill>
        </w:rPr>
        <w:t xml:space="preserve">收到常州市不动产登记交易中心出具的流转单或电子流转单后，负责承担常州市不动产登记交易中心委托的继承、遗赠公证法律服务；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除继承人之间有争议、申请人举证不足或其他无法完成核实的情况外，常州市不动产登记交易中心委托的继承、遗赠公证均须依法办理并出具继承、遗赠公证书；</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负责每年为常州市不动产登记交易中心的工作人员提供不少于1次有关继承公证相关业务和法律知识的培训。</w:t>
      </w:r>
      <w:r/>
    </w:p>
    <w:p>
      <w:pPr>
        <w:pStyle w:val="1329"/>
        <w:contextualSpacing/>
        <w:ind w:left="0" w:firstLine="482"/>
        <w:keepLines w:val="0"/>
        <w:keepNext w:val="0"/>
        <w:pageBreakBefore w:val="0"/>
        <w:spacing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（二）服务要求</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乙方中标后，在常州市区设立办公场所</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工作时间与常州市不动产登记交易中心一致；乙方应在单位官网公示办公地址、办公时间、联系人、联系电话等；</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乙方需投入适量公证人员到岗，可根据工作量合理增减人员</w:t>
      </w:r>
      <w:r>
        <w:rPr>
          <w:rFonts w:hint="eastAsia" w:ascii="宋体" w:hAnsi="宋体" w:cs="宋体"/>
          <w:bCs/>
          <w:color w:val="000000" w:themeColor="text1"/>
          <w:sz w:val="24"/>
          <w:szCs w:val="24"/>
          <w:lang w:eastAsia="zh-CN"/>
          <w14:textFill>
            <w14:solidFill>
              <w14:schemeClr w14:val="tx1"/>
            </w14:solidFill>
          </w14:textFill>
        </w:rPr>
        <w:t xml:space="preserve">。</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（三）服务标准</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态度热情，语言文明，举止得体，服务规范；公正廉洁，依法办事，诚实守信；处理接待事项应当尊重当事人。不得有下列行为：</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歧视办理人员，推诿、拖延办理事项；</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收受办理人员财物；</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泄露当事人隐私；</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遗弃、隐匿和擅自销毁当事人材料；</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向办事人员推介特定机构和人员提供的有偿法律服务。</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（四）服务责任</w:t>
      </w:r>
      <w:r/>
    </w:p>
    <w:p>
      <w:pPr>
        <w:ind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乙方需根据公证业务数量合理调配公证人员，对需要取证核实的内容及时安排和完成外业调查，并按照公证法等有关法律规定的时限出具继承公证书。逾期不能办结的，应当及时通报当事人和常州市不动产登记交易中心，并说明具体原因和明确办结时间；</w:t>
      </w:r>
      <w:r/>
    </w:p>
    <w:p>
      <w:pPr>
        <w:contextualSpacing/>
        <w:ind w:left="0" w:firstLine="480"/>
        <w:jc w:val="left"/>
        <w:keepLines w:val="0"/>
        <w:keepNext w:val="0"/>
        <w:pageBreakBefore w:val="0"/>
        <w:spacing w:line="480" w:lineRule="exact"/>
        <w:widowControl w:val="off"/>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cs="宋体"/>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因公证机构出具继承公证书存在瑕疵所导致的登记错误而引发的赔偿，包含且不仅限于法院生效的法律文书所认定的登记机构的赔偿责任及由此产生的律师费、诉讼费、赔偿费用，由公证机构承担。</w:t>
      </w:r>
      <w:r/>
    </w:p>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（五）人员要求</w:t>
      </w:r>
      <w:r/>
    </w:p>
    <w:tbl>
      <w:tblPr>
        <w:tblStyle w:val="1060"/>
        <w:tblW w:w="9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00"/>
        <w:gridCol w:w="1245"/>
        <w:gridCol w:w="6080"/>
      </w:tblGrid>
      <w:tr>
        <w:trPr>
          <w:jc w:val="center"/>
          <w:trHeight w:val="4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岗位</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配备人数</w:t>
            </w:r>
            <w:r/>
          </w:p>
        </w:tc>
        <w:tc>
          <w:tcPr>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人员要求</w:t>
            </w:r>
            <w:r/>
          </w:p>
        </w:tc>
      </w:tr>
      <w:tr>
        <w:trPr>
          <w:jc w:val="center"/>
          <w:trHeight w:val="2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highlight w:val="none"/>
                <w:lang w:eastAsia="zh-CN"/>
              </w:rPr>
              <w:suppressLineNumbers w:val="0"/>
            </w:pPr>
            <w:r>
              <w:rPr>
                <w:rFonts w:hint="eastAsia" w:ascii="宋体" w:hAnsi="宋体" w:eastAsia="宋体" w:cs="宋体"/>
                <w:b w:val="0"/>
                <w:bCs w:val="0"/>
                <w:sz w:val="24"/>
                <w:szCs w:val="24"/>
                <w:highlight w:val="none"/>
                <w:lang w:val="en-US" w:eastAsia="zh-CN"/>
              </w:rPr>
              <w:t xml:space="preserve">公证人员</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至少10人</w:t>
            </w:r>
            <w:r/>
          </w:p>
        </w:tc>
        <w:tc>
          <w:tcPr>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（1）具有良好的沟通协调能力，责任心强。</w:t>
            </w:r>
            <w:r/>
          </w:p>
          <w:p>
            <w:pPr>
              <w:jc w:val="both"/>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（2）品行端正，无不良嗜好，无违法犯罪记录。</w:t>
            </w:r>
            <w:r/>
          </w:p>
          <w:p>
            <w:pPr>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 xml:space="preserve">（3）执业经验不少于3年（至本项目公告发布之日），</w:t>
            </w:r>
            <w:r/>
          </w:p>
        </w:tc>
      </w:tr>
    </w:tbl>
    <w:p>
      <w:pPr>
        <w:contextualSpacing/>
        <w:ind w:left="0" w:firstLine="482"/>
        <w:jc w:val="left"/>
        <w:keepLines w:val="0"/>
        <w:keepNext w:val="0"/>
        <w:pageBreakBefore w:val="0"/>
        <w:spacing w:line="48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（六）服务费用</w:t>
      </w:r>
      <w:r/>
    </w:p>
    <w:p>
      <w:pPr>
        <w:contextualSpacing/>
        <w:ind w:left="0"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服务费用是指提供公证法律服务的总费用，包括继承公证费用、调查核实所产生的费用以及为完成继承公证法律服务所支出的其他合理费用。服务费用以常州市不动产登记交易中心收到的其委托办理的继承公证书按件收取。</w:t>
      </w:r>
      <w:r/>
    </w:p>
    <w:p>
      <w:pPr>
        <w:ind w:firstLine="482"/>
        <w:spacing w:line="360" w:lineRule="auto"/>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六、验收标准</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1.验收依据</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以竞争性磋商文件、</w:t>
      </w:r>
      <w:r>
        <w:rPr>
          <w:rFonts w:hint="eastAsia" w:ascii="宋体" w:hAnsi="宋体" w:cs="Times New Roman"/>
          <w:color w:val="auto"/>
          <w:sz w:val="24"/>
          <w:szCs w:val="24"/>
          <w:highlight w:val="none"/>
          <w:lang w:val="en-US" w:eastAsia="zh-CN" w:bidi="ar-SA"/>
        </w:rPr>
        <w:t xml:space="preserve">乙方</w:t>
      </w:r>
      <w:r>
        <w:rPr>
          <w:rFonts w:hint="eastAsia" w:ascii="宋体" w:hAnsi="宋体" w:eastAsia="宋体" w:cs="Times New Roman"/>
          <w:color w:val="auto"/>
          <w:sz w:val="24"/>
          <w:szCs w:val="24"/>
          <w:highlight w:val="none"/>
          <w:lang w:val="en-US" w:eastAsia="zh-CN" w:bidi="ar-SA"/>
        </w:rPr>
        <w:t xml:space="preserve">响应文件、本项目采购合同、《中华人民共和国公证法》《公证程序规则》、不动产登记相关管理规定作为验收依据。 </w:t>
      </w:r>
      <w:r>
        <w:rPr>
          <w:rFonts w:hint="eastAsia" w:ascii="宋体" w:hAnsi="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en-US" w:eastAsia="zh-CN" w:bidi="ar-SA"/>
        </w:rPr>
        <w:t xml:space="preserve">根据需要可组建履约验收小组开展验收工作，乙方必须全程配合验收，如实提供台账、卷宗、记录等全部佐证材料。 本项目实行季度过程核查 + 服务期满最终总体验收。</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2.服务成果验收</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(1)乙方收到</w:t>
      </w:r>
      <w:r>
        <w:rPr>
          <w:rFonts w:hint="eastAsia" w:ascii="宋体" w:hAnsi="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en-US" w:eastAsia="zh-CN" w:bidi="ar-SA"/>
        </w:rPr>
        <w:t xml:space="preserve">流转单/电子流转单后，除继承人存在争议、申请人举证不足、客观条件限制无法核实等法定不予办理情形外，应依法办理继承、遗赠公证并出具公证书。</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(2)公证书办理时限符合《公证程序规则》要求；确因客观原因无法按期办结的，须及时向</w:t>
      </w:r>
      <w:r>
        <w:rPr>
          <w:rFonts w:hint="eastAsia" w:ascii="宋体" w:hAnsi="宋体" w:cs="Times New Roman"/>
          <w:color w:val="auto"/>
          <w:sz w:val="24"/>
          <w:szCs w:val="24"/>
          <w:highlight w:val="none"/>
          <w:lang w:val="en-US" w:eastAsia="zh-CN" w:bidi="ar-SA"/>
        </w:rPr>
        <w:t xml:space="preserve">甲</w:t>
      </w:r>
      <w:r>
        <w:rPr>
          <w:rFonts w:hint="eastAsia" w:ascii="宋体" w:hAnsi="宋体" w:eastAsia="宋体" w:cs="Times New Roman"/>
          <w:color w:val="auto"/>
          <w:sz w:val="24"/>
          <w:szCs w:val="24"/>
          <w:highlight w:val="none"/>
          <w:lang w:val="en-US" w:eastAsia="zh-CN" w:bidi="ar-SA"/>
        </w:rPr>
        <w:t xml:space="preserve">方及当事人书面说明原因及预计办结时间，留存通报记录。</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(3)出具的公证书真实、合法、格式规范，无错证、重大瑕疵；若因公证书瑕疵造成登记错误引发赔偿的，按合同约定由乙方承担全部责任。</w:t>
      </w:r>
      <w:r/>
    </w:p>
    <w:p>
      <w:pPr>
        <w:ind w:firstLine="480"/>
        <w:jc w:val="left"/>
        <w:spacing w:line="360" w:lineRule="auto"/>
        <w:rPr>
          <w:rFonts w:hint="eastAsia" w:ascii="宋体" w:hAnsi="宋体"/>
          <w:b/>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(4)每季度向</w:t>
      </w:r>
      <w:r>
        <w:rPr>
          <w:rFonts w:hint="eastAsia" w:ascii="宋体" w:hAnsi="宋体" w:cs="Times New Roman"/>
          <w:color w:val="auto"/>
          <w:sz w:val="24"/>
          <w:szCs w:val="24"/>
          <w:highlight w:val="none"/>
          <w:lang w:val="en-US" w:eastAsia="zh-CN" w:bidi="ar-SA"/>
        </w:rPr>
        <w:t xml:space="preserve">甲方</w:t>
      </w:r>
      <w:r>
        <w:rPr>
          <w:rFonts w:hint="eastAsia" w:ascii="宋体" w:hAnsi="宋体" w:eastAsia="宋体" w:cs="Times New Roman"/>
          <w:color w:val="auto"/>
          <w:sz w:val="24"/>
          <w:szCs w:val="24"/>
          <w:highlight w:val="none"/>
          <w:lang w:val="en-US" w:eastAsia="zh-CN" w:bidi="ar-SA"/>
        </w:rPr>
        <w:t xml:space="preserve">提交完整公证书办理清单，清单包含流转单号、案件编号、当事人、办理结果、出证日期等信息，清单与公证书副本一一对应，作为季度付款核对依据。</w:t>
      </w:r>
      <w:r>
        <w:rPr>
          <w:rFonts w:hint="eastAsia" w:ascii="宋体" w:hAnsi="宋体"/>
          <w:b/>
          <w:color w:val="auto"/>
          <w:sz w:val="24"/>
          <w:highlight w:val="none"/>
          <w:lang w:val="en-US" w:eastAsia="zh-CN"/>
        </w:rPr>
      </w:r>
      <w:r>
        <w:rPr>
          <w:rFonts w:ascii="宋体" w:hAnsi="宋体"/>
          <w:color w:val="auto"/>
          <w:sz w:val="24"/>
          <w:highlight w:val="none"/>
        </w:rPr>
      </w:r>
    </w:p>
    <w:p>
      <w:pPr>
        <w:ind w:firstLine="480"/>
        <w:jc w:val="left"/>
        <w:spacing w:line="360" w:lineRule="auto"/>
        <w:rPr>
          <w:rFonts w:ascii="宋体" w:hAnsi="宋体"/>
          <w:color w:val="auto"/>
          <w:sz w:val="24"/>
          <w:szCs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rPr>
        <w:t xml:space="preserve">、履约保证和违约责任</w:t>
      </w: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1.乙方应按照采购文件规定的服务要求、质量标准向甲方提供服务。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2.合同履行过程中，如发现乙方为虚假应标者，甲方有权终止合同，给甲方造成的相应损失由乙方承担。</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八</w:t>
      </w:r>
      <w:r>
        <w:rPr>
          <w:rFonts w:hint="eastAsia" w:ascii="宋体" w:hAnsi="宋体"/>
          <w:b/>
          <w:bCs/>
          <w:color w:val="auto"/>
          <w:sz w:val="24"/>
          <w:highlight w:val="none"/>
        </w:rPr>
        <w:t xml:space="preserve">、甲方权利与义务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（一）甲方权利：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1.有权向乙方询问工作进展情况及相关的内容。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2.有权阐述对具体问题的意见和建议。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4.在合同期内，若不能达到招标要求，甲方可单方面终止合同且不承担经济赔偿责任。</w:t>
      </w:r>
      <w:r/>
    </w:p>
    <w:p>
      <w:pPr>
        <w:ind w:firstLine="480"/>
        <w:jc w:val="left"/>
        <w:spacing w:line="360" w:lineRule="auto"/>
        <w:rPr>
          <w:rFonts w:ascii="宋体" w:hAnsi="宋体" w:cs="仿宋"/>
          <w:bCs/>
          <w:color w:val="auto"/>
          <w:sz w:val="24"/>
          <w:highlight w:val="none"/>
        </w:rPr>
      </w:pPr>
      <w:r>
        <w:rPr>
          <w:rFonts w:hint="eastAsia" w:ascii="宋体" w:hAnsi="宋体"/>
          <w:color w:val="auto"/>
          <w:sz w:val="24"/>
          <w:highlight w:val="none"/>
        </w:rPr>
        <w:t xml:space="preserve">5.在合同期限内，如遇政策性变化或重大调整，甲方有权提前终止合同，但须提前一个月书面通知乙方，乙方应无条件予以配合。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九</w:t>
      </w:r>
      <w:r>
        <w:rPr>
          <w:rFonts w:hint="eastAsia" w:ascii="宋体" w:hAnsi="宋体"/>
          <w:b/>
          <w:bCs/>
          <w:color w:val="auto"/>
          <w:sz w:val="24"/>
          <w:highlight w:val="none"/>
        </w:rPr>
        <w:t xml:space="preserve">、乙方权利与义务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（一）乙方权利：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（二）乙方义务：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1.应按照</w:t>
      </w:r>
      <w:r>
        <w:rPr>
          <w:rFonts w:hint="eastAsia" w:ascii="宋体" w:hAnsi="宋体"/>
          <w:color w:val="auto"/>
          <w:sz w:val="24"/>
          <w:highlight w:val="none"/>
        </w:rPr>
        <w:t xml:space="preserve">本项目采购文件、乙方投标文件要求按期完成本项目工作。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2.负责组织项目的实施，保证工作质量满足相关验收相关标准。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4.按采购文件要求完成所涉及的其他服务事项和工作内容。</w:t>
      </w:r>
      <w:r/>
    </w:p>
    <w:p>
      <w:pPr>
        <w:ind w:firstLine="482"/>
        <w:spacing w:line="360" w:lineRule="auto"/>
        <w:tabs>
          <w:tab w:val="center" w:pos="4422"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十</w:t>
      </w:r>
      <w:r>
        <w:rPr>
          <w:rFonts w:hint="eastAsia" w:ascii="宋体" w:hAnsi="宋体"/>
          <w:b/>
          <w:bCs/>
          <w:color w:val="auto"/>
          <w:sz w:val="24"/>
          <w:highlight w:val="none"/>
        </w:rPr>
        <w:t xml:space="preserve">、保密要求</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乙方在履行合同过程中所获得或接触到的任何</w:t>
      </w:r>
      <w:r>
        <w:rPr>
          <w:rFonts w:hint="eastAsia" w:ascii="宋体" w:hAnsi="宋体"/>
          <w:color w:val="auto"/>
          <w:sz w:val="24"/>
          <w:highlight w:val="none"/>
        </w:rPr>
        <w:t xml:space="preserve">内部数据资料，未经甲方同意，不得向第三方透露。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乙方</w:t>
      </w:r>
      <w:r>
        <w:rPr>
          <w:rFonts w:hint="eastAsia" w:ascii="宋体" w:hAnsi="宋体"/>
          <w:color w:val="auto"/>
          <w:sz w:val="24"/>
          <w:highlight w:val="none"/>
        </w:rPr>
        <w:t xml:space="preserve">实施项目的一切程序都应符合国家安全、保密的有关规定和标准。</w:t>
      </w:r>
      <w:r/>
    </w:p>
    <w:p>
      <w:pPr>
        <w:ind w:firstLine="482"/>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 甲方无正当理由拒绝接受乙方提供服务的，甲方向乙方偿付拒绝接受服务合同价款总值</w:t>
      </w:r>
      <w:r>
        <w:rPr>
          <w:rFonts w:hint="eastAsia" w:ascii="宋体" w:hAnsi="宋体" w:eastAsia="宋体" w:cs="Times New Roman"/>
          <w:color w:val="auto"/>
          <w:sz w:val="24"/>
          <w:highlight w:val="none"/>
          <w:u w:val="single"/>
          <w:lang w:val="en-US" w:eastAsia="zh-CN"/>
        </w:rPr>
        <w:t xml:space="preserve">5%</w:t>
      </w:r>
      <w:r>
        <w:rPr>
          <w:rFonts w:hint="eastAsia" w:ascii="宋体" w:hAnsi="宋体" w:eastAsia="宋体" w:cs="Times New Roman"/>
          <w:color w:val="auto"/>
          <w:sz w:val="24"/>
          <w:highlight w:val="none"/>
          <w:lang w:val="en-US" w:eastAsia="zh-CN"/>
        </w:rPr>
        <w:t xml:space="preserve">的违约金。</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 甲方无故逾期验收和办理合同款项支付手续的,甲方应按逾期付款总额</w:t>
      </w:r>
      <w:r>
        <w:rPr>
          <w:rFonts w:hint="eastAsia" w:ascii="宋体" w:hAnsi="宋体" w:eastAsia="宋体" w:cs="Times New Roman"/>
          <w:color w:val="auto"/>
          <w:sz w:val="24"/>
          <w:highlight w:val="none"/>
          <w:u w:val="single"/>
          <w:lang w:val="en-US" w:eastAsia="zh-CN"/>
        </w:rPr>
        <w:t xml:space="preserve">万分之五 </w:t>
      </w:r>
      <w:r>
        <w:rPr>
          <w:rFonts w:hint="eastAsia" w:ascii="宋体" w:hAnsi="宋体" w:eastAsia="宋体" w:cs="Times New Roman"/>
          <w:color w:val="auto"/>
          <w:sz w:val="24"/>
          <w:highlight w:val="none"/>
          <w:lang w:val="en-US" w:eastAsia="zh-CN"/>
        </w:rPr>
        <w:t xml:space="preserve">每日向乙方支付违约金。</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 乙方逾期提供服务的，乙方应按逾期提供服务合同总额每日</w:t>
      </w:r>
      <w:r>
        <w:rPr>
          <w:rFonts w:hint="eastAsia" w:ascii="宋体" w:hAnsi="宋体" w:eastAsia="宋体" w:cs="Times New Roman"/>
          <w:color w:val="auto"/>
          <w:sz w:val="24"/>
          <w:highlight w:val="none"/>
          <w:u w:val="single"/>
          <w:lang w:val="en-US" w:eastAsia="zh-CN"/>
        </w:rPr>
        <w:t xml:space="preserve">万分之五</w:t>
      </w:r>
      <w:r>
        <w:rPr>
          <w:rFonts w:hint="eastAsia" w:ascii="宋体" w:hAnsi="宋体" w:eastAsia="宋体" w:cs="Times New Roman"/>
          <w:color w:val="auto"/>
          <w:sz w:val="24"/>
          <w:highlight w:val="none"/>
          <w:lang w:val="en-US"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宋体" w:hAnsi="宋体" w:eastAsia="宋体" w:cs="Times New Roman"/>
          <w:color w:val="auto"/>
          <w:sz w:val="24"/>
          <w:highlight w:val="none"/>
          <w:u w:val="single"/>
          <w:lang w:val="en-US" w:eastAsia="zh-CN"/>
        </w:rPr>
        <w:t xml:space="preserve">5%  </w:t>
      </w:r>
      <w:r>
        <w:rPr>
          <w:rFonts w:hint="eastAsia" w:ascii="宋体" w:hAnsi="宋体" w:eastAsia="宋体" w:cs="Times New Roman"/>
          <w:color w:val="auto"/>
          <w:sz w:val="24"/>
          <w:highlight w:val="none"/>
          <w:lang w:val="en-US" w:eastAsia="zh-CN"/>
        </w:rPr>
        <w:t xml:space="preserve">的违约金，如造成甲方损失超过违约金的，超出部分由乙方继续承担赔偿责任。 </w:t>
      </w:r>
      <w:r/>
    </w:p>
    <w:p>
      <w:pPr>
        <w:ind w:firstLine="480"/>
        <w:spacing w:line="360" w:lineRule="auto"/>
      </w:pPr>
      <w:r>
        <w:rPr>
          <w:rFonts w:hint="eastAsia" w:ascii="宋体" w:hAnsi="宋体" w:eastAsia="宋体" w:cs="Times New Roman"/>
          <w:color w:val="auto"/>
          <w:sz w:val="24"/>
          <w:highlight w:val="none"/>
          <w:lang w:val="en-US" w:eastAsia="zh-CN"/>
        </w:rPr>
        <w:t xml:space="preserve">4.乙方所提供服务的标准不符合合同规定及采购文件规定标准的，甲方有权拒绝接受服务，并可单方面解除合同。</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、合同的变更和解除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、争端的解决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rPr>
        <w:t xml:space="preserve">种方式解决争议：</w:t>
      </w:r>
      <w:r/>
    </w:p>
    <w:p>
      <w:pPr>
        <w:pStyle w:val="1094"/>
        <w:ind w:left="0" w:firstLine="480"/>
        <w:spacing w:after="0" w:line="360" w:lineRule="auto"/>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pStyle w:val="1094"/>
        <w:ind w:left="0" w:firstLine="480"/>
        <w:spacing w:after="0" w:line="360" w:lineRule="auto"/>
        <w:rPr>
          <w:rFonts w:ascii="宋体" w:hAnsi="宋体"/>
          <w:color w:val="auto"/>
          <w:highlight w:val="none"/>
        </w:rPr>
      </w:pPr>
      <w:r>
        <w:rPr>
          <w:rFonts w:hint="eastAsia" w:ascii="宋体" w:hAnsi="宋体"/>
          <w:color w:val="auto"/>
          <w:highlight w:val="none"/>
        </w:rPr>
        <w:t xml:space="preserve">2、向甲方所在地仲裁委员会按其仲裁规则申请仲裁。</w:t>
      </w:r>
      <w:r/>
    </w:p>
    <w:p>
      <w:pPr>
        <w:pStyle w:val="1094"/>
        <w:ind w:left="0" w:firstLine="482"/>
        <w:spacing w:after="0" w:line="360" w:lineRule="auto"/>
        <w:rPr>
          <w:rFonts w:ascii="宋体" w:hAnsi="宋体"/>
          <w:b/>
          <w:color w:val="auto"/>
          <w:highlight w:val="none"/>
        </w:rPr>
      </w:pPr>
      <w:r>
        <w:rPr>
          <w:rFonts w:hint="eastAsia" w:ascii="宋体" w:hAnsi="宋体"/>
          <w:b/>
          <w:color w:val="auto"/>
          <w:highlight w:val="none"/>
        </w:rPr>
        <w:t xml:space="preserve">十</w:t>
      </w:r>
      <w:r>
        <w:rPr>
          <w:rFonts w:hint="eastAsia" w:ascii="宋体" w:hAnsi="宋体"/>
          <w:b/>
          <w:color w:val="auto"/>
          <w:highlight w:val="none"/>
          <w:lang w:val="en-US" w:eastAsia="zh-CN"/>
        </w:rPr>
        <w:t xml:space="preserve">四</w:t>
      </w:r>
      <w:r>
        <w:rPr>
          <w:rFonts w:hint="eastAsia" w:ascii="宋体" w:hAnsi="宋体"/>
          <w:b/>
          <w:color w:val="auto"/>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伍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贰 </w:t>
      </w:r>
      <w:r>
        <w:rPr>
          <w:rFonts w:hint="eastAsia" w:ascii="宋体" w:hAnsi="宋体"/>
          <w:color w:val="auto"/>
          <w:sz w:val="24"/>
          <w:highlight w:val="none"/>
        </w:rPr>
        <w:t xml:space="preserve">份，代理采购机构执壹份。</w:t>
      </w:r>
      <w:r/>
    </w:p>
    <w:tbl>
      <w:tblPr>
        <w:tblStyle w:val="106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w:t>
            </w:r>
            <w:r>
              <w:rPr>
                <w:rFonts w:hint="eastAsia" w:ascii="宋体" w:hAnsi="宋体" w:cs="宋体"/>
                <w:color w:val="auto"/>
                <w:sz w:val="24"/>
                <w:highlight w:val="none"/>
                <w:u w:val="single"/>
              </w:rPr>
              <w:t xml:space="preserve">成交供应商</w:t>
            </w:r>
            <w:r>
              <w:rPr>
                <w:rFonts w:hint="eastAsia" w:ascii="宋体" w:hAnsi="宋体"/>
                <w:color w:val="auto"/>
                <w:sz w:val="24"/>
                <w:highlight w:val="none"/>
              </w:rPr>
              <w:t xml:space="preserve">）（盖章）：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ascii="宋体" w:hAnsi="宋体"/>
                <w:color w:val="auto"/>
                <w:sz w:val="24"/>
                <w:highlight w:val="none"/>
              </w:rPr>
            </w:pPr>
            <w:r>
              <w:rPr>
                <w:rFonts w:ascii="宋体" w:hAnsi="宋体"/>
                <w:color w:val="auto"/>
                <w:sz w:val="24"/>
                <w:highlight w:val="none"/>
              </w:rPr>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w:t>
      </w:r>
      <w:r/>
    </w:p>
    <w:p>
      <w:pPr>
        <w:spacing w:line="360" w:lineRule="auto"/>
        <w:rPr>
          <w:rFonts w:ascii="微软雅黑" w:hAnsi="微软雅黑" w:eastAsia="微软雅黑"/>
          <w:color w:val="auto"/>
          <w:szCs w:val="21"/>
          <w:highlight w:val="none"/>
        </w:rPr>
      </w:pPr>
      <w:r>
        <w:rPr>
          <w:rFonts w:hint="eastAsia" w:ascii="宋体" w:hAnsi="宋体"/>
          <w:color w:val="auto"/>
          <w:sz w:val="24"/>
          <w:highlight w:val="none"/>
        </w:rPr>
        <w:t xml:space="preserve">日  期：</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1068"/>
        <w:rPr>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638" w:name="_bookmark4"/>
      <w:r/>
      <w:bookmarkEnd w:id="638"/>
      <w:r/>
      <w:bookmarkStart w:id="639" w:name="_Toc193985583"/>
      <w:r>
        <w:rPr>
          <w:b/>
          <w:color w:val="auto"/>
          <w:sz w:val="36"/>
          <w:szCs w:val="36"/>
          <w:highlight w:val="none"/>
        </w:rPr>
        <w:t xml:space="preserve">第六章   响应文件格式</w:t>
      </w:r>
      <w:bookmarkEnd w:id="639"/>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52"/>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62"/>
        <w:ind w:firstLine="480"/>
        <w:spacing w:line="460" w:lineRule="exact"/>
        <w:rPr>
          <w:color w:val="auto"/>
          <w:highlight w:val="none"/>
        </w:rPr>
      </w:pPr>
      <w:r>
        <w:rPr>
          <w:color w:val="auto"/>
          <w:highlight w:val="none"/>
        </w:rPr>
      </w:r>
      <w:r/>
    </w:p>
    <w:p>
      <w:pPr>
        <w:pStyle w:val="1062"/>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1062"/>
        <w:ind w:firstLine="960"/>
        <w:spacing w:line="460" w:lineRule="exact"/>
        <w:rPr>
          <w:color w:val="auto"/>
          <w:highlight w:val="none"/>
          <w:u w:val="single"/>
        </w:rPr>
      </w:pPr>
      <w:r>
        <w:rPr>
          <w:rFonts w:hint="eastAsia"/>
          <w:color w:val="auto"/>
          <w:highlight w:val="none"/>
          <w:u w:val="single"/>
        </w:rPr>
        <w:t xml:space="preserve">（采购人名称）</w:t>
      </w:r>
      <w:r/>
    </w:p>
    <w:p>
      <w:pPr>
        <w:pStyle w:val="1062"/>
        <w:ind w:firstLine="480"/>
        <w:spacing w:line="460" w:lineRule="exact"/>
        <w:rPr>
          <w:color w:val="auto"/>
          <w:highlight w:val="none"/>
        </w:rPr>
      </w:pPr>
      <w:r>
        <w:rPr>
          <w:color w:val="auto"/>
          <w:highlight w:val="none"/>
        </w:rPr>
      </w:r>
      <w:r/>
    </w:p>
    <w:p>
      <w:pPr>
        <w:pStyle w:val="1062"/>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62"/>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62"/>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62"/>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62"/>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62"/>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62"/>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62"/>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62"/>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2"/>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62"/>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62"/>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62"/>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62"/>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62"/>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62"/>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62"/>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62"/>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62"/>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62"/>
        <w:ind w:firstLine="480"/>
        <w:spacing w:line="460" w:lineRule="exact"/>
        <w:rPr>
          <w:color w:val="auto"/>
          <w:highlight w:val="none"/>
        </w:rPr>
      </w:pPr>
      <w:r>
        <w:rPr>
          <w:color w:val="auto"/>
          <w:highlight w:val="none"/>
        </w:rPr>
      </w:r>
      <w:r/>
    </w:p>
    <w:p>
      <w:pPr>
        <w:pStyle w:val="1062"/>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62"/>
        <w:ind w:firstLine="480"/>
        <w:spacing w:line="460" w:lineRule="exact"/>
        <w:rPr>
          <w:color w:val="auto"/>
          <w:highlight w:val="none"/>
        </w:rPr>
      </w:pPr>
      <w:r>
        <w:rPr>
          <w:color w:val="auto"/>
          <w:highlight w:val="none"/>
        </w:rPr>
      </w:r>
      <w:r/>
    </w:p>
    <w:p>
      <w:pPr>
        <w:pStyle w:val="1062"/>
        <w:ind w:firstLine="480"/>
        <w:spacing w:line="460" w:lineRule="exact"/>
        <w:rPr>
          <w:color w:val="auto"/>
          <w:highlight w:val="none"/>
        </w:rPr>
      </w:pPr>
      <w:r>
        <w:rPr>
          <w:color w:val="auto"/>
          <w:highlight w:val="none"/>
        </w:rPr>
      </w:r>
      <w:r/>
    </w:p>
    <w:p>
      <w:pPr>
        <w:pStyle w:val="1062"/>
        <w:ind w:firstLine="480"/>
        <w:spacing w:line="460" w:lineRule="exact"/>
        <w:rPr>
          <w:color w:val="auto"/>
          <w:highlight w:val="none"/>
        </w:rPr>
      </w:pPr>
      <w:r>
        <w:rPr>
          <w:rFonts w:hint="eastAsia"/>
          <w:color w:val="auto"/>
          <w:highlight w:val="none"/>
        </w:rPr>
        <w:t xml:space="preserve">                              供应商：（加盖公章）</w:t>
      </w:r>
      <w:r/>
    </w:p>
    <w:p>
      <w:pPr>
        <w:pStyle w:val="1062"/>
        <w:ind w:firstLine="480"/>
        <w:spacing w:line="460" w:lineRule="exact"/>
        <w:rPr>
          <w:color w:val="auto"/>
          <w:highlight w:val="none"/>
        </w:rPr>
      </w:pPr>
      <w:r>
        <w:rPr>
          <w:rFonts w:hint="eastAsia"/>
          <w:color w:val="auto"/>
          <w:highlight w:val="none"/>
        </w:rPr>
        <w:t xml:space="preserve">                              法定代表人（或单位负责人）签字或盖章：</w:t>
      </w:r>
      <w:r/>
    </w:p>
    <w:p>
      <w:pPr>
        <w:pStyle w:val="1062"/>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r>
      <w:r/>
    </w:p>
    <w:p>
      <w:pPr>
        <w:pStyle w:val="1052"/>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color w:val="auto"/>
          <w:sz w:val="24"/>
          <w:szCs w:val="20"/>
          <w:highlight w:val="none"/>
        </w:rPr>
        <w:outlineLvl w:val="2"/>
      </w:pPr>
      <w:r>
        <w:rPr>
          <w:color w:val="auto"/>
          <w:sz w:val="24"/>
          <w:highlight w:val="none"/>
        </w:rPr>
        <w:br w:type="page" w:clear="all"/>
      </w:r>
      <w:r>
        <w:rPr>
          <w:rFonts w:hint="eastAsia" w:ascii="宋体" w:hAnsi="宋体" w:cs="宋体"/>
          <w:color w:val="auto"/>
          <w:sz w:val="24"/>
          <w:highlight w:val="none"/>
        </w:rPr>
        <w:t xml:space="preserve">2</w:t>
      </w: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w:t>
      </w:r>
      <w:r>
        <w:rPr>
          <w:rFonts w:hint="eastAsia"/>
          <w:color w:val="auto"/>
          <w:sz w:val="24"/>
          <w:szCs w:val="20"/>
          <w:highlight w:val="none"/>
          <w:lang w:val="en-US" w:eastAsia="zh-CN"/>
        </w:rPr>
        <w:t xml:space="preserve">不</w:t>
      </w:r>
      <w:r>
        <w:rPr>
          <w:color w:val="auto"/>
          <w:sz w:val="24"/>
          <w:szCs w:val="20"/>
          <w:highlight w:val="none"/>
        </w:rPr>
        <w:t xml:space="preserve">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ascii="宋体" w:hAnsi="宋体" w:cs="宋体"/>
          <w:color w:val="auto"/>
          <w:sz w:val="24"/>
          <w:highlight w:val="none"/>
        </w:rPr>
        <w:outlineLvl w:val="2"/>
      </w:pPr>
      <w:r>
        <w:rPr>
          <w:color w:val="auto"/>
          <w:sz w:val="24"/>
          <w:szCs w:val="20"/>
          <w:highlight w:val="none"/>
        </w:rPr>
        <w:t xml:space="preserve">3-2其他特定资格要求</w:t>
      </w:r>
      <w:r>
        <w:rPr>
          <w:rFonts w:hint="eastAsia"/>
          <w:color w:val="auto"/>
          <w:sz w:val="24"/>
          <w:szCs w:val="20"/>
          <w:highlight w:val="none"/>
        </w:rPr>
        <w:t xml:space="preserve">：供应商具有有效的《公证机构执业证》。</w:t>
      </w:r>
      <w:r/>
    </w:p>
    <w:p>
      <w:pPr>
        <w:spacing w:line="360" w:lineRule="auto"/>
        <w:rPr>
          <w:b/>
          <w:color w:val="auto"/>
          <w:sz w:val="24"/>
          <w:szCs w:val="20"/>
          <w:highlight w:val="none"/>
        </w:rPr>
        <w:outlineLvl w:val="2"/>
      </w:pPr>
      <w:r>
        <w:rPr>
          <w:b/>
          <w:color w:val="auto"/>
          <w:sz w:val="24"/>
          <w:highlight w:val="none"/>
        </w:rPr>
        <w:br w:type="page" w:clear="all"/>
      </w:r>
      <w:bookmarkStart w:id="640" w:name="_Toc520356218"/>
      <w:r/>
      <w:bookmarkStart w:id="641" w:name="_Toc150774762"/>
      <w:r/>
      <w:bookmarkStart w:id="642" w:name="_Toc150480795"/>
      <w:r/>
      <w:bookmarkStart w:id="643" w:name="_Toc127151557"/>
      <w:r/>
      <w:bookmarkStart w:id="644" w:name="_Toc480942350"/>
      <w:r/>
      <w:bookmarkStart w:id="645" w:name="_Ref467988705"/>
      <w:r/>
      <w:bookmarkStart w:id="646" w:name="_Toc226337253"/>
      <w:r/>
      <w:bookmarkStart w:id="647" w:name="_Toc226309801"/>
      <w:r/>
      <w:bookmarkStart w:id="648" w:name="_Toc305158825"/>
      <w:r/>
      <w:bookmarkStart w:id="649" w:name="_Toc226965830"/>
      <w:r/>
      <w:bookmarkStart w:id="650" w:name="_Toc142311059"/>
      <w:r/>
      <w:bookmarkStart w:id="651" w:name="_Toc264969247"/>
      <w:r/>
      <w:bookmarkStart w:id="652" w:name="_Toc265228395"/>
      <w:r/>
      <w:bookmarkStart w:id="653" w:name="_Toc226965747"/>
      <w:r/>
      <w:bookmarkStart w:id="654" w:name="_Toc195842922"/>
      <w:r/>
      <w:bookmarkStart w:id="655" w:name="_Toc305158899"/>
      <w:r>
        <w:rPr>
          <w:rFonts w:hint="eastAsia"/>
          <w:b/>
          <w:color w:val="auto"/>
          <w:sz w:val="24"/>
          <w:highlight w:val="none"/>
          <w:lang w:val="en-US" w:eastAsia="zh-CN"/>
        </w:rPr>
        <w:t xml:space="preserve">3</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u w:val="single"/>
        </w:rPr>
      </w:pPr>
      <w:r>
        <w:rPr>
          <w:rFonts w:hint="eastAsia"/>
          <w:color w:val="auto"/>
          <w:sz w:val="24"/>
          <w:highlight w:val="none"/>
          <w:u w:val="singl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56" w:name="_Hlt520356243"/>
      <w:r/>
      <w:bookmarkEnd w:id="656"/>
      <w:r/>
      <w:bookmarkStart w:id="657" w:name="_Hlt520355938"/>
      <w:r/>
      <w:bookmarkEnd w:id="657"/>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lang w:val="en-US" w:eastAsia="zh-CN"/>
        </w:rPr>
        <w:t xml:space="preserve">4</w:t>
      </w:r>
      <w:r>
        <w:rPr>
          <w:b/>
          <w:color w:val="auto"/>
          <w:sz w:val="24"/>
          <w:highlight w:val="none"/>
        </w:rPr>
        <w:t xml:space="preserve">  </w:t>
      </w:r>
      <w:r>
        <w:rPr>
          <w:rFonts w:hint="eastAsia"/>
          <w:b/>
          <w:color w:val="auto"/>
          <w:sz w:val="24"/>
          <w:highlight w:val="none"/>
        </w:rPr>
        <w:t xml:space="preserve">法定代表人资格证明书</w:t>
      </w:r>
      <w:r>
        <w:rPr>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pStyle w:val="1068"/>
        <w:rPr>
          <w:color w:val="auto"/>
          <w:highlight w:val="none"/>
        </w:rPr>
      </w:pPr>
      <w:r>
        <w:rPr>
          <w:color w:val="auto"/>
          <w:highlight w:val="none"/>
        </w:rPr>
      </w:r>
      <w:r/>
    </w:p>
    <w:p>
      <w:pPr>
        <w:spacing w:line="560" w:lineRule="exact"/>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姓名</w:t>
      </w:r>
      <w:r>
        <w:rPr>
          <w:rFonts w:ascii="宋体" w:hAnsi="宋体" w:cs="Times New Roman"/>
          <w:color w:val="auto"/>
          <w:sz w:val="24"/>
          <w:szCs w:val="22"/>
          <w:highlight w:val="none"/>
        </w:rPr>
        <w:t xml:space="preserve">: </w:t>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 xml:space="preserve">性别</w:t>
      </w:r>
      <w:r>
        <w:rPr>
          <w:rFonts w:ascii="宋体" w:hAnsi="宋体" w:cs="Times New Roman"/>
          <w:color w:val="auto"/>
          <w:sz w:val="24"/>
          <w:szCs w:val="22"/>
          <w:highlight w:val="none"/>
        </w:rPr>
        <w:t xml:space="preserve">:</w:t>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 xml:space="preserve">年龄</w:t>
      </w:r>
      <w:r>
        <w:rPr>
          <w:rFonts w:ascii="宋体" w:hAnsi="宋体" w:cs="Times New Roman"/>
          <w:color w:val="auto"/>
          <w:sz w:val="24"/>
          <w:szCs w:val="22"/>
          <w:highlight w:val="none"/>
        </w:rPr>
        <w:t xml:space="preserve">:</w:t>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ab/>
      </w:r>
      <w:r>
        <w:rPr>
          <w:rFonts w:hint="eastAsia" w:ascii="宋体" w:hAnsi="宋体" w:cs="Times New Roman"/>
          <w:color w:val="auto"/>
          <w:sz w:val="24"/>
          <w:szCs w:val="22"/>
          <w:highlight w:val="none"/>
        </w:rPr>
        <w:t xml:space="preserve">职务</w:t>
      </w:r>
      <w:r>
        <w:rPr>
          <w:rFonts w:ascii="宋体" w:hAnsi="宋体" w:cs="Times New Roman"/>
          <w:color w:val="auto"/>
          <w:sz w:val="24"/>
          <w:szCs w:val="22"/>
          <w:highlight w:val="none"/>
        </w:rPr>
        <w:t xml:space="preserve">:</w:t>
      </w:r>
      <w:r/>
    </w:p>
    <w:p>
      <w:pPr>
        <w:spacing w:line="360" w:lineRule="auto"/>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系</w:t>
      </w:r>
      <w:r>
        <w:rPr>
          <w:rFonts w:ascii="宋体" w:hAnsi="宋体" w:cs="Times New Roman"/>
          <w:color w:val="auto"/>
          <w:sz w:val="24"/>
          <w:szCs w:val="22"/>
          <w:highlight w:val="none"/>
          <w:u w:val="single"/>
        </w:rPr>
        <w:t xml:space="preserve">            </w:t>
      </w:r>
      <w:r>
        <w:rPr>
          <w:rFonts w:hint="eastAsia" w:ascii="宋体" w:hAnsi="宋体" w:cs="Times New Roman"/>
          <w:color w:val="auto"/>
          <w:sz w:val="24"/>
          <w:szCs w:val="22"/>
          <w:highlight w:val="none"/>
        </w:rPr>
        <w:t xml:space="preserve">（供应商名称）的法定代表人。为实施</w:t>
      </w:r>
      <w:r>
        <w:rPr>
          <w:rFonts w:hint="eastAsia" w:ascii="宋体" w:hAnsi="宋体" w:cs="Times New Roman"/>
          <w:color w:val="auto"/>
          <w:sz w:val="24"/>
          <w:szCs w:val="22"/>
          <w:highlight w:val="none"/>
          <w:u w:val="single"/>
          <w:lang w:val="en-US" w:eastAsia="zh-CN"/>
        </w:rPr>
        <w:t xml:space="preserve">  </w:t>
      </w:r>
      <w:r>
        <w:rPr>
          <w:rFonts w:ascii="宋体" w:hAnsi="宋体" w:cs="Times New Roman"/>
          <w:color w:val="auto"/>
          <w:sz w:val="24"/>
          <w:szCs w:val="22"/>
          <w:highlight w:val="none"/>
        </w:rPr>
        <w:t xml:space="preserve"> </w:t>
      </w:r>
      <w:r>
        <w:rPr>
          <w:rFonts w:hint="eastAsia" w:ascii="宋体" w:hAnsi="宋体" w:cs="Times New Roman"/>
          <w:color w:val="auto"/>
          <w:sz w:val="24"/>
          <w:szCs w:val="22"/>
          <w:highlight w:val="none"/>
          <w:u w:val="single"/>
        </w:rPr>
        <w:t xml:space="preserve">                 </w:t>
      </w:r>
      <w:r>
        <w:rPr>
          <w:rFonts w:hint="eastAsia" w:ascii="宋体" w:hAnsi="宋体" w:cs="Times New Roman"/>
          <w:color w:val="auto"/>
          <w:sz w:val="24"/>
          <w:szCs w:val="22"/>
          <w:highlight w:val="none"/>
          <w:u w:val="single"/>
          <w:lang w:val="en-US" w:eastAsia="zh-CN"/>
        </w:rPr>
        <w:t xml:space="preserve">     （</w:t>
      </w:r>
      <w:r>
        <w:rPr>
          <w:rFonts w:hint="eastAsia" w:ascii="宋体" w:hAnsi="宋体" w:cs="Times New Roman"/>
          <w:color w:val="auto"/>
          <w:sz w:val="24"/>
          <w:szCs w:val="22"/>
          <w:highlight w:val="none"/>
          <w:u w:val="single"/>
        </w:rPr>
        <w:t xml:space="preserve">项目名称）</w:t>
      </w:r>
      <w:r>
        <w:rPr>
          <w:rFonts w:hint="eastAsia" w:ascii="宋体" w:hAnsi="宋体" w:cs="Times New Roman"/>
          <w:color w:val="auto"/>
          <w:sz w:val="24"/>
          <w:szCs w:val="22"/>
          <w:highlight w:val="none"/>
        </w:rPr>
        <w:t xml:space="preserve">项目（</w:t>
      </w:r>
      <w:r>
        <w:rPr>
          <w:rFonts w:hint="eastAsia" w:ascii="宋体" w:hAnsi="宋体" w:cs="Times New Roman"/>
          <w:bCs/>
          <w:color w:val="auto"/>
          <w:sz w:val="24"/>
          <w:szCs w:val="24"/>
          <w:highlight w:val="none"/>
        </w:rPr>
        <w:t xml:space="preserve">项目编号：</w:t>
      </w:r>
      <w:r>
        <w:rPr>
          <w:rFonts w:hint="eastAsia" w:ascii="宋体" w:hAnsi="宋体" w:cs="Times New Roman"/>
          <w:bCs/>
          <w:color w:val="auto"/>
          <w:sz w:val="24"/>
          <w:szCs w:val="24"/>
          <w:highlight w:val="none"/>
          <w:u w:val="single"/>
        </w:rPr>
        <w:t xml:space="preserve">                     </w:t>
      </w:r>
      <w:r>
        <w:rPr>
          <w:rFonts w:hint="eastAsia" w:ascii="宋体" w:hAnsi="宋体" w:cs="Times New Roman"/>
          <w:color w:val="auto"/>
          <w:sz w:val="24"/>
          <w:szCs w:val="22"/>
          <w:highlight w:val="none"/>
        </w:rPr>
        <w:t xml:space="preserve">）的工作，签署、澄清确认、递交、撤回、修改上述项目的响应文件、进行合同磋商、签署合同和处理与之有关的一切事务。</w:t>
      </w:r>
      <w:r/>
    </w:p>
    <w:p>
      <w:pPr>
        <w:ind w:firstLine="480"/>
        <w:spacing w:line="360" w:lineRule="auto"/>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特此证明。</w:t>
      </w:r>
      <w:r/>
    </w:p>
    <w:p>
      <w:pPr>
        <w:spacing w:line="560" w:lineRule="exact"/>
        <w:rPr>
          <w:rFonts w:ascii="宋体" w:hAnsi="宋体" w:cs="Times New Roman"/>
          <w:color w:val="auto"/>
          <w:sz w:val="24"/>
          <w:szCs w:val="22"/>
          <w:highlight w:val="none"/>
        </w:rPr>
      </w:pPr>
      <w:r>
        <w:rPr>
          <w:rFonts w:ascii="宋体" w:hAnsi="宋体" w:cs="Times New Roman"/>
          <w:color w:val="auto"/>
          <w:sz w:val="24"/>
          <w:szCs w:val="22"/>
          <w:highlight w:val="none"/>
        </w:rPr>
      </w:r>
      <w:r/>
    </w:p>
    <w:p>
      <w:pPr>
        <w:spacing w:line="360" w:lineRule="auto"/>
        <w:rPr>
          <w:rFonts w:ascii="宋体" w:hAnsi="宋体" w:cs="Times New Roman"/>
          <w:color w:val="auto"/>
          <w:sz w:val="24"/>
          <w:szCs w:val="22"/>
          <w:highlight w:val="none"/>
        </w:rPr>
      </w:pPr>
      <w:r>
        <w:rPr>
          <w:rFonts w:ascii="宋体" w:hAnsi="宋体" w:cs="Times New Roman"/>
          <w:color w:val="auto"/>
          <w:sz w:val="24"/>
          <w:szCs w:val="22"/>
          <w:highlight w:val="none"/>
        </w:rPr>
        <w:t xml:space="preserve">                   </w:t>
      </w:r>
      <w:r>
        <w:rPr>
          <w:rFonts w:hint="eastAsia" w:ascii="宋体" w:hAnsi="宋体" w:cs="Times New Roman"/>
          <w:color w:val="auto"/>
          <w:sz w:val="24"/>
          <w:szCs w:val="22"/>
          <w:highlight w:val="none"/>
        </w:rPr>
        <w:t xml:space="preserve">供应商：（公章）</w:t>
      </w:r>
      <w:r/>
    </w:p>
    <w:p>
      <w:pPr>
        <w:spacing w:line="360" w:lineRule="auto"/>
        <w:rPr>
          <w:rFonts w:ascii="宋体" w:hAnsi="宋体" w:cs="Times New Roman"/>
          <w:color w:val="auto"/>
          <w:sz w:val="24"/>
          <w:szCs w:val="22"/>
          <w:highlight w:val="none"/>
        </w:rPr>
      </w:pPr>
      <w:r>
        <w:rPr>
          <w:rFonts w:ascii="宋体" w:hAnsi="宋体" w:cs="Times New Roman"/>
          <w:color w:val="auto"/>
          <w:sz w:val="24"/>
          <w:szCs w:val="22"/>
          <w:highlight w:val="none"/>
        </w:rPr>
        <w:t xml:space="preserve">                       </w:t>
      </w:r>
      <w:r>
        <w:rPr>
          <w:rFonts w:hint="eastAsia" w:ascii="宋体" w:hAnsi="宋体" w:cs="Times New Roman"/>
          <w:color w:val="auto"/>
          <w:sz w:val="24"/>
          <w:szCs w:val="22"/>
          <w:highlight w:val="none"/>
        </w:rPr>
        <w:t xml:space="preserve">法定代表人签字或盖章：</w:t>
      </w:r>
      <w:r/>
    </w:p>
    <w:p>
      <w:pPr>
        <w:ind w:firstLine="4320"/>
        <w:spacing w:line="360" w:lineRule="auto"/>
        <w:rPr>
          <w:rFonts w:ascii="宋体" w:hAnsi="宋体" w:cs="Times New Roman"/>
          <w:color w:val="auto"/>
          <w:sz w:val="24"/>
          <w:szCs w:val="22"/>
          <w:highlight w:val="none"/>
        </w:rPr>
      </w:pPr>
      <w:r>
        <w:rPr>
          <w:rFonts w:ascii="宋体" w:hAnsi="宋体" w:cs="Times New Roman"/>
          <w:color w:val="auto"/>
          <w:sz w:val="24"/>
          <w:szCs w:val="24"/>
          <w:highlight w:val="none"/>
        </w:rPr>
        <w:t xml:space="preserve">日期:</w:t>
      </w:r>
      <w:r>
        <w:rPr>
          <w:rFonts w:hint="eastAsia" w:ascii="宋体" w:hAnsi="宋体" w:cs="Times New Roman"/>
          <w:bCs/>
          <w:color w:val="auto"/>
          <w:sz w:val="24"/>
          <w:szCs w:val="22"/>
          <w:highlight w:val="none"/>
          <w:u w:val="single"/>
        </w:rPr>
        <w:t xml:space="preserve"> ______</w:t>
      </w:r>
      <w:r>
        <w:rPr>
          <w:rFonts w:hint="eastAsia" w:ascii="宋体" w:hAnsi="宋体" w:cs="Times New Roman"/>
          <w:bCs/>
          <w:color w:val="auto"/>
          <w:sz w:val="24"/>
          <w:szCs w:val="22"/>
          <w:highlight w:val="none"/>
        </w:rPr>
        <w:t xml:space="preserve">年</w:t>
      </w:r>
      <w:r>
        <w:rPr>
          <w:rFonts w:hint="eastAsia" w:ascii="宋体" w:hAnsi="宋体" w:cs="Times New Roman"/>
          <w:bCs/>
          <w:color w:val="auto"/>
          <w:sz w:val="24"/>
          <w:szCs w:val="22"/>
          <w:highlight w:val="none"/>
          <w:u w:val="single"/>
        </w:rPr>
        <w:t xml:space="preserve">    </w:t>
      </w:r>
      <w:r>
        <w:rPr>
          <w:rFonts w:hint="eastAsia" w:ascii="宋体" w:hAnsi="宋体" w:cs="Times New Roman"/>
          <w:bCs/>
          <w:color w:val="auto"/>
          <w:sz w:val="24"/>
          <w:szCs w:val="22"/>
          <w:highlight w:val="none"/>
        </w:rPr>
        <w:t xml:space="preserve">月</w:t>
      </w:r>
      <w:r>
        <w:rPr>
          <w:rFonts w:hint="eastAsia" w:ascii="宋体" w:hAnsi="宋体" w:cs="Times New Roman"/>
          <w:bCs/>
          <w:color w:val="auto"/>
          <w:sz w:val="24"/>
          <w:szCs w:val="22"/>
          <w:highlight w:val="none"/>
          <w:u w:val="single"/>
        </w:rPr>
        <w:t xml:space="preserve">    </w:t>
      </w:r>
      <w:r>
        <w:rPr>
          <w:rFonts w:hint="eastAsia" w:ascii="宋体" w:hAnsi="宋体" w:cs="Times New Roman"/>
          <w:bCs/>
          <w:color w:val="auto"/>
          <w:sz w:val="24"/>
          <w:szCs w:val="22"/>
          <w:highlight w:val="none"/>
        </w:rPr>
        <w:t xml:space="preserve">日</w:t>
      </w:r>
      <w:r/>
    </w:p>
    <w:p>
      <w:pPr>
        <w:spacing w:line="560" w:lineRule="exact"/>
        <w:rPr>
          <w:rFonts w:ascii="宋体" w:hAnsi="宋体" w:cs="Times New Roman"/>
          <w:b/>
          <w:color w:val="auto"/>
          <w:sz w:val="24"/>
          <w:szCs w:val="22"/>
          <w:highlight w:val="none"/>
        </w:rPr>
      </w:pPr>
      <w:r>
        <w:rPr>
          <w:rFonts w:ascii="宋体" w:hAnsi="宋体" w:cs="Times New Roman"/>
          <w:b/>
          <w:color w:val="auto"/>
          <w:sz w:val="24"/>
          <w:szCs w:val="22"/>
          <w:highlight w:val="none"/>
        </w:rPr>
      </w:r>
      <w:r/>
    </w:p>
    <w:p>
      <w:pPr>
        <w:rPr>
          <w:rFonts w:ascii="宋体" w:hAnsi="宋体" w:cs="宋体"/>
          <w:color w:val="auto"/>
          <w:sz w:val="24"/>
          <w:szCs w:val="22"/>
          <w:highlight w:val="none"/>
        </w:rPr>
      </w:pPr>
      <w:r>
        <w:rPr>
          <w:rFonts w:ascii="宋体" w:hAnsi="宋体" w:cs="宋体"/>
          <w:color w:val="auto"/>
          <w:sz w:val="24"/>
          <w:szCs w:val="22"/>
          <w:highlight w:val="none"/>
        </w:rPr>
      </w:r>
      <w:r/>
    </w:p>
    <w:p>
      <w:pPr>
        <w:rPr>
          <w:rFonts w:ascii="宋体" w:hAnsi="宋体" w:cs="宋体"/>
          <w:color w:val="auto"/>
          <w:sz w:val="24"/>
          <w:szCs w:val="22"/>
          <w:highlight w:val="none"/>
        </w:rPr>
      </w:pPr>
      <w:r>
        <w:rPr>
          <w:rFonts w:ascii="宋体" w:hAnsi="宋体" w:cs="宋体"/>
          <w:color w:val="auto"/>
          <w:sz w:val="24"/>
          <w:szCs w:val="22"/>
          <w:highlight w:val="none"/>
        </w:rPr>
      </w:r>
      <w:r/>
    </w:p>
    <w:p>
      <w:pPr>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法定代表人身份证</w:t>
      </w:r>
      <w:r/>
    </w:p>
    <w:p>
      <w:pPr>
        <w:rPr>
          <w:rFonts w:ascii="宋体" w:hAnsi="宋体" w:cs="Times New Roman"/>
          <w:color w:val="auto"/>
          <w:sz w:val="24"/>
          <w:szCs w:val="22"/>
          <w:highlight w:val="none"/>
        </w:rPr>
      </w:pPr>
      <w:r>
        <w:rPr>
          <w:rFonts w:hint="eastAsia" w:ascii="宋体" w:hAnsi="宋体" w:cs="Times New Roman"/>
          <w:color w:val="auto"/>
          <w:sz w:val="24"/>
          <w:szCs w:val="22"/>
          <w:highlight w:val="none"/>
        </w:rPr>
        <w:t xml:space="preserve">（双面复印件）粘贴处</w:t>
      </w:r>
      <w:r/>
    </w:p>
    <w:tbl>
      <w:tblPr>
        <w:tblStyle w:val="13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461"/>
        </w:trPr>
        <w:tc>
          <w:tcPr>
            <w:tcW w:w="5068"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法定代表人身份证复印件（正面）</w:t>
            </w:r>
            <w:r/>
          </w:p>
        </w:tc>
        <w:tc>
          <w:tcPr>
            <w:tcW w:w="5069" w:type="dxa"/>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法定代表人身份证复印件（背面）</w:t>
            </w:r>
            <w:r/>
          </w:p>
        </w:tc>
      </w:tr>
    </w:tbl>
    <w:p>
      <w:pPr>
        <w:contextualSpacing/>
        <w:ind w:firstLine="480"/>
        <w:jc w:val="left"/>
        <w:spacing w:line="360" w:lineRule="auto"/>
        <w:rPr>
          <w:rFonts w:hint="eastAsia"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r>
      <w:r/>
    </w:p>
    <w:p>
      <w:pPr>
        <w:contextualSpacing/>
        <w:ind w:firstLine="480"/>
        <w:jc w:val="left"/>
        <w:spacing w:line="360" w:lineRule="auto"/>
        <w:rPr>
          <w:rFonts w:hint="eastAsia"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说明</w:t>
      </w:r>
      <w:r>
        <w:rPr>
          <w:rFonts w:hint="default" w:ascii="宋体" w:hAnsi="宋体" w:eastAsia="宋体" w:cs="Times New Roman"/>
          <w:bCs/>
          <w:color w:val="000000"/>
          <w:sz w:val="24"/>
          <w:szCs w:val="22"/>
          <w:highlight w:val="none"/>
        </w:rPr>
        <w:t xml:space="preserve">：</w:t>
      </w:r>
      <w:r/>
    </w:p>
    <w:p>
      <w:pPr>
        <w:contextualSpacing/>
        <w:ind w:firstLine="480"/>
        <w:jc w:val="left"/>
        <w:spacing w:line="360" w:lineRule="auto"/>
        <w:rPr>
          <w:rFonts w:hint="eastAsia"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t xml:space="preserve">1.若供应商为事业单位或其他组织或分支机构（仅当</w:t>
      </w:r>
      <w:r>
        <w:rPr>
          <w:rFonts w:hint="eastAsia" w:ascii="宋体" w:hAnsi="宋体" w:eastAsia="宋体" w:cs="Times New Roman"/>
          <w:bCs/>
          <w:color w:val="000000"/>
          <w:sz w:val="24"/>
          <w:szCs w:val="22"/>
          <w:highlight w:val="none"/>
        </w:rPr>
        <w:t xml:space="preserve">磋商文件</w:t>
      </w:r>
      <w:r>
        <w:rPr>
          <w:rFonts w:hint="default" w:ascii="宋体" w:hAnsi="宋体" w:eastAsia="宋体" w:cs="Times New Roman"/>
          <w:bCs/>
          <w:color w:val="000000"/>
          <w:sz w:val="24"/>
          <w:szCs w:val="22"/>
          <w:highlight w:val="none"/>
        </w:rPr>
        <w:t xml:space="preserve">注明允许分支机构</w:t>
      </w:r>
      <w:r>
        <w:rPr>
          <w:rFonts w:hint="eastAsia" w:ascii="宋体" w:hAnsi="宋体" w:eastAsia="宋体" w:cs="Times New Roman"/>
          <w:bCs/>
          <w:color w:val="000000"/>
          <w:sz w:val="24"/>
          <w:szCs w:val="22"/>
          <w:highlight w:val="none"/>
        </w:rPr>
        <w:t xml:space="preserve">响应</w:t>
      </w:r>
      <w:r>
        <w:rPr>
          <w:rFonts w:hint="default" w:ascii="宋体" w:hAnsi="宋体" w:eastAsia="宋体" w:cs="Times New Roman"/>
          <w:bCs/>
          <w:color w:val="000000"/>
          <w:sz w:val="24"/>
          <w:szCs w:val="22"/>
          <w:highlight w:val="none"/>
        </w:rPr>
        <w:t xml:space="preserve">的），则法定代表人（单位负责人）</w:t>
      </w:r>
      <w:r>
        <w:rPr>
          <w:rFonts w:hint="eastAsia" w:ascii="宋体" w:hAnsi="宋体" w:eastAsia="宋体" w:cs="Times New Roman"/>
          <w:bCs/>
          <w:color w:val="000000"/>
          <w:sz w:val="24"/>
          <w:szCs w:val="22"/>
          <w:highlight w:val="none"/>
        </w:rPr>
        <w:t xml:space="preserve">处</w:t>
      </w:r>
      <w:r>
        <w:rPr>
          <w:rFonts w:hint="default" w:ascii="宋体" w:hAnsi="宋体" w:eastAsia="宋体" w:cs="Times New Roman"/>
          <w:bCs/>
          <w:color w:val="000000"/>
          <w:sz w:val="24"/>
          <w:szCs w:val="22"/>
          <w:highlight w:val="none"/>
        </w:rPr>
        <w:t xml:space="preserve">的签署人可为单位负责人</w:t>
      </w:r>
      <w:r>
        <w:rPr>
          <w:rFonts w:hint="eastAsia" w:ascii="宋体" w:hAnsi="宋体" w:eastAsia="宋体" w:cs="Times New Roman"/>
          <w:bCs/>
          <w:color w:val="000000"/>
          <w:sz w:val="24"/>
          <w:szCs w:val="22"/>
          <w:highlight w:val="none"/>
        </w:rPr>
        <w:t xml:space="preserve">。</w:t>
      </w:r>
      <w:r/>
    </w:p>
    <w:p>
      <w:pPr>
        <w:contextualSpacing/>
        <w:ind w:firstLine="480"/>
        <w:jc w:val="left"/>
        <w:spacing w:line="360" w:lineRule="auto"/>
        <w:rPr>
          <w:rFonts w:hint="eastAsia"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2</w:t>
      </w:r>
      <w:r>
        <w:rPr>
          <w:rFonts w:hint="default" w:ascii="宋体" w:hAnsi="宋体" w:eastAsia="宋体" w:cs="Times New Roman"/>
          <w:bCs/>
          <w:color w:val="000000"/>
          <w:sz w:val="24"/>
          <w:szCs w:val="22"/>
          <w:highlight w:val="none"/>
        </w:rPr>
        <w:t xml:space="preserve">.</w:t>
      </w:r>
      <w:r>
        <w:rPr>
          <w:rFonts w:hint="eastAsia" w:ascii="宋体" w:hAnsi="宋体" w:eastAsia="宋体" w:cs="Times New Roman"/>
          <w:bCs/>
          <w:color w:val="000000"/>
          <w:sz w:val="24"/>
          <w:szCs w:val="22"/>
          <w:highlight w:val="none"/>
        </w:rPr>
        <w:t xml:space="preserve">供应商为自然人的情形，可不提供本</w:t>
      </w:r>
      <w:r>
        <w:rPr>
          <w:rFonts w:hint="default" w:ascii="宋体" w:hAnsi="宋体" w:eastAsia="宋体" w:cs="Times New Roman"/>
          <w:bCs/>
          <w:color w:val="000000"/>
          <w:sz w:val="24"/>
          <w:szCs w:val="22"/>
          <w:highlight w:val="none"/>
        </w:rPr>
        <w:t xml:space="preserve">《</w:t>
      </w:r>
      <w:r>
        <w:rPr>
          <w:rFonts w:hint="eastAsia" w:ascii="宋体" w:hAnsi="宋体" w:eastAsia="宋体" w:cs="Times New Roman"/>
          <w:bCs/>
          <w:color w:val="000000"/>
          <w:sz w:val="24"/>
          <w:szCs w:val="22"/>
          <w:highlight w:val="none"/>
        </w:rPr>
        <w:t xml:space="preserve">法定代表人资格证明书</w:t>
      </w:r>
      <w:r>
        <w:rPr>
          <w:rFonts w:hint="default" w:ascii="宋体" w:hAnsi="宋体" w:eastAsia="宋体" w:cs="Times New Roman"/>
          <w:bCs/>
          <w:color w:val="000000"/>
          <w:sz w:val="24"/>
          <w:szCs w:val="22"/>
          <w:highlight w:val="none"/>
        </w:rPr>
        <w:t xml:space="preserve">》</w:t>
      </w:r>
      <w:r>
        <w:rPr>
          <w:rFonts w:hint="eastAsia" w:ascii="宋体" w:hAnsi="宋体" w:eastAsia="宋体" w:cs="Times New Roman"/>
          <w:bCs/>
          <w:color w:val="000000"/>
          <w:sz w:val="24"/>
          <w:szCs w:val="22"/>
          <w:highlight w:val="none"/>
        </w:rPr>
        <w:t xml:space="preserve">。</w:t>
      </w:r>
      <w:r/>
    </w:p>
    <w:p>
      <w:pPr>
        <w:spacing w:line="360" w:lineRule="auto"/>
        <w:rPr>
          <w:b/>
          <w:color w:val="auto"/>
          <w:sz w:val="24"/>
          <w:highlight w:val="none"/>
        </w:rPr>
        <w:outlineLvl w:val="2"/>
      </w:pPr>
      <w:r>
        <w:rPr>
          <w:rFonts w:hint="eastAsia"/>
          <w:b/>
          <w:color w:val="auto"/>
          <w:sz w:val="24"/>
          <w:highlight w:val="none"/>
          <w:lang w:val="en-US" w:eastAsia="zh-CN"/>
        </w:rPr>
        <w:t xml:space="preserve">5</w:t>
      </w:r>
      <w:r>
        <w:rPr>
          <w:rFonts w:hint="eastAsia"/>
          <w:b/>
          <w:color w:val="auto"/>
          <w:sz w:val="24"/>
          <w:highlight w:val="none"/>
        </w:rPr>
        <w:t xml:space="preserve">  政府采购供应商信用承诺书</w:t>
      </w:r>
      <w:r>
        <w:rPr>
          <w:b/>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0"/>
        <w:jc w:val="cente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0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ascii="Times New Roman" w:hAnsi="Times New Roman" w:eastAsia="宋体" w:cs="Times New Roman"/>
          <w:b/>
          <w:color w:val="auto"/>
          <w:sz w:val="24"/>
          <w:highlight w:val="none"/>
        </w:rPr>
        <w:outlineLvl w:val="2"/>
      </w:pPr>
      <w:r>
        <w:rPr>
          <w:color w:val="auto"/>
          <w:sz w:val="24"/>
          <w:szCs w:val="20"/>
          <w:highlight w:val="none"/>
        </w:rPr>
        <w:br w:type="page" w:clear="all"/>
      </w:r>
      <w:r>
        <w:rPr>
          <w:rFonts w:hint="eastAsia" w:ascii="Times New Roman" w:hAnsi="Times New Roman" w:eastAsia="宋体" w:cs="Times New Roman"/>
          <w:b/>
          <w:color w:val="auto"/>
          <w:sz w:val="24"/>
          <w:highlight w:val="none"/>
          <w:lang w:val="en-US" w:eastAsia="zh-CN"/>
        </w:rPr>
        <w:t xml:space="preserve">6</w:t>
      </w:r>
      <w:r>
        <w:rPr>
          <w:rFonts w:hint="eastAsia" w:ascii="Times New Roman" w:hAnsi="Times New Roman" w:eastAsia="宋体" w:cs="Times New Roman"/>
          <w:b/>
          <w:color w:val="auto"/>
          <w:sz w:val="24"/>
          <w:highlight w:val="none"/>
        </w:rPr>
        <w:t xml:space="preserve">  </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rFonts w:hint="eastAsia" w:cs="Times New Roman"/>
          <w:b/>
          <w:color w:val="auto"/>
          <w:sz w:val="24"/>
          <w:highlight w:val="none"/>
          <w:lang w:val="en-US" w:eastAsia="zh-CN"/>
        </w:rPr>
        <w:t xml:space="preserve">开标</w:t>
      </w:r>
      <w:r>
        <w:rPr>
          <w:rFonts w:hint="eastAsia" w:ascii="Times New Roman" w:hAnsi="Times New Roman" w:eastAsia="宋体" w:cs="Times New Roman"/>
          <w:b/>
          <w:color w:val="auto"/>
          <w:sz w:val="24"/>
          <w:highlight w:val="none"/>
        </w:rPr>
        <w:t xml:space="preserve">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bookmarkStart w:id="658" w:name="_Toc265228397"/>
      <w:r/>
      <w:bookmarkStart w:id="659" w:name="_Toc195842924"/>
      <w:r/>
      <w:bookmarkStart w:id="660" w:name="_Toc226309803"/>
      <w:r/>
      <w:bookmarkStart w:id="661" w:name="_Toc226965832"/>
      <w:r/>
      <w:bookmarkStart w:id="662" w:name="_Toc150480796"/>
      <w:r/>
      <w:bookmarkStart w:id="663" w:name="_Toc226965749"/>
      <w:r/>
      <w:bookmarkStart w:id="664" w:name="_Toc127151558"/>
      <w:r/>
      <w:bookmarkStart w:id="665" w:name="_Toc305158827"/>
      <w:r/>
      <w:bookmarkStart w:id="666" w:name="_Toc305158901"/>
      <w:r/>
      <w:bookmarkStart w:id="667" w:name="_Toc150774763"/>
      <w:r/>
      <w:bookmarkStart w:id="668" w:name="_Toc142311060"/>
      <w:r/>
      <w:bookmarkStart w:id="669" w:name="_Toc226337255"/>
      <w:r/>
      <w:bookmarkStart w:id="670" w:name="_Toc264969249"/>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lang w:val="en-US" w:eastAsia="zh-CN"/>
        </w:rPr>
        <w:t xml:space="preserve">开标</w:t>
      </w:r>
      <w:r>
        <w:rPr>
          <w:rFonts w:hint="eastAsia" w:ascii="宋体" w:hAnsi="宋体" w:cs="宋体"/>
          <w:b/>
          <w:color w:val="auto"/>
          <w:sz w:val="36"/>
          <w:szCs w:val="36"/>
          <w:highlight w:val="none"/>
        </w:rPr>
        <w:t xml:space="preserve">一览表</w:t>
      </w:r>
      <w:r/>
    </w:p>
    <w:p>
      <w:pPr>
        <w:ind w:firstLine="24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投标人名称（公章）：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rPr>
          <w:rFonts w:hint="eastAsia"/>
          <w:color w:val="auto"/>
          <w:sz w:val="24"/>
          <w:highlight w:val="none"/>
        </w:rPr>
        <w:t xml:space="preserve"> </w:t>
      </w:r>
      <w:r/>
    </w:p>
    <w:tbl>
      <w:tblPr>
        <w:tblStyle w:val="10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799"/>
        </w:trPr>
        <w:tc>
          <w:tcPr>
            <w:tcBorders>
              <w:top w:val="single" w:color="auto" w:sz="4" w:space="0"/>
              <w:left w:val="single" w:color="auto" w:sz="4" w:space="0"/>
              <w:right w:val="single" w:color="auto" w:sz="4" w:space="0"/>
            </w:tcBorders>
            <w:tcW w:w="5000" w:type="pct"/>
            <w:vAlign w:val="center"/>
            <w:textDirection w:val="lrTb"/>
            <w:noWrap w:val="false"/>
          </w:tcPr>
          <w:p>
            <w:pPr>
              <w:contextualSpacing/>
              <w:jc w:val="center"/>
              <w:spacing w:line="360" w:lineRule="auto"/>
              <w:rPr>
                <w:rFonts w:hint="default" w:ascii="Arial" w:hAnsi="Arial" w:eastAsia="宋体" w:cs="Times New Roman"/>
                <w:bCs/>
                <w:color w:val="000000"/>
                <w:sz w:val="24"/>
                <w:szCs w:val="22"/>
                <w:highlight w:val="none"/>
                <w:lang w:val="en-US" w:eastAsia="zh-CN"/>
              </w:rPr>
            </w:pPr>
            <w:r>
              <w:rPr>
                <w:rFonts w:hint="eastAsia" w:ascii="Arial" w:hAnsi="Arial" w:eastAsia="宋体" w:cs="Times New Roman"/>
                <w:bCs/>
                <w:color w:val="000000"/>
                <w:sz w:val="24"/>
                <w:szCs w:val="22"/>
                <w:highlight w:val="none"/>
                <w:lang w:val="en-US" w:eastAsia="zh-CN"/>
              </w:rPr>
              <w:t xml:space="preserve">投标单价</w:t>
            </w:r>
            <w:r/>
          </w:p>
        </w:tc>
      </w:tr>
      <w:tr>
        <w:trPr>
          <w:jc w:val="center"/>
          <w:trHeight w:val="976"/>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contextualSpacing/>
              <w:jc w:val="center"/>
              <w:spacing w:line="360" w:lineRule="auto"/>
              <w:rPr>
                <w:rFonts w:hint="default" w:ascii="Arial" w:hAnsi="Arial" w:eastAsia="宋体" w:cs="Times New Roman"/>
                <w:bCs/>
                <w:color w:val="000000"/>
                <w:sz w:val="24"/>
                <w:szCs w:val="22"/>
                <w:highlight w:val="none"/>
                <w:lang w:val="en-US" w:eastAsia="zh-CN"/>
              </w:rPr>
            </w:pPr>
            <w:r>
              <w:rPr>
                <w:rFonts w:hint="eastAsia" w:ascii="Arial" w:hAnsi="Arial" w:eastAsia="宋体" w:cs="Times New Roman"/>
                <w:bCs/>
                <w:color w:val="000000"/>
                <w:sz w:val="24"/>
                <w:szCs w:val="22"/>
                <w:highlight w:val="none"/>
                <w:lang w:val="en-US" w:eastAsia="zh-CN"/>
              </w:rPr>
              <w:t xml:space="preserve">小写：                 元</w:t>
            </w:r>
            <w:r/>
          </w:p>
        </w:tc>
      </w:tr>
    </w:tbl>
    <w:p>
      <w:pPr>
        <w:rPr>
          <w:rFonts w:hint="eastAsia"/>
        </w:rPr>
      </w:pPr>
      <w:r>
        <w:rPr>
          <w:rFonts w:hint="eastAsia"/>
        </w:rPr>
      </w:r>
      <w:r/>
    </w:p>
    <w:p>
      <w:pPr>
        <w:ind w:left="4200" w:hanging="4200"/>
        <w:rPr>
          <w:color w:val="auto"/>
          <w:sz w:val="30"/>
          <w:szCs w:val="30"/>
          <w:highlight w:val="none"/>
        </w:rPr>
      </w:pPr>
      <w:r>
        <w:rPr>
          <w:rFonts w:hint="eastAsia"/>
          <w:color w:val="auto"/>
          <w:highlight w:val="none"/>
        </w:rPr>
        <w:t xml:space="preserve">                                                     </w:t>
      </w:r>
      <w:r/>
    </w:p>
    <w:p>
      <w:pPr>
        <w:contextualSpacing/>
        <w:jc w:val="right"/>
        <w:spacing w:line="360" w:lineRule="auto"/>
        <w:rPr>
          <w:rFonts w:hint="eastAsia" w:ascii="Arial" w:hAnsi="Arial" w:eastAsia="宋体"/>
          <w:bCs/>
          <w:color w:val="000000"/>
          <w:sz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Arial" w:hAnsi="Arial" w:eastAsia="Arial" w:cs="Times New Roman"/>
          <w:bCs/>
          <w:color w:val="000000"/>
          <w:sz w:val="24"/>
          <w:szCs w:val="22"/>
          <w:highlight w:val="none"/>
        </w:rPr>
        <w:t xml:space="preserve">日期：_____年______月______</w:t>
      </w:r>
      <w:r>
        <w:rPr>
          <w:rFonts w:hint="eastAsia" w:ascii="Arial" w:hAnsi="Arial" w:eastAsia="宋体" w:cs="Times New Roman"/>
          <w:bCs/>
          <w:color w:val="000000"/>
          <w:sz w:val="24"/>
          <w:szCs w:val="22"/>
          <w:highlight w:val="none"/>
          <w:lang w:val="en-US" w:eastAsia="zh-CN"/>
        </w:rPr>
        <w:t xml:space="preserve">日</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spacing w:line="360" w:lineRule="auto"/>
        <w:rPr>
          <w:b/>
          <w:bCs/>
          <w:color w:val="auto"/>
          <w:sz w:val="24"/>
          <w:szCs w:val="20"/>
          <w:highlight w:val="none"/>
        </w:rPr>
        <w:outlineLvl w:val="2"/>
      </w:pPr>
      <w:r>
        <w:rPr>
          <w:rFonts w:hint="eastAsia"/>
          <w:b/>
          <w:bCs/>
          <w:color w:val="auto"/>
          <w:sz w:val="24"/>
          <w:szCs w:val="20"/>
          <w:highlight w:val="none"/>
          <w:lang w:val="en-US" w:eastAsia="zh-CN"/>
        </w:rPr>
        <w:t xml:space="preserve">7</w:t>
      </w:r>
      <w:r>
        <w:rPr>
          <w:rFonts w:hint="eastAsia"/>
          <w:b/>
          <w:bCs/>
          <w:color w:val="auto"/>
          <w:sz w:val="24"/>
          <w:szCs w:val="20"/>
          <w:highlight w:val="none"/>
        </w:rPr>
        <w:t xml:space="preserve">  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10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b/>
          <w:bCs/>
          <w:color w:val="auto"/>
          <w:sz w:val="24"/>
          <w:szCs w:val="20"/>
          <w:highlight w:val="none"/>
        </w:rPr>
        <w:outlineLvl w:val="2"/>
      </w:pPr>
      <w:r>
        <w:rPr>
          <w:rFonts w:hint="eastAsia"/>
          <w:b/>
          <w:bCs/>
          <w:color w:val="auto"/>
          <w:sz w:val="24"/>
          <w:highlight w:val="none"/>
          <w:lang w:val="en-US" w:eastAsia="zh-CN"/>
        </w:rPr>
        <w:t xml:space="preserve">8</w:t>
      </w:r>
      <w:r>
        <w:rPr>
          <w:rFonts w:hint="eastAsia"/>
          <w:b/>
          <w:bCs/>
          <w:color w:val="auto"/>
          <w:sz w:val="24"/>
          <w:highlight w:val="none"/>
        </w:rPr>
        <w:t xml:space="preserve">  </w:t>
      </w:r>
      <w:r>
        <w:rPr>
          <w:rFonts w:hint="eastAsia"/>
          <w:b/>
          <w:bCs/>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10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项目商务</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lang w:val="en-US" w:eastAsia="zh-CN"/>
        </w:rPr>
        <w:t xml:space="preserve">9 </w:t>
      </w:r>
      <w:r>
        <w:rPr>
          <w:rFonts w:hint="eastAsia"/>
          <w:color w:val="auto"/>
          <w:sz w:val="24"/>
          <w:highlight w:val="none"/>
        </w:rPr>
        <w:t xml:space="preserve"> 中小企业声明函</w:t>
      </w:r>
      <w:r/>
    </w:p>
    <w:p>
      <w:pPr>
        <w:spacing w:line="360" w:lineRule="auto"/>
        <w:tabs>
          <w:tab w:val="left" w:pos="5580" w:leader="none"/>
        </w:tabs>
        <w:rPr>
          <w:b/>
          <w:color w:val="auto"/>
          <w:sz w:val="24"/>
          <w:highlight w:val="none"/>
        </w:rPr>
      </w:pPr>
      <w:r>
        <w:rPr>
          <w:b/>
          <w:color w:val="auto"/>
          <w:sz w:val="24"/>
          <w:highlight w:val="none"/>
        </w:rPr>
        <w:t xml:space="preserve">本项目</w:t>
      </w:r>
      <w:r>
        <w:rPr>
          <w:rFonts w:hint="eastAsia"/>
          <w:b/>
          <w:color w:val="auto"/>
          <w:sz w:val="24"/>
          <w:highlight w:val="none"/>
          <w:lang w:val="en-US" w:eastAsia="zh-CN"/>
        </w:rPr>
        <w:t xml:space="preserve">不</w:t>
      </w:r>
      <w:r>
        <w:rPr>
          <w:b/>
          <w:color w:val="auto"/>
          <w:sz w:val="24"/>
          <w:highlight w:val="none"/>
        </w:rPr>
        <w:t xml:space="preserve">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spacing w:line="57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1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rFonts w:hint="eastAsia"/>
          <w:color w:val="auto"/>
          <w:spacing w:val="6"/>
          <w:sz w:val="24"/>
          <w:highlight w:val="none"/>
        </w:rPr>
        <w:t xml:space="preserve">〔2017〕141号</w:t>
      </w:r>
      <w:r>
        <w:rPr>
          <w:color w:val="auto"/>
          <w:spacing w:val="6"/>
          <w:sz w:val="24"/>
          <w:highlight w:val="none"/>
        </w:rPr>
        <w:t xml:space="preserve">）的规定，本单位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rFonts w:hint="eastAsia" w:ascii="Arial" w:hAnsi="Arial" w:eastAsia="Arial" w:cs="Times New Roman"/>
          <w:color w:val="000000"/>
          <w:sz w:val="24"/>
          <w:szCs w:val="22"/>
          <w:highlight w:val="none"/>
        </w:rPr>
        <w:outlineLvl w:val="2"/>
      </w:pPr>
      <w:r>
        <w:rPr>
          <w:color w:val="auto"/>
          <w:sz w:val="24"/>
          <w:szCs w:val="20"/>
          <w:highlight w:val="none"/>
        </w:rPr>
        <w:br w:type="page" w:clear="all"/>
      </w:r>
      <w:r>
        <w:rPr>
          <w:rFonts w:hint="eastAsia" w:ascii="Arial" w:hAnsi="Arial" w:eastAsia="Arial" w:cs="Times New Roman"/>
          <w:color w:val="000000"/>
          <w:sz w:val="24"/>
          <w:szCs w:val="22"/>
          <w:highlight w:val="none"/>
        </w:rPr>
        <w:t xml:space="preserve">10项目实施方案等，包括但不限于如下主题：</w:t>
      </w:r>
      <w:r/>
    </w:p>
    <w:p>
      <w:pPr>
        <w:contextualSpacing/>
        <w:ind w:firstLine="480"/>
        <w:spacing w:line="360" w:lineRule="auto"/>
        <w:rPr>
          <w:rFonts w:hint="eastAsia" w:ascii="Arial" w:hAnsi="Arial" w:eastAsia="Arial" w:cs="Times New Roman"/>
          <w:bCs/>
          <w:color w:val="000000"/>
          <w:sz w:val="24"/>
          <w:szCs w:val="22"/>
          <w:highlight w:val="none"/>
        </w:rPr>
      </w:pPr>
      <w:r>
        <w:rPr>
          <w:rFonts w:hint="eastAsia" w:ascii="Arial" w:hAnsi="Arial" w:eastAsia="Arial" w:cs="Times New Roman"/>
          <w:bCs/>
          <w:color w:val="000000"/>
          <w:sz w:val="24"/>
          <w:szCs w:val="22"/>
          <w:highlight w:val="none"/>
        </w:rPr>
        <w:t xml:space="preserve">1）项目理解及现状分析方案；</w:t>
      </w:r>
      <w:r/>
    </w:p>
    <w:p>
      <w:pPr>
        <w:contextualSpacing/>
        <w:ind w:firstLine="480"/>
        <w:spacing w:line="360" w:lineRule="auto"/>
        <w:rPr>
          <w:rFonts w:hint="eastAsia" w:ascii="Arial" w:hAnsi="Arial" w:eastAsia="Arial" w:cs="Times New Roman"/>
          <w:bCs/>
          <w:color w:val="000000"/>
          <w:sz w:val="24"/>
          <w:szCs w:val="22"/>
          <w:highlight w:val="none"/>
        </w:rPr>
      </w:pPr>
      <w:r>
        <w:rPr>
          <w:rFonts w:hint="eastAsia" w:ascii="Arial" w:hAnsi="Arial" w:eastAsia="Arial" w:cs="Times New Roman"/>
          <w:bCs/>
          <w:color w:val="000000"/>
          <w:sz w:val="24"/>
          <w:szCs w:val="22"/>
          <w:highlight w:val="none"/>
        </w:rPr>
        <w:t xml:space="preserve">2）项目实施方案；</w:t>
      </w:r>
      <w:r/>
    </w:p>
    <w:p>
      <w:pPr>
        <w:contextualSpacing/>
        <w:ind w:firstLine="480"/>
        <w:spacing w:line="360" w:lineRule="auto"/>
        <w:rPr>
          <w:rFonts w:hint="eastAsia" w:ascii="Arial" w:hAnsi="Arial" w:eastAsia="Arial" w:cs="Times New Roman"/>
          <w:bCs/>
          <w:color w:val="000000"/>
          <w:sz w:val="24"/>
          <w:szCs w:val="22"/>
          <w:highlight w:val="none"/>
        </w:rPr>
      </w:pPr>
      <w:r>
        <w:rPr>
          <w:rFonts w:hint="eastAsia" w:ascii="Arial" w:hAnsi="Arial" w:eastAsia="Arial" w:cs="Times New Roman"/>
          <w:bCs/>
          <w:color w:val="000000"/>
          <w:sz w:val="24"/>
          <w:szCs w:val="22"/>
          <w:highlight w:val="none"/>
        </w:rPr>
        <w:t xml:space="preserve">3）合理化建议；</w:t>
      </w:r>
      <w:r/>
    </w:p>
    <w:p>
      <w:pPr>
        <w:contextualSpacing/>
        <w:ind w:firstLine="480"/>
        <w:spacing w:line="360" w:lineRule="auto"/>
        <w:rPr>
          <w:rFonts w:hint="eastAsia" w:ascii="Arial" w:hAnsi="Arial" w:eastAsia="Arial" w:cs="Times New Roman"/>
          <w:bCs/>
          <w:color w:val="000000"/>
          <w:sz w:val="24"/>
          <w:szCs w:val="22"/>
          <w:highlight w:val="none"/>
        </w:rPr>
      </w:pPr>
      <w:r>
        <w:rPr>
          <w:rFonts w:hint="eastAsia" w:ascii="Arial" w:hAnsi="Arial" w:eastAsia="Arial" w:cs="Times New Roman"/>
          <w:bCs/>
          <w:color w:val="000000"/>
          <w:sz w:val="24"/>
          <w:szCs w:val="22"/>
          <w:highlight w:val="none"/>
        </w:rPr>
        <w:t xml:space="preserve">4）进度安排；</w:t>
      </w:r>
      <w:r/>
    </w:p>
    <w:p>
      <w:pPr>
        <w:contextualSpacing/>
        <w:ind w:firstLine="480"/>
        <w:spacing w:line="360" w:lineRule="auto"/>
        <w:rPr>
          <w:rFonts w:hint="eastAsia" w:ascii="Arial" w:hAnsi="Arial" w:eastAsia="Arial" w:cs="Times New Roman"/>
          <w:bCs/>
          <w:color w:val="000000"/>
          <w:sz w:val="24"/>
          <w:szCs w:val="22"/>
          <w:highlight w:val="none"/>
        </w:rPr>
      </w:pPr>
      <w:r>
        <w:rPr>
          <w:rFonts w:hint="eastAsia" w:ascii="Arial" w:hAnsi="Arial" w:eastAsia="Arial" w:cs="Times New Roman"/>
          <w:bCs/>
          <w:color w:val="000000"/>
          <w:sz w:val="24"/>
          <w:szCs w:val="22"/>
          <w:highlight w:val="none"/>
        </w:rPr>
        <w:t xml:space="preserve">5）质量保证措施；</w:t>
      </w:r>
      <w:r/>
    </w:p>
    <w:p>
      <w:pPr>
        <w:contextualSpacing/>
        <w:ind w:firstLine="480"/>
        <w:spacing w:line="360" w:lineRule="auto"/>
        <w:rPr>
          <w:rFonts w:hint="eastAsia" w:ascii="Arial" w:hAnsi="Arial"/>
          <w:bCs/>
          <w:color w:val="000000"/>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Arial" w:hAnsi="Arial" w:eastAsia="Arial" w:cs="Times New Roman"/>
          <w:bCs/>
          <w:color w:val="000000"/>
          <w:sz w:val="24"/>
          <w:szCs w:val="22"/>
          <w:highlight w:val="none"/>
        </w:rPr>
        <w:t xml:space="preserve">6）应急响应服务。</w:t>
      </w:r>
      <w:r/>
    </w:p>
    <w:p>
      <w:pPr>
        <w:spacing w:line="360" w:lineRule="auto"/>
        <w:rPr>
          <w:color w:val="auto"/>
          <w:sz w:val="24"/>
          <w:szCs w:val="20"/>
          <w:highlight w:val="none"/>
        </w:rPr>
        <w:outlineLvl w:val="2"/>
      </w:pPr>
      <w:r>
        <w:rPr>
          <w:rFonts w:hint="eastAsia"/>
          <w:color w:val="auto"/>
          <w:sz w:val="24"/>
          <w:szCs w:val="20"/>
          <w:highlight w:val="none"/>
        </w:rPr>
        <w:t xml:space="preserve">1</w:t>
      </w:r>
      <w:r>
        <w:rPr>
          <w:rFonts w:hint="eastAsia"/>
          <w:color w:val="auto"/>
          <w:sz w:val="24"/>
          <w:szCs w:val="20"/>
          <w:highlight w:val="none"/>
          <w:lang w:val="en-US" w:eastAsia="zh-CN"/>
        </w:rPr>
        <w:t xml:space="preserve">1</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6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1068"/>
        <w:rPr>
          <w:color w:val="auto"/>
          <w:highlight w:val="none"/>
          <w:lang w:val="zh-CN"/>
        </w:rPr>
      </w:pPr>
      <w:r>
        <w:rPr>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671" w:name="_Toc288738839"/>
      <w:r/>
      <w:bookmarkStart w:id="672" w:name="_Toc288738397"/>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671"/>
      <w:r/>
      <w:bookmarkEnd w:id="67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6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1068"/>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spacing w:before="25" w:after="25" w:line="360" w:lineRule="auto"/>
        <w:rPr>
          <w:color w:val="auto"/>
          <w:sz w:val="24"/>
          <w:szCs w:val="20"/>
          <w:highlight w:val="none"/>
        </w:rPr>
      </w:pPr>
      <w:r>
        <w:rPr>
          <w:color w:val="auto"/>
          <w:sz w:val="24"/>
          <w:szCs w:val="20"/>
          <w:highlight w:val="none"/>
        </w:rPr>
      </w:r>
      <w:r/>
    </w:p>
    <w:p>
      <w:pPr>
        <w:ind w:firstLine="240"/>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磋商文件要求提供或供应商认为应附的其他材料</w:t>
      </w:r>
      <w:r/>
    </w:p>
    <w:p>
      <w:pPr>
        <w:pStyle w:val="1068"/>
        <w:rPr>
          <w:color w:val="auto"/>
          <w:highlight w:val="none"/>
        </w:rPr>
      </w:pPr>
      <w:r>
        <w:rPr>
          <w:color w:val="auto"/>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p>
    <w:pPr>
      <w:pStyle w:val="10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97"/>
      </w:rPr>
    </w:pPr>
    <w:r>
      <w:fldChar w:fldCharType="begin"/>
    </w:r>
    <w:r>
      <w:rPr>
        <w:rStyle w:val="1097"/>
      </w:rPr>
      <w:instrText xml:space="preserve">PAGE  </w:instrText>
    </w:r>
    <w:r>
      <w:fldChar w:fldCharType="end"/>
    </w:r>
    <w:r/>
  </w:p>
  <w:p>
    <w:pPr>
      <w:pStyle w:val="10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9"/>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9"/>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97"/>
      </w:rPr>
    </w:pPr>
    <w:r>
      <w:rPr>
        <w:rStyle w:val="1097"/>
      </w:rPr>
      <w:fldChar w:fldCharType="begin"/>
    </w:r>
    <w:r>
      <w:rPr>
        <w:rStyle w:val="1097"/>
      </w:rPr>
      <w:instrText xml:space="preserve">PAGE  </w:instrText>
    </w:r>
    <w:r>
      <w:rPr>
        <w:rStyle w:val="1097"/>
      </w:rPr>
      <w:fldChar w:fldCharType="end"/>
    </w:r>
    <w:r/>
  </w:p>
  <w:p>
    <w:pPr>
      <w:pStyle w:val="10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97"/>
      </w:rPr>
    </w:pPr>
    <w:r>
      <w:rPr>
        <w:rStyle w:val="1097"/>
      </w:rPr>
      <w:fldChar w:fldCharType="begin"/>
    </w:r>
    <w:r>
      <w:rPr>
        <w:rStyle w:val="1097"/>
      </w:rPr>
      <w:instrText xml:space="preserve">PAGE  </w:instrText>
    </w:r>
    <w:r>
      <w:rPr>
        <w:rStyle w:val="1097"/>
      </w:rPr>
      <w:fldChar w:fldCharType="end"/>
    </w:r>
    <w:r/>
  </w:p>
  <w:p>
    <w:pPr>
      <w:pStyle w:val="107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97"/>
      </w:rPr>
    </w:pPr>
    <w:r>
      <w:rPr>
        <w:rStyle w:val="1097"/>
      </w:rPr>
      <w:fldChar w:fldCharType="begin"/>
    </w:r>
    <w:r>
      <w:rPr>
        <w:rStyle w:val="1097"/>
      </w:rPr>
      <w:instrText xml:space="preserve">PAGE  </w:instrText>
    </w:r>
    <w:r>
      <w:rPr>
        <w:rStyle w:val="1097"/>
      </w:rPr>
      <w:fldChar w:fldCharType="end"/>
    </w:r>
    <w:r/>
  </w:p>
  <w:p>
    <w:pPr>
      <w:pStyle w:val="107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97"/>
      </w:rPr>
    </w:pPr>
    <w:r>
      <w:rPr>
        <w:rStyle w:val="1097"/>
      </w:rPr>
      <w:fldChar w:fldCharType="begin"/>
    </w:r>
    <w:r>
      <w:rPr>
        <w:rStyle w:val="1097"/>
      </w:rPr>
      <w:instrText xml:space="preserve">PAGE  </w:instrText>
    </w:r>
    <w:r>
      <w:rPr>
        <w:rStyle w:val="1097"/>
      </w:rPr>
      <w:fldChar w:fldCharType="end"/>
    </w:r>
    <w:r/>
  </w:p>
  <w:p>
    <w:pPr>
      <w:pStyle w:val="10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098" w:hanging="794"/>
        <w:tabs>
          <w:tab w:val="left" w:pos="1417"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7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4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1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9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6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2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Heading 1 Char"/>
    <w:basedOn w:val="1059"/>
    <w:link w:val="1050"/>
    <w:uiPriority w:val="9"/>
    <w:rPr>
      <w:rFonts w:ascii="Arial" w:hAnsi="Arial" w:eastAsia="Arial" w:cs="Arial"/>
      <w:sz w:val="40"/>
      <w:szCs w:val="40"/>
    </w:rPr>
  </w:style>
  <w:style w:type="character" w:styleId="897">
    <w:name w:val="Heading 2 Char"/>
    <w:basedOn w:val="1059"/>
    <w:link w:val="1051"/>
    <w:uiPriority w:val="9"/>
    <w:rPr>
      <w:rFonts w:ascii="Arial" w:hAnsi="Arial" w:eastAsia="Arial" w:cs="Arial"/>
      <w:sz w:val="34"/>
    </w:rPr>
  </w:style>
  <w:style w:type="character" w:styleId="898">
    <w:name w:val="Heading 3 Char"/>
    <w:basedOn w:val="1059"/>
    <w:link w:val="1052"/>
    <w:uiPriority w:val="9"/>
    <w:rPr>
      <w:rFonts w:ascii="Arial" w:hAnsi="Arial" w:eastAsia="Arial" w:cs="Arial"/>
      <w:sz w:val="30"/>
      <w:szCs w:val="30"/>
    </w:rPr>
  </w:style>
  <w:style w:type="character" w:styleId="899">
    <w:name w:val="Heading 4 Char"/>
    <w:basedOn w:val="1059"/>
    <w:link w:val="1053"/>
    <w:uiPriority w:val="9"/>
    <w:rPr>
      <w:rFonts w:ascii="Arial" w:hAnsi="Arial" w:eastAsia="Arial" w:cs="Arial"/>
      <w:b/>
      <w:bCs/>
      <w:sz w:val="26"/>
      <w:szCs w:val="26"/>
    </w:rPr>
  </w:style>
  <w:style w:type="character" w:styleId="900">
    <w:name w:val="Heading 5 Char"/>
    <w:basedOn w:val="1059"/>
    <w:link w:val="1054"/>
    <w:uiPriority w:val="9"/>
    <w:rPr>
      <w:rFonts w:ascii="Arial" w:hAnsi="Arial" w:eastAsia="Arial" w:cs="Arial"/>
      <w:b/>
      <w:bCs/>
      <w:sz w:val="24"/>
      <w:szCs w:val="24"/>
    </w:rPr>
  </w:style>
  <w:style w:type="character" w:styleId="901">
    <w:name w:val="Heading 6 Char"/>
    <w:basedOn w:val="1059"/>
    <w:link w:val="1055"/>
    <w:uiPriority w:val="9"/>
    <w:rPr>
      <w:rFonts w:ascii="Arial" w:hAnsi="Arial" w:eastAsia="Arial" w:cs="Arial"/>
      <w:b/>
      <w:bCs/>
      <w:sz w:val="22"/>
      <w:szCs w:val="22"/>
    </w:rPr>
  </w:style>
  <w:style w:type="character" w:styleId="902">
    <w:name w:val="Heading 7 Char"/>
    <w:basedOn w:val="1059"/>
    <w:link w:val="1056"/>
    <w:uiPriority w:val="9"/>
    <w:rPr>
      <w:rFonts w:ascii="Arial" w:hAnsi="Arial" w:eastAsia="Arial" w:cs="Arial"/>
      <w:b/>
      <w:bCs/>
      <w:i/>
      <w:iCs/>
      <w:sz w:val="22"/>
      <w:szCs w:val="22"/>
    </w:rPr>
  </w:style>
  <w:style w:type="character" w:styleId="903">
    <w:name w:val="Heading 8 Char"/>
    <w:basedOn w:val="1059"/>
    <w:link w:val="1057"/>
    <w:uiPriority w:val="9"/>
    <w:rPr>
      <w:rFonts w:ascii="Arial" w:hAnsi="Arial" w:eastAsia="Arial" w:cs="Arial"/>
      <w:i/>
      <w:iCs/>
      <w:sz w:val="22"/>
      <w:szCs w:val="22"/>
    </w:rPr>
  </w:style>
  <w:style w:type="character" w:styleId="904">
    <w:name w:val="Heading 9 Char"/>
    <w:basedOn w:val="1059"/>
    <w:link w:val="1058"/>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59"/>
    <w:link w:val="1091"/>
    <w:uiPriority w:val="10"/>
    <w:rPr>
      <w:sz w:val="48"/>
      <w:szCs w:val="48"/>
    </w:rPr>
  </w:style>
  <w:style w:type="paragraph" w:styleId="907">
    <w:name w:val="Subtitle"/>
    <w:basedOn w:val="1049"/>
    <w:next w:val="1049"/>
    <w:link w:val="908"/>
    <w:uiPriority w:val="11"/>
    <w:qFormat/>
    <w:pPr>
      <w:spacing w:before="200" w:after="200"/>
    </w:pPr>
    <w:rPr>
      <w:sz w:val="24"/>
      <w:szCs w:val="24"/>
    </w:rPr>
  </w:style>
  <w:style w:type="character" w:styleId="908">
    <w:name w:val="Subtitle Char"/>
    <w:basedOn w:val="1059"/>
    <w:link w:val="907"/>
    <w:uiPriority w:val="11"/>
    <w:rPr>
      <w:sz w:val="24"/>
      <w:szCs w:val="24"/>
    </w:rPr>
  </w:style>
  <w:style w:type="paragraph" w:styleId="909">
    <w:name w:val="Quote"/>
    <w:basedOn w:val="1049"/>
    <w:next w:val="1049"/>
    <w:link w:val="910"/>
    <w:uiPriority w:val="29"/>
    <w:qFormat/>
    <w:pPr>
      <w:ind w:left="720" w:right="720"/>
    </w:pPr>
    <w:rPr>
      <w:i/>
    </w:rPr>
  </w:style>
  <w:style w:type="character" w:styleId="910">
    <w:name w:val="Quote Char"/>
    <w:link w:val="909"/>
    <w:uiPriority w:val="29"/>
    <w:rPr>
      <w:i/>
    </w:rPr>
  </w:style>
  <w:style w:type="paragraph" w:styleId="911">
    <w:name w:val="Intense Quote"/>
    <w:basedOn w:val="1049"/>
    <w:next w:val="104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59"/>
    <w:link w:val="1080"/>
    <w:uiPriority w:val="99"/>
  </w:style>
  <w:style w:type="character" w:styleId="914">
    <w:name w:val="Footer Char"/>
    <w:basedOn w:val="1059"/>
    <w:link w:val="1079"/>
    <w:uiPriority w:val="99"/>
  </w:style>
  <w:style w:type="character" w:styleId="915">
    <w:name w:val="Caption Char"/>
    <w:basedOn w:val="1064"/>
    <w:link w:val="1079"/>
    <w:uiPriority w:val="99"/>
  </w:style>
  <w:style w:type="table" w:styleId="916">
    <w:name w:val="Table Grid Light"/>
    <w:basedOn w:val="10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7">
    <w:name w:val="Plain Table 1"/>
    <w:basedOn w:val="10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basedOn w:val="10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basedOn w:val="10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1 Light - Accent 1"/>
    <w:basedOn w:val="10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4">
    <w:name w:val="Grid Table 1 Light - Accent 2"/>
    <w:basedOn w:val="10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5">
    <w:name w:val="Grid Table 1 Light - Accent 3"/>
    <w:basedOn w:val="10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6">
    <w:name w:val="Grid Table 1 Light - Accent 4"/>
    <w:basedOn w:val="10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7">
    <w:name w:val="Grid Table 1 Light - Accent 5"/>
    <w:basedOn w:val="10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8">
    <w:name w:val="Grid Table 1 Light - Accent 6"/>
    <w:basedOn w:val="10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9">
    <w:name w:val="Grid Table 2"/>
    <w:basedOn w:val="10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2 - Accent 1"/>
    <w:basedOn w:val="10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1">
    <w:name w:val="Grid Table 2 - Accent 2"/>
    <w:basedOn w:val="10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2 - Accent 3"/>
    <w:basedOn w:val="10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2 - Accent 4"/>
    <w:basedOn w:val="10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2 - Accent 5"/>
    <w:basedOn w:val="10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5">
    <w:name w:val="Grid Table 2 - Accent 6"/>
    <w:basedOn w:val="10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6">
    <w:name w:val="Grid Table 3"/>
    <w:basedOn w:val="10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1"/>
    <w:basedOn w:val="10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2"/>
    <w:basedOn w:val="10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3"/>
    <w:basedOn w:val="10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4"/>
    <w:basedOn w:val="10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5"/>
    <w:basedOn w:val="10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6"/>
    <w:basedOn w:val="10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4"/>
    <w:basedOn w:val="10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name w:val="Grid Table 4 - Accent 1"/>
    <w:basedOn w:val="10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5">
    <w:name w:val="Grid Table 4 - Accent 2"/>
    <w:basedOn w:val="10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6">
    <w:name w:val="Grid Table 4 - Accent 3"/>
    <w:basedOn w:val="10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7">
    <w:name w:val="Grid Table 4 - Accent 4"/>
    <w:basedOn w:val="10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8">
    <w:name w:val="Grid Table 4 - Accent 5"/>
    <w:basedOn w:val="10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9">
    <w:name w:val="Grid Table 4 - Accent 6"/>
    <w:basedOn w:val="10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0">
    <w:name w:val="Grid Table 5 Dark"/>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5 Dark- Accent 1"/>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2">
    <w:name w:val="Grid Table 5 Dark - Accent 2"/>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3">
    <w:name w:val="Grid Table 5 Dark - Accent 3"/>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4">
    <w:name w:val="Grid Table 5 Dark- Accent 4"/>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5">
    <w:name w:val="Grid Table 5 Dark - Accent 5"/>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6">
    <w:name w:val="Grid Table 5 Dark - Accent 6"/>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7">
    <w:name w:val="Grid Table 6 Colorful"/>
    <w:basedOn w:val="10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6 Colorful - Accent 1"/>
    <w:basedOn w:val="10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9">
    <w:name w:val="Grid Table 6 Colorful - Accent 2"/>
    <w:basedOn w:val="10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0">
    <w:name w:val="Grid Table 6 Colorful - Accent 3"/>
    <w:basedOn w:val="10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1">
    <w:name w:val="Grid Table 6 Colorful - Accent 4"/>
    <w:basedOn w:val="10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2">
    <w:name w:val="Grid Table 6 Colorful - Accent 5"/>
    <w:basedOn w:val="10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3">
    <w:name w:val="Grid Table 6 Colorful - Accent 6"/>
    <w:basedOn w:val="10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4">
    <w:name w:val="Grid Table 7 Colorful"/>
    <w:basedOn w:val="10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5">
    <w:name w:val="Grid Table 7 Colorful - Accent 1"/>
    <w:basedOn w:val="10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6">
    <w:name w:val="Grid Table 7 Colorful - Accent 2"/>
    <w:basedOn w:val="10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7 Colorful - Accent 3"/>
    <w:basedOn w:val="10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7 Colorful - Accent 4"/>
    <w:basedOn w:val="10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7 Colorful - Accent 5"/>
    <w:basedOn w:val="10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0">
    <w:name w:val="Grid Table 7 Colorful - Accent 6"/>
    <w:basedOn w:val="10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1">
    <w:name w:val="List Table 1 Light"/>
    <w:basedOn w:val="10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name w:val="List Table 1 Light - Accent 1"/>
    <w:basedOn w:val="10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3">
    <w:name w:val="List Table 1 Light - Accent 2"/>
    <w:basedOn w:val="10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4">
    <w:name w:val="List Table 1 Light - Accent 3"/>
    <w:basedOn w:val="10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5">
    <w:name w:val="List Table 1 Light - Accent 4"/>
    <w:basedOn w:val="10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6">
    <w:name w:val="List Table 1 Light - Accent 5"/>
    <w:basedOn w:val="10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7">
    <w:name w:val="List Table 1 Light - Accent 6"/>
    <w:basedOn w:val="10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8">
    <w:name w:val="List Table 2"/>
    <w:basedOn w:val="10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2 - Accent 1"/>
    <w:basedOn w:val="10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0">
    <w:name w:val="List Table 2 - Accent 2"/>
    <w:basedOn w:val="10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1">
    <w:name w:val="List Table 2 - Accent 3"/>
    <w:basedOn w:val="10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2">
    <w:name w:val="List Table 2 - Accent 4"/>
    <w:basedOn w:val="10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3">
    <w:name w:val="List Table 2 - Accent 5"/>
    <w:basedOn w:val="10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4">
    <w:name w:val="List Table 2 - Accent 6"/>
    <w:basedOn w:val="10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5">
    <w:name w:val="List Table 3"/>
    <w:basedOn w:val="10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3 - Accent 1"/>
    <w:basedOn w:val="10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3 - Accent 2"/>
    <w:basedOn w:val="10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8">
    <w:name w:val="List Table 3 - Accent 3"/>
    <w:basedOn w:val="10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9">
    <w:name w:val="List Table 3 - Accent 4"/>
    <w:basedOn w:val="10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0">
    <w:name w:val="List Table 3 - Accent 5"/>
    <w:basedOn w:val="10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1">
    <w:name w:val="List Table 3 - Accent 6"/>
    <w:basedOn w:val="10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2">
    <w:name w:val="List Table 4"/>
    <w:basedOn w:val="10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 Accent 1"/>
    <w:basedOn w:val="10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4 - Accent 2"/>
    <w:basedOn w:val="10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5">
    <w:name w:val="List Table 4 - Accent 3"/>
    <w:basedOn w:val="10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6">
    <w:name w:val="List Table 4 - Accent 4"/>
    <w:basedOn w:val="10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7">
    <w:name w:val="List Table 4 - Accent 5"/>
    <w:basedOn w:val="10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8">
    <w:name w:val="List Table 4 - Accent 6"/>
    <w:basedOn w:val="10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9">
    <w:name w:val="List Table 5 Dark"/>
    <w:basedOn w:val="10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1"/>
    <w:basedOn w:val="10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2"/>
    <w:basedOn w:val="10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3"/>
    <w:basedOn w:val="10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4"/>
    <w:basedOn w:val="10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5"/>
    <w:basedOn w:val="10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6"/>
    <w:basedOn w:val="10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6 Colorful"/>
    <w:basedOn w:val="10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7">
    <w:name w:val="List Table 6 Colorful - Accent 1"/>
    <w:basedOn w:val="10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8">
    <w:name w:val="List Table 6 Colorful - Accent 2"/>
    <w:basedOn w:val="10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9">
    <w:name w:val="List Table 6 Colorful - Accent 3"/>
    <w:basedOn w:val="10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0">
    <w:name w:val="List Table 6 Colorful - Accent 4"/>
    <w:basedOn w:val="10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1">
    <w:name w:val="List Table 6 Colorful - Accent 5"/>
    <w:basedOn w:val="10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2">
    <w:name w:val="List Table 6 Colorful - Accent 6"/>
    <w:basedOn w:val="10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3">
    <w:name w:val="List Table 7 Colorful"/>
    <w:basedOn w:val="10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4">
    <w:name w:val="List Table 7 Colorful - Accent 1"/>
    <w:basedOn w:val="10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5">
    <w:name w:val="List Table 7 Colorful - Accent 2"/>
    <w:basedOn w:val="10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6">
    <w:name w:val="List Table 7 Colorful - Accent 3"/>
    <w:basedOn w:val="10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7">
    <w:name w:val="List Table 7 Colorful - Accent 4"/>
    <w:basedOn w:val="10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8">
    <w:name w:val="List Table 7 Colorful - Accent 5"/>
    <w:basedOn w:val="10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9">
    <w:name w:val="List Table 7 Colorful - Accent 6"/>
    <w:basedOn w:val="10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0">
    <w:name w:val="Lined - Accent"/>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Lined - Accent 1"/>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Lined - Accent 2"/>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Lined - Accent 3"/>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Lined - Accent 4"/>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Lined - Accent 5"/>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Lined - Accent 6"/>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amp; Lined - Accent"/>
    <w:basedOn w:val="10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Bordered &amp; Lined - Accent 1"/>
    <w:basedOn w:val="10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Bordered &amp; Lined - Accent 2"/>
    <w:basedOn w:val="10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Bordered &amp; Lined - Accent 3"/>
    <w:basedOn w:val="10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Bordered &amp; Lined - Accent 4"/>
    <w:basedOn w:val="10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Bordered &amp; Lined - Accent 5"/>
    <w:basedOn w:val="10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Bordered &amp; Lined - Accent 6"/>
    <w:basedOn w:val="10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w:basedOn w:val="10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5">
    <w:name w:val="Bordered - Accent 1"/>
    <w:basedOn w:val="10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6">
    <w:name w:val="Bordered - Accent 2"/>
    <w:basedOn w:val="10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7">
    <w:name w:val="Bordered - Accent 3"/>
    <w:basedOn w:val="10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8">
    <w:name w:val="Bordered - Accent 4"/>
    <w:basedOn w:val="10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9">
    <w:name w:val="Bordered - Accent 5"/>
    <w:basedOn w:val="10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0">
    <w:name w:val="Bordered - Accent 6"/>
    <w:basedOn w:val="10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1">
    <w:name w:val="footnote text"/>
    <w:basedOn w:val="1049"/>
    <w:link w:val="1042"/>
    <w:uiPriority w:val="99"/>
    <w:semiHidden/>
    <w:unhideWhenUsed/>
    <w:pPr>
      <w:spacing w:after="40" w:line="240" w:lineRule="auto"/>
    </w:pPr>
    <w:rPr>
      <w:sz w:val="18"/>
    </w:rPr>
  </w:style>
  <w:style w:type="character" w:styleId="1042">
    <w:name w:val="Footnote Text Char"/>
    <w:link w:val="1041"/>
    <w:uiPriority w:val="99"/>
    <w:rPr>
      <w:sz w:val="18"/>
    </w:rPr>
  </w:style>
  <w:style w:type="character" w:styleId="1043">
    <w:name w:val="footnote reference"/>
    <w:basedOn w:val="1059"/>
    <w:uiPriority w:val="99"/>
    <w:unhideWhenUsed/>
    <w:rPr>
      <w:vertAlign w:val="superscript"/>
    </w:rPr>
  </w:style>
  <w:style w:type="paragraph" w:styleId="1044">
    <w:name w:val="endnote text"/>
    <w:basedOn w:val="1049"/>
    <w:link w:val="1045"/>
    <w:uiPriority w:val="99"/>
    <w:semiHidden/>
    <w:unhideWhenUsed/>
    <w:pPr>
      <w:spacing w:after="0" w:line="240" w:lineRule="auto"/>
    </w:pPr>
    <w:rPr>
      <w:sz w:val="20"/>
    </w:rPr>
  </w:style>
  <w:style w:type="character" w:styleId="1045">
    <w:name w:val="Endnote Text Char"/>
    <w:link w:val="1044"/>
    <w:uiPriority w:val="99"/>
    <w:rPr>
      <w:sz w:val="20"/>
    </w:rPr>
  </w:style>
  <w:style w:type="character" w:styleId="1046">
    <w:name w:val="endnote reference"/>
    <w:basedOn w:val="1059"/>
    <w:uiPriority w:val="99"/>
    <w:semiHidden/>
    <w:unhideWhenUsed/>
    <w:rPr>
      <w:vertAlign w:val="superscript"/>
    </w:r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61"/>
    <w:uiPriority w:val="0"/>
    <w:qFormat/>
    <w:pPr>
      <w:jc w:val="both"/>
      <w:widowControl w:val="off"/>
    </w:pPr>
    <w:rPr>
      <w:rFonts w:ascii="Times New Roman" w:hAnsi="Times New Roman" w:eastAsia="宋体" w:cs="Times New Roman"/>
      <w:sz w:val="21"/>
      <w:szCs w:val="24"/>
      <w:lang w:val="en-US" w:eastAsia="zh-CN" w:bidi="ar-SA"/>
    </w:rPr>
  </w:style>
  <w:style w:type="paragraph" w:styleId="1050">
    <w:name w:val="Heading 1"/>
    <w:basedOn w:val="1049"/>
    <w:next w:val="1049"/>
    <w:link w:val="1106"/>
    <w:uiPriority w:val="0"/>
    <w:qFormat/>
    <w:pPr>
      <w:jc w:val="center"/>
      <w:keepLines/>
      <w:keepNext/>
      <w:spacing w:before="240" w:after="120" w:line="300" w:lineRule="auto"/>
      <w:outlineLvl w:val="0"/>
    </w:pPr>
    <w:rPr>
      <w:rFonts w:ascii="宋体"/>
      <w:b/>
      <w:sz w:val="32"/>
      <w:szCs w:val="20"/>
    </w:rPr>
  </w:style>
  <w:style w:type="paragraph" w:styleId="1051">
    <w:name w:val="Heading 2"/>
    <w:basedOn w:val="1049"/>
    <w:next w:val="1049"/>
    <w:link w:val="1108"/>
    <w:uiPriority w:val="0"/>
    <w:qFormat/>
    <w:pPr>
      <w:jc w:val="center"/>
      <w:keepLines/>
      <w:keepNext/>
      <w:spacing w:before="120" w:line="300" w:lineRule="auto"/>
      <w:outlineLvl w:val="1"/>
    </w:pPr>
    <w:rPr>
      <w:rFonts w:ascii="Arial" w:hAnsi="Arial" w:eastAsia="黑体"/>
      <w:b/>
      <w:sz w:val="30"/>
      <w:szCs w:val="20"/>
    </w:rPr>
  </w:style>
  <w:style w:type="paragraph" w:styleId="1052">
    <w:name w:val="Heading 3"/>
    <w:basedOn w:val="1049"/>
    <w:next w:val="1062"/>
    <w:link w:val="1109"/>
    <w:uiPriority w:val="0"/>
    <w:qFormat/>
    <w:pPr>
      <w:jc w:val="left"/>
      <w:keepLines/>
      <w:keepNext/>
      <w:spacing w:before="360" w:after="120"/>
      <w:outlineLvl w:val="2"/>
    </w:pPr>
    <w:rPr>
      <w:rFonts w:ascii="宋体"/>
      <w:b/>
      <w:sz w:val="24"/>
      <w:szCs w:val="20"/>
      <w:u w:val="single"/>
    </w:rPr>
  </w:style>
  <w:style w:type="paragraph" w:styleId="1053">
    <w:name w:val="Heading 4"/>
    <w:basedOn w:val="1049"/>
    <w:next w:val="1049"/>
    <w:link w:val="1110"/>
    <w:uiPriority w:val="0"/>
    <w:qFormat/>
    <w:pPr>
      <w:keepLines/>
      <w:keepNext/>
      <w:spacing w:before="280" w:after="290" w:line="376" w:lineRule="atLeast"/>
      <w:outlineLvl w:val="3"/>
    </w:pPr>
    <w:rPr>
      <w:rFonts w:ascii="Arial" w:hAnsi="Arial" w:eastAsia="黑体"/>
      <w:b/>
      <w:sz w:val="28"/>
      <w:szCs w:val="20"/>
    </w:rPr>
  </w:style>
  <w:style w:type="paragraph" w:styleId="1054">
    <w:name w:val="Heading 5"/>
    <w:basedOn w:val="1049"/>
    <w:next w:val="1049"/>
    <w:link w:val="1111"/>
    <w:uiPriority w:val="0"/>
    <w:qFormat/>
    <w:pPr>
      <w:keepLines/>
      <w:keepNext/>
      <w:spacing w:before="280" w:after="290" w:line="376" w:lineRule="atLeast"/>
      <w:outlineLvl w:val="4"/>
    </w:pPr>
    <w:rPr>
      <w:b/>
      <w:sz w:val="28"/>
      <w:szCs w:val="20"/>
    </w:rPr>
  </w:style>
  <w:style w:type="paragraph" w:styleId="1055">
    <w:name w:val="Heading 6"/>
    <w:basedOn w:val="1049"/>
    <w:next w:val="1049"/>
    <w:link w:val="1112"/>
    <w:uiPriority w:val="0"/>
    <w:qFormat/>
    <w:pPr>
      <w:keepLines/>
      <w:keepNext/>
      <w:spacing w:before="240" w:after="64" w:line="320" w:lineRule="atLeast"/>
      <w:outlineLvl w:val="5"/>
    </w:pPr>
    <w:rPr>
      <w:rFonts w:ascii="Arial" w:hAnsi="Arial" w:eastAsia="黑体"/>
      <w:b/>
      <w:sz w:val="24"/>
      <w:szCs w:val="20"/>
    </w:rPr>
  </w:style>
  <w:style w:type="paragraph" w:styleId="1056">
    <w:name w:val="Heading 7"/>
    <w:basedOn w:val="1049"/>
    <w:next w:val="1049"/>
    <w:link w:val="1113"/>
    <w:uiPriority w:val="0"/>
    <w:qFormat/>
    <w:pPr>
      <w:keepLines/>
      <w:keepNext/>
      <w:spacing w:before="240" w:after="64" w:line="320" w:lineRule="atLeast"/>
      <w:outlineLvl w:val="6"/>
    </w:pPr>
    <w:rPr>
      <w:b/>
      <w:sz w:val="24"/>
      <w:szCs w:val="20"/>
    </w:rPr>
  </w:style>
  <w:style w:type="paragraph" w:styleId="1057">
    <w:name w:val="Heading 8"/>
    <w:basedOn w:val="1049"/>
    <w:next w:val="1049"/>
    <w:link w:val="1114"/>
    <w:uiPriority w:val="0"/>
    <w:qFormat/>
    <w:pPr>
      <w:keepLines/>
      <w:keepNext/>
      <w:spacing w:before="240" w:after="64" w:line="320" w:lineRule="atLeast"/>
      <w:outlineLvl w:val="7"/>
    </w:pPr>
    <w:rPr>
      <w:rFonts w:ascii="Arial" w:hAnsi="Arial" w:eastAsia="黑体"/>
      <w:sz w:val="24"/>
      <w:szCs w:val="20"/>
    </w:rPr>
  </w:style>
  <w:style w:type="paragraph" w:styleId="1058">
    <w:name w:val="Heading 9"/>
    <w:basedOn w:val="1049"/>
    <w:next w:val="1049"/>
    <w:link w:val="1115"/>
    <w:uiPriority w:val="0"/>
    <w:qFormat/>
    <w:pPr>
      <w:keepLines/>
      <w:keepNext/>
      <w:spacing w:before="240" w:after="64" w:line="320" w:lineRule="atLeast"/>
      <w:outlineLvl w:val="8"/>
    </w:pPr>
    <w:rPr>
      <w:rFonts w:ascii="Arial" w:hAnsi="Arial" w:eastAsia="黑体"/>
      <w:szCs w:val="20"/>
    </w:rPr>
  </w:style>
  <w:style w:type="character" w:styleId="1059" w:default="1">
    <w:name w:val="Default Paragraph Font"/>
    <w:uiPriority w:val="1"/>
    <w:unhideWhenUsed/>
    <w:qFormat/>
  </w:style>
  <w:style w:type="table" w:styleId="1060" w:default="1">
    <w:name w:val="Normal Table"/>
    <w:uiPriority w:val="99"/>
    <w:semiHidden/>
    <w:unhideWhenUsed/>
    <w:qFormat/>
    <w:tblPr>
      <w:tblCellMar>
        <w:left w:w="108" w:type="dxa"/>
        <w:top w:w="0" w:type="dxa"/>
        <w:right w:w="108" w:type="dxa"/>
        <w:bottom w:w="0" w:type="dxa"/>
      </w:tblCellMar>
    </w:tblPr>
  </w:style>
  <w:style w:type="paragraph" w:styleId="1061" w:customStyle="1">
    <w:name w:val="正文文本11"/>
    <w:next w:val="1049"/>
    <w:uiPriority w:val="0"/>
    <w:qFormat/>
    <w:pPr>
      <w:jc w:val="both"/>
      <w:widowControl w:val="off"/>
    </w:pPr>
    <w:rPr>
      <w:rFonts w:hint="default" w:ascii="楷体_GB2312" w:hAnsi="Times New Roman" w:eastAsia="楷体_GB2312" w:cs="Times New Roman"/>
      <w:sz w:val="28"/>
      <w:szCs w:val="28"/>
      <w:lang w:val="en-US" w:eastAsia="zh-CN" w:bidi="ar-SA"/>
    </w:rPr>
  </w:style>
  <w:style w:type="paragraph" w:styleId="1062">
    <w:name w:val="Normal Indent"/>
    <w:basedOn w:val="1049"/>
    <w:link w:val="1107"/>
    <w:uiPriority w:val="0"/>
    <w:qFormat/>
    <w:pPr>
      <w:ind w:firstLine="420"/>
      <w:jc w:val="left"/>
    </w:pPr>
    <w:rPr>
      <w:rFonts w:ascii="宋体"/>
      <w:sz w:val="24"/>
    </w:rPr>
  </w:style>
  <w:style w:type="paragraph" w:styleId="1063">
    <w:name w:val="toc 7"/>
    <w:basedOn w:val="1049"/>
    <w:next w:val="1049"/>
    <w:uiPriority w:val="0"/>
    <w:qFormat/>
    <w:pPr>
      <w:ind w:left="2520"/>
    </w:pPr>
  </w:style>
  <w:style w:type="paragraph" w:styleId="1064">
    <w:name w:val="Caption"/>
    <w:basedOn w:val="1049"/>
    <w:next w:val="1049"/>
    <w:uiPriority w:val="0"/>
    <w:qFormat/>
    <w:pPr>
      <w:spacing w:line="480" w:lineRule="auto"/>
    </w:pPr>
    <w:rPr>
      <w:rFonts w:ascii="华文中宋" w:hAnsi="华文中宋" w:eastAsia="华文中宋"/>
      <w:sz w:val="36"/>
      <w:szCs w:val="20"/>
    </w:rPr>
  </w:style>
  <w:style w:type="paragraph" w:styleId="1065">
    <w:name w:val="Document Map"/>
    <w:basedOn w:val="1049"/>
    <w:next w:val="1049"/>
    <w:link w:val="1120"/>
    <w:uiPriority w:val="0"/>
    <w:qFormat/>
    <w:pPr>
      <w:shd w:val="clear" w:color="auto" w:fill="000080"/>
    </w:pPr>
  </w:style>
  <w:style w:type="paragraph" w:styleId="1066">
    <w:name w:val="annotation text"/>
    <w:basedOn w:val="1049"/>
    <w:link w:val="1121"/>
    <w:uiPriority w:val="99"/>
    <w:qFormat/>
    <w:pPr>
      <w:jc w:val="left"/>
    </w:pPr>
  </w:style>
  <w:style w:type="paragraph" w:styleId="1067">
    <w:name w:val="Body Text 3"/>
    <w:basedOn w:val="1049"/>
    <w:link w:val="1123"/>
    <w:uiPriority w:val="0"/>
    <w:qFormat/>
    <w:pPr>
      <w:spacing w:after="120"/>
    </w:pPr>
    <w:rPr>
      <w:sz w:val="16"/>
      <w:szCs w:val="16"/>
    </w:rPr>
  </w:style>
  <w:style w:type="paragraph" w:styleId="1068">
    <w:name w:val="Body Text"/>
    <w:basedOn w:val="1049"/>
    <w:next w:val="1049"/>
    <w:link w:val="1105"/>
    <w:uiPriority w:val="0"/>
    <w:qFormat/>
    <w:pPr>
      <w:jc w:val="left"/>
      <w:spacing w:before="120" w:line="360" w:lineRule="auto"/>
      <w:tabs>
        <w:tab w:val="left" w:pos="0" w:leader="none"/>
      </w:tabs>
    </w:pPr>
    <w:rPr>
      <w:rFonts w:ascii="宋体" w:hAnsi="宋体"/>
      <w:sz w:val="24"/>
    </w:rPr>
  </w:style>
  <w:style w:type="paragraph" w:styleId="1069">
    <w:name w:val="Body Text Indent"/>
    <w:basedOn w:val="1049"/>
    <w:link w:val="1124"/>
    <w:uiPriority w:val="99"/>
    <w:qFormat/>
    <w:pPr>
      <w:ind w:firstLine="570"/>
      <w:spacing w:line="360" w:lineRule="auto"/>
    </w:pPr>
    <w:rPr>
      <w:sz w:val="24"/>
    </w:rPr>
  </w:style>
  <w:style w:type="paragraph" w:styleId="1070">
    <w:name w:val="List 2"/>
    <w:basedOn w:val="1049"/>
    <w:uiPriority w:val="0"/>
    <w:qFormat/>
    <w:pPr>
      <w:ind w:left="100" w:hanging="200"/>
    </w:pPr>
  </w:style>
  <w:style w:type="paragraph" w:styleId="1071">
    <w:name w:val="Block Text"/>
    <w:basedOn w:val="1049"/>
    <w:uiPriority w:val="0"/>
    <w:qFormat/>
    <w:pPr>
      <w:ind w:left="480" w:right="-341" w:firstLine="513"/>
      <w:widowControl/>
    </w:pPr>
    <w:rPr>
      <w:sz w:val="24"/>
      <w:szCs w:val="20"/>
    </w:rPr>
  </w:style>
  <w:style w:type="paragraph" w:styleId="1072">
    <w:name w:val="toc 5"/>
    <w:basedOn w:val="1049"/>
    <w:next w:val="1049"/>
    <w:uiPriority w:val="0"/>
    <w:qFormat/>
    <w:pPr>
      <w:ind w:left="1680"/>
    </w:pPr>
  </w:style>
  <w:style w:type="paragraph" w:styleId="1073">
    <w:name w:val="toc 3"/>
    <w:basedOn w:val="1049"/>
    <w:next w:val="1049"/>
    <w:uiPriority w:val="39"/>
    <w:qFormat/>
    <w:pPr>
      <w:ind w:left="840"/>
    </w:pPr>
  </w:style>
  <w:style w:type="paragraph" w:styleId="1074">
    <w:name w:val="Plain Text"/>
    <w:basedOn w:val="1049"/>
    <w:link w:val="1126"/>
    <w:uiPriority w:val="0"/>
    <w:qFormat/>
    <w:rPr>
      <w:rFonts w:hint="eastAsia" w:ascii="宋体" w:hAnsi="Courier New"/>
      <w:szCs w:val="20"/>
    </w:rPr>
  </w:style>
  <w:style w:type="paragraph" w:styleId="1075">
    <w:name w:val="toc 8"/>
    <w:basedOn w:val="1049"/>
    <w:next w:val="1049"/>
    <w:uiPriority w:val="0"/>
    <w:qFormat/>
    <w:pPr>
      <w:ind w:left="2940"/>
    </w:pPr>
  </w:style>
  <w:style w:type="paragraph" w:styleId="1076">
    <w:name w:val="Date"/>
    <w:basedOn w:val="1049"/>
    <w:next w:val="1049"/>
    <w:link w:val="1127"/>
    <w:uiPriority w:val="0"/>
    <w:qFormat/>
    <w:pPr>
      <w:ind w:left="100"/>
    </w:pPr>
    <w:rPr>
      <w:rFonts w:ascii="仿宋_GB2312" w:hAnsi="宋体" w:eastAsia="仿宋_GB2312"/>
      <w:color w:val="000000"/>
      <w:sz w:val="24"/>
    </w:rPr>
  </w:style>
  <w:style w:type="paragraph" w:styleId="1077">
    <w:name w:val="Body Text Indent 2"/>
    <w:basedOn w:val="1049"/>
    <w:link w:val="1128"/>
    <w:uiPriority w:val="0"/>
    <w:qFormat/>
    <w:pPr>
      <w:ind w:firstLine="480"/>
    </w:pPr>
    <w:rPr>
      <w:rFonts w:ascii="仿宋_GB2312" w:eastAsia="仿宋_GB2312"/>
      <w:sz w:val="24"/>
    </w:rPr>
  </w:style>
  <w:style w:type="paragraph" w:styleId="1078">
    <w:name w:val="Balloon Text"/>
    <w:basedOn w:val="1049"/>
    <w:link w:val="1129"/>
    <w:uiPriority w:val="0"/>
    <w:qFormat/>
    <w:rPr>
      <w:sz w:val="18"/>
      <w:szCs w:val="18"/>
    </w:rPr>
  </w:style>
  <w:style w:type="paragraph" w:styleId="1079">
    <w:name w:val="Footer"/>
    <w:basedOn w:val="1049"/>
    <w:link w:val="1117"/>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1080">
    <w:name w:val="Header"/>
    <w:basedOn w:val="1049"/>
    <w:link w:val="11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81">
    <w:name w:val="toc 1"/>
    <w:basedOn w:val="1049"/>
    <w:next w:val="1049"/>
    <w:uiPriority w:val="39"/>
    <w:qFormat/>
    <w:pPr>
      <w:spacing w:line="300" w:lineRule="auto"/>
      <w:tabs>
        <w:tab w:val="left" w:pos="1050" w:leader="none"/>
        <w:tab w:val="right" w:pos="8937" w:leader="dot"/>
      </w:tabs>
    </w:pPr>
    <w:rPr>
      <w:rFonts w:ascii="宋体" w:hAnsi="宋体"/>
      <w:b/>
      <w:sz w:val="24"/>
    </w:rPr>
  </w:style>
  <w:style w:type="paragraph" w:styleId="1082">
    <w:name w:val="toc 4"/>
    <w:basedOn w:val="1049"/>
    <w:next w:val="1049"/>
    <w:uiPriority w:val="0"/>
    <w:qFormat/>
    <w:pPr>
      <w:ind w:left="1260"/>
    </w:pPr>
  </w:style>
  <w:style w:type="paragraph" w:styleId="1083">
    <w:name w:val="toc 6"/>
    <w:basedOn w:val="1049"/>
    <w:next w:val="1049"/>
    <w:uiPriority w:val="0"/>
    <w:qFormat/>
    <w:pPr>
      <w:ind w:left="2100"/>
    </w:pPr>
  </w:style>
  <w:style w:type="paragraph" w:styleId="1084">
    <w:name w:val="Body Text Indent 3"/>
    <w:basedOn w:val="1049"/>
    <w:link w:val="1130"/>
    <w:uiPriority w:val="0"/>
    <w:qFormat/>
    <w:pPr>
      <w:ind w:left="720" w:firstLine="480"/>
      <w:jc w:val="left"/>
      <w:spacing w:before="120" w:line="22" w:lineRule="atLeast"/>
    </w:pPr>
    <w:rPr>
      <w:rFonts w:ascii="宋体"/>
      <w:sz w:val="24"/>
      <w:szCs w:val="20"/>
    </w:rPr>
  </w:style>
  <w:style w:type="paragraph" w:styleId="1085">
    <w:name w:val="toc 2"/>
    <w:basedOn w:val="1049"/>
    <w:next w:val="1049"/>
    <w:uiPriority w:val="39"/>
    <w:qFormat/>
    <w:pPr>
      <w:ind w:left="420"/>
      <w:spacing w:line="312" w:lineRule="auto"/>
      <w:tabs>
        <w:tab w:val="right" w:pos="8937" w:leader="dot"/>
      </w:tabs>
    </w:pPr>
  </w:style>
  <w:style w:type="paragraph" w:styleId="1086">
    <w:name w:val="toc 9"/>
    <w:basedOn w:val="1049"/>
    <w:next w:val="1049"/>
    <w:uiPriority w:val="0"/>
    <w:qFormat/>
    <w:pPr>
      <w:ind w:left="3360"/>
    </w:pPr>
  </w:style>
  <w:style w:type="paragraph" w:styleId="1087">
    <w:name w:val="Body Text 2"/>
    <w:basedOn w:val="1049"/>
    <w:link w:val="1131"/>
    <w:uiPriority w:val="0"/>
    <w:qFormat/>
    <w:pPr>
      <w:spacing w:after="120" w:line="480" w:lineRule="auto"/>
    </w:pPr>
  </w:style>
  <w:style w:type="paragraph" w:styleId="1088">
    <w:name w:val="HTML Preformatted"/>
    <w:basedOn w:val="1049"/>
    <w:link w:val="11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9">
    <w:name w:val="Normal (Web)"/>
    <w:basedOn w:val="1049"/>
    <w:link w:val="1315"/>
    <w:uiPriority w:val="99"/>
    <w:unhideWhenUsed/>
    <w:qFormat/>
    <w:pPr>
      <w:jc w:val="left"/>
      <w:spacing w:before="100" w:beforeAutospacing="1" w:after="100" w:afterAutospacing="1"/>
      <w:widowControl/>
    </w:pPr>
    <w:rPr>
      <w:rFonts w:ascii="宋体" w:hAnsi="宋体" w:cs="宋体"/>
      <w:sz w:val="24"/>
    </w:rPr>
  </w:style>
  <w:style w:type="paragraph" w:styleId="1090">
    <w:name w:val="index 1"/>
    <w:basedOn w:val="1049"/>
    <w:next w:val="1049"/>
    <w:uiPriority w:val="0"/>
    <w:qFormat/>
    <w:rPr>
      <w:szCs w:val="20"/>
    </w:rPr>
  </w:style>
  <w:style w:type="paragraph" w:styleId="1091">
    <w:name w:val="Title"/>
    <w:basedOn w:val="1049"/>
    <w:next w:val="1049"/>
    <w:link w:val="1133"/>
    <w:uiPriority w:val="0"/>
    <w:qFormat/>
    <w:pPr>
      <w:jc w:val="center"/>
      <w:outlineLvl w:val="0"/>
    </w:pPr>
    <w:rPr>
      <w:b/>
      <w:sz w:val="32"/>
      <w:szCs w:val="20"/>
    </w:rPr>
  </w:style>
  <w:style w:type="paragraph" w:styleId="1092">
    <w:name w:val="annotation subject"/>
    <w:basedOn w:val="1066"/>
    <w:next w:val="1066"/>
    <w:link w:val="1135"/>
    <w:uiPriority w:val="0"/>
    <w:qFormat/>
    <w:rPr>
      <w:b/>
      <w:bCs/>
    </w:rPr>
  </w:style>
  <w:style w:type="paragraph" w:styleId="1093">
    <w:name w:val="Body Text First Indent"/>
    <w:basedOn w:val="1068"/>
    <w:link w:val="1136"/>
    <w:uiPriority w:val="99"/>
    <w:unhideWhenUsed/>
    <w:qFormat/>
    <w:pPr>
      <w:ind w:firstLine="420"/>
    </w:pPr>
    <w:rPr>
      <w:rFonts w:ascii="Times New Roman" w:hAnsi="Times New Roman"/>
      <w:sz w:val="21"/>
    </w:rPr>
  </w:style>
  <w:style w:type="paragraph" w:styleId="1094">
    <w:name w:val="Body Text First Indent 2"/>
    <w:basedOn w:val="1069"/>
    <w:link w:val="1137"/>
    <w:uiPriority w:val="0"/>
    <w:qFormat/>
    <w:pPr>
      <w:ind w:left="420" w:firstLine="420"/>
      <w:spacing w:after="120" w:line="480" w:lineRule="exact"/>
    </w:pPr>
  </w:style>
  <w:style w:type="table" w:styleId="1095">
    <w:name w:val="Table Grid"/>
    <w:basedOn w:val="10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6">
    <w:name w:val="Strong"/>
    <w:uiPriority w:val="0"/>
    <w:qFormat/>
    <w:rPr>
      <w:b/>
      <w:bCs/>
    </w:rPr>
  </w:style>
  <w:style w:type="character" w:styleId="1097">
    <w:name w:val="page number"/>
    <w:uiPriority w:val="0"/>
    <w:qFormat/>
  </w:style>
  <w:style w:type="character" w:styleId="1098">
    <w:name w:val="FollowedHyperlink"/>
    <w:uiPriority w:val="0"/>
    <w:qFormat/>
    <w:rPr>
      <w:color w:val="333333"/>
      <w:u w:val="none"/>
    </w:rPr>
  </w:style>
  <w:style w:type="character" w:styleId="1099">
    <w:name w:val="Emphasis"/>
    <w:uiPriority w:val="0"/>
    <w:qFormat/>
    <w:rPr>
      <w:color w:val="cc0033"/>
    </w:rPr>
  </w:style>
  <w:style w:type="character" w:styleId="1100">
    <w:name w:val="Hyperlink"/>
    <w:uiPriority w:val="99"/>
    <w:qFormat/>
    <w:rPr>
      <w:color w:val="333333"/>
      <w:u w:val="none"/>
    </w:rPr>
  </w:style>
  <w:style w:type="character" w:styleId="1101">
    <w:name w:val="annotation reference"/>
    <w:uiPriority w:val="99"/>
    <w:qFormat/>
    <w:rPr>
      <w:sz w:val="21"/>
      <w:szCs w:val="21"/>
    </w:rPr>
  </w:style>
  <w:style w:type="character" w:styleId="1102">
    <w:name w:val="HTML Cite"/>
    <w:uiPriority w:val="0"/>
    <w:qFormat/>
    <w:rPr>
      <w:i/>
      <w:iCs/>
    </w:rPr>
  </w:style>
  <w:style w:type="paragraph" w:styleId="1103" w:customStyle="1">
    <w:name w:val="正文首行缩进 21"/>
    <w:basedOn w:val="1104"/>
    <w:uiPriority w:val="0"/>
    <w:qFormat/>
    <w:pPr>
      <w:ind w:left="420" w:firstLine="420"/>
      <w:spacing w:after="120" w:line="480" w:lineRule="exact"/>
    </w:pPr>
    <w:rPr>
      <w:szCs w:val="20"/>
    </w:rPr>
  </w:style>
  <w:style w:type="paragraph" w:styleId="1104" w:customStyle="1">
    <w:name w:val="正文文本缩进11"/>
    <w:basedOn w:val="1049"/>
    <w:next w:val="1049"/>
    <w:uiPriority w:val="0"/>
    <w:qFormat/>
    <w:pPr>
      <w:ind w:firstLine="570"/>
      <w:spacing w:line="360" w:lineRule="auto"/>
    </w:pPr>
    <w:rPr>
      <w:sz w:val="24"/>
    </w:rPr>
  </w:style>
  <w:style w:type="character" w:styleId="1105" w:customStyle="1">
    <w:name w:val="正文文本 Char"/>
    <w:basedOn w:val="1059"/>
    <w:link w:val="1068"/>
    <w:uiPriority w:val="0"/>
    <w:qFormat/>
    <w:rPr>
      <w:rFonts w:ascii="宋体" w:hAnsi="宋体" w:eastAsia="宋体" w:cs="Times New Roman"/>
      <w:sz w:val="24"/>
      <w:szCs w:val="24"/>
    </w:rPr>
  </w:style>
  <w:style w:type="character" w:styleId="1106" w:customStyle="1">
    <w:name w:val="标题 1 Char"/>
    <w:basedOn w:val="1059"/>
    <w:link w:val="1050"/>
    <w:uiPriority w:val="0"/>
    <w:qFormat/>
    <w:rPr>
      <w:rFonts w:ascii="宋体" w:hAnsi="Times New Roman" w:eastAsia="宋体" w:cs="Times New Roman"/>
      <w:b/>
      <w:sz w:val="32"/>
      <w:szCs w:val="20"/>
    </w:rPr>
  </w:style>
  <w:style w:type="character" w:styleId="1107" w:customStyle="1">
    <w:name w:val="正文缩进 Char1"/>
    <w:link w:val="1062"/>
    <w:uiPriority w:val="0"/>
    <w:qFormat/>
    <w:rPr>
      <w:rFonts w:ascii="宋体" w:hAnsi="Times New Roman" w:eastAsia="宋体" w:cs="Times New Roman"/>
      <w:sz w:val="24"/>
      <w:szCs w:val="24"/>
    </w:rPr>
  </w:style>
  <w:style w:type="character" w:styleId="1108" w:customStyle="1">
    <w:name w:val="标题 2 Char1"/>
    <w:link w:val="1051"/>
    <w:uiPriority w:val="0"/>
    <w:qFormat/>
    <w:rPr>
      <w:rFonts w:ascii="Arial" w:hAnsi="Arial" w:eastAsia="黑体" w:cs="Times New Roman"/>
      <w:b/>
      <w:sz w:val="30"/>
      <w:szCs w:val="20"/>
    </w:rPr>
  </w:style>
  <w:style w:type="character" w:styleId="1109" w:customStyle="1">
    <w:name w:val="标题 3 Char1"/>
    <w:link w:val="1052"/>
    <w:uiPriority w:val="0"/>
    <w:qFormat/>
    <w:rPr>
      <w:rFonts w:ascii="宋体" w:hAnsi="Times New Roman" w:eastAsia="宋体" w:cs="Times New Roman"/>
      <w:b/>
      <w:sz w:val="24"/>
      <w:szCs w:val="20"/>
      <w:u w:val="single"/>
    </w:rPr>
  </w:style>
  <w:style w:type="character" w:styleId="1110" w:customStyle="1">
    <w:name w:val="标题 4 Char"/>
    <w:basedOn w:val="1059"/>
    <w:link w:val="1053"/>
    <w:uiPriority w:val="0"/>
    <w:qFormat/>
    <w:rPr>
      <w:rFonts w:ascii="Arial" w:hAnsi="Arial" w:eastAsia="黑体" w:cs="Times New Roman"/>
      <w:b/>
      <w:sz w:val="28"/>
      <w:szCs w:val="20"/>
    </w:rPr>
  </w:style>
  <w:style w:type="character" w:styleId="1111" w:customStyle="1">
    <w:name w:val="标题 5 Char"/>
    <w:basedOn w:val="1059"/>
    <w:link w:val="1054"/>
    <w:uiPriority w:val="0"/>
    <w:qFormat/>
    <w:rPr>
      <w:rFonts w:ascii="Times New Roman" w:hAnsi="Times New Roman" w:eastAsia="宋体" w:cs="Times New Roman"/>
      <w:b/>
      <w:sz w:val="28"/>
      <w:szCs w:val="20"/>
    </w:rPr>
  </w:style>
  <w:style w:type="character" w:styleId="1112" w:customStyle="1">
    <w:name w:val="标题 6 Char"/>
    <w:basedOn w:val="1059"/>
    <w:link w:val="1055"/>
    <w:uiPriority w:val="0"/>
    <w:qFormat/>
    <w:rPr>
      <w:rFonts w:ascii="Arial" w:hAnsi="Arial" w:eastAsia="黑体" w:cs="Times New Roman"/>
      <w:b/>
      <w:sz w:val="24"/>
      <w:szCs w:val="20"/>
    </w:rPr>
  </w:style>
  <w:style w:type="character" w:styleId="1113" w:customStyle="1">
    <w:name w:val="标题 7 Char"/>
    <w:basedOn w:val="1059"/>
    <w:link w:val="1056"/>
    <w:uiPriority w:val="0"/>
    <w:qFormat/>
    <w:rPr>
      <w:rFonts w:ascii="Times New Roman" w:hAnsi="Times New Roman" w:eastAsia="宋体" w:cs="Times New Roman"/>
      <w:b/>
      <w:sz w:val="24"/>
      <w:szCs w:val="20"/>
    </w:rPr>
  </w:style>
  <w:style w:type="character" w:styleId="1114" w:customStyle="1">
    <w:name w:val="标题 8 Char"/>
    <w:basedOn w:val="1059"/>
    <w:link w:val="1057"/>
    <w:uiPriority w:val="0"/>
    <w:qFormat/>
    <w:rPr>
      <w:rFonts w:ascii="Arial" w:hAnsi="Arial" w:eastAsia="黑体" w:cs="Times New Roman"/>
      <w:sz w:val="24"/>
      <w:szCs w:val="20"/>
    </w:rPr>
  </w:style>
  <w:style w:type="character" w:styleId="1115" w:customStyle="1">
    <w:name w:val="标题 9 Char"/>
    <w:basedOn w:val="1059"/>
    <w:link w:val="1058"/>
    <w:uiPriority w:val="0"/>
    <w:qFormat/>
    <w:rPr>
      <w:rFonts w:ascii="Arial" w:hAnsi="Arial" w:eastAsia="黑体" w:cs="Times New Roman"/>
      <w:szCs w:val="20"/>
    </w:rPr>
  </w:style>
  <w:style w:type="character" w:styleId="1116" w:customStyle="1">
    <w:name w:val="页眉 Char"/>
    <w:basedOn w:val="1059"/>
    <w:link w:val="1080"/>
    <w:uiPriority w:val="99"/>
    <w:qFormat/>
    <w:rPr>
      <w:sz w:val="18"/>
      <w:szCs w:val="18"/>
    </w:rPr>
  </w:style>
  <w:style w:type="character" w:styleId="1117" w:customStyle="1">
    <w:name w:val="页脚 Char"/>
    <w:basedOn w:val="1059"/>
    <w:link w:val="1079"/>
    <w:uiPriority w:val="99"/>
    <w:qFormat/>
    <w:rPr>
      <w:rFonts w:asciiTheme="minorEastAsia" w:hAnsiTheme="minorEastAsia" w:eastAsiaTheme="minorEastAsia"/>
      <w:sz w:val="18"/>
      <w:szCs w:val="18"/>
    </w:rPr>
  </w:style>
  <w:style w:type="character" w:styleId="1118" w:customStyle="1">
    <w:name w:val="标题 2 Char"/>
    <w:basedOn w:val="1059"/>
    <w:uiPriority w:val="0"/>
    <w:qFormat/>
    <w:rPr>
      <w:rFonts w:asciiTheme="majorHAnsi" w:hAnsiTheme="majorHAnsi" w:eastAsiaTheme="majorEastAsia" w:cstheme="majorBidi"/>
      <w:b/>
      <w:bCs/>
      <w:sz w:val="32"/>
      <w:szCs w:val="32"/>
    </w:rPr>
  </w:style>
  <w:style w:type="character" w:styleId="1119" w:customStyle="1">
    <w:name w:val="标题 3 Char"/>
    <w:basedOn w:val="1059"/>
    <w:uiPriority w:val="0"/>
    <w:qFormat/>
    <w:rPr>
      <w:rFonts w:ascii="Times New Roman" w:hAnsi="Times New Roman" w:eastAsia="宋体" w:cs="Times New Roman"/>
      <w:b/>
      <w:bCs/>
      <w:sz w:val="32"/>
      <w:szCs w:val="32"/>
    </w:rPr>
  </w:style>
  <w:style w:type="character" w:styleId="1120" w:customStyle="1">
    <w:name w:val="文档结构图 Char"/>
    <w:basedOn w:val="1059"/>
    <w:link w:val="1065"/>
    <w:uiPriority w:val="0"/>
    <w:qFormat/>
    <w:rPr>
      <w:rFonts w:ascii="Times New Roman" w:hAnsi="Times New Roman" w:eastAsia="宋体" w:cs="Times New Roman"/>
      <w:szCs w:val="24"/>
      <w:shd w:val="clear" w:color="auto" w:fill="000080"/>
    </w:rPr>
  </w:style>
  <w:style w:type="character" w:styleId="1121" w:customStyle="1">
    <w:name w:val="批注文字 Char1"/>
    <w:link w:val="1066"/>
    <w:uiPriority w:val="99"/>
    <w:qFormat/>
    <w:rPr>
      <w:rFonts w:ascii="Times New Roman" w:hAnsi="Times New Roman" w:eastAsia="宋体" w:cs="Times New Roman"/>
      <w:szCs w:val="24"/>
    </w:rPr>
  </w:style>
  <w:style w:type="character" w:styleId="1122" w:customStyle="1">
    <w:name w:val="批注文字 Char"/>
    <w:basedOn w:val="1059"/>
    <w:uiPriority w:val="99"/>
    <w:qFormat/>
    <w:rPr>
      <w:rFonts w:ascii="Times New Roman" w:hAnsi="Times New Roman" w:eastAsia="宋体" w:cs="Times New Roman"/>
      <w:szCs w:val="24"/>
    </w:rPr>
  </w:style>
  <w:style w:type="character" w:styleId="1123" w:customStyle="1">
    <w:name w:val="正文文本 3 Char"/>
    <w:basedOn w:val="1059"/>
    <w:link w:val="1067"/>
    <w:uiPriority w:val="0"/>
    <w:qFormat/>
    <w:rPr>
      <w:rFonts w:ascii="Times New Roman" w:hAnsi="Times New Roman" w:eastAsia="宋体" w:cs="Times New Roman"/>
      <w:sz w:val="16"/>
      <w:szCs w:val="16"/>
    </w:rPr>
  </w:style>
  <w:style w:type="character" w:styleId="1124" w:customStyle="1">
    <w:name w:val="正文文本缩进 Char2"/>
    <w:link w:val="1069"/>
    <w:uiPriority w:val="99"/>
    <w:qFormat/>
    <w:rPr>
      <w:rFonts w:ascii="Times New Roman" w:hAnsi="Times New Roman" w:eastAsia="宋体" w:cs="Times New Roman"/>
      <w:sz w:val="24"/>
      <w:szCs w:val="24"/>
    </w:rPr>
  </w:style>
  <w:style w:type="character" w:styleId="1125" w:customStyle="1">
    <w:name w:val="正文文本缩进 Char"/>
    <w:basedOn w:val="1059"/>
    <w:uiPriority w:val="0"/>
    <w:qFormat/>
    <w:rPr>
      <w:rFonts w:ascii="Times New Roman" w:hAnsi="Times New Roman" w:eastAsia="宋体" w:cs="Times New Roman"/>
      <w:szCs w:val="24"/>
    </w:rPr>
  </w:style>
  <w:style w:type="character" w:styleId="1126" w:customStyle="1">
    <w:name w:val="纯文本 Char"/>
    <w:basedOn w:val="1059"/>
    <w:link w:val="1074"/>
    <w:uiPriority w:val="0"/>
    <w:qFormat/>
    <w:rPr>
      <w:rFonts w:ascii="宋体" w:hAnsi="Courier New" w:eastAsia="宋体" w:cs="Times New Roman"/>
      <w:szCs w:val="20"/>
    </w:rPr>
  </w:style>
  <w:style w:type="character" w:styleId="1127" w:customStyle="1">
    <w:name w:val="日期 Char"/>
    <w:basedOn w:val="1059"/>
    <w:link w:val="1076"/>
    <w:uiPriority w:val="0"/>
    <w:qFormat/>
    <w:rPr>
      <w:rFonts w:ascii="仿宋_GB2312" w:hAnsi="宋体" w:eastAsia="仿宋_GB2312" w:cs="Times New Roman"/>
      <w:color w:val="000000"/>
      <w:sz w:val="24"/>
      <w:szCs w:val="24"/>
    </w:rPr>
  </w:style>
  <w:style w:type="character" w:styleId="1128" w:customStyle="1">
    <w:name w:val="正文文本缩进 2 Char"/>
    <w:basedOn w:val="1059"/>
    <w:link w:val="1077"/>
    <w:uiPriority w:val="0"/>
    <w:qFormat/>
    <w:rPr>
      <w:rFonts w:ascii="仿宋_GB2312" w:hAnsi="Times New Roman" w:eastAsia="仿宋_GB2312" w:cs="Times New Roman"/>
      <w:sz w:val="24"/>
      <w:szCs w:val="24"/>
    </w:rPr>
  </w:style>
  <w:style w:type="character" w:styleId="1129" w:customStyle="1">
    <w:name w:val="批注框文本 Char"/>
    <w:basedOn w:val="1059"/>
    <w:link w:val="1078"/>
    <w:uiPriority w:val="0"/>
    <w:qFormat/>
    <w:rPr>
      <w:rFonts w:ascii="Times New Roman" w:hAnsi="Times New Roman" w:eastAsia="宋体" w:cs="Times New Roman"/>
      <w:sz w:val="18"/>
      <w:szCs w:val="18"/>
    </w:rPr>
  </w:style>
  <w:style w:type="character" w:styleId="1130" w:customStyle="1">
    <w:name w:val="正文文本缩进 3 Char"/>
    <w:basedOn w:val="1059"/>
    <w:link w:val="1084"/>
    <w:uiPriority w:val="0"/>
    <w:qFormat/>
    <w:rPr>
      <w:rFonts w:ascii="宋体" w:hAnsi="Times New Roman" w:eastAsia="宋体" w:cs="Times New Roman"/>
      <w:sz w:val="24"/>
      <w:szCs w:val="20"/>
    </w:rPr>
  </w:style>
  <w:style w:type="character" w:styleId="1131" w:customStyle="1">
    <w:name w:val="正文文本 2 Char"/>
    <w:basedOn w:val="1059"/>
    <w:link w:val="1087"/>
    <w:uiPriority w:val="0"/>
    <w:qFormat/>
    <w:rPr>
      <w:rFonts w:ascii="Times New Roman" w:hAnsi="Times New Roman" w:eastAsia="宋体" w:cs="Times New Roman"/>
      <w:szCs w:val="24"/>
    </w:rPr>
  </w:style>
  <w:style w:type="character" w:styleId="1132" w:customStyle="1">
    <w:name w:val="HTML 预设格式 Char"/>
    <w:basedOn w:val="1059"/>
    <w:link w:val="1088"/>
    <w:uiPriority w:val="0"/>
    <w:qFormat/>
    <w:rPr>
      <w:rFonts w:ascii="宋体" w:hAnsi="宋体" w:eastAsia="宋体" w:cs="Times New Roman"/>
      <w:sz w:val="24"/>
      <w:szCs w:val="24"/>
    </w:rPr>
  </w:style>
  <w:style w:type="character" w:styleId="1133" w:customStyle="1">
    <w:name w:val="标题 Char1"/>
    <w:link w:val="1091"/>
    <w:uiPriority w:val="0"/>
    <w:qFormat/>
    <w:rPr>
      <w:rFonts w:ascii="Times New Roman" w:hAnsi="Times New Roman" w:eastAsia="宋体" w:cs="Times New Roman"/>
      <w:b/>
      <w:sz w:val="32"/>
      <w:szCs w:val="20"/>
    </w:rPr>
  </w:style>
  <w:style w:type="character" w:styleId="1134" w:customStyle="1">
    <w:name w:val="标题 Char"/>
    <w:basedOn w:val="1059"/>
    <w:uiPriority w:val="0"/>
    <w:qFormat/>
    <w:rPr>
      <w:rFonts w:eastAsia="宋体" w:asciiTheme="majorHAnsi" w:hAnsiTheme="majorHAnsi" w:cstheme="majorBidi"/>
      <w:b/>
      <w:bCs/>
      <w:sz w:val="32"/>
      <w:szCs w:val="32"/>
    </w:rPr>
  </w:style>
  <w:style w:type="character" w:styleId="1135" w:customStyle="1">
    <w:name w:val="批注主题 Char"/>
    <w:basedOn w:val="1122"/>
    <w:link w:val="1092"/>
    <w:uiPriority w:val="0"/>
    <w:qFormat/>
    <w:rPr>
      <w:rFonts w:ascii="Times New Roman" w:hAnsi="Times New Roman" w:eastAsia="宋体" w:cs="Times New Roman"/>
      <w:b/>
      <w:bCs/>
      <w:szCs w:val="24"/>
    </w:rPr>
  </w:style>
  <w:style w:type="character" w:styleId="1136" w:customStyle="1">
    <w:name w:val="正文首行缩进 Char"/>
    <w:basedOn w:val="1105"/>
    <w:link w:val="1093"/>
    <w:uiPriority w:val="99"/>
    <w:qFormat/>
    <w:rPr>
      <w:rFonts w:ascii="Times New Roman" w:hAnsi="Times New Roman" w:eastAsia="宋体" w:cs="Times New Roman"/>
      <w:sz w:val="24"/>
      <w:szCs w:val="24"/>
    </w:rPr>
  </w:style>
  <w:style w:type="character" w:styleId="1137" w:customStyle="1">
    <w:name w:val="正文首行缩进 2 Char"/>
    <w:basedOn w:val="1125"/>
    <w:link w:val="1094"/>
    <w:uiPriority w:val="0"/>
    <w:qFormat/>
    <w:rPr>
      <w:rFonts w:ascii="Times New Roman" w:hAnsi="Times New Roman" w:eastAsia="宋体" w:cs="Times New Roman"/>
      <w:sz w:val="24"/>
      <w:szCs w:val="24"/>
    </w:rPr>
  </w:style>
  <w:style w:type="character" w:styleId="1138" w:customStyle="1">
    <w:name w:val="页脚 Char1"/>
    <w:uiPriority w:val="99"/>
    <w:qFormat/>
    <w:rPr>
      <w:rFonts w:ascii="宋体" w:eastAsia="宋体"/>
      <w:sz w:val="18"/>
      <w:lang w:val="en-US" w:eastAsia="zh-CN" w:bidi="ar-SA"/>
    </w:rPr>
  </w:style>
  <w:style w:type="character" w:styleId="1139" w:customStyle="1">
    <w:name w:val="页眉 Char1"/>
    <w:uiPriority w:val="0"/>
    <w:qFormat/>
    <w:rPr>
      <w:rFonts w:eastAsia="宋体"/>
      <w:sz w:val="18"/>
      <w:szCs w:val="18"/>
      <w:lang w:val="en-US" w:eastAsia="zh-CN" w:bidi="ar-SA"/>
    </w:rPr>
  </w:style>
  <w:style w:type="character" w:styleId="1140" w:customStyle="1">
    <w:name w:val="批注文字 字符"/>
    <w:uiPriority w:val="99"/>
    <w:qFormat/>
    <w:rPr>
      <w:rFonts w:ascii="Times New Roman" w:hAnsi="Times New Roman" w:eastAsia="宋体" w:cs="Times New Roman"/>
      <w:sz w:val="24"/>
      <w:lang w:val="en-US" w:eastAsia="zh-CN" w:bidi="ar-SA"/>
    </w:rPr>
  </w:style>
  <w:style w:type="character" w:styleId="1141" w:customStyle="1">
    <w:name w:val="c21"/>
    <w:uiPriority w:val="0"/>
    <w:qFormat/>
    <w:rPr>
      <w:rFonts w:hint="default" w:ascii="ˎ̥" w:hAnsi="ˎ̥"/>
      <w:color w:val="000000"/>
      <w:sz w:val="20"/>
      <w:szCs w:val="20"/>
      <w:u w:val="none"/>
    </w:rPr>
  </w:style>
  <w:style w:type="character" w:styleId="1142" w:customStyle="1">
    <w:name w:val="title4"/>
    <w:uiPriority w:val="0"/>
    <w:qFormat/>
    <w:rPr>
      <w:b/>
      <w:bCs/>
      <w:color w:val="1d87b3"/>
      <w:sz w:val="15"/>
      <w:szCs w:val="15"/>
    </w:rPr>
  </w:style>
  <w:style w:type="character" w:styleId="1143" w:customStyle="1">
    <w:name w:val="标题 2 Char Char"/>
    <w:uiPriority w:val="0"/>
    <w:qFormat/>
    <w:rPr>
      <w:rFonts w:ascii="Arial" w:hAnsi="Arial" w:eastAsia="黑体"/>
      <w:b/>
      <w:bCs/>
      <w:sz w:val="32"/>
      <w:szCs w:val="32"/>
      <w:lang w:val="en-US" w:eastAsia="zh-CN" w:bidi="ar-SA"/>
    </w:rPr>
  </w:style>
  <w:style w:type="character" w:styleId="1144" w:customStyle="1">
    <w:name w:val="black1"/>
    <w:uiPriority w:val="0"/>
    <w:qFormat/>
    <w:rPr>
      <w:color w:val="000000"/>
    </w:rPr>
  </w:style>
  <w:style w:type="character" w:styleId="1145" w:customStyle="1">
    <w:name w:val="street-address"/>
    <w:uiPriority w:val="0"/>
    <w:qFormat/>
  </w:style>
  <w:style w:type="character" w:styleId="1146" w:customStyle="1">
    <w:name w:val="locality"/>
    <w:uiPriority w:val="0"/>
    <w:qFormat/>
  </w:style>
  <w:style w:type="character" w:styleId="1147" w:customStyle="1">
    <w:name w:val="正文文本缩进 Char1"/>
    <w:link w:val="1148"/>
    <w:uiPriority w:val="0"/>
    <w:qFormat/>
    <w:rPr>
      <w:rFonts w:ascii="宋体" w:hAnsi="宋体" w:eastAsia="宋体"/>
      <w:sz w:val="24"/>
      <w:szCs w:val="24"/>
    </w:rPr>
  </w:style>
  <w:style w:type="paragraph" w:styleId="1148" w:customStyle="1">
    <w:name w:val="正文文本缩进1"/>
    <w:basedOn w:val="1049"/>
    <w:link w:val="1147"/>
    <w:uiPriority w:val="0"/>
    <w:qFormat/>
    <w:pPr>
      <w:ind w:firstLine="480"/>
      <w:spacing w:line="480" w:lineRule="exact"/>
    </w:pPr>
    <w:rPr>
      <w:rFonts w:ascii="宋体" w:hAnsi="宋体" w:cstheme="minorBidi"/>
      <w:sz w:val="24"/>
    </w:rPr>
  </w:style>
  <w:style w:type="character" w:styleId="1149" w:customStyle="1">
    <w:name w:val="Char Char11"/>
    <w:uiPriority w:val="0"/>
    <w:qFormat/>
    <w:rPr>
      <w:rFonts w:ascii="宋体" w:eastAsia="宋体"/>
      <w:b/>
      <w:sz w:val="24"/>
      <w:u w:val="single"/>
      <w:lang w:val="en-US" w:eastAsia="zh-CN" w:bidi="ar-SA"/>
    </w:rPr>
  </w:style>
  <w:style w:type="character" w:styleId="1150" w:customStyle="1">
    <w:name w:val="txt"/>
    <w:uiPriority w:val="0"/>
    <w:qFormat/>
  </w:style>
  <w:style w:type="character" w:styleId="1151" w:customStyle="1">
    <w:name w:val="正文缩进 Char Char"/>
    <w:link w:val="1152"/>
    <w:uiPriority w:val="0"/>
    <w:qFormat/>
    <w:rPr>
      <w:rFonts w:ascii="宋体" w:eastAsia="宋体"/>
      <w:color w:val="000000"/>
      <w:sz w:val="28"/>
    </w:rPr>
  </w:style>
  <w:style w:type="paragraph" w:styleId="1152" w:customStyle="1">
    <w:name w:val="正文缩进1"/>
    <w:basedOn w:val="1049"/>
    <w:link w:val="1151"/>
    <w:uiPriority w:val="0"/>
    <w:qFormat/>
    <w:pPr>
      <w:ind w:firstLine="567"/>
      <w:spacing w:line="480" w:lineRule="exact"/>
      <w:widowControl/>
    </w:pPr>
    <w:rPr>
      <w:rFonts w:ascii="宋体" w:hAnsiTheme="minorHAnsi" w:cstheme="minorBidi"/>
      <w:color w:val="000000"/>
      <w:sz w:val="28"/>
      <w:szCs w:val="22"/>
    </w:rPr>
  </w:style>
  <w:style w:type="character" w:styleId="1153" w:customStyle="1">
    <w:name w:val="普通文字1 Char1"/>
    <w:uiPriority w:val="0"/>
    <w:qFormat/>
    <w:rPr>
      <w:rFonts w:ascii="宋体" w:hAnsi="Courier New" w:eastAsia="宋体"/>
      <w:sz w:val="21"/>
      <w:lang w:val="en-US" w:eastAsia="zh-CN" w:bidi="ar-SA"/>
    </w:rPr>
  </w:style>
  <w:style w:type="character" w:styleId="1154" w:customStyle="1">
    <w:name w:val="chanpin1"/>
    <w:uiPriority w:val="0"/>
    <w:qFormat/>
    <w:rPr>
      <w:rFonts w:hint="default" w:ascii="ˎ̥" w:hAnsi="ˎ̥"/>
      <w:color w:val="000000"/>
      <w:sz w:val="20"/>
      <w:szCs w:val="20"/>
      <w:u w:val="none"/>
    </w:rPr>
  </w:style>
  <w:style w:type="character" w:styleId="1155" w:customStyle="1">
    <w:name w:val="彩色列表 - 强调文字颜色 1 Char"/>
    <w:link w:val="1156"/>
    <w:uiPriority w:val="34"/>
    <w:qFormat/>
    <w:rPr>
      <w:rFonts w:ascii="Calibri" w:hAnsi="Calibri" w:eastAsia="宋体"/>
    </w:rPr>
  </w:style>
  <w:style w:type="paragraph" w:styleId="1156" w:customStyle="1">
    <w:name w:val="彩色列表 - 强调文字颜色 11"/>
    <w:basedOn w:val="1049"/>
    <w:link w:val="1155"/>
    <w:uiPriority w:val="34"/>
    <w:qFormat/>
    <w:pPr>
      <w:ind w:firstLine="420"/>
    </w:pPr>
    <w:rPr>
      <w:rFonts w:ascii="Calibri" w:hAnsi="Calibri" w:cstheme="minorBidi"/>
      <w:szCs w:val="22"/>
    </w:rPr>
  </w:style>
  <w:style w:type="character" w:styleId="1157" w:customStyle="1">
    <w:name w:val="标题 3 Char Char"/>
    <w:uiPriority w:val="0"/>
    <w:qFormat/>
    <w:rPr>
      <w:rFonts w:eastAsia="宋体"/>
      <w:b/>
      <w:bCs/>
      <w:sz w:val="32"/>
      <w:szCs w:val="32"/>
      <w:lang w:val="en-US" w:eastAsia="zh-CN" w:bidi="ar-SA"/>
    </w:rPr>
  </w:style>
  <w:style w:type="character" w:styleId="1158" w:customStyle="1">
    <w:name w:val="段1 Char"/>
    <w:uiPriority w:val="0"/>
    <w:qFormat/>
    <w:rPr>
      <w:rFonts w:ascii="宋体" w:eastAsia="宋体"/>
      <w:sz w:val="24"/>
      <w:lang w:val="en-US" w:eastAsia="zh-CN" w:bidi="ar-SA"/>
    </w:rPr>
  </w:style>
  <w:style w:type="character" w:styleId="1159" w:customStyle="1">
    <w:name w:val="chanpin拷贝"/>
    <w:uiPriority w:val="0"/>
    <w:qFormat/>
  </w:style>
  <w:style w:type="character" w:styleId="1160" w:customStyle="1">
    <w:name w:val="纯文本 Char1"/>
    <w:uiPriority w:val="0"/>
    <w:qFormat/>
    <w:rPr>
      <w:rFonts w:ascii="宋体" w:hAnsi="Courier New" w:eastAsia="宋体"/>
      <w:sz w:val="21"/>
      <w:lang w:val="en-US" w:eastAsia="zh-CN" w:bidi="ar-SA"/>
    </w:rPr>
  </w:style>
  <w:style w:type="character" w:styleId="1161" w:customStyle="1">
    <w:name w:val="apple-style-span"/>
    <w:uiPriority w:val="0"/>
    <w:qFormat/>
    <w:rPr>
      <w:rFonts w:cs="Times New Roman"/>
    </w:rPr>
  </w:style>
  <w:style w:type="paragraph" w:styleId="1162" w:customStyle="1">
    <w:name w:val="二级条标题"/>
    <w:basedOn w:val="1163"/>
    <w:next w:val="104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3" w:customStyle="1">
    <w:name w:val="一级条标题"/>
    <w:basedOn w:val="1164"/>
    <w:next w:val="1049"/>
    <w:uiPriority w:val="0"/>
    <w:qFormat/>
    <w:pPr>
      <w:numPr>
        <w:ilvl w:val="1"/>
      </w:numPr>
      <w:ind w:left="0" w:hanging="840"/>
      <w:tabs>
        <w:tab w:val="left" w:pos="360" w:leader="none"/>
        <w:tab w:val="left" w:pos="840" w:leader="none"/>
      </w:tabs>
      <w:outlineLvl w:val="1"/>
    </w:pPr>
  </w:style>
  <w:style w:type="paragraph" w:styleId="1164" w:customStyle="1">
    <w:name w:val="章标题"/>
    <w:next w:val="104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5" w:customStyle="1">
    <w:name w:val="font7"/>
    <w:basedOn w:val="1049"/>
    <w:uiPriority w:val="0"/>
    <w:qFormat/>
    <w:pPr>
      <w:jc w:val="left"/>
      <w:spacing w:before="100" w:beforeAutospacing="1" w:after="100" w:afterAutospacing="1"/>
      <w:widowControl/>
    </w:pPr>
    <w:rPr>
      <w:rFonts w:eastAsia="Arial Unicode MS"/>
      <w:b/>
      <w:bCs/>
      <w:color w:val="000000"/>
      <w:sz w:val="20"/>
      <w:szCs w:val="20"/>
    </w:rPr>
  </w:style>
  <w:style w:type="paragraph" w:styleId="1166" w:customStyle="1">
    <w:name w:val="字元 字元"/>
    <w:basedOn w:val="1049"/>
    <w:uiPriority w:val="0"/>
    <w:qFormat/>
    <w:rPr>
      <w:rFonts w:ascii="Tahoma" w:hAnsi="Tahoma"/>
      <w:sz w:val="24"/>
      <w:szCs w:val="20"/>
    </w:rPr>
  </w:style>
  <w:style w:type="paragraph" w:styleId="1167" w:customStyle="1">
    <w:name w:val="Char3 Char Char Char"/>
    <w:basedOn w:val="1049"/>
    <w:uiPriority w:val="0"/>
    <w:qFormat/>
    <w:rPr>
      <w:rFonts w:ascii="Tahoma" w:hAnsi="Tahoma"/>
      <w:sz w:val="24"/>
      <w:szCs w:val="20"/>
    </w:rPr>
  </w:style>
  <w:style w:type="paragraph" w:styleId="1168" w:customStyle="1">
    <w:name w:val="font6"/>
    <w:basedOn w:val="1049"/>
    <w:uiPriority w:val="0"/>
    <w:qFormat/>
    <w:pPr>
      <w:jc w:val="left"/>
      <w:spacing w:before="100" w:beforeAutospacing="1" w:after="100" w:afterAutospacing="1"/>
      <w:widowControl/>
    </w:pPr>
    <w:rPr>
      <w:rFonts w:ascii="宋体" w:hAnsi="宋体" w:cs="宋体"/>
      <w:sz w:val="20"/>
      <w:szCs w:val="20"/>
    </w:rPr>
  </w:style>
  <w:style w:type="paragraph" w:styleId="1169" w:customStyle="1">
    <w:name w:val="项目编号2"/>
    <w:basedOn w:val="1170"/>
    <w:uiPriority w:val="0"/>
    <w:qFormat/>
    <w:pPr>
      <w:numPr>
        <w:numId w:val="2"/>
      </w:numPr>
    </w:pPr>
  </w:style>
  <w:style w:type="paragraph" w:styleId="1170" w:customStyle="1">
    <w:name w:val="项目编号1"/>
    <w:basedOn w:val="1049"/>
    <w:uiPriority w:val="0"/>
    <w:qFormat/>
    <w:pPr>
      <w:numPr>
        <w:ilvl w:val="0"/>
        <w:numId w:val="3"/>
      </w:numPr>
      <w:spacing w:before="100" w:beforeAutospacing="1" w:after="100" w:afterAutospacing="1" w:line="360" w:lineRule="auto"/>
    </w:pPr>
    <w:rPr>
      <w:sz w:val="24"/>
    </w:rPr>
  </w:style>
  <w:style w:type="paragraph" w:styleId="1171" w:customStyle="1">
    <w:name w:val="图中文字"/>
    <w:basedOn w:val="1049"/>
    <w:uiPriority w:val="0"/>
    <w:qFormat/>
    <w:pPr>
      <w:jc w:val="center"/>
      <w:spacing w:line="0" w:lineRule="atLeast"/>
    </w:pPr>
    <w:rPr>
      <w:sz w:val="24"/>
      <w:szCs w:val="20"/>
    </w:rPr>
  </w:style>
  <w:style w:type="paragraph" w:styleId="1172" w:customStyle="1">
    <w:name w:val="xl46"/>
    <w:basedOn w:val="104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3" w:customStyle="1">
    <w:name w:val="xl25"/>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4" w:customStyle="1">
    <w:name w:val="Char2"/>
    <w:basedOn w:val="1049"/>
    <w:uiPriority w:val="0"/>
    <w:qFormat/>
    <w:rPr>
      <w:rFonts w:ascii="Tahoma" w:hAnsi="Tahoma"/>
      <w:sz w:val="24"/>
      <w:szCs w:val="20"/>
    </w:rPr>
  </w:style>
  <w:style w:type="paragraph" w:styleId="1175" w:customStyle="1">
    <w:name w:val="xl35"/>
    <w:basedOn w:val="10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xl40"/>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xl52"/>
    <w:basedOn w:val="10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8" w:customStyle="1">
    <w:name w:val="xl43"/>
    <w:basedOn w:val="10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9" w:customStyle="1">
    <w:name w:val="background1"/>
    <w:basedOn w:val="1049"/>
    <w:uiPriority w:val="0"/>
    <w:qFormat/>
    <w:pPr>
      <w:jc w:val="left"/>
      <w:spacing w:before="100" w:beforeAutospacing="1" w:after="100" w:afterAutospacing="1"/>
      <w:widowControl/>
    </w:pPr>
    <w:rPr>
      <w:rFonts w:ascii="宋体" w:hAnsi="宋体" w:cs="宋体"/>
      <w:sz w:val="24"/>
    </w:rPr>
  </w:style>
  <w:style w:type="paragraph" w:styleId="1180" w:customStyle="1">
    <w:name w:val="Char Char Char Char Char Char Char"/>
    <w:basedOn w:val="1049"/>
    <w:uiPriority w:val="0"/>
    <w:qFormat/>
    <w:pPr>
      <w:ind w:firstLine="200"/>
      <w:spacing w:line="360" w:lineRule="auto"/>
    </w:pPr>
    <w:rPr>
      <w:rFonts w:eastAsia="仿宋_GB2312"/>
      <w:sz w:val="24"/>
    </w:rPr>
  </w:style>
  <w:style w:type="paragraph" w:styleId="1181" w:customStyle="1">
    <w:name w:val="xl38"/>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2" w:customStyle="1">
    <w:name w:val="xl36"/>
    <w:basedOn w:val="104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customStyle="1">
    <w:name w:val="正文 + 宋体"/>
    <w:basedOn w:val="1049"/>
    <w:uiPriority w:val="0"/>
    <w:qFormat/>
    <w:pPr>
      <w:ind w:left="360" w:hanging="360"/>
      <w:jc w:val="left"/>
      <w:widowControl/>
    </w:pPr>
    <w:rPr>
      <w:rFonts w:ascii="宋体" w:hAnsi="宋体" w:cs="宋体"/>
      <w:b/>
      <w:bCs/>
      <w:color w:val="000000"/>
      <w:sz w:val="18"/>
      <w:szCs w:val="18"/>
    </w:rPr>
  </w:style>
  <w:style w:type="paragraph" w:styleId="1184" w:customStyle="1">
    <w:name w:val="正文列项_数字"/>
    <w:basedOn w:val="104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customStyle="1">
    <w:name w:val="xl39"/>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6" w:customStyle="1">
    <w:name w:val="xl37"/>
    <w:basedOn w:val="104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customStyle="1">
    <w:name w:val="xl32"/>
    <w:basedOn w:val="10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8" w:customStyle="1">
    <w:name w:val="font8"/>
    <w:basedOn w:val="1049"/>
    <w:uiPriority w:val="0"/>
    <w:qFormat/>
    <w:pPr>
      <w:jc w:val="left"/>
      <w:spacing w:before="100" w:beforeAutospacing="1" w:after="100" w:afterAutospacing="1"/>
      <w:widowControl/>
    </w:pPr>
    <w:rPr>
      <w:sz w:val="36"/>
      <w:szCs w:val="36"/>
    </w:rPr>
  </w:style>
  <w:style w:type="paragraph" w:styleId="1189" w:customStyle="1">
    <w:name w:val="Char"/>
    <w:basedOn w:val="1049"/>
    <w:uiPriority w:val="0"/>
    <w:qFormat/>
    <w:pPr>
      <w:tabs>
        <w:tab w:val="left" w:pos="360" w:leader="none"/>
      </w:tabs>
    </w:pPr>
    <w:rPr>
      <w:sz w:val="24"/>
    </w:rPr>
  </w:style>
  <w:style w:type="paragraph" w:styleId="1190" w:customStyle="1">
    <w:name w:val="Char Char Char Char Char Char Char Char Char Char Char Char Char Char Char Char"/>
    <w:basedOn w:val="1049"/>
    <w:uiPriority w:val="0"/>
    <w:qFormat/>
    <w:pPr>
      <w:jc w:val="center"/>
      <w:spacing w:after="160" w:line="240" w:lineRule="exact"/>
      <w:widowControl/>
    </w:pPr>
    <w:rPr>
      <w:rFonts w:ascii="宋体" w:hAnsi="宋体"/>
      <w:b/>
      <w:sz w:val="30"/>
      <w:szCs w:val="30"/>
      <w:lang w:eastAsia="en-US"/>
    </w:rPr>
  </w:style>
  <w:style w:type="paragraph" w:styleId="1191" w:customStyle="1">
    <w:name w:val="xl45"/>
    <w:basedOn w:val="10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2" w:customStyle="1">
    <w:name w:val="Char Char1 Char Char Char Char Char Char"/>
    <w:basedOn w:val="1049"/>
    <w:uiPriority w:val="0"/>
    <w:qFormat/>
    <w:pPr>
      <w:jc w:val="left"/>
      <w:spacing w:after="160" w:line="240" w:lineRule="exact"/>
      <w:widowControl/>
    </w:pPr>
    <w:rPr>
      <w:rFonts w:ascii="Verdana" w:hAnsi="Verdana" w:eastAsia="仿宋_GB2312"/>
      <w:sz w:val="24"/>
      <w:szCs w:val="20"/>
      <w:lang w:eastAsia="en-US"/>
    </w:rPr>
  </w:style>
  <w:style w:type="paragraph" w:styleId="1193" w:customStyle="1">
    <w:name w:val="Char Char1"/>
    <w:basedOn w:val="1065"/>
    <w:uiPriority w:val="0"/>
    <w:qFormat/>
    <w:rPr>
      <w:rFonts w:ascii="Tahoma" w:hAnsi="Tahoma"/>
      <w:sz w:val="24"/>
    </w:rPr>
  </w:style>
  <w:style w:type="paragraph" w:styleId="1194" w:customStyle="1">
    <w:name w:val="xl26"/>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5" w:customStyle="1">
    <w:name w:val="xl30"/>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6" w:customStyle="1">
    <w:name w:val="xl41"/>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7" w:customStyle="1">
    <w:name w:val="样式 宋体 五号 行距: 单倍行距"/>
    <w:basedOn w:val="1049"/>
    <w:uiPriority w:val="0"/>
    <w:qFormat/>
    <w:pPr>
      <w:jc w:val="left"/>
    </w:pPr>
    <w:rPr>
      <w:rFonts w:ascii="宋体" w:hAnsi="宋体"/>
      <w:szCs w:val="20"/>
    </w:rPr>
  </w:style>
  <w:style w:type="paragraph" w:styleId="1198" w:customStyle="1">
    <w:name w:val="Char1 Char Char Char1"/>
    <w:basedOn w:val="1049"/>
    <w:uiPriority w:val="0"/>
    <w:qFormat/>
    <w:rPr>
      <w:rFonts w:ascii="Tahoma" w:hAnsi="Tahoma" w:cs="仿宋_GB2312"/>
      <w:sz w:val="24"/>
      <w:szCs w:val="28"/>
    </w:rPr>
  </w:style>
  <w:style w:type="paragraph" w:styleId="1199" w:customStyle="1">
    <w:name w:val="四级条标题"/>
    <w:basedOn w:val="1200"/>
    <w:next w:val="1049"/>
    <w:uiPriority w:val="0"/>
    <w:qFormat/>
    <w:pPr>
      <w:numPr>
        <w:ilvl w:val="4"/>
      </w:numPr>
      <w:ind w:left="0" w:hanging="840"/>
      <w:tabs>
        <w:tab w:val="left" w:pos="360" w:leader="none"/>
        <w:tab w:val="left" w:pos="840" w:leader="none"/>
      </w:tabs>
      <w:outlineLvl w:val="4"/>
    </w:pPr>
  </w:style>
  <w:style w:type="paragraph" w:styleId="1200" w:customStyle="1">
    <w:name w:val="三级条标题"/>
    <w:basedOn w:val="1162"/>
    <w:next w:val="1049"/>
    <w:uiPriority w:val="0"/>
    <w:qFormat/>
    <w:pPr>
      <w:numPr>
        <w:ilvl w:val="3"/>
        <w:numId w:val="1"/>
      </w:numPr>
      <w:ind w:left="0" w:hanging="840"/>
      <w:outlineLvl w:val="3"/>
    </w:pPr>
  </w:style>
  <w:style w:type="paragraph" w:styleId="120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2" w:customStyle="1">
    <w:name w:val="样式 标题 2 + 宋体 五号 行距: 单倍行距"/>
    <w:basedOn w:val="1051"/>
    <w:uiPriority w:val="0"/>
    <w:qFormat/>
    <w:pPr>
      <w:numPr>
        <w:ilvl w:val="1"/>
        <w:numId w:val="4"/>
      </w:numPr>
      <w:jc w:val="left"/>
      <w:spacing w:before="260" w:after="260" w:line="240" w:lineRule="auto"/>
    </w:pPr>
    <w:rPr>
      <w:rFonts w:ascii="宋体" w:hAnsi="宋体" w:eastAsia="宋体"/>
      <w:bCs/>
      <w:sz w:val="21"/>
    </w:rPr>
  </w:style>
  <w:style w:type="paragraph" w:styleId="1203" w:customStyle="1">
    <w:name w:val="List Paragraph1"/>
    <w:basedOn w:val="1049"/>
    <w:uiPriority w:val="0"/>
    <w:qFormat/>
    <w:pPr>
      <w:ind w:firstLine="420"/>
    </w:pPr>
    <w:rPr>
      <w:rFonts w:ascii="Calibri" w:hAnsi="Calibri"/>
      <w:szCs w:val="22"/>
    </w:rPr>
  </w:style>
  <w:style w:type="paragraph" w:styleId="1204" w:customStyle="1">
    <w:name w:val="项目符号1"/>
    <w:basedOn w:val="1205"/>
    <w:uiPriority w:val="0"/>
    <w:qFormat/>
    <w:pPr>
      <w:ind w:left="-25" w:firstLine="0"/>
    </w:pPr>
  </w:style>
  <w:style w:type="paragraph" w:styleId="1205" w:customStyle="1">
    <w:name w:val="正文文本样式"/>
    <w:basedOn w:val="1049"/>
    <w:uiPriority w:val="0"/>
    <w:qFormat/>
    <w:pPr>
      <w:ind w:firstLine="482"/>
      <w:spacing w:line="360" w:lineRule="auto"/>
    </w:pPr>
    <w:rPr>
      <w:rFonts w:cs="宋体"/>
      <w:sz w:val="24"/>
      <w:szCs w:val="20"/>
    </w:rPr>
  </w:style>
  <w:style w:type="paragraph" w:styleId="1206" w:customStyle="1">
    <w:name w:val="xl27"/>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7" w:customStyle="1">
    <w:name w:val="font5"/>
    <w:basedOn w:val="1049"/>
    <w:uiPriority w:val="0"/>
    <w:qFormat/>
    <w:pPr>
      <w:jc w:val="left"/>
      <w:spacing w:before="100" w:beforeAutospacing="1" w:after="100" w:afterAutospacing="1"/>
      <w:widowControl/>
    </w:pPr>
    <w:rPr>
      <w:rFonts w:ascii="宋体" w:hAnsi="宋体" w:cs="宋体"/>
      <w:sz w:val="18"/>
      <w:szCs w:val="18"/>
    </w:rPr>
  </w:style>
  <w:style w:type="paragraph" w:styleId="1208" w:customStyle="1">
    <w:name w:val="五级条标题"/>
    <w:basedOn w:val="1199"/>
    <w:next w:val="1049"/>
    <w:uiPriority w:val="0"/>
    <w:qFormat/>
    <w:pPr>
      <w:numPr>
        <w:ilvl w:val="5"/>
      </w:numPr>
      <w:ind w:left="0" w:hanging="840"/>
      <w:outlineLvl w:val="5"/>
    </w:pPr>
  </w:style>
  <w:style w:type="paragraph" w:styleId="1209" w:customStyle="1">
    <w:name w:val="xl49"/>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0" w:customStyle="1">
    <w:name w:val="文档正文"/>
    <w:basedOn w:val="1049"/>
    <w:uiPriority w:val="0"/>
    <w:qFormat/>
    <w:pPr>
      <w:spacing w:before="120" w:after="120" w:line="180" w:lineRule="auto"/>
    </w:pPr>
    <w:rPr>
      <w:rFonts w:ascii="Arial" w:hAnsi="Arial"/>
      <w:szCs w:val="20"/>
    </w:rPr>
  </w:style>
  <w:style w:type="paragraph" w:styleId="1211" w:customStyle="1">
    <w:name w:val="xl33"/>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2" w:customStyle="1">
    <w:name w:val="xl42"/>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3" w:customStyle="1">
    <w:name w:val="Char Char Char1 Char"/>
    <w:basedOn w:val="1049"/>
    <w:uiPriority w:val="0"/>
    <w:qFormat/>
    <w:rPr>
      <w:rFonts w:ascii="Tahoma" w:hAnsi="Tahoma"/>
      <w:sz w:val="24"/>
      <w:szCs w:val="20"/>
    </w:rPr>
  </w:style>
  <w:style w:type="paragraph" w:styleId="1214" w:customStyle="1">
    <w:name w:val="xl44"/>
    <w:basedOn w:val="104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5" w:customStyle="1">
    <w:name w:val="1名"/>
    <w:basedOn w:val="1049"/>
    <w:uiPriority w:val="0"/>
    <w:qFormat/>
    <w:pPr>
      <w:numPr>
        <w:ilvl w:val="0"/>
        <w:numId w:val="5"/>
      </w:numPr>
      <w:spacing w:before="120"/>
    </w:pPr>
    <w:rPr>
      <w:rFonts w:ascii="宋体"/>
      <w:sz w:val="28"/>
      <w:szCs w:val="20"/>
    </w:rPr>
  </w:style>
  <w:style w:type="paragraph" w:styleId="1216" w:customStyle="1">
    <w:name w:val="font9"/>
    <w:basedOn w:val="104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7" w:customStyle="1">
    <w:name w:val="Char Char Char1 Char1"/>
    <w:basedOn w:val="1049"/>
    <w:uiPriority w:val="0"/>
    <w:qFormat/>
    <w:rPr>
      <w:rFonts w:ascii="Tahoma" w:hAnsi="Tahoma"/>
      <w:sz w:val="24"/>
      <w:szCs w:val="20"/>
    </w:rPr>
  </w:style>
  <w:style w:type="paragraph" w:styleId="1218" w:customStyle="1">
    <w:name w:val="Char Char Char Char Char Char Char Char Char Char"/>
    <w:basedOn w:val="1049"/>
    <w:uiPriority w:val="0"/>
    <w:qFormat/>
  </w:style>
  <w:style w:type="paragraph" w:styleId="1219" w:customStyle="1">
    <w:name w:val="Char Char1 Char Char Char Char Char Char Char Char"/>
    <w:basedOn w:val="1049"/>
    <w:uiPriority w:val="0"/>
    <w:qFormat/>
    <w:pPr>
      <w:jc w:val="left"/>
      <w:spacing w:after="160" w:line="240" w:lineRule="exact"/>
      <w:widowControl/>
    </w:pPr>
    <w:rPr>
      <w:rFonts w:ascii="Verdana" w:hAnsi="Verdana"/>
      <w:sz w:val="20"/>
      <w:szCs w:val="20"/>
      <w:lang w:eastAsia="en-US"/>
    </w:rPr>
  </w:style>
  <w:style w:type="paragraph" w:styleId="1220" w:customStyle="1">
    <w:name w:val="Char1"/>
    <w:basedOn w:val="1049"/>
    <w:uiPriority w:val="0"/>
    <w:qFormat/>
    <w:pPr>
      <w:tabs>
        <w:tab w:val="left" w:pos="360" w:leader="none"/>
      </w:tabs>
    </w:pPr>
    <w:rPr>
      <w:sz w:val="24"/>
    </w:rPr>
  </w:style>
  <w:style w:type="paragraph" w:styleId="1221" w:customStyle="1">
    <w:name w:val="正文列项_字母"/>
    <w:basedOn w:val="104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customStyle="1">
    <w:name w:val="xl28"/>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3" w:customStyle="1">
    <w:name w:val="xl47"/>
    <w:basedOn w:val="104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4" w:customStyle="1">
    <w:name w:val="默认段落字体 Para Char Char Char Char"/>
    <w:basedOn w:val="1049"/>
    <w:uiPriority w:val="0"/>
    <w:qFormat/>
    <w:rPr>
      <w:rFonts w:ascii="Arial" w:hAnsi="Arial" w:cs="Arial"/>
      <w:szCs w:val="21"/>
    </w:rPr>
  </w:style>
  <w:style w:type="paragraph" w:styleId="1225" w:customStyle="1">
    <w:name w:val="xl48"/>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6" w:customStyle="1">
    <w:name w:val="xl31"/>
    <w:basedOn w:val="10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7" w:customStyle="1">
    <w:name w:val="xl53"/>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8" w:customStyle="1">
    <w:name w:val="Char Char Char"/>
    <w:basedOn w:val="1049"/>
    <w:uiPriority w:val="0"/>
    <w:qFormat/>
    <w:rPr>
      <w:rFonts w:ascii="Tahoma" w:hAnsi="Tahoma"/>
      <w:sz w:val="24"/>
      <w:szCs w:val="20"/>
    </w:rPr>
  </w:style>
  <w:style w:type="paragraph" w:styleId="1229" w:customStyle="1">
    <w:name w:val="xl50"/>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0" w:customStyle="1">
    <w:name w:val="缺省文本"/>
    <w:basedOn w:val="1049"/>
    <w:uiPriority w:val="0"/>
    <w:qFormat/>
    <w:pPr>
      <w:jc w:val="left"/>
    </w:pPr>
    <w:rPr>
      <w:sz w:val="24"/>
    </w:rPr>
  </w:style>
  <w:style w:type="paragraph" w:styleId="1231" w:customStyle="1">
    <w:name w:val="Char Char Char1"/>
    <w:basedOn w:val="1049"/>
    <w:uiPriority w:val="0"/>
    <w:qFormat/>
    <w:rPr>
      <w:rFonts w:ascii="Tahoma" w:hAnsi="Tahoma"/>
      <w:sz w:val="24"/>
      <w:szCs w:val="20"/>
    </w:rPr>
  </w:style>
  <w:style w:type="paragraph" w:styleId="1232" w:customStyle="1">
    <w:name w:val="Char Char Char Char Char Char Char1"/>
    <w:basedOn w:val="1049"/>
    <w:uiPriority w:val="0"/>
    <w:qFormat/>
    <w:pPr>
      <w:ind w:firstLine="200"/>
      <w:spacing w:line="360" w:lineRule="auto"/>
    </w:pPr>
    <w:rPr>
      <w:rFonts w:eastAsia="仿宋_GB2312"/>
      <w:sz w:val="24"/>
    </w:rPr>
  </w:style>
  <w:style w:type="paragraph" w:styleId="1233" w:customStyle="1">
    <w:name w:val="xl51"/>
    <w:basedOn w:val="10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4" w:customStyle="1">
    <w:name w:val="样式2"/>
    <w:basedOn w:val="1090"/>
    <w:uiPriority w:val="0"/>
    <w:qFormat/>
    <w:pPr>
      <w:jc w:val="center"/>
      <w:spacing w:line="360" w:lineRule="auto"/>
    </w:pPr>
    <w:rPr>
      <w:sz w:val="24"/>
    </w:rPr>
  </w:style>
  <w:style w:type="paragraph" w:styleId="1235" w:customStyle="1">
    <w:name w:val="xl24"/>
    <w:basedOn w:val="10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6" w:customStyle="1">
    <w:name w:val="xl29"/>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7" w:customStyle="1">
    <w:name w:val="正文 + 楷体_GB2312"/>
    <w:basedOn w:val="1049"/>
    <w:uiPriority w:val="0"/>
    <w:qFormat/>
    <w:pPr>
      <w:jc w:val="left"/>
      <w:widowControl/>
    </w:pPr>
    <w:rPr>
      <w:rFonts w:ascii="楷体_GB2312" w:eastAsia="楷体_GB2312" w:cs="Arial"/>
      <w:sz w:val="24"/>
    </w:rPr>
  </w:style>
  <w:style w:type="paragraph" w:styleId="1238" w:customStyle="1">
    <w:name w:val="xl34"/>
    <w:basedOn w:val="10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9" w:customStyle="1">
    <w:name w:val="1 Char Char Char Char"/>
    <w:basedOn w:val="1049"/>
    <w:uiPriority w:val="0"/>
    <w:qFormat/>
    <w:rPr>
      <w:rFonts w:ascii="Tahoma" w:hAnsi="Tahoma"/>
      <w:sz w:val="24"/>
      <w:szCs w:val="20"/>
    </w:rPr>
  </w:style>
  <w:style w:type="paragraph" w:styleId="124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1" w:customStyle="1">
    <w:name w:val="列出段落1"/>
    <w:basedOn w:val="1049"/>
    <w:uiPriority w:val="0"/>
    <w:qFormat/>
    <w:pPr>
      <w:ind w:firstLine="420"/>
    </w:pPr>
    <w:rPr>
      <w:rFonts w:ascii="Calibri" w:hAnsi="Calibri"/>
      <w:szCs w:val="22"/>
    </w:rPr>
  </w:style>
  <w:style w:type="paragraph" w:styleId="1242" w:customStyle="1">
    <w:name w:val="default"/>
    <w:basedOn w:val="1049"/>
    <w:uiPriority w:val="0"/>
    <w:qFormat/>
    <w:pPr>
      <w:jc w:val="left"/>
      <w:spacing w:before="100" w:beforeAutospacing="1" w:after="100" w:afterAutospacing="1"/>
      <w:widowControl/>
    </w:pPr>
    <w:rPr>
      <w:rFonts w:ascii="宋体" w:hAnsi="宋体" w:cs="宋体"/>
      <w:sz w:val="24"/>
    </w:rPr>
  </w:style>
  <w:style w:type="paragraph" w:styleId="1243" w:customStyle="1">
    <w:name w:val="字元 字元1"/>
    <w:basedOn w:val="1049"/>
    <w:uiPriority w:val="0"/>
    <w:qFormat/>
    <w:rPr>
      <w:rFonts w:ascii="Tahoma" w:hAnsi="Tahoma"/>
      <w:sz w:val="24"/>
      <w:szCs w:val="20"/>
    </w:rPr>
  </w:style>
  <w:style w:type="paragraph" w:styleId="1244" w:customStyle="1">
    <w:name w:val="_Style 160"/>
    <w:uiPriority w:val="0"/>
    <w:qFormat/>
    <w:rPr>
      <w:rFonts w:ascii="Times New Roman" w:hAnsi="Times New Roman" w:eastAsia="宋体" w:cs="Times New Roman"/>
      <w:sz w:val="21"/>
      <w:szCs w:val="24"/>
      <w:lang w:val="en-US" w:eastAsia="zh-CN" w:bidi="ar-SA"/>
    </w:rPr>
  </w:style>
  <w:style w:type="paragraph" w:styleId="1245" w:customStyle="1">
    <w:name w:val="项目编号3"/>
    <w:basedOn w:val="1205"/>
    <w:uiPriority w:val="0"/>
    <w:qFormat/>
    <w:pPr>
      <w:numPr>
        <w:ilvl w:val="0"/>
        <w:numId w:val="6"/>
      </w:numPr>
    </w:pPr>
  </w:style>
  <w:style w:type="paragraph" w:styleId="1246" w:customStyle="1">
    <w:name w:val="Char21"/>
    <w:basedOn w:val="1049"/>
    <w:uiPriority w:val="0"/>
    <w:qFormat/>
    <w:rPr>
      <w:rFonts w:ascii="Tahoma" w:hAnsi="Tahoma"/>
      <w:sz w:val="24"/>
      <w:szCs w:val="20"/>
    </w:rPr>
  </w:style>
  <w:style w:type="paragraph" w:styleId="1247" w:customStyle="1">
    <w:name w:val="表格文字"/>
    <w:basedOn w:val="1069"/>
    <w:uiPriority w:val="0"/>
    <w:qFormat/>
    <w:pPr>
      <w:ind w:firstLine="0"/>
      <w:spacing w:before="20" w:after="20" w:line="240" w:lineRule="auto"/>
    </w:pPr>
    <w:rPr>
      <w:rFonts w:ascii="Century Gothic" w:hAnsi="Century Gothic"/>
      <w:sz w:val="20"/>
      <w:szCs w:val="20"/>
    </w:rPr>
  </w:style>
  <w:style w:type="paragraph" w:styleId="1248" w:customStyle="1">
    <w:name w:val="Char Char Char Char Char Char Char Char Char Char1"/>
    <w:basedOn w:val="1049"/>
    <w:uiPriority w:val="0"/>
    <w:qFormat/>
    <w:rPr>
      <w:rFonts w:ascii="宋体" w:hAnsi="宋体" w:cs="Courier New"/>
      <w:sz w:val="32"/>
      <w:szCs w:val="32"/>
    </w:rPr>
  </w:style>
  <w:style w:type="paragraph" w:styleId="1249" w:customStyle="1">
    <w:name w:val="正文文本样式 加粗"/>
    <w:basedOn w:val="1205"/>
    <w:uiPriority w:val="0"/>
    <w:qFormat/>
    <w:rPr>
      <w:b/>
    </w:rPr>
  </w:style>
  <w:style w:type="paragraph" w:styleId="1250" w:customStyle="1">
    <w:name w:val="Char2 Char Char Char Char Char Char"/>
    <w:basedOn w:val="1049"/>
    <w:uiPriority w:val="0"/>
    <w:qFormat/>
    <w:pPr>
      <w:jc w:val="center"/>
      <w:spacing w:line="400" w:lineRule="exact"/>
      <w:widowControl/>
    </w:pPr>
  </w:style>
  <w:style w:type="paragraph" w:styleId="1251" w:customStyle="1">
    <w:name w:val="Char Char4"/>
    <w:basedOn w:val="1049"/>
    <w:uiPriority w:val="0"/>
    <w:qFormat/>
    <w:pPr>
      <w:jc w:val="center"/>
      <w:spacing w:line="400" w:lineRule="exact"/>
      <w:widowControl/>
    </w:pPr>
  </w:style>
  <w:style w:type="paragraph" w:styleId="1252" w:customStyle="1">
    <w:name w:val="Char3 Char Char Char1"/>
    <w:basedOn w:val="1049"/>
    <w:uiPriority w:val="0"/>
    <w:qFormat/>
    <w:rPr>
      <w:rFonts w:ascii="Tahoma" w:hAnsi="Tahoma"/>
      <w:sz w:val="24"/>
      <w:szCs w:val="20"/>
    </w:rPr>
  </w:style>
  <w:style w:type="paragraph" w:styleId="1253"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22222222222222"/>
    <w:basedOn w:val="1049"/>
    <w:uiPriority w:val="0"/>
    <w:qFormat/>
    <w:pPr>
      <w:ind w:firstLine="480"/>
      <w:jc w:val="left"/>
      <w:spacing w:line="360" w:lineRule="auto"/>
      <w:widowControl/>
    </w:pPr>
    <w:rPr>
      <w:color w:val="ff0000"/>
      <w:sz w:val="24"/>
      <w:szCs w:val="20"/>
    </w:rPr>
  </w:style>
  <w:style w:type="character" w:styleId="1255" w:customStyle="1">
    <w:name w:val="中等深浅网格 1 - 强调文字颜色 2 Char"/>
    <w:link w:val="1256"/>
    <w:uiPriority w:val="0"/>
    <w:qFormat/>
    <w:rPr>
      <w:szCs w:val="24"/>
      <w:lang w:val="zh-CN"/>
    </w:rPr>
  </w:style>
  <w:style w:type="paragraph" w:styleId="1256" w:customStyle="1">
    <w:name w:val="1"/>
    <w:link w:val="1255"/>
    <w:uiPriority w:val="0"/>
    <w:qFormat/>
    <w:rPr>
      <w:rFonts w:asciiTheme="minorHAnsi" w:hAnsiTheme="minorHAnsi" w:eastAsiaTheme="minorEastAsia" w:cstheme="minorBidi"/>
      <w:sz w:val="21"/>
      <w:szCs w:val="24"/>
      <w:lang w:val="zh-CN" w:eastAsia="zh-CN" w:bidi="ar-SA"/>
    </w:rPr>
  </w:style>
  <w:style w:type="paragraph" w:styleId="1257" w:customStyle="1">
    <w:name w:val="图文"/>
    <w:basedOn w:val="1049"/>
    <w:uiPriority w:val="0"/>
    <w:qFormat/>
    <w:pPr>
      <w:spacing w:after="50" w:line="360" w:lineRule="auto"/>
    </w:pPr>
    <w:rPr>
      <w:sz w:val="24"/>
    </w:rPr>
  </w:style>
  <w:style w:type="paragraph" w:styleId="1258" w:customStyle="1">
    <w:name w:val="xl23"/>
    <w:basedOn w:val="1049"/>
    <w:uiPriority w:val="0"/>
    <w:qFormat/>
    <w:pPr>
      <w:spacing w:before="100" w:beforeAutospacing="1" w:after="100" w:afterAutospacing="1" w:line="360" w:lineRule="auto"/>
      <w:widowControl/>
    </w:pPr>
    <w:rPr>
      <w:sz w:val="24"/>
      <w:szCs w:val="20"/>
    </w:rPr>
  </w:style>
  <w:style w:type="paragraph" w:styleId="1259" w:customStyle="1">
    <w:name w:val="正文表格"/>
    <w:basedOn w:val="1049"/>
    <w:link w:val="1260"/>
    <w:uiPriority w:val="0"/>
    <w:qFormat/>
    <w:pPr>
      <w:jc w:val="left"/>
    </w:pPr>
    <w:rPr>
      <w:rFonts w:ascii="宋体" w:hAnsi="宋体"/>
      <w:color w:val="000000"/>
      <w:szCs w:val="21"/>
    </w:rPr>
  </w:style>
  <w:style w:type="character" w:styleId="1260" w:customStyle="1">
    <w:name w:val="正文表格 Char"/>
    <w:link w:val="1259"/>
    <w:uiPriority w:val="0"/>
    <w:qFormat/>
    <w:rPr>
      <w:rFonts w:ascii="宋体" w:hAnsi="宋体" w:eastAsia="宋体" w:cs="Times New Roman"/>
      <w:color w:val="000000"/>
      <w:szCs w:val="21"/>
    </w:rPr>
  </w:style>
  <w:style w:type="paragraph" w:styleId="1261" w:customStyle="1">
    <w:name w:val="正文重点"/>
    <w:basedOn w:val="1049"/>
    <w:link w:val="1262"/>
    <w:uiPriority w:val="0"/>
    <w:qFormat/>
    <w:pPr>
      <w:ind w:firstLine="482"/>
      <w:jc w:val="left"/>
      <w:spacing w:line="360" w:lineRule="auto"/>
    </w:pPr>
    <w:rPr>
      <w:b/>
      <w:sz w:val="24"/>
      <w:szCs w:val="20"/>
    </w:rPr>
  </w:style>
  <w:style w:type="character" w:styleId="1262" w:customStyle="1">
    <w:name w:val="正文重点 Char"/>
    <w:link w:val="1261"/>
    <w:uiPriority w:val="0"/>
    <w:qFormat/>
    <w:rPr>
      <w:rFonts w:ascii="Times New Roman" w:hAnsi="Times New Roman" w:eastAsia="宋体" w:cs="Times New Roman"/>
      <w:b/>
      <w:sz w:val="24"/>
      <w:szCs w:val="20"/>
    </w:rPr>
  </w:style>
  <w:style w:type="paragraph" w:styleId="1263" w:customStyle="1">
    <w:name w:val="标题1-附件"/>
    <w:basedOn w:val="1050"/>
    <w:uiPriority w:val="0"/>
    <w:qFormat/>
    <w:pPr>
      <w:jc w:val="left"/>
    </w:pPr>
    <w:rPr>
      <w:sz w:val="24"/>
      <w:szCs w:val="24"/>
    </w:rPr>
  </w:style>
  <w:style w:type="paragraph" w:styleId="1264" w:customStyle="1">
    <w:name w:val="正文小标题"/>
    <w:basedOn w:val="1049"/>
    <w:next w:val="1062"/>
    <w:link w:val="1265"/>
    <w:uiPriority w:val="0"/>
    <w:qFormat/>
    <w:pPr>
      <w:ind w:firstLine="482"/>
      <w:jc w:val="left"/>
      <w:spacing w:before="312" w:after="312"/>
    </w:pPr>
    <w:rPr>
      <w:rFonts w:ascii="宋体" w:hAnsi="宋体"/>
      <w:b/>
      <w:i/>
      <w:color w:val="ff0000"/>
      <w:sz w:val="24"/>
      <w:szCs w:val="20"/>
    </w:rPr>
  </w:style>
  <w:style w:type="character" w:styleId="1265" w:customStyle="1">
    <w:name w:val="正文小标题 Char"/>
    <w:link w:val="1264"/>
    <w:uiPriority w:val="0"/>
    <w:qFormat/>
    <w:rPr>
      <w:rFonts w:ascii="宋体" w:hAnsi="宋体" w:eastAsia="宋体" w:cs="Times New Roman"/>
      <w:b/>
      <w:i/>
      <w:color w:val="ff0000"/>
      <w:sz w:val="24"/>
      <w:szCs w:val="20"/>
    </w:rPr>
  </w:style>
  <w:style w:type="paragraph" w:styleId="1266" w:customStyle="1">
    <w:name w:val="正文大标题"/>
    <w:basedOn w:val="1264"/>
    <w:next w:val="1062"/>
    <w:link w:val="1267"/>
    <w:uiPriority w:val="0"/>
    <w:qFormat/>
    <w:pPr>
      <w:jc w:val="center"/>
    </w:pPr>
    <w:rPr>
      <w:i w:val="0"/>
      <w:color w:val="000000"/>
      <w:sz w:val="28"/>
      <w:szCs w:val="21"/>
    </w:rPr>
  </w:style>
  <w:style w:type="character" w:styleId="1267" w:customStyle="1">
    <w:name w:val="正文大标题 Char"/>
    <w:link w:val="1266"/>
    <w:uiPriority w:val="0"/>
    <w:qFormat/>
    <w:rPr>
      <w:rFonts w:ascii="宋体" w:hAnsi="宋体" w:eastAsia="宋体" w:cs="Times New Roman"/>
      <w:b/>
      <w:color w:val="000000"/>
      <w:sz w:val="28"/>
      <w:szCs w:val="21"/>
    </w:rPr>
  </w:style>
  <w:style w:type="paragraph" w:styleId="1268" w:customStyle="1">
    <w:name w:val="注释"/>
    <w:basedOn w:val="1049"/>
    <w:link w:val="1269"/>
    <w:uiPriority w:val="0"/>
    <w:qFormat/>
    <w:pPr>
      <w:ind w:left="420" w:hanging="420"/>
      <w:jc w:val="left"/>
    </w:pPr>
    <w:rPr>
      <w:rFonts w:ascii="宋体" w:hAnsi="宋体"/>
      <w:szCs w:val="21"/>
    </w:rPr>
  </w:style>
  <w:style w:type="character" w:styleId="1269" w:customStyle="1">
    <w:name w:val="注释 Char"/>
    <w:link w:val="1268"/>
    <w:uiPriority w:val="0"/>
    <w:qFormat/>
    <w:rPr>
      <w:rFonts w:ascii="宋体" w:hAnsi="宋体" w:eastAsia="宋体" w:cs="Times New Roman"/>
      <w:szCs w:val="21"/>
    </w:rPr>
  </w:style>
  <w:style w:type="paragraph" w:styleId="1270" w:customStyle="1">
    <w:name w:val="正文须知-1级"/>
    <w:basedOn w:val="1049"/>
    <w:next w:val="1049"/>
    <w:uiPriority w:val="0"/>
    <w:qFormat/>
    <w:pPr>
      <w:ind w:left="680" w:hanging="680"/>
      <w:spacing w:line="300" w:lineRule="auto"/>
    </w:pPr>
    <w:rPr>
      <w:rFonts w:ascii="宋体" w:hAnsi="Calibri"/>
      <w:sz w:val="24"/>
      <w:szCs w:val="21"/>
    </w:rPr>
  </w:style>
  <w:style w:type="paragraph" w:styleId="1271" w:customStyle="1">
    <w:name w:val="正文须知-2级"/>
    <w:basedOn w:val="1049"/>
    <w:uiPriority w:val="0"/>
    <w:qFormat/>
    <w:pPr>
      <w:ind w:left="851" w:hanging="851"/>
      <w:spacing w:line="300" w:lineRule="auto"/>
    </w:pPr>
    <w:rPr>
      <w:rFonts w:ascii="宋体" w:hAnsi="Calibri"/>
      <w:sz w:val="24"/>
      <w:szCs w:val="21"/>
    </w:rPr>
  </w:style>
  <w:style w:type="paragraph" w:styleId="1272" w:customStyle="1">
    <w:name w:val="正文须知-3级"/>
    <w:basedOn w:val="1049"/>
    <w:uiPriority w:val="0"/>
    <w:qFormat/>
    <w:pPr>
      <w:numPr>
        <w:ilvl w:val="2"/>
        <w:numId w:val="7"/>
      </w:numPr>
      <w:ind w:hanging="355"/>
      <w:spacing w:line="300" w:lineRule="auto"/>
    </w:pPr>
    <w:rPr>
      <w:rFonts w:ascii="宋体" w:hAnsi="Calibri"/>
      <w:sz w:val="24"/>
      <w:szCs w:val="21"/>
    </w:rPr>
  </w:style>
  <w:style w:type="character" w:styleId="1273" w:customStyle="1">
    <w:name w:val="纯文本 字符"/>
    <w:uiPriority w:val="99"/>
    <w:qFormat/>
    <w:rPr>
      <w:rFonts w:ascii="宋体" w:hAnsi="Courier New" w:eastAsia="宋体" w:cs="Times New Roman"/>
      <w:sz w:val="21"/>
      <w:szCs w:val="21"/>
      <w:lang w:val="en-US" w:eastAsia="zh-CN" w:bidi="ar-SA"/>
    </w:rPr>
  </w:style>
  <w:style w:type="paragraph" w:styleId="1274" w:customStyle="1">
    <w:name w:val="表格1"/>
    <w:basedOn w:val="1049"/>
    <w:uiPriority w:val="0"/>
    <w:qFormat/>
    <w:pPr>
      <w:ind w:firstLine="480"/>
      <w:jc w:val="center"/>
    </w:pPr>
    <w:rPr>
      <w:sz w:val="24"/>
      <w:szCs w:val="20"/>
    </w:rPr>
  </w:style>
  <w:style w:type="character" w:styleId="1275" w:customStyle="1">
    <w:name w:val="纯文本 字符1"/>
    <w:uiPriority w:val="0"/>
    <w:qFormat/>
    <w:rPr>
      <w:rFonts w:ascii="宋体" w:hAnsi="Courier New"/>
    </w:rPr>
  </w:style>
  <w:style w:type="character" w:styleId="1276" w:customStyle="1">
    <w:name w:val="bjh-p"/>
    <w:uiPriority w:val="0"/>
    <w:qFormat/>
  </w:style>
  <w:style w:type="paragraph" w:styleId="1277" w:customStyle="1">
    <w:name w:val="无标题条"/>
    <w:next w:val="1049"/>
    <w:uiPriority w:val="0"/>
    <w:qFormat/>
    <w:pPr>
      <w:jc w:val="both"/>
    </w:pPr>
    <w:rPr>
      <w:rFonts w:ascii="Times New Roman" w:hAnsi="Times New Roman" w:eastAsia="宋体" w:cs="Times New Roman"/>
      <w:sz w:val="21"/>
      <w:lang w:val="en-US" w:eastAsia="zh-CN" w:bidi="ar-SA"/>
    </w:rPr>
  </w:style>
  <w:style w:type="character" w:styleId="1278" w:customStyle="1">
    <w:name w:val="正文格式 Char"/>
    <w:link w:val="1279"/>
    <w:uiPriority w:val="0"/>
    <w:qFormat/>
    <w:rPr>
      <w:rFonts w:ascii="宋体" w:hAnsi="宋体"/>
      <w:sz w:val="24"/>
      <w:szCs w:val="24"/>
      <w:lang w:val="en-GB"/>
    </w:rPr>
  </w:style>
  <w:style w:type="paragraph" w:styleId="1279" w:customStyle="1">
    <w:name w:val="正文格式"/>
    <w:basedOn w:val="1049"/>
    <w:link w:val="1278"/>
    <w:uiPriority w:val="0"/>
    <w:qFormat/>
    <w:pPr>
      <w:ind w:firstLine="480"/>
      <w:spacing w:line="360" w:lineRule="auto"/>
    </w:pPr>
    <w:rPr>
      <w:rFonts w:ascii="宋体" w:hAnsi="宋体" w:eastAsiaTheme="minorEastAsia" w:cstheme="minorBidi"/>
      <w:sz w:val="24"/>
      <w:lang w:val="en-GB"/>
    </w:rPr>
  </w:style>
  <w:style w:type="character" w:styleId="1280" w:customStyle="1">
    <w:name w:val="正文缩进 Char"/>
    <w:uiPriority w:val="0"/>
    <w:qFormat/>
    <w:rPr>
      <w:rFonts w:ascii="宋体" w:eastAsia="宋体"/>
      <w:sz w:val="24"/>
      <w:szCs w:val="24"/>
      <w:lang w:val="en-US" w:eastAsia="zh-CN" w:bidi="ar-SA"/>
    </w:rPr>
  </w:style>
  <w:style w:type="character" w:styleId="1281" w:customStyle="1">
    <w:name w:val="Char Char111"/>
    <w:uiPriority w:val="0"/>
    <w:qFormat/>
    <w:rPr>
      <w:rFonts w:ascii="宋体" w:eastAsia="宋体"/>
      <w:b/>
      <w:sz w:val="24"/>
      <w:u w:val="single"/>
      <w:lang w:val="en-US" w:eastAsia="zh-CN" w:bidi="ar-SA"/>
    </w:rPr>
  </w:style>
  <w:style w:type="character" w:styleId="1282" w:customStyle="1">
    <w:name w:val="列出段落 Char"/>
    <w:uiPriority w:val="0"/>
    <w:qFormat/>
    <w:rPr>
      <w:rFonts w:ascii="Calibri" w:hAnsi="Calibri" w:eastAsia="宋体"/>
      <w:sz w:val="21"/>
      <w:szCs w:val="22"/>
      <w:lang w:val="en-US" w:eastAsia="zh-CN" w:bidi="ar-SA"/>
    </w:rPr>
  </w:style>
  <w:style w:type="paragraph" w:styleId="1283" w:customStyle="1">
    <w:name w:val="字元 字元2"/>
    <w:basedOn w:val="1049"/>
    <w:uiPriority w:val="0"/>
    <w:qFormat/>
    <w:rPr>
      <w:rFonts w:ascii="Tahoma" w:hAnsi="Tahoma"/>
      <w:sz w:val="24"/>
      <w:szCs w:val="20"/>
    </w:rPr>
  </w:style>
  <w:style w:type="paragraph" w:styleId="1284" w:customStyle="1">
    <w:name w:val="Char3 Char Char Char2"/>
    <w:basedOn w:val="1049"/>
    <w:uiPriority w:val="0"/>
    <w:qFormat/>
    <w:rPr>
      <w:rFonts w:ascii="Tahoma" w:hAnsi="Tahoma"/>
      <w:sz w:val="24"/>
      <w:szCs w:val="20"/>
    </w:rPr>
  </w:style>
  <w:style w:type="paragraph" w:styleId="1285" w:customStyle="1">
    <w:name w:val="正文文本缩进2"/>
    <w:basedOn w:val="1049"/>
    <w:uiPriority w:val="0"/>
    <w:qFormat/>
    <w:pPr>
      <w:ind w:firstLine="480"/>
      <w:spacing w:line="480" w:lineRule="exact"/>
    </w:pPr>
    <w:rPr>
      <w:rFonts w:ascii="宋体" w:hAnsi="宋体"/>
      <w:sz w:val="24"/>
      <w:lang w:val="zh-CN"/>
    </w:rPr>
  </w:style>
  <w:style w:type="paragraph" w:styleId="1286" w:customStyle="1">
    <w:name w:val="Char3"/>
    <w:basedOn w:val="1049"/>
    <w:uiPriority w:val="0"/>
    <w:qFormat/>
    <w:pPr>
      <w:tabs>
        <w:tab w:val="left" w:pos="360" w:leader="none"/>
      </w:tabs>
    </w:pPr>
    <w:rPr>
      <w:sz w:val="24"/>
    </w:rPr>
  </w:style>
  <w:style w:type="paragraph" w:styleId="1287" w:customStyle="1">
    <w:name w:val="Char Char Char Char Char Char Char Char Char Char Char Char Char Char Char Char1"/>
    <w:basedOn w:val="1049"/>
    <w:uiPriority w:val="0"/>
    <w:qFormat/>
    <w:pPr>
      <w:jc w:val="center"/>
      <w:spacing w:after="160" w:line="240" w:lineRule="exact"/>
      <w:widowControl/>
    </w:pPr>
    <w:rPr>
      <w:rFonts w:ascii="宋体" w:hAnsi="宋体"/>
      <w:b/>
      <w:sz w:val="30"/>
      <w:szCs w:val="30"/>
      <w:lang w:eastAsia="en-US"/>
    </w:rPr>
  </w:style>
  <w:style w:type="paragraph" w:styleId="1288" w:customStyle="1">
    <w:name w:val="Char Char1 Char Char Char Char Char Char1"/>
    <w:basedOn w:val="1049"/>
    <w:uiPriority w:val="0"/>
    <w:qFormat/>
    <w:pPr>
      <w:jc w:val="left"/>
      <w:spacing w:after="160" w:line="240" w:lineRule="exact"/>
      <w:widowControl/>
    </w:pPr>
    <w:rPr>
      <w:rFonts w:ascii="Verdana" w:hAnsi="Verdana" w:eastAsia="仿宋_GB2312"/>
      <w:sz w:val="24"/>
      <w:szCs w:val="20"/>
      <w:lang w:eastAsia="en-US"/>
    </w:rPr>
  </w:style>
  <w:style w:type="paragraph" w:styleId="1289" w:customStyle="1">
    <w:name w:val="列出段落2"/>
    <w:basedOn w:val="1049"/>
    <w:uiPriority w:val="34"/>
    <w:qFormat/>
    <w:pPr>
      <w:ind w:firstLine="420"/>
    </w:pPr>
    <w:rPr>
      <w:rFonts w:ascii="Calibri" w:hAnsi="Calibri"/>
      <w:szCs w:val="22"/>
    </w:rPr>
  </w:style>
  <w:style w:type="paragraph" w:styleId="1290" w:customStyle="1">
    <w:name w:val="Char Char Char1 Char2"/>
    <w:basedOn w:val="1049"/>
    <w:uiPriority w:val="0"/>
    <w:qFormat/>
    <w:rPr>
      <w:rFonts w:ascii="Tahoma" w:hAnsi="Tahoma"/>
      <w:sz w:val="24"/>
      <w:szCs w:val="20"/>
    </w:rPr>
  </w:style>
  <w:style w:type="paragraph" w:styleId="1291" w:customStyle="1">
    <w:name w:val="Char Char Char2"/>
    <w:basedOn w:val="1049"/>
    <w:uiPriority w:val="0"/>
    <w:qFormat/>
    <w:rPr>
      <w:rFonts w:ascii="Tahoma" w:hAnsi="Tahoma"/>
      <w:sz w:val="24"/>
      <w:szCs w:val="20"/>
    </w:rPr>
  </w:style>
  <w:style w:type="paragraph" w:styleId="1292" w:customStyle="1">
    <w:name w:val="Char Char Char Char Char Char Char2"/>
    <w:basedOn w:val="1049"/>
    <w:uiPriority w:val="0"/>
    <w:qFormat/>
    <w:pPr>
      <w:ind w:firstLine="200"/>
      <w:spacing w:line="360" w:lineRule="auto"/>
    </w:pPr>
    <w:rPr>
      <w:rFonts w:eastAsia="仿宋_GB2312"/>
      <w:sz w:val="24"/>
    </w:rPr>
  </w:style>
  <w:style w:type="paragraph" w:styleId="1293" w:customStyle="1">
    <w:name w:val="正文缩进2"/>
    <w:basedOn w:val="1049"/>
    <w:uiPriority w:val="0"/>
    <w:qFormat/>
    <w:pPr>
      <w:ind w:firstLine="567"/>
      <w:spacing w:line="480" w:lineRule="exact"/>
      <w:widowControl/>
    </w:pPr>
    <w:rPr>
      <w:rFonts w:ascii="宋体"/>
      <w:color w:val="000000"/>
      <w:sz w:val="28"/>
      <w:szCs w:val="20"/>
      <w:lang w:val="zh-CN"/>
    </w:rPr>
  </w:style>
  <w:style w:type="paragraph" w:styleId="1294" w:customStyle="1">
    <w:name w:val="修订1"/>
    <w:uiPriority w:val="0"/>
    <w:qFormat/>
    <w:rPr>
      <w:rFonts w:ascii="Times New Roman" w:hAnsi="Times New Roman" w:eastAsia="宋体" w:cs="Times New Roman"/>
      <w:sz w:val="21"/>
      <w:szCs w:val="24"/>
      <w:lang w:val="en-US" w:eastAsia="zh-CN" w:bidi="ar-SA"/>
    </w:rPr>
  </w:style>
  <w:style w:type="paragraph" w:styleId="1295" w:customStyle="1">
    <w:name w:val="Char22"/>
    <w:basedOn w:val="1049"/>
    <w:uiPriority w:val="0"/>
    <w:qFormat/>
    <w:rPr>
      <w:rFonts w:ascii="Tahoma" w:hAnsi="Tahoma"/>
      <w:sz w:val="24"/>
      <w:szCs w:val="20"/>
    </w:rPr>
  </w:style>
  <w:style w:type="paragraph" w:styleId="1296" w:customStyle="1">
    <w:name w:val="Char Char Char Char Char Char Char Char Char Char2"/>
    <w:basedOn w:val="1049"/>
    <w:uiPriority w:val="0"/>
    <w:qFormat/>
    <w:rPr>
      <w:rFonts w:ascii="宋体" w:hAnsi="宋体" w:cs="Courier New"/>
      <w:sz w:val="32"/>
      <w:szCs w:val="32"/>
    </w:rPr>
  </w:style>
  <w:style w:type="paragraph" w:styleId="1297" w:customStyle="1">
    <w:name w:val="Char2 Char Char Char Char Char Char1"/>
    <w:basedOn w:val="1049"/>
    <w:uiPriority w:val="0"/>
    <w:qFormat/>
    <w:pPr>
      <w:jc w:val="center"/>
      <w:spacing w:line="400" w:lineRule="exact"/>
      <w:widowControl/>
    </w:pPr>
  </w:style>
  <w:style w:type="paragraph" w:styleId="1298" w:customStyle="1">
    <w:name w:val="Char Char41"/>
    <w:basedOn w:val="1049"/>
    <w:uiPriority w:val="0"/>
    <w:qFormat/>
    <w:pPr>
      <w:jc w:val="center"/>
      <w:spacing w:line="400" w:lineRule="exact"/>
      <w:widowControl/>
    </w:pPr>
  </w:style>
  <w:style w:type="paragraph" w:styleId="1299" w:customStyle="1">
    <w:name w:val="图例"/>
    <w:basedOn w:val="1049"/>
    <w:uiPriority w:val="0"/>
    <w:qFormat/>
    <w:pPr>
      <w:jc w:val="center"/>
      <w:spacing w:before="120" w:after="120" w:line="360" w:lineRule="auto"/>
    </w:pPr>
    <w:rPr>
      <w:rFonts w:eastAsia="仿宋_GB2312"/>
      <w:b/>
      <w:sz w:val="24"/>
      <w:szCs w:val="20"/>
    </w:rPr>
  </w:style>
  <w:style w:type="paragraph" w:styleId="1300" w:customStyle="1">
    <w:name w:val="Table Paragraph"/>
    <w:basedOn w:val="1049"/>
    <w:uiPriority w:val="1"/>
    <w:qFormat/>
    <w:pPr>
      <w:jc w:val="left"/>
      <w:spacing w:line="360" w:lineRule="auto"/>
    </w:pPr>
    <w:rPr>
      <w:rFonts w:cs="宋体" w:asciiTheme="minorEastAsia" w:hAnsiTheme="minorEastAsia" w:eastAsiaTheme="minorEastAsia"/>
      <w:szCs w:val="21"/>
    </w:rPr>
  </w:style>
  <w:style w:type="paragraph" w:styleId="1301" w:customStyle="1">
    <w:name w:val="成文日期"/>
    <w:basedOn w:val="1049"/>
    <w:link w:val="1302"/>
    <w:uiPriority w:val="0"/>
    <w:qFormat/>
    <w:pPr>
      <w:ind w:right="400" w:firstLine="200"/>
      <w:jc w:val="right"/>
      <w:spacing w:line="570" w:lineRule="exact"/>
    </w:pPr>
    <w:rPr>
      <w:rFonts w:ascii="仿宋_GB2312" w:eastAsia="仿宋_GB2312"/>
      <w:sz w:val="32"/>
      <w:szCs w:val="20"/>
    </w:rPr>
  </w:style>
  <w:style w:type="character" w:styleId="1302" w:customStyle="1">
    <w:name w:val="成文日期 Char"/>
    <w:link w:val="1301"/>
    <w:uiPriority w:val="0"/>
    <w:qFormat/>
    <w:rPr>
      <w:rFonts w:ascii="仿宋_GB2312" w:hAnsi="Times New Roman" w:eastAsia="仿宋_GB2312" w:cs="Times New Roman"/>
      <w:sz w:val="32"/>
      <w:szCs w:val="20"/>
    </w:rPr>
  </w:style>
  <w:style w:type="paragraph" w:styleId="1303" w:customStyle="1">
    <w:name w:val="段"/>
    <w:next w:val="1049"/>
    <w:uiPriority w:val="0"/>
    <w:qFormat/>
    <w:pPr>
      <w:ind w:firstLine="200"/>
      <w:jc w:val="both"/>
    </w:pPr>
    <w:rPr>
      <w:rFonts w:ascii="宋体" w:hAnsi="Calibri" w:eastAsia="宋体" w:cs="Times New Roman"/>
      <w:sz w:val="21"/>
      <w:lang w:val="en-US" w:eastAsia="zh-CN" w:bidi="ar-SA"/>
    </w:rPr>
  </w:style>
  <w:style w:type="paragraph" w:styleId="1304" w:customStyle="1">
    <w:name w:val="Í¼±íÕýÎÄ"/>
    <w:basedOn w:val="1049"/>
    <w:next w:val="1062"/>
    <w:uiPriority w:val="0"/>
    <w:qFormat/>
    <w:pPr>
      <w:ind w:firstLine="420"/>
    </w:pPr>
    <w:rPr>
      <w:sz w:val="24"/>
      <w:szCs w:val="20"/>
    </w:rPr>
  </w:style>
  <w:style w:type="character" w:styleId="1305" w:customStyle="1">
    <w:name w:val="font11"/>
    <w:uiPriority w:val="0"/>
    <w:qFormat/>
    <w:rPr>
      <w:rFonts w:hint="eastAsia" w:ascii="宋体" w:hAnsi="宋体" w:eastAsia="宋体" w:cs="宋体"/>
      <w:color w:val="000000"/>
      <w:sz w:val="24"/>
      <w:szCs w:val="24"/>
      <w:u w:val="none"/>
    </w:rPr>
  </w:style>
  <w:style w:type="character" w:styleId="1306" w:customStyle="1">
    <w:name w:val="font21"/>
    <w:uiPriority w:val="0"/>
    <w:qFormat/>
    <w:rPr>
      <w:rFonts w:hint="eastAsia" w:ascii="宋体" w:hAnsi="宋体" w:eastAsia="宋体" w:cs="宋体"/>
      <w:color w:val="ff0000"/>
      <w:sz w:val="24"/>
      <w:szCs w:val="24"/>
      <w:u w:val="none"/>
    </w:rPr>
  </w:style>
  <w:style w:type="character" w:styleId="1307" w:customStyle="1">
    <w:name w:val="font31"/>
    <w:basedOn w:val="1059"/>
    <w:uiPriority w:val="0"/>
    <w:qFormat/>
    <w:rPr>
      <w:rFonts w:hint="eastAsia" w:ascii="宋体" w:hAnsi="宋体" w:eastAsia="宋体" w:cs="宋体"/>
      <w:color w:val="ff0000"/>
      <w:sz w:val="24"/>
      <w:szCs w:val="24"/>
      <w:u w:val="none"/>
    </w:rPr>
  </w:style>
  <w:style w:type="character" w:styleId="1308" w:customStyle="1">
    <w:name w:val="l-btn-left"/>
    <w:uiPriority w:val="0"/>
    <w:qFormat/>
  </w:style>
  <w:style w:type="character" w:styleId="1309" w:customStyle="1">
    <w:name w:val="l-btn-text36"/>
    <w:uiPriority w:val="0"/>
    <w:qFormat/>
  </w:style>
  <w:style w:type="character" w:styleId="1310" w:customStyle="1">
    <w:name w:val="current"/>
    <w:uiPriority w:val="0"/>
    <w:qFormat/>
    <w:rPr>
      <w:b/>
      <w:bCs/>
      <w:color w:val="05a7d8"/>
      <w:sz w:val="18"/>
      <w:szCs w:val="18"/>
    </w:rPr>
  </w:style>
  <w:style w:type="character" w:styleId="1311" w:customStyle="1">
    <w:name w:val="l-btn-text"/>
    <w:uiPriority w:val="0"/>
    <w:qFormat/>
  </w:style>
  <w:style w:type="paragraph" w:styleId="1312"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313">
    <w:name w:val="List Paragraph"/>
    <w:basedOn w:val="1049"/>
    <w:uiPriority w:val="34"/>
    <w:qFormat/>
    <w:pPr>
      <w:ind w:firstLine="420"/>
    </w:pPr>
  </w:style>
  <w:style w:type="paragraph" w:styleId="1314" w:customStyle="1">
    <w:name w:val="表格"/>
    <w:basedOn w:val="1049"/>
    <w:uiPriority w:val="0"/>
    <w:qFormat/>
    <w:rPr>
      <w:rFonts w:ascii="Calibri" w:hAnsi="Calibri"/>
      <w:szCs w:val="21"/>
    </w:rPr>
  </w:style>
  <w:style w:type="character" w:styleId="1315" w:customStyle="1">
    <w:name w:val="普通(网站) Char"/>
    <w:link w:val="1089"/>
    <w:uiPriority w:val="99"/>
    <w:qFormat/>
    <w:rPr>
      <w:rFonts w:ascii="宋体" w:hAnsi="宋体" w:eastAsia="宋体" w:cs="宋体"/>
      <w:sz w:val="24"/>
      <w:szCs w:val="24"/>
    </w:rPr>
  </w:style>
  <w:style w:type="paragraph" w:styleId="1316" w:customStyle="1">
    <w:name w:val="null3"/>
    <w:uiPriority w:val="0"/>
    <w:qFormat/>
    <w:rPr>
      <w:rFonts w:ascii="Calibri" w:hAnsi="Calibri" w:eastAsia="宋体" w:cs="Times New Roman"/>
      <w:lang w:val="en-US" w:eastAsia="zh-CN" w:bidi="ar-SA"/>
    </w:rPr>
  </w:style>
  <w:style w:type="paragraph" w:styleId="1317" w:customStyle="1">
    <w:name w:val="纯文本11"/>
    <w:basedOn w:val="1049"/>
    <w:next w:val="1318"/>
    <w:uiPriority w:val="99"/>
    <w:qFormat/>
    <w:rPr>
      <w:rFonts w:hint="eastAsia" w:ascii="宋体" w:hAnsi="Courier New"/>
      <w:szCs w:val="20"/>
    </w:rPr>
  </w:style>
  <w:style w:type="paragraph" w:styleId="1318" w:customStyle="1">
    <w:name w:val="正文缩进11"/>
    <w:basedOn w:val="1049"/>
    <w:uiPriority w:val="0"/>
    <w:qFormat/>
    <w:pPr>
      <w:ind w:firstLine="420"/>
      <w:jc w:val="left"/>
    </w:pPr>
    <w:rPr>
      <w:rFonts w:ascii="宋体"/>
      <w:sz w:val="24"/>
    </w:rPr>
  </w:style>
  <w:style w:type="table" w:styleId="131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0"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正文文本1"/>
    <w:basedOn w:val="1049"/>
    <w:link w:val="1322"/>
    <w:uiPriority w:val="0"/>
    <w:qFormat/>
    <w:pPr>
      <w:spacing w:before="120" w:line="22" w:lineRule="atLeast"/>
      <w:tabs>
        <w:tab w:val="left" w:pos="567" w:leader="none"/>
      </w:tabs>
    </w:pPr>
    <w:rPr>
      <w:rFonts w:ascii="宋体" w:hAnsi="宋体"/>
      <w:sz w:val="24"/>
    </w:rPr>
  </w:style>
  <w:style w:type="character" w:styleId="1322" w:customStyle="1">
    <w:name w:val="正文文本_"/>
    <w:basedOn w:val="1059"/>
    <w:link w:val="1321"/>
    <w:uiPriority w:val="99"/>
    <w:unhideWhenUsed/>
    <w:qFormat/>
    <w:rPr>
      <w:rFonts w:ascii="宋体" w:hAnsi="宋体"/>
      <w:sz w:val="24"/>
    </w:rPr>
  </w:style>
  <w:style w:type="character" w:styleId="1323" w:customStyle="1">
    <w:name w:val="font61"/>
    <w:basedOn w:val="1059"/>
    <w:uiPriority w:val="0"/>
    <w:qFormat/>
    <w:rPr>
      <w:rFonts w:hint="eastAsia" w:ascii="宋体" w:hAnsi="宋体" w:eastAsia="宋体" w:cs="宋体"/>
      <w:color w:val="000000"/>
      <w:sz w:val="14"/>
      <w:szCs w:val="14"/>
      <w:u w:val="none"/>
    </w:rPr>
  </w:style>
  <w:style w:type="character" w:styleId="1324" w:customStyle="1">
    <w:name w:val="font71"/>
    <w:basedOn w:val="1059"/>
    <w:uiPriority w:val="0"/>
    <w:qFormat/>
    <w:rPr>
      <w:rFonts w:hint="eastAsia" w:ascii="宋体" w:hAnsi="宋体" w:eastAsia="宋体" w:cs="宋体"/>
      <w:color w:val="000000"/>
      <w:sz w:val="14"/>
      <w:szCs w:val="14"/>
      <w:u w:val="none"/>
    </w:rPr>
  </w:style>
  <w:style w:type="character" w:styleId="1325" w:customStyle="1">
    <w:name w:val="font51"/>
    <w:basedOn w:val="1059"/>
    <w:uiPriority w:val="0"/>
    <w:qFormat/>
    <w:rPr>
      <w:rFonts w:hint="eastAsia" w:ascii="宋体" w:hAnsi="宋体" w:eastAsia="宋体" w:cs="宋体"/>
      <w:color w:val="000000"/>
      <w:sz w:val="18"/>
      <w:szCs w:val="18"/>
      <w:u w:val="none"/>
    </w:rPr>
  </w:style>
  <w:style w:type="character" w:styleId="1326" w:customStyle="1">
    <w:name w:val="font91"/>
    <w:basedOn w:val="1059"/>
    <w:uiPriority w:val="0"/>
    <w:qFormat/>
    <w:rPr>
      <w:rFonts w:hint="default" w:ascii="Times New Roman" w:hAnsi="Times New Roman" w:cs="Times New Roman"/>
      <w:color w:val="000000"/>
      <w:sz w:val="18"/>
      <w:szCs w:val="18"/>
      <w:u w:val="none"/>
    </w:rPr>
  </w:style>
  <w:style w:type="paragraph" w:styleId="1327" w:customStyle="1">
    <w:name w:val="普通(网站)1"/>
    <w:basedOn w:val="1049"/>
    <w:uiPriority w:val="99"/>
    <w:qFormat/>
    <w:pPr>
      <w:jc w:val="left"/>
      <w:spacing w:before="100" w:beforeAutospacing="1" w:after="100" w:afterAutospacing="1"/>
      <w:widowControl/>
    </w:pPr>
    <w:rPr>
      <w:rFonts w:ascii="宋体" w:hAnsi="宋体" w:cs="宋体"/>
      <w:sz w:val="24"/>
    </w:rPr>
  </w:style>
  <w:style w:type="paragraph" w:styleId="1328" w:customStyle="1">
    <w:name w:val="标题 21"/>
    <w:basedOn w:val="1049"/>
    <w:next w:val="1318"/>
    <w:uiPriority w:val="0"/>
    <w:qFormat/>
    <w:pPr>
      <w:jc w:val="center"/>
      <w:keepLines/>
      <w:keepNext/>
      <w:spacing w:before="120" w:line="300" w:lineRule="auto"/>
      <w:outlineLvl w:val="1"/>
    </w:pPr>
    <w:rPr>
      <w:rFonts w:ascii="Arial" w:hAnsi="Arial" w:eastAsia="黑体"/>
      <w:b/>
      <w:sz w:val="30"/>
      <w:szCs w:val="20"/>
    </w:rPr>
  </w:style>
  <w:style w:type="paragraph" w:styleId="1329" w:customStyle="1">
    <w:name w:val="列出段落"/>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330" w:customStyle="1">
    <w:name w:val="纯文本1"/>
    <w:basedOn w:val="1049"/>
    <w:uiPriority w:val="0"/>
    <w:qFormat/>
    <w:rPr>
      <w:rFonts w:hint="eastAsia" w:ascii="宋体" w:hAnsi="Courier New"/>
      <w:szCs w:val="20"/>
    </w:rPr>
  </w:style>
  <w:style w:type="table" w:styleId="1331"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2" w:customStyle="1">
    <w:name w:val="Table Text"/>
    <w:uiPriority w:val="0"/>
    <w:semiHidden/>
    <w:qFormat/>
    <w:pPr>
      <w:jc w:val="both"/>
      <w:widowControl w:val="off"/>
    </w:pPr>
    <w:rPr>
      <w:rFonts w:hint="default" w:ascii="宋体" w:hAnsi="宋体" w:eastAsia="宋体" w:cs="宋体"/>
      <w:sz w:val="24"/>
      <w:szCs w:val="24"/>
      <w:lang w:val="en-US" w:eastAsia="zh-CN" w:bidi="ar-SA"/>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117</cp:revision>
  <dcterms:created xsi:type="dcterms:W3CDTF">2024-06-05T08:50:00Z</dcterms:created>
  <dcterms:modified xsi:type="dcterms:W3CDTF">2026-10-09T06:34:58Z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84120C8B00C04AE089734FC9339F1E17_13</vt:lpwstr>
  </property>
  <property fmtid="{D5CDD505-2E9C-101B-9397-08002B2CF9AE}" pid="4" name="KSOTemplateDocerSaveRecord">
    <vt:lpwstr>eyJoZGlkIjoiMTczZjU4NTNhNTliZWYyNDIzZGE5ZTQ2YTA1NWU3NGQiLCJ1c2VySWQiOiI3MDM0ODMyNzIifQ==</vt:lpwstr>
  </property>
</Properties>
</file>