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color w:val="auto"/>
          <w:sz w:val="60"/>
          <w:szCs w:val="60"/>
          <w:highlight w:val="none"/>
        </w:rPr>
      </w:pPr>
      <w:r/>
      <w:bookmarkStart w:id="359" w:name="_GoBack"/>
      <w:r/>
      <w:r/>
    </w:p>
    <w:p>
      <w:pPr>
        <w:pStyle w:val="915"/>
        <w:rPr>
          <w:rFonts w:hint="eastAsia"/>
          <w:color w:val="auto"/>
          <w:sz w:val="28"/>
          <w:szCs w:val="20"/>
          <w:highlight w:val="none"/>
        </w:rPr>
      </w:pPr>
      <w:r>
        <w:rPr>
          <w:rFonts w:hint="eastAsia"/>
          <w:color w:val="auto"/>
          <w:sz w:val="28"/>
          <w:szCs w:val="20"/>
          <w:highlight w:val="none"/>
        </w:rPr>
      </w:r>
      <w:r/>
    </w:p>
    <w:p>
      <w:pPr>
        <w:pStyle w:val="916"/>
        <w:rPr>
          <w:rFonts w:hint="eastAsia"/>
          <w:color w:val="auto"/>
          <w:sz w:val="60"/>
          <w:szCs w:val="60"/>
          <w:highlight w:val="none"/>
        </w:rPr>
      </w:pPr>
      <w:r>
        <w:rPr>
          <w:rFonts w:hint="eastAsia"/>
          <w:color w:val="auto"/>
          <w:sz w:val="60"/>
          <w:szCs w:val="60"/>
          <w:highlight w:val="none"/>
        </w:rPr>
      </w:r>
      <w:r/>
    </w:p>
    <w:p>
      <w:pPr>
        <w:jc w:val="center"/>
        <w:rPr>
          <w:rFonts w:hint="eastAsia" w:eastAsia="宋体"/>
          <w:b/>
          <w:bCs/>
          <w:color w:val="auto"/>
          <w:sz w:val="60"/>
          <w:szCs w:val="60"/>
          <w:highlight w:val="none"/>
          <w:lang w:eastAsia="zh-CN"/>
        </w:rPr>
      </w:pPr>
      <w:r>
        <w:rPr>
          <w:rFonts w:hint="eastAsia"/>
          <w:b/>
          <w:bCs/>
          <w:color w:val="auto"/>
          <w:sz w:val="52"/>
          <w:szCs w:val="52"/>
          <w:highlight w:val="none"/>
          <w:lang w:eastAsia="zh-CN"/>
        </w:rPr>
        <w:t xml:space="preserve">经开区治安监控智能化改造项目</w:t>
      </w:r>
      <w:r/>
    </w:p>
    <w:p>
      <w:pP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rFonts w:hint="eastAsia"/>
          <w:b/>
          <w:bCs/>
          <w:color w:val="auto"/>
          <w:sz w:val="60"/>
          <w:szCs w:val="60"/>
          <w:highlight w:val="none"/>
        </w:rPr>
        <w:t xml:space="preserve">公 开 </w:t>
      </w:r>
      <w:r>
        <w:rPr>
          <w:b/>
          <w:bCs/>
          <w:color w:val="auto"/>
          <w:sz w:val="60"/>
          <w:szCs w:val="60"/>
          <w:highlight w:val="none"/>
        </w:rPr>
        <w:t xml:space="preserve">招</w:t>
      </w:r>
      <w:r>
        <w:rPr>
          <w:rFonts w:hint="eastAsia"/>
          <w:b/>
          <w:bCs/>
          <w:color w:val="auto"/>
          <w:sz w:val="60"/>
          <w:szCs w:val="60"/>
          <w:highlight w:val="none"/>
        </w:rPr>
        <w:t xml:space="preserve"> </w:t>
      </w:r>
      <w:r>
        <w:rPr>
          <w:b/>
          <w:bCs/>
          <w:color w:val="auto"/>
          <w:sz w:val="60"/>
          <w:szCs w:val="60"/>
          <w:highlight w:val="none"/>
        </w:rPr>
        <w:t xml:space="preserve">标</w:t>
      </w:r>
      <w:r>
        <w:rPr>
          <w:rFonts w:hint="eastAsia"/>
          <w:b/>
          <w:bCs/>
          <w:color w:val="auto"/>
          <w:sz w:val="60"/>
          <w:szCs w:val="60"/>
          <w:highlight w:val="none"/>
        </w:rPr>
        <w:t xml:space="preserve"> </w:t>
      </w:r>
      <w:r>
        <w:rPr>
          <w:b/>
          <w:bCs/>
          <w:color w:val="auto"/>
          <w:sz w:val="60"/>
          <w:szCs w:val="60"/>
          <w:highlight w:val="none"/>
        </w:rPr>
        <w:t xml:space="preserve">文</w:t>
      </w:r>
      <w:r>
        <w:rPr>
          <w:rFonts w:hint="eastAsia"/>
          <w:b/>
          <w:bCs/>
          <w:color w:val="auto"/>
          <w:sz w:val="60"/>
          <w:szCs w:val="60"/>
          <w:highlight w:val="none"/>
        </w:rPr>
        <w:t xml:space="preserve"> </w:t>
      </w:r>
      <w:r>
        <w:rPr>
          <w:b/>
          <w:bCs/>
          <w:color w:val="auto"/>
          <w:sz w:val="60"/>
          <w:szCs w:val="60"/>
          <w:highlight w:val="none"/>
        </w:rPr>
        <w:t xml:space="preserve">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ind w:left="2702" w:hanging="1770"/>
        <w:jc w:val="left"/>
        <w:spacing w:line="360" w:lineRule="auto"/>
        <w:tabs>
          <w:tab w:val="left" w:pos="2977" w:leader="none"/>
          <w:tab w:val="left" w:pos="3420" w:leader="none"/>
        </w:tabs>
        <w:rPr>
          <w:b/>
          <w:color w:val="auto"/>
          <w:sz w:val="32"/>
          <w:szCs w:val="32"/>
          <w:highlight w:val="none"/>
        </w:rPr>
      </w:pPr>
      <w:r>
        <w:rPr>
          <w:rFonts w:hint="eastAsia"/>
          <w:bCs/>
          <w:color w:val="auto"/>
          <w:sz w:val="36"/>
          <w:szCs w:val="36"/>
          <w:highlight w:val="none"/>
        </w:rPr>
        <w:t xml:space="preserve">项目名称：</w:t>
      </w:r>
      <w:r>
        <w:rPr>
          <w:rFonts w:hint="eastAsia"/>
          <w:bCs/>
          <w:color w:val="auto"/>
          <w:sz w:val="36"/>
          <w:szCs w:val="36"/>
          <w:highlight w:val="none"/>
          <w:lang w:eastAsia="zh-CN"/>
        </w:rPr>
        <w:t xml:space="preserve">经开区治安监控智能化改造项目</w:t>
      </w:r>
      <w:r>
        <w:rPr>
          <w:rFonts w:hint="eastAsia"/>
          <w:bCs/>
          <w:color w:val="auto"/>
          <w:sz w:val="36"/>
          <w:szCs w:val="36"/>
          <w:highlight w:val="none"/>
        </w:rPr>
        <w:t xml:space="preserve"> </w:t>
      </w:r>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项目编号：</w:t>
      </w:r>
      <w:r>
        <w:rPr>
          <w:rFonts w:hint="eastAsia"/>
          <w:bCs/>
          <w:color w:val="auto"/>
          <w:sz w:val="36"/>
          <w:szCs w:val="36"/>
          <w:highlight w:val="none"/>
        </w:rPr>
        <w:t xml:space="preserve">JSZC-320412056-CZCT-G2026-0020    </w:t>
      </w:r>
      <w:r/>
    </w:p>
    <w:p>
      <w:pPr>
        <w:ind w:left="2832" w:hanging="1900"/>
        <w:jc w:val="left"/>
        <w:spacing w:line="360" w:lineRule="auto"/>
        <w:tabs>
          <w:tab w:val="left" w:pos="3240" w:leader="none"/>
          <w:tab w:val="left" w:pos="3420" w:leader="none"/>
        </w:tabs>
        <w:rPr>
          <w:rFonts w:hint="eastAsia" w:eastAsia="宋体"/>
          <w:color w:val="auto"/>
          <w:highlight w:val="none"/>
          <w:lang w:eastAsia="zh-CN"/>
        </w:rPr>
      </w:pPr>
      <w:r>
        <w:rPr>
          <w:rFonts w:hint="eastAsia"/>
          <w:bCs/>
          <w:color w:val="auto"/>
          <w:sz w:val="36"/>
          <w:szCs w:val="36"/>
          <w:highlight w:val="none"/>
        </w:rPr>
        <w:t xml:space="preserve">采 购 人：</w:t>
      </w:r>
      <w:r>
        <w:rPr>
          <w:rFonts w:hint="eastAsia"/>
          <w:bCs/>
          <w:color w:val="auto"/>
          <w:sz w:val="36"/>
          <w:szCs w:val="36"/>
          <w:highlight w:val="none"/>
          <w:lang w:eastAsia="zh-CN"/>
        </w:rPr>
        <w:t xml:space="preserve">常州市公安局常州经济开发区分局</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常州常投招标有限公司</w:t>
      </w:r>
      <w:r/>
    </w:p>
    <w:p>
      <w:pPr>
        <w:jc w:val="center"/>
        <w:spacing w:line="360" w:lineRule="auto"/>
        <w:rPr>
          <w:b/>
          <w:color w:val="auto"/>
          <w:sz w:val="36"/>
          <w:szCs w:val="36"/>
          <w:highlight w:val="none"/>
        </w:rPr>
        <w:sectPr>
          <w:headerReference w:type="default" r:id="rId9"/>
          <w:headerReference w:type="first" r:id="rId10"/>
          <w:footerReference w:type="default" r:id="rId13"/>
          <w:footerReference w:type="first" r:id="rId14"/>
          <w:footnotePr/>
          <w:endnotePr/>
          <w:type w:val="nextPage"/>
          <w:pgSz w:w="11905" w:h="16838" w:orient="portrait"/>
          <w:pgMar w:top="1417" w:right="1134" w:bottom="1417" w:left="1701" w:header="851" w:footer="850" w:gutter="0"/>
          <w:pgNumType w:start="1"/>
          <w:cols w:num="1" w:sep="0" w:space="720" w:equalWidth="1"/>
          <w:docGrid w:linePitch="360"/>
        </w:sectPr>
        <w:outlineLvl w:val="0"/>
      </w:pPr>
      <w:r/>
      <w:bookmarkStart w:id="0" w:name="_Toc99301418"/>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1" w:name="_Toc26899"/>
      <w:r/>
      <w:bookmarkStart w:id="2" w:name="_Toc32170"/>
      <w:r>
        <w:rPr>
          <w:b/>
          <w:color w:val="auto"/>
          <w:sz w:val="36"/>
          <w:szCs w:val="36"/>
          <w:highlight w:val="none"/>
        </w:rPr>
        <w:t xml:space="preserve">目      录</w:t>
      </w:r>
      <w:bookmarkEnd w:id="0"/>
      <w:r/>
      <w:bookmarkEnd w:id="1"/>
      <w:r/>
      <w:bookmarkEnd w:id="2"/>
      <w:r/>
      <w:r/>
    </w:p>
    <w:sdt>
      <w:sdtPr>
        <w15:appearance w15:val="boundingBox"/>
        <w15:color w:val="dbdbdb"/>
        <w:id w:val="147473802"/>
        <w:docPartObj>
          <w:docPartGallery w:val="Table of Contents"/>
          <w:docPartUnique w:val="true"/>
        </w:docPartObj>
        <w:rPr>
          <w:rFonts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909"/>
            <w:tabs>
              <w:tab w:val="right" w:pos="9070" w:leader="dot"/>
            </w:tabs>
            <w:rPr>
              <w:color w:val="auto"/>
              <w:highlight w:val="none"/>
            </w:rPr>
          </w:pPr>
          <w:r>
            <w:rPr>
              <w:rStyle w:val="918"/>
              <w:rFonts w:hint="eastAsia" w:ascii="宋体" w:hAnsi="宋体" w:cs="宋体"/>
              <w:bCs/>
              <w:color w:val="auto"/>
              <w:sz w:val="28"/>
              <w:szCs w:val="28"/>
              <w:highlight w:val="none"/>
            </w:rPr>
            <w:fldChar w:fldCharType="begin"/>
          </w:r>
          <w:r>
            <w:rPr>
              <w:rStyle w:val="918"/>
              <w:rFonts w:hint="eastAsia" w:ascii="宋体" w:hAnsi="宋体" w:cs="宋体"/>
              <w:bCs/>
              <w:color w:val="auto"/>
              <w:sz w:val="28"/>
              <w:szCs w:val="28"/>
              <w:highlight w:val="none"/>
            </w:rPr>
            <w:instrText xml:space="preserve">TOC \o "1-1" \h \u </w:instrText>
          </w:r>
          <w:r>
            <w:rPr>
              <w:rStyle w:val="918"/>
              <w:rFonts w:hint="eastAsia" w:ascii="宋体" w:hAnsi="宋体" w:cs="宋体"/>
              <w:bCs/>
              <w:color w:val="auto"/>
              <w:sz w:val="28"/>
              <w:szCs w:val="28"/>
              <w:highlight w:val="none"/>
            </w:rPr>
            <w:fldChar w:fldCharType="separate"/>
          </w:r>
          <w:r/>
        </w:p>
        <w:p>
          <w:pPr>
            <w:pStyle w:val="909"/>
            <w:keepLines w:val="0"/>
            <w:keepNext w:val="0"/>
            <w:pageBreakBefore w:val="0"/>
            <w:spacing w:line="360" w:lineRule="auto"/>
            <w:widowControl w:val="off"/>
            <w:tabs>
              <w:tab w:val="right" w:pos="9070" w:leader="dot"/>
            </w:tabs>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HYPERLINK \l _Toc11876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第一章   投标邀请</w:t>
          </w:r>
          <w:r>
            <w:rPr>
              <w:rFonts w:hint="eastAsia" w:asciiTheme="majorEastAsia" w:hAnsiTheme="majorEastAsia" w:eastAsiaTheme="majorEastAsia" w:cstheme="majorEastAsia"/>
              <w:b/>
              <w:bCs/>
              <w:color w:val="auto"/>
              <w:sz w:val="28"/>
              <w:szCs w:val="28"/>
              <w:highlight w:val="none"/>
            </w:rPr>
            <w:tab/>
          </w: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PAGEREF _Toc11876 \h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3</w:t>
          </w:r>
          <w:r>
            <w:rPr>
              <w:rFonts w:hint="eastAsia" w:asciiTheme="majorEastAsia" w:hAnsiTheme="majorEastAsia" w:eastAsiaTheme="majorEastAsia" w:cstheme="majorEastAsia"/>
              <w:b/>
              <w:bCs/>
              <w:color w:val="auto"/>
              <w:sz w:val="28"/>
              <w:szCs w:val="28"/>
              <w:highlight w:val="none"/>
            </w:rPr>
            <w:fldChar w:fldCharType="end"/>
          </w:r>
          <w:r>
            <w:rPr>
              <w:rFonts w:hint="eastAsia" w:asciiTheme="majorEastAsia" w:hAnsiTheme="majorEastAsia" w:eastAsiaTheme="majorEastAsia" w:cstheme="majorEastAsia"/>
              <w:b/>
              <w:bCs/>
              <w:color w:val="auto"/>
              <w:sz w:val="28"/>
              <w:szCs w:val="28"/>
              <w:highlight w:val="none"/>
            </w:rPr>
            <w:fldChar w:fldCharType="end"/>
          </w:r>
          <w:r/>
        </w:p>
        <w:p>
          <w:pPr>
            <w:pStyle w:val="909"/>
            <w:keepLines w:val="0"/>
            <w:keepNext w:val="0"/>
            <w:pageBreakBefore w:val="0"/>
            <w:spacing w:line="360" w:lineRule="auto"/>
            <w:widowControl w:val="off"/>
            <w:tabs>
              <w:tab w:val="right" w:pos="9070" w:leader="dot"/>
            </w:tabs>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HYPERLINK \l _Toc22117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第二章   投标人须知</w:t>
          </w:r>
          <w:r>
            <w:rPr>
              <w:rFonts w:hint="eastAsia" w:asciiTheme="majorEastAsia" w:hAnsiTheme="majorEastAsia" w:eastAsiaTheme="majorEastAsia" w:cstheme="majorEastAsia"/>
              <w:b/>
              <w:bCs/>
              <w:color w:val="auto"/>
              <w:sz w:val="28"/>
              <w:szCs w:val="28"/>
              <w:highlight w:val="none"/>
            </w:rPr>
            <w:tab/>
          </w: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PAGEREF _Toc22117 \h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6</w:t>
          </w:r>
          <w:r>
            <w:rPr>
              <w:rFonts w:hint="eastAsia" w:asciiTheme="majorEastAsia" w:hAnsiTheme="majorEastAsia" w:eastAsiaTheme="majorEastAsia" w:cstheme="majorEastAsia"/>
              <w:b/>
              <w:bCs/>
              <w:color w:val="auto"/>
              <w:sz w:val="28"/>
              <w:szCs w:val="28"/>
              <w:highlight w:val="none"/>
            </w:rPr>
            <w:fldChar w:fldCharType="end"/>
          </w:r>
          <w:r>
            <w:rPr>
              <w:rFonts w:hint="eastAsia" w:asciiTheme="majorEastAsia" w:hAnsiTheme="majorEastAsia" w:eastAsiaTheme="majorEastAsia" w:cstheme="majorEastAsia"/>
              <w:b/>
              <w:bCs/>
              <w:color w:val="auto"/>
              <w:sz w:val="28"/>
              <w:szCs w:val="28"/>
              <w:highlight w:val="none"/>
            </w:rPr>
            <w:fldChar w:fldCharType="end"/>
          </w:r>
          <w:r/>
        </w:p>
        <w:p>
          <w:pPr>
            <w:pStyle w:val="909"/>
            <w:keepLines w:val="0"/>
            <w:keepNext w:val="0"/>
            <w:pageBreakBefore w:val="0"/>
            <w:spacing w:line="360" w:lineRule="auto"/>
            <w:widowControl w:val="off"/>
            <w:tabs>
              <w:tab w:val="right" w:pos="9070" w:leader="dot"/>
            </w:tabs>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HYPERLINK \l _Toc25399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第三章   资格审查</w:t>
          </w:r>
          <w:r>
            <w:rPr>
              <w:rFonts w:hint="eastAsia" w:asciiTheme="majorEastAsia" w:hAnsiTheme="majorEastAsia" w:eastAsiaTheme="majorEastAsia" w:cstheme="majorEastAsia"/>
              <w:b/>
              <w:bCs/>
              <w:color w:val="auto"/>
              <w:sz w:val="28"/>
              <w:szCs w:val="28"/>
              <w:highlight w:val="none"/>
            </w:rPr>
            <w:tab/>
          </w: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PAGEREF _Toc25399 \h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24</w:t>
          </w:r>
          <w:r>
            <w:rPr>
              <w:rFonts w:hint="eastAsia" w:asciiTheme="majorEastAsia" w:hAnsiTheme="majorEastAsia" w:eastAsiaTheme="majorEastAsia" w:cstheme="majorEastAsia"/>
              <w:b/>
              <w:bCs/>
              <w:color w:val="auto"/>
              <w:sz w:val="28"/>
              <w:szCs w:val="28"/>
              <w:highlight w:val="none"/>
            </w:rPr>
            <w:fldChar w:fldCharType="end"/>
          </w:r>
          <w:r>
            <w:rPr>
              <w:rFonts w:hint="eastAsia" w:asciiTheme="majorEastAsia" w:hAnsiTheme="majorEastAsia" w:eastAsiaTheme="majorEastAsia" w:cstheme="majorEastAsia"/>
              <w:b/>
              <w:bCs/>
              <w:color w:val="auto"/>
              <w:sz w:val="28"/>
              <w:szCs w:val="28"/>
              <w:highlight w:val="none"/>
            </w:rPr>
            <w:fldChar w:fldCharType="end"/>
          </w:r>
          <w:r/>
        </w:p>
        <w:p>
          <w:pPr>
            <w:pStyle w:val="909"/>
            <w:keepLines w:val="0"/>
            <w:keepNext w:val="0"/>
            <w:pageBreakBefore w:val="0"/>
            <w:spacing w:line="360" w:lineRule="auto"/>
            <w:widowControl w:val="off"/>
            <w:tabs>
              <w:tab w:val="right" w:pos="9070" w:leader="dot"/>
            </w:tabs>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HYPERLINK \l _Toc10289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第四章   评标程序、评标方法和评标标准</w:t>
          </w:r>
          <w:r>
            <w:rPr>
              <w:rFonts w:hint="eastAsia" w:asciiTheme="majorEastAsia" w:hAnsiTheme="majorEastAsia" w:eastAsiaTheme="majorEastAsia" w:cstheme="majorEastAsia"/>
              <w:b/>
              <w:bCs/>
              <w:color w:val="auto"/>
              <w:sz w:val="28"/>
              <w:szCs w:val="28"/>
              <w:highlight w:val="none"/>
            </w:rPr>
            <w:tab/>
          </w: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PAGEREF _Toc10289 \h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26</w:t>
          </w:r>
          <w:r>
            <w:rPr>
              <w:rFonts w:hint="eastAsia" w:asciiTheme="majorEastAsia" w:hAnsiTheme="majorEastAsia" w:eastAsiaTheme="majorEastAsia" w:cstheme="majorEastAsia"/>
              <w:b/>
              <w:bCs/>
              <w:color w:val="auto"/>
              <w:sz w:val="28"/>
              <w:szCs w:val="28"/>
              <w:highlight w:val="none"/>
            </w:rPr>
            <w:fldChar w:fldCharType="end"/>
          </w:r>
          <w:r>
            <w:rPr>
              <w:rFonts w:hint="eastAsia" w:asciiTheme="majorEastAsia" w:hAnsiTheme="majorEastAsia" w:eastAsiaTheme="majorEastAsia" w:cstheme="majorEastAsia"/>
              <w:b/>
              <w:bCs/>
              <w:color w:val="auto"/>
              <w:sz w:val="28"/>
              <w:szCs w:val="28"/>
              <w:highlight w:val="none"/>
            </w:rPr>
            <w:fldChar w:fldCharType="end"/>
          </w:r>
          <w:r/>
        </w:p>
        <w:p>
          <w:pPr>
            <w:pStyle w:val="909"/>
            <w:keepLines w:val="0"/>
            <w:keepNext w:val="0"/>
            <w:pageBreakBefore w:val="0"/>
            <w:spacing w:line="360" w:lineRule="auto"/>
            <w:widowControl w:val="off"/>
            <w:tabs>
              <w:tab w:val="right" w:pos="9070" w:leader="dot"/>
            </w:tabs>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HYPERLINK \l _Toc26918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第五章   采购需求</w:t>
          </w:r>
          <w:r>
            <w:rPr>
              <w:rFonts w:hint="eastAsia" w:asciiTheme="majorEastAsia" w:hAnsiTheme="majorEastAsia" w:eastAsiaTheme="majorEastAsia" w:cstheme="majorEastAsia"/>
              <w:b/>
              <w:bCs/>
              <w:color w:val="auto"/>
              <w:sz w:val="28"/>
              <w:szCs w:val="28"/>
              <w:highlight w:val="none"/>
            </w:rPr>
            <w:tab/>
          </w: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PAGEREF _Toc26918 \h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36</w:t>
          </w:r>
          <w:r>
            <w:rPr>
              <w:rFonts w:hint="eastAsia" w:asciiTheme="majorEastAsia" w:hAnsiTheme="majorEastAsia" w:eastAsiaTheme="majorEastAsia" w:cstheme="majorEastAsia"/>
              <w:b/>
              <w:bCs/>
              <w:color w:val="auto"/>
              <w:sz w:val="28"/>
              <w:szCs w:val="28"/>
              <w:highlight w:val="none"/>
            </w:rPr>
            <w:fldChar w:fldCharType="end"/>
          </w:r>
          <w:r>
            <w:rPr>
              <w:rFonts w:hint="eastAsia" w:asciiTheme="majorEastAsia" w:hAnsiTheme="majorEastAsia" w:eastAsiaTheme="majorEastAsia" w:cstheme="majorEastAsia"/>
              <w:b/>
              <w:bCs/>
              <w:color w:val="auto"/>
              <w:sz w:val="28"/>
              <w:szCs w:val="28"/>
              <w:highlight w:val="none"/>
            </w:rPr>
            <w:fldChar w:fldCharType="end"/>
          </w:r>
          <w:r/>
        </w:p>
        <w:p>
          <w:pPr>
            <w:pStyle w:val="909"/>
            <w:keepLines w:val="0"/>
            <w:keepNext w:val="0"/>
            <w:pageBreakBefore w:val="0"/>
            <w:spacing w:line="360" w:lineRule="auto"/>
            <w:widowControl w:val="off"/>
            <w:tabs>
              <w:tab w:val="right" w:pos="9070" w:leader="dot"/>
            </w:tabs>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HYPERLINK \l _Toc16395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第六章   拟签订的合同文本</w:t>
          </w:r>
          <w:r>
            <w:rPr>
              <w:rFonts w:hint="eastAsia" w:asciiTheme="majorEastAsia" w:hAnsiTheme="majorEastAsia" w:eastAsiaTheme="majorEastAsia" w:cstheme="majorEastAsia"/>
              <w:b/>
              <w:bCs/>
              <w:color w:val="auto"/>
              <w:sz w:val="28"/>
              <w:szCs w:val="28"/>
              <w:highlight w:val="none"/>
            </w:rPr>
            <w:tab/>
          </w: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PAGEREF _Toc16395 \h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84</w:t>
          </w:r>
          <w:r>
            <w:rPr>
              <w:rFonts w:hint="eastAsia" w:asciiTheme="majorEastAsia" w:hAnsiTheme="majorEastAsia" w:eastAsiaTheme="majorEastAsia" w:cstheme="majorEastAsia"/>
              <w:b/>
              <w:bCs/>
              <w:color w:val="auto"/>
              <w:sz w:val="28"/>
              <w:szCs w:val="28"/>
              <w:highlight w:val="none"/>
            </w:rPr>
            <w:fldChar w:fldCharType="end"/>
          </w:r>
          <w:r>
            <w:rPr>
              <w:rFonts w:hint="eastAsia" w:asciiTheme="majorEastAsia" w:hAnsiTheme="majorEastAsia" w:eastAsiaTheme="majorEastAsia" w:cstheme="majorEastAsia"/>
              <w:b/>
              <w:bCs/>
              <w:color w:val="auto"/>
              <w:sz w:val="28"/>
              <w:szCs w:val="28"/>
              <w:highlight w:val="none"/>
            </w:rPr>
            <w:fldChar w:fldCharType="end"/>
          </w:r>
          <w:r/>
        </w:p>
        <w:p>
          <w:pPr>
            <w:pStyle w:val="909"/>
            <w:keepLines w:val="0"/>
            <w:keepNext w:val="0"/>
            <w:pageBreakBefore w:val="0"/>
            <w:spacing w:line="360" w:lineRule="auto"/>
            <w:widowControl w:val="off"/>
            <w:tabs>
              <w:tab w:val="right" w:pos="9070" w:leader="dot"/>
            </w:tabs>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HYPERLINK \l _Toc20925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第七章   投标文件的组成及提交须知</w:t>
          </w:r>
          <w:r>
            <w:rPr>
              <w:rFonts w:hint="eastAsia" w:asciiTheme="majorEastAsia" w:hAnsiTheme="majorEastAsia" w:eastAsiaTheme="majorEastAsia" w:cstheme="majorEastAsia"/>
              <w:b/>
              <w:bCs/>
              <w:color w:val="auto"/>
              <w:sz w:val="28"/>
              <w:szCs w:val="28"/>
              <w:highlight w:val="none"/>
            </w:rPr>
            <w:tab/>
          </w: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PAGEREF _Toc20925 \h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98</w:t>
          </w:r>
          <w:r>
            <w:rPr>
              <w:rFonts w:hint="eastAsia" w:asciiTheme="majorEastAsia" w:hAnsiTheme="majorEastAsia" w:eastAsiaTheme="majorEastAsia" w:cstheme="majorEastAsia"/>
              <w:b/>
              <w:bCs/>
              <w:color w:val="auto"/>
              <w:sz w:val="28"/>
              <w:szCs w:val="28"/>
              <w:highlight w:val="none"/>
            </w:rPr>
            <w:fldChar w:fldCharType="end"/>
          </w:r>
          <w:r>
            <w:rPr>
              <w:rFonts w:hint="eastAsia" w:asciiTheme="majorEastAsia" w:hAnsiTheme="majorEastAsia" w:eastAsiaTheme="majorEastAsia" w:cstheme="majorEastAsia"/>
              <w:b/>
              <w:bCs/>
              <w:color w:val="auto"/>
              <w:sz w:val="28"/>
              <w:szCs w:val="28"/>
              <w:highlight w:val="none"/>
            </w:rPr>
            <w:fldChar w:fldCharType="end"/>
          </w:r>
          <w:r/>
        </w:p>
        <w:p>
          <w:pPr>
            <w:pStyle w:val="909"/>
            <w:keepLines w:val="0"/>
            <w:keepNext w:val="0"/>
            <w:pageBreakBefore w:val="0"/>
            <w:spacing w:line="360" w:lineRule="auto"/>
            <w:widowControl w:val="off"/>
            <w:tabs>
              <w:tab w:val="right" w:pos="9070" w:leader="dot"/>
            </w:tabs>
            <w:rPr>
              <w:color w:val="auto"/>
              <w:highlight w:val="none"/>
            </w:rPr>
          </w:pP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HYPERLINK \l _Toc28306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第八章   投标文件格式</w:t>
          </w:r>
          <w:r>
            <w:rPr>
              <w:rFonts w:hint="eastAsia" w:asciiTheme="majorEastAsia" w:hAnsiTheme="majorEastAsia" w:eastAsiaTheme="majorEastAsia" w:cstheme="majorEastAsia"/>
              <w:b/>
              <w:bCs/>
              <w:color w:val="auto"/>
              <w:sz w:val="28"/>
              <w:szCs w:val="28"/>
              <w:highlight w:val="none"/>
            </w:rPr>
            <w:tab/>
          </w:r>
          <w:r>
            <w:rPr>
              <w:rFonts w:hint="eastAsia" w:asciiTheme="majorEastAsia" w:hAnsiTheme="majorEastAsia" w:eastAsiaTheme="majorEastAsia" w:cstheme="majorEastAsia"/>
              <w:b/>
              <w:bCs/>
              <w:color w:val="auto"/>
              <w:sz w:val="28"/>
              <w:szCs w:val="28"/>
              <w:highlight w:val="none"/>
            </w:rPr>
            <w:fldChar w:fldCharType="begin"/>
          </w:r>
          <w:r>
            <w:rPr>
              <w:rFonts w:hint="eastAsia" w:asciiTheme="majorEastAsia" w:hAnsiTheme="majorEastAsia" w:eastAsiaTheme="majorEastAsia" w:cstheme="majorEastAsia"/>
              <w:b/>
              <w:bCs/>
              <w:color w:val="auto"/>
              <w:sz w:val="28"/>
              <w:szCs w:val="28"/>
              <w:highlight w:val="none"/>
            </w:rPr>
            <w:instrText xml:space="preserve"> PAGEREF _Toc28306 \h </w:instrText>
          </w:r>
          <w:r>
            <w:rPr>
              <w:rFonts w:hint="eastAsia" w:asciiTheme="majorEastAsia" w:hAnsiTheme="majorEastAsia" w:eastAsiaTheme="majorEastAsia" w:cstheme="majorEastAsia"/>
              <w:b/>
              <w:bCs/>
              <w:color w:val="auto"/>
              <w:sz w:val="28"/>
              <w:szCs w:val="28"/>
              <w:highlight w:val="none"/>
            </w:rPr>
            <w:fldChar w:fldCharType="separate"/>
          </w:r>
          <w:r>
            <w:rPr>
              <w:rFonts w:hint="eastAsia" w:asciiTheme="majorEastAsia" w:hAnsiTheme="majorEastAsia" w:eastAsiaTheme="majorEastAsia" w:cstheme="majorEastAsia"/>
              <w:b/>
              <w:bCs/>
              <w:color w:val="auto"/>
              <w:sz w:val="28"/>
              <w:szCs w:val="28"/>
              <w:highlight w:val="none"/>
            </w:rPr>
            <w:t xml:space="preserve">99</w:t>
          </w:r>
          <w:r>
            <w:rPr>
              <w:rFonts w:hint="eastAsia" w:asciiTheme="majorEastAsia" w:hAnsiTheme="majorEastAsia" w:eastAsiaTheme="majorEastAsia" w:cstheme="majorEastAsia"/>
              <w:b/>
              <w:bCs/>
              <w:color w:val="auto"/>
              <w:sz w:val="28"/>
              <w:szCs w:val="28"/>
              <w:highlight w:val="none"/>
            </w:rPr>
            <w:fldChar w:fldCharType="end"/>
          </w:r>
          <w:r>
            <w:rPr>
              <w:rFonts w:hint="eastAsia" w:asciiTheme="majorEastAsia" w:hAnsiTheme="majorEastAsia" w:eastAsiaTheme="majorEastAsia" w:cstheme="majorEastAsia"/>
              <w:b/>
              <w:bCs/>
              <w:color w:val="auto"/>
              <w:sz w:val="28"/>
              <w:szCs w:val="28"/>
              <w:highlight w:val="none"/>
            </w:rPr>
            <w:fldChar w:fldCharType="end"/>
          </w:r>
          <w:r/>
        </w:p>
        <w:p>
          <w:pPr>
            <w:jc w:val="center"/>
            <w:spacing w:line="480" w:lineRule="auto"/>
            <w:rPr>
              <w:rFonts w:hint="eastAsia" w:ascii="宋体" w:hAnsi="宋体" w:eastAsia="宋体" w:cs="宋体"/>
              <w:bCs/>
              <w:color w:val="auto"/>
              <w:sz w:val="21"/>
              <w:szCs w:val="28"/>
              <w:highlight w:val="none"/>
              <w:lang w:val="en-US" w:eastAsia="zh-CN" w:bidi="ar-SA"/>
            </w:rPr>
            <w:outlineLvl w:val="0"/>
          </w:pPr>
          <w:r>
            <w:rPr>
              <w:rFonts w:hint="eastAsia" w:ascii="宋体" w:hAnsi="宋体" w:cs="宋体"/>
              <w:bCs/>
              <w:color w:val="auto"/>
              <w:szCs w:val="28"/>
              <w:highlight w:val="none"/>
            </w:rPr>
            <w:fldChar w:fldCharType="end"/>
          </w:r>
          <w:r/>
        </w:p>
      </w:sdtContent>
    </w:sdt>
    <w:p>
      <w:pPr>
        <w:jc w:val="center"/>
        <w:spacing w:line="480" w:lineRule="auto"/>
        <w:rPr>
          <w:rFonts w:hint="eastAsia" w:ascii="宋体" w:hAnsi="宋体" w:eastAsia="宋体" w:cs="宋体"/>
          <w:bCs/>
          <w:color w:val="auto"/>
          <w:sz w:val="21"/>
          <w:szCs w:val="28"/>
          <w:highlight w:val="none"/>
          <w:lang w:val="en-US" w:eastAsia="zh-CN" w:bidi="ar-SA"/>
        </w:rPr>
        <w:sectPr>
          <w:footerReference w:type="default" r:id="rId15"/>
          <w:footnotePr/>
          <w:endnotePr/>
          <w:type w:val="nextPage"/>
          <w:pgSz w:w="11905" w:h="16838" w:orient="portrait"/>
          <w:pgMar w:top="1417" w:right="1134" w:bottom="1417" w:left="1701" w:header="851" w:footer="850" w:gutter="0"/>
          <w:cols w:num="1" w:sep="0" w:space="720" w:equalWidth="1"/>
          <w:docGrid w:linePitch="360"/>
        </w:sectPr>
        <w:outlineLvl w:val="0"/>
      </w:pPr>
      <w:r>
        <w:rPr>
          <w:rFonts w:hint="eastAsia" w:ascii="宋体" w:hAnsi="宋体" w:eastAsia="宋体" w:cs="宋体"/>
          <w:bCs/>
          <w:color w:val="auto"/>
          <w:sz w:val="21"/>
          <w:szCs w:val="28"/>
          <w:highlight w:val="none"/>
          <w:lang w:val="en-US" w:eastAsia="zh-CN" w:bidi="ar-SA"/>
        </w:rPr>
      </w:r>
      <w:r/>
    </w:p>
    <w:p>
      <w:pPr>
        <w:jc w:val="center"/>
        <w:spacing w:line="360" w:lineRule="auto"/>
        <w:rPr>
          <w:b/>
          <w:color w:val="auto"/>
          <w:sz w:val="36"/>
          <w:szCs w:val="36"/>
          <w:highlight w:val="none"/>
        </w:rPr>
        <w:outlineLvl w:val="0"/>
      </w:pPr>
      <w:r/>
      <w:bookmarkStart w:id="3" w:name="_Toc11876"/>
      <w:r>
        <w:rPr>
          <w:rStyle w:val="918"/>
          <w:color w:val="auto"/>
          <w:highlight w:val="none"/>
        </w:rPr>
        <w:t xml:space="preserve">第一章</w:t>
      </w:r>
      <w:r>
        <w:rPr>
          <w:rStyle w:val="918"/>
          <w:rFonts w:hint="eastAsia"/>
          <w:color w:val="auto"/>
          <w:highlight w:val="none"/>
        </w:rPr>
        <w:t xml:space="preserve">   </w:t>
      </w:r>
      <w:r>
        <w:rPr>
          <w:rStyle w:val="918"/>
          <w:color w:val="auto"/>
          <w:highlight w:val="none"/>
        </w:rPr>
        <w:t xml:space="preserve">投标邀请</w:t>
      </w:r>
      <w:bookmarkEnd w:id="3"/>
      <w:r/>
      <w:r/>
    </w:p>
    <w:p>
      <w:pPr>
        <w:ind w:firstLine="480"/>
        <w:jc w:val="left"/>
        <w:spacing w:line="360" w:lineRule="auto"/>
        <w:rPr>
          <w:rFonts w:hint="eastAsia" w:ascii="宋体" w:hAnsi="宋体"/>
          <w:color w:val="auto"/>
          <w:sz w:val="24"/>
          <w:highlight w:val="none"/>
        </w:rPr>
      </w:pPr>
      <w:r/>
      <w:bookmarkStart w:id="4" w:name="_Toc28359002"/>
      <w:r/>
      <w:bookmarkStart w:id="5" w:name="_Toc35393621"/>
      <w:r/>
      <w:bookmarkStart w:id="6" w:name="_Toc35393790"/>
      <w:r/>
      <w:bookmarkStart w:id="7" w:name="_Toc28359079"/>
      <w:r/>
      <w:bookmarkStart w:id="8" w:name="_Hlk24379207"/>
      <w:r/>
      <w:bookmarkStart w:id="9" w:name="_Hlk151728086"/>
      <w:r>
        <w:rPr>
          <w:rFonts w:hint="eastAsia" w:ascii="宋体" w:hAnsi="宋体"/>
          <w:color w:val="auto"/>
          <w:sz w:val="24"/>
          <w:highlight w:val="none"/>
        </w:rPr>
        <w:t xml:space="preserve">受</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常州市公安局常州经济开发区分局</w:t>
      </w:r>
      <w:r>
        <w:rPr>
          <w:rFonts w:hint="eastAsia" w:ascii="宋体" w:hAnsi="宋体"/>
          <w:bCs/>
          <w:color w:val="auto"/>
          <w:sz w:val="24"/>
          <w:highlight w:val="none"/>
          <w:u w:val="single"/>
          <w:lang w:bidi="ar"/>
        </w:rPr>
        <w:t xml:space="preserve"> </w:t>
      </w:r>
      <w:r>
        <w:rPr>
          <w:rFonts w:hint="eastAsia" w:ascii="宋体" w:hAnsi="宋体"/>
          <w:color w:val="auto"/>
          <w:sz w:val="24"/>
          <w:highlight w:val="none"/>
        </w:rPr>
        <w:t xml:space="preserve">的委托，常州常投招标有限公司就</w:t>
      </w:r>
      <w:r>
        <w:rPr>
          <w:rFonts w:hint="eastAsia" w:ascii="宋体" w:hAnsi="宋体"/>
          <w:color w:val="auto"/>
          <w:sz w:val="24"/>
          <w:highlight w:val="none"/>
          <w:u w:val="single"/>
        </w:rPr>
        <w:t xml:space="preserve"> </w:t>
      </w:r>
      <w:r>
        <w:rPr>
          <w:rFonts w:hint="eastAsia" w:ascii="宋体" w:hAnsi="宋体" w:cs="宋体"/>
          <w:bCs/>
          <w:color w:val="auto"/>
          <w:sz w:val="24"/>
          <w:highlight w:val="none"/>
          <w:u w:val="single"/>
          <w:lang w:eastAsia="zh-CN"/>
        </w:rPr>
        <w:t xml:space="preserve">经开区治安监控智能化改造项目</w:t>
      </w:r>
      <w:r>
        <w:rPr>
          <w:rFonts w:hint="eastAsia" w:ascii="宋体" w:hAnsi="宋体" w:cs="宋体"/>
          <w:color w:val="auto"/>
          <w:sz w:val="24"/>
          <w:highlight w:val="none"/>
          <w:u w:val="single"/>
        </w:rPr>
        <w:t xml:space="preserve"> </w:t>
      </w:r>
      <w:r>
        <w:rPr>
          <w:rFonts w:hint="eastAsia" w:ascii="宋体" w:hAnsi="宋体"/>
          <w:color w:val="auto"/>
          <w:sz w:val="24"/>
          <w:highlight w:val="none"/>
        </w:rPr>
        <w:t xml:space="preserve">进行公开招标采购，各潜在投标人可在“苏采云”平台自行免费下载招标文件，并于</w:t>
      </w:r>
      <w:r>
        <w:rPr>
          <w:rFonts w:hint="eastAsia" w:ascii="宋体" w:hAnsi="宋体"/>
          <w:color w:val="auto"/>
          <w:sz w:val="24"/>
          <w:highlight w:val="none"/>
          <w:u w:val="single"/>
        </w:rPr>
        <w:t xml:space="preserve">2026</w:t>
      </w:r>
      <w:r>
        <w:rPr>
          <w:rFonts w:hint="eastAsia"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10</w:t>
      </w:r>
      <w:r>
        <w:rPr>
          <w:rFonts w:hint="eastAsia"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20</w:t>
      </w:r>
      <w:r>
        <w:rPr>
          <w:rFonts w:hint="eastAsia" w:ascii="宋体" w:hAnsi="宋体"/>
          <w:bCs/>
          <w:color w:val="auto"/>
          <w:sz w:val="24"/>
          <w:highlight w:val="none"/>
          <w:u w:val="single"/>
        </w:rPr>
        <w:t xml:space="preserve">日</w:t>
      </w:r>
      <w:r>
        <w:rPr>
          <w:rFonts w:hint="eastAsia" w:ascii="宋体" w:hAnsi="宋体"/>
          <w:bCs/>
          <w:color w:val="auto"/>
          <w:sz w:val="24"/>
          <w:highlight w:val="none"/>
          <w:u w:val="single"/>
        </w:rPr>
        <w:t xml:space="preserve">14点00分（</w:t>
      </w:r>
      <w:r>
        <w:rPr>
          <w:rFonts w:hint="eastAsia" w:ascii="宋体" w:hAnsi="宋体"/>
          <w:bCs/>
          <w:color w:val="auto"/>
          <w:sz w:val="24"/>
          <w:highlight w:val="none"/>
        </w:rPr>
        <w:t xml:space="preserve">北京时间）前递交投标</w:t>
      </w:r>
      <w:r>
        <w:rPr>
          <w:rFonts w:ascii="宋体" w:hAnsi="宋体"/>
          <w:bCs/>
          <w:color w:val="auto"/>
          <w:sz w:val="24"/>
          <w:highlight w:val="none"/>
        </w:rPr>
        <w:t xml:space="preserve">文件</w:t>
      </w:r>
      <w:r>
        <w:rPr>
          <w:rFonts w:hint="eastAsia" w:ascii="宋体" w:hAnsi="宋体"/>
          <w:color w:val="auto"/>
          <w:sz w:val="24"/>
          <w:highlight w:val="none"/>
        </w:rPr>
        <w:t xml:space="preserve">。</w:t>
      </w:r>
      <w:r/>
    </w:p>
    <w:p>
      <w:pPr>
        <w:pStyle w:val="919"/>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4"/>
      <w:r/>
      <w:bookmarkEnd w:id="5"/>
      <w:r/>
      <w:bookmarkEnd w:id="6"/>
      <w:r/>
      <w:bookmarkEnd w:id="7"/>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1.项目编号：</w:t>
      </w:r>
      <w:bookmarkStart w:id="10" w:name="OLE_LINK12"/>
      <w:r>
        <w:rPr>
          <w:rFonts w:hint="eastAsia" w:ascii="宋体" w:hAnsi="宋体" w:cs="宋体"/>
          <w:color w:val="auto"/>
          <w:sz w:val="24"/>
          <w:highlight w:val="none"/>
        </w:rPr>
        <w:t xml:space="preserve">JSZC-320412056-CZCT-G2026-0020</w:t>
      </w:r>
      <w:bookmarkEnd w:id="10"/>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2.项目名称：</w:t>
      </w:r>
      <w:bookmarkEnd w:id="8"/>
      <w:r>
        <w:rPr>
          <w:rFonts w:hint="eastAsia" w:ascii="宋体" w:hAnsi="宋体" w:cs="宋体"/>
          <w:color w:val="auto"/>
          <w:sz w:val="24"/>
          <w:highlight w:val="none"/>
          <w:lang w:eastAsia="zh-CN"/>
        </w:rPr>
        <w:t xml:space="preserve">经开区治安监控智能化改造项目</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bookmarkStart w:id="11" w:name="OLE_LINK16"/>
      <w:r>
        <w:rPr>
          <w:rFonts w:hint="eastAsia" w:ascii="宋体" w:hAnsi="宋体" w:cs="宋体"/>
          <w:color w:val="auto"/>
          <w:sz w:val="24"/>
          <w:highlight w:val="none"/>
        </w:rPr>
        <w:t xml:space="preserve">项目预算金额：</w:t>
      </w:r>
      <w:r>
        <w:rPr>
          <w:rFonts w:hint="eastAsia" w:ascii="宋体" w:hAnsi="宋体" w:cs="宋体"/>
          <w:color w:val="auto"/>
          <w:sz w:val="24"/>
          <w:highlight w:val="none"/>
          <w:lang w:val="en-US" w:eastAsia="zh-CN"/>
        </w:rPr>
        <w:t xml:space="preserve">432</w:t>
      </w:r>
      <w:r>
        <w:rPr>
          <w:rFonts w:hint="eastAsia" w:ascii="宋体" w:hAnsi="宋体" w:cs="宋体"/>
          <w:color w:val="auto"/>
          <w:sz w:val="24"/>
          <w:highlight w:val="none"/>
        </w:rPr>
        <w:t xml:space="preserve">万</w:t>
      </w:r>
      <w:bookmarkEnd w:id="11"/>
      <w:r>
        <w:rPr>
          <w:rFonts w:hint="eastAsia" w:ascii="宋体" w:hAnsi="宋体" w:cs="宋体"/>
          <w:color w:val="auto"/>
          <w:sz w:val="24"/>
          <w:highlight w:val="none"/>
        </w:rPr>
        <w:t xml:space="preserve">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bookmarkStart w:id="12" w:name="OLE_LINK17"/>
      <w:r>
        <w:rPr>
          <w:rFonts w:hint="eastAsia" w:ascii="宋体" w:hAnsi="宋体" w:cs="宋体"/>
          <w:color w:val="auto"/>
          <w:sz w:val="24"/>
          <w:highlight w:val="none"/>
        </w:rPr>
        <w:t xml:space="preserve">项目最高限价：</w:t>
      </w:r>
      <w:bookmarkEnd w:id="12"/>
      <w:r>
        <w:rPr>
          <w:rFonts w:hint="eastAsia" w:ascii="宋体" w:hAnsi="宋体" w:cs="宋体"/>
          <w:color w:val="auto"/>
          <w:sz w:val="24"/>
          <w:highlight w:val="none"/>
          <w:lang w:val="en-US" w:eastAsia="zh-CN"/>
        </w:rPr>
        <w:t xml:space="preserve">432</w:t>
      </w:r>
      <w:r>
        <w:rPr>
          <w:rFonts w:hint="eastAsia" w:ascii="宋体" w:hAnsi="宋体" w:cs="宋体"/>
          <w:color w:val="auto"/>
          <w:sz w:val="24"/>
          <w:highlight w:val="none"/>
        </w:rPr>
        <w:t xml:space="preserve">万元</w:t>
      </w:r>
      <w:r/>
    </w:p>
    <w:p>
      <w:pPr>
        <w:ind w:firstLine="480"/>
        <w:jc w:val="left"/>
        <w:spacing w:line="360" w:lineRule="auto"/>
        <w:rPr>
          <w:rFonts w:hint="eastAsia" w:ascii="宋体" w:hAnsi="宋体" w:cs="宋体"/>
          <w:color w:val="auto"/>
          <w:spacing w:val="2"/>
          <w:sz w:val="24"/>
          <w:highlight w:val="none"/>
          <w:lang w:val="zh-CN"/>
        </w:rPr>
      </w:pPr>
      <w:r>
        <w:rPr>
          <w:rFonts w:hint="eastAsia" w:ascii="宋体" w:hAnsi="宋体" w:cs="宋体"/>
          <w:color w:val="auto"/>
          <w:sz w:val="24"/>
          <w:highlight w:val="none"/>
        </w:rPr>
        <w:t xml:space="preserve">5.采购需求：</w:t>
      </w:r>
      <w:r>
        <w:rPr>
          <w:rFonts w:ascii="宋体" w:hAnsi="宋体" w:cs="宋体"/>
          <w:color w:val="auto"/>
          <w:spacing w:val="2"/>
          <w:sz w:val="24"/>
          <w:highlight w:val="none"/>
        </w:rPr>
        <w:t xml:space="preserve">本项目为</w:t>
      </w:r>
      <w:r>
        <w:rPr>
          <w:rFonts w:hint="eastAsia" w:ascii="宋体" w:hAnsi="宋体" w:cs="宋体"/>
          <w:color w:val="auto"/>
          <w:sz w:val="24"/>
          <w:highlight w:val="none"/>
          <w:lang w:eastAsia="zh-CN"/>
        </w:rPr>
        <w:t xml:space="preserve">经开区治安监控智能化改造项目</w:t>
      </w:r>
      <w:r>
        <w:rPr>
          <w:rFonts w:hint="eastAsia" w:ascii="宋体" w:hAnsi="宋体" w:cs="宋体"/>
          <w:color w:val="auto"/>
          <w:spacing w:val="2"/>
          <w:sz w:val="24"/>
          <w:highlight w:val="none"/>
        </w:rPr>
        <w:t xml:space="preserve">，对照公安部、省公安厅以及《常州市社会治安整体防控体系示范区建设指南》，采用科学、合理的布点方法，以闭合圈层、控牢重点、盯紧末梢为主要方向，布建各类摄像机569套，进一步提升感知前端覆盖质量。</w:t>
      </w:r>
      <w:r>
        <w:rPr>
          <w:rFonts w:hint="eastAsia" w:ascii="宋体" w:hAnsi="宋体" w:cs="宋体"/>
          <w:color w:val="auto"/>
          <w:sz w:val="24"/>
          <w:highlight w:val="none"/>
        </w:rPr>
        <w:t xml:space="preserve">具体要求详见招标文件</w:t>
      </w:r>
      <w:r>
        <w:rPr>
          <w:rFonts w:hint="eastAsia" w:ascii="宋体" w:hAnsi="宋体" w:cs="宋体"/>
          <w:color w:val="auto"/>
          <w:spacing w:val="2"/>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6.合同履行期限：</w:t>
      </w:r>
      <w:r>
        <w:rPr>
          <w:rFonts w:hint="eastAsia" w:ascii="宋体" w:hAnsi="宋体" w:cs="宋体"/>
          <w:color w:val="auto"/>
          <w:sz w:val="24"/>
          <w:highlight w:val="none"/>
          <w:lang w:eastAsia="zh-CN"/>
        </w:rPr>
        <w:t xml:space="preserve">自合同签订之日起</w:t>
      </w:r>
      <w:r>
        <w:rPr>
          <w:rFonts w:hint="eastAsia" w:ascii="宋体" w:hAnsi="宋体" w:cs="宋体"/>
          <w:color w:val="auto"/>
          <w:sz w:val="24"/>
          <w:highlight w:val="none"/>
        </w:rPr>
        <w:t xml:space="preserve">12个月</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7.本项目是否接受联合体投标：否。</w:t>
      </w:r>
      <w:r/>
    </w:p>
    <w:p>
      <w:pPr>
        <w:pStyle w:val="921"/>
        <w:ind w:firstLine="480"/>
        <w:spacing w:line="360" w:lineRule="auto"/>
        <w:rPr>
          <w:rFonts w:hint="eastAsia"/>
          <w:color w:val="auto"/>
          <w:highlight w:val="none"/>
        </w:rPr>
      </w:pPr>
      <w:r>
        <w:rPr>
          <w:rFonts w:hint="eastAsia" w:ascii="宋体" w:hAnsi="宋体" w:cs="宋体"/>
          <w:color w:val="auto"/>
          <w:highlight w:val="none"/>
        </w:rPr>
        <w:t xml:space="preserve">8.本项目是否接受进口产品投标：否。</w:t>
      </w:r>
      <w:r/>
    </w:p>
    <w:p>
      <w:pPr>
        <w:pStyle w:val="919"/>
        <w:ind w:firstLine="482"/>
        <w:jc w:val="left"/>
        <w:spacing w:before="0" w:line="360" w:lineRule="auto"/>
        <w:rPr>
          <w:rFonts w:ascii="Times New Roman" w:hAnsi="Times New Roman" w:eastAsia="宋体"/>
          <w:color w:val="auto"/>
          <w:sz w:val="24"/>
          <w:szCs w:val="24"/>
          <w:highlight w:val="none"/>
        </w:rPr>
      </w:pPr>
      <w:r/>
      <w:bookmarkStart w:id="13" w:name="_Toc35393622"/>
      <w:r/>
      <w:bookmarkStart w:id="14" w:name="_Toc28359003"/>
      <w:r/>
      <w:bookmarkStart w:id="15" w:name="_Toc28359080"/>
      <w:r/>
      <w:bookmarkStart w:id="16" w:name="_Toc35393791"/>
      <w:r>
        <w:rPr>
          <w:rFonts w:ascii="Times New Roman" w:hAnsi="Times New Roman" w:eastAsia="宋体"/>
          <w:color w:val="auto"/>
          <w:sz w:val="24"/>
          <w:szCs w:val="24"/>
          <w:highlight w:val="none"/>
        </w:rPr>
        <w:t xml:space="preserve">二、申请人的资格要求</w:t>
      </w:r>
      <w:bookmarkEnd w:id="13"/>
      <w:r/>
      <w:bookmarkEnd w:id="14"/>
      <w:r/>
      <w:bookmarkEnd w:id="15"/>
      <w:r/>
      <w:bookmarkEnd w:id="16"/>
      <w:r>
        <w:rPr>
          <w:rFonts w:ascii="Times New Roman" w:hAnsi="Times New Roman" w:eastAsia="宋体"/>
          <w:color w:val="auto"/>
          <w:sz w:val="24"/>
          <w:szCs w:val="24"/>
          <w:highlight w:val="none"/>
        </w:rPr>
        <w:t xml:space="preserve">（须同时满足）</w:t>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7" w:name="_Toc28359081"/>
      <w:r/>
      <w:bookmarkStart w:id="18" w:name="_Toc28359004"/>
      <w:r>
        <w:rPr>
          <w:color w:val="auto"/>
          <w:sz w:val="24"/>
          <w:highlight w:val="none"/>
        </w:rPr>
        <w:t xml:space="preserve">2.落实政府采购政策需满足的资格要求：</w:t>
      </w:r>
      <w:r/>
    </w:p>
    <w:p>
      <w:pPr>
        <w:ind w:firstLine="480"/>
        <w:spacing w:line="360" w:lineRule="auto"/>
        <w:rPr>
          <w:color w:val="auto"/>
          <w:sz w:val="24"/>
          <w:highlight w:val="none"/>
        </w:rPr>
      </w:pPr>
      <w:r/>
      <w:bookmarkStart w:id="19" w:name="OLE_LINK41"/>
      <w:r>
        <w:rPr>
          <w:color w:val="auto"/>
          <w:sz w:val="24"/>
          <w:highlight w:val="none"/>
        </w:rPr>
        <w:t xml:space="preserve">本项目不专门面向中小企业采购。</w:t>
      </w:r>
      <w:bookmarkEnd w:id="19"/>
      <w:r/>
      <w:r/>
    </w:p>
    <w:p>
      <w:pPr>
        <w:ind w:right="210" w:firstLine="480"/>
        <w:jc w:val="left"/>
        <w:spacing w:line="360" w:lineRule="auto"/>
        <w:rPr>
          <w:b/>
          <w:bCs/>
          <w:color w:val="auto"/>
          <w:sz w:val="24"/>
          <w:highlight w:val="none"/>
          <w:u w:val="single"/>
        </w:rPr>
      </w:pPr>
      <w:r>
        <w:rPr>
          <w:color w:val="auto"/>
          <w:sz w:val="24"/>
          <w:highlight w:val="none"/>
        </w:rPr>
        <w:t xml:space="preserve">3.本项目的特定资格要求：</w:t>
      </w:r>
      <w:bookmarkEnd w:id="17"/>
      <w:r/>
      <w:bookmarkEnd w:id="18"/>
      <w:r/>
      <w:r/>
    </w:p>
    <w:p>
      <w:pPr>
        <w:ind w:firstLine="480"/>
        <w:jc w:val="left"/>
        <w:spacing w:line="360" w:lineRule="auto"/>
        <w:rPr>
          <w:rFonts w:hint="eastAsia" w:ascii="宋体" w:hAnsi="宋体" w:cs="宋体"/>
          <w:color w:val="auto"/>
          <w:sz w:val="24"/>
          <w:highlight w:val="none"/>
        </w:rPr>
      </w:pPr>
      <w:r/>
      <w:bookmarkStart w:id="20" w:name="OLE_LINK42"/>
      <w:r/>
      <w:bookmarkStart w:id="21" w:name="_Toc35393623"/>
      <w:r/>
      <w:bookmarkStart w:id="22" w:name="_Toc35393792"/>
      <w:r>
        <w:rPr>
          <w:rFonts w:hint="eastAsia" w:ascii="宋体" w:hAnsi="宋体" w:cs="宋体"/>
          <w:color w:val="auto"/>
          <w:sz w:val="24"/>
          <w:highlight w:val="none"/>
        </w:rPr>
        <w:t xml:space="preserve">3.1本项目是否接受分支机构参与响应：否；</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 本项目是否属于政府购买服务：否</w:t>
      </w:r>
      <w:r/>
    </w:p>
    <w:p>
      <w:pPr>
        <w:ind w:firstLine="480"/>
        <w:jc w:val="left"/>
        <w:spacing w:line="360" w:lineRule="auto"/>
        <w:rPr>
          <w:rFonts w:hint="eastAsia"/>
          <w:color w:val="auto"/>
          <w:highlight w:val="none"/>
        </w:rPr>
      </w:pPr>
      <w:r>
        <w:rPr>
          <w:rFonts w:hint="eastAsia" w:ascii="宋体" w:hAnsi="宋体" w:cs="宋体"/>
          <w:color w:val="auto"/>
          <w:sz w:val="24"/>
          <w:highlight w:val="none"/>
        </w:rPr>
        <w:t xml:space="preserve">3.3其他特定资格要求：</w:t>
      </w:r>
      <w:r>
        <w:rPr>
          <w:rFonts w:hint="eastAsia" w:ascii="宋体" w:hAnsi="宋体" w:cs="宋体"/>
          <w:color w:val="auto"/>
          <w:sz w:val="24"/>
          <w:highlight w:val="none"/>
          <w:lang w:eastAsia="zh-CN"/>
        </w:rPr>
        <w:t xml:space="preserve">无</w:t>
      </w:r>
      <w:bookmarkEnd w:id="20"/>
      <w:r/>
    </w:p>
    <w:p>
      <w:pPr>
        <w:pStyle w:val="919"/>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三、获取招标文件</w:t>
      </w:r>
      <w:bookmarkEnd w:id="21"/>
      <w:r/>
      <w:bookmarkEnd w:id="22"/>
      <w:r/>
      <w:r/>
    </w:p>
    <w:p>
      <w:pPr>
        <w:ind w:firstLine="540"/>
        <w:spacing w:line="360" w:lineRule="auto"/>
        <w:rPr>
          <w:rFonts w:hint="eastAsia" w:ascii="宋体" w:hAnsi="宋体" w:cs="宋体"/>
          <w:color w:val="auto"/>
          <w:sz w:val="24"/>
          <w:highlight w:val="none"/>
        </w:rPr>
      </w:pPr>
      <w:r/>
      <w:bookmarkStart w:id="23" w:name="_Toc28359005"/>
      <w:r/>
      <w:bookmarkStart w:id="24" w:name="_Toc28359082"/>
      <w:r/>
      <w:bookmarkStart w:id="25" w:name="_Toc35393624"/>
      <w:r/>
      <w:bookmarkStart w:id="26" w:name="_Toc35393793"/>
      <w:r>
        <w:rPr>
          <w:rFonts w:hint="eastAsia" w:ascii="宋体" w:hAnsi="宋体" w:cs="宋体"/>
          <w:color w:val="auto"/>
          <w:sz w:val="24"/>
          <w:highlight w:val="none"/>
        </w:rPr>
        <w:t xml:space="preserve">1.时间：</w:t>
      </w:r>
      <w:r>
        <w:rPr>
          <w:rFonts w:hint="eastAsia" w:ascii="宋体" w:hAnsi="宋体" w:cs="宋体"/>
          <w:color w:val="auto"/>
          <w:sz w:val="24"/>
          <w:highlight w:val="none"/>
          <w:lang w:bidi="ar"/>
        </w:rPr>
        <w:t xml:space="preserve">本招标公告发布之日起</w:t>
      </w:r>
      <w:r>
        <w:rPr>
          <w:rFonts w:hint="eastAsia" w:ascii="宋体" w:hAnsi="宋体" w:cs="宋体"/>
          <w:color w:val="auto"/>
          <w:sz w:val="24"/>
          <w:highlight w:val="none"/>
        </w:rPr>
        <w:t xml:space="preserve">5个工作日。</w:t>
      </w:r>
      <w:r/>
    </w:p>
    <w:p>
      <w:pPr>
        <w:ind w:firstLine="540"/>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2.地点：“苏采云”政府采购一体化平台。</w:t>
      </w:r>
      <w:r/>
    </w:p>
    <w:p>
      <w:pPr>
        <w:ind w:firstLine="5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3.方式：在“苏采云”平台自行免费下载采购文件。注：供应商必须登录“苏采云”系统下载电子采购文件方可通过系统进行投标（响应）文件的编制和提交。</w:t>
      </w:r>
      <w:r/>
    </w:p>
    <w:p>
      <w:pPr>
        <w:ind w:firstLine="5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4.售价：0.00元</w:t>
      </w:r>
      <w:r/>
    </w:p>
    <w:p>
      <w:pPr>
        <w:pStyle w:val="919"/>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3"/>
      <w:r/>
      <w:bookmarkEnd w:id="24"/>
      <w:r>
        <w:rPr>
          <w:rFonts w:ascii="Times New Roman" w:hAnsi="Times New Roman" w:eastAsia="宋体"/>
          <w:color w:val="auto"/>
          <w:sz w:val="24"/>
          <w:szCs w:val="24"/>
          <w:highlight w:val="none"/>
        </w:rPr>
        <w:t xml:space="preserve">截止时间、开标时间和地点</w:t>
      </w:r>
      <w:bookmarkEnd w:id="25"/>
      <w:r/>
      <w:bookmarkEnd w:id="26"/>
      <w:r/>
      <w:r/>
    </w:p>
    <w:p>
      <w:pPr>
        <w:ind w:firstLine="480"/>
        <w:spacing w:line="360" w:lineRule="auto"/>
        <w:rPr>
          <w:rFonts w:hint="eastAsia" w:ascii="宋体" w:hAnsi="宋体"/>
          <w:color w:val="auto"/>
          <w:sz w:val="24"/>
          <w:highlight w:val="none"/>
        </w:rPr>
      </w:pPr>
      <w:r/>
      <w:bookmarkStart w:id="27" w:name="_Toc28359084"/>
      <w:r/>
      <w:bookmarkStart w:id="28" w:name="_Toc35393625"/>
      <w:r/>
      <w:bookmarkStart w:id="29" w:name="_Toc35393794"/>
      <w:r/>
      <w:bookmarkStart w:id="30" w:name="_Toc28359007"/>
      <w:r>
        <w:rPr>
          <w:rFonts w:hint="eastAsia" w:ascii="宋体" w:hAnsi="宋体"/>
          <w:color w:val="auto"/>
          <w:sz w:val="24"/>
          <w:highlight w:val="none"/>
        </w:rPr>
        <w:t xml:space="preserve">1.投标截止时间、开标时间：</w:t>
      </w:r>
      <w:r>
        <w:rPr>
          <w:rFonts w:hint="eastAsia" w:ascii="宋体" w:hAnsi="宋体"/>
          <w:color w:val="auto"/>
          <w:sz w:val="24"/>
          <w:highlight w:val="none"/>
        </w:rPr>
        <w:t xml:space="preserve">2026年</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日</w:t>
      </w:r>
      <w:r>
        <w:rPr>
          <w:rFonts w:hint="eastAsia" w:ascii="宋体" w:hAnsi="宋体"/>
          <w:color w:val="auto"/>
          <w:sz w:val="24"/>
          <w:highlight w:val="none"/>
        </w:rPr>
        <w:t xml:space="preserve">14:00（北京时间）。</w:t>
      </w:r>
      <w:r/>
    </w:p>
    <w:p>
      <w:pPr>
        <w:ind w:firstLine="480"/>
        <w:spacing w:line="360" w:lineRule="auto"/>
        <w:rPr>
          <w:rFonts w:hint="eastAsia" w:ascii="宋体" w:hAnsi="宋体"/>
          <w:bCs/>
          <w:color w:val="auto"/>
          <w:sz w:val="24"/>
          <w:highlight w:val="none"/>
          <w:u w:val="single"/>
        </w:rPr>
      </w:pPr>
      <w:r>
        <w:rPr>
          <w:rFonts w:hint="eastAsia" w:ascii="宋体" w:hAnsi="宋体"/>
          <w:color w:val="auto"/>
          <w:sz w:val="24"/>
          <w:highlight w:val="none"/>
        </w:rPr>
        <w:t xml:space="preserve">2.地点：“苏采云”政府采购交易系统。</w:t>
      </w:r>
      <w:r/>
    </w:p>
    <w:p>
      <w:pPr>
        <w:pStyle w:val="919"/>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27"/>
      <w:r/>
      <w:bookmarkEnd w:id="28"/>
      <w:r/>
      <w:bookmarkEnd w:id="29"/>
      <w:r/>
      <w:bookmarkEnd w:id="30"/>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919"/>
        <w:ind w:firstLine="482"/>
        <w:jc w:val="left"/>
        <w:spacing w:before="0" w:line="360" w:lineRule="auto"/>
        <w:rPr>
          <w:rFonts w:ascii="Times New Roman" w:hAnsi="Times New Roman" w:eastAsia="宋体"/>
          <w:color w:val="auto"/>
          <w:sz w:val="24"/>
          <w:szCs w:val="24"/>
          <w:highlight w:val="none"/>
        </w:rPr>
      </w:pPr>
      <w:r/>
      <w:bookmarkStart w:id="31" w:name="_Toc35393626"/>
      <w:r/>
      <w:bookmarkStart w:id="32" w:name="_Toc35393795"/>
      <w:r>
        <w:rPr>
          <w:rFonts w:ascii="Times New Roman" w:hAnsi="Times New Roman" w:eastAsia="宋体"/>
          <w:color w:val="auto"/>
          <w:sz w:val="24"/>
          <w:szCs w:val="24"/>
          <w:highlight w:val="none"/>
        </w:rPr>
        <w:t xml:space="preserve">六、其他补充事宜</w:t>
      </w:r>
      <w:bookmarkEnd w:id="31"/>
      <w:r/>
      <w:bookmarkEnd w:id="32"/>
      <w:r/>
      <w:r/>
    </w:p>
    <w:p>
      <w:pPr>
        <w:ind w:firstLine="480"/>
        <w:spacing w:line="360" w:lineRule="auto"/>
        <w:rPr>
          <w:rFonts w:hint="eastAsia" w:ascii="宋体" w:hAnsi="宋体" w:cs="宋体"/>
          <w:color w:val="auto"/>
          <w:sz w:val="24"/>
          <w:highlight w:val="none"/>
          <w:lang w:bidi="ar"/>
        </w:rPr>
      </w:pPr>
      <w:r/>
      <w:bookmarkStart w:id="33" w:name="_Toc35393796"/>
      <w:r/>
      <w:bookmarkStart w:id="34" w:name="_Toc28359085"/>
      <w:r/>
      <w:bookmarkStart w:id="35" w:name="_Toc35393627"/>
      <w:r/>
      <w:bookmarkStart w:id="36" w:name="_Toc28359008"/>
      <w:r>
        <w:rPr>
          <w:rFonts w:hint="eastAsia" w:ascii="宋体" w:hAnsi="宋体" w:cs="宋体"/>
          <w:color w:val="auto"/>
          <w:sz w:val="24"/>
          <w:highlight w:val="none"/>
          <w:lang w:bidi="ar"/>
        </w:rPr>
        <w:t xml:space="preserve">1.投标保证金：无需缴纳。</w:t>
      </w:r>
      <w:r/>
    </w:p>
    <w:p>
      <w:pPr>
        <w:ind w:firstLine="480"/>
        <w:spacing w:line="360" w:lineRule="auto"/>
        <w:tabs>
          <w:tab w:val="left" w:pos="900" w:leader="none"/>
        </w:tabs>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hint="eastAsia"/>
          <w:color w:val="auto"/>
          <w:sz w:val="24"/>
          <w:highlight w:val="none"/>
          <w:lang w:val="zh-TW" w:bidi="ar"/>
        </w:rPr>
      </w:pPr>
      <w:r>
        <w:rPr>
          <w:rFonts w:hint="eastAsia" w:ascii="宋体" w:hAnsi="宋体" w:cs="宋体"/>
          <w:color w:val="auto"/>
          <w:sz w:val="24"/>
          <w:highlight w:val="none"/>
          <w:lang w:bidi="ar"/>
        </w:rPr>
        <w:t xml:space="preserve">3.</w:t>
      </w:r>
      <w:r>
        <w:rPr>
          <w:rFonts w:hint="eastAsia" w:ascii="宋体" w:hAnsi="宋体" w:cs="宋体"/>
          <w:color w:val="auto"/>
          <w:sz w:val="24"/>
          <w:highlight w:val="none"/>
          <w:lang w:val="zh-TW" w:bidi="ar"/>
        </w:rPr>
        <w:t xml:space="preserve">关于常州市中小企业政府采购信用融资：</w:t>
      </w:r>
      <w:r>
        <w:rPr>
          <w:rFonts w:hint="eastAsia"/>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p>
    <w:p>
      <w:pPr>
        <w:ind w:firstLine="480"/>
        <w:spacing w:line="360" w:lineRule="auto"/>
        <w:rPr>
          <w:color w:val="auto"/>
          <w:sz w:val="24"/>
          <w:highlight w:val="none"/>
          <w:lang w:val="zh-TW" w:bidi="ar"/>
        </w:rPr>
      </w:pPr>
      <w:r>
        <w:rPr>
          <w:rFonts w:hint="eastAsia"/>
          <w:color w:val="auto"/>
          <w:sz w:val="24"/>
          <w:highlight w:val="none"/>
          <w:lang w:val="zh-TW" w:bidi="ar"/>
        </w:rPr>
        <w:t xml:space="preserve">政采融资平台栏目。</w:t>
      </w:r>
      <w:r/>
    </w:p>
    <w:p>
      <w:pPr>
        <w:pStyle w:val="921"/>
        <w:ind w:firstLine="482"/>
        <w:spacing w:line="360" w:lineRule="auto"/>
        <w:rPr>
          <w:rFonts w:hint="eastAsia"/>
          <w:color w:val="auto"/>
          <w:highlight w:val="none"/>
        </w:rPr>
      </w:pPr>
      <w:r>
        <w:rPr>
          <w:rFonts w:hint="eastAsia" w:ascii="宋体" w:hAnsi="宋体" w:cs="宋体"/>
          <w:b/>
          <w:color w:val="auto"/>
          <w:highlight w:val="none"/>
        </w:rPr>
        <w:t xml:space="preserve">4.电子化招投标技术支持电话：0519-85588210/ 0519-85588163</w:t>
      </w:r>
      <w:r/>
    </w:p>
    <w:p>
      <w:pPr>
        <w:pStyle w:val="919"/>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七、对本次招标提出询问，请按以下方式联系。</w:t>
      </w:r>
      <w:bookmarkEnd w:id="33"/>
      <w:r/>
      <w:bookmarkEnd w:id="34"/>
      <w:r/>
      <w:bookmarkEnd w:id="35"/>
      <w:r/>
      <w:bookmarkEnd w:id="36"/>
      <w:r/>
      <w:r/>
    </w:p>
    <w:p>
      <w:pPr>
        <w:ind w:firstLine="482"/>
        <w:jc w:val="left"/>
        <w:spacing w:line="360" w:lineRule="auto"/>
        <w:widowControl/>
        <w:rPr>
          <w:b/>
          <w:color w:val="auto"/>
          <w:sz w:val="24"/>
          <w:highlight w:val="none"/>
        </w:rPr>
      </w:pPr>
      <w:r>
        <w:rPr>
          <w:rFonts w:hint="eastAsia"/>
          <w:b/>
          <w:color w:val="auto"/>
          <w:sz w:val="24"/>
          <w:highlight w:val="none"/>
          <w:lang w:eastAsia="zh-CN"/>
        </w:rPr>
        <w:t xml:space="preserve">1.</w:t>
      </w:r>
      <w:r>
        <w:rPr>
          <w:b/>
          <w:color w:val="auto"/>
          <w:sz w:val="24"/>
          <w:highlight w:val="none"/>
        </w:rPr>
        <w:t xml:space="preserve">采购人信息</w:t>
      </w:r>
      <w:r/>
    </w:p>
    <w:p>
      <w:pPr>
        <w:ind w:firstLine="480"/>
        <w:jc w:val="left"/>
        <w:spacing w:line="360" w:lineRule="auto"/>
        <w:rPr>
          <w:rFonts w:hint="eastAsia" w:eastAsia="宋体"/>
          <w:color w:val="auto"/>
          <w:sz w:val="24"/>
          <w:highlight w:val="none"/>
          <w:lang w:eastAsia="zh-CN"/>
        </w:rPr>
      </w:pPr>
      <w:r/>
      <w:bookmarkStart w:id="37" w:name="_Toc28359009"/>
      <w:r/>
      <w:bookmarkStart w:id="38" w:name="_Toc28359086"/>
      <w:r>
        <w:rPr>
          <w:color w:val="auto"/>
          <w:sz w:val="24"/>
          <w:highlight w:val="none"/>
        </w:rPr>
        <w:t xml:space="preserve">名称：</w:t>
      </w:r>
      <w:r>
        <w:rPr>
          <w:rFonts w:hint="eastAsia" w:ascii="宋体" w:hAnsi="宋体"/>
          <w:color w:val="auto"/>
          <w:sz w:val="24"/>
          <w:highlight w:val="none"/>
          <w:lang w:val="zh-TW" w:eastAsia="zh-CN" w:bidi="ar"/>
        </w:rPr>
        <w:t xml:space="preserve">常州市公安局常州经济开发区分局</w:t>
      </w:r>
      <w:r/>
    </w:p>
    <w:p>
      <w:pPr>
        <w:ind w:firstLine="480"/>
        <w:jc w:val="left"/>
        <w:spacing w:line="360" w:lineRule="auto"/>
        <w:rPr>
          <w:color w:val="auto"/>
          <w:sz w:val="24"/>
          <w:highlight w:val="none"/>
        </w:rPr>
      </w:pPr>
      <w:r>
        <w:rPr>
          <w:color w:val="auto"/>
          <w:sz w:val="24"/>
          <w:highlight w:val="none"/>
        </w:rPr>
        <w:t xml:space="preserve">地址：</w:t>
      </w:r>
      <w:bookmarkStart w:id="39" w:name="OLE_LINK19"/>
      <w:r>
        <w:rPr>
          <w:rFonts w:hint="eastAsia" w:ascii="宋体" w:hAnsi="宋体" w:cs="宋体"/>
          <w:color w:val="auto"/>
          <w:sz w:val="24"/>
          <w:highlight w:val="none"/>
        </w:rPr>
        <w:t xml:space="preserve">常州市</w:t>
      </w:r>
      <w:r>
        <w:rPr>
          <w:rFonts w:hint="eastAsia" w:ascii="宋体" w:hAnsi="宋体" w:cs="宋体"/>
          <w:color w:val="auto"/>
          <w:sz w:val="24"/>
          <w:highlight w:val="none"/>
          <w:lang w:eastAsia="zh-CN"/>
        </w:rPr>
        <w:t xml:space="preserve">东方东路</w:t>
      </w:r>
      <w:r>
        <w:rPr>
          <w:rFonts w:hint="eastAsia" w:ascii="宋体" w:hAnsi="宋体" w:cs="宋体"/>
          <w:color w:val="auto"/>
          <w:sz w:val="24"/>
          <w:highlight w:val="none"/>
          <w:lang w:val="en-US" w:eastAsia="zh-CN"/>
        </w:rPr>
        <w:t xml:space="preserve">97</w:t>
      </w:r>
      <w:r>
        <w:rPr>
          <w:rFonts w:hint="eastAsia" w:ascii="宋体" w:hAnsi="宋体" w:cs="宋体"/>
          <w:color w:val="auto"/>
          <w:sz w:val="24"/>
          <w:highlight w:val="none"/>
        </w:rPr>
        <w:t xml:space="preserve">号</w:t>
      </w:r>
      <w:r>
        <w:rPr>
          <w:rFonts w:hint="eastAsia"/>
          <w:color w:val="auto"/>
          <w:sz w:val="24"/>
          <w:highlight w:val="none"/>
        </w:rPr>
        <w:t xml:space="preserve"> </w:t>
      </w:r>
      <w:bookmarkEnd w:id="39"/>
      <w:r>
        <w:rPr>
          <w:rFonts w:hint="eastAsia"/>
          <w:color w:val="auto"/>
          <w:sz w:val="24"/>
          <w:highlight w:val="none"/>
        </w:rPr>
        <w:t xml:space="preserve"> </w:t>
      </w:r>
      <w:r>
        <w:rPr>
          <w:color w:val="auto"/>
          <w:sz w:val="24"/>
          <w:highlight w:val="none"/>
        </w:rPr>
        <w:t xml:space="preserve"> </w:t>
      </w:r>
      <w:r/>
    </w:p>
    <w:p>
      <w:pPr>
        <w:pStyle w:val="921"/>
        <w:ind w:firstLine="480"/>
        <w:spacing w:line="360" w:lineRule="auto"/>
        <w:rPr>
          <w:rFonts w:hint="eastAsia" w:eastAsia="宋体"/>
          <w:color w:val="auto"/>
          <w:highlight w:val="none"/>
          <w:lang w:eastAsia="zh-CN"/>
        </w:rPr>
      </w:pPr>
      <w:r>
        <w:rPr>
          <w:color w:val="auto"/>
          <w:highlight w:val="none"/>
        </w:rPr>
        <w:t xml:space="preserve">联系人：</w:t>
      </w:r>
      <w:r>
        <w:rPr>
          <w:rFonts w:hint="eastAsia"/>
          <w:color w:val="auto"/>
          <w:highlight w:val="none"/>
          <w:lang w:eastAsia="zh-CN"/>
        </w:rPr>
        <w:t xml:space="preserve">朱警官</w:t>
      </w:r>
      <w:r/>
    </w:p>
    <w:p>
      <w:pPr>
        <w:ind w:firstLine="480"/>
        <w:jc w:val="left"/>
        <w:spacing w:line="360" w:lineRule="auto"/>
        <w:rPr>
          <w:b/>
          <w:color w:val="auto"/>
          <w:sz w:val="24"/>
          <w:highlight w:val="none"/>
        </w:rPr>
      </w:pPr>
      <w:r>
        <w:rPr>
          <w:color w:val="auto"/>
          <w:sz w:val="24"/>
          <w:highlight w:val="none"/>
        </w:rPr>
        <w:t xml:space="preserve">联系方式：</w:t>
      </w:r>
      <w:r>
        <w:rPr>
          <w:rFonts w:hint="eastAsia"/>
          <w:color w:val="auto"/>
          <w:sz w:val="24"/>
          <w:highlight w:val="none"/>
          <w:lang w:val="en-US" w:eastAsia="zh-CN"/>
        </w:rPr>
        <w:t xml:space="preserve">0519-81994723</w:t>
      </w:r>
      <w:r/>
    </w:p>
    <w:p>
      <w:pPr>
        <w:ind w:firstLine="482"/>
        <w:jc w:val="left"/>
        <w:spacing w:line="360" w:lineRule="auto"/>
        <w:rPr>
          <w:b/>
          <w:color w:val="auto"/>
          <w:sz w:val="24"/>
          <w:highlight w:val="none"/>
        </w:rPr>
      </w:pPr>
      <w:r>
        <w:rPr>
          <w:rFonts w:hint="eastAsia"/>
          <w:b/>
          <w:color w:val="auto"/>
          <w:sz w:val="24"/>
          <w:highlight w:val="none"/>
          <w:lang w:eastAsia="zh-CN"/>
        </w:rPr>
        <w:t xml:space="preserve">2.</w:t>
      </w:r>
      <w:r>
        <w:rPr>
          <w:rFonts w:hint="eastAsia"/>
          <w:b/>
          <w:color w:val="auto"/>
          <w:sz w:val="24"/>
          <w:highlight w:val="none"/>
        </w:rPr>
        <w:t xml:space="preserve">常州常投招标有限公司</w:t>
      </w:r>
      <w:r>
        <w:rPr>
          <w:b/>
          <w:color w:val="auto"/>
          <w:sz w:val="24"/>
          <w:highlight w:val="none"/>
        </w:rPr>
        <w:t xml:space="preserve">信息</w:t>
      </w:r>
      <w:bookmarkEnd w:id="37"/>
      <w:r/>
      <w:bookmarkEnd w:id="38"/>
      <w:r/>
      <w:r/>
    </w:p>
    <w:p>
      <w:pPr>
        <w:ind w:firstLine="480"/>
        <w:jc w:val="left"/>
        <w:spacing w:line="360" w:lineRule="auto"/>
        <w:widowControl/>
        <w:rPr>
          <w:color w:val="auto"/>
          <w:sz w:val="24"/>
          <w:highlight w:val="none"/>
        </w:rPr>
      </w:pPr>
      <w:r/>
      <w:bookmarkStart w:id="40" w:name="_Toc28359010"/>
      <w:r/>
      <w:bookmarkStart w:id="41" w:name="_Toc28359087"/>
      <w:r>
        <w:rPr>
          <w:rFonts w:hint="eastAsia"/>
          <w:color w:val="auto"/>
          <w:sz w:val="24"/>
          <w:highlight w:val="none"/>
        </w:rPr>
        <w:t xml:space="preserve">地址</w:t>
      </w:r>
      <w:r>
        <w:rPr>
          <w:color w:val="auto"/>
          <w:sz w:val="24"/>
          <w:highlight w:val="none"/>
        </w:rPr>
        <w:t xml:space="preserve">：</w:t>
      </w:r>
      <w:r>
        <w:rPr>
          <w:rFonts w:hint="eastAsia" w:ascii="宋体" w:hAnsi="宋体" w:cs="宋体"/>
          <w:color w:val="auto"/>
          <w:sz w:val="24"/>
          <w:highlight w:val="none"/>
          <w:lang w:val="zh-TW" w:bidi="ar"/>
        </w:rPr>
        <w:t xml:space="preserve">常州市武进区延政中大道</w:t>
      </w:r>
      <w:r>
        <w:rPr>
          <w:rFonts w:hint="eastAsia" w:ascii="宋体" w:hAnsi="宋体" w:cs="宋体"/>
          <w:color w:val="auto"/>
          <w:sz w:val="24"/>
          <w:highlight w:val="none"/>
          <w:lang w:val="zh-TW" w:eastAsia="zh-TW" w:bidi="ar"/>
        </w:rPr>
        <w:t xml:space="preserve">17</w:t>
      </w:r>
      <w:r>
        <w:rPr>
          <w:rFonts w:hint="eastAsia" w:ascii="宋体" w:hAnsi="宋体" w:cs="宋体"/>
          <w:color w:val="auto"/>
          <w:sz w:val="24"/>
          <w:highlight w:val="none"/>
          <w:lang w:val="zh-TW" w:bidi="ar"/>
        </w:rPr>
        <w:t xml:space="preserve">号金源大厦</w:t>
      </w:r>
      <w:r>
        <w:rPr>
          <w:rFonts w:hint="eastAsia" w:ascii="宋体" w:hAnsi="宋体" w:cs="宋体"/>
          <w:color w:val="auto"/>
          <w:sz w:val="24"/>
          <w:highlight w:val="none"/>
          <w:lang w:val="zh-TW" w:eastAsia="zh-TW" w:bidi="ar"/>
        </w:rPr>
        <w:t xml:space="preserve">18</w:t>
      </w:r>
      <w:r>
        <w:rPr>
          <w:rFonts w:hint="eastAsia" w:ascii="宋体" w:hAnsi="宋体" w:cs="宋体"/>
          <w:color w:val="auto"/>
          <w:sz w:val="24"/>
          <w:highlight w:val="none"/>
          <w:lang w:val="zh-TW" w:bidi="ar"/>
        </w:rPr>
        <w:t xml:space="preserve">楼</w:t>
      </w:r>
      <w:r/>
    </w:p>
    <w:p>
      <w:pPr>
        <w:ind w:firstLine="480"/>
        <w:jc w:val="left"/>
        <w:spacing w:line="360" w:lineRule="auto"/>
        <w:rPr>
          <w:color w:val="auto"/>
          <w:sz w:val="24"/>
          <w:highlight w:val="none"/>
        </w:rPr>
      </w:pPr>
      <w:r>
        <w:rPr>
          <w:rFonts w:hint="eastAsia"/>
          <w:color w:val="auto"/>
          <w:sz w:val="24"/>
          <w:highlight w:val="none"/>
        </w:rPr>
        <w:t xml:space="preserve">联系人</w:t>
      </w:r>
      <w:r>
        <w:rPr>
          <w:color w:val="auto"/>
          <w:sz w:val="24"/>
          <w:highlight w:val="none"/>
        </w:rPr>
        <w:t xml:space="preserve">：</w:t>
      </w:r>
      <w:r>
        <w:rPr>
          <w:rFonts w:hint="eastAsia"/>
          <w:color w:val="auto"/>
          <w:sz w:val="24"/>
          <w:highlight w:val="none"/>
          <w:lang w:eastAsia="zh-CN"/>
        </w:rPr>
        <w:t xml:space="preserve">周工</w:t>
      </w:r>
      <w:r>
        <w:rPr>
          <w:rFonts w:hint="eastAsia"/>
          <w:color w:val="auto"/>
          <w:sz w:val="24"/>
          <w:highlight w:val="none"/>
        </w:rPr>
        <w:t xml:space="preserve">  </w:t>
      </w:r>
      <w:r/>
    </w:p>
    <w:p>
      <w:pPr>
        <w:ind w:firstLine="480"/>
        <w:jc w:val="left"/>
        <w:spacing w:line="360" w:lineRule="auto"/>
        <w:rPr>
          <w:color w:val="auto"/>
          <w:sz w:val="24"/>
          <w:highlight w:val="none"/>
        </w:rPr>
      </w:pPr>
      <w:r>
        <w:rPr>
          <w:rFonts w:hint="eastAsia"/>
          <w:color w:val="auto"/>
          <w:sz w:val="24"/>
          <w:highlight w:val="none"/>
        </w:rPr>
        <w:t xml:space="preserve">联系方式：0519-85857862 </w:t>
      </w:r>
      <w:bookmarkEnd w:id="9"/>
      <w:bookmarkEnd w:id="40"/>
      <w:bookmarkEnd w:id="41"/>
      <w:r/>
    </w:p>
    <w:p>
      <w:pPr>
        <w:pStyle w:val="902"/>
        <w:rPr>
          <w:color w:val="auto"/>
          <w:highlight w:val="none"/>
        </w:rPr>
      </w:pPr>
      <w:r/>
      <w:bookmarkStart w:id="42" w:name="_Toc353873938"/>
      <w:r/>
      <w:bookmarkStart w:id="43" w:name="_Toc195842950"/>
      <w:r/>
      <w:bookmarkStart w:id="44" w:name="_Toc99301420"/>
      <w:r/>
      <w:bookmarkStart w:id="45" w:name="_Toc265228423"/>
      <w:r/>
      <w:bookmarkStart w:id="46" w:name="_Toc305158854"/>
      <w:r/>
      <w:bookmarkStart w:id="47" w:name="_Toc512937850"/>
      <w:r/>
      <w:bookmarkStart w:id="48" w:name="_Toc150774783"/>
      <w:r/>
      <w:bookmarkStart w:id="49" w:name="_Toc127151777"/>
      <w:r/>
      <w:bookmarkStart w:id="50" w:name="_Toc226965856"/>
      <w:r/>
      <w:bookmarkStart w:id="51" w:name="_Toc305158928"/>
      <w:r/>
      <w:bookmarkStart w:id="52" w:name="_Toc127161488"/>
      <w:r/>
      <w:bookmarkStart w:id="53" w:name="_Toc353825548"/>
      <w:r/>
      <w:bookmarkStart w:id="54" w:name="_Toc264969275"/>
      <w:r>
        <w:rPr>
          <w:color w:val="auto"/>
          <w:highlight w:val="none"/>
        </w:rPr>
        <w:br w:type="page" w:clear="all"/>
      </w:r>
      <w:bookmarkStart w:id="55" w:name="_Toc22117"/>
      <w:r>
        <w:rPr>
          <w:color w:val="auto"/>
          <w:highlight w:val="none"/>
        </w:rPr>
        <w:t xml:space="preserve">第二章</w:t>
      </w:r>
      <w:r>
        <w:rPr>
          <w:rFonts w:hint="eastAsia"/>
          <w:color w:val="auto"/>
          <w:highlight w:val="none"/>
        </w:rPr>
        <w:t xml:space="preserve">   </w:t>
      </w:r>
      <w:r>
        <w:rPr>
          <w:color w:val="auto"/>
          <w:highlight w:val="none"/>
        </w:rPr>
        <w:t xml:space="preserve">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pStyle w:val="919"/>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56" w:name="_Toc127161433"/>
      <w:r/>
      <w:bookmarkStart w:id="57" w:name="_Toc150509270"/>
      <w:r/>
      <w:bookmarkStart w:id="58" w:name="_Toc151193907"/>
      <w:r/>
      <w:bookmarkStart w:id="59" w:name="_Toc195842884"/>
      <w:r/>
      <w:bookmarkStart w:id="60" w:name="_Toc150774619"/>
      <w:r/>
      <w:bookmarkStart w:id="61" w:name="_Toc150774724"/>
      <w:r/>
      <w:bookmarkStart w:id="62" w:name="_Toc164351613"/>
      <w:r/>
      <w:bookmarkStart w:id="63" w:name="_Toc226965792"/>
      <w:r/>
      <w:bookmarkStart w:id="64" w:name="_Toc127151519"/>
      <w:r/>
      <w:bookmarkStart w:id="65" w:name="_Toc151193833"/>
      <w:r/>
      <w:bookmarkStart w:id="66" w:name="_Toc127151720"/>
      <w:r/>
      <w:bookmarkStart w:id="67" w:name="_Toc164608788"/>
      <w:r/>
      <w:bookmarkStart w:id="68" w:name="_Toc226337215"/>
      <w:r/>
      <w:bookmarkStart w:id="69" w:name="_Toc151190146"/>
      <w:r/>
      <w:bookmarkStart w:id="70" w:name="_Toc164608633"/>
      <w:r/>
      <w:bookmarkStart w:id="71" w:name="_Toc142311021"/>
      <w:r/>
      <w:bookmarkStart w:id="72" w:name="_Toc164229360"/>
      <w:r/>
      <w:bookmarkStart w:id="73" w:name="_Toc151193761"/>
      <w:r/>
      <w:bookmarkStart w:id="74" w:name="_Toc226309763"/>
      <w:r/>
      <w:bookmarkStart w:id="75" w:name="_Toc226965709"/>
      <w:r/>
      <w:bookmarkStart w:id="76" w:name="_Toc151193689"/>
      <w:r/>
      <w:bookmarkStart w:id="77" w:name="_Toc150480757"/>
      <w:r/>
      <w:bookmarkStart w:id="78" w:name="_Toc164229214"/>
      <w:r/>
      <w:bookmarkStart w:id="79" w:name="_Toc149720812"/>
      <w:r/>
      <w:bookmarkStart w:id="80" w:name="_Toc151193617"/>
      <w:r/>
      <w:bookmarkStart w:id="81" w:name="_Toc520356144"/>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905"/>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59"/>
        <w:gridCol w:w="6846"/>
      </w:tblGrid>
      <w:tr>
        <w:trPr>
          <w:jc w:val="center"/>
          <w:trHeight w:val="594"/>
          <w:tblHeader/>
        </w:trPr>
        <w:tc>
          <w:tcPr>
            <w:tcW w:w="783" w:type="dxa"/>
            <w:vAlign w:val="center"/>
            <w:textDirection w:val="lrTb"/>
            <w:noWrap w:val="false"/>
          </w:tcPr>
          <w:p>
            <w:pPr>
              <w:jc w:val="center"/>
              <w:rPr>
                <w:b/>
                <w:bCs/>
                <w:color w:val="auto"/>
                <w:sz w:val="24"/>
                <w:highlight w:val="none"/>
              </w:rPr>
            </w:pPr>
            <w:r>
              <w:rPr>
                <w:rFonts w:hint="eastAsia"/>
                <w:b/>
                <w:color w:val="auto"/>
                <w:sz w:val="24"/>
                <w:highlight w:val="none"/>
              </w:rPr>
              <w:t xml:space="preserve">序号</w:t>
            </w:r>
            <w:r/>
          </w:p>
        </w:tc>
        <w:tc>
          <w:tcPr>
            <w:tcW w:w="1659"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6846"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479"/>
        </w:trPr>
        <w:tc>
          <w:tcPr>
            <w:tcW w:w="783" w:type="dxa"/>
            <w:vAlign w:val="center"/>
            <w:textDirection w:val="lrTb"/>
            <w:noWrap w:val="false"/>
          </w:tcPr>
          <w:p>
            <w:pPr>
              <w:pStyle w:val="92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659"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tc>
        <w:tc>
          <w:tcPr>
            <w:tcW w:w="6846" w:type="dxa"/>
            <w:vAlign w:val="center"/>
            <w:textDirection w:val="lrTb"/>
            <w:noWrap w:val="false"/>
          </w:tcPr>
          <w:p>
            <w:pPr>
              <w:jc w:val="left"/>
              <w:spacing w:line="3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项目属性：货物</w:t>
            </w:r>
            <w:r/>
          </w:p>
        </w:tc>
      </w:tr>
      <w:tr>
        <w:trPr>
          <w:jc w:val="center"/>
          <w:trHeight w:val="401"/>
        </w:trPr>
        <w:tc>
          <w:tcPr>
            <w:tcW w:w="783" w:type="dxa"/>
            <w:vAlign w:val="center"/>
            <w:textDirection w:val="lrTb"/>
            <w:noWrap w:val="false"/>
          </w:tcPr>
          <w:p>
            <w:pPr>
              <w:pStyle w:val="92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659"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6846" w:type="dxa"/>
            <w:vAlign w:val="center"/>
            <w:textDirection w:val="lrTb"/>
            <w:noWrap w:val="false"/>
          </w:tcPr>
          <w:p>
            <w:pPr>
              <w:jc w:val="left"/>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是否属于科研仪器设备采购项目：否</w:t>
            </w:r>
            <w:r/>
          </w:p>
        </w:tc>
      </w:tr>
      <w:tr>
        <w:trPr>
          <w:jc w:val="center"/>
          <w:trHeight w:val="20"/>
        </w:trPr>
        <w:tc>
          <w:tcPr>
            <w:tcW w:w="783" w:type="dxa"/>
            <w:vAlign w:val="center"/>
            <w:textDirection w:val="lrTb"/>
            <w:noWrap w:val="false"/>
          </w:tcPr>
          <w:p>
            <w:pPr>
              <w:pStyle w:val="92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659"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核心产品</w:t>
            </w:r>
            <w:r/>
          </w:p>
        </w:tc>
        <w:tc>
          <w:tcPr>
            <w:tcW w:w="6846" w:type="dxa"/>
            <w:vAlign w:val="center"/>
            <w:textDirection w:val="lrTb"/>
            <w:noWrap w:val="false"/>
          </w:tcPr>
          <w:p>
            <w:pPr>
              <w:pStyle w:val="922"/>
              <w:spacing w:line="360" w:lineRule="exact"/>
              <w:rPr>
                <w:rFonts w:hAnsi="宋体" w:cs="宋体"/>
                <w:color w:val="auto"/>
                <w:sz w:val="24"/>
                <w:szCs w:val="24"/>
                <w:highlight w:val="none"/>
              </w:rPr>
            </w:pPr>
            <w:r>
              <w:rPr>
                <w:rFonts w:hint="eastAsia" w:hAnsi="宋体" w:cs="宋体"/>
                <w:color w:val="auto"/>
                <w:sz w:val="24"/>
                <w:szCs w:val="24"/>
                <w:highlight w:val="none"/>
              </w:rPr>
              <w:t xml:space="preserve">本项目为非单一产品采购项目，</w:t>
            </w:r>
            <w:r>
              <w:rPr>
                <w:rFonts w:hint="eastAsia" w:hAnsi="宋体" w:cs="宋体"/>
                <w:color w:val="auto"/>
                <w:sz w:val="24"/>
                <w:szCs w:val="24"/>
                <w:highlight w:val="none"/>
              </w:rPr>
              <w:t xml:space="preserve">核心产品为：</w:t>
            </w:r>
            <w:r>
              <w:rPr>
                <w:rFonts w:hint="eastAsia" w:hAnsi="宋体" w:cs="宋体"/>
                <w:color w:val="auto"/>
                <w:sz w:val="24"/>
                <w:szCs w:val="24"/>
                <w:highlight w:val="none"/>
              </w:rPr>
              <w:t xml:space="preserve">800W双通道全结构化摄像机</w:t>
            </w:r>
            <w:r/>
          </w:p>
        </w:tc>
      </w:tr>
      <w:tr>
        <w:trPr>
          <w:jc w:val="center"/>
          <w:trHeight w:val="20"/>
        </w:trPr>
        <w:tc>
          <w:tcPr>
            <w:tcW w:w="783" w:type="dxa"/>
            <w:vAlign w:val="center"/>
            <w:textDirection w:val="lrTb"/>
            <w:noWrap w:val="false"/>
          </w:tcPr>
          <w:p>
            <w:pPr>
              <w:pStyle w:val="92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659"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现场考察</w:t>
            </w:r>
            <w:r/>
          </w:p>
        </w:tc>
        <w:tc>
          <w:tcPr>
            <w:tcW w:w="6846" w:type="dxa"/>
            <w:vAlign w:val="center"/>
            <w:textDirection w:val="lrTb"/>
            <w:noWrap w:val="false"/>
          </w:tcPr>
          <w:p>
            <w:pPr>
              <w:jc w:val="left"/>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不组织</w:t>
            </w:r>
            <w:r/>
          </w:p>
        </w:tc>
      </w:tr>
      <w:tr>
        <w:trPr>
          <w:jc w:val="center"/>
          <w:trHeight w:val="20"/>
        </w:trPr>
        <w:tc>
          <w:tcPr>
            <w:tcW w:w="783" w:type="dxa"/>
            <w:vAlign w:val="center"/>
            <w:textDirection w:val="lrTb"/>
            <w:noWrap w:val="false"/>
          </w:tcPr>
          <w:p>
            <w:pPr>
              <w:pStyle w:val="92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659"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6846" w:type="dxa"/>
            <w:vAlign w:val="center"/>
            <w:textDirection w:val="lrTb"/>
            <w:noWrap w:val="false"/>
          </w:tcPr>
          <w:p>
            <w:pPr>
              <w:jc w:val="left"/>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不召开</w:t>
            </w:r>
            <w:r/>
          </w:p>
        </w:tc>
      </w:tr>
      <w:tr>
        <w:trPr>
          <w:jc w:val="center"/>
          <w:trHeight w:val="20"/>
        </w:trPr>
        <w:tc>
          <w:tcPr>
            <w:tcW w:w="783" w:type="dxa"/>
            <w:vAlign w:val="center"/>
            <w:textDirection w:val="lrTb"/>
            <w:noWrap w:val="false"/>
          </w:tcPr>
          <w:p>
            <w:pPr>
              <w:pStyle w:val="92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659"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样品</w:t>
            </w:r>
            <w:r/>
          </w:p>
        </w:tc>
        <w:tc>
          <w:tcPr>
            <w:tcW w:w="6846" w:type="dxa"/>
            <w:vAlign w:val="center"/>
            <w:textDirection w:val="lrTb"/>
            <w:noWrap w:val="false"/>
          </w:tcPr>
          <w:p>
            <w:pPr>
              <w:jc w:val="left"/>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投标样品递交：不需要</w:t>
            </w:r>
            <w:r/>
          </w:p>
        </w:tc>
      </w:tr>
      <w:tr>
        <w:trPr>
          <w:jc w:val="center"/>
          <w:trHeight w:val="950"/>
        </w:trPr>
        <w:tc>
          <w:tcPr>
            <w:tcW w:w="783" w:type="dxa"/>
            <w:vAlign w:val="center"/>
            <w:textDirection w:val="lrTb"/>
            <w:noWrap w:val="false"/>
          </w:tcPr>
          <w:p>
            <w:pPr>
              <w:pStyle w:val="92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659"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是否专门面向中小企业</w:t>
            </w:r>
            <w:r/>
          </w:p>
        </w:tc>
        <w:tc>
          <w:tcPr>
            <w:tcW w:w="6846" w:type="dxa"/>
            <w:vAlign w:val="center"/>
            <w:textDirection w:val="lrTb"/>
            <w:noWrap w:val="false"/>
          </w:tcPr>
          <w:p>
            <w:pPr>
              <w:jc w:val="left"/>
              <w:rPr>
                <w:color w:val="auto"/>
                <w:highlight w:val="none"/>
              </w:rPr>
            </w:pPr>
            <w:r>
              <w:rPr>
                <w:rFonts w:hint="eastAsia"/>
                <w:color w:val="auto"/>
                <w:sz w:val="24"/>
                <w:highlight w:val="none"/>
              </w:rPr>
              <w:t xml:space="preserve">本项目不专门面向中小企业采购</w:t>
            </w:r>
            <w:r>
              <w:rPr>
                <w:rFonts w:hint="eastAsia"/>
                <w:color w:val="auto"/>
                <w:sz w:val="24"/>
                <w:highlight w:val="none"/>
                <w:lang w:eastAsia="zh-CN"/>
              </w:rPr>
              <w:t xml:space="preserve">，</w:t>
            </w:r>
            <w:r>
              <w:rPr>
                <w:rFonts w:hint="eastAsia"/>
                <w:color w:val="auto"/>
                <w:highlight w:val="none"/>
              </w:rPr>
              <w:t xml:space="preserve"> </w:t>
            </w:r>
            <w:r>
              <w:rPr>
                <w:rFonts w:hint="eastAsia"/>
                <w:color w:val="auto"/>
                <w:sz w:val="24"/>
                <w:highlight w:val="none"/>
              </w:rPr>
              <w:t xml:space="preserve">在评审时对小微企业执行价格评审优惠政策，</w:t>
            </w:r>
            <w:r>
              <w:rPr>
                <w:rFonts w:hint="eastAsia" w:ascii="宋体" w:hAnsi="宋体" w:cs="宋体"/>
                <w:color w:val="auto"/>
                <w:sz w:val="24"/>
                <w:highlight w:val="none"/>
              </w:rPr>
              <w:t xml:space="preserve">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报价给予20%的扣除，用扣除后的价格参加评审</w:t>
            </w:r>
            <w:r>
              <w:rPr>
                <w:rFonts w:hint="eastAsia"/>
                <w:color w:val="auto"/>
                <w:sz w:val="24"/>
                <w:highlight w:val="none"/>
              </w:rPr>
              <w:t xml:space="preserve">。</w:t>
            </w:r>
            <w:r/>
          </w:p>
        </w:tc>
      </w:tr>
      <w:tr>
        <w:trPr>
          <w:jc w:val="center"/>
          <w:trHeight w:val="1210"/>
        </w:trPr>
        <w:tc>
          <w:tcPr>
            <w:tcW w:w="783" w:type="dxa"/>
            <w:vAlign w:val="center"/>
            <w:textDirection w:val="lrTb"/>
            <w:noWrap w:val="false"/>
          </w:tcPr>
          <w:p>
            <w:pPr>
              <w:ind w:firstLine="240"/>
              <w:jc w:val="left"/>
              <w:spacing w:line="360" w:lineRule="exact"/>
              <w:rPr>
                <w:color w:val="auto"/>
                <w:sz w:val="24"/>
                <w:highlight w:val="none"/>
              </w:rPr>
            </w:pPr>
            <w:r>
              <w:rPr>
                <w:rFonts w:hint="eastAsia"/>
                <w:color w:val="auto"/>
                <w:sz w:val="24"/>
                <w:highlight w:val="none"/>
              </w:rPr>
              <w:t xml:space="preserve">8</w:t>
            </w:r>
            <w:r/>
          </w:p>
        </w:tc>
        <w:tc>
          <w:tcPr>
            <w:tcW w:w="1659"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本国产品政策支持</w:t>
            </w:r>
            <w:r/>
          </w:p>
        </w:tc>
        <w:tc>
          <w:tcPr>
            <w:tcW w:w="6846" w:type="dxa"/>
            <w:vAlign w:val="center"/>
            <w:textDirection w:val="lrTb"/>
            <w:noWrap w:val="false"/>
          </w:tcPr>
          <w:p>
            <w:pPr>
              <w:jc w:val="left"/>
              <w:spacing w:line="360" w:lineRule="exact"/>
              <w:rPr>
                <w:rFonts w:hint="eastAsia"/>
                <w:color w:val="auto"/>
                <w:sz w:val="24"/>
                <w:highlight w:val="none"/>
              </w:rPr>
            </w:pPr>
            <w:r/>
            <w:bookmarkStart w:id="82" w:name="OLE_LINK3"/>
            <w:r>
              <w:rPr>
                <w:rFonts w:hint="eastAsia"/>
                <w:color w:val="auto"/>
                <w:sz w:val="24"/>
                <w:highlight w:val="none"/>
              </w:rPr>
              <w:t xml:space="preserve">具体要求详见第四章“评标方法”中“政府采购中实施本国产品标准及相关政策”。</w:t>
            </w:r>
            <w:bookmarkEnd w:id="82"/>
            <w:r/>
            <w:r/>
          </w:p>
        </w:tc>
      </w:tr>
      <w:tr>
        <w:trPr>
          <w:jc w:val="center"/>
          <w:trHeight w:val="1535"/>
        </w:trPr>
        <w:tc>
          <w:tcPr>
            <w:tcW w:w="783" w:type="dxa"/>
            <w:vAlign w:val="center"/>
            <w:textDirection w:val="lrTb"/>
            <w:noWrap w:val="false"/>
          </w:tcPr>
          <w:p>
            <w:pPr>
              <w:pStyle w:val="922"/>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1659" w:type="dxa"/>
            <w:vAlign w:val="center"/>
            <w:textDirection w:val="lrTb"/>
            <w:noWrap w:val="false"/>
          </w:tcPr>
          <w:p>
            <w:pPr>
              <w:jc w:val="center"/>
              <w:spacing w:line="360" w:lineRule="exact"/>
              <w:rPr>
                <w:color w:val="auto"/>
                <w:sz w:val="24"/>
                <w:highlight w:val="none"/>
              </w:rPr>
            </w:pPr>
            <w:r>
              <w:rPr>
                <w:color w:val="auto"/>
                <w:sz w:val="24"/>
                <w:highlight w:val="none"/>
              </w:rPr>
              <w:t xml:space="preserve">标的所属行业</w:t>
            </w:r>
            <w:r/>
          </w:p>
        </w:tc>
        <w:tc>
          <w:tcPr>
            <w:tcW w:w="6846"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本项目属于</w:t>
            </w:r>
            <w:r>
              <w:rPr>
                <w:rFonts w:hint="eastAsia"/>
                <w:color w:val="auto"/>
                <w:sz w:val="24"/>
                <w:highlight w:val="none"/>
                <w:u w:val="single"/>
              </w:rPr>
              <w:t xml:space="preserve">货物类</w:t>
            </w:r>
            <w:r>
              <w:rPr>
                <w:rFonts w:hint="eastAsia" w:ascii="宋体" w:hAnsi="宋体" w:cs="楷体"/>
                <w:color w:val="auto"/>
                <w:szCs w:val="21"/>
                <w:highlight w:val="none"/>
              </w:rPr>
              <w:t xml:space="preserve">，</w:t>
            </w:r>
            <w:r>
              <w:rPr>
                <w:color w:val="auto"/>
                <w:sz w:val="24"/>
                <w:highlight w:val="none"/>
              </w:rPr>
              <w:t xml:space="preserve">采购标的对应的中小企业划分标准所属行业：</w:t>
            </w:r>
            <w:r>
              <w:rPr>
                <w:rFonts w:hint="eastAsia" w:ascii="宋体" w:hAnsi="宋体" w:cs="宋体"/>
                <w:color w:val="auto"/>
                <w:sz w:val="24"/>
                <w:highlight w:val="none"/>
                <w:u w:val="single"/>
              </w:rPr>
              <w:t xml:space="preserve">工业</w:t>
            </w:r>
            <w:r>
              <w:rPr>
                <w:rFonts w:hint="eastAsia"/>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783" w:type="dxa"/>
            <w:vAlign w:val="center"/>
            <w:textDirection w:val="lrTb"/>
            <w:noWrap w:val="false"/>
          </w:tcPr>
          <w:p>
            <w:pPr>
              <w:pStyle w:val="92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w:t>
            </w:r>
            <w:r/>
          </w:p>
        </w:tc>
        <w:tc>
          <w:tcPr>
            <w:tcW w:w="1659" w:type="dxa"/>
            <w:vAlign w:val="center"/>
            <w:textDirection w:val="lrTb"/>
            <w:noWrap w:val="false"/>
          </w:tcPr>
          <w:p>
            <w:pPr>
              <w:jc w:val="center"/>
              <w:spacing w:line="360" w:lineRule="exact"/>
              <w:rPr>
                <w:color w:val="auto"/>
                <w:sz w:val="24"/>
                <w:highlight w:val="none"/>
              </w:rPr>
            </w:pPr>
            <w:r>
              <w:rPr>
                <w:color w:val="auto"/>
                <w:sz w:val="24"/>
                <w:highlight w:val="none"/>
              </w:rPr>
              <w:t xml:space="preserve">投标有效期</w:t>
            </w:r>
            <w:r/>
          </w:p>
        </w:tc>
        <w:tc>
          <w:tcPr>
            <w:tcW w:w="6846" w:type="dxa"/>
            <w:vAlign w:val="center"/>
            <w:textDirection w:val="lrTb"/>
            <w:noWrap w:val="false"/>
          </w:tcPr>
          <w:p>
            <w:pPr>
              <w:jc w:val="left"/>
              <w:spacing w:line="360" w:lineRule="exac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625"/>
        </w:trPr>
        <w:tc>
          <w:tcPr>
            <w:tcW w:w="783" w:type="dxa"/>
            <w:vAlign w:val="center"/>
            <w:textDirection w:val="lrTb"/>
            <w:noWrap w:val="false"/>
          </w:tcPr>
          <w:p>
            <w:pPr>
              <w:pStyle w:val="92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w:t>
            </w:r>
            <w:r/>
          </w:p>
        </w:tc>
        <w:tc>
          <w:tcPr>
            <w:tcW w:w="1659" w:type="dxa"/>
            <w:vAlign w:val="center"/>
            <w:textDirection w:val="lrTb"/>
            <w:noWrap w:val="false"/>
          </w:tcPr>
          <w:p>
            <w:pPr>
              <w:jc w:val="center"/>
              <w:spacing w:line="360" w:lineRule="exact"/>
              <w:rPr>
                <w:color w:val="auto"/>
                <w:sz w:val="24"/>
                <w:highlight w:val="none"/>
              </w:rPr>
            </w:pPr>
            <w:r>
              <w:rPr>
                <w:color w:val="auto"/>
                <w:sz w:val="24"/>
                <w:highlight w:val="none"/>
              </w:rPr>
              <w:t xml:space="preserve">分包</w:t>
            </w:r>
            <w:r/>
          </w:p>
        </w:tc>
        <w:tc>
          <w:tcPr>
            <w:tcW w:w="6846" w:type="dxa"/>
            <w:vAlign w:val="center"/>
            <w:textDirection w:val="lrTb"/>
            <w:noWrap w:val="false"/>
          </w:tcPr>
          <w:p>
            <w:pPr>
              <w:jc w:val="left"/>
              <w:spacing w:line="360" w:lineRule="exact"/>
              <w:rPr>
                <w:color w:val="auto"/>
                <w:sz w:val="24"/>
                <w:highlight w:val="none"/>
              </w:rPr>
            </w:pPr>
            <w:r>
              <w:rPr>
                <w:color w:val="auto"/>
                <w:sz w:val="24"/>
                <w:highlight w:val="none"/>
              </w:rPr>
              <w:t xml:space="preserve">本项目的非主体、非关键性工作是否允许分包：不允许</w:t>
            </w:r>
            <w:r/>
          </w:p>
        </w:tc>
      </w:tr>
      <w:tr>
        <w:trPr>
          <w:jc w:val="center"/>
          <w:trHeight w:val="20"/>
        </w:trPr>
        <w:tc>
          <w:tcPr>
            <w:tcW w:w="783" w:type="dxa"/>
            <w:vAlign w:val="center"/>
            <w:textDirection w:val="lrTb"/>
            <w:noWrap w:val="false"/>
          </w:tcPr>
          <w:p>
            <w:pPr>
              <w:pStyle w:val="92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659" w:type="dxa"/>
            <w:vAlign w:val="center"/>
            <w:textDirection w:val="lrTb"/>
            <w:noWrap w:val="false"/>
          </w:tcPr>
          <w:p>
            <w:pPr>
              <w:jc w:val="center"/>
              <w:spacing w:line="360" w:lineRule="exact"/>
              <w:rPr>
                <w:color w:val="auto"/>
                <w:sz w:val="24"/>
                <w:highlight w:val="none"/>
              </w:rPr>
            </w:pPr>
            <w:r>
              <w:rPr>
                <w:color w:val="auto"/>
                <w:sz w:val="24"/>
                <w:highlight w:val="none"/>
              </w:rPr>
              <w:t xml:space="preserve">询问</w:t>
            </w:r>
            <w:r/>
          </w:p>
        </w:tc>
        <w:tc>
          <w:tcPr>
            <w:tcW w:w="6846" w:type="dxa"/>
            <w:vAlign w:val="center"/>
            <w:textDirection w:val="lrTb"/>
            <w:noWrap w:val="false"/>
          </w:tcPr>
          <w:p>
            <w:pPr>
              <w:jc w:val="left"/>
              <w:rPr>
                <w:color w:val="auto"/>
                <w:highlight w:val="none"/>
              </w:rPr>
            </w:pPr>
            <w:r>
              <w:rPr>
                <w:rFonts w:hint="eastAsia"/>
                <w:color w:val="auto"/>
                <w:sz w:val="24"/>
                <w:highlight w:val="none"/>
              </w:rPr>
              <w:t xml:space="preserve">已登记参加本项目的供应商对招标文件如有疑问，可于</w:t>
            </w:r>
            <w:r>
              <w:rPr>
                <w:rFonts w:hint="eastAsia"/>
                <w:color w:val="auto"/>
                <w:sz w:val="24"/>
                <w:highlight w:val="none"/>
              </w:rPr>
              <w:t xml:space="preserve">2026年 </w:t>
            </w:r>
            <w:r>
              <w:rPr>
                <w:rFonts w:hint="eastAsia"/>
                <w:color w:val="auto"/>
                <w:sz w:val="24"/>
                <w:highlight w:val="none"/>
                <w:lang w:val="en-US" w:eastAsia="zh-CN"/>
              </w:rPr>
              <w:t xml:space="preserve">10</w:t>
            </w:r>
            <w:r>
              <w:rPr>
                <w:rFonts w:hint="eastAsia"/>
                <w:color w:val="auto"/>
                <w:sz w:val="24"/>
                <w:highlight w:val="none"/>
              </w:rPr>
              <w:t xml:space="preserve">月</w:t>
            </w:r>
            <w:r>
              <w:rPr>
                <w:rFonts w:hint="eastAsia"/>
                <w:color w:val="auto"/>
                <w:sz w:val="24"/>
                <w:highlight w:val="none"/>
                <w:lang w:val="en-US" w:eastAsia="zh-CN"/>
              </w:rPr>
              <w:t xml:space="preserve">9</w:t>
            </w:r>
            <w:r>
              <w:rPr>
                <w:rFonts w:hint="eastAsia"/>
                <w:color w:val="auto"/>
                <w:sz w:val="24"/>
                <w:highlight w:val="none"/>
              </w:rPr>
              <w:t xml:space="preserve">日</w:t>
            </w:r>
            <w:r>
              <w:rPr>
                <w:rFonts w:hint="eastAsia"/>
                <w:color w:val="auto"/>
                <w:sz w:val="24"/>
                <w:highlight w:val="none"/>
              </w:rPr>
              <w:t xml:space="preserve">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2093"/>
        </w:trPr>
        <w:tc>
          <w:tcPr>
            <w:tcW w:w="783" w:type="dxa"/>
            <w:vAlign w:val="center"/>
            <w:textDirection w:val="lrTb"/>
            <w:noWrap w:val="false"/>
          </w:tcPr>
          <w:p>
            <w:pPr>
              <w:pStyle w:val="92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13</w:t>
            </w:r>
            <w:r/>
          </w:p>
        </w:tc>
        <w:tc>
          <w:tcPr>
            <w:tcW w:w="1659" w:type="dxa"/>
            <w:vAlign w:val="center"/>
            <w:textDirection w:val="lrTb"/>
            <w:noWrap w:val="false"/>
          </w:tcPr>
          <w:p>
            <w:pPr>
              <w:jc w:val="center"/>
              <w:spacing w:line="360" w:lineRule="exact"/>
              <w:rPr>
                <w:color w:val="auto"/>
                <w:sz w:val="24"/>
                <w:highlight w:val="none"/>
              </w:rPr>
            </w:pPr>
            <w:r>
              <w:rPr>
                <w:color w:val="auto"/>
                <w:sz w:val="24"/>
                <w:highlight w:val="none"/>
              </w:rPr>
              <w:t xml:space="preserve">联系方式</w:t>
            </w:r>
            <w:r/>
          </w:p>
        </w:tc>
        <w:tc>
          <w:tcPr>
            <w:tcW w:w="6846" w:type="dxa"/>
            <w:vAlign w:val="center"/>
            <w:textDirection w:val="lrTb"/>
            <w:noWrap w:val="false"/>
          </w:tcPr>
          <w:p>
            <w:pPr>
              <w:jc w:val="left"/>
              <w:spacing w:line="360" w:lineRule="exact"/>
              <w:rPr>
                <w:color w:val="auto"/>
                <w:sz w:val="24"/>
                <w:highlight w:val="none"/>
              </w:rPr>
            </w:pPr>
            <w:r>
              <w:rPr>
                <w:color w:val="auto"/>
                <w:sz w:val="24"/>
                <w:highlight w:val="none"/>
              </w:rPr>
              <w:t xml:space="preserve">接收质疑的联系方式</w:t>
            </w:r>
            <w:r>
              <w:rPr>
                <w:rFonts w:hint="eastAsia"/>
                <w:color w:val="auto"/>
                <w:sz w:val="24"/>
                <w:highlight w:val="none"/>
              </w:rPr>
              <w:t xml:space="preserve">：</w:t>
            </w:r>
            <w:r/>
          </w:p>
          <w:p>
            <w:pPr>
              <w:pStyle w:val="921"/>
              <w:spacing w:line="360" w:lineRule="exact"/>
              <w:rPr>
                <w:rFonts w:hint="eastAsia"/>
                <w:color w:val="auto"/>
                <w:highlight w:val="none"/>
              </w:rPr>
            </w:pPr>
            <w:r>
              <w:rPr>
                <w:color w:val="auto"/>
                <w:highlight w:val="none"/>
              </w:rPr>
              <w:t xml:space="preserve">（）采购人联系电话、通讯地址详见《第一章投标邀请》。</w:t>
            </w:r>
            <w:r/>
          </w:p>
          <w:p>
            <w:pPr>
              <w:jc w:val="left"/>
              <w:spacing w:line="360" w:lineRule="exact"/>
              <w:rPr>
                <w:color w:val="auto"/>
                <w:sz w:val="24"/>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）代理机构：常州常投招标有限公司</w:t>
            </w:r>
            <w:r/>
          </w:p>
          <w:p>
            <w:pPr>
              <w:ind w:firstLine="480"/>
              <w:jc w:val="left"/>
              <w:spacing w:line="360" w:lineRule="exact"/>
              <w:rPr>
                <w:color w:val="auto"/>
                <w:sz w:val="24"/>
                <w:highlight w:val="none"/>
              </w:rPr>
            </w:pPr>
            <w:r>
              <w:rPr>
                <w:color w:val="auto"/>
                <w:sz w:val="24"/>
                <w:highlight w:val="none"/>
              </w:rPr>
              <w:t xml:space="preserve">联系部门：</w:t>
            </w:r>
            <w:r>
              <w:rPr>
                <w:rFonts w:hint="eastAsia" w:ascii="宋体" w:hAnsi="宋体" w:cs="宋体"/>
                <w:color w:val="auto"/>
                <w:sz w:val="24"/>
                <w:highlight w:val="none"/>
              </w:rPr>
              <w:t xml:space="preserve">常州常投招标有限公司综合科</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联系电话：</w:t>
            </w:r>
            <w:r>
              <w:rPr>
                <w:rFonts w:hint="eastAsia" w:ascii="宋体" w:hAnsi="宋体" w:cs="宋体"/>
                <w:color w:val="auto"/>
                <w:sz w:val="24"/>
                <w:highlight w:val="none"/>
              </w:rPr>
              <w:t xml:space="preserve">0519-85857862</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通讯地址：</w:t>
            </w:r>
            <w:r>
              <w:rPr>
                <w:rFonts w:hint="eastAsia" w:ascii="宋体" w:hAnsi="宋体" w:cs="宋体"/>
                <w:color w:val="auto"/>
                <w:sz w:val="24"/>
                <w:highlight w:val="none"/>
              </w:rPr>
              <w:t xml:space="preserve">常州市武进区延政中大道17号金源大厦18楼</w:t>
            </w:r>
            <w:r>
              <w:rPr>
                <w:rFonts w:ascii="宋体" w:hAnsi="宋体" w:cs="宋体"/>
                <w:color w:val="auto"/>
                <w:sz w:val="24"/>
                <w:highlight w:val="none"/>
              </w:rPr>
              <w:t xml:space="preserve"> </w:t>
            </w:r>
            <w:r>
              <w:rPr>
                <w:color w:val="auto"/>
                <w:sz w:val="24"/>
                <w:highlight w:val="none"/>
              </w:rPr>
              <w:t xml:space="preserve">。</w:t>
            </w:r>
            <w:r/>
          </w:p>
        </w:tc>
      </w:tr>
      <w:tr>
        <w:trPr>
          <w:jc w:val="center"/>
          <w:trHeight w:val="9703"/>
        </w:trPr>
        <w:tc>
          <w:tcPr>
            <w:tcW w:w="783" w:type="dxa"/>
            <w:vAlign w:val="center"/>
            <w:textDirection w:val="lrTb"/>
            <w:noWrap w:val="false"/>
          </w:tcPr>
          <w:p>
            <w:pPr>
              <w:pStyle w:val="92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14</w:t>
            </w:r>
            <w:r/>
          </w:p>
        </w:tc>
        <w:tc>
          <w:tcPr>
            <w:tcW w:w="1659" w:type="dxa"/>
            <w:vAlign w:val="center"/>
            <w:textDirection w:val="lrTb"/>
            <w:noWrap w:val="false"/>
          </w:tcPr>
          <w:p>
            <w:pPr>
              <w:jc w:val="center"/>
              <w:spacing w:line="360" w:lineRule="exact"/>
              <w:rPr>
                <w:color w:val="auto"/>
                <w:sz w:val="24"/>
                <w:highlight w:val="none"/>
              </w:rPr>
            </w:pPr>
            <w:r>
              <w:rPr>
                <w:color w:val="auto"/>
                <w:sz w:val="24"/>
                <w:highlight w:val="none"/>
              </w:rPr>
              <w:t xml:space="preserve">代理费</w:t>
            </w:r>
            <w:r/>
          </w:p>
        </w:tc>
        <w:tc>
          <w:tcPr>
            <w:tcW w:w="6846" w:type="dxa"/>
            <w:vAlign w:val="center"/>
            <w:textDirection w:val="lrTb"/>
            <w:noWrap w:val="false"/>
          </w:tcPr>
          <w:p>
            <w:pPr>
              <w:jc w:val="left"/>
              <w:rPr>
                <w:color w:val="auto"/>
                <w:sz w:val="24"/>
                <w:highlight w:val="none"/>
              </w:rPr>
            </w:pPr>
            <w:r>
              <w:rPr>
                <w:color w:val="auto"/>
                <w:sz w:val="24"/>
                <w:highlight w:val="none"/>
              </w:rPr>
              <w:t xml:space="preserve">收费对象：</w:t>
            </w:r>
            <w:r/>
          </w:p>
          <w:p>
            <w:pPr>
              <w:ind w:firstLine="480"/>
              <w:jc w:val="left"/>
              <w:rPr>
                <w:color w:val="auto"/>
                <w:sz w:val="24"/>
                <w:highlight w:val="none"/>
              </w:rPr>
            </w:pPr>
            <w:r>
              <w:rPr>
                <w:rFonts w:hint="eastAsia"/>
                <w:color w:val="auto"/>
                <w:sz w:val="24"/>
                <w:highlight w:val="none"/>
                <w:lang w:eastAsia="zh-CN"/>
              </w:rPr>
              <w:t xml:space="preserve">□</w:t>
            </w:r>
            <w:r>
              <w:rPr>
                <w:color w:val="auto"/>
                <w:sz w:val="24"/>
                <w:highlight w:val="none"/>
              </w:rPr>
              <w:t xml:space="preserve">采购人</w:t>
            </w:r>
            <w:r/>
          </w:p>
          <w:p>
            <w:pPr>
              <w:ind w:firstLine="480"/>
              <w:jc w:val="left"/>
              <w:rPr>
                <w:color w:val="auto"/>
                <w:sz w:val="24"/>
                <w:highlight w:val="none"/>
              </w:rPr>
            </w:pPr>
            <w:r>
              <w:rPr>
                <w:rFonts w:hint="eastAsia"/>
                <w:color w:val="auto"/>
                <w:sz w:val="24"/>
                <w:highlight w:val="none"/>
                <w:lang w:eastAsia="zh-CN"/>
              </w:rPr>
              <w:t xml:space="preserve">☑</w:t>
            </w:r>
            <w:r>
              <w:rPr>
                <w:color w:val="auto"/>
                <w:sz w:val="24"/>
                <w:highlight w:val="none"/>
              </w:rPr>
              <w:t xml:space="preserve">成交供应商</w:t>
            </w:r>
            <w:r/>
          </w:p>
          <w:p>
            <w:pPr>
              <w:ind w:firstLine="480"/>
              <w:jc w:val="left"/>
              <w:spacing w:line="360" w:lineRule="auto"/>
              <w:rPr>
                <w:rFonts w:ascii="宋体" w:hAnsi="宋体" w:cs="宋体"/>
                <w:color w:val="auto"/>
                <w:sz w:val="24"/>
                <w:highlight w:val="none"/>
              </w:rPr>
            </w:pPr>
            <w:r>
              <w:rPr>
                <w:rFonts w:ascii="宋体" w:hAnsi="宋体"/>
                <w:color w:val="auto"/>
                <w:sz w:val="24"/>
                <w:highlight w:val="none"/>
              </w:rPr>
              <w:t xml:space="preserve">收费标准：</w:t>
            </w:r>
            <w:r>
              <w:rPr>
                <w:rFonts w:hint="eastAsia" w:ascii="宋体" w:hAnsi="宋体" w:cs="宋体"/>
                <w:color w:val="auto"/>
                <w:sz w:val="24"/>
                <w:highlight w:val="none"/>
              </w:rPr>
              <w:t xml:space="preserve">招标平台服务费按照国家文件规定的“招标代理服务收费标准”（详见下表） 收取。</w:t>
            </w:r>
            <w:r/>
          </w:p>
          <w:tbl>
            <w:tblPr>
              <w:tblStyle w:val="905"/>
              <w:tblW w:w="6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00"/>
              <w:gridCol w:w="1272"/>
              <w:gridCol w:w="1272"/>
              <w:gridCol w:w="1272"/>
            </w:tblGrid>
            <w:tr>
              <w:trPr>
                <w:jc w:val="center"/>
                <w:trHeight w:val="812"/>
              </w:trPr>
              <w:tc>
                <w:tcPr>
                  <w:tcW w:w="2800" w:type="dxa"/>
                  <w:vAlign w:val="top"/>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431800</wp:posOffset>
                            </wp:positionH>
                            <wp:positionV relativeFrom="paragraph">
                              <wp:posOffset>10795</wp:posOffset>
                            </wp:positionV>
                            <wp:extent cx="1271905" cy="1373505"/>
                            <wp:effectExtent l="3810" t="3175" r="4445" b="10160"/>
                            <wp:wrapNone/>
                            <wp:docPr id="6" name="直接箭头连接符 19"/>
                            <wp:cNvGraphicFramePr/>
                            <a:graphic xmlns:a="http://schemas.openxmlformats.org/drawingml/2006/main">
                              <a:graphicData uri="http://schemas.microsoft.com/office/word/2010/wordprocessingShape">
                                <wps:wsp>
                                  <wps:cNvPr id="0" name=""/>
                                  <wps:cNvSpPr/>
                                  <wps:spPr bwMode="auto">
                                    <a:xfrm>
                                      <a:off x="0" y="0"/>
                                      <a:ext cx="1271905" cy="137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34.0pt;mso-position-horizontal:absolute;mso-position-vertical-relative:text;margin-top:0.8pt;mso-position-vertical:absolute;width:100.1pt;height:108.1pt;mso-wrap-distance-left:9.0pt;mso-wrap-distance-top:0.0pt;mso-wrap-distance-right:9.0pt;mso-wrap-distance-bottom:0.0pt;visibility:visible;" filled="f" strokecolor="#000000" strokeweight="0.75pt">
                            <v:stroke dashstyle="solid"/>
                          </v:shape>
                        </w:pict>
                      </mc:Fallback>
                    </mc:AlternateContent>
                  </w:r>
                  <w:r/>
                </w:p>
                <w:p>
                  <w:pPr>
                    <w:ind w:firstLine="144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-56515</wp:posOffset>
                            </wp:positionH>
                            <wp:positionV relativeFrom="paragraph">
                              <wp:posOffset>255270</wp:posOffset>
                            </wp:positionV>
                            <wp:extent cx="1696720" cy="897890"/>
                            <wp:effectExtent l="2540" t="4445" r="7620" b="12065"/>
                            <wp:wrapNone/>
                            <wp:docPr id="7" name="直接箭头连接符 20"/>
                            <wp:cNvGraphicFramePr/>
                            <a:graphic xmlns:a="http://schemas.openxmlformats.org/drawingml/2006/main">
                              <a:graphicData uri="http://schemas.microsoft.com/office/word/2010/wordprocessingShape">
                                <wps:wsp>
                                  <wps:cNvPr id="0" name=""/>
                                  <wps:cNvSpPr/>
                                  <wps:spPr bwMode="auto">
                                    <a:xfrm>
                                      <a:off x="0" y="0"/>
                                      <a:ext cx="1696720" cy="8978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4.5pt;mso-position-horizontal:absolute;mso-position-vertical-relative:text;margin-top:20.1pt;mso-position-vertical:absolute;width:133.6pt;height:70.7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eastAsia="宋体" w:cs="宋体"/>
                      <w:bCs/>
                      <w:color w:val="auto"/>
                      <w:sz w:val="24"/>
                      <w:highlight w:val="none"/>
                    </w:rPr>
                    <w:t xml:space="preserve">服务类型</w:t>
                  </w:r>
                  <w:r/>
                </w:p>
                <w:p>
                  <w:pPr>
                    <w:ind w:firstLine="8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费率</w:t>
                  </w:r>
                  <w:r/>
                </w:p>
                <w:p>
                  <w:pPr>
                    <w:ind w:firstLine="12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中标金额（万元）</w:t>
                  </w:r>
                  <w:r/>
                </w:p>
              </w:tc>
              <w:tc>
                <w:tcPr>
                  <w:tcW w:w="127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货物招标</w:t>
                  </w:r>
                  <w:r/>
                </w:p>
              </w:tc>
              <w:tc>
                <w:tcPr>
                  <w:tcW w:w="127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服务招标</w:t>
                  </w:r>
                  <w:r/>
                </w:p>
              </w:tc>
              <w:tc>
                <w:tcPr>
                  <w:tcW w:w="127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工程招标</w:t>
                  </w:r>
                  <w:r/>
                </w:p>
              </w:tc>
            </w:tr>
            <w:tr>
              <w:trPr>
                <w:jc w:val="center"/>
              </w:trPr>
              <w:tc>
                <w:tcPr>
                  <w:tcW w:w="2800"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100以下</w:t>
                  </w:r>
                  <w:r/>
                </w:p>
              </w:tc>
              <w:tc>
                <w:tcPr>
                  <w:tcW w:w="127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w:t>
                  </w:r>
                  <w:r/>
                </w:p>
              </w:tc>
              <w:tc>
                <w:tcPr>
                  <w:tcW w:w="127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w:t>
                  </w:r>
                  <w:r/>
                </w:p>
              </w:tc>
              <w:tc>
                <w:tcPr>
                  <w:tcW w:w="127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r>
            <w:tr>
              <w:trPr>
                <w:jc w:val="center"/>
              </w:trPr>
              <w:tc>
                <w:tcPr>
                  <w:tcW w:w="2800"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100-500</w:t>
                  </w:r>
                  <w:r/>
                </w:p>
              </w:tc>
              <w:tc>
                <w:tcPr>
                  <w:tcW w:w="127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p>
              </w:tc>
              <w:tc>
                <w:tcPr>
                  <w:tcW w:w="127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0.8%</w:t>
                  </w:r>
                  <w:r/>
                </w:p>
              </w:tc>
              <w:tc>
                <w:tcPr>
                  <w:tcW w:w="127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0.7%</w:t>
                  </w:r>
                  <w:r/>
                </w:p>
              </w:tc>
            </w:tr>
            <w:tr>
              <w:trPr>
                <w:jc w:val="center"/>
              </w:trPr>
              <w:tc>
                <w:tcPr>
                  <w:tcW w:w="2800"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500-1000</w:t>
                  </w:r>
                  <w:r/>
                </w:p>
              </w:tc>
              <w:tc>
                <w:tcPr>
                  <w:tcW w:w="127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0.8%</w:t>
                  </w:r>
                  <w:r/>
                </w:p>
              </w:tc>
              <w:tc>
                <w:tcPr>
                  <w:tcW w:w="127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0.45%</w:t>
                  </w:r>
                  <w:r/>
                </w:p>
              </w:tc>
              <w:tc>
                <w:tcPr>
                  <w:tcW w:w="127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0.55%</w:t>
                  </w:r>
                  <w:r/>
                </w:p>
              </w:tc>
            </w:tr>
            <w:tr>
              <w:trPr>
                <w:jc w:val="center"/>
              </w:trPr>
              <w:tc>
                <w:tcPr>
                  <w:tcW w:w="2800"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W w:w="127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W w:w="127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W w:w="127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r>
          </w:tbl>
          <w:p>
            <w:pPr>
              <w:rPr>
                <w:rFonts w:hint="eastAsia" w:ascii="宋体" w:hAnsi="宋体" w:cs="宋体"/>
                <w:color w:val="auto"/>
                <w:sz w:val="24"/>
                <w:highlight w:val="none"/>
              </w:rPr>
            </w:pPr>
            <w:r>
              <w:rPr>
                <w:rFonts w:hint="eastAsia" w:ascii="宋体" w:hAnsi="宋体" w:cs="宋体"/>
                <w:color w:val="auto"/>
                <w:sz w:val="24"/>
                <w:highlight w:val="none"/>
              </w:rPr>
              <w:t xml:space="preserve">1.本次采购预算金额中包含采购代理服务费，由成交供应商支付，供应商报价应包含代理费。</w:t>
            </w:r>
            <w:r/>
          </w:p>
          <w:p>
            <w:pPr>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招标平台服务收费按差额定率累进法计算。</w:t>
            </w:r>
            <w:r/>
          </w:p>
          <w:p>
            <w:pPr>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.招标平台服务收费以中标（成交）金额为基数，按上表服务费率计算，不足人民币3000元的，按人民币3000元收取。</w:t>
            </w:r>
            <w:r/>
          </w:p>
          <w:p>
            <w:pPr>
              <w:rPr>
                <w:rFonts w:ascii="宋体" w:hAnsi="宋体" w:cs="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ascii="宋体" w:hAnsi="宋体"/>
                <w:color w:val="auto"/>
                <w:sz w:val="24"/>
                <w:highlight w:val="none"/>
              </w:rPr>
              <w:t xml:space="preserve">缴纳时间：</w:t>
            </w:r>
            <w:r>
              <w:rPr>
                <w:rFonts w:hint="eastAsia" w:ascii="宋体" w:hAnsi="宋体" w:cs="宋体"/>
                <w:color w:val="auto"/>
                <w:sz w:val="24"/>
                <w:highlight w:val="none"/>
                <w:u w:val="single"/>
              </w:rPr>
              <w:t xml:space="preserve">成交供应商在领取中标（成交）通知书同时向采购代理机构缴纳。</w:t>
            </w:r>
            <w:r>
              <w:rPr>
                <w:rFonts w:hint="eastAsia" w:ascii="宋体" w:hAnsi="宋体" w:cs="宋体"/>
                <w:color w:val="auto"/>
                <w:sz w:val="24"/>
                <w:highlight w:val="none"/>
                <w:u w:val="single"/>
              </w:rPr>
              <w:br/>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.收取招标平台服务费账户信息：</w:t>
            </w:r>
            <w:r/>
          </w:p>
          <w:p>
            <w:pPr>
              <w:rPr>
                <w:rFonts w:ascii="宋体" w:hAnsi="宋体" w:cs="宋体"/>
                <w:color w:val="auto"/>
                <w:sz w:val="24"/>
                <w:highlight w:val="none"/>
              </w:rPr>
            </w:pPr>
            <w:r>
              <w:rPr>
                <w:rFonts w:hint="eastAsia" w:ascii="宋体" w:hAnsi="宋体" w:cs="宋体"/>
                <w:color w:val="auto"/>
                <w:sz w:val="24"/>
                <w:highlight w:val="none"/>
              </w:rPr>
              <w:t xml:space="preserve">收款单位：常州常投招标有限公司</w:t>
            </w:r>
            <w:r/>
          </w:p>
          <w:p>
            <w:pPr>
              <w:rPr>
                <w:rFonts w:ascii="宋体" w:hAnsi="宋体" w:cs="宋体"/>
                <w:color w:val="auto"/>
                <w:sz w:val="24"/>
                <w:highlight w:val="none"/>
              </w:rPr>
            </w:pPr>
            <w:r>
              <w:rPr>
                <w:rFonts w:hint="eastAsia" w:ascii="宋体" w:hAnsi="宋体" w:cs="宋体"/>
                <w:color w:val="auto"/>
                <w:sz w:val="24"/>
                <w:highlight w:val="none"/>
              </w:rPr>
              <w:t xml:space="preserve">银行账号：3204010011120158001655</w:t>
            </w:r>
            <w:r/>
          </w:p>
          <w:p>
            <w:pPr>
              <w:rPr>
                <w:rFonts w:ascii="宋体" w:hAnsi="宋体" w:cs="宋体"/>
                <w:color w:val="auto"/>
                <w:sz w:val="24"/>
                <w:highlight w:val="none"/>
              </w:rPr>
            </w:pPr>
            <w:r>
              <w:rPr>
                <w:rFonts w:hint="eastAsia" w:ascii="宋体" w:hAnsi="宋体" w:cs="宋体"/>
                <w:color w:val="auto"/>
                <w:sz w:val="24"/>
                <w:highlight w:val="none"/>
              </w:rPr>
              <w:t xml:space="preserve">开户银行：苏州银行股份有限公司常州分行</w:t>
            </w:r>
            <w:r/>
          </w:p>
          <w:p>
            <w:pPr>
              <w:rPr>
                <w:color w:val="auto"/>
                <w:sz w:val="24"/>
                <w:highlight w:val="none"/>
              </w:rPr>
            </w:pPr>
            <w:r>
              <w:rPr>
                <w:rFonts w:hint="eastAsia" w:ascii="宋体" w:hAnsi="宋体" w:cs="宋体"/>
                <w:color w:val="auto"/>
                <w:sz w:val="24"/>
                <w:highlight w:val="none"/>
              </w:rPr>
              <w:t xml:space="preserve">缴纳方式：</w:t>
            </w:r>
            <w:r>
              <w:rPr>
                <w:color w:val="auto"/>
                <w:highlight w:val="none"/>
              </w:rPr>
              <w:fldChar w:fldCharType="begin"/>
            </w:r>
            <w:r>
              <w:rPr>
                <w:color w:val="auto"/>
                <w:highlight w:val="none"/>
              </w:rPr>
              <w:instrText xml:space="preserve"> HYPERLINK "mailto:以银行电汇或转账（备注项目编号）汇款后将凭证发送至我司邮箱（changzhouchangtou@126.com）" </w:instrText>
            </w:r>
            <w:r>
              <w:rPr>
                <w:color w:val="auto"/>
                <w:highlight w:val="none"/>
              </w:rPr>
              <w:fldChar w:fldCharType="separate"/>
            </w:r>
            <w:r>
              <w:rPr>
                <w:rFonts w:hint="eastAsia" w:ascii="宋体" w:hAnsi="宋体" w:cs="宋体"/>
                <w:color w:val="auto"/>
                <w:sz w:val="24"/>
                <w:highlight w:val="none"/>
              </w:rPr>
              <w:t xml:space="preserve">以银行电汇或转账（备注项目编号），汇款后将凭证发送至我司邮箱（changzhouchangtou@126.com）</w:t>
            </w:r>
            <w:r>
              <w:rPr>
                <w:rFonts w:hint="eastAsia" w:ascii="宋体" w:hAnsi="宋体" w:cs="宋体"/>
                <w:color w:val="auto"/>
                <w:sz w:val="24"/>
                <w:highlight w:val="none"/>
              </w:rPr>
              <w:fldChar w:fldCharType="end"/>
            </w:r>
            <w:r/>
          </w:p>
        </w:tc>
      </w:tr>
      <w:tr>
        <w:trPr>
          <w:jc w:val="center"/>
          <w:trHeight w:val="1624"/>
        </w:trPr>
        <w:tc>
          <w:tcPr>
            <w:tcW w:w="783" w:type="dxa"/>
            <w:vAlign w:val="center"/>
            <w:textDirection w:val="lrTb"/>
            <w:noWrap w:val="false"/>
          </w:tcPr>
          <w:p>
            <w:pPr>
              <w:pStyle w:val="92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15</w:t>
            </w:r>
            <w:r/>
          </w:p>
        </w:tc>
        <w:tc>
          <w:tcPr>
            <w:tcW w:w="1659" w:type="dxa"/>
            <w:vAlign w:val="center"/>
            <w:textDirection w:val="lrTb"/>
            <w:noWrap w:val="false"/>
          </w:tcPr>
          <w:p>
            <w:pPr>
              <w:jc w:val="center"/>
              <w:spacing w:line="360" w:lineRule="exact"/>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6846"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中标单位在签订合同前需递交与电子投标文件内容一致的纸质投标文件</w:t>
            </w:r>
            <w:r>
              <w:rPr>
                <w:rFonts w:hint="eastAsia"/>
                <w:b/>
                <w:bCs/>
                <w:color w:val="auto"/>
                <w:sz w:val="24"/>
                <w:highlight w:val="none"/>
                <w:lang w:eastAsia="zh-CN"/>
              </w:rPr>
              <w:t xml:space="preserve">叁</w:t>
            </w:r>
            <w:r>
              <w:rPr>
                <w:rFonts w:hint="eastAsia"/>
                <w:b/>
                <w:bCs/>
                <w:color w:val="auto"/>
                <w:sz w:val="24"/>
                <w:highlight w:val="none"/>
              </w:rPr>
              <w:t xml:space="preserve">份</w:t>
            </w:r>
            <w:r>
              <w:rPr>
                <w:rFonts w:hint="eastAsia"/>
                <w:color w:val="auto"/>
                <w:sz w:val="24"/>
                <w:highlight w:val="none"/>
              </w:rPr>
              <w:t xml:space="preserve">（需打印清晰，标注目录及页码），作为项目归档使用。（递交方式可采用邮寄或现场送达</w:t>
            </w:r>
            <w:r>
              <w:rPr>
                <w:rFonts w:hint="eastAsia"/>
                <w:color w:val="auto"/>
                <w:sz w:val="24"/>
                <w:highlight w:val="none"/>
                <w:lang w:eastAsia="zh-CN"/>
              </w:rPr>
              <w:t xml:space="preserve">，</w:t>
            </w:r>
            <w:r>
              <w:rPr>
                <w:rFonts w:hint="eastAsia"/>
                <w:color w:val="auto"/>
                <w:sz w:val="24"/>
                <w:highlight w:val="none"/>
              </w:rPr>
              <w:t xml:space="preserve">常州常投招标有限公司和采购人各一份，联系方式见《第一章 投标邀请》）</w:t>
            </w:r>
            <w:r/>
          </w:p>
        </w:tc>
      </w:tr>
      <w:tr>
        <w:trPr>
          <w:jc w:val="center"/>
          <w:trHeight w:val="889"/>
        </w:trPr>
        <w:tc>
          <w:tcPr>
            <w:tcW w:w="783" w:type="dxa"/>
            <w:vAlign w:val="center"/>
            <w:textDirection w:val="lrTb"/>
            <w:noWrap w:val="false"/>
          </w:tcPr>
          <w:p>
            <w:pPr>
              <w:pStyle w:val="922"/>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16</w:t>
            </w:r>
            <w:r/>
          </w:p>
        </w:tc>
        <w:tc>
          <w:tcPr>
            <w:tcW w:w="1659" w:type="dxa"/>
            <w:vAlign w:val="center"/>
            <w:textDirection w:val="lrTb"/>
            <w:noWrap w:val="false"/>
          </w:tcPr>
          <w:p>
            <w:pPr>
              <w:jc w:val="center"/>
              <w:spacing w:line="360" w:lineRule="exact"/>
              <w:rPr>
                <w:color w:val="auto"/>
                <w:sz w:val="24"/>
                <w:highlight w:val="none"/>
              </w:rPr>
            </w:pPr>
            <w:r>
              <w:rPr>
                <w:rFonts w:hint="eastAsia"/>
                <w:color w:val="auto"/>
                <w:sz w:val="24"/>
                <w:highlight w:val="none"/>
              </w:rPr>
              <w:t xml:space="preserve">履约保证金</w:t>
            </w:r>
            <w:r/>
          </w:p>
        </w:tc>
        <w:tc>
          <w:tcPr>
            <w:tcW w:w="6846"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不收取</w:t>
            </w:r>
            <w:r/>
          </w:p>
        </w:tc>
      </w:tr>
    </w:tbl>
    <w:p>
      <w:pPr>
        <w:pStyle w:val="903"/>
        <w:ind w:left="0" w:right="0" w:firstLine="0"/>
        <w:jc w:val="center"/>
        <w:rPr>
          <w:rFonts w:ascii="Times New Roman" w:hAnsi="Times New Roman"/>
          <w:color w:val="auto"/>
          <w:sz w:val="32"/>
          <w:szCs w:val="32"/>
          <w:highlight w:val="none"/>
        </w:rPr>
      </w:pPr>
      <w:r>
        <w:rPr>
          <w:color w:val="auto"/>
          <w:sz w:val="24"/>
          <w:highlight w:val="none"/>
        </w:rPr>
        <w:br w:type="page" w:clear="all"/>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Start w:id="83" w:name="_Toc305158860"/>
      <w:r/>
      <w:bookmarkStart w:id="84" w:name="_Toc150509269"/>
      <w:r/>
      <w:bookmarkStart w:id="85" w:name="_Toc150774723"/>
      <w:r/>
      <w:bookmarkStart w:id="86" w:name="_Toc151193832"/>
      <w:r/>
      <w:bookmarkStart w:id="87" w:name="_Toc226309762"/>
      <w:r/>
      <w:bookmarkStart w:id="88" w:name="_Toc142311020"/>
      <w:r/>
      <w:bookmarkStart w:id="89" w:name="_Toc151193760"/>
      <w:r/>
      <w:bookmarkStart w:id="90" w:name="_Toc264969208"/>
      <w:r/>
      <w:bookmarkStart w:id="91" w:name="_Toc265228356"/>
      <w:r/>
      <w:bookmarkStart w:id="92" w:name="_Toc150774618"/>
      <w:r/>
      <w:bookmarkStart w:id="93" w:name="_Toc151193616"/>
      <w:r/>
      <w:bookmarkStart w:id="94" w:name="_Toc226337214"/>
      <w:r/>
      <w:bookmarkStart w:id="95" w:name="_Toc195842883"/>
      <w:r/>
      <w:bookmarkStart w:id="96" w:name="_Toc127151518"/>
      <w:r/>
      <w:bookmarkStart w:id="97" w:name="_Toc151190145"/>
      <w:r/>
      <w:bookmarkStart w:id="98" w:name="_Toc305158786"/>
      <w:r/>
      <w:bookmarkStart w:id="99" w:name="_Toc226965708"/>
      <w:r/>
      <w:bookmarkStart w:id="100" w:name="_Toc520356143"/>
      <w:r/>
      <w:bookmarkStart w:id="101" w:name="_Toc150480756"/>
      <w:r/>
      <w:bookmarkStart w:id="102" w:name="_Toc151193688"/>
      <w:r/>
      <w:bookmarkStart w:id="103" w:name="_Toc151193906"/>
      <w:r/>
      <w:bookmarkStart w:id="104" w:name="_Toc226965791"/>
      <w:r/>
      <w:bookmarkStart w:id="105" w:name="_Toc99301424"/>
      <w:r/>
      <w:bookmarkStart w:id="106" w:name="_Toc226337251"/>
      <w:r/>
      <w:bookmarkStart w:id="107" w:name="_Toc305158823"/>
      <w:r/>
      <w:bookmarkStart w:id="108" w:name="_Toc150774760"/>
      <w:r/>
      <w:bookmarkStart w:id="109" w:name="_Toc150480793"/>
      <w:r/>
      <w:bookmarkStart w:id="110" w:name="_Toc264969245"/>
      <w:r/>
      <w:bookmarkStart w:id="111" w:name="_Toc305158897"/>
      <w:r/>
      <w:bookmarkStart w:id="112" w:name="_Toc353825545"/>
      <w:r/>
      <w:bookmarkStart w:id="113" w:name="_Toc127151555"/>
      <w:r/>
      <w:bookmarkStart w:id="114" w:name="_Toc265228393"/>
      <w:r/>
      <w:bookmarkStart w:id="115" w:name="_Toc353873665"/>
      <w:r/>
      <w:bookmarkStart w:id="116" w:name="_Toc353873935"/>
      <w:r/>
      <w:bookmarkStart w:id="117" w:name="_Toc226965828"/>
      <w:r/>
      <w:bookmarkStart w:id="118" w:name="_Toc142311057"/>
      <w:r/>
      <w:bookmarkStart w:id="119" w:name="_Toc195842920"/>
      <w:r>
        <w:rPr>
          <w:rStyle w:val="923"/>
          <w:rFonts w:hint="eastAsia"/>
          <w:color w:val="auto"/>
          <w:highlight w:val="none"/>
        </w:rPr>
        <w:t xml:space="preserve">第二节 说明</w:t>
      </w:r>
      <w:r/>
    </w:p>
    <w:p>
      <w:pPr>
        <w:pStyle w:val="919"/>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outlineLvl w:val="2"/>
      </w:pPr>
      <w:r/>
      <w:bookmarkStart w:id="120" w:name="_Hlk152921964"/>
      <w:r>
        <w:rPr>
          <w:rFonts w:hint="eastAsia" w:ascii="Times New Roman" w:hAnsi="Times New Roman" w:eastAsia="宋体"/>
          <w:color w:val="auto"/>
          <w:sz w:val="32"/>
          <w:szCs w:val="32"/>
          <w:highlight w:val="none"/>
        </w:rPr>
        <w:t xml:space="preserve">一、</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ascii="Arial" w:hAnsi="Arial" w:eastAsia="黑体" w:cs="Arial"/>
          <w:color w:val="auto"/>
          <w:sz w:val="28"/>
          <w:szCs w:val="28"/>
          <w:highlight w:val="none"/>
        </w:rPr>
        <w:outlineLvl w:val="4"/>
      </w:pPr>
      <w:r/>
      <w:bookmarkStart w:id="121" w:name="_Toc458694821"/>
      <w:r/>
      <w:bookmarkStart w:id="122" w:name="_Toc20823276"/>
      <w:r/>
      <w:bookmarkStart w:id="123" w:name="_Toc513029204"/>
      <w:r/>
      <w:bookmarkStart w:id="124" w:name="_Toc16938520"/>
      <w:r/>
      <w:bookmarkStart w:id="125" w:name="_Toc150480792"/>
      <w:r/>
      <w:bookmarkStart w:id="126" w:name="_Toc265228392"/>
      <w:r/>
      <w:bookmarkStart w:id="127" w:name="_Toc150774759"/>
      <w:r/>
      <w:bookmarkStart w:id="128" w:name="_Toc226965827"/>
      <w:r/>
      <w:bookmarkStart w:id="129" w:name="_Toc127151554"/>
      <w:r/>
      <w:bookmarkStart w:id="130" w:name="_Toc142311056"/>
      <w:r/>
      <w:bookmarkStart w:id="131" w:name="_Toc353873934"/>
      <w:r/>
      <w:bookmarkStart w:id="132" w:name="_Toc305158822"/>
      <w:r/>
      <w:bookmarkStart w:id="133" w:name="_Toc353825544"/>
      <w:r/>
      <w:bookmarkStart w:id="134" w:name="_Toc226337250"/>
      <w:r/>
      <w:bookmarkStart w:id="135" w:name="_Toc353873664"/>
      <w:r/>
      <w:bookmarkStart w:id="136" w:name="_Toc264969244"/>
      <w:r/>
      <w:bookmarkStart w:id="137" w:name="_Toc305158896"/>
      <w:r/>
      <w:bookmarkStart w:id="138" w:name="_Toc99301421"/>
      <w:r>
        <w:rPr>
          <w:rFonts w:hint="eastAsia" w:ascii="Arial" w:hAnsi="Arial" w:eastAsia="黑体" w:cs="Arial"/>
          <w:color w:val="auto"/>
          <w:sz w:val="28"/>
          <w:szCs w:val="28"/>
          <w:highlight w:val="none"/>
          <w:lang w:eastAsia="zh-CN"/>
        </w:rPr>
        <w:t xml:space="preserve">1.</w:t>
      </w:r>
      <w:bookmarkEnd w:id="121"/>
      <w:r>
        <w:rPr>
          <w:rFonts w:hint="eastAsia" w:ascii="Arial" w:hAnsi="Arial" w:eastAsia="黑体" w:cs="Arial"/>
          <w:color w:val="auto"/>
          <w:sz w:val="28"/>
          <w:szCs w:val="28"/>
          <w:highlight w:val="none"/>
        </w:rPr>
        <w:t xml:space="preserve">采购方式</w:t>
      </w:r>
      <w:bookmarkEnd w:id="122"/>
      <w:r/>
      <w:bookmarkEnd w:id="123"/>
      <w:r/>
      <w:bookmarkEnd w:id="124"/>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auto"/>
          <w:sz w:val="28"/>
          <w:szCs w:val="28"/>
          <w:highlight w:val="none"/>
        </w:rPr>
        <w:outlineLvl w:val="4"/>
      </w:pPr>
      <w:r/>
      <w:bookmarkStart w:id="139" w:name="_Toc513029205"/>
      <w:r/>
      <w:bookmarkStart w:id="140" w:name="_Toc16938521"/>
      <w:r/>
      <w:bookmarkStart w:id="141" w:name="_Toc20823277"/>
      <w:r>
        <w:rPr>
          <w:rFonts w:hint="eastAsia" w:ascii="Arial" w:hAnsi="Arial" w:eastAsia="黑体" w:cs="Arial"/>
          <w:color w:val="auto"/>
          <w:sz w:val="28"/>
          <w:szCs w:val="28"/>
          <w:highlight w:val="none"/>
          <w:lang w:eastAsia="zh-CN"/>
        </w:rPr>
        <w:t xml:space="preserve">2.</w:t>
      </w:r>
      <w:r>
        <w:rPr>
          <w:rFonts w:hint="eastAsia" w:ascii="Arial" w:hAnsi="Arial" w:eastAsia="黑体" w:cs="Arial"/>
          <w:color w:val="auto"/>
          <w:sz w:val="28"/>
          <w:szCs w:val="28"/>
          <w:highlight w:val="none"/>
        </w:rPr>
        <w:t xml:space="preserve">合格的投标人</w:t>
      </w:r>
      <w:bookmarkEnd w:id="139"/>
      <w:r/>
      <w:bookmarkEnd w:id="140"/>
      <w:r/>
      <w:bookmarkEnd w:id="14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ind w:firstLine="420"/>
        <w:keepLines/>
        <w:keepNext/>
        <w:spacing w:line="500" w:lineRule="exact"/>
        <w:rPr>
          <w:rFonts w:ascii="Arial" w:hAnsi="Arial" w:eastAsia="黑体" w:cs="Arial"/>
          <w:color w:val="auto"/>
          <w:sz w:val="28"/>
          <w:szCs w:val="28"/>
          <w:highlight w:val="none"/>
        </w:rPr>
        <w:outlineLvl w:val="4"/>
      </w:pPr>
      <w:r/>
      <w:bookmarkStart w:id="142" w:name="_Toc16938522"/>
      <w:r/>
      <w:bookmarkStart w:id="143" w:name="_Toc20823278"/>
      <w:r/>
      <w:bookmarkStart w:id="144" w:name="_Toc513029206"/>
      <w:r>
        <w:rPr>
          <w:rFonts w:hint="eastAsia" w:ascii="Arial" w:hAnsi="Arial" w:eastAsia="黑体" w:cs="Arial"/>
          <w:color w:val="auto"/>
          <w:sz w:val="28"/>
          <w:szCs w:val="28"/>
          <w:highlight w:val="none"/>
          <w:lang w:eastAsia="zh-CN"/>
        </w:rPr>
        <w:t xml:space="preserve">3.</w:t>
      </w:r>
      <w:r>
        <w:rPr>
          <w:rFonts w:hint="eastAsia" w:ascii="Arial" w:hAnsi="Arial" w:eastAsia="黑体" w:cs="Arial"/>
          <w:color w:val="auto"/>
          <w:sz w:val="28"/>
          <w:szCs w:val="28"/>
          <w:highlight w:val="none"/>
        </w:rPr>
        <w:t xml:space="preserve">适用法律</w:t>
      </w:r>
      <w:bookmarkEnd w:id="142"/>
      <w:r/>
      <w:bookmarkEnd w:id="143"/>
      <w:r/>
      <w:bookmarkEnd w:id="144"/>
      <w:r/>
      <w:r/>
    </w:p>
    <w:p>
      <w:pPr>
        <w:ind w:firstLine="42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00" w:lineRule="exact"/>
        <w:rPr>
          <w:rFonts w:ascii="Arial" w:hAnsi="Arial" w:eastAsia="黑体" w:cs="Arial"/>
          <w:color w:val="auto"/>
          <w:sz w:val="28"/>
          <w:szCs w:val="28"/>
          <w:highlight w:val="none"/>
        </w:rPr>
        <w:outlineLvl w:val="4"/>
      </w:pPr>
      <w:r/>
      <w:bookmarkStart w:id="145" w:name="_Toc462564067"/>
      <w:r/>
      <w:bookmarkStart w:id="146" w:name="_Toc20823279"/>
      <w:r/>
      <w:bookmarkStart w:id="147" w:name="_Toc513029207"/>
      <w:r/>
      <w:bookmarkStart w:id="148" w:name="_Toc16938523"/>
      <w:r>
        <w:rPr>
          <w:rFonts w:hint="eastAsia" w:ascii="Arial" w:hAnsi="Arial" w:eastAsia="黑体" w:cs="Arial"/>
          <w:color w:val="auto"/>
          <w:sz w:val="28"/>
          <w:szCs w:val="28"/>
          <w:highlight w:val="none"/>
          <w:lang w:eastAsia="zh-CN"/>
        </w:rPr>
        <w:t xml:space="preserve">4.</w:t>
      </w:r>
      <w:r>
        <w:rPr>
          <w:rFonts w:hint="eastAsia" w:ascii="Arial" w:hAnsi="Arial" w:eastAsia="黑体" w:cs="Arial"/>
          <w:color w:val="auto"/>
          <w:sz w:val="28"/>
          <w:szCs w:val="28"/>
          <w:highlight w:val="none"/>
        </w:rPr>
        <w:t xml:space="preserve">投标费用</w:t>
      </w:r>
      <w:bookmarkEnd w:id="145"/>
      <w:r/>
      <w:bookmarkEnd w:id="146"/>
      <w:r/>
      <w:bookmarkEnd w:id="147"/>
      <w:r/>
      <w:bookmarkEnd w:id="148"/>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4.2本次招标代理机构和采购人不收取标书工本费。</w:t>
      </w:r>
      <w:r/>
    </w:p>
    <w:p>
      <w:pPr>
        <w:ind w:firstLine="420"/>
        <w:keepLines/>
        <w:keepNext/>
        <w:spacing w:line="500" w:lineRule="exact"/>
        <w:rPr>
          <w:rFonts w:ascii="Arial" w:hAnsi="Arial" w:eastAsia="黑体" w:cs="Arial"/>
          <w:color w:val="auto"/>
          <w:sz w:val="28"/>
          <w:szCs w:val="28"/>
          <w:highlight w:val="none"/>
        </w:rPr>
        <w:outlineLvl w:val="4"/>
      </w:pPr>
      <w:r>
        <w:rPr>
          <w:rFonts w:hint="eastAsia" w:ascii="Arial" w:hAnsi="Arial" w:eastAsia="黑体" w:cs="Arial"/>
          <w:color w:val="auto"/>
          <w:sz w:val="28"/>
          <w:szCs w:val="28"/>
          <w:highlight w:val="none"/>
          <w:lang w:eastAsia="zh-CN"/>
        </w:rPr>
        <w:t xml:space="preserve">5.</w:t>
      </w:r>
      <w:r>
        <w:rPr>
          <w:rFonts w:hint="eastAsia" w:ascii="Arial" w:hAnsi="Arial" w:eastAsia="黑体" w:cs="Arial"/>
          <w:color w:val="auto"/>
          <w:sz w:val="28"/>
          <w:szCs w:val="28"/>
          <w:highlight w:val="none"/>
        </w:rPr>
        <w:t xml:space="preserve">招标文件的约束力</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投标人一旦参加本项目采购活动，即被认为接受了本招标文件的规定和约束。</w:t>
      </w:r>
      <w:r/>
    </w:p>
    <w:p>
      <w:pPr>
        <w:ind w:firstLine="321"/>
        <w:keepLines/>
        <w:keepNext/>
        <w:spacing w:line="500" w:lineRule="exact"/>
        <w:rPr>
          <w:b/>
          <w:bCs/>
          <w:color w:val="auto"/>
          <w:sz w:val="32"/>
          <w:szCs w:val="32"/>
          <w:highlight w:val="none"/>
        </w:rPr>
        <w:outlineLvl w:val="3"/>
      </w:pPr>
      <w:r/>
      <w:bookmarkStart w:id="149" w:name="_Toc513029209"/>
      <w:r/>
      <w:bookmarkStart w:id="150" w:name="_Toc20823281"/>
      <w:r/>
      <w:bookmarkStart w:id="151" w:name="_Toc120614215"/>
      <w:r/>
      <w:bookmarkStart w:id="152" w:name="_Toc16938525"/>
      <w:r>
        <w:rPr>
          <w:rFonts w:hint="eastAsia"/>
          <w:b/>
          <w:bCs/>
          <w:color w:val="auto"/>
          <w:sz w:val="32"/>
          <w:szCs w:val="32"/>
          <w:highlight w:val="none"/>
        </w:rPr>
        <w:t xml:space="preserve">二、招标文件</w:t>
      </w:r>
      <w:bookmarkEnd w:id="149"/>
      <w:r/>
      <w:bookmarkEnd w:id="150"/>
      <w:r/>
      <w:bookmarkEnd w:id="151"/>
      <w:r/>
      <w:bookmarkEnd w:id="152"/>
      <w:r/>
      <w:r/>
    </w:p>
    <w:p>
      <w:pPr>
        <w:ind w:firstLine="420"/>
        <w:keepLines/>
        <w:keepNext/>
        <w:spacing w:line="500" w:lineRule="exact"/>
        <w:rPr>
          <w:rFonts w:ascii="Arial" w:hAnsi="Arial" w:eastAsia="黑体" w:cs="Arial"/>
          <w:color w:val="auto"/>
          <w:sz w:val="28"/>
          <w:szCs w:val="28"/>
          <w:highlight w:val="none"/>
        </w:rPr>
        <w:outlineLvl w:val="4"/>
      </w:pPr>
      <w:r/>
      <w:bookmarkStart w:id="153" w:name="_Toc16938526"/>
      <w:r/>
      <w:bookmarkStart w:id="154" w:name="_Toc513029210"/>
      <w:r/>
      <w:bookmarkStart w:id="155" w:name="_Toc20823282"/>
      <w:r>
        <w:rPr>
          <w:rFonts w:hint="eastAsia" w:ascii="Arial" w:hAnsi="Arial" w:eastAsia="黑体" w:cs="Arial"/>
          <w:color w:val="auto"/>
          <w:sz w:val="28"/>
          <w:szCs w:val="28"/>
          <w:highlight w:val="none"/>
          <w:lang w:eastAsia="zh-CN"/>
        </w:rPr>
        <w:t xml:space="preserve">6.</w:t>
      </w:r>
      <w:r>
        <w:rPr>
          <w:rFonts w:hint="eastAsia" w:ascii="Arial" w:hAnsi="Arial" w:eastAsia="黑体" w:cs="Arial"/>
          <w:color w:val="auto"/>
          <w:sz w:val="28"/>
          <w:szCs w:val="28"/>
          <w:highlight w:val="none"/>
        </w:rPr>
        <w:t xml:space="preserve">招标文件构成</w:t>
      </w:r>
      <w:bookmarkEnd w:id="153"/>
      <w:r/>
      <w:bookmarkEnd w:id="154"/>
      <w:r/>
      <w:bookmarkEnd w:id="155"/>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（1）投标</w:t>
      </w:r>
      <w:r>
        <w:rPr>
          <w:rFonts w:ascii="宋体" w:hAnsi="宋体"/>
          <w:color w:val="auto"/>
          <w:sz w:val="24"/>
          <w:highlight w:val="none"/>
        </w:rPr>
        <w:t xml:space="preserve">邀请</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（3）资格审查</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（4）评标程序、评标方法和评标标准</w:t>
      </w:r>
      <w:r/>
    </w:p>
    <w:p>
      <w:pPr>
        <w:ind w:firstLine="360"/>
        <w:spacing w:line="500" w:lineRule="exact"/>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采购需求</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（6）拟签订的合同文本</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）投标文件的组成及提交须知</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）投标文件格式</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请仔细检查招标文件是否齐全，如有缺漏请立即与代理机构联系解决。</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auto"/>
          <w:sz w:val="28"/>
          <w:szCs w:val="28"/>
          <w:highlight w:val="none"/>
        </w:rPr>
        <w:outlineLvl w:val="4"/>
      </w:pPr>
      <w:r/>
      <w:bookmarkStart w:id="156" w:name="_Toc16938527"/>
      <w:r/>
      <w:bookmarkStart w:id="157" w:name="_Toc513029211"/>
      <w:r/>
      <w:bookmarkStart w:id="158" w:name="_Toc20823283"/>
      <w:r/>
      <w:bookmarkStart w:id="159" w:name="_Toc462564070"/>
      <w:r>
        <w:rPr>
          <w:rFonts w:hint="eastAsia" w:ascii="Arial" w:hAnsi="Arial" w:eastAsia="黑体" w:cs="Arial"/>
          <w:color w:val="auto"/>
          <w:sz w:val="28"/>
          <w:szCs w:val="28"/>
          <w:highlight w:val="none"/>
          <w:lang w:eastAsia="zh-CN"/>
        </w:rPr>
        <w:t xml:space="preserve">7.</w:t>
      </w:r>
      <w:r>
        <w:rPr>
          <w:rFonts w:hint="eastAsia" w:ascii="Arial" w:hAnsi="Arial" w:eastAsia="黑体" w:cs="Arial"/>
          <w:color w:val="auto"/>
          <w:sz w:val="28"/>
          <w:szCs w:val="28"/>
          <w:highlight w:val="none"/>
        </w:rPr>
        <w:t xml:space="preserve">招标文件的澄清</w:t>
      </w:r>
      <w:bookmarkEnd w:id="156"/>
      <w:r/>
      <w:bookmarkEnd w:id="157"/>
      <w:r/>
      <w:bookmarkEnd w:id="158"/>
      <w:r/>
      <w:bookmarkEnd w:id="159"/>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cs="宋体"/>
          <w:color w:val="auto"/>
          <w:sz w:val="24"/>
          <w:highlight w:val="none"/>
        </w:rPr>
      </w:pPr>
      <w:r/>
      <w:bookmarkStart w:id="160" w:name="_Toc513029212"/>
      <w:r/>
      <w:bookmarkStart w:id="161" w:name="_Toc462564071"/>
      <w:r/>
      <w:bookmarkStart w:id="162" w:name="_Toc16938528"/>
      <w:r/>
      <w:bookmarkStart w:id="163" w:name="_Toc20823284"/>
      <w:r>
        <w:rPr>
          <w:rFonts w:hint="eastAsia" w:ascii="宋体" w:hAnsi="宋体" w:cs="宋体"/>
          <w:color w:val="auto"/>
          <w:sz w:val="24"/>
          <w:highlight w:val="none"/>
        </w:rPr>
        <w:t xml:space="preserve">7.1采购人或采购代理机构对已发出的招标文件进行必要澄清或者修改的，将在原公告发布媒体上以发布更正公告的形式通知所有获取招标文件的潜在投标人。</w:t>
      </w:r>
      <w:r/>
    </w:p>
    <w:p>
      <w:pPr>
        <w:ind w:firstLine="560"/>
        <w:keepLines/>
        <w:keepNext/>
        <w:spacing w:line="500" w:lineRule="exact"/>
        <w:rPr>
          <w:rFonts w:ascii="Arial" w:hAnsi="Arial" w:eastAsia="黑体" w:cs="Arial"/>
          <w:color w:val="auto"/>
          <w:sz w:val="28"/>
          <w:szCs w:val="28"/>
          <w:highlight w:val="none"/>
        </w:rPr>
        <w:outlineLvl w:val="4"/>
      </w:pPr>
      <w:r>
        <w:rPr>
          <w:rFonts w:hint="eastAsia" w:ascii="Arial" w:hAnsi="Arial" w:eastAsia="黑体" w:cs="Arial"/>
          <w:color w:val="auto"/>
          <w:sz w:val="28"/>
          <w:szCs w:val="28"/>
          <w:highlight w:val="none"/>
          <w:lang w:eastAsia="zh-CN"/>
        </w:rPr>
        <w:t xml:space="preserve">8.</w:t>
      </w:r>
      <w:r>
        <w:rPr>
          <w:rFonts w:hint="eastAsia" w:ascii="Arial" w:hAnsi="Arial" w:eastAsia="黑体" w:cs="Arial"/>
          <w:color w:val="auto"/>
          <w:sz w:val="28"/>
          <w:szCs w:val="28"/>
          <w:highlight w:val="none"/>
        </w:rPr>
        <w:t xml:space="preserve">招标文件的修改</w:t>
      </w:r>
      <w:bookmarkEnd w:id="160"/>
      <w:r/>
      <w:bookmarkEnd w:id="161"/>
      <w:r/>
      <w:bookmarkEnd w:id="162"/>
      <w:r/>
      <w:bookmarkEnd w:id="163"/>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，代理机构可以对招标文件进行修改。</w:t>
      </w:r>
      <w:r/>
    </w:p>
    <w:p>
      <w:pPr>
        <w:ind w:firstLine="480"/>
        <w:spacing w:line="500" w:lineRule="exact"/>
        <w:rPr>
          <w:rFonts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代理机构</w:t>
      </w:r>
      <w:r>
        <w:rPr>
          <w:rFonts w:hint="eastAsia" w:ascii="宋体" w:hAnsi="宋体"/>
          <w:color w:val="auto"/>
          <w:sz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8.3</w:t>
      </w:r>
      <w:r>
        <w:rPr>
          <w:rFonts w:hint="eastAsia" w:ascii="宋体" w:hAnsi="宋体"/>
          <w:color w:val="auto"/>
          <w:sz w:val="24"/>
          <w:szCs w:val="21"/>
          <w:highlight w:val="none"/>
        </w:rPr>
        <w:t xml:space="preserve">招标文件的修改将在</w:t>
      </w:r>
      <w:bookmarkStart w:id="164" w:name="_Hlk151728132"/>
      <w:r>
        <w:rPr>
          <w:rFonts w:hint="eastAsia" w:ascii="宋体" w:hAnsi="宋体"/>
          <w:color w:val="auto"/>
          <w:sz w:val="24"/>
          <w:szCs w:val="21"/>
          <w:highlight w:val="none"/>
        </w:rPr>
        <w:t xml:space="preserve">“江苏省政府采购网”、“常州市政府采购网”</w:t>
      </w:r>
      <w:bookmarkEnd w:id="164"/>
      <w:r>
        <w:rPr>
          <w:rFonts w:hint="eastAsia" w:ascii="宋体" w:hAnsi="宋体"/>
          <w:color w:val="auto"/>
          <w:sz w:val="24"/>
          <w:szCs w:val="21"/>
          <w:highlight w:val="none"/>
        </w:rPr>
        <w:t xml:space="preserve">公布，</w:t>
      </w:r>
      <w:r>
        <w:rPr>
          <w:rFonts w:hint="eastAsia" w:ascii="宋体" w:hAnsi="宋体"/>
          <w:color w:val="auto"/>
          <w:sz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321"/>
        <w:keepLines/>
        <w:keepNext/>
        <w:spacing w:line="500" w:lineRule="exact"/>
        <w:rPr>
          <w:b/>
          <w:bCs/>
          <w:color w:val="auto"/>
          <w:sz w:val="32"/>
          <w:szCs w:val="32"/>
          <w:highlight w:val="none"/>
        </w:rPr>
        <w:outlineLvl w:val="3"/>
      </w:pPr>
      <w:r/>
      <w:bookmarkStart w:id="165" w:name="_Toc16938529"/>
      <w:r/>
      <w:bookmarkStart w:id="166" w:name="_Toc513029213"/>
      <w:r/>
      <w:bookmarkStart w:id="167" w:name="_Toc462564072"/>
      <w:r/>
      <w:bookmarkStart w:id="168" w:name="_Toc120614216"/>
      <w:r/>
      <w:bookmarkStart w:id="169" w:name="_Toc20823285"/>
      <w:r>
        <w:rPr>
          <w:rFonts w:hint="eastAsia"/>
          <w:b/>
          <w:bCs/>
          <w:color w:val="auto"/>
          <w:sz w:val="32"/>
          <w:szCs w:val="32"/>
          <w:highlight w:val="none"/>
        </w:rPr>
        <w:t xml:space="preserve">三、投标文件的编制</w:t>
      </w:r>
      <w:bookmarkEnd w:id="165"/>
      <w:r/>
      <w:bookmarkEnd w:id="166"/>
      <w:r/>
      <w:bookmarkEnd w:id="167"/>
      <w:r/>
      <w:bookmarkEnd w:id="168"/>
      <w:r/>
      <w:bookmarkEnd w:id="169"/>
      <w:r/>
      <w:r/>
    </w:p>
    <w:p>
      <w:pPr>
        <w:ind w:firstLine="560"/>
        <w:keepLines/>
        <w:keepNext/>
        <w:spacing w:line="500" w:lineRule="exact"/>
        <w:rPr>
          <w:rFonts w:ascii="Arial" w:hAnsi="Arial" w:eastAsia="黑体" w:cs="Arial"/>
          <w:color w:val="auto"/>
          <w:sz w:val="28"/>
          <w:szCs w:val="28"/>
          <w:highlight w:val="none"/>
        </w:rPr>
        <w:outlineLvl w:val="4"/>
      </w:pPr>
      <w:r/>
      <w:bookmarkStart w:id="170" w:name="_Toc20823286"/>
      <w:r/>
      <w:bookmarkStart w:id="171" w:name="_Toc513029214"/>
      <w:r/>
      <w:bookmarkStart w:id="172" w:name="_Toc462564073"/>
      <w:r/>
      <w:bookmarkStart w:id="173" w:name="_Toc16938530"/>
      <w:r>
        <w:rPr>
          <w:rFonts w:hint="eastAsia" w:ascii="Arial" w:hAnsi="Arial" w:eastAsia="黑体" w:cs="Arial"/>
          <w:color w:val="auto"/>
          <w:sz w:val="28"/>
          <w:szCs w:val="28"/>
          <w:highlight w:val="none"/>
          <w:lang w:eastAsia="zh-CN"/>
        </w:rPr>
        <w:t xml:space="preserve">9.</w:t>
      </w:r>
      <w:r>
        <w:rPr>
          <w:rFonts w:hint="eastAsia" w:ascii="Arial" w:hAnsi="Arial" w:eastAsia="黑体" w:cs="Arial"/>
          <w:color w:val="auto"/>
          <w:sz w:val="28"/>
          <w:szCs w:val="28"/>
          <w:highlight w:val="none"/>
        </w:rPr>
        <w:t xml:space="preserve">投标文件的语言及度量衡单位</w:t>
      </w:r>
      <w:bookmarkEnd w:id="170"/>
      <w:r/>
      <w:bookmarkEnd w:id="171"/>
      <w:r/>
      <w:bookmarkEnd w:id="172"/>
      <w:r/>
      <w:bookmarkEnd w:id="173"/>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投标人提交的投标文件以及投标人与代理机构就有关投标的所有来往通知、函件和文件均应使用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auto"/>
          <w:sz w:val="28"/>
          <w:szCs w:val="28"/>
          <w:highlight w:val="none"/>
        </w:rPr>
        <w:outlineLvl w:val="4"/>
      </w:pPr>
      <w:r/>
      <w:bookmarkStart w:id="174" w:name="_Toc462564074"/>
      <w:r/>
      <w:bookmarkStart w:id="175" w:name="_Toc513029215"/>
      <w:r/>
      <w:bookmarkStart w:id="176" w:name="_Toc20823287"/>
      <w:r/>
      <w:bookmarkStart w:id="177" w:name="_Toc16938531"/>
      <w:r>
        <w:rPr>
          <w:rFonts w:hint="eastAsia" w:ascii="Arial" w:hAnsi="Arial" w:eastAsia="黑体" w:cs="Arial"/>
          <w:color w:val="auto"/>
          <w:sz w:val="28"/>
          <w:szCs w:val="28"/>
          <w:highlight w:val="none"/>
          <w:lang w:eastAsia="zh-CN"/>
        </w:rPr>
        <w:t xml:space="preserve">10.</w:t>
      </w:r>
      <w:r>
        <w:rPr>
          <w:rFonts w:hint="eastAsia" w:ascii="Arial" w:hAnsi="Arial" w:eastAsia="黑体" w:cs="Arial"/>
          <w:color w:val="auto"/>
          <w:sz w:val="28"/>
          <w:szCs w:val="28"/>
          <w:highlight w:val="none"/>
        </w:rPr>
        <w:t xml:space="preserve">投标文件构成</w:t>
      </w:r>
      <w:bookmarkEnd w:id="174"/>
      <w:r/>
      <w:bookmarkEnd w:id="175"/>
      <w:r/>
      <w:bookmarkEnd w:id="176"/>
      <w:r/>
      <w:bookmarkEnd w:id="177"/>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auto"/>
          <w:sz w:val="28"/>
          <w:szCs w:val="28"/>
          <w:highlight w:val="none"/>
        </w:rPr>
        <w:outlineLvl w:val="4"/>
      </w:pPr>
      <w:r/>
      <w:bookmarkStart w:id="178" w:name="_Hlt26668975"/>
      <w:r/>
      <w:bookmarkEnd w:id="178"/>
      <w:r/>
      <w:bookmarkStart w:id="179" w:name="_Hlt26954838"/>
      <w:r/>
      <w:bookmarkEnd w:id="179"/>
      <w:r/>
      <w:bookmarkStart w:id="180" w:name="_Hlt26670360"/>
      <w:r/>
      <w:bookmarkEnd w:id="180"/>
      <w:r/>
      <w:bookmarkStart w:id="181" w:name="_Toc49090507"/>
      <w:r/>
      <w:bookmarkStart w:id="182" w:name="_Toc49090509"/>
      <w:r/>
      <w:bookmarkStart w:id="183" w:name="_Toc14577357"/>
      <w:r/>
      <w:bookmarkStart w:id="184" w:name="_Toc14577354"/>
      <w:r/>
      <w:bookmarkStart w:id="185" w:name="_Toc513029219"/>
      <w:r/>
      <w:bookmarkStart w:id="186" w:name="_Toc513029216"/>
      <w:r/>
      <w:bookmarkStart w:id="187" w:name="_Toc14577355"/>
      <w:r/>
      <w:bookmarkStart w:id="188" w:name="_Toc49090508"/>
      <w:r>
        <w:rPr>
          <w:rFonts w:hint="eastAsia" w:ascii="Arial" w:hAnsi="Arial" w:eastAsia="黑体" w:cs="Arial"/>
          <w:color w:val="auto"/>
          <w:sz w:val="28"/>
          <w:szCs w:val="28"/>
          <w:highlight w:val="none"/>
          <w:lang w:eastAsia="zh-CN"/>
        </w:rPr>
        <w:t xml:space="preserve">11.</w:t>
      </w:r>
      <w:r>
        <w:rPr>
          <w:rFonts w:hint="eastAsia" w:ascii="Arial" w:hAnsi="Arial" w:eastAsia="黑体" w:cs="Arial"/>
          <w:color w:val="auto"/>
          <w:sz w:val="28"/>
          <w:szCs w:val="28"/>
          <w:highlight w:val="none"/>
        </w:rPr>
        <w:t xml:space="preserve">证明投标人及投标标的符合招标文件规定的文件</w:t>
      </w:r>
      <w:bookmarkEnd w:id="181"/>
      <w:r/>
      <w:bookmarkEnd w:id="182"/>
      <w:r/>
      <w:bookmarkEnd w:id="183"/>
      <w:r/>
      <w:bookmarkEnd w:id="184"/>
      <w:r/>
      <w:bookmarkEnd w:id="185"/>
      <w:r/>
      <w:bookmarkEnd w:id="186"/>
      <w:r/>
      <w:r/>
    </w:p>
    <w:p>
      <w:pPr>
        <w:spacing w:line="500" w:lineRule="exact"/>
        <w:rPr>
          <w:rFonts w:hint="eastAsia" w:ascii="宋体" w:hAnsi="宋体"/>
          <w:color w:val="auto"/>
          <w:sz w:val="24"/>
          <w:highlight w:val="none"/>
        </w:rPr>
      </w:pPr>
      <w:r>
        <w:rPr>
          <w:rFonts w:hint="eastAsia" w:ascii="宋体" w:hAnsi="宋体"/>
          <w:color w:val="auto"/>
          <w:sz w:val="24"/>
          <w:highlight w:val="none"/>
        </w:rPr>
        <w:t xml:space="preserve">    11.1 投标人应按照招标文件要求提交证明文件，证明其及投标标的符合招标文件规定。</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bookmarkEnd w:id="187"/>
      <w:r/>
      <w:bookmarkEnd w:id="188"/>
      <w:r/>
      <w:r/>
    </w:p>
    <w:p>
      <w:pPr>
        <w:ind w:firstLine="420"/>
        <w:keepLines/>
        <w:keepNext/>
        <w:spacing w:line="500" w:lineRule="exact"/>
        <w:rPr>
          <w:rFonts w:ascii="Arial" w:hAnsi="Arial" w:eastAsia="黑体" w:cs="Arial"/>
          <w:color w:val="auto"/>
          <w:sz w:val="28"/>
          <w:szCs w:val="28"/>
          <w:highlight w:val="none"/>
        </w:rPr>
        <w:outlineLvl w:val="4"/>
      </w:pPr>
      <w:r>
        <w:rPr>
          <w:rFonts w:hint="eastAsia" w:ascii="Arial" w:hAnsi="Arial" w:eastAsia="黑体" w:cs="Arial"/>
          <w:color w:val="auto"/>
          <w:sz w:val="28"/>
          <w:szCs w:val="28"/>
          <w:highlight w:val="none"/>
          <w:lang w:eastAsia="zh-CN"/>
        </w:rPr>
        <w:t xml:space="preserve">12.</w:t>
      </w:r>
      <w:r>
        <w:rPr>
          <w:rFonts w:hint="eastAsia" w:ascii="Arial" w:hAnsi="Arial" w:eastAsia="黑体" w:cs="Arial"/>
          <w:color w:val="auto"/>
          <w:sz w:val="28"/>
          <w:szCs w:val="28"/>
          <w:highlight w:val="none"/>
        </w:rPr>
        <w:t xml:space="preserve">投标报价明细表</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投标人应按照招标文件规定格式填报投标报价明细表。</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spacing w:line="500" w:lineRule="exact"/>
        <w:rPr>
          <w:rFonts w:ascii="Arial" w:hAnsi="Arial" w:eastAsia="黑体" w:cs="Arial"/>
          <w:color w:val="auto"/>
          <w:sz w:val="28"/>
          <w:szCs w:val="28"/>
          <w:highlight w:val="none"/>
        </w:rPr>
        <w:outlineLvl w:val="4"/>
      </w:pPr>
      <w:r/>
      <w:bookmarkStart w:id="189" w:name="_Hlt26670486"/>
      <w:r/>
      <w:bookmarkEnd w:id="189"/>
      <w:r/>
      <w:bookmarkStart w:id="190" w:name="_Hlt26954846"/>
      <w:r/>
      <w:bookmarkEnd w:id="190"/>
      <w:r/>
      <w:bookmarkStart w:id="191" w:name="_Hlt26954848"/>
      <w:r/>
      <w:bookmarkEnd w:id="191"/>
      <w:r/>
      <w:bookmarkStart w:id="192" w:name="_Hlt26670482"/>
      <w:r/>
      <w:bookmarkEnd w:id="192"/>
      <w:r/>
      <w:bookmarkStart w:id="193" w:name="_Hlt26954731"/>
      <w:r/>
      <w:bookmarkEnd w:id="193"/>
      <w:r>
        <w:rPr>
          <w:rFonts w:hint="eastAsia" w:ascii="Arial" w:hAnsi="Arial" w:eastAsia="黑体" w:cs="Arial"/>
          <w:color w:val="auto"/>
          <w:sz w:val="28"/>
          <w:szCs w:val="28"/>
          <w:highlight w:val="none"/>
          <w:lang w:eastAsia="zh-CN"/>
        </w:rPr>
        <w:t xml:space="preserve">13.</w:t>
      </w:r>
      <w:r>
        <w:rPr>
          <w:rFonts w:hint="eastAsia" w:ascii="Arial" w:hAnsi="Arial" w:eastAsia="黑体" w:cs="Arial"/>
          <w:color w:val="auto"/>
          <w:sz w:val="28"/>
          <w:szCs w:val="28"/>
          <w:highlight w:val="none"/>
        </w:rPr>
        <w:t xml:space="preserve">技术要求响应及偏离表、商务要求响应及偏离表</w:t>
      </w:r>
      <w:r/>
    </w:p>
    <w:p>
      <w:pPr>
        <w:ind w:firstLine="480"/>
        <w:spacing w:line="50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auto"/>
          <w:sz w:val="28"/>
          <w:szCs w:val="28"/>
          <w:highlight w:val="none"/>
        </w:rPr>
        <w:outlineLvl w:val="4"/>
      </w:pPr>
      <w:r>
        <w:rPr>
          <w:rFonts w:hint="eastAsia" w:ascii="Arial" w:hAnsi="Arial" w:eastAsia="黑体" w:cs="Arial"/>
          <w:color w:val="auto"/>
          <w:sz w:val="28"/>
          <w:szCs w:val="28"/>
          <w:highlight w:val="none"/>
          <w:lang w:eastAsia="zh-CN"/>
        </w:rPr>
        <w:t xml:space="preserve">14.</w:t>
      </w:r>
      <w:r>
        <w:rPr>
          <w:rFonts w:hint="eastAsia" w:ascii="Arial" w:hAnsi="Arial" w:eastAsia="黑体" w:cs="Arial"/>
          <w:color w:val="auto"/>
          <w:sz w:val="28"/>
          <w:szCs w:val="28"/>
          <w:highlight w:val="none"/>
        </w:rPr>
        <w:t xml:space="preserve">服务承诺、培训计划、人员安排及其他</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14.1 </w:t>
      </w:r>
      <w:r>
        <w:rPr>
          <w:rFonts w:hint="eastAsia" w:ascii="宋体" w:hAnsi="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14.2 投标人需根据招标文件要求提供培训计划。</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14.3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auto"/>
          <w:sz w:val="28"/>
          <w:szCs w:val="28"/>
          <w:highlight w:val="none"/>
        </w:rPr>
        <w:outlineLvl w:val="4"/>
      </w:pPr>
      <w:r/>
      <w:bookmarkStart w:id="194" w:name="_Toc14577359"/>
      <w:r/>
      <w:bookmarkStart w:id="195" w:name="_Toc49090510"/>
      <w:r>
        <w:rPr>
          <w:rFonts w:hint="eastAsia" w:ascii="Arial" w:hAnsi="Arial" w:eastAsia="黑体" w:cs="Arial"/>
          <w:color w:val="auto"/>
          <w:sz w:val="28"/>
          <w:szCs w:val="28"/>
          <w:highlight w:val="none"/>
          <w:lang w:eastAsia="zh-CN"/>
        </w:rPr>
        <w:t xml:space="preserve">15.</w:t>
      </w:r>
      <w:r>
        <w:rPr>
          <w:rFonts w:hint="eastAsia" w:ascii="Arial" w:hAnsi="Arial" w:eastAsia="黑体" w:cs="Arial"/>
          <w:color w:val="auto"/>
          <w:sz w:val="28"/>
          <w:szCs w:val="28"/>
          <w:highlight w:val="none"/>
        </w:rPr>
        <w:t xml:space="preserve">投标函和开标一览表</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4"/>
      <w:r/>
      <w:bookmarkEnd w:id="195"/>
      <w:r/>
      <w:r/>
    </w:p>
    <w:p>
      <w:pPr>
        <w:ind w:firstLine="420"/>
        <w:keepLines/>
        <w:keepNext/>
        <w:spacing w:line="500" w:lineRule="exact"/>
        <w:rPr>
          <w:rFonts w:ascii="Arial" w:hAnsi="Arial" w:eastAsia="黑体" w:cs="Arial"/>
          <w:color w:val="auto"/>
          <w:sz w:val="28"/>
          <w:szCs w:val="28"/>
          <w:highlight w:val="none"/>
        </w:rPr>
        <w:outlineLvl w:val="4"/>
      </w:pPr>
      <w:r/>
      <w:bookmarkStart w:id="196" w:name="_Toc49090511"/>
      <w:r/>
      <w:bookmarkStart w:id="197" w:name="_Toc14577360"/>
      <w:r>
        <w:rPr>
          <w:rFonts w:hint="eastAsia" w:ascii="Arial" w:hAnsi="Arial" w:eastAsia="黑体" w:cs="Arial"/>
          <w:color w:val="auto"/>
          <w:sz w:val="28"/>
          <w:szCs w:val="28"/>
          <w:highlight w:val="none"/>
          <w:lang w:eastAsia="zh-CN"/>
        </w:rPr>
        <w:t xml:space="preserve">16.</w:t>
      </w:r>
      <w:r>
        <w:rPr>
          <w:rFonts w:hint="eastAsia" w:ascii="Arial" w:hAnsi="Arial" w:eastAsia="黑体" w:cs="Arial"/>
          <w:color w:val="auto"/>
          <w:sz w:val="28"/>
          <w:szCs w:val="28"/>
          <w:highlight w:val="none"/>
        </w:rPr>
        <w:t xml:space="preserve">投标有效期</w:t>
      </w:r>
      <w:bookmarkEnd w:id="196"/>
      <w:r/>
      <w:bookmarkEnd w:id="197"/>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16.1投标有效期为代理机构规定的开标之日后</w:t>
      </w:r>
      <w:r>
        <w:rPr>
          <w:rFonts w:hint="eastAsia" w:ascii="仿宋_GB2312" w:hAnsi="仿宋_GB2312"/>
          <w:b/>
          <w:color w:val="auto"/>
          <w:sz w:val="24"/>
          <w:szCs w:val="21"/>
          <w:highlight w:val="none"/>
          <w:u w:val="single"/>
        </w:rPr>
        <w:t xml:space="preserve">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Arial" w:hAnsi="Arial" w:eastAsia="黑体" w:cs="Arial"/>
          <w:color w:val="auto"/>
          <w:sz w:val="28"/>
          <w:szCs w:val="28"/>
          <w:highlight w:val="none"/>
        </w:rPr>
        <w:outlineLvl w:val="4"/>
      </w:pPr>
      <w:r>
        <w:rPr>
          <w:rFonts w:hint="eastAsia" w:ascii="Arial" w:hAnsi="Arial" w:eastAsia="黑体" w:cs="Arial"/>
          <w:color w:val="auto"/>
          <w:sz w:val="28"/>
          <w:szCs w:val="28"/>
          <w:highlight w:val="none"/>
          <w:lang w:eastAsia="zh-CN"/>
        </w:rPr>
        <w:t xml:space="preserve">17.</w:t>
      </w:r>
      <w:r>
        <w:rPr>
          <w:rFonts w:hint="eastAsia" w:ascii="Arial" w:hAnsi="Arial" w:eastAsia="黑体" w:cs="Arial"/>
          <w:color w:val="auto"/>
          <w:sz w:val="28"/>
          <w:szCs w:val="28"/>
          <w:highlight w:val="none"/>
        </w:rPr>
        <w:t xml:space="preserve">投标有效期的延长</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auto"/>
          <w:sz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firstLine="643"/>
        <w:keepLines/>
        <w:keepNext/>
        <w:spacing w:line="500" w:lineRule="exact"/>
        <w:rPr>
          <w:b/>
          <w:bCs/>
          <w:color w:val="auto"/>
          <w:sz w:val="32"/>
          <w:szCs w:val="32"/>
          <w:highlight w:val="none"/>
        </w:rPr>
        <w:outlineLvl w:val="3"/>
      </w:pPr>
      <w:r/>
      <w:bookmarkStart w:id="198" w:name="_Hlt26954739"/>
      <w:r/>
      <w:bookmarkEnd w:id="198"/>
      <w:r/>
      <w:bookmarkStart w:id="199" w:name="_Hlt26954852"/>
      <w:r/>
      <w:bookmarkEnd w:id="199"/>
      <w:r/>
      <w:bookmarkStart w:id="200" w:name="_Toc120614217"/>
      <w:r/>
      <w:bookmarkStart w:id="201" w:name="_Toc20823296"/>
      <w:r/>
      <w:bookmarkStart w:id="202" w:name="_Toc16938540"/>
      <w:r/>
      <w:bookmarkStart w:id="203" w:name="_Toc513029224"/>
      <w:r>
        <w:rPr>
          <w:rFonts w:hint="eastAsia"/>
          <w:b/>
          <w:bCs/>
          <w:color w:val="auto"/>
          <w:sz w:val="32"/>
          <w:szCs w:val="32"/>
          <w:highlight w:val="none"/>
        </w:rPr>
        <w:t xml:space="preserve">四、投标文件的递交</w:t>
      </w:r>
      <w:bookmarkEnd w:id="200"/>
      <w:r/>
      <w:bookmarkEnd w:id="201"/>
      <w:r/>
      <w:bookmarkEnd w:id="202"/>
      <w:r/>
      <w:bookmarkEnd w:id="203"/>
      <w:r/>
      <w:r/>
    </w:p>
    <w:p>
      <w:pPr>
        <w:ind w:firstLine="420"/>
        <w:keepLines/>
        <w:keepNext/>
        <w:spacing w:line="500" w:lineRule="exact"/>
        <w:rPr>
          <w:rFonts w:ascii="黑体" w:hAnsi="Arial" w:eastAsia="黑体" w:cs="Arial"/>
          <w:color w:val="auto"/>
          <w:sz w:val="28"/>
          <w:szCs w:val="28"/>
          <w:highlight w:val="none"/>
        </w:rPr>
        <w:outlineLvl w:val="4"/>
      </w:pPr>
      <w:r/>
      <w:bookmarkStart w:id="204" w:name="_Toc16938541"/>
      <w:r/>
      <w:bookmarkStart w:id="205" w:name="_Toc462564084"/>
      <w:r/>
      <w:bookmarkStart w:id="206" w:name="_Toc20823297"/>
      <w:r/>
      <w:bookmarkStart w:id="207" w:name="_Toc513029225"/>
      <w:r>
        <w:rPr>
          <w:rFonts w:hint="eastAsia" w:ascii="Arial" w:hAnsi="Arial" w:eastAsia="黑体" w:cs="Arial"/>
          <w:color w:val="auto"/>
          <w:sz w:val="28"/>
          <w:szCs w:val="28"/>
          <w:highlight w:val="none"/>
          <w:lang w:eastAsia="zh-CN"/>
        </w:rPr>
        <w:t xml:space="preserve">18.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204"/>
      <w:r/>
      <w:bookmarkEnd w:id="205"/>
      <w:r/>
      <w:bookmarkEnd w:id="206"/>
      <w:r/>
      <w:bookmarkEnd w:id="207"/>
      <w:r>
        <w:rPr>
          <w:rFonts w:hint="eastAsia" w:ascii="黑体" w:hAnsi="Arial" w:eastAsia="黑体" w:cs="Arial"/>
          <w:color w:val="auto"/>
          <w:sz w:val="28"/>
          <w:szCs w:val="28"/>
          <w:highlight w:val="none"/>
        </w:rPr>
        <w:t xml:space="preserve">的递交</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208" w:name="_Toc20823298"/>
      <w:r/>
      <w:bookmarkStart w:id="209" w:name="_Toc16938542"/>
      <w:r/>
      <w:bookmarkStart w:id="210" w:name="_Toc513029226"/>
      <w:r/>
      <w:r/>
    </w:p>
    <w:p>
      <w:pPr>
        <w:ind w:firstLine="420"/>
        <w:keepLines/>
        <w:keepNext/>
        <w:spacing w:line="500" w:lineRule="exact"/>
        <w:rPr>
          <w:rFonts w:hint="eastAsia" w:ascii="宋体" w:hAnsi="宋体" w:eastAsia="黑体" w:cs="Arial"/>
          <w:bCs/>
          <w:color w:val="auto"/>
          <w:sz w:val="24"/>
          <w:szCs w:val="28"/>
          <w:highlight w:val="none"/>
        </w:rPr>
        <w:outlineLvl w:val="4"/>
      </w:pPr>
      <w:r>
        <w:rPr>
          <w:rFonts w:hint="eastAsia" w:ascii="Arial" w:hAnsi="Arial" w:eastAsia="黑体" w:cs="Arial"/>
          <w:bCs/>
          <w:color w:val="auto"/>
          <w:sz w:val="28"/>
          <w:szCs w:val="28"/>
          <w:highlight w:val="none"/>
          <w:lang w:eastAsia="zh-CN"/>
        </w:rPr>
        <w:t xml:space="preserve">19.</w:t>
      </w:r>
      <w:r>
        <w:rPr>
          <w:rFonts w:hint="eastAsia" w:ascii="Arial" w:hAnsi="Arial" w:eastAsia="黑体" w:cs="Arial"/>
          <w:bCs/>
          <w:color w:val="auto"/>
          <w:sz w:val="28"/>
          <w:szCs w:val="28"/>
          <w:highlight w:val="none"/>
        </w:rPr>
        <w:t xml:space="preserve">投标截止日期</w:t>
      </w:r>
      <w:bookmarkEnd w:id="208"/>
      <w:r/>
      <w:bookmarkEnd w:id="209"/>
      <w:r/>
      <w:bookmarkEnd w:id="210"/>
      <w:r/>
      <w:r/>
    </w:p>
    <w:p>
      <w:pPr>
        <w:ind w:firstLine="480"/>
        <w:spacing w:line="500" w:lineRule="exact"/>
        <w:rPr>
          <w:rFonts w:hint="eastAsia" w:ascii="宋体" w:hAnsi="宋体"/>
          <w:bCs/>
          <w:iCs/>
          <w:color w:val="auto"/>
          <w:sz w:val="24"/>
          <w:szCs w:val="21"/>
          <w:highlight w:val="none"/>
        </w:rPr>
      </w:pPr>
      <w:r>
        <w:rPr>
          <w:rFonts w:ascii="宋体" w:hAnsi="宋体"/>
          <w:iCs/>
          <w:color w:val="auto"/>
          <w:sz w:val="24"/>
          <w:szCs w:val="21"/>
          <w:highlight w:val="none"/>
        </w:rPr>
        <w:t xml:space="preserve">19</w:t>
      </w:r>
      <w:r>
        <w:rPr>
          <w:rFonts w:hint="eastAsia" w:ascii="宋体" w:hAnsi="宋体"/>
          <w:iCs/>
          <w:color w:val="auto"/>
          <w:sz w:val="24"/>
          <w:szCs w:val="21"/>
          <w:highlight w:val="none"/>
        </w:rPr>
        <w:t xml:space="preserve">.1</w:t>
      </w:r>
      <w:r>
        <w:rPr>
          <w:rFonts w:hint="eastAsia" w:ascii="宋体" w:hAnsi="宋体"/>
          <w:bCs/>
          <w:iCs/>
          <w:color w:val="auto"/>
          <w:sz w:val="24"/>
          <w:szCs w:val="21"/>
          <w:highlight w:val="none"/>
        </w:rPr>
        <w:t xml:space="preserve"> 投标人上传电子投标文件的时间不得迟于招标公告中规定的投标截止时间。</w:t>
      </w: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w:t>
      </w:r>
      <w:r>
        <w:rPr>
          <w:rFonts w:hint="eastAsia" w:ascii="宋体" w:hAnsi="宋体"/>
          <w:bCs/>
          <w:color w:val="auto"/>
          <w:sz w:val="24"/>
          <w:szCs w:val="21"/>
          <w:highlight w:val="none"/>
          <w:lang w:eastAsia="zh-CN"/>
        </w:rPr>
        <w:t xml:space="preserve">作无效投标</w:t>
      </w:r>
      <w:r>
        <w:rPr>
          <w:rFonts w:hint="eastAsia" w:ascii="宋体" w:hAnsi="宋体"/>
          <w:bCs/>
          <w:color w:val="auto"/>
          <w:sz w:val="24"/>
          <w:szCs w:val="21"/>
          <w:highlight w:val="none"/>
        </w:rPr>
        <w:t xml:space="preserve">处理。</w:t>
      </w:r>
      <w:r/>
    </w:p>
    <w:p>
      <w:pPr>
        <w:ind w:firstLine="480"/>
        <w:spacing w:line="500" w:lineRule="exact"/>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auto"/>
          <w:sz w:val="28"/>
          <w:szCs w:val="28"/>
          <w:highlight w:val="none"/>
        </w:rPr>
        <w:outlineLvl w:val="4"/>
      </w:pPr>
      <w:r/>
      <w:bookmarkStart w:id="211" w:name="_Toc20823299"/>
      <w:r/>
      <w:bookmarkStart w:id="212" w:name="_Toc513029227"/>
      <w:r/>
      <w:bookmarkStart w:id="213" w:name="_Toc16938543"/>
      <w:r>
        <w:rPr>
          <w:rFonts w:hint="eastAsia" w:ascii="Arial" w:hAnsi="Arial" w:eastAsia="黑体" w:cs="Arial"/>
          <w:color w:val="auto"/>
          <w:sz w:val="28"/>
          <w:szCs w:val="28"/>
          <w:highlight w:val="none"/>
          <w:lang w:eastAsia="zh-CN"/>
        </w:rPr>
        <w:t xml:space="preserve">20.</w:t>
      </w:r>
      <w:r>
        <w:rPr>
          <w:rFonts w:hint="eastAsia" w:ascii="Arial" w:hAnsi="Arial" w:eastAsia="黑体" w:cs="Arial"/>
          <w:color w:val="auto"/>
          <w:sz w:val="28"/>
          <w:szCs w:val="28"/>
          <w:highlight w:val="none"/>
        </w:rPr>
        <w:t xml:space="preserve">投标文件</w:t>
      </w:r>
      <w:bookmarkEnd w:id="211"/>
      <w:r/>
      <w:bookmarkEnd w:id="212"/>
      <w:r/>
      <w:bookmarkEnd w:id="213"/>
      <w:r>
        <w:rPr>
          <w:rFonts w:hint="eastAsia" w:ascii="Arial" w:hAnsi="Arial" w:eastAsia="黑体" w:cs="Arial"/>
          <w:color w:val="auto"/>
          <w:sz w:val="28"/>
          <w:szCs w:val="28"/>
          <w:highlight w:val="none"/>
        </w:rPr>
        <w:t xml:space="preserve">的拒收</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auto"/>
          <w:sz w:val="28"/>
          <w:szCs w:val="28"/>
          <w:highlight w:val="none"/>
        </w:rPr>
        <w:outlineLvl w:val="4"/>
      </w:pPr>
      <w:r/>
      <w:bookmarkStart w:id="214" w:name="_Toc513029228"/>
      <w:r/>
      <w:bookmarkStart w:id="215" w:name="_Toc16938544"/>
      <w:r/>
      <w:bookmarkStart w:id="216" w:name="_Toc20823300"/>
      <w:r>
        <w:rPr>
          <w:rFonts w:hint="eastAsia" w:ascii="Arial" w:hAnsi="Arial" w:eastAsia="黑体" w:cs="Arial"/>
          <w:color w:val="auto"/>
          <w:sz w:val="28"/>
          <w:szCs w:val="28"/>
          <w:highlight w:val="none"/>
          <w:lang w:eastAsia="zh-CN"/>
        </w:rPr>
        <w:t xml:space="preserve">21.</w:t>
      </w:r>
      <w:r>
        <w:rPr>
          <w:rFonts w:hint="eastAsia" w:ascii="Arial" w:hAnsi="Arial" w:eastAsia="黑体" w:cs="Arial"/>
          <w:color w:val="auto"/>
          <w:sz w:val="28"/>
          <w:szCs w:val="28"/>
          <w:highlight w:val="none"/>
        </w:rPr>
        <w:t xml:space="preserve">投标文件的撤回和修改</w:t>
      </w:r>
      <w:bookmarkEnd w:id="214"/>
      <w:r/>
      <w:bookmarkEnd w:id="215"/>
      <w:r/>
      <w:bookmarkEnd w:id="216"/>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 投标人撤回电子投标文件，则认为其不再参与本项目投标活动。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 投标文件的修改</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b/>
          <w:bCs/>
          <w:color w:val="auto"/>
          <w:sz w:val="32"/>
          <w:szCs w:val="32"/>
          <w:highlight w:val="none"/>
        </w:rPr>
        <w:outlineLvl w:val="3"/>
      </w:pPr>
      <w:r/>
      <w:bookmarkStart w:id="217" w:name="_Toc20823301"/>
      <w:r/>
      <w:bookmarkStart w:id="218" w:name="_Toc513029229"/>
      <w:r/>
      <w:bookmarkStart w:id="219" w:name="_Toc120614218"/>
      <w:r/>
      <w:bookmarkStart w:id="220" w:name="_Toc16938545"/>
      <w:r>
        <w:rPr>
          <w:rFonts w:hint="eastAsia"/>
          <w:b/>
          <w:bCs/>
          <w:color w:val="auto"/>
          <w:sz w:val="32"/>
          <w:szCs w:val="32"/>
          <w:highlight w:val="none"/>
        </w:rPr>
        <w:t xml:space="preserve">五、开标与评标</w:t>
      </w:r>
      <w:bookmarkEnd w:id="217"/>
      <w:r/>
      <w:bookmarkEnd w:id="218"/>
      <w:r/>
      <w:bookmarkEnd w:id="219"/>
      <w:r/>
      <w:bookmarkEnd w:id="220"/>
      <w:r/>
      <w:r/>
    </w:p>
    <w:p>
      <w:pPr>
        <w:ind w:firstLine="420"/>
        <w:keepLines/>
        <w:keepNext/>
        <w:spacing w:line="500" w:lineRule="exact"/>
        <w:rPr>
          <w:rFonts w:ascii="Arial" w:hAnsi="Arial" w:eastAsia="黑体" w:cs="Arial"/>
          <w:color w:val="auto"/>
          <w:sz w:val="28"/>
          <w:szCs w:val="28"/>
          <w:highlight w:val="none"/>
        </w:rPr>
        <w:outlineLvl w:val="4"/>
      </w:pPr>
      <w:r/>
      <w:bookmarkStart w:id="221" w:name="_Toc513029230"/>
      <w:r/>
      <w:bookmarkStart w:id="222" w:name="_Toc16938546"/>
      <w:r/>
      <w:bookmarkStart w:id="223" w:name="_Toc20823302"/>
      <w:r>
        <w:rPr>
          <w:rFonts w:hint="eastAsia" w:ascii="Arial" w:hAnsi="Arial" w:eastAsia="黑体" w:cs="Arial"/>
          <w:color w:val="auto"/>
          <w:sz w:val="28"/>
          <w:szCs w:val="28"/>
          <w:highlight w:val="none"/>
          <w:lang w:eastAsia="zh-CN"/>
        </w:rPr>
        <w:t xml:space="preserve">22.</w:t>
      </w:r>
      <w:r>
        <w:rPr>
          <w:rFonts w:hint="eastAsia" w:ascii="Arial" w:hAnsi="Arial" w:eastAsia="黑体" w:cs="Arial"/>
          <w:color w:val="auto"/>
          <w:sz w:val="28"/>
          <w:szCs w:val="28"/>
          <w:highlight w:val="none"/>
        </w:rPr>
        <w:t xml:space="preserve">开标</w:t>
      </w:r>
      <w:bookmarkEnd w:id="221"/>
      <w:r/>
      <w:bookmarkEnd w:id="222"/>
      <w:r/>
      <w:bookmarkEnd w:id="223"/>
      <w:r/>
      <w:r/>
    </w:p>
    <w:p>
      <w:pPr>
        <w:ind w:firstLine="360"/>
        <w:spacing w:line="500" w:lineRule="exact"/>
        <w:rPr>
          <w:rFonts w:hint="eastAsia" w:ascii="宋体" w:hAnsi="宋体"/>
          <w:color w:val="auto"/>
          <w:sz w:val="24"/>
          <w:highlight w:val="none"/>
        </w:rPr>
        <w:sectPr>
          <w:footerReference w:type="default" r:id="rId16"/>
          <w:footnotePr/>
          <w:endnotePr/>
          <w:type w:val="nextPage"/>
          <w:pgSz w:w="11905" w:h="16838" w:orient="portrait"/>
          <w:pgMar w:top="1417" w:right="1134" w:bottom="1417" w:left="1701" w:header="851" w:footer="850" w:gutter="0"/>
          <w:cols w:num="1" w:sep="0" w:space="720" w:equalWidth="1"/>
          <w:docGrid w:linePitch="360"/>
        </w:sect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代理机构将在招标公告中规定的时间和地点组织公开开标</w:t>
      </w:r>
      <w:r>
        <w:rPr>
          <w:rFonts w:hint="eastAsia" w:ascii="宋体" w:hAnsi="宋体"/>
          <w:color w:val="auto"/>
          <w:sz w:val="24"/>
          <w:highlight w:val="none"/>
        </w:rPr>
        <w:t xml:space="preserve">。投标人应当按照</w:t>
      </w:r>
      <w:r/>
    </w:p>
    <w:p>
      <w:pPr>
        <w:ind w:firstLine="360"/>
        <w:spacing w:line="500" w:lineRule="exact"/>
        <w:rPr>
          <w:color w:val="auto"/>
          <w:szCs w:val="21"/>
          <w:highlight w:val="none"/>
        </w:rPr>
      </w:pPr>
      <w:r>
        <w:rPr>
          <w:rFonts w:hint="eastAsia" w:ascii="宋体" w:hAnsi="宋体"/>
          <w:color w:val="auto"/>
          <w:sz w:val="24"/>
          <w:highlight w:val="none"/>
        </w:rPr>
        <w:t xml:space="preserve">《操作手册》规定，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和在苏采云系统规定的时间内对投标文件进行解密。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2</w:t>
      </w:r>
      <w:r>
        <w:rPr>
          <w:rFonts w:hint="eastAsia" w:ascii="宋体" w:hAnsi="宋体"/>
          <w:bCs/>
          <w:color w:val="auto"/>
          <w:sz w:val="24"/>
          <w:highlight w:val="none"/>
        </w:rPr>
        <w:t xml:space="preserve">.2</w:t>
      </w:r>
      <w:r>
        <w:rPr>
          <w:rFonts w:hint="eastAsia" w:ascii="宋体" w:hAnsi="宋体"/>
          <w:color w:val="auto"/>
          <w:sz w:val="24"/>
          <w:highlight w:val="none"/>
        </w:rPr>
        <w:t xml:space="preserve">开标仪式由代理机构组织。苏采云系统将自动对</w:t>
      </w:r>
      <w:r>
        <w:rPr>
          <w:rFonts w:ascii="宋体" w:hAnsi="宋体"/>
          <w:color w:val="auto"/>
          <w:sz w:val="24"/>
          <w:highlight w:val="none"/>
        </w:rPr>
        <w:t xml:space="preserve">项目进行开标，</w:t>
      </w:r>
      <w:r>
        <w:rPr>
          <w:rFonts w:hint="eastAsia" w:ascii="宋体" w:hAnsi="宋体"/>
          <w:color w:val="auto"/>
          <w:sz w:val="24"/>
          <w:highlight w:val="none"/>
        </w:rPr>
        <w:t xml:space="preserve">并宣布各投标人名称和投标价格。</w:t>
      </w:r>
      <w:r/>
    </w:p>
    <w:p>
      <w:pPr>
        <w:ind w:firstLine="480"/>
        <w:spacing w:line="500" w:lineRule="exact"/>
        <w:rPr>
          <w:rFonts w:hint="eastAsia" w:ascii="宋体" w:hAnsi="宋体"/>
          <w:color w:val="auto"/>
          <w:sz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auto"/>
          <w:sz w:val="28"/>
          <w:szCs w:val="28"/>
          <w:highlight w:val="none"/>
        </w:rPr>
        <w:outlineLvl w:val="4"/>
      </w:pPr>
      <w:r/>
      <w:bookmarkStart w:id="224" w:name="_Toc513029231"/>
      <w:r/>
      <w:bookmarkStart w:id="225" w:name="_Toc16938547"/>
      <w:r/>
      <w:bookmarkStart w:id="226" w:name="_Toc20823303"/>
      <w:r>
        <w:rPr>
          <w:rFonts w:hint="eastAsia" w:ascii="Arial" w:hAnsi="Arial" w:eastAsia="黑体" w:cs="Arial"/>
          <w:color w:val="auto"/>
          <w:sz w:val="28"/>
          <w:szCs w:val="28"/>
          <w:highlight w:val="none"/>
          <w:lang w:eastAsia="zh-CN"/>
        </w:rPr>
        <w:t xml:space="preserve">23.</w:t>
      </w:r>
      <w:r>
        <w:rPr>
          <w:rFonts w:hint="eastAsia" w:ascii="Arial" w:hAnsi="Arial" w:eastAsia="黑体" w:cs="Arial"/>
          <w:color w:val="auto"/>
          <w:sz w:val="28"/>
          <w:szCs w:val="28"/>
          <w:highlight w:val="none"/>
        </w:rPr>
        <w:t xml:space="preserve">评标委员会</w:t>
      </w:r>
      <w:r/>
    </w:p>
    <w:p>
      <w:pPr>
        <w:spacing w:line="500" w:lineRule="exact"/>
        <w:rPr>
          <w:rFonts w:hint="eastAsia"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.1</w:t>
      </w:r>
      <w:r>
        <w:rPr>
          <w:rFonts w:hint="eastAsia" w:ascii="宋体" w:hAnsi="宋体"/>
          <w:b/>
          <w:color w:val="auto"/>
          <w:sz w:val="24"/>
          <w:highlight w:val="none"/>
        </w:rPr>
        <w:t xml:space="preserve"> </w:t>
      </w:r>
      <w:r>
        <w:rPr>
          <w:rFonts w:hint="eastAsia" w:ascii="宋体" w:hAnsi="宋体"/>
          <w:color w:val="auto"/>
          <w:sz w:val="24"/>
          <w:highlight w:val="none"/>
        </w:rPr>
        <w:t xml:space="preserve">开标后，代理机构将立即组织评标委员会（以下简称评委会）进行评标。</w:t>
      </w:r>
      <w:r/>
    </w:p>
    <w:p>
      <w:pPr>
        <w:spacing w:line="500" w:lineRule="exact"/>
        <w:rPr>
          <w:rFonts w:hint="eastAsia"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.2 评委会由采购人代表和有关技术、经济等方面的专家组成，且人员构成符合政府采购有关规定。</w:t>
      </w:r>
      <w:r/>
    </w:p>
    <w:p>
      <w:pPr>
        <w:spacing w:line="500" w:lineRule="exact"/>
        <w:rPr>
          <w:rFonts w:hint="eastAsia"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.3评委会独立工作，负责评审所有投标文件并确定中标</w:t>
      </w:r>
      <w:r>
        <w:rPr>
          <w:rFonts w:hint="eastAsia" w:ascii="宋体" w:hAnsi="宋体"/>
          <w:color w:val="auto"/>
          <w:sz w:val="24"/>
          <w:highlight w:val="none"/>
          <w:lang w:eastAsia="zh-CN"/>
        </w:rPr>
        <w:t xml:space="preserve">候选人</w:t>
      </w:r>
      <w:r>
        <w:rPr>
          <w:rFonts w:hint="eastAsia" w:ascii="宋体" w:hAnsi="宋体"/>
          <w:color w:val="auto"/>
          <w:sz w:val="24"/>
          <w:highlight w:val="none"/>
        </w:rPr>
        <w:t xml:space="preserve">。</w:t>
      </w:r>
      <w:r/>
    </w:p>
    <w:p>
      <w:pPr>
        <w:ind w:firstLine="420"/>
        <w:keepLines/>
        <w:keepNext/>
        <w:spacing w:line="500" w:lineRule="exact"/>
        <w:rPr>
          <w:rFonts w:ascii="黑体" w:hAnsi="Arial" w:eastAsia="黑体" w:cs="Arial"/>
          <w:color w:val="auto"/>
          <w:sz w:val="28"/>
          <w:szCs w:val="28"/>
          <w:highlight w:val="none"/>
        </w:rPr>
        <w:outlineLvl w:val="4"/>
      </w:pPr>
      <w:r>
        <w:rPr>
          <w:rFonts w:hint="eastAsia" w:ascii="黑体" w:hAnsi="Arial" w:eastAsia="黑体" w:cs="Arial"/>
          <w:color w:val="auto"/>
          <w:sz w:val="28"/>
          <w:szCs w:val="28"/>
          <w:highlight w:val="none"/>
          <w:lang w:eastAsia="zh-CN"/>
        </w:rPr>
        <w:t xml:space="preserve">24.</w:t>
      </w:r>
      <w:r>
        <w:rPr>
          <w:rFonts w:hint="eastAsia" w:ascii="黑体" w:hAnsi="Arial" w:eastAsia="黑体" w:cs="Arial"/>
          <w:color w:val="auto"/>
          <w:sz w:val="28"/>
          <w:szCs w:val="28"/>
          <w:highlight w:val="none"/>
        </w:rPr>
        <w:t xml:space="preserve">评标过程的保密与公正</w:t>
      </w:r>
      <w:bookmarkEnd w:id="224"/>
      <w:r/>
      <w:bookmarkEnd w:id="225"/>
      <w:r/>
      <w:bookmarkEnd w:id="226"/>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 代理机构和评标委员会不向未中标的投标人解释未中标原因，也不公布评标过程中的相关细节。</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auto"/>
          <w:sz w:val="28"/>
          <w:szCs w:val="28"/>
          <w:highlight w:val="none"/>
        </w:rPr>
        <w:outlineLvl w:val="4"/>
      </w:pPr>
      <w:r/>
      <w:bookmarkStart w:id="227" w:name="_Toc20823304"/>
      <w:r/>
      <w:bookmarkStart w:id="228" w:name="_Toc513029232"/>
      <w:r/>
      <w:bookmarkStart w:id="229" w:name="_Toc16938548"/>
      <w:r>
        <w:rPr>
          <w:rFonts w:hint="eastAsia" w:ascii="Arial" w:hAnsi="Arial" w:eastAsia="黑体" w:cs="Arial"/>
          <w:color w:val="auto"/>
          <w:sz w:val="28"/>
          <w:szCs w:val="28"/>
          <w:highlight w:val="none"/>
          <w:lang w:eastAsia="zh-CN"/>
        </w:rPr>
        <w:t xml:space="preserve">25.</w:t>
      </w:r>
      <w:r>
        <w:rPr>
          <w:rFonts w:hint="eastAsia" w:ascii="Arial" w:hAnsi="Arial" w:eastAsia="黑体" w:cs="Arial"/>
          <w:color w:val="auto"/>
          <w:sz w:val="28"/>
          <w:szCs w:val="28"/>
          <w:highlight w:val="none"/>
        </w:rPr>
        <w:t xml:space="preserve">投标文件的澄清</w:t>
      </w:r>
      <w:bookmarkEnd w:id="227"/>
      <w:r/>
      <w:bookmarkEnd w:id="228"/>
      <w:r/>
      <w:bookmarkEnd w:id="229"/>
      <w:r/>
      <w:r/>
    </w:p>
    <w:p>
      <w:pPr>
        <w:ind w:firstLine="480"/>
        <w:spacing w:line="500" w:lineRule="exact"/>
        <w:rPr>
          <w:rFonts w:hint="eastAsia" w:ascii="宋体" w:hAnsi="宋体"/>
          <w:color w:val="auto"/>
          <w:sz w:val="24"/>
          <w:highlight w:val="none"/>
        </w:rPr>
      </w:pPr>
      <w:r/>
      <w:bookmarkStart w:id="230" w:name="_Toc16938549"/>
      <w:r/>
      <w:bookmarkStart w:id="231" w:name="_Toc513029233"/>
      <w:r/>
      <w:bookmarkStart w:id="232" w:name="_Toc20823305"/>
      <w:r>
        <w:rPr>
          <w:rFonts w:ascii="宋体" w:hAnsi="宋体"/>
          <w:color w:val="auto"/>
          <w:sz w:val="24"/>
          <w:highlight w:val="none"/>
        </w:rPr>
        <w:t xml:space="preserve">25</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 接到评委会澄清、说明和补正要求的投标人如未按规定</w:t>
      </w:r>
      <w:r>
        <w:rPr>
          <w:rFonts w:hint="eastAsia" w:ascii="宋体" w:hAnsi="宋体"/>
          <w:color w:val="auto"/>
          <w:sz w:val="24"/>
          <w:highlight w:val="none"/>
          <w:lang w:eastAsia="zh-CN"/>
        </w:rPr>
        <w:t xml:space="preserve">作出</w:t>
      </w:r>
      <w:r>
        <w:rPr>
          <w:rFonts w:hint="eastAsia" w:ascii="宋体" w:hAnsi="宋体"/>
          <w:color w:val="auto"/>
          <w:sz w:val="24"/>
          <w:highlight w:val="none"/>
        </w:rPr>
        <w:t xml:space="preserve">澄清、说明和补正，其风险由投标人自行承担。</w:t>
      </w:r>
      <w:r/>
    </w:p>
    <w:p>
      <w:pPr>
        <w:ind w:firstLine="420"/>
        <w:keepLines/>
        <w:keepNext/>
        <w:spacing w:line="500" w:lineRule="exact"/>
        <w:rPr>
          <w:rFonts w:ascii="Arial" w:hAnsi="Arial" w:eastAsia="黑体" w:cs="Arial"/>
          <w:color w:val="auto"/>
          <w:sz w:val="28"/>
          <w:szCs w:val="28"/>
          <w:highlight w:val="none"/>
        </w:rPr>
        <w:outlineLvl w:val="4"/>
      </w:pPr>
      <w:r>
        <w:rPr>
          <w:rFonts w:hint="eastAsia" w:ascii="Arial" w:hAnsi="Arial" w:eastAsia="黑体" w:cs="Arial"/>
          <w:color w:val="auto"/>
          <w:sz w:val="28"/>
          <w:szCs w:val="28"/>
          <w:highlight w:val="none"/>
          <w:lang w:eastAsia="zh-CN"/>
        </w:rPr>
        <w:t xml:space="preserve">26.</w:t>
      </w:r>
      <w:r>
        <w:rPr>
          <w:rFonts w:hint="eastAsia" w:ascii="Arial" w:hAnsi="Arial" w:eastAsia="黑体" w:cs="Arial"/>
          <w:color w:val="auto"/>
          <w:sz w:val="28"/>
          <w:szCs w:val="28"/>
          <w:highlight w:val="none"/>
        </w:rPr>
        <w:t xml:space="preserve">对投标文件的初审</w:t>
      </w:r>
      <w:bookmarkEnd w:id="230"/>
      <w:r/>
      <w:bookmarkEnd w:id="231"/>
      <w:r/>
      <w:bookmarkEnd w:id="232"/>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查询投标人的信用记录，以确定投标人是否具备投标资格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联合体成员中任何一方存在不良信用记录的，视同联合体存在不良应用记录。</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未通过资格审查或符合性审查的投标人，代理机构将在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hint="eastAsia" w:ascii="宋体" w:hAnsi="宋体"/>
          <w:color w:val="auto"/>
          <w:sz w:val="24"/>
          <w:szCs w:val="21"/>
          <w:highlight w:val="none"/>
        </w:rPr>
      </w:pPr>
      <w:r/>
      <w:bookmarkStart w:id="233" w:name="_Toc513029234"/>
      <w:r/>
      <w:bookmarkStart w:id="234" w:name="_Toc20823306"/>
      <w:r/>
      <w:bookmarkStart w:id="235" w:name="_Toc16938550"/>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500" w:lineRule="exact"/>
        <w:rPr>
          <w:rFonts w:hint="eastAsia"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500" w:lineRule="exact"/>
        <w:rPr>
          <w:rFonts w:hint="eastAsia"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并安排专人与代理机构及评标委员会联系。</w:t>
      </w:r>
      <w:r/>
    </w:p>
    <w:p>
      <w:pPr>
        <w:ind w:firstLine="420"/>
        <w:keepLines/>
        <w:keepNext/>
        <w:spacing w:line="500" w:lineRule="exact"/>
        <w:rPr>
          <w:rFonts w:ascii="Arial" w:hAnsi="Arial" w:eastAsia="黑体" w:cs="Arial"/>
          <w:color w:val="auto"/>
          <w:sz w:val="28"/>
          <w:szCs w:val="28"/>
          <w:highlight w:val="none"/>
        </w:rPr>
        <w:outlineLvl w:val="4"/>
      </w:pPr>
      <w:r>
        <w:rPr>
          <w:rFonts w:hint="eastAsia" w:ascii="Arial" w:hAnsi="Arial" w:eastAsia="黑体" w:cs="Arial"/>
          <w:color w:val="auto"/>
          <w:sz w:val="28"/>
          <w:szCs w:val="28"/>
          <w:highlight w:val="none"/>
          <w:lang w:eastAsia="zh-CN"/>
        </w:rPr>
        <w:t xml:space="preserve">27.</w:t>
      </w:r>
      <w:bookmarkEnd w:id="233"/>
      <w:r/>
      <w:bookmarkEnd w:id="234"/>
      <w:r/>
      <w:bookmarkEnd w:id="235"/>
      <w:r>
        <w:rPr>
          <w:rFonts w:hint="eastAsia" w:ascii="Arial" w:hAnsi="Arial" w:eastAsia="黑体" w:cs="Arial"/>
          <w:color w:val="auto"/>
          <w:sz w:val="28"/>
          <w:szCs w:val="28"/>
          <w:highlight w:val="none"/>
        </w:rPr>
        <w:t xml:space="preserve">无效投标条款和废标条款</w:t>
      </w:r>
      <w:r/>
    </w:p>
    <w:p>
      <w:pPr>
        <w:ind w:firstLine="480"/>
        <w:spacing w:line="500" w:lineRule="exact"/>
        <w:rPr>
          <w:rFonts w:hint="eastAsia" w:ascii="宋体" w:hAnsi="宋体"/>
          <w:bCs/>
          <w:color w:val="auto"/>
          <w:sz w:val="24"/>
          <w:szCs w:val="21"/>
          <w:highlight w:val="none"/>
        </w:rPr>
      </w:pPr>
      <w:r/>
      <w:bookmarkStart w:id="236" w:name="_Toc20823307"/>
      <w:r/>
      <w:bookmarkStart w:id="237" w:name="_Toc513029235"/>
      <w:r/>
      <w:bookmarkStart w:id="238" w:name="_Toc16938551"/>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投标人在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500" w:lineRule="exact"/>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500" w:lineRule="exact"/>
        <w:rPr>
          <w:rFonts w:hint="eastAsia" w:ascii="宋体" w:hAnsi="宋体"/>
          <w:bCs/>
          <w:iCs/>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p>
    <w:p>
      <w:pPr>
        <w:ind w:firstLine="482"/>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列入失信被执行人或重大税收违法案件当事人名单或政府采购严重失信行为记录名单。或查询</w:t>
      </w:r>
      <w:r>
        <w:rPr>
          <w:rFonts w:hint="eastAsia"/>
          <w:color w:val="auto"/>
          <w:sz w:val="24"/>
          <w:highlight w:val="none"/>
        </w:rPr>
        <w:t xml:space="preserve">“信用中国”网站或“中国政府采购网”</w:t>
      </w:r>
      <w:r>
        <w:rPr>
          <w:rFonts w:hint="eastAsia" w:ascii="宋体" w:hAnsi="宋体"/>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27.1.10 </w:t>
      </w:r>
      <w:r>
        <w:rPr>
          <w:rFonts w:hint="eastAsia" w:ascii="宋体" w:hAnsi="宋体" w:cs="宋体"/>
          <w:b/>
          <w:bCs/>
          <w:color w:val="auto"/>
          <w:sz w:val="24"/>
          <w:highlight w:val="none"/>
        </w:rPr>
        <w:t xml:space="preserve">根据《江苏省财政厅转发财政部关于推动解决政府采购异常低价问题的通知》苏财购〔2026〕36号文件之规定：当评审过程中出现下列情形之一的，评审委员会应当启动异常低价投标（响应）审查程序</w:t>
      </w:r>
      <w:r>
        <w:rPr>
          <w:rFonts w:hint="eastAsia" w:ascii="宋体" w:hAnsi="宋体"/>
          <w:b/>
          <w:bCs/>
          <w:color w:val="auto"/>
          <w:sz w:val="24"/>
          <w:szCs w:val="21"/>
          <w:highlight w:val="none"/>
        </w:rPr>
        <w:t xml:space="preserve">：</w:t>
      </w:r>
      <w:r>
        <w:rPr>
          <w:rFonts w:hint="eastAsia" w:ascii="宋体" w:hAnsi="宋体"/>
          <w:bCs/>
          <w:color w:val="auto"/>
          <w:sz w:val="24"/>
          <w:szCs w:val="21"/>
          <w:highlight w:val="none"/>
        </w:rPr>
        <w:t xml:space="preserve"> </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27.1.10.1投标（响应）报价低于全部通过符合性审查供应商投标（响应）报价平均值50%的，即投标（响应）报价&lt;全部通过符合性审查供应商投标（响应）报价平均值×50%；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27.1.10.1.2投标（响应）报价低于通过符合性审查的次低报价供应商投标（响应）报价50%的，即投标（响应）报价&lt;通过符合性审查的次低报价供应商投标（响应）报价×50%；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27.1.10.1.3投标（响应）报价低于采购项目最高限价45%的，即投标（响应）报价&lt;采购项目最高限价×45%；</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27.1.10.1.4评审委员会基于专业判断，认为供应商报价过低，有可能影响产品质量或者不能诚信履约的其他情形。</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启动异常低价投标（响应）审查后，评审委员会应当要求相关供应商在评审现场合理的时间内对投标（响应）价格作出解释</w:t>
      </w:r>
      <w:r>
        <w:rPr>
          <w:rFonts w:hint="eastAsia" w:ascii="宋体" w:hAnsi="宋体"/>
          <w:color w:val="auto"/>
          <w:sz w:val="24"/>
          <w:highlight w:val="none"/>
          <w:lang w:eastAsia="zh-CN"/>
        </w:rPr>
        <w:t xml:space="preserve">，并</w:t>
      </w:r>
      <w:r>
        <w:rPr>
          <w:rFonts w:hint="eastAsia" w:ascii="宋体" w:hAnsi="宋体"/>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w:t>
      </w:r>
      <w:r>
        <w:rPr>
          <w:rFonts w:hint="eastAsia" w:ascii="宋体" w:hAnsi="宋体"/>
          <w:bCs/>
          <w:color w:val="auto"/>
          <w:sz w:val="24"/>
          <w:szCs w:val="21"/>
          <w:highlight w:val="none"/>
          <w:lang w:eastAsia="zh-CN"/>
        </w:rPr>
        <w:t xml:space="preserve">国家发展改革委</w:t>
      </w:r>
      <w:r>
        <w:rPr>
          <w:rFonts w:hint="eastAsia" w:ascii="宋体" w:hAnsi="宋体"/>
          <w:bCs/>
          <w:color w:val="auto"/>
          <w:sz w:val="24"/>
          <w:szCs w:val="21"/>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w:t>
      </w:r>
      <w:r>
        <w:rPr>
          <w:rFonts w:hint="eastAsia" w:ascii="宋体" w:hAnsi="宋体"/>
          <w:bCs/>
          <w:color w:val="auto"/>
          <w:sz w:val="24"/>
          <w:szCs w:val="21"/>
          <w:highlight w:val="none"/>
          <w:lang w:eastAsia="zh-CN"/>
        </w:rPr>
        <w:t xml:space="preserve">属于</w:t>
      </w:r>
      <w:r>
        <w:rPr>
          <w:rFonts w:hint="eastAsia" w:ascii="宋体" w:hAnsi="宋体"/>
          <w:bCs/>
          <w:color w:val="auto"/>
          <w:sz w:val="24"/>
          <w:szCs w:val="21"/>
          <w:highlight w:val="none"/>
        </w:rPr>
        <w:t xml:space="preserve">无效投标的情形。</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.2.1符合专业条件的供应商或者对招标文件作实质响应的供应商不足三家的。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.2.4评标委员会认定招标文件存在歧义、重大缺陷导致评审工作无法进行。</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highlight w:val="none"/>
        </w:rPr>
        <w:t xml:space="preserve">苏采云</w:t>
      </w:r>
      <w:r>
        <w:rPr>
          <w:rFonts w:hint="eastAsia" w:ascii="宋体" w:hAnsi="宋体"/>
          <w:color w:val="auto"/>
          <w:sz w:val="24"/>
          <w:highlight w:val="none"/>
          <w:lang w:eastAsia="zh-CN"/>
        </w:rPr>
        <w:t xml:space="preserve">系统故障</w:t>
      </w:r>
      <w:r>
        <w:rPr>
          <w:rFonts w:ascii="宋体" w:hAnsi="宋体"/>
          <w:bCs/>
          <w:color w:val="auto"/>
          <w:sz w:val="24"/>
          <w:szCs w:val="21"/>
          <w:highlight w:val="none"/>
        </w:rPr>
        <w:t xml:space="preserve">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auto"/>
          <w:sz w:val="32"/>
          <w:szCs w:val="32"/>
          <w:highlight w:val="none"/>
        </w:rPr>
        <w:outlineLvl w:val="3"/>
      </w:pPr>
      <w:r/>
      <w:bookmarkStart w:id="239" w:name="_Toc120614219"/>
      <w:r>
        <w:rPr>
          <w:rFonts w:hint="eastAsia"/>
          <w:b/>
          <w:bCs/>
          <w:color w:val="auto"/>
          <w:sz w:val="32"/>
          <w:szCs w:val="32"/>
          <w:highlight w:val="none"/>
        </w:rPr>
        <w:t xml:space="preserve">六、</w:t>
      </w:r>
      <w:bookmarkEnd w:id="236"/>
      <w:r/>
      <w:bookmarkEnd w:id="237"/>
      <w:r/>
      <w:bookmarkEnd w:id="238"/>
      <w:r>
        <w:rPr>
          <w:rFonts w:hint="eastAsia"/>
          <w:b/>
          <w:bCs/>
          <w:color w:val="auto"/>
          <w:sz w:val="32"/>
          <w:szCs w:val="32"/>
          <w:highlight w:val="none"/>
        </w:rPr>
        <w:t xml:space="preserve">定标</w:t>
      </w:r>
      <w:bookmarkEnd w:id="239"/>
      <w:r/>
      <w:r/>
    </w:p>
    <w:p>
      <w:pPr>
        <w:ind w:firstLine="600"/>
        <w:keepLines/>
        <w:keepNext/>
        <w:spacing w:line="500" w:lineRule="exact"/>
        <w:rPr>
          <w:rFonts w:hint="eastAsia" w:ascii="黑体" w:hAnsi="宋体" w:eastAsia="黑体"/>
          <w:bCs/>
          <w:color w:val="auto"/>
          <w:sz w:val="30"/>
          <w:szCs w:val="30"/>
          <w:highlight w:val="none"/>
        </w:rPr>
        <w:outlineLvl w:val="4"/>
      </w:pPr>
      <w:r/>
      <w:bookmarkStart w:id="240" w:name="_Toc513029238"/>
      <w:r/>
      <w:bookmarkStart w:id="241" w:name="_Toc16938554"/>
      <w:r/>
      <w:bookmarkStart w:id="242" w:name="_Toc20823310"/>
      <w:r>
        <w:rPr>
          <w:rFonts w:hint="eastAsia" w:ascii="黑体" w:hAnsi="宋体" w:eastAsia="黑体"/>
          <w:bCs/>
          <w:color w:val="auto"/>
          <w:sz w:val="30"/>
          <w:szCs w:val="30"/>
          <w:highlight w:val="none"/>
          <w:lang w:eastAsia="zh-CN"/>
        </w:rPr>
        <w:t xml:space="preserve">28.</w:t>
      </w:r>
      <w:bookmarkEnd w:id="240"/>
      <w:r>
        <w:rPr>
          <w:rFonts w:hint="eastAsia" w:ascii="黑体" w:hAnsi="宋体" w:eastAsia="黑体"/>
          <w:bCs/>
          <w:color w:val="auto"/>
          <w:sz w:val="30"/>
          <w:szCs w:val="30"/>
          <w:highlight w:val="none"/>
        </w:rPr>
        <w:t xml:space="preserve">确定</w:t>
      </w:r>
      <w:bookmarkEnd w:id="241"/>
      <w:r/>
      <w:bookmarkEnd w:id="242"/>
      <w:r>
        <w:rPr>
          <w:rFonts w:hint="eastAsia" w:ascii="黑体" w:hAnsi="宋体" w:eastAsia="黑体"/>
          <w:bCs/>
          <w:color w:val="auto"/>
          <w:sz w:val="30"/>
          <w:szCs w:val="30"/>
          <w:highlight w:val="none"/>
        </w:rPr>
        <w:t xml:space="preserve">中标单位</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.1中标候选人的选取原则和数量见招标文件第四章规定。 </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8</w:t>
      </w:r>
      <w:r>
        <w:rPr>
          <w:rFonts w:hint="eastAsia" w:ascii="宋体" w:hAnsi="宋体"/>
          <w:bCs/>
          <w:color w:val="auto"/>
          <w:sz w:val="24"/>
          <w:highlight w:val="none"/>
        </w:rPr>
        <w:t xml:space="preserve">.3 </w:t>
      </w:r>
      <w:r>
        <w:rPr>
          <w:rFonts w:hint="eastAsia" w:ascii="宋体" w:hAnsi="宋体"/>
          <w:color w:val="auto"/>
          <w:sz w:val="24"/>
          <w:highlight w:val="none"/>
        </w:rPr>
        <w:t xml:space="preserve">代理机构将在</w:t>
      </w:r>
      <w:r>
        <w:rPr>
          <w:rFonts w:hint="eastAsia" w:ascii="宋体" w:hAnsi="宋体"/>
          <w:color w:val="auto"/>
          <w:sz w:val="24"/>
          <w:szCs w:val="21"/>
          <w:highlight w:val="none"/>
        </w:rPr>
        <w:t xml:space="preserve">“江苏省政府采购网”、“常州市政府采购网”</w:t>
      </w:r>
      <w:r>
        <w:rPr>
          <w:rFonts w:hint="eastAsia" w:ascii="宋体" w:hAnsi="宋体"/>
          <w:color w:val="auto"/>
          <w:sz w:val="24"/>
          <w:highlight w:val="none"/>
        </w:rPr>
        <w:t xml:space="preserve">发布中标公告，公告期限为1个工作日。</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  若有充分证据证明，中标人出现下列情况之一的，一经查实，将被取消中标资格：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.4.1提供虚假材料谋取中标的。</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.4.2向采购人、代理机构行贿或者提供其他不正当利益的。</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.4.3属于本文件规定的无效条件，但在评标过程中又未被评委会发现的。</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.4.4与采购人或者其他供应商恶意串通的。</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.4.5采取不正当手段诋毁、排挤其他供应商的。</w:t>
      </w:r>
      <w:r/>
    </w:p>
    <w:p>
      <w:pPr>
        <w:ind w:firstLine="480"/>
        <w:spacing w:line="500" w:lineRule="exact"/>
        <w:rPr>
          <w:rFonts w:hint="eastAsia" w:ascii="宋体" w:hAnsi="宋体"/>
          <w:color w:val="auto"/>
          <w:sz w:val="24"/>
          <w:highlight w:val="none"/>
        </w:rPr>
      </w:pPr>
      <w:r/>
      <w:bookmarkStart w:id="243" w:name="_Toc200451960"/>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w:t>
      </w:r>
      <w:r>
        <w:rPr>
          <w:rFonts w:hint="eastAsia"/>
          <w:color w:val="auto"/>
          <w:szCs w:val="21"/>
          <w:highlight w:val="none"/>
        </w:rPr>
        <w:t xml:space="preserve">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.5.1不同投标人的投标文件由同一单位或者个人编制；</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.5.2不同投标人委托同一单位或者个人办理投标事宜；</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.5.3 不同投标人的投标文件载明的项目管理成员或者联系人员为同一人；</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auto"/>
          <w:sz w:val="30"/>
          <w:szCs w:val="30"/>
          <w:highlight w:val="none"/>
        </w:rPr>
        <w:outlineLvl w:val="4"/>
      </w:pPr>
      <w:r>
        <w:rPr>
          <w:rFonts w:hint="eastAsia" w:ascii="黑体" w:hAnsi="宋体" w:eastAsia="黑体"/>
          <w:bCs/>
          <w:color w:val="auto"/>
          <w:sz w:val="30"/>
          <w:szCs w:val="30"/>
          <w:highlight w:val="none"/>
          <w:lang w:eastAsia="zh-CN"/>
        </w:rPr>
        <w:t xml:space="preserve">29.</w:t>
      </w:r>
      <w:r>
        <w:rPr>
          <w:rFonts w:hint="eastAsia" w:ascii="黑体" w:hAnsi="宋体" w:eastAsia="黑体"/>
          <w:bCs/>
          <w:color w:val="auto"/>
          <w:sz w:val="30"/>
          <w:szCs w:val="30"/>
          <w:highlight w:val="none"/>
        </w:rPr>
        <w:t xml:space="preserve">质疑处理</w:t>
      </w:r>
      <w:bookmarkEnd w:id="243"/>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.2.1</w:t>
      </w:r>
      <w:r>
        <w:rPr>
          <w:rFonts w:hAnsi="宋体" w:cs="宋体"/>
          <w:color w:val="auto"/>
          <w:sz w:val="24"/>
          <w:highlight w:val="none"/>
        </w:rPr>
        <w:t xml:space="preserve">对可以质疑的</w:t>
      </w:r>
      <w:r>
        <w:rPr>
          <w:rFonts w:hint="eastAsia" w:ascii="宋体" w:hAnsi="宋体"/>
          <w:color w:val="auto"/>
          <w:sz w:val="24"/>
          <w:highlight w:val="none"/>
        </w:rPr>
        <w:t xml:space="preserve">招标文件</w:t>
      </w:r>
      <w:r>
        <w:rPr>
          <w:rFonts w:hAnsi="宋体" w:cs="宋体"/>
          <w:color w:val="auto"/>
          <w:sz w:val="24"/>
          <w:highlight w:val="none"/>
        </w:rPr>
        <w:t xml:space="preserve">提出质疑的，为收到</w:t>
      </w:r>
      <w:r>
        <w:rPr>
          <w:rFonts w:hint="eastAsia" w:ascii="宋体" w:hAnsi="宋体"/>
          <w:color w:val="auto"/>
          <w:sz w:val="24"/>
          <w:highlight w:val="none"/>
        </w:rPr>
        <w:t xml:space="preserve">招标文件</w:t>
      </w:r>
      <w:r>
        <w:rPr>
          <w:rFonts w:hAnsi="宋体" w:cs="宋体"/>
          <w:color w:val="auto"/>
          <w:sz w:val="24"/>
          <w:highlight w:val="none"/>
        </w:rPr>
        <w:t xml:space="preserve">之日或者</w:t>
      </w:r>
      <w:r>
        <w:rPr>
          <w:rFonts w:hint="eastAsia" w:hAnsi="宋体" w:cs="宋体"/>
          <w:color w:val="auto"/>
          <w:sz w:val="24"/>
          <w:highlight w:val="none"/>
        </w:rPr>
        <w:t xml:space="preserve">招标文件</w:t>
      </w:r>
      <w:r>
        <w:rPr>
          <w:rFonts w:hAnsi="宋体" w:cs="宋体"/>
          <w:color w:val="auto"/>
          <w:sz w:val="24"/>
          <w:highlight w:val="none"/>
        </w:rPr>
        <w:t xml:space="preserve">公告期限届满之日；</w:t>
      </w:r>
      <w:r/>
    </w:p>
    <w:p>
      <w:pPr>
        <w:ind w:firstLine="480"/>
        <w:jc w:val="left"/>
        <w:spacing w:line="500" w:lineRule="exact"/>
        <w:rPr>
          <w:rFonts w:hint="eastAsia"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.2.2</w:t>
      </w:r>
      <w:r>
        <w:rPr>
          <w:rFonts w:hAnsi="宋体" w:cs="宋体"/>
          <w:color w:val="auto"/>
          <w:sz w:val="24"/>
          <w:highlight w:val="none"/>
        </w:rPr>
        <w:t xml:space="preserve">对采购过程提出质疑的，为各采购程序环节结束之日；</w:t>
      </w:r>
      <w:r/>
    </w:p>
    <w:p>
      <w:pPr>
        <w:ind w:firstLine="480"/>
        <w:jc w:val="left"/>
        <w:spacing w:line="500" w:lineRule="exact"/>
        <w:rPr>
          <w:rFonts w:hint="eastAsia"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.2.3</w:t>
      </w:r>
      <w:r>
        <w:rPr>
          <w:rFonts w:hAnsi="宋体" w:cs="宋体"/>
          <w:color w:val="auto"/>
          <w:sz w:val="24"/>
          <w:highlight w:val="none"/>
        </w:rPr>
        <w:t xml:space="preserve">对中标或者成交结果提出质疑的，为中标或者成交结果公告期限届满之日。</w:t>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b/>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.4 供应商（含潜在</w:t>
      </w:r>
      <w:r>
        <w:rPr>
          <w:rFonts w:ascii="宋体" w:hAnsi="宋体"/>
          <w:color w:val="auto"/>
          <w:sz w:val="24"/>
          <w:highlight w:val="none"/>
        </w:rPr>
        <w:t xml:space="preserve">供应商</w:t>
      </w:r>
      <w:r>
        <w:rPr>
          <w:rFonts w:hint="eastAsia" w:ascii="宋体" w:hAnsi="宋体"/>
          <w:color w:val="auto"/>
          <w:sz w:val="24"/>
          <w:highlight w:val="none"/>
        </w:rPr>
        <w:t xml:space="preserve">）对</w:t>
      </w:r>
      <w:r>
        <w:rPr>
          <w:rFonts w:ascii="宋体" w:hAnsi="宋体"/>
          <w:color w:val="auto"/>
          <w:sz w:val="24"/>
          <w:highlight w:val="none"/>
        </w:rPr>
        <w:t xml:space="preserve">采购方式、</w:t>
      </w:r>
      <w:r>
        <w:rPr>
          <w:rFonts w:hint="eastAsia" w:ascii="宋体" w:hAnsi="宋体"/>
          <w:color w:val="auto"/>
          <w:sz w:val="24"/>
          <w:highlight w:val="none"/>
        </w:rPr>
        <w:t xml:space="preserve">招标文件中采购</w:t>
      </w:r>
      <w:r>
        <w:rPr>
          <w:rFonts w:ascii="宋体" w:hAnsi="宋体"/>
          <w:color w:val="auto"/>
          <w:sz w:val="24"/>
          <w:highlight w:val="none"/>
        </w:rPr>
        <w:t xml:space="preserve">需求、</w:t>
      </w:r>
      <w:r>
        <w:rPr>
          <w:rFonts w:hint="eastAsia" w:ascii="宋体" w:hAnsi="宋体"/>
          <w:color w:val="auto"/>
          <w:sz w:val="24"/>
          <w:highlight w:val="none"/>
        </w:rPr>
        <w:t xml:space="preserve">供应商</w:t>
      </w:r>
      <w:r>
        <w:rPr>
          <w:rFonts w:ascii="宋体" w:hAnsi="宋体"/>
          <w:color w:val="auto"/>
          <w:sz w:val="24"/>
          <w:highlight w:val="none"/>
        </w:rPr>
        <w:t xml:space="preserve">资格条件、</w:t>
      </w:r>
      <w:r>
        <w:rPr>
          <w:rFonts w:hint="eastAsia" w:ascii="宋体" w:hAnsi="宋体"/>
          <w:color w:val="auto"/>
          <w:sz w:val="24"/>
          <w:highlight w:val="none"/>
        </w:rPr>
        <w:t xml:space="preserve">评标方法</w:t>
      </w:r>
      <w:r>
        <w:rPr>
          <w:rFonts w:ascii="宋体" w:hAnsi="宋体"/>
          <w:color w:val="auto"/>
          <w:sz w:val="24"/>
          <w:highlight w:val="none"/>
        </w:rPr>
        <w:t xml:space="preserve">和评标标准、合同文本</w:t>
      </w:r>
      <w:r>
        <w:rPr>
          <w:rFonts w:hint="eastAsia" w:ascii="宋体" w:hAnsi="宋体"/>
          <w:color w:val="auto"/>
          <w:sz w:val="24"/>
          <w:highlight w:val="none"/>
        </w:rPr>
        <w:t xml:space="preserve">及</w:t>
      </w:r>
      <w:r>
        <w:rPr>
          <w:rFonts w:ascii="宋体" w:hAnsi="宋体"/>
          <w:color w:val="auto"/>
          <w:sz w:val="24"/>
          <w:highlight w:val="none"/>
        </w:rPr>
        <w:t xml:space="preserve">资格</w:t>
      </w:r>
      <w:r>
        <w:rPr>
          <w:rFonts w:hint="eastAsia" w:ascii="宋体" w:hAnsi="宋体"/>
          <w:color w:val="auto"/>
          <w:sz w:val="24"/>
          <w:highlight w:val="none"/>
        </w:rPr>
        <w:t xml:space="preserve">审查结果的</w:t>
      </w:r>
      <w:r>
        <w:rPr>
          <w:rFonts w:ascii="宋体" w:hAnsi="宋体"/>
          <w:color w:val="auto"/>
          <w:sz w:val="24"/>
          <w:highlight w:val="none"/>
        </w:rPr>
        <w:t xml:space="preserve">询问</w:t>
      </w:r>
      <w:r>
        <w:rPr>
          <w:rFonts w:hint="eastAsia" w:ascii="宋体" w:hAnsi="宋体"/>
          <w:color w:val="auto"/>
          <w:sz w:val="24"/>
          <w:highlight w:val="none"/>
        </w:rPr>
        <w:t xml:space="preserve">、质疑</w:t>
      </w:r>
      <w:r>
        <w:rPr>
          <w:rFonts w:ascii="宋体" w:hAnsi="宋体"/>
          <w:color w:val="auto"/>
          <w:sz w:val="24"/>
          <w:highlight w:val="none"/>
        </w:rPr>
        <w:t xml:space="preserve">请向采购人提出，由采购人负责答复。</w:t>
      </w:r>
      <w:r>
        <w:rPr>
          <w:rFonts w:hint="eastAsia" w:ascii="宋体" w:hAnsi="宋体"/>
          <w:color w:val="auto"/>
          <w:sz w:val="24"/>
          <w:highlight w:val="none"/>
        </w:rPr>
        <w:t xml:space="preserve">供应商对</w:t>
      </w:r>
      <w:r>
        <w:rPr>
          <w:rFonts w:ascii="宋体" w:hAnsi="宋体"/>
          <w:color w:val="auto"/>
          <w:sz w:val="24"/>
          <w:highlight w:val="none"/>
        </w:rPr>
        <w:t xml:space="preserve">其他事项</w:t>
      </w:r>
      <w:r>
        <w:rPr>
          <w:rFonts w:hint="eastAsia" w:ascii="宋体" w:hAnsi="宋体"/>
          <w:color w:val="auto"/>
          <w:sz w:val="24"/>
          <w:highlight w:val="none"/>
        </w:rPr>
        <w:t xml:space="preserve">的询问</w:t>
      </w:r>
      <w:r>
        <w:rPr>
          <w:rFonts w:ascii="宋体" w:hAnsi="宋体"/>
          <w:color w:val="auto"/>
          <w:sz w:val="24"/>
          <w:highlight w:val="none"/>
        </w:rPr>
        <w:t xml:space="preserve">、质疑请向</w:t>
      </w:r>
      <w:r>
        <w:rPr>
          <w:rFonts w:hint="eastAsia" w:ascii="宋体" w:hAnsi="宋体"/>
          <w:color w:val="auto"/>
          <w:sz w:val="24"/>
          <w:highlight w:val="none"/>
        </w:rPr>
        <w:t xml:space="preserve">代理机构</w:t>
      </w:r>
      <w:r>
        <w:rPr>
          <w:rFonts w:ascii="宋体" w:hAnsi="宋体"/>
          <w:color w:val="auto"/>
          <w:sz w:val="24"/>
          <w:highlight w:val="none"/>
        </w:rPr>
        <w:t xml:space="preserve">提出，由</w:t>
      </w:r>
      <w:r>
        <w:rPr>
          <w:rFonts w:hint="eastAsia" w:ascii="宋体" w:hAnsi="宋体"/>
          <w:color w:val="auto"/>
          <w:sz w:val="24"/>
          <w:highlight w:val="none"/>
        </w:rPr>
        <w:t xml:space="preserve">代理机构负责</w:t>
      </w:r>
      <w:r>
        <w:rPr>
          <w:rFonts w:ascii="宋体" w:hAnsi="宋体"/>
          <w:color w:val="auto"/>
          <w:sz w:val="24"/>
          <w:highlight w:val="none"/>
        </w:rPr>
        <w:t xml:space="preserve">答复。</w:t>
      </w:r>
      <w:r/>
    </w:p>
    <w:p>
      <w:pPr>
        <w:ind w:firstLine="482"/>
        <w:spacing w:line="500" w:lineRule="exact"/>
        <w:rPr>
          <w:rFonts w:hint="eastAsia" w:ascii="宋体" w:hAnsi="宋体"/>
          <w:color w:val="auto"/>
          <w:sz w:val="24"/>
          <w:highlight w:val="none"/>
        </w:rPr>
      </w:pPr>
      <w:r/>
      <w:bookmarkStart w:id="244" w:name="_Hlk149903315"/>
      <w:r>
        <w:rPr>
          <w:rFonts w:hint="eastAsia" w:ascii="宋体" w:hAnsi="宋体"/>
          <w:color w:val="auto"/>
          <w:sz w:val="24"/>
          <w:highlight w:val="none"/>
        </w:rPr>
        <w:t xml:space="preserve">采购人及代理机构只接收以纸质原件形式送达的质疑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建议供应商尽量通过现场递交或邮寄方式提交质疑（采购人和代理机构不接受未填写快递运单的快件）。</w:t>
      </w:r>
      <w:bookmarkEnd w:id="244"/>
      <w:r/>
      <w:r/>
    </w:p>
    <w:p>
      <w:pPr>
        <w:ind w:firstLine="482"/>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代理机构质疑接收部门为：综合科</w:t>
      </w:r>
      <w:r/>
    </w:p>
    <w:p>
      <w:pPr>
        <w:ind w:firstLine="482"/>
        <w:jc w:val="left"/>
        <w:spacing w:line="500" w:lineRule="exact"/>
        <w:rPr>
          <w:color w:val="auto"/>
          <w:sz w:val="24"/>
          <w:highlight w:val="none"/>
        </w:rPr>
      </w:pPr>
      <w:r>
        <w:rPr>
          <w:rFonts w:hint="eastAsia" w:ascii="宋体" w:hAnsi="宋体"/>
          <w:color w:val="auto"/>
          <w:sz w:val="24"/>
          <w:highlight w:val="none"/>
        </w:rPr>
        <w:t xml:space="preserve">联系地址</w:t>
      </w:r>
      <w:r>
        <w:rPr>
          <w:color w:val="auto"/>
          <w:sz w:val="24"/>
          <w:highlight w:val="none"/>
        </w:rPr>
        <w:t xml:space="preserve">：</w:t>
      </w:r>
      <w:r>
        <w:rPr>
          <w:rFonts w:hint="eastAsia" w:ascii="宋体" w:hAnsi="宋体" w:cs="宋体"/>
          <w:color w:val="auto"/>
          <w:sz w:val="24"/>
          <w:highlight w:val="none"/>
        </w:rPr>
        <w:t xml:space="preserve">常州市武进区延政中大道17号金源大厦18楼</w:t>
      </w:r>
      <w:r>
        <w:rPr>
          <w:color w:val="auto"/>
          <w:sz w:val="24"/>
          <w:highlight w:val="none"/>
        </w:rPr>
        <w:t xml:space="preserve">；</w:t>
      </w:r>
      <w:r/>
    </w:p>
    <w:p>
      <w:pPr>
        <w:ind w:firstLine="482"/>
        <w:jc w:val="left"/>
        <w:spacing w:line="500" w:lineRule="exact"/>
        <w:rPr>
          <w:color w:val="auto"/>
          <w:sz w:val="24"/>
          <w:highlight w:val="none"/>
        </w:rPr>
      </w:pPr>
      <w:r>
        <w:rPr>
          <w:color w:val="auto"/>
          <w:sz w:val="24"/>
          <w:highlight w:val="none"/>
        </w:rPr>
        <w:t xml:space="preserve">联系电话：</w:t>
      </w:r>
      <w:r>
        <w:rPr>
          <w:rFonts w:hint="eastAsia"/>
          <w:color w:val="auto"/>
          <w:sz w:val="24"/>
          <w:highlight w:val="none"/>
        </w:rPr>
        <w:t xml:space="preserve">0519-85857862</w:t>
      </w:r>
      <w:r>
        <w:rPr>
          <w:color w:val="auto"/>
          <w:sz w:val="24"/>
          <w:highlight w:val="none"/>
        </w:rPr>
        <w:t xml:space="preserve">；</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 以下情形的质疑不予受理：</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.5.1 内容不符合《政府采购质疑和投诉办法》第十二条规定的质疑。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.5.2 超出政府采购法定期限的质疑。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.5.3 以传真、电子邮件等方式递交的非原件形式的质疑。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.5.4 未参加投标活动的供应商或在投标活动中自身权益未受到损害的供应商所提出的质疑。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.5.5供应商组成联合体参加投标，联合体中任何一方或多方未按要求签字、盖章、加盖公章的质疑。</w:t>
      </w:r>
      <w:r/>
    </w:p>
    <w:p>
      <w:pPr>
        <w:ind w:firstLine="471"/>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auto"/>
          <w:sz w:val="30"/>
          <w:szCs w:val="30"/>
          <w:highlight w:val="none"/>
        </w:rPr>
        <w:outlineLvl w:val="4"/>
      </w:pPr>
      <w:r>
        <w:rPr>
          <w:rFonts w:hint="eastAsia" w:ascii="黑体" w:hAnsi="宋体" w:eastAsia="黑体"/>
          <w:bCs/>
          <w:color w:val="auto"/>
          <w:sz w:val="30"/>
          <w:szCs w:val="30"/>
          <w:highlight w:val="none"/>
          <w:lang w:eastAsia="zh-CN"/>
        </w:rPr>
        <w:t xml:space="preserve">30.</w:t>
      </w:r>
      <w:r>
        <w:rPr>
          <w:rFonts w:hint="eastAsia" w:ascii="黑体" w:hAnsi="宋体" w:eastAsia="黑体"/>
          <w:bCs/>
          <w:color w:val="auto"/>
          <w:sz w:val="30"/>
          <w:szCs w:val="30"/>
          <w:highlight w:val="none"/>
        </w:rPr>
        <w:t xml:space="preserve">中标通知书</w:t>
      </w:r>
      <w:r/>
    </w:p>
    <w:p>
      <w:pPr>
        <w:ind w:firstLine="600"/>
        <w:spacing w:line="500" w:lineRule="exact"/>
        <w:rPr>
          <w:rFonts w:hint="eastAsia"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.l</w:t>
      </w:r>
      <w:r>
        <w:rPr>
          <w:rFonts w:hint="eastAsia" w:ascii="宋体" w:hAnsi="宋体"/>
          <w:b/>
          <w:color w:val="auto"/>
          <w:sz w:val="24"/>
          <w:highlight w:val="none"/>
        </w:rPr>
        <w:t xml:space="preserve"> </w:t>
      </w:r>
      <w:r>
        <w:rPr>
          <w:rFonts w:hint="eastAsia" w:ascii="宋体" w:hAnsi="宋体"/>
          <w:color w:val="auto"/>
          <w:sz w:val="24"/>
          <w:highlight w:val="none"/>
        </w:rPr>
        <w:t xml:space="preserve">中标结果确定后，代理机构将向中标人发出中标通知书。请中标人在中标结果公告届满之日起30日内</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因未及时下载而造成的不利后果由中标人自行承担。</w:t>
      </w:r>
      <w:r/>
    </w:p>
    <w:p>
      <w:pPr>
        <w:ind w:firstLine="600"/>
        <w:spacing w:line="500" w:lineRule="exact"/>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auto"/>
          <w:sz w:val="32"/>
          <w:szCs w:val="32"/>
          <w:highlight w:val="none"/>
        </w:rPr>
        <w:outlineLvl w:val="3"/>
      </w:pPr>
      <w:r/>
      <w:bookmarkStart w:id="245" w:name="_Toc120614220"/>
      <w:r/>
      <w:bookmarkStart w:id="246" w:name="_Toc16938552"/>
      <w:r/>
      <w:bookmarkStart w:id="247" w:name="_Toc513029236"/>
      <w:r/>
      <w:bookmarkStart w:id="248" w:name="_Toc20823308"/>
      <w:r>
        <w:rPr>
          <w:rFonts w:hint="eastAsia"/>
          <w:b/>
          <w:bCs/>
          <w:color w:val="auto"/>
          <w:sz w:val="32"/>
          <w:szCs w:val="32"/>
          <w:highlight w:val="none"/>
        </w:rPr>
        <w:t xml:space="preserve">七、授予合同</w:t>
      </w:r>
      <w:bookmarkEnd w:id="245"/>
      <w:r/>
      <w:bookmarkEnd w:id="246"/>
      <w:r/>
      <w:bookmarkEnd w:id="247"/>
      <w:r/>
      <w:bookmarkEnd w:id="248"/>
      <w:r/>
      <w:r/>
    </w:p>
    <w:p>
      <w:pPr>
        <w:ind w:firstLine="600"/>
        <w:keepLines/>
        <w:keepNext/>
        <w:spacing w:line="500" w:lineRule="exact"/>
        <w:rPr>
          <w:rFonts w:hint="eastAsia" w:ascii="黑体" w:hAnsi="宋体" w:eastAsia="黑体"/>
          <w:bCs/>
          <w:color w:val="auto"/>
          <w:sz w:val="30"/>
          <w:szCs w:val="30"/>
          <w:highlight w:val="none"/>
        </w:rPr>
        <w:outlineLvl w:val="4"/>
      </w:pPr>
      <w:r/>
      <w:bookmarkStart w:id="249" w:name="_Toc513029237"/>
      <w:r/>
      <w:bookmarkStart w:id="250" w:name="_Toc20823309"/>
      <w:r/>
      <w:bookmarkStart w:id="251" w:name="_Toc16938553"/>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500" w:lineRule="exact"/>
        <w:rPr>
          <w:rFonts w:hint="eastAsia" w:ascii="宋体" w:hAnsi="宋体"/>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1</w:t>
      </w:r>
      <w:r>
        <w:rPr>
          <w:rFonts w:hint="eastAsia" w:ascii="宋体" w:hAnsi="宋体"/>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.2</w:t>
      </w:r>
      <w:r>
        <w:rPr>
          <w:rFonts w:hint="eastAsia" w:ascii="宋体" w:hAnsi="宋体"/>
          <w:b/>
          <w:color w:val="auto"/>
          <w:sz w:val="24"/>
          <w:highlight w:val="none"/>
        </w:rPr>
        <w:t xml:space="preserve"> </w:t>
      </w:r>
      <w:r>
        <w:rPr>
          <w:rFonts w:hint="eastAsia" w:ascii="宋体" w:hAnsi="宋体"/>
          <w:color w:val="auto"/>
          <w:sz w:val="24"/>
          <w:highlight w:val="none"/>
        </w:rPr>
        <w:t xml:space="preserve">招标文件、中标人的投标文件及招标过程中有关澄清、承诺文件均应作为合同附件。</w:t>
      </w:r>
      <w:r/>
    </w:p>
    <w:p>
      <w:pPr>
        <w:ind w:firstLine="600"/>
        <w:spacing w:line="500" w:lineRule="exact"/>
        <w:rPr>
          <w:rFonts w:hint="eastAsia" w:ascii="宋体" w:hAnsi="宋体"/>
          <w:color w:val="auto"/>
          <w:sz w:val="24"/>
          <w:highlight w:val="none"/>
        </w:rPr>
      </w:pPr>
      <w:r>
        <w:rPr>
          <w:rFonts w:hint="eastAsia" w:ascii="宋体" w:hAnsi="宋体"/>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auto"/>
          <w:sz w:val="30"/>
          <w:szCs w:val="30"/>
          <w:highlight w:val="none"/>
        </w:rPr>
        <w:outlineLvl w:val="4"/>
      </w:pPr>
      <w:r>
        <w:rPr>
          <w:rFonts w:hint="eastAsia" w:ascii="黑体" w:hAnsi="宋体" w:eastAsia="黑体"/>
          <w:bCs/>
          <w:color w:val="auto"/>
          <w:sz w:val="30"/>
          <w:szCs w:val="30"/>
          <w:highlight w:val="none"/>
          <w:lang w:eastAsia="zh-CN"/>
        </w:rPr>
        <w:t xml:space="preserve">32.</w:t>
      </w:r>
      <w:r>
        <w:rPr>
          <w:rFonts w:hint="eastAsia" w:ascii="黑体" w:hAnsi="宋体" w:eastAsia="黑体"/>
          <w:bCs/>
          <w:color w:val="auto"/>
          <w:sz w:val="30"/>
          <w:szCs w:val="30"/>
          <w:highlight w:val="none"/>
        </w:rPr>
        <w:t xml:space="preserve">货物（包含与货物相关的服务）的追加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21"/>
        <w:ind w:firstLine="600"/>
        <w:spacing w:line="500" w:lineRule="exact"/>
        <w:rPr>
          <w:rFonts w:hint="eastAsia" w:ascii="黑体" w:hAnsi="宋体" w:eastAsia="黑体" w:cs="Times New Roman"/>
          <w:bCs/>
          <w:color w:val="auto"/>
          <w:sz w:val="30"/>
          <w:szCs w:val="30"/>
          <w:highlight w:val="none"/>
        </w:rPr>
      </w:pPr>
      <w:r>
        <w:rPr>
          <w:rFonts w:hint="eastAsia" w:ascii="黑体" w:hAnsi="宋体" w:eastAsia="黑体" w:cs="Times New Roman"/>
          <w:bCs/>
          <w:color w:val="auto"/>
          <w:sz w:val="30"/>
          <w:szCs w:val="30"/>
          <w:highlight w:val="none"/>
          <w:lang w:eastAsia="zh-CN"/>
        </w:rPr>
        <w:t xml:space="preserve">33.</w:t>
      </w:r>
      <w:r>
        <w:rPr>
          <w:rFonts w:hint="eastAsia" w:ascii="黑体" w:hAnsi="宋体"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3.1进口产品</w:t>
      </w:r>
      <w:r>
        <w:rPr>
          <w:rFonts w:hint="eastAsia" w:ascii="宋体" w:hAnsi="宋体"/>
          <w:b/>
          <w:bCs/>
          <w:color w:val="auto"/>
          <w:sz w:val="24"/>
          <w:highlight w:val="none"/>
        </w:rPr>
        <w:t xml:space="preserve">：</w:t>
      </w:r>
      <w:r>
        <w:rPr>
          <w:rFonts w:ascii="宋体" w:hAnsi="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3.2政府采购节能产品、环境标志产品</w:t>
      </w:r>
      <w:r/>
    </w:p>
    <w:p>
      <w:pPr>
        <w:ind w:firstLine="480"/>
        <w:jc w:val="left"/>
        <w:spacing w:line="500" w:lineRule="exact"/>
        <w:tabs>
          <w:tab w:val="left" w:pos="1980" w:leader="none"/>
        </w:tabs>
        <w:rPr>
          <w:color w:val="auto"/>
          <w:sz w:val="24"/>
          <w:highlight w:val="none"/>
        </w:rPr>
      </w:pPr>
      <w:r>
        <w:rPr>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highlight w:val="none"/>
        </w:rPr>
      </w:pPr>
      <w:r>
        <w:rPr>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highlight w:val="none"/>
        </w:rPr>
      </w:pPr>
      <w:r>
        <w:rPr>
          <w:b/>
          <w:color w:val="auto"/>
          <w:sz w:val="24"/>
          <w:highlight w:val="none"/>
        </w:rPr>
        <w:t xml:space="preserve">33.2.3</w:t>
      </w:r>
      <w:r>
        <w:rPr>
          <w:rFonts w:hint="eastAsia"/>
          <w:b/>
          <w:color w:val="auto"/>
          <w:sz w:val="24"/>
          <w:highlight w:val="none"/>
        </w:rPr>
        <w:t xml:space="preserve">、</w:t>
      </w:r>
      <w:r>
        <w:rPr>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auto"/>
          <w:sz w:val="24"/>
          <w:highlight w:val="none"/>
        </w:rPr>
      </w:pPr>
      <w:r>
        <w:rPr>
          <w:color w:val="auto"/>
          <w:sz w:val="24"/>
          <w:highlight w:val="none"/>
        </w:rPr>
        <w:t xml:space="preserve">33.2.</w:t>
      </w:r>
      <w:r>
        <w:rPr>
          <w:rFonts w:hint="eastAsia"/>
          <w:color w:val="auto"/>
          <w:sz w:val="24"/>
          <w:highlight w:val="none"/>
        </w:rPr>
        <w:t xml:space="preserve">4</w:t>
      </w: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3.3商品包装政府采购需求标准</w:t>
      </w:r>
      <w:r>
        <w:rPr>
          <w:rFonts w:hint="eastAsia" w:ascii="宋体" w:hAnsi="宋体"/>
          <w:b/>
          <w:bCs/>
          <w:color w:val="auto"/>
          <w:sz w:val="24"/>
          <w:highlight w:val="none"/>
        </w:rPr>
        <w:t xml:space="preserve">、</w:t>
      </w:r>
      <w:r>
        <w:rPr>
          <w:rFonts w:ascii="宋体" w:hAnsi="宋体"/>
          <w:b/>
          <w:bCs/>
          <w:color w:val="auto"/>
          <w:sz w:val="24"/>
          <w:highlight w:val="none"/>
        </w:rPr>
        <w:t xml:space="preserve">快递包装政府采购需求标准</w:t>
      </w:r>
      <w:r>
        <w:rPr>
          <w:rFonts w:hint="eastAsia" w:ascii="宋体" w:hAnsi="宋体"/>
          <w:b/>
          <w:bCs/>
          <w:color w:val="auto"/>
          <w:sz w:val="24"/>
          <w:highlight w:val="none"/>
        </w:rPr>
        <w:t xml:space="preserve">：</w:t>
      </w: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3.4支持乡村产业振兴管理</w:t>
      </w:r>
      <w:r>
        <w:rPr>
          <w:rFonts w:hint="eastAsia" w:ascii="宋体" w:hAnsi="宋体"/>
          <w:b/>
          <w:bCs/>
          <w:color w:val="auto"/>
          <w:sz w:val="24"/>
          <w:highlight w:val="none"/>
        </w:rPr>
        <w:t xml:space="preserve">：</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3.5正版软件</w:t>
      </w:r>
      <w:r>
        <w:rPr>
          <w:rFonts w:hint="eastAsia" w:ascii="宋体" w:hAnsi="宋体"/>
          <w:b/>
          <w:bCs/>
          <w:color w:val="auto"/>
          <w:sz w:val="24"/>
          <w:highlight w:val="none"/>
        </w:rPr>
        <w:t xml:space="preserve">：</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3.6信息安全产品</w:t>
      </w:r>
      <w:r>
        <w:rPr>
          <w:rFonts w:hint="eastAsia" w:ascii="宋体" w:hAnsi="宋体"/>
          <w:b/>
          <w:bCs/>
          <w:color w:val="auto"/>
          <w:sz w:val="24"/>
          <w:highlight w:val="none"/>
        </w:rPr>
        <w:t xml:space="preserve">：</w:t>
      </w:r>
      <w:r>
        <w:rPr>
          <w:rFonts w:hint="eastAsia"/>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3.7</w:t>
      </w:r>
      <w:r>
        <w:rPr>
          <w:rFonts w:hint="eastAsia" w:ascii="宋体" w:hAnsi="宋体"/>
          <w:b/>
          <w:bCs/>
          <w:color w:val="auto"/>
          <w:sz w:val="24"/>
          <w:highlight w:val="none"/>
        </w:rPr>
        <w:t xml:space="preserve">政府采购创新产品政策：</w:t>
      </w:r>
      <w:r>
        <w:rPr>
          <w:rFonts w:hint="eastAsia"/>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21"/>
        <w:ind w:firstLine="482"/>
        <w:spacing w:line="500" w:lineRule="exact"/>
        <w:rPr>
          <w:rFonts w:hint="eastAsia" w:ascii="宋体" w:hAnsi="宋体" w:cs="Times New Roman"/>
          <w:b/>
          <w:bCs/>
          <w:color w:val="auto"/>
          <w:highlight w:val="none"/>
        </w:rPr>
      </w:pPr>
      <w:r>
        <w:rPr>
          <w:rFonts w:hint="eastAsia" w:ascii="宋体" w:hAnsi="宋体" w:cs="Times New Roman"/>
          <w:b/>
          <w:bCs/>
          <w:color w:val="auto"/>
          <w:highlight w:val="none"/>
        </w:rPr>
        <w:t xml:space="preserve">33.8绿色采购政策：</w:t>
      </w:r>
      <w:r/>
    </w:p>
    <w:p>
      <w:pPr>
        <w:pStyle w:val="92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921"/>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2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921"/>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rPr>
        <w:t xml:space="preserve">依据相关需求标准确定采购需求，在招标文件和采购合同中载明具体需求、履约验收条款和违约责任。</w:t>
      </w:r>
      <w:r/>
    </w:p>
    <w:p>
      <w:pPr>
        <w:pStyle w:val="92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921"/>
        <w:ind w:firstLine="480"/>
        <w:spacing w:line="500" w:lineRule="exact"/>
        <w:rPr>
          <w:rFonts w:hint="eastAsia" w:ascii="宋体" w:hAnsi="宋体"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0"/>
      <w:r/>
      <w:bookmarkEnd w:id="249"/>
      <w:r/>
      <w:bookmarkEnd w:id="250"/>
      <w:r/>
      <w:bookmarkEnd w:id="251"/>
      <w:r/>
      <w:r/>
    </w:p>
    <w:p>
      <w:pPr>
        <w:ind w:firstLine="420"/>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33.9电子履约保函政策</w:t>
      </w:r>
      <w:r/>
    </w:p>
    <w:p>
      <w:pPr>
        <w:ind w:firstLine="480"/>
        <w:spacing w:line="500" w:lineRule="exact"/>
        <w:rPr>
          <w:rFonts w:hint="eastAsia"/>
          <w:color w:val="auto"/>
          <w:sz w:val="24"/>
          <w:highlight w:val="none"/>
        </w:rPr>
      </w:pPr>
      <w:r>
        <w:rPr>
          <w:rFonts w:hint="eastAsia"/>
          <w:color w:val="auto"/>
          <w:sz w:val="24"/>
          <w:highlight w:val="none"/>
        </w:rPr>
        <w:t xml:space="preserve">为进一步优化政府采购营商环境，规范我省政府采购履约保证金管理，持续降低供应商参与政府采购成本，根据</w:t>
      </w:r>
      <w:r>
        <w:rPr>
          <w:rFonts w:hint="eastAsia"/>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33.10政府采购中实施本国产品标准及相关政策</w:t>
      </w:r>
      <w:r/>
    </w:p>
    <w:p>
      <w:pPr>
        <w:pStyle w:val="910"/>
        <w:ind w:firstLine="480"/>
        <w:jc w:val="both"/>
        <w:spacing w:before="0" w:beforeAutospacing="0" w:after="0" w:afterAutospacing="0" w:line="480" w:lineRule="exact"/>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pStyle w:val="902"/>
        <w:rPr>
          <w:color w:val="auto"/>
          <w:highlight w:val="none"/>
        </w:rPr>
      </w:pPr>
      <w:r>
        <w:rPr>
          <w:color w:val="auto"/>
          <w:highlight w:val="none"/>
        </w:rPr>
        <w:br w:type="page" w:clear="all"/>
      </w:r>
      <w:bookmarkStart w:id="252" w:name="_Toc25399"/>
      <w:r>
        <w:rPr>
          <w:color w:val="auto"/>
          <w:highlight w:val="none"/>
        </w:rPr>
        <w:t xml:space="preserve">第三章</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rFonts w:hint="eastAsia"/>
          <w:color w:val="auto"/>
          <w:highlight w:val="none"/>
        </w:rPr>
        <w:t xml:space="preserve">   </w:t>
      </w:r>
      <w:r>
        <w:rPr>
          <w:color w:val="auto"/>
          <w:highlight w:val="none"/>
        </w:rPr>
        <w:t xml:space="preserve">资格审查</w:t>
      </w:r>
      <w:bookmarkEnd w:id="138"/>
      <w:r/>
      <w:bookmarkEnd w:id="252"/>
      <w:r/>
      <w:bookmarkStart w:id="253" w:name="_Toc487900382"/>
      <w:r/>
      <w:r/>
    </w:p>
    <w:p>
      <w:pPr>
        <w:ind w:firstLine="2891"/>
        <w:spacing w:line="360" w:lineRule="auto"/>
        <w:tabs>
          <w:tab w:val="left" w:pos="360" w:leader="none"/>
          <w:tab w:val="left" w:pos="900" w:leader="none"/>
        </w:tabs>
        <w:rPr>
          <w:b/>
          <w:color w:val="auto"/>
          <w:sz w:val="32"/>
          <w:szCs w:val="32"/>
          <w:highlight w:val="none"/>
        </w:rPr>
        <w:outlineLvl w:val="1"/>
      </w:pPr>
      <w:r/>
      <w:bookmarkStart w:id="254" w:name="_Toc99301422"/>
      <w:r>
        <w:rPr>
          <w:rFonts w:hint="eastAsia"/>
          <w:b/>
          <w:color w:val="auto"/>
          <w:sz w:val="32"/>
          <w:szCs w:val="32"/>
          <w:highlight w:val="none"/>
        </w:rPr>
        <w:t xml:space="preserve">第一节 </w:t>
      </w:r>
      <w:r>
        <w:rPr>
          <w:b/>
          <w:color w:val="auto"/>
          <w:sz w:val="32"/>
          <w:szCs w:val="32"/>
          <w:highlight w:val="none"/>
        </w:rPr>
        <w:t xml:space="preserve">资格审查程序</w:t>
      </w:r>
      <w:bookmarkEnd w:id="254"/>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二、</w:t>
      </w:r>
      <w:r>
        <w:rPr>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三、</w:t>
      </w:r>
      <w:r>
        <w:rPr>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四、</w:t>
      </w:r>
      <w:r>
        <w:rPr>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highlight w:val="none"/>
        </w:rPr>
        <w:outlineLvl w:val="1"/>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资格审查要求</w:t>
      </w:r>
      <w:r/>
    </w:p>
    <w:tbl>
      <w:tblPr>
        <w:tblStyle w:val="905"/>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b/>
                <w:color w:val="auto"/>
                <w:sz w:val="24"/>
                <w:highlight w:val="none"/>
              </w:rPr>
            </w:pPr>
            <w:r/>
            <w:bookmarkStart w:id="255" w:name="_Hlt487972895"/>
            <w:r/>
            <w:bookmarkEnd w:id="255"/>
            <w:r>
              <w:rPr>
                <w:b/>
                <w:color w:val="auto"/>
                <w:sz w:val="24"/>
                <w:highlight w:val="none"/>
              </w:rPr>
              <w:t xml:space="preserve">序号</w:t>
            </w:r>
            <w:r/>
          </w:p>
        </w:tc>
        <w:tc>
          <w:tcPr>
            <w:tcW w:w="1820"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429"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504"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820"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 </w:t>
            </w:r>
            <w:bookmarkStart w:id="256" w:name="OLE_LINK36"/>
            <w:r>
              <w:rPr>
                <w:rFonts w:hint="eastAsia" w:ascii="宋体" w:hAnsi="宋体"/>
                <w:bCs/>
                <w:color w:val="auto"/>
                <w:sz w:val="24"/>
                <w:highlight w:val="none"/>
              </w:rPr>
              <w:t xml:space="preserve">营业执照副本（事业单位法人证书）</w:t>
            </w:r>
            <w:bookmarkEnd w:id="256"/>
            <w:r/>
            <w:r/>
          </w:p>
        </w:tc>
        <w:tc>
          <w:tcPr>
            <w:tcW w:w="4429" w:type="dxa"/>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营业执照副本和税务登记证副本</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或“三证合一”的营业执照副本）或事业单位法人证书</w:t>
            </w:r>
            <w:r/>
          </w:p>
        </w:tc>
        <w:tc>
          <w:tcPr>
            <w:tcW w:w="1504" w:type="dxa"/>
            <w:vAlign w:val="center"/>
            <w:textDirection w:val="lrTb"/>
            <w:noWrap w:val="false"/>
          </w:tcPr>
          <w:p>
            <w:pPr>
              <w:ind w:firstLine="720"/>
              <w:tabs>
                <w:tab w:val="left" w:pos="1080" w:leader="none"/>
              </w:tabs>
              <w:rPr>
                <w:color w:val="auto"/>
                <w:sz w:val="24"/>
                <w:highlight w:val="none"/>
              </w:rPr>
            </w:pPr>
            <w:r>
              <w:rPr>
                <w:rFonts w:hint="eastAsia"/>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w:t>
            </w:r>
            <w:r/>
          </w:p>
        </w:tc>
        <w:tc>
          <w:tcPr>
            <w:tcW w:w="1820" w:type="dxa"/>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法人授权书</w:t>
            </w:r>
            <w:r/>
          </w:p>
        </w:tc>
        <w:tc>
          <w:tcPr>
            <w:tcW w:w="4429" w:type="dxa"/>
            <w:vAlign w:val="center"/>
            <w:textDirection w:val="lrTb"/>
            <w:noWrap w:val="false"/>
          </w:tcPr>
          <w:p>
            <w:pPr>
              <w:jc w:val="left"/>
              <w:widowControl/>
              <w:rPr>
                <w:color w:val="auto"/>
                <w:sz w:val="24"/>
                <w:highlight w:val="none"/>
              </w:rPr>
            </w:pPr>
            <w:r/>
            <w:bookmarkStart w:id="257" w:name="OLE_LINK15"/>
            <w:r>
              <w:rPr>
                <w:rFonts w:hint="eastAsia" w:ascii="宋体" w:hAnsi="宋体"/>
                <w:bCs/>
                <w:color w:val="auto"/>
                <w:sz w:val="24"/>
                <w:highlight w:val="none"/>
              </w:rPr>
              <w:t xml:space="preserve">法人授权书、法定代表人身份证及被授权人身份证、投标人为授权委托人缴纳的近三个月的（不含开标当月）连续的社会基本养老保险的缴纳凭证（加盖社保中心章或社保中心参保缴费证明电子专用章）</w:t>
            </w:r>
            <w:bookmarkEnd w:id="257"/>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3</w:t>
            </w:r>
            <w:r/>
          </w:p>
        </w:tc>
        <w:tc>
          <w:tcPr>
            <w:tcW w:w="1820" w:type="dxa"/>
            <w:vAlign w:val="center"/>
            <w:textDirection w:val="lrTb"/>
            <w:noWrap w:val="false"/>
          </w:tcPr>
          <w:p>
            <w:pPr>
              <w:tabs>
                <w:tab w:val="left" w:pos="1080" w:leader="none"/>
              </w:tabs>
              <w:rPr>
                <w:color w:val="auto"/>
                <w:sz w:val="24"/>
                <w:highlight w:val="none"/>
              </w:rPr>
            </w:pPr>
            <w:r/>
            <w:bookmarkStart w:id="258" w:name="OLE_LINK37"/>
            <w:r>
              <w:rPr>
                <w:rFonts w:hint="eastAsia"/>
                <w:color w:val="auto"/>
                <w:sz w:val="24"/>
                <w:highlight w:val="none"/>
              </w:rPr>
              <w:t xml:space="preserve">投标人资格声明</w:t>
            </w:r>
            <w:bookmarkEnd w:id="258"/>
            <w:r/>
            <w:r/>
          </w:p>
        </w:tc>
        <w:tc>
          <w:tcPr>
            <w:tcW w:w="4429" w:type="dxa"/>
            <w:vAlign w:val="center"/>
            <w:textDirection w:val="lrTb"/>
            <w:noWrap w:val="false"/>
          </w:tcPr>
          <w:p>
            <w:pPr>
              <w:spacing w:line="570" w:lineRule="exact"/>
              <w:rPr>
                <w:rFonts w:eastAsia="黑体"/>
                <w:color w:val="auto"/>
                <w:sz w:val="36"/>
                <w:szCs w:val="36"/>
                <w:highlight w:val="none"/>
              </w:rPr>
            </w:pPr>
            <w:r/>
            <w:bookmarkStart w:id="259" w:name="OLE_LINK38"/>
            <w:r>
              <w:rPr>
                <w:rFonts w:ascii="宋体" w:hAnsi="宋体"/>
                <w:bCs/>
                <w:color w:val="auto"/>
                <w:sz w:val="24"/>
                <w:highlight w:val="none"/>
              </w:rPr>
              <w:t xml:space="preserve">《</w:t>
            </w:r>
            <w:r>
              <w:rPr>
                <w:rFonts w:hint="eastAsia" w:ascii="宋体" w:hAnsi="宋体"/>
                <w:bCs/>
                <w:color w:val="auto"/>
                <w:sz w:val="24"/>
                <w:highlight w:val="none"/>
              </w:rPr>
              <w:t xml:space="preserve">资格承诺声明函</w:t>
            </w:r>
            <w:r>
              <w:rPr>
                <w:rFonts w:ascii="宋体" w:hAnsi="宋体"/>
                <w:bCs/>
                <w:color w:val="auto"/>
                <w:sz w:val="24"/>
                <w:highlight w:val="none"/>
              </w:rPr>
              <w:t xml:space="preserve">》</w:t>
            </w:r>
            <w:bookmarkEnd w:id="259"/>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bookmarkStart w:id="260" w:name="OLE_LINK39"/>
            <w:r>
              <w:rPr>
                <w:rFonts w:hint="eastAsia"/>
                <w:color w:val="auto"/>
                <w:sz w:val="24"/>
                <w:highlight w:val="none"/>
              </w:rPr>
              <w:t xml:space="preserve">4</w:t>
            </w:r>
            <w:r/>
          </w:p>
        </w:tc>
        <w:tc>
          <w:tcPr>
            <w:tcW w:w="1820" w:type="dxa"/>
            <w:vAlign w:val="center"/>
            <w:textDirection w:val="lrTb"/>
            <w:noWrap w:val="false"/>
          </w:tcPr>
          <w:p>
            <w:pPr>
              <w:tabs>
                <w:tab w:val="left" w:pos="1080" w:leader="none"/>
              </w:tabs>
              <w:rPr>
                <w:color w:val="auto"/>
                <w:sz w:val="24"/>
                <w:highlight w:val="none"/>
              </w:rPr>
            </w:pPr>
            <w:r/>
            <w:bookmarkStart w:id="261" w:name="OLE_LINK40"/>
            <w:r>
              <w:rPr>
                <w:color w:val="auto"/>
                <w:sz w:val="24"/>
                <w:highlight w:val="none"/>
              </w:rPr>
              <w:t xml:space="preserve">投标人信用记录</w:t>
            </w:r>
            <w:bookmarkEnd w:id="261"/>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lang w:eastAsia="zh-CN"/>
              </w:rPr>
              <w:t xml:space="preserve">1.</w:t>
            </w: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rFonts w:hint="eastAsia"/>
                <w:color w:val="auto"/>
                <w:sz w:val="24"/>
                <w:highlight w:val="none"/>
                <w:lang w:eastAsia="zh-CN"/>
              </w:rPr>
              <w:t xml:space="preserve">2.</w:t>
            </w: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rFonts w:hint="eastAsia"/>
                <w:color w:val="auto"/>
                <w:sz w:val="24"/>
                <w:highlight w:val="none"/>
                <w:lang w:eastAsia="zh-CN"/>
              </w:rPr>
              <w:t xml:space="preserve">3.</w:t>
            </w: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rFonts w:hint="eastAsia" w:ascii="宋体" w:hAnsi="宋体"/>
                <w:bCs/>
                <w:color w:val="auto"/>
                <w:sz w:val="24"/>
                <w:highlight w:val="none"/>
              </w:rPr>
            </w:pPr>
            <w:r>
              <w:rPr>
                <w:rFonts w:hint="eastAsia"/>
                <w:color w:val="auto"/>
                <w:sz w:val="24"/>
                <w:highlight w:val="none"/>
                <w:lang w:eastAsia="zh-CN"/>
              </w:rPr>
              <w:t xml:space="preserve">4.</w:t>
            </w:r>
            <w:r>
              <w:rPr>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bookmarkEnd w:id="260"/>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5</w:t>
            </w:r>
            <w:r/>
          </w:p>
        </w:tc>
        <w:tc>
          <w:tcPr>
            <w:tcW w:w="1820" w:type="dxa"/>
            <w:vAlign w:val="center"/>
            <w:textDirection w:val="lrTb"/>
            <w:noWrap w:val="false"/>
          </w:tcPr>
          <w:p>
            <w:pPr>
              <w:ind w:firstLine="240"/>
              <w:tabs>
                <w:tab w:val="left" w:pos="1080" w:leader="none"/>
              </w:tabs>
              <w:rPr>
                <w:color w:val="auto"/>
                <w:sz w:val="24"/>
                <w:highlight w:val="none"/>
              </w:rPr>
            </w:pPr>
            <w:r>
              <w:rPr>
                <w:rFonts w:hint="eastAsia"/>
                <w:color w:val="auto"/>
                <w:sz w:val="24"/>
                <w:highlight w:val="none"/>
              </w:rPr>
              <w:t xml:space="preserve">信用承诺</w:t>
            </w:r>
            <w:r/>
          </w:p>
        </w:tc>
        <w:tc>
          <w:tcPr>
            <w:tcW w:w="4429" w:type="dxa"/>
            <w:vAlign w:val="center"/>
            <w:textDirection w:val="lrTb"/>
            <w:noWrap w:val="false"/>
          </w:tcPr>
          <w:p>
            <w:pPr>
              <w:tabs>
                <w:tab w:val="left" w:pos="1080" w:leader="none"/>
              </w:tabs>
              <w:rPr>
                <w:rFonts w:hint="eastAsia" w:ascii="宋体" w:hAnsi="宋体"/>
                <w:bCs/>
                <w:color w:val="auto"/>
                <w:sz w:val="24"/>
                <w:highlight w:val="none"/>
              </w:rPr>
            </w:pPr>
            <w:r>
              <w:rPr>
                <w:rFonts w:hint="eastAsia"/>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6</w:t>
            </w:r>
            <w:r/>
          </w:p>
        </w:tc>
        <w:tc>
          <w:tcPr>
            <w:tcW w:w="1820"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rPr>
                <w:color w:val="auto"/>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7</w:t>
            </w:r>
            <w:r/>
          </w:p>
        </w:tc>
        <w:tc>
          <w:tcPr>
            <w:tcW w:w="1820" w:type="dxa"/>
            <w:vAlign w:val="center"/>
            <w:textDirection w:val="lrTb"/>
            <w:noWrap w:val="false"/>
          </w:tcPr>
          <w:p>
            <w:pPr>
              <w:tabs>
                <w:tab w:val="left" w:pos="1080" w:leader="none"/>
              </w:tabs>
              <w:rPr>
                <w:b/>
                <w:color w:val="auto"/>
                <w:sz w:val="24"/>
                <w:highlight w:val="none"/>
              </w:rPr>
            </w:pPr>
            <w:r>
              <w:rPr>
                <w:b/>
                <w:color w:val="auto"/>
                <w:sz w:val="24"/>
                <w:highlight w:val="none"/>
              </w:rPr>
              <w:t xml:space="preserve">本项目的特定资格要求</w:t>
            </w:r>
            <w:bookmarkEnd w:id="253"/>
            <w:r/>
          </w:p>
        </w:tc>
        <w:tc>
          <w:tcPr>
            <w:tcW w:w="4429" w:type="dxa"/>
            <w:vAlign w:val="center"/>
            <w:textDirection w:val="lrTb"/>
            <w:noWrap w:val="false"/>
          </w:tcPr>
          <w:p>
            <w:pPr>
              <w:rPr>
                <w:rFonts w:hint="eastAsia" w:ascii="宋体" w:hAnsi="宋体"/>
                <w:b/>
                <w:bCs/>
                <w:color w:val="auto"/>
                <w:sz w:val="24"/>
                <w:highlight w:val="none"/>
              </w:rPr>
            </w:pPr>
            <w:r>
              <w:rPr>
                <w:rFonts w:hint="eastAsia" w:ascii="宋体" w:hAnsi="宋体" w:cs="宋体"/>
                <w:color w:val="auto"/>
                <w:sz w:val="24"/>
                <w:highlight w:val="none"/>
                <w:lang w:eastAsia="zh-CN"/>
              </w:rPr>
              <w:t xml:space="preserve">无</w:t>
            </w:r>
            <w:r/>
          </w:p>
        </w:tc>
        <w:tc>
          <w:tcPr>
            <w:tcW w:w="1504" w:type="dxa"/>
            <w:vAlign w:val="center"/>
            <w:textDirection w:val="lrTb"/>
            <w:noWrap w:val="false"/>
          </w:tcPr>
          <w:p>
            <w:pPr>
              <w:tabs>
                <w:tab w:val="left" w:pos="1080" w:leader="none"/>
              </w:tabs>
              <w:rPr>
                <w:rFonts w:hint="eastAsia" w:eastAsia="宋体"/>
                <w:color w:val="auto"/>
                <w:sz w:val="24"/>
                <w:highlight w:val="none"/>
                <w:lang w:eastAsia="zh-CN"/>
              </w:rPr>
            </w:pPr>
            <w:r>
              <w:rPr>
                <w:rFonts w:hint="eastAsia"/>
                <w:color w:val="auto"/>
                <w:sz w:val="24"/>
                <w:highlight w:val="none"/>
                <w:lang w:val="en-US" w:eastAsia="zh-CN"/>
              </w:rPr>
              <w:t xml:space="preserve">/</w:t>
            </w:r>
            <w:r/>
          </w:p>
        </w:tc>
      </w:tr>
      <w:tr>
        <w:trPr>
          <w:cantSplit/>
          <w:jc w:val="center"/>
          <w:trHeight w:val="468"/>
        </w:trPr>
        <w:tc>
          <w:tcPr>
            <w:tcW w:w="775" w:type="dxa"/>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8</w:t>
            </w:r>
            <w:r/>
          </w:p>
        </w:tc>
        <w:tc>
          <w:tcPr>
            <w:tcW w:w="1820" w:type="dxa"/>
            <w:vAlign w:val="center"/>
            <w:textDirection w:val="lrTb"/>
            <w:noWrap w:val="false"/>
          </w:tcPr>
          <w:p>
            <w:pPr>
              <w:jc w:val="center"/>
              <w:tabs>
                <w:tab w:val="left" w:pos="1080" w:leader="none"/>
              </w:tabs>
              <w:rPr>
                <w:b/>
                <w:color w:val="auto"/>
                <w:sz w:val="24"/>
                <w:highlight w:val="none"/>
              </w:rPr>
            </w:pPr>
            <w:r>
              <w:rPr>
                <w:color w:val="auto"/>
                <w:sz w:val="24"/>
                <w:highlight w:val="none"/>
              </w:rPr>
              <w:t xml:space="preserve">联合体</w:t>
            </w:r>
            <w:r>
              <w:rPr>
                <w:rFonts w:hint="eastAsia"/>
                <w:color w:val="auto"/>
                <w:sz w:val="24"/>
                <w:highlight w:val="none"/>
              </w:rPr>
              <w:t xml:space="preserve">协议</w:t>
            </w:r>
            <w:r/>
          </w:p>
        </w:tc>
        <w:tc>
          <w:tcPr>
            <w:tcW w:w="4429"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本项目不接受联合体</w:t>
            </w:r>
            <w:r/>
          </w:p>
        </w:tc>
        <w:tc>
          <w:tcPr>
            <w:tcW w:w="1504" w:type="dxa"/>
            <w:vAlign w:val="center"/>
            <w:textDirection w:val="lrTb"/>
            <w:noWrap w:val="false"/>
          </w:tcPr>
          <w:p>
            <w:pPr>
              <w:pStyle w:val="921"/>
              <w:rPr>
                <w:rFonts w:hint="eastAsia"/>
                <w:color w:val="auto"/>
                <w:highlight w:val="none"/>
              </w:rPr>
            </w:pPr>
            <w:r>
              <w:rPr>
                <w:color w:val="auto"/>
                <w:highlight w:val="none"/>
              </w:rPr>
              <w:t xml:space="preserve"></w:t>
            </w:r>
            <w:r/>
          </w:p>
        </w:tc>
      </w:tr>
    </w:tbl>
    <w:p>
      <w:pPr>
        <w:jc w:val="left"/>
        <w:widowControl/>
        <w:rPr>
          <w:color w:val="auto"/>
          <w:sz w:val="24"/>
          <w:highlight w:val="none"/>
        </w:rPr>
      </w:pPr>
      <w:r/>
      <w:bookmarkStart w:id="262" w:name="_Toc353873940"/>
      <w:r/>
      <w:bookmarkStart w:id="263" w:name="_Toc127151779"/>
      <w:r/>
      <w:bookmarkStart w:id="264" w:name="_Toc353825550"/>
      <w:r/>
      <w:bookmarkStart w:id="265" w:name="_Toc127161490"/>
      <w:r/>
      <w:bookmarkStart w:id="266" w:name="_Toc226965858"/>
      <w:r>
        <w:rPr>
          <w:color w:val="auto"/>
          <w:sz w:val="24"/>
          <w:highlight w:val="none"/>
        </w:rPr>
        <w:br w:type="page" w:clear="all"/>
      </w:r>
      <w:r/>
    </w:p>
    <w:p>
      <w:pPr>
        <w:pStyle w:val="902"/>
        <w:rPr>
          <w:color w:val="auto"/>
          <w:highlight w:val="none"/>
        </w:rPr>
      </w:pPr>
      <w:r/>
      <w:bookmarkStart w:id="267" w:name="_Toc10289"/>
      <w:r/>
      <w:bookmarkStart w:id="268" w:name="_Toc99301423"/>
      <w:r>
        <w:rPr>
          <w:color w:val="auto"/>
          <w:highlight w:val="none"/>
        </w:rPr>
        <w:t xml:space="preserve">第四章   </w:t>
      </w:r>
      <w:bookmarkEnd w:id="262"/>
      <w:r/>
      <w:bookmarkEnd w:id="263"/>
      <w:r/>
      <w:bookmarkEnd w:id="264"/>
      <w:r/>
      <w:bookmarkEnd w:id="265"/>
      <w:r/>
      <w:bookmarkEnd w:id="266"/>
      <w:r/>
      <w:bookmarkStart w:id="269" w:name="_Hlt164229061"/>
      <w:r/>
      <w:bookmarkEnd w:id="269"/>
      <w:r>
        <w:rPr>
          <w:color w:val="auto"/>
          <w:highlight w:val="none"/>
        </w:rPr>
        <w:t xml:space="preserve">评标程序、评标方法和评标标准</w:t>
      </w:r>
      <w:bookmarkEnd w:id="267"/>
      <w:r/>
      <w:bookmarkEnd w:id="268"/>
      <w:r/>
      <w:r/>
    </w:p>
    <w:p>
      <w:pPr>
        <w:ind w:firstLine="2570"/>
        <w:jc w:val="left"/>
        <w:spacing w:line="360" w:lineRule="auto"/>
        <w:tabs>
          <w:tab w:val="left" w:pos="360" w:leader="none"/>
          <w:tab w:val="left" w:pos="900" w:leader="none"/>
        </w:tabs>
        <w:rPr>
          <w:b/>
          <w:color w:val="auto"/>
          <w:sz w:val="32"/>
          <w:szCs w:val="32"/>
          <w:highlight w:val="none"/>
        </w:rPr>
        <w:outlineLvl w:val="1"/>
      </w:pPr>
      <w:r>
        <w:rPr>
          <w:rFonts w:hint="eastAsia"/>
          <w:b/>
          <w:color w:val="auto"/>
          <w:sz w:val="32"/>
          <w:szCs w:val="32"/>
          <w:highlight w:val="none"/>
        </w:rPr>
        <w:t xml:space="preserve">第一节 符合性审查程序</w:t>
      </w:r>
      <w:r/>
    </w:p>
    <w:p>
      <w:pPr>
        <w:ind w:firstLine="480"/>
        <w:spacing w:line="360" w:lineRule="auto"/>
        <w:tabs>
          <w:tab w:val="left" w:pos="360" w:leader="none"/>
        </w:tabs>
        <w:rPr>
          <w:color w:val="auto"/>
          <w:sz w:val="24"/>
          <w:highlight w:val="none"/>
        </w:rPr>
        <w:outlineLvl w:val="1"/>
      </w:pPr>
      <w:r/>
      <w:bookmarkStart w:id="270" w:name="_Toc353825551"/>
      <w:r/>
      <w:bookmarkStart w:id="271" w:name="_Toc353873941"/>
      <w:r>
        <w:rPr>
          <w:rFonts w:ascii="Symbol" w:hAnsi="Symbol" w:cs="Symbol"/>
          <w:color w:val="auto"/>
          <w:sz w:val="24"/>
          <w:highlight w:val="none"/>
        </w:rPr>
        <w:t xml:space="preserve">一、</w:t>
      </w:r>
      <w:r>
        <w:rPr>
          <w:color w:val="auto"/>
          <w:sz w:val="24"/>
          <w:highlight w:val="none"/>
        </w:rPr>
        <w:t xml:space="preserve">评标委员会对资格审查合格的投标人的投标文件进行符合性审查，以确定其是否满足招标文件的实质性要求。</w:t>
      </w:r>
      <w:bookmarkStart w:id="272" w:name="_Toc520356167"/>
      <w:r/>
      <w:r/>
    </w:p>
    <w:p>
      <w:pPr>
        <w:ind w:firstLine="480"/>
        <w:spacing w:line="360" w:lineRule="auto"/>
        <w:tabs>
          <w:tab w:val="left" w:pos="1080"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投标文件不符合《</w:t>
      </w:r>
      <w:r>
        <w:rPr>
          <w:color w:val="auto"/>
          <w:sz w:val="24"/>
          <w:highlight w:val="none"/>
        </w:rPr>
        <w:t xml:space="preserve">符合性审查</w:t>
      </w:r>
      <w:r>
        <w:rPr>
          <w:rFonts w:hint="eastAsia"/>
          <w:color w:val="auto"/>
          <w:sz w:val="24"/>
          <w:highlight w:val="none"/>
        </w:rPr>
        <w:t xml:space="preserve">要求》</w:t>
      </w:r>
      <w:bookmarkEnd w:id="272"/>
      <w:r>
        <w:rPr>
          <w:rFonts w:hint="eastAsia"/>
          <w:color w:val="auto"/>
          <w:sz w:val="24"/>
          <w:highlight w:val="none"/>
        </w:rPr>
        <w:t xml:space="preserve">的，投标无效。</w:t>
      </w:r>
      <w:r/>
    </w:p>
    <w:p>
      <w:pPr>
        <w:pStyle w:val="921"/>
        <w:rPr>
          <w:rFonts w:hint="eastAsia"/>
          <w:color w:val="auto"/>
          <w:highlight w:val="none"/>
        </w:rPr>
      </w:pPr>
      <w:r>
        <w:rPr>
          <w:rFonts w:hint="eastAsia"/>
          <w:color w:val="auto"/>
          <w:highlight w:val="none"/>
        </w:rPr>
      </w:r>
      <w:r/>
    </w:p>
    <w:p>
      <w:pPr>
        <w:ind w:firstLine="2249"/>
        <w:spacing w:line="360" w:lineRule="auto"/>
        <w:tabs>
          <w:tab w:val="left" w:pos="900" w:leader="none"/>
          <w:tab w:val="left" w:pos="1080" w:leader="none"/>
          <w:tab w:val="left" w:pos="1589" w:leader="none"/>
        </w:tabs>
        <w:rPr>
          <w:b/>
          <w:color w:val="auto"/>
          <w:sz w:val="32"/>
          <w:szCs w:val="32"/>
          <w:highlight w:val="none"/>
        </w:rPr>
      </w:pPr>
      <w:r/>
      <w:bookmarkStart w:id="273" w:name="OLE_LINK9"/>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符合性审查及评审</w:t>
      </w:r>
      <w:r>
        <w:rPr>
          <w:rFonts w:hint="eastAsia"/>
          <w:b/>
          <w:color w:val="auto"/>
          <w:sz w:val="32"/>
          <w:szCs w:val="32"/>
          <w:highlight w:val="none"/>
        </w:rPr>
        <w:t xml:space="preserve">要求</w:t>
      </w:r>
      <w:bookmarkEnd w:id="273"/>
      <w:r/>
    </w:p>
    <w:p>
      <w:pPr>
        <w:pStyle w:val="921"/>
        <w:ind w:firstLine="602"/>
        <w:rPr>
          <w:rFonts w:hint="eastAsia"/>
          <w:color w:val="auto"/>
          <w:highlight w:val="none"/>
        </w:rPr>
      </w:pPr>
      <w:r>
        <w:rPr>
          <w:b/>
          <w:color w:val="auto"/>
          <w:sz w:val="30"/>
          <w:szCs w:val="30"/>
          <w:highlight w:val="none"/>
        </w:rPr>
        <w:t xml:space="preserve">一、符合性审查要求</w:t>
      </w:r>
      <w:r/>
    </w:p>
    <w:tbl>
      <w:tblPr>
        <w:tblStyle w:val="905"/>
        <w:tblW w:w="8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613"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4097"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c>
          <w:tcPr>
            <w:tcW w:w="1991" w:type="dxa"/>
            <w:vAlign w:val="center"/>
            <w:textDirection w:val="lrTb"/>
            <w:noWrap w:val="false"/>
          </w:tcPr>
          <w:p>
            <w:pPr>
              <w:jc w:val="center"/>
              <w:widowControl/>
              <w:rPr>
                <w:b/>
                <w:color w:val="auto"/>
                <w:sz w:val="24"/>
                <w:highlight w:val="none"/>
              </w:rPr>
            </w:pPr>
            <w:r>
              <w:rPr>
                <w:rFonts w:hint="eastAsia"/>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613" w:type="dxa"/>
            <w:vAlign w:val="center"/>
            <w:textDirection w:val="lrTb"/>
            <w:noWrap w:val="false"/>
          </w:tcPr>
          <w:p>
            <w:pPr>
              <w:jc w:val="left"/>
              <w:widowControl/>
              <w:rPr>
                <w:color w:val="auto"/>
                <w:sz w:val="24"/>
                <w:highlight w:val="none"/>
              </w:rPr>
            </w:pPr>
            <w:r/>
            <w:bookmarkStart w:id="274" w:name="OLE_LINK43"/>
            <w:r>
              <w:rPr>
                <w:rFonts w:hint="eastAsia"/>
                <w:color w:val="auto"/>
                <w:sz w:val="24"/>
                <w:highlight w:val="none"/>
              </w:rPr>
              <w:t xml:space="preserve">投标函</w:t>
            </w:r>
            <w:bookmarkEnd w:id="274"/>
            <w:r/>
            <w:r/>
          </w:p>
        </w:tc>
        <w:tc>
          <w:tcPr>
            <w:tcW w:w="4097" w:type="dxa"/>
            <w:vAlign w:val="center"/>
            <w:textDirection w:val="lrTb"/>
            <w:noWrap w:val="false"/>
          </w:tcPr>
          <w:p>
            <w:pPr>
              <w:jc w:val="left"/>
              <w:widowControl/>
              <w:rPr>
                <w:color w:val="auto"/>
                <w:sz w:val="24"/>
                <w:highlight w:val="none"/>
              </w:rPr>
            </w:pPr>
            <w:r/>
            <w:bookmarkStart w:id="275" w:name="OLE_LINK49"/>
            <w:r>
              <w:rPr>
                <w:rFonts w:hint="eastAsia"/>
                <w:color w:val="auto"/>
                <w:sz w:val="24"/>
                <w:highlight w:val="none"/>
              </w:rPr>
              <w:t xml:space="preserve">投标函</w:t>
            </w:r>
            <w:r>
              <w:rPr>
                <w:color w:val="auto"/>
                <w:sz w:val="24"/>
                <w:highlight w:val="none"/>
              </w:rPr>
              <w:t xml:space="preserve">；</w:t>
            </w:r>
            <w:bookmarkEnd w:id="275"/>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613" w:type="dxa"/>
            <w:vAlign w:val="center"/>
            <w:textDirection w:val="lrTb"/>
            <w:noWrap w:val="false"/>
          </w:tcPr>
          <w:p>
            <w:pPr>
              <w:jc w:val="left"/>
              <w:widowControl/>
              <w:rPr>
                <w:color w:val="auto"/>
                <w:sz w:val="24"/>
                <w:highlight w:val="none"/>
              </w:rPr>
            </w:pPr>
            <w:r/>
            <w:bookmarkStart w:id="276" w:name="OLE_LINK44"/>
            <w:r>
              <w:rPr>
                <w:color w:val="auto"/>
                <w:sz w:val="24"/>
                <w:highlight w:val="none"/>
              </w:rPr>
              <w:t xml:space="preserve">投标完整性</w:t>
            </w:r>
            <w:bookmarkEnd w:id="276"/>
            <w:r/>
            <w:r/>
          </w:p>
        </w:tc>
        <w:tc>
          <w:tcPr>
            <w:tcW w:w="4097" w:type="dxa"/>
            <w:vAlign w:val="center"/>
            <w:textDirection w:val="lrTb"/>
            <w:noWrap w:val="false"/>
          </w:tcPr>
          <w:p>
            <w:pPr>
              <w:jc w:val="left"/>
              <w:widowControl/>
              <w:rPr>
                <w:color w:val="auto"/>
                <w:sz w:val="24"/>
                <w:highlight w:val="none"/>
              </w:rPr>
            </w:pPr>
            <w:r/>
            <w:bookmarkStart w:id="277" w:name="OLE_LINK45"/>
            <w:r>
              <w:rPr>
                <w:rFonts w:hint="eastAsia"/>
                <w:color w:val="auto"/>
                <w:sz w:val="24"/>
                <w:highlight w:val="none"/>
              </w:rPr>
              <w:t xml:space="preserve">报价明细表未有缺项、漏项；</w:t>
            </w:r>
            <w:bookmarkEnd w:id="277"/>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w:t>
            </w:r>
            <w:r>
              <w:rPr>
                <w:rFonts w:hint="eastAsia"/>
                <w:color w:val="auto"/>
                <w:sz w:val="24"/>
                <w:highlight w:val="none"/>
              </w:rPr>
              <w:t xml:space="preserve">报价</w:t>
            </w:r>
            <w:r>
              <w:rPr>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613" w:type="dxa"/>
            <w:vAlign w:val="center"/>
            <w:textDirection w:val="lrTb"/>
            <w:noWrap w:val="false"/>
          </w:tcPr>
          <w:p>
            <w:pPr>
              <w:jc w:val="left"/>
              <w:widowControl/>
              <w:rPr>
                <w:color w:val="auto"/>
                <w:sz w:val="24"/>
                <w:highlight w:val="none"/>
              </w:rPr>
            </w:pPr>
            <w:r/>
            <w:bookmarkStart w:id="278" w:name="OLE_LINK46"/>
            <w:r>
              <w:rPr>
                <w:color w:val="auto"/>
                <w:sz w:val="24"/>
                <w:highlight w:val="none"/>
              </w:rPr>
              <w:t xml:space="preserve">投标报价</w:t>
            </w:r>
            <w:bookmarkEnd w:id="278"/>
            <w:r/>
            <w:r/>
          </w:p>
        </w:tc>
        <w:tc>
          <w:tcPr>
            <w:tcW w:w="4097" w:type="dxa"/>
            <w:vAlign w:val="center"/>
            <w:textDirection w:val="lrTb"/>
            <w:noWrap w:val="false"/>
          </w:tcPr>
          <w:p>
            <w:pPr>
              <w:jc w:val="left"/>
              <w:widowControl/>
              <w:rPr>
                <w:color w:val="auto"/>
                <w:sz w:val="24"/>
                <w:highlight w:val="none"/>
              </w:rPr>
            </w:pPr>
            <w:r/>
            <w:bookmarkStart w:id="279" w:name="OLE_LINK47"/>
            <w:r>
              <w:rPr>
                <w:rFonts w:hint="eastAsia"/>
                <w:color w:val="auto"/>
                <w:sz w:val="24"/>
                <w:highlight w:val="none"/>
              </w:rPr>
              <w:t xml:space="preserve">投标报价未超过最高限价（总价最高限价及单价最高限价）或预算价的</w:t>
            </w:r>
            <w:r>
              <w:rPr>
                <w:color w:val="auto"/>
                <w:sz w:val="24"/>
                <w:highlight w:val="none"/>
              </w:rPr>
              <w:t xml:space="preserve">；</w:t>
            </w:r>
            <w:bookmarkEnd w:id="279"/>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613" w:type="dxa"/>
            <w:vAlign w:val="center"/>
            <w:textDirection w:val="lrTb"/>
            <w:noWrap w:val="false"/>
          </w:tcPr>
          <w:p>
            <w:pPr>
              <w:jc w:val="left"/>
              <w:widowControl/>
              <w:rPr>
                <w:color w:val="auto"/>
                <w:sz w:val="24"/>
                <w:highlight w:val="none"/>
              </w:rPr>
            </w:pPr>
            <w:r/>
            <w:bookmarkStart w:id="280" w:name="OLE_LINK48"/>
            <w:r>
              <w:rPr>
                <w:color w:val="auto"/>
                <w:sz w:val="24"/>
                <w:highlight w:val="none"/>
              </w:rPr>
              <w:t xml:space="preserve">报价唯一性</w:t>
            </w:r>
            <w:bookmarkEnd w:id="280"/>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613" w:type="dxa"/>
            <w:vAlign w:val="center"/>
            <w:textDirection w:val="lrTb"/>
            <w:noWrap w:val="false"/>
          </w:tcPr>
          <w:p>
            <w:pPr>
              <w:jc w:val="left"/>
              <w:widowControl/>
              <w:rPr>
                <w:color w:val="auto"/>
                <w:sz w:val="24"/>
                <w:highlight w:val="none"/>
              </w:rPr>
            </w:pPr>
            <w:r/>
            <w:bookmarkStart w:id="281" w:name="OLE_LINK50"/>
            <w:r>
              <w:rPr>
                <w:color w:val="auto"/>
                <w:sz w:val="24"/>
                <w:highlight w:val="none"/>
              </w:rPr>
              <w:t xml:space="preserve">投标有效期</w:t>
            </w:r>
            <w:bookmarkEnd w:id="281"/>
            <w:r/>
            <w:r/>
          </w:p>
        </w:tc>
        <w:tc>
          <w:tcPr>
            <w:tcW w:w="4097" w:type="dxa"/>
            <w:vAlign w:val="center"/>
            <w:textDirection w:val="lrTb"/>
            <w:noWrap w:val="false"/>
          </w:tcPr>
          <w:p>
            <w:pPr>
              <w:jc w:val="left"/>
              <w:widowControl/>
              <w:rPr>
                <w:color w:val="auto"/>
                <w:sz w:val="24"/>
                <w:highlight w:val="none"/>
              </w:rPr>
            </w:pPr>
            <w:r/>
            <w:bookmarkStart w:id="282" w:name="OLE_LINK51"/>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bookmarkEnd w:id="282"/>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4097" w:type="dxa"/>
            <w:vAlign w:val="center"/>
            <w:textDirection w:val="lrTb"/>
            <w:noWrap w:val="false"/>
          </w:tcPr>
          <w:p>
            <w:pPr>
              <w:jc w:val="left"/>
              <w:widowControl/>
              <w:rPr>
                <w:color w:val="auto"/>
                <w:sz w:val="24"/>
                <w:highlight w:val="none"/>
              </w:rPr>
            </w:pPr>
            <w:r/>
            <w:bookmarkStart w:id="283" w:name="OLE_LINK52"/>
            <w:r>
              <w:rPr>
                <w:color w:val="auto"/>
                <w:sz w:val="24"/>
                <w:highlight w:val="none"/>
              </w:rPr>
              <w:t xml:space="preserve">按照招标文件要求签署、加盖公章的；</w:t>
            </w:r>
            <w:bookmarkEnd w:id="283"/>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613"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4097" w:type="dxa"/>
            <w:vAlign w:val="center"/>
            <w:textDirection w:val="lrTb"/>
            <w:noWrap w:val="false"/>
          </w:tcPr>
          <w:p>
            <w:pPr>
              <w:jc w:val="left"/>
              <w:widowControl/>
              <w:rPr>
                <w:color w:val="auto"/>
                <w:sz w:val="24"/>
                <w:highlight w:val="none"/>
              </w:rPr>
            </w:pPr>
            <w:r/>
            <w:bookmarkStart w:id="284" w:name="OLE_LINK53"/>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bookmarkEnd w:id="284"/>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4097" w:type="dxa"/>
            <w:vAlign w:val="center"/>
            <w:textDirection w:val="lrTb"/>
            <w:noWrap w:val="false"/>
          </w:tcPr>
          <w:p>
            <w:pPr>
              <w:jc w:val="left"/>
              <w:widowControl/>
              <w:rPr>
                <w:color w:val="auto"/>
                <w:sz w:val="24"/>
                <w:highlight w:val="none"/>
              </w:rPr>
            </w:pPr>
            <w:r/>
            <w:bookmarkStart w:id="285" w:name="OLE_LINK61"/>
            <w:r>
              <w:rPr>
                <w:color w:val="auto"/>
                <w:sz w:val="24"/>
                <w:highlight w:val="none"/>
              </w:rPr>
              <w:t xml:space="preserve">投标文件满足招标文件第五章《采购需求》中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bookmarkEnd w:id="285"/>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分包意向协议（如有）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rFonts w:hint="eastAsia"/>
                <w:color w:val="auto"/>
                <w:sz w:val="24"/>
                <w:highlight w:val="none"/>
              </w:rPr>
              <w:t xml:space="preserve">（如有）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4097"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报价合理性</w:t>
            </w:r>
            <w:r/>
          </w:p>
        </w:tc>
        <w:tc>
          <w:tcPr>
            <w:tcW w:w="4097" w:type="dxa"/>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根据《江苏省财政厅转发财政部关于推动解决政府采购异常低价问题的通知》苏财购〔2026〕36号文件之规定：当评审过程中出现下列情形之一的，评审委员会应当启动异常低价投标（响应）审查程序： </w:t>
            </w:r>
            <w:r/>
          </w:p>
          <w:p>
            <w:pPr>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投标（响应）报价低于全部通过符合性审查供应商投标（响应）报价平均值50%的，即投标（响应）报价&lt;全部通过符合性审查供应商投标（响应）报价平均值×50%；</w:t>
            </w:r>
            <w:r/>
          </w:p>
          <w:p>
            <w:pPr>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投标（响应）报价低于通过符合性审查的次低报价供应商投标（响应）报价50%的，即投标（响应）报价&lt;通过符合性审查的次低报价供应商投标（响应）报价×50%；</w:t>
            </w:r>
            <w:r/>
          </w:p>
          <w:p>
            <w:pPr>
              <w:pStyle w:val="921"/>
              <w:rPr>
                <w:rFonts w:hint="eastAsia"/>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投标（响应）报价低于采购项目最高限价45%的，即投标（响应）报价&lt;采购项目最高限价×45%;</w:t>
            </w:r>
            <w:r/>
          </w:p>
          <w:p>
            <w:pPr>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评审委员会基于专业判断，认为供应商报价过低，有可能影响产品质量或者不能诚信履约的其他情形。</w:t>
            </w:r>
            <w:r/>
          </w:p>
          <w:p>
            <w:pPr>
              <w:ind w:firstLine="0"/>
              <w:jc w:val="left"/>
              <w:widowControl/>
              <w:rPr>
                <w:rFonts w:hint="eastAsia" w:ascii="宋体" w:hAnsi="宋体"/>
                <w:color w:val="auto"/>
                <w:sz w:val="24"/>
                <w:highlight w:val="none"/>
              </w:rPr>
            </w:pPr>
            <w:r>
              <w:rPr>
                <w:rFonts w:hint="eastAsia" w:ascii="宋体" w:hAnsi="宋体"/>
                <w:color w:val="auto"/>
                <w:sz w:val="24"/>
                <w:highlight w:val="none"/>
              </w:rPr>
              <w:t xml:space="preserve">采购人可以结合具体项目实际情况，提高上述第1项至第3项中启动异常低价投标（响应）审查的数值标准，但是最高不得超过65%。相关法律法规对供应商报价有规定的，从其规定。</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启动异常低价投标（响应）审查后，评审委员会应当要求相关供应商在评审现场合理的时间内对投标（响应）价格作出解释</w:t>
            </w:r>
            <w:r>
              <w:rPr>
                <w:rFonts w:hint="eastAsia" w:ascii="宋体" w:hAnsi="宋体"/>
                <w:color w:val="auto"/>
                <w:sz w:val="24"/>
                <w:highlight w:val="none"/>
                <w:lang w:eastAsia="zh-CN"/>
              </w:rPr>
              <w:t xml:space="preserve">，并</w:t>
            </w:r>
            <w:r>
              <w:rPr>
                <w:rFonts w:hint="eastAsia" w:ascii="宋体" w:hAnsi="宋体"/>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4097" w:type="dxa"/>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投标人所投产品为非进口产品；</w:t>
            </w:r>
            <w:r/>
          </w:p>
        </w:tc>
        <w:tc>
          <w:tcPr>
            <w:tcW w:w="1991" w:type="dxa"/>
            <w:vAlign w:val="center"/>
            <w:textDirection w:val="lrTb"/>
            <w:noWrap w:val="false"/>
          </w:tcPr>
          <w:p>
            <w:pPr>
              <w:jc w:val="left"/>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4097" w:type="dxa"/>
            <w:vAlign w:val="center"/>
            <w:textDirection w:val="lrTb"/>
            <w:noWrap w:val="false"/>
          </w:tcPr>
          <w:p>
            <w:pPr>
              <w:jc w:val="left"/>
              <w:widowControl/>
              <w:rPr>
                <w:color w:val="auto"/>
                <w:sz w:val="24"/>
                <w:highlight w:val="none"/>
              </w:rPr>
            </w:pPr>
            <w:r/>
            <w:bookmarkStart w:id="286" w:name="OLE_LINK54"/>
            <w:r>
              <w:rPr>
                <w:color w:val="auto"/>
                <w:sz w:val="24"/>
                <w:highlight w:val="none"/>
              </w:rPr>
              <w:t xml:space="preserve">投标人遵循公平竞争的原则，不存在恶意串通，妨碍其他投标人的竞争行为，不存在损害采购人或者其他投标人的合法权益情形的；</w:t>
            </w:r>
            <w:bookmarkEnd w:id="286"/>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1613" w:type="dxa"/>
            <w:vAlign w:val="center"/>
            <w:textDirection w:val="lrTb"/>
            <w:noWrap w:val="false"/>
          </w:tcPr>
          <w:p>
            <w:pPr>
              <w:jc w:val="left"/>
              <w:widowControl/>
              <w:rPr>
                <w:color w:val="auto"/>
                <w:sz w:val="24"/>
                <w:highlight w:val="none"/>
              </w:rPr>
            </w:pPr>
            <w:r/>
            <w:bookmarkStart w:id="287" w:name="OLE_LINK56"/>
            <w:r>
              <w:rPr>
                <w:color w:val="auto"/>
                <w:sz w:val="24"/>
                <w:highlight w:val="none"/>
              </w:rPr>
              <w:t xml:space="preserve">串通投标</w:t>
            </w:r>
            <w:bookmarkEnd w:id="287"/>
            <w:r/>
            <w:r/>
          </w:p>
        </w:tc>
        <w:tc>
          <w:tcPr>
            <w:tcW w:w="4097" w:type="dxa"/>
            <w:vAlign w:val="center"/>
            <w:textDirection w:val="lrTb"/>
            <w:noWrap w:val="false"/>
          </w:tcPr>
          <w:p>
            <w:pPr>
              <w:jc w:val="left"/>
              <w:widowControl/>
              <w:rPr>
                <w:color w:val="auto"/>
                <w:sz w:val="24"/>
                <w:highlight w:val="none"/>
              </w:rPr>
            </w:pPr>
            <w:r/>
            <w:bookmarkStart w:id="288" w:name="OLE_LINK55"/>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 xml:space="preserve">；</w:t>
            </w:r>
            <w:bookmarkEnd w:id="288"/>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1613" w:type="dxa"/>
            <w:vAlign w:val="center"/>
            <w:textDirection w:val="lrTb"/>
            <w:noWrap w:val="false"/>
          </w:tcPr>
          <w:p>
            <w:pPr>
              <w:jc w:val="left"/>
              <w:widowControl/>
              <w:rPr>
                <w:color w:val="auto"/>
                <w:sz w:val="24"/>
                <w:highlight w:val="none"/>
              </w:rPr>
            </w:pPr>
            <w:r/>
            <w:bookmarkStart w:id="289" w:name="OLE_LINK58"/>
            <w:r>
              <w:rPr>
                <w:color w:val="auto"/>
                <w:sz w:val="24"/>
                <w:highlight w:val="none"/>
              </w:rPr>
              <w:t xml:space="preserve">附加条件</w:t>
            </w:r>
            <w:bookmarkEnd w:id="289"/>
            <w:r/>
            <w:r/>
          </w:p>
        </w:tc>
        <w:tc>
          <w:tcPr>
            <w:tcW w:w="4097" w:type="dxa"/>
            <w:vAlign w:val="center"/>
            <w:textDirection w:val="lrTb"/>
            <w:noWrap w:val="false"/>
          </w:tcPr>
          <w:p>
            <w:pPr>
              <w:jc w:val="left"/>
              <w:widowControl/>
              <w:rPr>
                <w:color w:val="auto"/>
                <w:sz w:val="24"/>
                <w:highlight w:val="none"/>
              </w:rPr>
            </w:pPr>
            <w:r/>
            <w:bookmarkStart w:id="290" w:name="OLE_LINK57"/>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bookmarkEnd w:id="290"/>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bookmarkStart w:id="291" w:name="OLE_LINK60"/>
            <w:r>
              <w:rPr>
                <w:color w:val="auto"/>
                <w:sz w:val="24"/>
                <w:highlight w:val="none"/>
              </w:rPr>
              <w:t xml:space="preserve">其他无效情形</w:t>
            </w:r>
            <w:bookmarkEnd w:id="291"/>
            <w:r/>
            <w:r/>
          </w:p>
        </w:tc>
        <w:tc>
          <w:tcPr>
            <w:tcW w:w="4097" w:type="dxa"/>
            <w:vAlign w:val="center"/>
            <w:textDirection w:val="lrTb"/>
            <w:noWrap w:val="false"/>
          </w:tcPr>
          <w:p>
            <w:pPr>
              <w:jc w:val="left"/>
              <w:widowControl/>
              <w:rPr>
                <w:color w:val="auto"/>
                <w:sz w:val="24"/>
                <w:highlight w:val="none"/>
              </w:rPr>
            </w:pPr>
            <w:r/>
            <w:bookmarkStart w:id="292" w:name="OLE_LINK59"/>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bookmarkEnd w:id="292"/>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bl>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二、</w:t>
      </w:r>
      <w:r>
        <w:rPr>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评标过程中，评标委员会将</w:t>
      </w:r>
      <w:r>
        <w:rPr>
          <w:rFonts w:hint="eastAsia"/>
          <w:color w:val="auto"/>
          <w:sz w:val="24"/>
          <w:highlight w:val="none"/>
        </w:rPr>
        <w:t xml:space="preserve">通过苏采云系统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（三）</w:t>
      </w:r>
      <w:r>
        <w:rPr>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（四）</w:t>
      </w:r>
      <w:r>
        <w:rPr>
          <w:color w:val="auto"/>
          <w:sz w:val="24"/>
          <w:highlight w:val="none"/>
        </w:rPr>
        <w:t xml:space="preserve">投标文件报价出现前后不一致的，按照</w:t>
      </w:r>
      <w:r>
        <w:rPr>
          <w:rFonts w:hint="eastAsia"/>
          <w:color w:val="auto"/>
          <w:sz w:val="24"/>
          <w:highlight w:val="none"/>
        </w:rPr>
        <w:t xml:space="preserve">第二章2</w:t>
      </w:r>
      <w:r>
        <w:rPr>
          <w:color w:val="auto"/>
          <w:sz w:val="24"/>
          <w:highlight w:val="none"/>
        </w:rPr>
        <w:t xml:space="preserve">6.4</w:t>
      </w:r>
      <w:r>
        <w:rPr>
          <w:rFonts w:hint="eastAsia"/>
          <w:color w:val="auto"/>
          <w:sz w:val="24"/>
          <w:highlight w:val="none"/>
        </w:rPr>
        <w:t xml:space="preserve">之</w:t>
      </w:r>
      <w:r>
        <w:rPr>
          <w:color w:val="auto"/>
          <w:sz w:val="24"/>
          <w:highlight w:val="none"/>
        </w:rPr>
        <w:t xml:space="preserve">规定</w:t>
      </w:r>
      <w:r>
        <w:rPr>
          <w:rFonts w:hint="eastAsia"/>
          <w:color w:val="auto"/>
          <w:sz w:val="24"/>
          <w:highlight w:val="none"/>
        </w:rPr>
        <w:t xml:space="preserve">处理，</w:t>
      </w:r>
      <w:r>
        <w:rPr>
          <w:color w:val="auto"/>
          <w:sz w:val="24"/>
          <w:highlight w:val="none"/>
        </w:rPr>
        <w:t xml:space="preserve">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（五）</w:t>
      </w:r>
      <w:r>
        <w:rPr>
          <w:color w:val="auto"/>
          <w:sz w:val="24"/>
          <w:highlight w:val="none"/>
        </w:rPr>
        <w:t xml:space="preserve">落实政府采购政策的价格调整：</w:t>
      </w:r>
      <w:bookmarkStart w:id="293" w:name="_Hlk149904856"/>
      <w:r>
        <w:rPr>
          <w:rFonts w:hint="eastAsia"/>
          <w:color w:val="auto"/>
          <w:sz w:val="24"/>
          <w:highlight w:val="none"/>
        </w:rPr>
        <w:t xml:space="preserve">详见第三节评标办法中的</w:t>
      </w:r>
      <w:r>
        <w:rPr>
          <w:rFonts w:hint="eastAsia" w:ascii="宋体" w:hAnsi="宋体"/>
          <w:b/>
          <w:color w:val="auto"/>
          <w:sz w:val="24"/>
          <w:highlight w:val="none"/>
        </w:rPr>
        <w:t xml:space="preserve">政府采购政策功能落实。</w:t>
      </w:r>
      <w:bookmarkEnd w:id="293"/>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三、</w:t>
      </w:r>
      <w:r>
        <w:rPr>
          <w:b/>
          <w:color w:val="auto"/>
          <w:sz w:val="30"/>
          <w:szCs w:val="30"/>
          <w:highlight w:val="none"/>
        </w:rPr>
        <w:t xml:space="preserve">投标文件的比较和评价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评标方法和评标标准</w:t>
      </w:r>
      <w:r/>
    </w:p>
    <w:p>
      <w:pPr>
        <w:ind w:firstLine="480"/>
        <w:jc w:val="left"/>
        <w:spacing w:line="360" w:lineRule="auto"/>
        <w:widowControl/>
        <w:rPr>
          <w:color w:val="auto"/>
          <w:sz w:val="24"/>
          <w:highlight w:val="none"/>
        </w:rPr>
      </w:pPr>
      <w:r>
        <w:rPr>
          <w:rFonts w:hint="eastAsia"/>
          <w:color w:val="auto"/>
          <w:sz w:val="24"/>
          <w:highlight w:val="none"/>
          <w:lang w:eastAsia="zh-CN"/>
        </w:rPr>
        <w:t xml:space="preserve">1.</w:t>
      </w:r>
      <w:r>
        <w:rPr>
          <w:color w:val="auto"/>
          <w:sz w:val="24"/>
          <w:highlight w:val="none"/>
        </w:rPr>
        <w:t xml:space="preserve">本项目采用的评标方法详见《</w:t>
      </w:r>
      <w:r>
        <w:rPr>
          <w:rFonts w:hint="eastAsia"/>
          <w:color w:val="auto"/>
          <w:sz w:val="24"/>
          <w:highlight w:val="none"/>
        </w:rPr>
        <w:t xml:space="preserve">第三节 评标方法</w:t>
      </w:r>
      <w:r>
        <w:rPr>
          <w:color w:val="auto"/>
          <w:sz w:val="24"/>
          <w:highlight w:val="none"/>
        </w:rPr>
        <w:t xml:space="preserve">》</w:t>
      </w:r>
      <w:r>
        <w:rPr>
          <w:rFonts w:hint="eastAsia"/>
          <w:color w:val="auto"/>
          <w:sz w:val="24"/>
          <w:highlight w:val="none"/>
        </w:rPr>
        <w:t xml:space="preserve">，</w:t>
      </w:r>
      <w:r>
        <w:rPr>
          <w:color w:val="auto"/>
          <w:sz w:val="24"/>
          <w:highlight w:val="none"/>
        </w:rPr>
        <w:t xml:space="preserve">本项目采用的评标标准详见《</w:t>
      </w:r>
      <w:r>
        <w:rPr>
          <w:rFonts w:hint="eastAsia"/>
          <w:color w:val="auto"/>
          <w:sz w:val="24"/>
          <w:highlight w:val="none"/>
        </w:rPr>
        <w:t xml:space="preserve">第四节 评标标准</w:t>
      </w:r>
      <w:r>
        <w:rPr>
          <w:color w:val="auto"/>
          <w:sz w:val="24"/>
          <w:highlight w:val="none"/>
        </w:rPr>
        <w:t xml:space="preserve">》</w:t>
      </w:r>
      <w:r>
        <w:rPr>
          <w:rFonts w:hint="eastAsia"/>
          <w:color w:val="auto"/>
          <w:sz w:val="24"/>
          <w:highlight w:val="none"/>
        </w:rPr>
        <w:t xml:space="preserve">。</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四、</w:t>
      </w:r>
      <w:r>
        <w:rPr>
          <w:b/>
          <w:color w:val="auto"/>
          <w:sz w:val="30"/>
          <w:szCs w:val="30"/>
          <w:highlight w:val="none"/>
        </w:rPr>
        <w:t xml:space="preserve">确定</w:t>
      </w:r>
      <w:bookmarkStart w:id="294" w:name="_Toc226965736"/>
      <w:r/>
      <w:bookmarkStart w:id="295" w:name="_Toc305158888"/>
      <w:r/>
      <w:bookmarkStart w:id="296" w:name="_Toc264969236"/>
      <w:r/>
      <w:bookmarkStart w:id="297" w:name="_Toc305158814"/>
      <w:r/>
      <w:bookmarkStart w:id="298" w:name="_Toc151193788"/>
      <w:r/>
      <w:bookmarkStart w:id="299" w:name="_Toc520356170"/>
      <w:r/>
      <w:bookmarkStart w:id="300" w:name="_Toc151190173"/>
      <w:r/>
      <w:bookmarkStart w:id="301" w:name="_Toc164351640"/>
      <w:r/>
      <w:bookmarkStart w:id="302" w:name="_Toc151193860"/>
      <w:r/>
      <w:bookmarkStart w:id="303" w:name="_Toc149720839"/>
      <w:r/>
      <w:bookmarkStart w:id="304" w:name="_Toc195842911"/>
      <w:r/>
      <w:bookmarkStart w:id="305" w:name="_Toc150774751"/>
      <w:r/>
      <w:bookmarkStart w:id="306" w:name="_Toc150774646"/>
      <w:r/>
      <w:bookmarkStart w:id="307" w:name="_Toc127151747"/>
      <w:r/>
      <w:bookmarkStart w:id="308" w:name="_Toc164608660"/>
      <w:r/>
      <w:bookmarkStart w:id="309" w:name="_Toc127151546"/>
      <w:r/>
      <w:bookmarkStart w:id="310" w:name="_Toc226965819"/>
      <w:r/>
      <w:bookmarkStart w:id="311" w:name="_Toc164608815"/>
      <w:r/>
      <w:bookmarkStart w:id="312" w:name="_Ref467307010"/>
      <w:r/>
      <w:bookmarkStart w:id="313" w:name="_Toc164229241"/>
      <w:r/>
      <w:bookmarkStart w:id="314" w:name="_Toc164229387"/>
      <w:r/>
      <w:bookmarkStart w:id="315" w:name="_Toc150509297"/>
      <w:r/>
      <w:bookmarkStart w:id="316" w:name="_Toc151193644"/>
      <w:r/>
      <w:bookmarkStart w:id="317" w:name="_Toc151193716"/>
      <w:r/>
      <w:bookmarkStart w:id="318" w:name="_Toc142311048"/>
      <w:r/>
      <w:bookmarkStart w:id="319" w:name="_Toc151193934"/>
      <w:r/>
      <w:bookmarkStart w:id="320" w:name="_Toc226337242"/>
      <w:r/>
      <w:bookmarkStart w:id="321" w:name="_Toc150480784"/>
      <w:r/>
      <w:bookmarkStart w:id="322" w:name="_Toc127161460"/>
      <w:r/>
      <w:bookmarkStart w:id="323" w:name="_Toc226309790"/>
      <w:r/>
      <w:bookmarkStart w:id="324" w:name="_Toc265228384"/>
      <w:r>
        <w:rPr>
          <w:b/>
          <w:color w:val="auto"/>
          <w:sz w:val="30"/>
          <w:szCs w:val="30"/>
          <w:highlight w:val="none"/>
        </w:rPr>
        <w:t xml:space="preserve">中标候选人名单</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投标文件</w:t>
      </w:r>
      <w:r>
        <w:rPr>
          <w:color w:val="auto"/>
          <w:sz w:val="24"/>
          <w:highlight w:val="none"/>
        </w:rPr>
        <w:t xml:space="preserve">被认定为无效的情形进行重点复核。</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各标段或</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五、</w:t>
      </w:r>
      <w:r>
        <w:rPr>
          <w:b/>
          <w:color w:val="auto"/>
          <w:sz w:val="30"/>
          <w:szCs w:val="30"/>
          <w:highlight w:val="none"/>
        </w:rPr>
        <w:t xml:space="preserve">报告违法行为</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评标委员会在评标过程中发现投标人有行贿、提供虚假材料或者串通等违法行为时，有向采购人、采购代理机构或者有关部门报告的职责。</w:t>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ind w:firstLine="2891"/>
        <w:jc w:val="left"/>
        <w:spacing w:line="360" w:lineRule="auto"/>
        <w:widowControl/>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第三节 评标方法</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hint="eastAsia"/>
          <w:color w:val="auto"/>
          <w:sz w:val="24"/>
          <w:highlight w:val="none"/>
          <w:lang w:eastAsia="zh-CN"/>
        </w:rPr>
        <w:t xml:space="preserve">，</w:t>
      </w:r>
      <w:r>
        <w:rPr>
          <w:rFonts w:hint="eastAsia"/>
          <w:color w:val="auto"/>
          <w:sz w:val="24"/>
          <w:highlight w:val="none"/>
        </w:rPr>
        <w:t xml:space="preserve">抽到的供应商即确定为中标单位。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三、每部分的得分保留小数点后两位，合计得分保留小数点后两位</w:t>
      </w:r>
      <w:r>
        <w:rPr>
          <w:color w:val="auto"/>
          <w:sz w:val="24"/>
          <w:highlight w:val="none"/>
        </w:rPr>
        <w:t xml:space="preserve">，第三位四舍五入</w:t>
      </w:r>
      <w:r>
        <w:rPr>
          <w:rFonts w:hint="eastAsia"/>
          <w:color w:val="auto"/>
          <w:sz w:val="24"/>
          <w:highlight w:val="none"/>
        </w:rPr>
        <w:t xml:space="preserve">。</w:t>
      </w:r>
      <w:r/>
    </w:p>
    <w:p>
      <w:pPr>
        <w:ind w:firstLine="441"/>
        <w:jc w:val="left"/>
        <w:spacing w:line="360" w:lineRule="auto"/>
        <w:rPr>
          <w:rFonts w:hint="eastAsia" w:ascii="宋体" w:hAnsi="宋体"/>
          <w:b/>
          <w:color w:val="auto"/>
          <w:sz w:val="24"/>
          <w:highlight w:val="none"/>
        </w:rPr>
      </w:pPr>
      <w:r/>
      <w:bookmarkStart w:id="325" w:name="_Hlk149904248"/>
      <w:r>
        <w:rPr>
          <w:rFonts w:hint="eastAsia" w:ascii="宋体" w:hAnsi="宋体"/>
          <w:b/>
          <w:color w:val="auto"/>
          <w:sz w:val="24"/>
          <w:highlight w:val="none"/>
        </w:rPr>
        <w:t xml:space="preserve">四、政府采购政策功能落实</w:t>
      </w:r>
      <w:r/>
    </w:p>
    <w:p>
      <w:pPr>
        <w:ind w:firstLine="480"/>
        <w:jc w:val="left"/>
        <w:spacing w:line="360" w:lineRule="auto"/>
        <w:rPr>
          <w:rFonts w:hint="eastAsia" w:ascii="宋体" w:hAnsi="宋体"/>
          <w:color w:val="auto"/>
          <w:sz w:val="24"/>
          <w:highlight w:val="none"/>
        </w:rPr>
      </w:pPr>
      <w:r/>
      <w:bookmarkStart w:id="326" w:name="_Hlk152922042"/>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小微型企业价格扣除</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（1）供应商需按照招标文件的要求提供相应的《中小企业声明函》。</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）企业标准请参照《关于印发中小企业划型标准规定的通知》（工信部联企业</w:t>
      </w:r>
      <w:r>
        <w:rPr>
          <w:rFonts w:hint="eastAsia" w:ascii="宋体" w:hAnsi="宋体"/>
          <w:color w:val="auto"/>
          <w:sz w:val="24"/>
          <w:highlight w:val="none"/>
          <w:lang w:eastAsia="zh-CN"/>
        </w:rPr>
        <w:t xml:space="preserve">〔2011〕300号</w:t>
      </w:r>
      <w:r>
        <w:rPr>
          <w:rFonts w:hint="eastAsia" w:ascii="宋体" w:hAnsi="宋体"/>
          <w:color w:val="auto"/>
          <w:sz w:val="24"/>
          <w:highlight w:val="none"/>
        </w:rPr>
        <w:t xml:space="preserve">）文件规定自行填写。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残疾人福利单位价格扣除</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（1）残疾人福利性单位视同小型、微型企业。</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（2）残疾人福利单位需按照招标文件的要求提供《残疾人福利性单位声明函》。</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监狱和戒毒企业价格扣除</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（1）监狱和戒毒企业（简称监狱企业）视同小型、微型企业。</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（2）监狱企业参加政府采购活动时，需提供由省级以上监狱管理局、戒毒管理局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含新疆生产建设兵团</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出具的属于监狱企业的证明文件。供应商如不提供上述证明文件，价格将不做相应扣除。</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（3）监狱企业标准请参照《关于政府采购支持监狱企业发展有关问题的通知》（</w:t>
      </w:r>
      <w:r>
        <w:rPr>
          <w:rFonts w:ascii="宋体" w:hAnsi="宋体"/>
          <w:color w:val="auto"/>
          <w:sz w:val="24"/>
          <w:highlight w:val="none"/>
        </w:rPr>
        <w:t xml:space="preserve">财库[2014]68号</w:t>
      </w:r>
      <w:r>
        <w:rPr>
          <w:rFonts w:hint="eastAsia" w:ascii="宋体" w:hAnsi="宋体"/>
          <w:color w:val="auto"/>
          <w:sz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残疾人福利单位、监狱企业属于小型、微型企业的，不重复享受政策。</w:t>
      </w:r>
      <w:r/>
    </w:p>
    <w:p>
      <w:pPr>
        <w:ind w:firstLine="480"/>
        <w:jc w:val="left"/>
        <w:spacing w:line="360" w:lineRule="auto"/>
        <w:rPr>
          <w:rFonts w:hint="eastAsia" w:ascii="华文新魏" w:hAnsi="宋体" w:eastAsia="华文新魏"/>
          <w:color w:val="auto"/>
          <w:sz w:val="36"/>
          <w:szCs w:val="36"/>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如项目同意联合体投标或同意分包履行合同的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highlight w:val="none"/>
          <w:u w:val="single"/>
        </w:rPr>
        <w:t xml:space="preserve">6</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的价格扣除，用扣除后的价格参与评审。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联合体各方均为小型、微型企业（残疾人福利单位、监狱企业）的，联合体享受</w:t>
      </w:r>
      <w:r>
        <w:rPr>
          <w:rFonts w:hint="eastAsia" w:ascii="宋体" w:hAnsi="宋体"/>
          <w:color w:val="auto"/>
          <w:sz w:val="24"/>
          <w:highlight w:val="none"/>
          <w:u w:val="single"/>
        </w:rPr>
        <w:t xml:space="preserve">20%</w:t>
      </w:r>
      <w:r>
        <w:rPr>
          <w:rFonts w:hint="eastAsia" w:ascii="宋体" w:hAnsi="宋体"/>
          <w:color w:val="auto"/>
          <w:sz w:val="24"/>
          <w:highlight w:val="none"/>
        </w:rPr>
        <w:t xml:space="preserve">价格扣除，用扣除后的价格参与评审。</w:t>
      </w:r>
      <w:bookmarkEnd w:id="325"/>
      <w:r/>
      <w:bookmarkEnd w:id="326"/>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7.</w:t>
      </w:r>
      <w:r>
        <w:rPr>
          <w:rFonts w:hint="eastAsia" w:ascii="宋体" w:hAnsi="宋体"/>
          <w:color w:val="auto"/>
          <w:sz w:val="24"/>
          <w:highlight w:val="none"/>
        </w:rPr>
        <w:t xml:space="preserve">政府采购中实施本国产品标准及相关政策：</w:t>
      </w:r>
      <w:r/>
    </w:p>
    <w:p>
      <w:pPr>
        <w:pStyle w:val="924"/>
        <w:ind w:left="0" w:firstLine="420"/>
        <w:jc w:val="both"/>
        <w:spacing w:line="500" w:lineRule="exact"/>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4"/>
        <w:ind w:left="0" w:firstLine="420"/>
        <w:spacing w:line="500" w:lineRule="exact"/>
        <w:rPr>
          <w:rFonts w:hint="eastAsia" w:ascii="宋体" w:hAnsi="宋体" w:cs="宋体"/>
          <w:color w:val="auto"/>
          <w:highlight w:val="none"/>
          <w:lang w:eastAsia="zh-CN" w:bidi="ar-SA"/>
        </w:rPr>
      </w:pPr>
      <w:r>
        <w:rPr>
          <w:rFonts w:hint="eastAsia" w:ascii="宋体" w:hAnsi="宋体" w:cs="宋体"/>
          <w:bCs/>
          <w:color w:val="auto"/>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s="宋体"/>
          <w:color w:val="auto"/>
          <w:highlight w:val="none"/>
          <w:lang w:eastAsia="zh-CN" w:bidi="ar-SA"/>
        </w:rPr>
        <w:t xml:space="preserve">的产品；其他产品，根据实际情况判断是否在中国境内生产。</w:t>
      </w:r>
      <w:r/>
    </w:p>
    <w:p>
      <w:pPr>
        <w:pStyle w:val="911"/>
        <w:ind w:firstLine="480"/>
        <w:spacing w:before="0" w:line="500" w:lineRule="exact"/>
        <w:rPr>
          <w:rFonts w:hint="eastAsia" w:cs="宋体"/>
          <w:color w:val="auto"/>
          <w:highlight w:val="none"/>
        </w:rPr>
      </w:pPr>
      <w:r>
        <w:rPr>
          <w:rFonts w:hint="eastAsia" w:cs="宋体"/>
          <w:color w:val="auto"/>
          <w:highlight w:val="none"/>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p>
    <w:p>
      <w:pPr>
        <w:pStyle w:val="925"/>
        <w:spacing w:before="0" w:after="0" w:line="500" w:lineRule="exact"/>
        <w:rPr>
          <w:rFonts w:hint="eastAsia" w:ascii="宋体" w:hAnsi="宋体" w:cs="宋体"/>
          <w:b/>
          <w:bCs/>
          <w:color w:val="auto"/>
          <w:highlight w:val="none"/>
        </w:rPr>
      </w:pPr>
      <w:r>
        <w:rPr>
          <w:rFonts w:hint="eastAsia" w:ascii="宋体" w:hAnsi="宋体" w:cs="宋体"/>
          <w:color w:val="auto"/>
          <w:highlight w:val="none"/>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color w:val="auto"/>
          <w:highlight w:val="none"/>
        </w:rPr>
        <w:t xml:space="preserve">（供应商需在“第八章 投标文件格式”的“报价明细表”中填写比例数值）</w:t>
      </w:r>
      <w:r>
        <w:rPr>
          <w:rFonts w:hint="eastAsia" w:ascii="宋体" w:hAnsi="宋体" w:cs="宋体"/>
          <w:color w:val="auto"/>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cs="宋体"/>
          <w:b/>
          <w:bCs/>
          <w:color w:val="auto"/>
          <w:highlight w:val="none"/>
        </w:rPr>
        <w:t xml:space="preserve">供应商未填写比例数值，或比例数值未达到80%的，将不享受本国产品价格评审优惠。</w:t>
      </w:r>
      <w:r/>
    </w:p>
    <w:p>
      <w:pPr>
        <w:pStyle w:val="925"/>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7.5 供应商需按照招标文件的要求提供《关于符合本国产品标准的声明函》（以下简称《声明函》），如不提供将不享受本国产品价格评审优惠。【</w:t>
      </w:r>
      <w:r>
        <w:rPr>
          <w:rFonts w:hint="eastAsia" w:ascii="宋体" w:hAnsi="宋体" w:cs="宋体"/>
          <w:b/>
          <w:bCs/>
          <w:i/>
          <w:iCs/>
          <w:color w:val="auto"/>
          <w:highlight w:val="none"/>
        </w:rPr>
        <w:t xml:space="preserve">《声明函》上传</w:t>
      </w:r>
      <w:r>
        <w:rPr>
          <w:rFonts w:hint="eastAsia" w:ascii="宋体" w:hAnsi="宋体" w:cs="宋体"/>
          <w:b/>
          <w:bCs/>
          <w:i/>
          <w:iCs/>
          <w:color w:val="auto"/>
          <w:highlight w:val="none"/>
          <w:lang w:eastAsia="zh-CN"/>
        </w:rPr>
        <w:t xml:space="preserve">至</w:t>
      </w:r>
      <w:r>
        <w:rPr>
          <w:rFonts w:hint="eastAsia" w:ascii="宋体" w:hAnsi="宋体" w:cs="宋体"/>
          <w:b/>
          <w:bCs/>
          <w:i/>
          <w:iCs/>
          <w:color w:val="auto"/>
          <w:highlight w:val="none"/>
        </w:rPr>
        <w:t xml:space="preserve">交易执行系统“价格折扣文件格式”——“关于符合本国产品标准的声明函”模块</w:t>
      </w:r>
      <w:r>
        <w:rPr>
          <w:rFonts w:hint="eastAsia" w:ascii="宋体" w:hAnsi="宋体" w:cs="宋体"/>
          <w:color w:val="auto"/>
          <w:highlight w:val="none"/>
        </w:rPr>
        <w:t xml:space="preserve">】</w:t>
      </w:r>
      <w:r/>
    </w:p>
    <w:p>
      <w:pPr>
        <w:pStyle w:val="925"/>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25"/>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3"/>
        <w:numPr>
          <w:ilvl w:val="0"/>
          <w:numId w:val="1"/>
        </w:numPr>
        <w:jc w:val="center"/>
        <w:rPr>
          <w:rFonts w:ascii="宋体" w:hAnsi="宋体" w:cs="Times New Roman"/>
          <w:b/>
          <w:bCs/>
          <w:color w:val="auto"/>
          <w:sz w:val="32"/>
          <w:szCs w:val="32"/>
          <w:highlight w:val="none"/>
        </w:rPr>
      </w:pPr>
      <w:r>
        <w:rPr>
          <w:rFonts w:hint="eastAsia" w:ascii="宋体" w:hAnsi="宋体" w:cs="Times New Roman"/>
          <w:b/>
          <w:bCs/>
          <w:color w:val="auto"/>
          <w:sz w:val="32"/>
          <w:szCs w:val="32"/>
          <w:highlight w:val="none"/>
        </w:rPr>
        <w:t xml:space="preserve">评标标准</w:t>
      </w:r>
      <w:r/>
    </w:p>
    <w:tbl>
      <w:tblPr>
        <w:tblStyle w:val="905"/>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062"/>
        <w:gridCol w:w="719"/>
        <w:gridCol w:w="4488"/>
        <w:gridCol w:w="2399"/>
      </w:tblGrid>
      <w:tr>
        <w:trPr>
          <w:jc w:val="center"/>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left="0" w:right="0" w:firstLine="0"/>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right="0" w:firstLine="0"/>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ind w:left="0" w:right="0" w:firstLine="0"/>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488"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pStyle w:val="926"/>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0"/>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left="0" w:right="0" w:firstLine="0"/>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right="0" w:firstLine="0"/>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ind w:left="0" w:right="0" w:firstLine="0"/>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50</w:t>
            </w:r>
            <w:r/>
          </w:p>
        </w:tc>
        <w:tc>
          <w:tcPr>
            <w:tcBorders>
              <w:top w:val="single" w:color="auto" w:sz="4" w:space="0"/>
              <w:left w:val="single" w:color="auto" w:sz="4" w:space="0"/>
              <w:bottom w:val="single" w:color="auto" w:sz="4" w:space="0"/>
              <w:right w:val="single" w:color="auto" w:sz="4" w:space="0"/>
            </w:tcBorders>
            <w:tcW w:w="4488" w:type="dxa"/>
            <w:vAlign w:val="center"/>
            <w:textDirection w:val="lrTb"/>
            <w:noWrap w:val="false"/>
          </w:tcPr>
          <w:p>
            <w:pPr>
              <w:pStyle w:val="906"/>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采用低价优先法计算，即满足招标文件要求且投标价格最低的投标报价为评标基准价，其价格分为满分。其他供应商的价格分统一按照下列公式计算：</w:t>
            </w:r>
            <w:r/>
          </w:p>
          <w:p>
            <w:pPr>
              <w:pStyle w:val="906"/>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价格分得分＝（评标基准价/投标报价）×50×100%。</w:t>
            </w:r>
            <w:r/>
          </w:p>
          <w:p>
            <w:pPr>
              <w:pStyle w:val="906"/>
              <w:rPr>
                <w:rFonts w:hint="default" w:ascii="宋体" w:hAnsi="宋体" w:eastAsia="宋体" w:cs="宋体"/>
                <w:color w:val="auto"/>
                <w:szCs w:val="21"/>
                <w:highlight w:val="none"/>
                <w:lang w:val="en-US" w:eastAsia="zh-CN"/>
              </w:rPr>
            </w:pPr>
            <w:r>
              <w:rPr>
                <w:rFonts w:hint="default" w:ascii="宋体" w:hAnsi="宋体" w:eastAsia="宋体" w:cs="宋体"/>
                <w:b/>
                <w:bCs/>
                <w:color w:val="auto"/>
                <w:szCs w:val="21"/>
                <w:highlight w:val="none"/>
                <w:lang w:val="en-US" w:eastAsia="zh-CN"/>
              </w:rPr>
              <w:t xml:space="preserve">注意：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ind w:left="-38"/>
              <w:rPr>
                <w:rFonts w:hint="eastAsia" w:ascii="宋体" w:hAnsi="宋体" w:cs="宋体"/>
                <w:color w:val="auto"/>
                <w:szCs w:val="21"/>
                <w:highlight w:val="none"/>
              </w:rPr>
            </w:pPr>
            <w:r>
              <w:rPr>
                <w:rFonts w:hint="eastAsia" w:ascii="宋体" w:hAnsi="宋体"/>
                <w:color w:val="auto"/>
                <w:szCs w:val="21"/>
                <w:highlight w:val="none"/>
              </w:rPr>
              <w:t xml:space="preserve">此处投标报价指经过报价修正，及因落实政府采购政策进行价格调整后的报价，详见第四章《评标程序、评标方法和评标标准》</w:t>
            </w:r>
            <w:r/>
          </w:p>
        </w:tc>
      </w:tr>
      <w:tr>
        <w:trPr>
          <w:jc w:val="center"/>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left="0" w:right="0" w:firstLine="0"/>
              <w:jc w:val="cente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right="0" w:firstLine="0"/>
              <w:jc w:val="cente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lang w:eastAsia="zh-CN"/>
              </w:rPr>
              <w:t xml:space="preserve">客观分</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ind w:left="0" w:right="0" w:firstLine="0"/>
              <w:jc w:val="cente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448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502"/>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bookmarkStart w:id="327" w:name="_Hlk176871712"/>
            <w:r>
              <w:rPr>
                <w:rFonts w:hint="eastAsia" w:ascii="宋体" w:hAnsi="宋体"/>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技术参数及性能</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s="宋体"/>
                <w:bCs/>
                <w:color w:val="auto"/>
                <w:szCs w:val="21"/>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4488"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技术要求的符合性，即对提供货物的技术参数、配置、性能是否符合或优于招标文件要求进行评价。全部符合技术要求的得</w:t>
            </w:r>
            <w:r>
              <w:rPr>
                <w:rFonts w:hint="eastAsia" w:ascii="宋体" w:hAnsi="宋体"/>
                <w:color w:val="auto"/>
                <w:szCs w:val="21"/>
                <w:highlight w:val="none"/>
                <w:lang w:val="en-US" w:eastAsia="zh-CN"/>
              </w:rPr>
              <w:t xml:space="preserve">20</w:t>
            </w:r>
            <w:r>
              <w:rPr>
                <w:rFonts w:hint="eastAsia" w:ascii="宋体" w:hAnsi="宋体"/>
                <w:color w:val="auto"/>
                <w:szCs w:val="21"/>
                <w:highlight w:val="none"/>
              </w:rPr>
              <w:t xml:space="preserve">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采购清单中带“★”参数为特别重要参数，有任意一项负偏离的，作无效标处理；</w:t>
            </w:r>
            <w:r/>
          </w:p>
          <w:p>
            <w:pPr>
              <w:spacing w:line="360" w:lineRule="auto"/>
              <w:rPr>
                <w:rFonts w:hint="eastAsia"/>
                <w:color w:val="auto"/>
                <w:highlight w:val="none"/>
              </w:rPr>
            </w:pPr>
            <w:r>
              <w:rPr>
                <w:rFonts w:hint="eastAsia" w:ascii="宋体" w:hAnsi="宋体"/>
                <w:color w:val="auto"/>
                <w:szCs w:val="21"/>
                <w:highlight w:val="none"/>
              </w:rPr>
              <w:t xml:space="preserve">采购清单中带“▲”参数为重要参数，每有一项负偏离的，扣</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其他参数为</w:t>
            </w:r>
            <w:r>
              <w:rPr>
                <w:rFonts w:hint="eastAsia" w:ascii="宋体" w:hAnsi="宋体"/>
                <w:color w:val="auto"/>
                <w:szCs w:val="21"/>
                <w:highlight w:val="none"/>
              </w:rPr>
              <w:t xml:space="preserve">一般参数</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每有一项负偏离扣</w:t>
            </w:r>
            <w:r>
              <w:rPr>
                <w:rFonts w:hint="eastAsia" w:ascii="宋体" w:hAnsi="宋体"/>
                <w:color w:val="auto"/>
                <w:szCs w:val="21"/>
                <w:highlight w:val="none"/>
                <w:lang w:val="en-US" w:eastAsia="zh-CN"/>
              </w:rPr>
              <w:t xml:space="preserve">0.5</w:t>
            </w:r>
            <w:r>
              <w:rPr>
                <w:rFonts w:hint="eastAsia" w:ascii="宋体" w:hAnsi="宋体"/>
                <w:color w:val="auto"/>
                <w:szCs w:val="21"/>
                <w:highlight w:val="none"/>
              </w:rPr>
              <w:t xml:space="preserve">分；扣完为止。</w:t>
            </w:r>
            <w:r/>
          </w:p>
          <w:p>
            <w:pPr>
              <w:rPr>
                <w:rFonts w:hint="eastAsia" w:ascii="宋体" w:hAnsi="宋体" w:cs="宋体"/>
                <w:color w:val="auto"/>
                <w:highlight w:val="none"/>
              </w:rPr>
            </w:pPr>
            <w:r>
              <w:rPr>
                <w:rFonts w:hint="eastAsia" w:ascii="宋体" w:hAnsi="宋体" w:cs="宋体"/>
                <w:b/>
                <w:color w:val="auto"/>
                <w:szCs w:val="21"/>
                <w:highlight w:val="none"/>
                <w:lang w:eastAsia="zh-CN"/>
              </w:rPr>
              <w:t xml:space="preserve">注：</w:t>
            </w:r>
            <w:r>
              <w:rPr>
                <w:rFonts w:hint="eastAsia" w:ascii="宋体" w:hAnsi="宋体" w:eastAsia="宋体" w:cs="宋体"/>
                <w:b/>
                <w:color w:val="auto"/>
                <w:szCs w:val="21"/>
                <w:highlight w:val="none"/>
              </w:rPr>
              <w:t xml:space="preserve">其余参数以技术参数偏离表为准，如有提供虚假技术参数文件的，一经发现作无效投标处理。拟中标供应商签订合同前采购方有权进行技术参数响应核实，如不满足采购方需求作虚假应标处理。</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注：需求参数中要求提供相关证明材料的，必须按采购需求要求提供相关证明材料并加盖供应商公章，如未按要求提供相关证明材料的，则视为“负偏离”</w:t>
            </w:r>
            <w:r>
              <w:rPr>
                <w:rFonts w:hint="eastAsia" w:ascii="宋体" w:hAnsi="宋体" w:cs="宋体"/>
                <w:b/>
                <w:color w:val="auto"/>
                <w:szCs w:val="21"/>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s="宋体"/>
                <w:bCs/>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4488" w:type="dxa"/>
            <w:vAlign w:val="center"/>
            <w:textDirection w:val="lrTb"/>
            <w:noWrap w:val="false"/>
          </w:tcPr>
          <w:p>
            <w:pPr>
              <w:rPr>
                <w:rFonts w:hint="eastAsia" w:ascii="宋体" w:hAnsi="宋体" w:cs="宋体"/>
                <w:color w:val="auto"/>
                <w:highlight w:val="none"/>
              </w:rPr>
            </w:pP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提供自2023年</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月1日（含）以来（以合同签订时间为准）承接的类似</w:t>
            </w:r>
            <w:r>
              <w:rPr>
                <w:rFonts w:hint="eastAsia" w:ascii="宋体" w:hAnsi="宋体"/>
                <w:color w:val="auto"/>
                <w:szCs w:val="21"/>
                <w:highlight w:val="none"/>
                <w:lang w:eastAsia="zh-CN"/>
              </w:rPr>
              <w:t xml:space="preserve">监控建设</w:t>
            </w:r>
            <w:r>
              <w:rPr>
                <w:rFonts w:hint="eastAsia" w:ascii="宋体" w:hAnsi="宋体"/>
                <w:color w:val="auto"/>
                <w:szCs w:val="21"/>
                <w:highlight w:val="none"/>
              </w:rPr>
              <w:t xml:space="preserve">业绩，每提供一份业绩的得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分，本项最高得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rPr>
                <w:rFonts w:hint="eastAsia" w:ascii="宋体" w:hAnsi="宋体"/>
                <w:b/>
                <w:bCs/>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lang w:eastAsia="zh-CN"/>
              </w:rPr>
              <w:t xml:space="preserve">投标文件中</w:t>
            </w:r>
            <w:r>
              <w:rPr>
                <w:rFonts w:hint="eastAsia" w:ascii="宋体" w:hAnsi="宋体" w:eastAsia="宋体" w:cs="宋体"/>
                <w:b/>
                <w:color w:val="auto"/>
                <w:szCs w:val="21"/>
                <w:highlight w:val="none"/>
              </w:rPr>
              <w:t xml:space="preserve">提供合同复印件并加盖供应商公章</w:t>
            </w:r>
            <w:r>
              <w:rPr>
                <w:rFonts w:hint="eastAsia" w:ascii="宋体" w:hAnsi="宋体" w:cs="宋体"/>
                <w:b/>
                <w:color w:val="auto"/>
                <w:szCs w:val="21"/>
                <w:highlight w:val="none"/>
                <w:lang w:eastAsia="zh-CN"/>
              </w:rPr>
              <w:t xml:space="preserve">，否则不得分。</w:t>
            </w:r>
            <w:r/>
          </w:p>
        </w:tc>
      </w:tr>
      <w:tr>
        <w:trPr>
          <w:jc w:val="center"/>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综合实力</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4488" w:type="dxa"/>
            <w:vAlign w:val="center"/>
            <w:textDirection w:val="lrTb"/>
            <w:noWrap w:val="false"/>
          </w:tcPr>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供应商具有信息安全服务资质认证（CCRC）安全集成服务一级证书的得2分，二级及以下的得1分；</w:t>
            </w:r>
            <w:r/>
          </w:p>
          <w:p>
            <w:pPr>
              <w:rPr>
                <w:rFonts w:hint="eastAsia" w:ascii="宋体" w:hAnsi="宋体" w:cs="宋体"/>
                <w:color w:val="auto"/>
                <w:highlight w:val="none"/>
              </w:rPr>
            </w:pPr>
            <w:r>
              <w:rPr>
                <w:rFonts w:hint="eastAsia" w:ascii="宋体" w:hAnsi="宋体"/>
                <w:color w:val="auto"/>
                <w:szCs w:val="21"/>
                <w:highlight w:val="none"/>
                <w:lang w:val="en-US" w:eastAsia="zh-CN"/>
              </w:rPr>
              <w:t xml:space="preserve">供应商具备具有信息系统建设和服务能力评估（CS5）的得2分，CS4及以下得1分。</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b/>
                <w:bCs/>
                <w:color w:val="auto"/>
                <w:szCs w:val="21"/>
                <w:highlight w:val="none"/>
                <w:lang w:eastAsia="zh-CN"/>
              </w:rPr>
              <w:t xml:space="preserve">投标文件中</w:t>
            </w:r>
            <w:r>
              <w:rPr>
                <w:rFonts w:hint="eastAsia" w:ascii="宋体" w:hAnsi="宋体"/>
                <w:b/>
                <w:bCs/>
                <w:color w:val="auto"/>
                <w:szCs w:val="21"/>
                <w:highlight w:val="none"/>
              </w:rPr>
              <w:t xml:space="preserve">提供有效的证书复印件并加盖供应商公章</w:t>
            </w:r>
            <w:r>
              <w:rPr>
                <w:rFonts w:hint="eastAsia" w:ascii="宋体" w:hAnsi="宋体" w:cs="宋体"/>
                <w:b/>
                <w:color w:val="auto"/>
                <w:szCs w:val="21"/>
                <w:highlight w:val="none"/>
                <w:lang w:eastAsia="zh-CN"/>
              </w:rPr>
              <w:t xml:space="preserve">，否则不得分</w:t>
            </w:r>
            <w:r>
              <w:rPr>
                <w:rFonts w:hint="eastAsia" w:ascii="宋体" w:hAnsi="宋体"/>
                <w:b/>
                <w:bCs/>
                <w:color w:val="auto"/>
                <w:szCs w:val="21"/>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olor w:val="auto"/>
                <w:szCs w:val="21"/>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体系证书</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s="宋体"/>
                <w:bCs/>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4488" w:type="dxa"/>
            <w:vAlign w:val="center"/>
            <w:textDirection w:val="lrTb"/>
            <w:noWrap w:val="false"/>
          </w:tcPr>
          <w:p>
            <w:pPr>
              <w:rPr>
                <w:rFonts w:hint="eastAsia" w:ascii="宋体" w:hAnsi="宋体" w:cs="宋体"/>
                <w:color w:val="auto"/>
                <w:highlight w:val="none"/>
              </w:rPr>
            </w:pPr>
            <w:r>
              <w:rPr>
                <w:rFonts w:hint="eastAsia" w:ascii="宋体" w:hAnsi="宋体"/>
                <w:color w:val="auto"/>
                <w:szCs w:val="21"/>
                <w:highlight w:val="none"/>
                <w:lang w:val="en-US" w:eastAsia="zh-CN"/>
              </w:rPr>
              <w:t xml:space="preserve">供应商具备有效期内的ISO9001质量管理体系认证证书、ISO14001环境管理体系认证证书、ISO45001职业健康安全管理体系认证证书的，每有1个证书得1分，本项最高得3分。</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b/>
                <w:bCs/>
                <w:color w:val="auto"/>
                <w:szCs w:val="21"/>
                <w:highlight w:val="none"/>
                <w:lang w:eastAsia="zh-CN"/>
              </w:rPr>
              <w:t xml:space="preserve">投标文件中</w:t>
            </w:r>
            <w:r>
              <w:rPr>
                <w:rFonts w:hint="eastAsia" w:ascii="宋体" w:hAnsi="宋体"/>
                <w:b/>
                <w:bCs/>
                <w:color w:val="auto"/>
                <w:szCs w:val="21"/>
                <w:highlight w:val="none"/>
              </w:rPr>
              <w:t xml:space="preserve">提供有效的证书复印件</w:t>
            </w:r>
            <w:r>
              <w:rPr>
                <w:rFonts w:hint="eastAsia" w:ascii="宋体" w:hAnsi="宋体"/>
                <w:b/>
                <w:bCs/>
                <w:color w:val="auto"/>
                <w:szCs w:val="21"/>
                <w:highlight w:val="none"/>
                <w:lang w:eastAsia="zh-CN"/>
              </w:rPr>
              <w:t xml:space="preserve">及全国认证认可信息公共服务平台（http://cx.cnca.cn/CertECloud/result/skipResultList）的查询截图</w:t>
            </w:r>
            <w:r>
              <w:rPr>
                <w:rFonts w:hint="eastAsia" w:ascii="宋体" w:hAnsi="宋体"/>
                <w:b/>
                <w:bCs/>
                <w:color w:val="auto"/>
                <w:szCs w:val="21"/>
                <w:highlight w:val="none"/>
              </w:rPr>
              <w:t xml:space="preserve">并加盖供应商公章</w:t>
            </w:r>
            <w:r>
              <w:rPr>
                <w:rFonts w:hint="eastAsia" w:ascii="宋体" w:hAnsi="宋体" w:cs="宋体"/>
                <w:b/>
                <w:color w:val="auto"/>
                <w:szCs w:val="21"/>
                <w:highlight w:val="none"/>
                <w:lang w:eastAsia="zh-CN"/>
              </w:rPr>
              <w:t xml:space="preserve">，否则不得分</w:t>
            </w:r>
            <w:r>
              <w:rPr>
                <w:rFonts w:hint="eastAsia" w:ascii="宋体" w:hAnsi="宋体"/>
                <w:b/>
                <w:bCs/>
                <w:color w:val="auto"/>
                <w:szCs w:val="21"/>
                <w:highlight w:val="none"/>
              </w:rPr>
              <w:t xml:space="preserve">。</w:t>
            </w:r>
            <w:r/>
          </w:p>
        </w:tc>
      </w:tr>
      <w:tr>
        <w:trPr>
          <w:jc w:val="center"/>
          <w:trHeight w:val="1661"/>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项目组团队</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ind w:left="0" w:right="0" w:firstLine="0"/>
              <w:jc w:val="cente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488" w:type="dxa"/>
            <w:vAlign w:val="center"/>
            <w:textDirection w:val="lrTb"/>
            <w:noWrap w:val="false"/>
          </w:tcPr>
          <w:p>
            <w:pP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1.拟派项目负责人1人，具有信息系统项目管理师（高级）、通信工程高级工程师证书，有一项得1分，本项最高得2分；</w:t>
            </w:r>
            <w:r/>
          </w:p>
          <w:p>
            <w:pP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2.拟派技术负责人1人，具有网络工程师证书（</w:t>
            </w:r>
            <w:r>
              <w:rPr>
                <w:rFonts w:hint="eastAsia" w:ascii="宋体" w:hAnsi="宋体"/>
                <w:color w:val="auto"/>
                <w:szCs w:val="21"/>
                <w:highlight w:val="none"/>
                <w:lang w:val="en-US" w:eastAsia="zh-CN"/>
              </w:rPr>
              <w:t xml:space="preserve">中级及以上</w:t>
            </w:r>
            <w:r>
              <w:rPr>
                <w:rFonts w:hint="eastAsia" w:ascii="宋体" w:hAnsi="宋体"/>
                <w:color w:val="auto"/>
                <w:szCs w:val="21"/>
                <w:highlight w:val="none"/>
                <w:lang w:val="en-US" w:eastAsia="zh-CN"/>
              </w:rPr>
              <w:t xml:space="preserve">）、ITSS-IT服务工程师证书，有一项得1分，本项最高得2分；</w:t>
            </w:r>
            <w:r/>
          </w:p>
          <w:p>
            <w:pP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3.拟派安全负责人1人，具有CCSC网络安全能力认证、CISP注册信息安全专业人员证书，有一项得1分，本项最高得2分。</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b/>
                <w:bCs/>
                <w:color w:val="auto"/>
                <w:szCs w:val="21"/>
                <w:highlight w:val="none"/>
              </w:rPr>
              <w:t xml:space="preserve">项目负责人、技术负责人、安全负责人不可为同一人，须为投标单位正式员工，提供投标单位为其缴纳的</w:t>
            </w:r>
            <w:r>
              <w:rPr>
                <w:rFonts w:hint="eastAsia" w:ascii="宋体" w:hAnsi="宋体"/>
                <w:b/>
                <w:bCs/>
                <w:color w:val="auto"/>
                <w:szCs w:val="21"/>
                <w:highlight w:val="none"/>
                <w:lang w:val="en-US" w:eastAsia="zh-CN"/>
              </w:rPr>
              <w:t xml:space="preserve">2026年</w:t>
            </w:r>
            <w:r>
              <w:rPr>
                <w:rFonts w:hint="eastAsia" w:ascii="宋体" w:hAnsi="宋体"/>
                <w:b/>
                <w:bCs/>
                <w:color w:val="auto"/>
                <w:szCs w:val="21"/>
                <w:highlight w:val="none"/>
                <w:lang w:val="en-US" w:eastAsia="zh-CN"/>
              </w:rPr>
              <w:t xml:space="preserve">7月—9月</w:t>
            </w:r>
            <w:r>
              <w:rPr>
                <w:rFonts w:hint="eastAsia" w:ascii="宋体" w:hAnsi="宋体"/>
                <w:b/>
                <w:bCs/>
                <w:color w:val="auto"/>
                <w:szCs w:val="21"/>
                <w:highlight w:val="none"/>
                <w:lang w:val="en-US" w:eastAsia="zh-CN"/>
              </w:rPr>
              <w:t xml:space="preserve">连续三个月中</w:t>
            </w:r>
            <w:r>
              <w:rPr>
                <w:rFonts w:hint="eastAsia" w:ascii="宋体" w:hAnsi="宋体"/>
                <w:b/>
                <w:bCs/>
                <w:color w:val="auto"/>
                <w:szCs w:val="21"/>
                <w:highlight w:val="none"/>
              </w:rPr>
              <w:t xml:space="preserve">任意一个月的社保证明和相应证书复印件，以上证明材料均需加盖供应商公章，未提供或提供不全均不得分。</w:t>
            </w:r>
            <w:bookmarkEnd w:id="327"/>
            <w:r/>
          </w:p>
        </w:tc>
      </w:tr>
      <w:tr>
        <w:trPr>
          <w:jc w:val="center"/>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left="0" w:right="0"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right="0" w:firstLine="0"/>
              <w:jc w:val="center"/>
              <w:spacing w:line="360" w:lineRule="auto"/>
              <w:rPr>
                <w:rFonts w:hint="eastAsia" w:ascii="宋体" w:hAnsi="宋体" w:cs="宋体"/>
                <w:b/>
                <w:color w:val="auto"/>
                <w:szCs w:val="21"/>
                <w:highlight w:val="none"/>
              </w:rPr>
            </w:pPr>
            <w:r>
              <w:rPr>
                <w:rFonts w:hint="eastAsia" w:ascii="宋体" w:hAnsi="宋体" w:eastAsia="宋体" w:cs="宋体"/>
                <w:b/>
                <w:color w:val="auto"/>
                <w:szCs w:val="21"/>
                <w:highlight w:val="none"/>
              </w:rPr>
              <w:t xml:space="preserve">主观分</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ind w:left="0" w:right="0" w:firstLine="0"/>
              <w:jc w:val="cente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4488" w:type="dxa"/>
            <w:vAlign w:val="center"/>
            <w:textDirection w:val="lrTb"/>
            <w:noWrap w:val="false"/>
          </w:tcPr>
          <w:p>
            <w:pPr>
              <w:ind w:left="0" w:right="0"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right w:val="single" w:color="auto" w:sz="4" w:space="0"/>
            </w:tcBorders>
            <w:tcW w:w="618"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2.1</w:t>
            </w:r>
            <w:r/>
          </w:p>
        </w:tc>
        <w:tc>
          <w:tcPr>
            <w:tcBorders>
              <w:top w:val="single" w:color="auto" w:sz="4" w:space="0"/>
              <w:left w:val="single" w:color="auto" w:sz="4" w:space="0"/>
              <w:right w:val="single" w:color="auto" w:sz="4" w:space="0"/>
            </w:tcBorders>
            <w:tcW w:w="1062"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lang w:eastAsia="zh-CN"/>
              </w:rPr>
              <w:t xml:space="preserve">总体实施方案</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ind w:left="0" w:right="0" w:firstLine="0"/>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488" w:type="dxa"/>
            <w:vAlign w:val="center"/>
            <w:textDirection w:val="lrTb"/>
            <w:noWrap w:val="false"/>
          </w:tcPr>
          <w:p>
            <w:pPr>
              <w:pStyle w:val="910"/>
              <w:jc w:val="both"/>
              <w:spacing w:before="0" w:beforeAutospacing="0" w:after="0" w:afterAutospacing="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供应商提供完整的总体实施方案，包括方案需求、技术方案设计、施工安装、验收</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实施计划</w:t>
            </w:r>
            <w:r>
              <w:rPr>
                <w:rFonts w:hint="eastAsia" w:cs="宋体"/>
                <w:color w:val="auto"/>
                <w:sz w:val="21"/>
                <w:szCs w:val="21"/>
                <w:highlight w:val="none"/>
                <w:lang w:val="en-US" w:eastAsia="zh-CN"/>
              </w:rPr>
              <w:t xml:space="preserve">及进度</w:t>
            </w:r>
            <w:r>
              <w:rPr>
                <w:rFonts w:hint="eastAsia" w:ascii="宋体" w:hAnsi="宋体" w:eastAsia="宋体" w:cs="宋体"/>
                <w:color w:val="auto"/>
                <w:sz w:val="21"/>
                <w:szCs w:val="21"/>
                <w:highlight w:val="none"/>
                <w:lang w:val="en-US" w:eastAsia="zh-CN"/>
              </w:rPr>
              <w:t xml:space="preserve">安排</w:t>
            </w:r>
            <w:r>
              <w:rPr>
                <w:rFonts w:hint="eastAsia"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，由评标委员会综合评判：</w:t>
            </w:r>
            <w:r/>
          </w:p>
          <w:p>
            <w:pPr>
              <w:pStyle w:val="910"/>
              <w:jc w:val="both"/>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1.方案先进、完整、可行，能完全满足项目实施要求，得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pStyle w:val="910"/>
              <w:jc w:val="both"/>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2.方案内容简单，对项目实施要求响应一般，得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pStyle w:val="910"/>
              <w:jc w:val="both"/>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.方案内容与实际情况不符、无针对性或可行性较差，得1分；</w:t>
            </w:r>
            <w:r/>
          </w:p>
          <w:p>
            <w:pPr>
              <w:pStyle w:val="910"/>
              <w:jc w:val="both"/>
              <w:spacing w:before="0" w:beforeAutospacing="0" w:after="0" w:afterAutospacing="0" w:line="360" w:lineRule="auto"/>
              <w:widowControl w:val="off"/>
              <w:rPr>
                <w:rFonts w:hint="eastAsia" w:ascii="宋体" w:hAnsi="宋体" w:cs="宋体"/>
                <w:color w:val="auto"/>
                <w:szCs w:val="21"/>
                <w:highlight w:val="none"/>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未提供</w:t>
            </w:r>
            <w:r>
              <w:rPr>
                <w:rFonts w:hint="eastAsia" w:ascii="宋体" w:hAnsi="宋体" w:eastAsia="宋体" w:cs="宋体"/>
                <w:color w:val="auto"/>
                <w:sz w:val="21"/>
                <w:szCs w:val="21"/>
                <w:highlight w:val="none"/>
                <w:lang w:val="en-US" w:eastAsia="zh-CN"/>
              </w:rPr>
              <w:t xml:space="preserve">不得分。</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75"/>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lang w:eastAsia="zh-CN"/>
              </w:rPr>
              <w:t xml:space="preserve">突发事件应急处理预案</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488" w:type="dxa"/>
            <w:vAlign w:val="center"/>
            <w:textDirection w:val="lrTb"/>
            <w:noWrap w:val="false"/>
          </w:tcPr>
          <w:p>
            <w:pPr>
              <w:pStyle w:val="910"/>
              <w:jc w:val="both"/>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供货商提供的应急预案，</w:t>
            </w:r>
            <w:r>
              <w:rPr>
                <w:rFonts w:hint="eastAsia" w:cs="宋体"/>
                <w:color w:val="auto"/>
                <w:sz w:val="21"/>
                <w:szCs w:val="21"/>
                <w:highlight w:val="none"/>
                <w:lang w:val="en-US" w:eastAsia="zh-CN"/>
              </w:rPr>
              <w:t xml:space="preserve">包括但不限于突发事件的</w:t>
            </w:r>
            <w:r>
              <w:rPr>
                <w:rFonts w:hint="eastAsia" w:ascii="宋体" w:hAnsi="宋体" w:eastAsia="宋体" w:cs="宋体"/>
                <w:color w:val="auto"/>
                <w:sz w:val="21"/>
                <w:szCs w:val="21"/>
                <w:highlight w:val="none"/>
                <w:lang w:val="en-US" w:eastAsia="zh-CN"/>
              </w:rPr>
              <w:t xml:space="preserve">响应速度、资源调度、处置措施、风险防范等，由评标委员会综合评判：</w:t>
            </w:r>
            <w:r/>
          </w:p>
          <w:p>
            <w:pPr>
              <w:pStyle w:val="910"/>
              <w:jc w:val="both"/>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突发事件应急处理预案全面、准确、可操作性强的，得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pStyle w:val="910"/>
              <w:jc w:val="both"/>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突发事件应急处理预案</w:t>
            </w:r>
            <w:r>
              <w:rPr>
                <w:rFonts w:hint="eastAsia" w:cs="宋体"/>
                <w:color w:val="auto"/>
                <w:sz w:val="21"/>
                <w:szCs w:val="21"/>
                <w:highlight w:val="none"/>
                <w:lang w:val="en-US" w:eastAsia="zh-CN"/>
              </w:rPr>
              <w:t xml:space="preserve">基本准确</w:t>
            </w:r>
            <w:r>
              <w:rPr>
                <w:rFonts w:hint="eastAsia" w:ascii="宋体" w:hAnsi="宋体" w:eastAsia="宋体" w:cs="宋体"/>
                <w:color w:val="auto"/>
                <w:sz w:val="21"/>
                <w:szCs w:val="21"/>
                <w:highlight w:val="none"/>
                <w:lang w:val="en-US" w:eastAsia="zh-CN"/>
              </w:rPr>
              <w:t xml:space="preserve">，可操作性一般的，得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pStyle w:val="910"/>
              <w:jc w:val="both"/>
              <w:spacing w:before="0" w:beforeAutospacing="0" w:after="0" w:afterAutospacing="0" w:line="360" w:lineRule="auto"/>
              <w:widowControl w:val="off"/>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突发事件应急处理预案全面性和准确性有欠缺，可操作性</w:t>
            </w:r>
            <w:r>
              <w:rPr>
                <w:rFonts w:hint="eastAsia" w:cs="宋体"/>
                <w:color w:val="auto"/>
                <w:sz w:val="21"/>
                <w:szCs w:val="21"/>
                <w:highlight w:val="none"/>
                <w:lang w:val="en-US" w:eastAsia="zh-CN"/>
              </w:rPr>
              <w:t xml:space="preserve">差</w:t>
            </w:r>
            <w:r>
              <w:rPr>
                <w:rFonts w:hint="eastAsia" w:ascii="宋体" w:hAnsi="宋体" w:eastAsia="宋体" w:cs="宋体"/>
                <w:color w:val="auto"/>
                <w:sz w:val="21"/>
                <w:szCs w:val="21"/>
                <w:highlight w:val="none"/>
                <w:lang w:val="en-US" w:eastAsia="zh-CN"/>
              </w:rPr>
              <w:t xml:space="preserve">的，得</w:t>
            </w: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pStyle w:val="910"/>
              <w:jc w:val="both"/>
              <w:spacing w:before="0" w:beforeAutospacing="0" w:after="0" w:afterAutospacing="0" w:line="360" w:lineRule="auto"/>
              <w:widowControl w:val="off"/>
              <w:rPr>
                <w:rFonts w:hint="eastAsia" w:ascii="宋体" w:hAnsi="宋体" w:cs="宋体"/>
                <w:color w:val="auto"/>
                <w:szCs w:val="21"/>
                <w:highlight w:val="none"/>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未提供不得分</w:t>
            </w:r>
            <w:r>
              <w:rPr>
                <w:rFonts w:hint="eastAsia"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75"/>
        </w:trPr>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right="0" w:firstLine="0"/>
              <w:jc w:val="center"/>
              <w:spacing w:line="360" w:lineRule="auto"/>
              <w:rPr>
                <w:rFonts w:hint="eastAsia" w:ascii="宋体" w:hAnsi="宋体" w:cs="宋体"/>
                <w:color w:val="auto"/>
                <w:szCs w:val="21"/>
                <w:highlight w:val="none"/>
                <w:lang w:val="zh-CN"/>
              </w:rPr>
            </w:pPr>
            <w:r>
              <w:rPr>
                <w:rFonts w:hint="eastAsia" w:ascii="宋体" w:hAnsi="宋体" w:eastAsia="宋体" w:cs="宋体"/>
                <w:color w:val="auto"/>
                <w:szCs w:val="21"/>
                <w:highlight w:val="none"/>
              </w:rPr>
              <w:t xml:space="preserve">售后运维方案</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ind w:left="0" w:right="0" w:firstLine="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488" w:type="dxa"/>
            <w:vAlign w:val="center"/>
            <w:textDirection w:val="lrTb"/>
            <w:noWrap w:val="false"/>
          </w:tcPr>
          <w:p>
            <w:pPr>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供货商</w:t>
            </w:r>
            <w:r>
              <w:rPr>
                <w:rFonts w:hint="eastAsia" w:ascii="宋体" w:hAnsi="宋体" w:eastAsia="宋体" w:cs="宋体"/>
                <w:bCs/>
                <w:color w:val="auto"/>
                <w:szCs w:val="21"/>
                <w:highlight w:val="none"/>
                <w:lang w:eastAsia="zh-CN"/>
              </w:rPr>
              <w:t xml:space="preserve">提供的售后运维方案</w:t>
            </w:r>
            <w:r>
              <w:rPr>
                <w:rFonts w:hint="eastAsia" w:ascii="宋体" w:hAnsi="宋体" w:eastAsia="宋体" w:cs="宋体"/>
                <w:bCs/>
                <w:color w:val="auto"/>
                <w:szCs w:val="21"/>
                <w:highlight w:val="none"/>
              </w:rPr>
              <w:t xml:space="preserve">，包括但不限于技术支持与设备维护服务内容、服务响应方式、故障分级、响应及时性、备品备件</w:t>
            </w:r>
            <w:r>
              <w:rPr>
                <w:rFonts w:hint="eastAsia" w:ascii="宋体" w:hAnsi="宋体" w:cs="宋体"/>
                <w:bCs/>
                <w:color w:val="auto"/>
                <w:szCs w:val="21"/>
                <w:highlight w:val="none"/>
                <w:lang w:eastAsia="zh-CN"/>
              </w:rPr>
              <w:t xml:space="preserve">方案等，</w:t>
            </w:r>
            <w:r>
              <w:rPr>
                <w:rFonts w:hint="eastAsia" w:ascii="宋体" w:hAnsi="宋体" w:eastAsia="宋体" w:cs="宋体"/>
                <w:bCs/>
                <w:color w:val="auto"/>
                <w:szCs w:val="21"/>
                <w:highlight w:val="none"/>
              </w:rPr>
              <w:t xml:space="preserve">由评标委员会综合评判：</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服务方案详细可行，能为用户提供完善的售后保障服务，得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服务方案</w:t>
            </w:r>
            <w:r>
              <w:rPr>
                <w:rFonts w:hint="eastAsia" w:ascii="宋体" w:hAnsi="宋体" w:cs="宋体"/>
                <w:bCs/>
                <w:color w:val="auto"/>
                <w:szCs w:val="21"/>
                <w:highlight w:val="none"/>
                <w:lang w:eastAsia="zh-CN"/>
              </w:rPr>
              <w:t xml:space="preserve">一般</w:t>
            </w:r>
            <w:r>
              <w:rPr>
                <w:rFonts w:hint="eastAsia" w:ascii="宋体" w:hAnsi="宋体" w:eastAsia="宋体" w:cs="宋体"/>
                <w:bCs/>
                <w:color w:val="auto"/>
                <w:szCs w:val="21"/>
                <w:highlight w:val="none"/>
              </w:rPr>
              <w:t xml:space="preserve">，仅能为用户提供有限的售后服务，得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p>
          <w:p>
            <w:pPr>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服务方案简单，能为用户提供的售后服务较差，得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lang w:val="en-US" w:eastAsia="zh-CN"/>
              </w:rPr>
              <w:t xml:space="preserve">.</w:t>
            </w:r>
            <w:r>
              <w:rPr>
                <w:rFonts w:hint="eastAsia" w:ascii="宋体" w:hAnsi="宋体" w:cs="宋体"/>
                <w:bCs/>
                <w:color w:val="auto"/>
                <w:szCs w:val="21"/>
                <w:highlight w:val="none"/>
                <w:lang w:eastAsia="zh-CN"/>
              </w:rPr>
              <w:t xml:space="preserve">未提供</w:t>
            </w:r>
            <w:r>
              <w:rPr>
                <w:rFonts w:hint="eastAsia" w:ascii="宋体" w:hAnsi="宋体" w:eastAsia="宋体" w:cs="宋体"/>
                <w:bCs/>
                <w:color w:val="auto"/>
                <w:szCs w:val="21"/>
                <w:highlight w:val="none"/>
              </w:rPr>
              <w:t xml:space="preserve">不得分。</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gridSpan w:val="2"/>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0" w:right="0" w:firstLine="0"/>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ind w:left="0" w:right="0" w:firstLine="0"/>
              <w:jc w:val="center"/>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tcBorders>
              <w:top w:val="single" w:color="auto" w:sz="4" w:space="0"/>
              <w:left w:val="single" w:color="auto" w:sz="4" w:space="0"/>
              <w:bottom w:val="single" w:color="auto" w:sz="4" w:space="0"/>
              <w:right w:val="single" w:color="auto" w:sz="4" w:space="0"/>
            </w:tcBorders>
            <w:tcW w:w="688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color w:val="auto"/>
          <w:highlight w:val="none"/>
        </w:rPr>
      </w:pPr>
      <w:r>
        <w:rPr>
          <w:color w:val="auto"/>
          <w:highlight w:val="none"/>
        </w:rPr>
      </w:r>
      <w:r/>
    </w:p>
    <w:p>
      <w:pPr>
        <w:pStyle w:val="921"/>
        <w:rPr>
          <w:rFonts w:hint="eastAsia"/>
          <w:color w:val="auto"/>
          <w:highlight w:val="none"/>
        </w:rPr>
      </w:pPr>
      <w:r>
        <w:rPr>
          <w:rFonts w:hint="eastAsia"/>
          <w:color w:val="auto"/>
          <w:highlight w:val="none"/>
        </w:rPr>
      </w:r>
      <w:r/>
    </w:p>
    <w:p>
      <w:pPr>
        <w:ind w:firstLine="482"/>
        <w:spacing w:before="120" w:line="360" w:lineRule="auto"/>
        <w:tabs>
          <w:tab w:val="left" w:pos="360" w:leader="none"/>
        </w:tabs>
        <w:rPr>
          <w:b/>
          <w:bCs/>
          <w:color w:val="auto"/>
          <w:sz w:val="24"/>
          <w:highlight w:val="none"/>
        </w:rPr>
        <w:outlineLvl w:val="1"/>
      </w:pPr>
      <w:r>
        <w:rPr>
          <w:rFonts w:hint="eastAsia"/>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0"/>
      <w:r/>
      <w:bookmarkEnd w:id="271"/>
      <w:r/>
      <w:r/>
    </w:p>
    <w:p>
      <w:pPr>
        <w:jc w:val="center"/>
        <w:spacing w:line="360" w:lineRule="auto"/>
        <w:rPr>
          <w:color w:val="auto"/>
          <w:sz w:val="24"/>
          <w:highlight w:val="none"/>
        </w:rPr>
        <w:outlineLvl w:val="0"/>
      </w:pPr>
      <w:r>
        <w:rPr>
          <w:b/>
          <w:color w:val="auto"/>
          <w:sz w:val="36"/>
          <w:szCs w:val="36"/>
          <w:highlight w:val="none"/>
        </w:rPr>
        <w:br w:type="page" w:clear="all"/>
      </w:r>
      <w:bookmarkStart w:id="328" w:name="_Toc26918"/>
      <w:r>
        <w:rPr>
          <w:rStyle w:val="918"/>
          <w:color w:val="auto"/>
          <w:highlight w:val="none"/>
        </w:rPr>
        <w:t xml:space="preserve">第五章</w:t>
      </w:r>
      <w:r>
        <w:rPr>
          <w:rStyle w:val="918"/>
          <w:rFonts w:hint="eastAsia"/>
          <w:color w:val="auto"/>
          <w:highlight w:val="none"/>
        </w:rPr>
        <w:t xml:space="preserve">   </w:t>
      </w:r>
      <w:r>
        <w:rPr>
          <w:rStyle w:val="918"/>
          <w:color w:val="auto"/>
          <w:highlight w:val="none"/>
        </w:rPr>
        <w:t xml:space="preserve">采购需求</w:t>
      </w:r>
      <w:bookmarkEnd w:id="105"/>
      <w:r/>
      <w:bookmarkEnd w:id="328"/>
      <w:r/>
      <w:r/>
    </w:p>
    <w:p>
      <w:pPr>
        <w:ind w:right="210" w:firstLine="0"/>
        <w:jc w:val="left"/>
        <w:spacing w:line="360" w:lineRule="auto"/>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t xml:space="preserve">一、项目概述</w:t>
      </w:r>
      <w:r/>
    </w:p>
    <w:p>
      <w:pPr>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本项目为</w:t>
      </w:r>
      <w:r>
        <w:rPr>
          <w:rFonts w:hint="eastAsia" w:asciiTheme="majorEastAsia" w:hAnsiTheme="majorEastAsia" w:eastAsiaTheme="majorEastAsia" w:cstheme="majorEastAsia"/>
          <w:color w:val="auto"/>
          <w:sz w:val="24"/>
          <w:highlight w:val="none"/>
          <w:lang w:eastAsia="zh-CN"/>
        </w:rPr>
        <w:t xml:space="preserve">经开区治安监控智能化改造项目</w:t>
      </w:r>
      <w:r>
        <w:rPr>
          <w:rFonts w:hint="eastAsia" w:asciiTheme="majorEastAsia" w:hAnsiTheme="majorEastAsia" w:eastAsiaTheme="majorEastAsia" w:cstheme="majorEastAsia"/>
          <w:color w:val="auto"/>
          <w:sz w:val="24"/>
          <w:highlight w:val="none"/>
        </w:rPr>
        <w:t xml:space="preserve">，对照公安部、省公安厅以及《常州市社会治安整体防控体系示范区建设指南》，采用科学、合理的布点方法，以闭合圈层、控牢重点、盯紧末梢为主要方向，布建各类摄像机569套，进一步提升感知前端覆盖质量。</w:t>
      </w:r>
      <w:r/>
    </w:p>
    <w:p>
      <w:pPr>
        <w:ind w:right="210" w:firstLine="0"/>
        <w:jc w:val="left"/>
        <w:spacing w:line="360" w:lineRule="auto"/>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t xml:space="preserve">二、商务要求</w:t>
      </w:r>
      <w:r/>
    </w:p>
    <w:p>
      <w:pPr>
        <w:ind w:right="210" w:firstLine="480"/>
        <w:jc w:val="left"/>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1.付款方式：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签订合同</w:t>
      </w:r>
      <w:r>
        <w:rPr>
          <w:rFonts w:hint="eastAsia" w:ascii="宋体" w:hAnsi="宋体" w:eastAsia="宋体"/>
          <w:color w:val="auto"/>
          <w:sz w:val="24"/>
          <w:szCs w:val="24"/>
          <w:highlight w:val="none"/>
          <w:lang w:eastAsia="zh-CN"/>
        </w:rPr>
        <w:t xml:space="preserve">后</w:t>
      </w:r>
      <w:r>
        <w:rPr>
          <w:rFonts w:hint="eastAsia" w:ascii="宋体" w:hAnsi="宋体" w:eastAsia="宋体"/>
          <w:color w:val="auto"/>
          <w:sz w:val="24"/>
          <w:szCs w:val="24"/>
          <w:highlight w:val="none"/>
        </w:rPr>
        <w:t xml:space="preserve">30日内，支付</w:t>
      </w:r>
      <w:r>
        <w:rPr>
          <w:rFonts w:hint="eastAsia" w:ascii="宋体" w:hAnsi="宋体"/>
          <w:color w:val="auto"/>
          <w:sz w:val="24"/>
          <w:szCs w:val="24"/>
          <w:highlight w:val="none"/>
          <w:lang w:eastAsia="zh-CN"/>
        </w:rPr>
        <w:t xml:space="preserve">合同金额</w:t>
      </w:r>
      <w:r>
        <w:rPr>
          <w:rFonts w:hint="eastAsia" w:ascii="宋体" w:hAnsi="宋体" w:eastAsia="宋体"/>
          <w:color w:val="auto"/>
          <w:sz w:val="24"/>
          <w:szCs w:val="24"/>
          <w:highlight w:val="none"/>
        </w:rPr>
        <w:t xml:space="preserve">的30%；</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项目竣工验收合格并完成审计后60日内</w:t>
      </w:r>
      <w:r>
        <w:rPr>
          <w:rFonts w:hint="eastAsia" w:ascii="宋体" w:hAnsi="宋体"/>
          <w:color w:val="auto"/>
          <w:sz w:val="24"/>
          <w:szCs w:val="24"/>
          <w:highlight w:val="none"/>
          <w:lang w:eastAsia="zh-CN"/>
        </w:rPr>
        <w:t xml:space="preserve">，支</w:t>
      </w:r>
      <w:r>
        <w:rPr>
          <w:rFonts w:hint="eastAsia" w:ascii="宋体" w:hAnsi="宋体" w:cs="宋体"/>
          <w:color w:val="auto"/>
          <w:sz w:val="24"/>
          <w:highlight w:val="none"/>
          <w:lang w:val="zh-CN" w:eastAsia="zh-CN"/>
        </w:rPr>
        <w:t xml:space="preserve">付至审计结算价的80%</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lang w:eastAsia="zh-CN"/>
        </w:rPr>
        <w:t xml:space="preserve">）项目竣工验收合格进入运行维护期，运行维护期为五年，</w:t>
      </w:r>
      <w:r>
        <w:rPr>
          <w:rFonts w:hint="eastAsia" w:ascii="宋体" w:hAnsi="宋体"/>
          <w:color w:val="auto"/>
          <w:sz w:val="24"/>
          <w:szCs w:val="24"/>
          <w:highlight w:val="none"/>
          <w:lang w:eastAsia="zh-CN"/>
        </w:rPr>
        <w:t xml:space="preserve">每</w:t>
      </w:r>
      <w:r>
        <w:rPr>
          <w:rFonts w:hint="eastAsia" w:ascii="宋体" w:hAnsi="宋体" w:eastAsia="宋体"/>
          <w:color w:val="auto"/>
          <w:sz w:val="24"/>
          <w:szCs w:val="24"/>
          <w:highlight w:val="none"/>
          <w:lang w:eastAsia="zh-CN"/>
        </w:rPr>
        <w:t xml:space="preserve">一年运行维护期满后30日内支付审计结算价的4%</w:t>
      </w:r>
      <w:r>
        <w:rPr>
          <w:rFonts w:hint="eastAsia" w:ascii="宋体" w:hAnsi="宋体"/>
          <w:color w:val="auto"/>
          <w:sz w:val="24"/>
          <w:szCs w:val="24"/>
          <w:highlight w:val="none"/>
          <w:lang w:eastAsia="zh-CN"/>
        </w:rPr>
        <w:t xml:space="preserve">，运维服务期限届满后，</w:t>
      </w:r>
      <w:r>
        <w:rPr>
          <w:rFonts w:hint="eastAsia" w:ascii="宋体" w:hAnsi="宋体" w:eastAsia="宋体"/>
          <w:color w:val="auto"/>
          <w:sz w:val="24"/>
          <w:szCs w:val="24"/>
          <w:highlight w:val="none"/>
          <w:lang w:eastAsia="zh-CN"/>
        </w:rPr>
        <w:t xml:space="preserve">一次性付清剩余全部款项。</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特别说明：</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结算审计核减率5%以下的审计费用由采购人承担；核减率5%（含）以上的审计费用一律由供应商承担，并直接在审定价中扣除。中标供应商应无条件接受采购人内部审计部门的延伸审计。</w:t>
      </w:r>
      <w:r/>
    </w:p>
    <w:p>
      <w:pPr>
        <w:ind w:right="210"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付款前，中标</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应提供符合采购人要求的合同全额的合法有效发票。否</w:t>
      </w:r>
      <w:r>
        <w:rPr>
          <w:rFonts w:hint="default" w:ascii="宋体" w:hAnsi="宋体" w:eastAsia="宋体" w:cs="宋体"/>
          <w:color w:val="auto"/>
          <w:sz w:val="24"/>
          <w:szCs w:val="24"/>
          <w:highlight w:val="none"/>
          <w:lang w:val="en-US" w:eastAsia="zh-CN"/>
        </w:rPr>
        <w:t xml:space="preserve">则，采购人有权顺延付款时间，且不承担任何违约或赔偿责任。</w:t>
      </w:r>
      <w:r/>
    </w:p>
    <w:p>
      <w:pPr>
        <w:ind w:right="210" w:firstLine="480"/>
        <w:jc w:val="left"/>
        <w:spacing w:line="360" w:lineRule="auto"/>
        <w:rPr>
          <w:rFonts w:hint="default"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2</w:t>
      </w:r>
      <w:r>
        <w:rPr>
          <w:rFonts w:hint="default" w:ascii="宋体" w:hAnsi="宋体" w:eastAsia="宋体" w:cs="宋体"/>
          <w:b w:val="0"/>
          <w:color w:val="auto"/>
          <w:sz w:val="24"/>
          <w:highlight w:val="none"/>
        </w:rPr>
        <w:t xml:space="preserve">.合同履约期限：</w:t>
      </w:r>
      <w:r>
        <w:rPr>
          <w:rFonts w:hint="eastAsia" w:ascii="宋体" w:hAnsi="宋体" w:eastAsia="宋体" w:cs="宋体"/>
          <w:b w:val="0"/>
          <w:color w:val="auto"/>
          <w:sz w:val="24"/>
          <w:highlight w:val="none"/>
          <w:lang w:eastAsia="zh-CN"/>
        </w:rPr>
        <w:t xml:space="preserve">自</w:t>
      </w:r>
      <w:r>
        <w:rPr>
          <w:rFonts w:hint="default" w:ascii="宋体" w:hAnsi="宋体" w:eastAsia="宋体" w:cs="宋体"/>
          <w:b w:val="0"/>
          <w:color w:val="auto"/>
          <w:sz w:val="24"/>
          <w:highlight w:val="none"/>
        </w:rPr>
        <w:t xml:space="preserve">合同签订之日起12个月。</w:t>
      </w:r>
      <w:r/>
    </w:p>
    <w:p>
      <w:pPr>
        <w:ind w:right="210" w:firstLine="480"/>
        <w:jc w:val="left"/>
        <w:spacing w:line="360" w:lineRule="auto"/>
        <w:rPr>
          <w:rFonts w:hint="default"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3</w:t>
      </w:r>
      <w:r>
        <w:rPr>
          <w:rFonts w:hint="default" w:ascii="宋体" w:hAnsi="宋体" w:eastAsia="宋体" w:cs="宋体"/>
          <w:b w:val="0"/>
          <w:color w:val="auto"/>
          <w:sz w:val="24"/>
          <w:highlight w:val="none"/>
        </w:rPr>
        <w:t xml:space="preserve">.交货地点：采购</w:t>
      </w:r>
      <w:r>
        <w:rPr>
          <w:rFonts w:hint="default" w:ascii="宋体" w:hAnsi="宋体" w:eastAsia="宋体" w:cs="宋体"/>
          <w:b w:val="0"/>
          <w:color w:val="auto"/>
          <w:sz w:val="24"/>
          <w:highlight w:val="none"/>
          <w:lang w:eastAsia="zh-CN"/>
        </w:rPr>
        <w:t xml:space="preserve">人</w:t>
      </w:r>
      <w:r>
        <w:rPr>
          <w:rFonts w:hint="default" w:ascii="宋体" w:hAnsi="宋体" w:eastAsia="宋体" w:cs="宋体"/>
          <w:b w:val="0"/>
          <w:color w:val="auto"/>
          <w:sz w:val="24"/>
          <w:highlight w:val="none"/>
        </w:rPr>
        <w:t xml:space="preserve">指定地点</w:t>
      </w:r>
      <w:r/>
    </w:p>
    <w:p>
      <w:pPr>
        <w:ind w:right="210" w:firstLine="480"/>
        <w:jc w:val="left"/>
        <w:spacing w:line="360" w:lineRule="auto"/>
        <w:rPr>
          <w:rFonts w:hint="default"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4</w:t>
      </w:r>
      <w:r>
        <w:rPr>
          <w:rFonts w:hint="default" w:ascii="宋体" w:hAnsi="宋体" w:eastAsia="宋体" w:cs="宋体"/>
          <w:b w:val="0"/>
          <w:color w:val="auto"/>
          <w:sz w:val="24"/>
          <w:highlight w:val="none"/>
        </w:rPr>
        <w:t xml:space="preserve">.</w:t>
      </w:r>
      <w:r>
        <w:rPr>
          <w:rFonts w:hint="default" w:ascii="宋体" w:hAnsi="宋体" w:eastAsia="宋体" w:cs="宋体"/>
          <w:b w:val="0"/>
          <w:color w:val="auto"/>
          <w:sz w:val="24"/>
          <w:highlight w:val="none"/>
          <w:lang w:eastAsia="zh-CN"/>
        </w:rPr>
        <w:t xml:space="preserve">质保期</w:t>
      </w:r>
      <w:r>
        <w:rPr>
          <w:rFonts w:hint="default" w:ascii="宋体" w:hAnsi="宋体" w:eastAsia="宋体" w:cs="宋体"/>
          <w:b w:val="0"/>
          <w:color w:val="auto"/>
          <w:sz w:val="24"/>
          <w:highlight w:val="none"/>
        </w:rPr>
        <w:t xml:space="preserve">：自采购人验收合格之日起5年</w:t>
      </w:r>
      <w:r>
        <w:rPr>
          <w:rFonts w:hint="eastAsia" w:ascii="宋体" w:hAnsi="宋体" w:eastAsia="宋体" w:cs="宋体"/>
          <w:b w:val="0"/>
          <w:color w:val="auto"/>
          <w:sz w:val="24"/>
          <w:highlight w:val="none"/>
          <w:lang w:eastAsia="zh-CN"/>
        </w:rPr>
        <w:t xml:space="preserve">，</w:t>
      </w:r>
      <w:r>
        <w:rPr>
          <w:rFonts w:hint="default" w:ascii="宋体" w:hAnsi="宋体" w:eastAsia="宋体" w:cs="宋体"/>
          <w:b w:val="0"/>
          <w:color w:val="auto"/>
          <w:sz w:val="24"/>
          <w:highlight w:val="none"/>
        </w:rPr>
        <w:t xml:space="preserve">质保期内免费升级、维护。</w:t>
      </w:r>
      <w:r/>
    </w:p>
    <w:p>
      <w:pPr>
        <w:ind w:right="210" w:firstLine="0"/>
        <w:jc w:val="left"/>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三、技术要求</w:t>
      </w:r>
      <w:r/>
    </w:p>
    <w:p>
      <w:pPr>
        <w:ind w:right="210" w:firstLine="0"/>
        <w:jc w:val="left"/>
        <w:spacing w:line="360" w:lineRule="auto"/>
        <w:rPr>
          <w:rFonts w:hint="default" w:ascii="宋体" w:hAnsi="宋体" w:eastAsia="宋体" w:cs="宋体"/>
          <w:b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1.采购清单及技术参数要求</w:t>
      </w:r>
      <w:r/>
    </w:p>
    <w:tbl>
      <w:tblPr>
        <w:tblStyle w:val="905"/>
        <w:tblW w:w="9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272"/>
        <w:gridCol w:w="1589"/>
        <w:gridCol w:w="6279"/>
        <w:gridCol w:w="427"/>
        <w:gridCol w:w="533"/>
      </w:tblGrid>
      <w:tr>
        <w:trPr>
          <w:trHeight w:val="285"/>
        </w:trPr>
        <w:tc>
          <w:tcPr>
            <w:gridSpan w:val="5"/>
            <w:shd w:val="clear" w:color="auto" w:fill="auto"/>
            <w:tcBorders>
              <w:top w:val="single" w:color="auto" w:sz="4" w:space="0"/>
              <w:left w:val="single" w:color="auto" w:sz="4" w:space="0"/>
              <w:bottom w:val="single" w:color="auto" w:sz="4" w:space="0"/>
              <w:right w:val="single" w:color="auto" w:sz="4" w:space="0"/>
            </w:tcBorders>
            <w:tcW w:w="9100" w:type="dxa"/>
            <w:vAlign w:val="center"/>
            <w:textDirection w:val="lrTb"/>
            <w:noWrap w:val="false"/>
          </w:tcPr>
          <w:p>
            <w:pPr>
              <w:jc w:val="center"/>
              <w:keepLines w:val="0"/>
              <w:keepNext w:val="0"/>
              <w:widowControl/>
              <w:rPr>
                <w:rFonts w:hint="eastAsia" w:ascii="宋体" w:hAnsi="宋体" w:eastAsia="宋体" w:cs="宋体"/>
                <w:b/>
                <w:i w:val="0"/>
                <w:color w:val="auto"/>
                <w:sz w:val="40"/>
                <w:szCs w:val="40"/>
                <w:highlight w:val="none"/>
                <w:u w:val="none"/>
              </w:rPr>
              <w:suppressLineNumbers w:val="0"/>
            </w:pPr>
            <w:r>
              <w:rPr>
                <w:rFonts w:hint="eastAsia" w:ascii="宋体" w:hAnsi="宋体" w:eastAsia="宋体" w:cs="宋体"/>
                <w:b/>
                <w:i w:val="0"/>
                <w:color w:val="auto"/>
                <w:sz w:val="28"/>
                <w:szCs w:val="28"/>
                <w:highlight w:val="none"/>
                <w:u w:val="none"/>
                <w:lang w:val="en-US" w:eastAsia="zh-CN" w:bidi="ar"/>
              </w:rPr>
              <w:t xml:space="preserve">项目设备等技术参数清单</w:t>
            </w:r>
            <w:r/>
          </w:p>
        </w:tc>
      </w:tr>
      <w:tr>
        <w:trPr>
          <w:trHeight w:val="285"/>
        </w:trPr>
        <w:tc>
          <w:tcPr>
            <w:shd w:val="clear" w:color="auto" w:fill="auto"/>
            <w:tcBorders>
              <w:top w:val="single" w:color="auto" w:sz="4" w:space="0"/>
              <w:left w:val="single" w:color="000000" w:sz="4" w:space="0"/>
              <w:bottom w:val="single" w:color="auto" w:sz="4" w:space="0"/>
              <w:right w:val="single" w:color="000000" w:sz="4" w:space="0"/>
            </w:tcBorders>
            <w:tcW w:w="272"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auto" w:sz="4" w:space="0"/>
              <w:right w:val="single" w:color="000000" w:sz="4" w:space="0"/>
            </w:tcBorders>
            <w:tcW w:w="1589"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产品名称</w:t>
            </w:r>
            <w:r/>
          </w:p>
        </w:tc>
        <w:tc>
          <w:tcPr>
            <w:shd w:val="clear" w:color="auto" w:fill="auto"/>
            <w:tcBorders>
              <w:top w:val="single" w:color="auto" w:sz="4" w:space="0"/>
              <w:left w:val="single" w:color="000000" w:sz="4" w:space="0"/>
              <w:bottom w:val="single" w:color="auto" w:sz="4" w:space="0"/>
              <w:right w:val="single" w:color="000000" w:sz="4" w:space="0"/>
            </w:tcBorders>
            <w:tcW w:w="6279"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规格型号及技术参数</w:t>
            </w:r>
            <w:r/>
          </w:p>
        </w:tc>
        <w:tc>
          <w:tcPr>
            <w:shd w:val="clear" w:color="auto" w:fill="auto"/>
            <w:tcBorders>
              <w:top w:val="single" w:color="auto" w:sz="4" w:space="0"/>
              <w:left w:val="single" w:color="000000" w:sz="4" w:space="0"/>
              <w:bottom w:val="single" w:color="auto" w:sz="4" w:space="0"/>
              <w:right w:val="single" w:color="000000" w:sz="4" w:space="0"/>
            </w:tcBorders>
            <w:tcW w:w="427"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单位</w:t>
            </w:r>
            <w:r/>
          </w:p>
        </w:tc>
        <w:tc>
          <w:tcPr>
            <w:shd w:val="clear" w:color="auto" w:fill="auto"/>
            <w:tcBorders>
              <w:top w:val="single" w:color="auto" w:sz="4" w:space="0"/>
              <w:left w:val="single" w:color="000000" w:sz="4" w:space="0"/>
              <w:bottom w:val="single" w:color="auto" w:sz="4" w:space="0"/>
              <w:right w:val="single" w:color="000000" w:sz="4" w:space="0"/>
            </w:tcBorders>
            <w:tcW w:w="533"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数量</w:t>
            </w:r>
            <w:r/>
          </w:p>
        </w:tc>
      </w:tr>
      <w:tr>
        <w:trPr>
          <w:trHeight w:val="285"/>
        </w:trPr>
        <w:tc>
          <w:tcPr>
            <w:shd w:val="clear" w:color="auto" w:fill="auto"/>
            <w:tcBorders>
              <w:top w:val="single" w:color="auto"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A</w:t>
            </w:r>
            <w:r/>
          </w:p>
        </w:tc>
        <w:tc>
          <w:tcPr>
            <w:shd w:val="clear" w:color="auto" w:fill="auto"/>
            <w:tcBorders>
              <w:top w:val="single" w:color="auto"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前端设备</w:t>
            </w:r>
            <w:r/>
          </w:p>
        </w:tc>
        <w:tc>
          <w:tcPr>
            <w:shd w:val="clear" w:color="auto" w:fill="auto"/>
            <w:tcBorders>
              <w:top w:val="single" w:color="auto" w:sz="4" w:space="0"/>
              <w:left w:val="single" w:color="000000" w:sz="4" w:space="0"/>
              <w:bottom w:val="single" w:color="000000" w:sz="4" w:space="0"/>
              <w:right w:val="single" w:color="000000" w:sz="4" w:space="0"/>
            </w:tcBorders>
            <w:tcW w:w="6279"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533"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r>
      <w:tr>
        <w:trPr>
          <w:trHeight w:val="2931"/>
        </w:trPr>
        <w:tc>
          <w:tcPr>
            <w:shd w:val="clear" w:color="auto" w:fill="auto"/>
            <w:tcBorders>
              <w:top w:val="single" w:color="000000" w:sz="4" w:space="0"/>
              <w:left w:val="single" w:color="000000" w:sz="4" w:space="0"/>
              <w:bottom w:val="single" w:color="auto"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400万像素全彩超枪型网络摄像机</w:t>
            </w:r>
            <w:r/>
          </w:p>
        </w:tc>
        <w:tc>
          <w:tcPr>
            <w:shd w:val="clear" w:color="auto" w:fill="auto"/>
            <w:tcBorders>
              <w:top w:val="single" w:color="000000" w:sz="4" w:space="0"/>
              <w:left w:val="single" w:color="000000" w:sz="4" w:space="0"/>
              <w:bottom w:val="single" w:color="auto" w:sz="4" w:space="0"/>
              <w:right w:val="single" w:color="000000" w:sz="4" w:space="0"/>
            </w:tcBorders>
            <w:tcW w:w="6279"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1. 采用不低于400万像素1/1.8英寸CMOS图像传感器</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分辨率≥2688×1520；</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2. 采用定焦镜头；镜头光圈≥F1.0；镜头焦距3.6mm/6mm</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可选</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；内置不低于4颗混合补光灯；补光距离≥40m。</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3.最低照度≤0.0002lux（彩色模式）；≤0.0001lux（黑白模式）；0lux（补光灯开启）。</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▲4.支持超感光功能自动调节，可自动调节画面中人脸、人体目标以及环境景物的亮度、色彩饱和度、对比度、锐度</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画面信噪比不小于50dB</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色彩饱和度不小于120%。支持畸变矫正功能</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LDC</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开启畸变矫正功能后</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输出图像的几何失真、画面畸变应减小</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开启畸变矫正功能</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几何失真应小于等于9.2%。（提供国家认可的认证机构出具的带有CMA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▲5. 环境照度不高于0.5lx</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设备开启补光灯</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镜头上边缘出现遮挡物或环境雾霾粉尘等干扰物时</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设备可自动减弱画面模糊现象。支持防补光过曝功能，其支持人脸优先、车牌优先、关闭3种模式</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开启人脸优先功能</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设备检测到人员后可自动调节补光灯的亮度</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人员离开后补光灯恢复</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开启车牌优先功能</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设备检测到车辆后可自动开启补光灯并调节亮度</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车辆离开后补光灯关闭。（提供国家认可的认证机构出具的带有CMA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6. 接入标准支持ONVIF；GB/T28181；GB35114A。具有H.265、H.264、MJPEG 设置选项</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可将H.264和H.265格式设置为 Baseline/Main/HighProfile。</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  网络接口≥1个（RJ-45网口；支持10M/100M网络数据）；供电方式支持DC12V供电， 防护等级支持≥IP67。</w:t>
            </w:r>
            <w:r/>
          </w:p>
        </w:tc>
        <w:tc>
          <w:tcPr>
            <w:shd w:val="clear" w:color="auto" w:fill="auto"/>
            <w:tcBorders>
              <w:top w:val="single" w:color="000000" w:sz="4" w:space="0"/>
              <w:left w:val="single" w:color="000000" w:sz="4" w:space="0"/>
              <w:bottom w:val="single" w:color="auto"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auto"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46</w:t>
            </w:r>
            <w:r/>
          </w:p>
        </w:tc>
      </w:tr>
      <w:tr>
        <w:trPr>
          <w:trHeight w:val="2752"/>
        </w:trPr>
        <w:tc>
          <w:tcPr>
            <w:shd w:val="clear" w:color="auto" w:fill="auto"/>
            <w:tcBorders>
              <w:top w:val="single" w:color="auto" w:sz="4" w:space="0"/>
              <w:left w:val="single" w:color="auto" w:sz="4" w:space="0"/>
              <w:bottom w:val="single" w:color="auto" w:sz="4" w:space="0"/>
              <w:right w:val="single" w:color="auto"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400万像素红外智能球机</w:t>
            </w:r>
            <w:r/>
          </w:p>
        </w:tc>
        <w:tc>
          <w:tcPr>
            <w:shd w:val="clear" w:color="auto" w:fill="auto"/>
            <w:tcBorders>
              <w:top w:val="single" w:color="auto" w:sz="4" w:space="0"/>
              <w:left w:val="single" w:color="auto" w:sz="4" w:space="0"/>
              <w:bottom w:val="single" w:color="auto" w:sz="4" w:space="0"/>
              <w:right w:val="single" w:color="auto" w:sz="4" w:space="0"/>
            </w:tcBorders>
            <w:tcW w:w="6279"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1.设备采用不低于400万像素1/1.8英寸CMOS图像传感器，分辨率≥2688×1520。</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2.最低照度：彩色≤0.0005lux；黑白≤0.0001lux（补光灯开启）。</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3.采用电动变焦镜头，镜头焦距范围4.8mm～154mm；光学变倍≥32倍；数字变倍≥16倍。内置不低于4颗红外补光灯，补光距离≥150m。</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4.支持水平方向360°连续旋转，垂直方向范围-20°～90°自动翻转180°后连续监视；支持≥300个预置位，≥8条巡航路径，≥5条巡迹路径。</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5.支持绊线入侵、区域入侵、穿越围栏、徘徊检测、物品遗留、物品搬移、快速移动、停车检测、人员聚集等通用智能；支持人车分类报警；支持联动跟踪。</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6.支持人脸检测；支持优选；支持抓拍；支持上报最优的人脸抓图；支持人脸增强；支持人脸属性提取。</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7.接入标准支持ONVIF；GB/T28181；GA/T1400；GB35114A。具有H.265、H.264、MJPEG 设置选项</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可将H.264和H.265格式设置为 Baseline/Main/HighProfile。</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8.支持≥1路音频输入，≥1路音频输出，≥2路报警输入，≥1路报警输出；支持报警联动功能。供电方式支持DC24V宽电压输入；防护等级支持≥IP66，≥6000V防雷、防浪涌和防突波保护。</w:t>
            </w:r>
            <w:r/>
          </w:p>
        </w:tc>
        <w:tc>
          <w:tcPr>
            <w:shd w:val="clear" w:color="auto" w:fill="auto"/>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w:t>
            </w:r>
            <w:r/>
          </w:p>
        </w:tc>
      </w:tr>
      <w:tr>
        <w:trPr>
          <w:trHeight w:val="4454"/>
        </w:trPr>
        <w:tc>
          <w:tcPr>
            <w:shd w:val="clear" w:color="auto" w:fill="auto"/>
            <w:tcBorders>
              <w:top w:val="single" w:color="auto" w:sz="4" w:space="0"/>
              <w:left w:val="single" w:color="000000" w:sz="4" w:space="0"/>
              <w:bottom w:val="single" w:color="auto"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auto" w:sz="4" w:space="0"/>
              <w:left w:val="single" w:color="000000" w:sz="4" w:space="0"/>
              <w:bottom w:val="single" w:color="auto"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400万像素高空球机</w:t>
            </w:r>
            <w:r/>
          </w:p>
        </w:tc>
        <w:tc>
          <w:tcPr>
            <w:shd w:val="clear" w:color="auto" w:fill="auto"/>
            <w:tcBorders>
              <w:top w:val="single" w:color="auto" w:sz="4" w:space="0"/>
              <w:left w:val="single" w:color="000000" w:sz="4" w:space="0"/>
              <w:bottom w:val="single" w:color="auto" w:sz="4" w:space="0"/>
              <w:right w:val="single" w:color="000000" w:sz="4" w:space="0"/>
            </w:tcBorders>
            <w:tcW w:w="6279"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1.设备支持内置≥3个图像传感器；可同时输出两路视频图像；细节通道采用不低于400万像素1/1.8英寸CMOS图像传感器</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全景拼接通道采用不低于双300万像素1/1.8英寸CMOS图像传感器，细节通道分辨率≥2688×1520; 全景通道分辨率≥3632×1632，支持两路拼接全景视角。</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2.最低照度：彩色≤0.0002Lux；黑白≤0.0001Lux。全景通道可输出2个镜头无缝拼接的全景图像</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拼接偏差像素不大于4个像素</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全景摄像机水平视场角不小于210°</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垂直视场角不小于90°。</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3.全景通道采用定焦镜头，镜头焦距均≤2*2.8mm；细节通道采用电动变焦镜头，镜头焦距范围5.5mm～220mm; 细节支持光学变倍≥40倍，数字变倍≥16倍。内置混合补光灯，补光距离≥200m。</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▲4.全景通道支持电动调节垂直旋转</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旋转范围支持5°~24°；细节通道支持0°~360°连续旋转</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垂直旋转范围支持-30°~+90° 。内置2个麦克风和1个扬声器</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可随样机的转动进行水平（0°~360°）、垂直（-30°~+90°）旋转不同方向语音对讲。支持通用行为分析、视频结构化、卡口抓拍、交通道路事件、抛洒物等智能模式，每个预置点可在0.5s内完成智能模式切换 。（提供国家认可的认证机构出具的带有CMA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5.支持从最小倍率变倍聚焦至距离100m处人脸目标时间不大于0.3s，抓拍图片中人脸目标像素不低于70×70；从最小倍率变倍聚焦至距离100m处车牌目标时间不大于0.3s，抓拍图片中车牌目标像素不低于150×50。（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6.全景和细节通道支持独立运行不同智能。全景支持周界防范、人群分布图等智能功能。细节通道</w:t>
            </w:r>
            <w:r>
              <w:rPr>
                <w:rFonts w:hint="eastAsia" w:ascii="宋体" w:hAnsi="宋体" w:cs="宋体"/>
                <w:i w:val="0"/>
                <w:color w:val="auto"/>
                <w:sz w:val="20"/>
                <w:szCs w:val="20"/>
                <w:highlight w:val="none"/>
                <w:u w:val="none"/>
                <w:lang w:val="en-US" w:eastAsia="zh-CN" w:bidi="ar"/>
              </w:rPr>
              <w:t xml:space="preserve">支持</w:t>
            </w:r>
            <w:r>
              <w:rPr>
                <w:rFonts w:hint="eastAsia" w:ascii="宋体" w:hAnsi="宋体" w:eastAsia="宋体" w:cs="宋体"/>
                <w:i w:val="0"/>
                <w:color w:val="auto"/>
                <w:sz w:val="20"/>
                <w:szCs w:val="20"/>
                <w:highlight w:val="none"/>
                <w:u w:val="none"/>
                <w:lang w:val="en-US" w:eastAsia="zh-CN" w:bidi="ar"/>
              </w:rPr>
              <w:t xml:space="preserve">机动车、非机动车、人脸、人体跟踪抓拍；支持机动车和非机动车属性提取；支持人脸和人体属性提取。</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7.设备支持在低照度环境下，可自动调节预览场景视频画面中人脸、人体、车辆等目标及预览场景视频画面的区域曝光、亮度、色彩饱和度、对比度、锐度等。</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▲8.设备支持快速变焦功能</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从最小倍数到最大倍数的变倍时间不大于1s</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从最大倍数到最小倍数的变倍时间不大于1s。支持人群分布大模型算法，可对全景通道绘制区域内的人数进行统计、可检出不低于5000人，并可检出高度、宽度均不小于5px的人头目标。（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9.接入标准支持ONVIF；GB/T28181；GA/T1400；GB35114A。具有H.265、H.264、MJPEG 设置选项</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可将H.264和H.265格式设置为 Baseline/Main/HighProfile。</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10.支持≥1路音频输入和≥1路音频输出；内置≥7路报警输入和≥2路报警输出，支持报警联动功能。供电方式支持DC36V宽电压输入；防护等级支持≥IP67，≥8000V防雷、防浪涌和防突波保护。</w:t>
            </w:r>
            <w:r/>
          </w:p>
        </w:tc>
        <w:tc>
          <w:tcPr>
            <w:shd w:val="clear" w:color="auto" w:fill="auto"/>
            <w:tcBorders>
              <w:top w:val="single" w:color="auto" w:sz="4" w:space="0"/>
              <w:left w:val="single" w:color="000000" w:sz="4" w:space="0"/>
              <w:bottom w:val="single" w:color="auto"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p>
        </w:tc>
      </w:tr>
      <w:tr>
        <w:trPr>
          <w:trHeight w:val="2496"/>
        </w:trPr>
        <w:tc>
          <w:tcPr>
            <w:shd w:val="clear" w:color="auto" w:fill="auto"/>
            <w:tcBorders>
              <w:top w:val="single" w:color="auto" w:sz="4" w:space="0"/>
              <w:left w:val="single" w:color="auto" w:sz="4" w:space="0"/>
              <w:bottom w:val="single" w:color="auto" w:sz="4" w:space="0"/>
              <w:right w:val="single" w:color="auto"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400万像素高速抓拍球机</w:t>
            </w:r>
            <w:r/>
          </w:p>
        </w:tc>
        <w:tc>
          <w:tcPr>
            <w:shd w:val="clear" w:color="auto" w:fill="auto"/>
            <w:tcBorders>
              <w:top w:val="single" w:color="auto" w:sz="4" w:space="0"/>
              <w:left w:val="single" w:color="auto" w:sz="4" w:space="0"/>
              <w:bottom w:val="single" w:color="auto" w:sz="4" w:space="0"/>
              <w:right w:val="single" w:color="auto" w:sz="4" w:space="0"/>
            </w:tcBorders>
            <w:tcW w:w="6279"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1. 设备支持内置≥2个图像传感器；全景细节通道均支持电动云台，全景和细节通道均采用不低于400W像素1/1.8英寸CMOS传感器，全景和细节分辨率均不低于2688×1520；</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2.最低照度≤0.0002lux（彩色模式）；≤0.0001lux（黑白模式）；0lux（补光灯开启）。</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3.全景和细节均采用电动变焦镜头，全景焦距范围8mm～32mm；细节焦距范围7mm～175mm，细节支持25倍光学变倍。设备内置补光灯≥10颗；全景补光距离≥30m；细节补光距离≥150m。</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▲4. 设备全景、细节两个通道均支持远程云台控制及布控功能，可分时复用。设备可输出全景画面和细节画面</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所有摄像机可通过浏览器设置云台转动位置。全景摄像机支持水平0°~360°连续旋转</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垂直角度：0°~30°；细节摄像机水平角度：0°~340°</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垂直角度：-10°~180°</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旋转过程中无水平翻转。设备细节镜头内置GMR磁场传感器，当镜头群组</w:t>
            </w:r>
            <w:r>
              <w:rPr>
                <w:rFonts w:hint="eastAsia" w:ascii="宋体" w:hAnsi="宋体" w:cs="宋体"/>
                <w:i w:val="0"/>
                <w:color w:val="auto"/>
                <w:sz w:val="20"/>
                <w:szCs w:val="20"/>
                <w:highlight w:val="none"/>
                <w:u w:val="none"/>
                <w:lang w:val="en-US" w:eastAsia="zh-CN" w:bidi="ar"/>
              </w:rPr>
              <w:t xml:space="preserve">受到</w:t>
            </w:r>
            <w:r>
              <w:rPr>
                <w:rFonts w:hint="eastAsia" w:ascii="宋体" w:hAnsi="宋体" w:eastAsia="宋体" w:cs="宋体"/>
                <w:i w:val="0"/>
                <w:color w:val="auto"/>
                <w:sz w:val="20"/>
                <w:szCs w:val="20"/>
                <w:highlight w:val="none"/>
                <w:u w:val="none"/>
                <w:lang w:val="en-US" w:eastAsia="zh-CN" w:bidi="ar"/>
              </w:rPr>
              <w:t xml:space="preserve">外力作用发生偏移时可自动复位。（提供国家认可的认证机构出具的带有CMA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5. 设备支持机动车、非机动车、人脸、人体跟踪抓拍；支持机动车和非机动车属性提取；支持人脸和人体属性提取。</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6.支持独立态联动态双模式；独立态模式，全景细节均支持同时独立运行视频结构化、人脸检测等多种智能；联动态模式，全景支持视频结构化联动细节人员抓拍及属性提取；全景支持周界检测联动细节跟踪及目标抓拍属性提取。</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7.设备支持细节镜头从最小倍变倍聚焦至设备100m处人脸目标时间不大于0.3s，抓拍图片中人脸目标像素不低于70×70；从最小倍变倍聚焦至设备100m处车牌目标时间不大于0.3s，抓拍图片中车牌目标像素不低于150×50。设备支持手动或自动启动雨刷功能。（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8.接入标准支持ONVIF；GB/T28181；GA/T1400；GB35114A。具有H.265、H.264、MJPEG 设置选项</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可将H.264和H.265格式设置为 Baseline/Main/HighProfile。</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9. 供电方式支持DC36V宽电压输入， 防护等级支持≥IP67,TVS 8000V防雷、防浪涌和防突波保护。</w:t>
            </w:r>
            <w:r/>
          </w:p>
        </w:tc>
        <w:tc>
          <w:tcPr>
            <w:shd w:val="clear" w:color="auto" w:fill="auto"/>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r>
      <w:tr>
        <w:trPr>
          <w:trHeight w:val="7784"/>
        </w:trPr>
        <w:tc>
          <w:tcPr>
            <w:shd w:val="clear" w:color="auto" w:fill="auto"/>
            <w:tcBorders>
              <w:top w:val="single" w:color="auto" w:sz="4" w:space="0"/>
              <w:left w:val="single" w:color="auto" w:sz="4" w:space="0"/>
              <w:bottom w:val="single" w:color="auto" w:sz="4" w:space="0"/>
              <w:right w:val="single" w:color="auto"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400W双通道全结构化摄像机</w:t>
            </w:r>
            <w:r/>
          </w:p>
        </w:tc>
        <w:tc>
          <w:tcPr>
            <w:shd w:val="clear" w:color="auto" w:fill="auto"/>
            <w:tcBorders>
              <w:top w:val="single" w:color="auto" w:sz="4" w:space="0"/>
              <w:left w:val="single" w:color="auto" w:sz="4" w:space="0"/>
              <w:bottom w:val="single" w:color="auto" w:sz="4" w:space="0"/>
              <w:right w:val="single" w:color="auto" w:sz="4" w:space="0"/>
            </w:tcBorders>
            <w:tcW w:w="6279"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1.设备支持内置≥2个图像传感器；全景和细节通道均采用不低于400W像素1/1.8英寸CMOS图像传感器，分辨率均支持≥2688×1520。</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2.最低照度：彩色≤0.0002lux；黑白≤0.0001lux；0lux（补光灯开启）。</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3.全景通道采用定焦镜头；镜头焦距≤3.6mm</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细节通道采用电动变焦镜头，镜头范围8mm～32mm。全景通道内置≥2颗混合补光灯，细节通道内置≥3颗混合补光灯</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补光距离≥100m</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人脸检测距离≥15m。</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4.细节通道支持机动车、非机动车、人脸、人体跟踪抓拍；支持机动车和非机动车属性提取；支持人脸和人体属性提取。</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▲5.设备可通过浏览器自定义旋转角度</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可一键调节云台至设置的角度。支持场景大模型算法研判</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当场景自定义选择环境自适应选项时</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可根据环境亮度变化自动进行白天/夜晚的配置切换</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白天/夜晚的图像配置包含宽动态、曝光、增益等参数。（提供国家认可的认证机构出具的带有CMA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▲6.全景通道支持光圈F≥1.0。设备支持聚焦目标可设置为混合模式或者人脸模式</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当画面中无参考人体目标进行自动聚焦时</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选择混合聚焦</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应保证画面整体清晰</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切换为人脸模式聚焦时</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应根据画面场景自动调整聚焦策略</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应优先保证抓拍人脸清晰度。（提供国家认可的认证机构出具的带有CMA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▲7.设备在环境光照度低于50lx且同一画面中</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可同时对不同速度、明亮度、反光度的行人、非机动车、机动车分类曝光</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可实时检测、跟踪、抓拍行进的行人人脸、人体、非机动车及车上人员、机动车车牌、机动车</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可识别人脸及车牌号码</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抓拍的人脸和车牌号码图片应清晰可辨</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无过曝、过暗情况。（提供国家认可的认证机构出具的带有CMA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8.全景摄像机与细节摄像机均支持独立电动云台；全景摄像机</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垂直旋转范围</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-5°~30°，水平旋转范围</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0°~355°；细节摄像机</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垂直旋转范围</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-5°~30°。</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9.接入标准支持ONVIF；GB/T28181；GA/T1400；GB35114A。具有H.265、H.264、MJPEG 设置选项</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可将H.264和H.265格式设置为 Baseline/Main/HighProfile。</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10.支持内置双麦克风，支持内置扬声器；支持≥1个（RJ-45网口，支持10M/100M/1000M 网络数据）；供电方式支持DC12V；防护等级支持≥IP67。</w:t>
            </w:r>
            <w:r/>
          </w:p>
        </w:tc>
        <w:tc>
          <w:tcPr>
            <w:shd w:val="clear" w:color="auto" w:fill="auto"/>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242</w:t>
            </w:r>
            <w:r/>
          </w:p>
        </w:tc>
      </w:tr>
      <w:tr>
        <w:trPr>
          <w:trHeight w:val="3693"/>
        </w:trPr>
        <w:tc>
          <w:tcPr>
            <w:shd w:val="clear" w:color="auto" w:fill="auto"/>
            <w:tcBorders>
              <w:top w:val="single" w:color="auto"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p>
        </w:tc>
        <w:tc>
          <w:tcPr>
            <w:shd w:val="clear" w:color="auto" w:fill="auto"/>
            <w:tcBorders>
              <w:top w:val="single" w:color="auto"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800W双通道全结构化摄像机</w:t>
            </w:r>
            <w:r/>
          </w:p>
        </w:tc>
        <w:tc>
          <w:tcPr>
            <w:shd w:val="clear" w:color="auto" w:fill="auto"/>
            <w:tcBorders>
              <w:top w:val="single" w:color="auto" w:sz="4" w:space="0"/>
              <w:left w:val="single" w:color="000000" w:sz="4" w:space="0"/>
              <w:right w:val="single" w:color="000000" w:sz="4" w:space="0"/>
            </w:tcBorders>
            <w:tcW w:w="6279"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1.设备支持内置≥3个图像传感器，可同时输出两路视频图像，细节通道采用不低于800万像素1/1.2英寸CMOS图像传感器</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全景拼接通道采用不低于双400万像素1/2.5英寸CMOS图像传感器；细节通道分辨率≥3840×2160; 全景通道分辨率≥4096×2104，支持两路拼接全景视角。</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2.最低照度：彩色≤0.0002lx； 黑白≤0.0001lx；细节通道采用电动变焦镜头，镜头焦距范围10</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50mm; 全景通道采用定焦镜头，镜头焦距均≤2*3.6mm。内置混合补光灯，补光距离≥100m，人脸检测距离≥20m。</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3.细节通道支持机动车、非机动车、人脸、人体跟踪抓拍；支持机动车和非机动车属性提取；支持人脸和人体属性提取。</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4.细节通道广角端镜头光圈不小于F1.2。全景通道水平视场角不低于180°</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垂直视场角不低于95°。内置不低于7颗补光灯</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补光灯开启后</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无明显波纹状、圆环状、麻点状、条纹状及不规则亮斑。支持一键预置位功能</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可通过web一键控制设备通道1</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全景</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云台转到指定位置</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并具有平面效果图展示。具有景深拓展模式选项</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在相同图像参数、光圈设置的情况下</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开启景深拓展功能</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可使设备景深变大</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画面内景象保持清晰</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使设备景深增加至50m。</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5.双通道均支持独立电动云台</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全景通道垂直旋转范围不小于-5°~45°；水平旋转范围不小于0°~355°；通道2</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细节</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垂直旋转范围不小于-5°~30°。设备机身外壳内嵌水平仪</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可检测设备的水平程度。云台转动至最大角度时</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预览界面云台控制按钮会闪红并弹窗提示。通道2细节内置景深编码模块</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可通过景深编码模块进行一键景深扩展调节</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调节时间&lt;1s。</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6.接入标准支持ONVIF；GB/T28181；GA/T1400；GB35114A。具有H.265、H.264、MJPEG 设置选项</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可将H.264和H.265格式设置为 Baseline/Main/HighProfile。</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7.支持内置≥2个麦克风，内置≥1个扬声器；网络接口≥1个（RJ-45网口，支持10M/100M/1000M 网络数据）；供电方式支持DC12V供电；防护等级支持≥IP67。</w:t>
            </w:r>
            <w:r/>
          </w:p>
        </w:tc>
        <w:tc>
          <w:tcPr>
            <w:shd w:val="clear" w:color="auto" w:fill="auto"/>
            <w:tcBorders>
              <w:top w:val="single" w:color="auto"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270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监控专用电源</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户外防水DC12V,3A</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558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安装万向节</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三维万向节，金属镀锌喷塑，螺丝采用不锈钢</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558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前端摄像机连接线缆</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设备箱至摄像机连接线，电源线、六类网线、信号线等，含套管</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569</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室外挂杆箱</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304不锈钢定制，厚度1.0，380*410*220，喷塑印公安专用字样，用于电杆及户外接线放置传输设备及电源控制保护装置，内含：空开，防雷，电源插排，接地排等。包含安装包箍，借杆安装要求设备箱后背离开电杆15cm以上。</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287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高空摄像机安装支架</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金属定制，整体镀锌喷塑，管材直径≥75mm，摄像机出墙长度≥1000mm，制作不低于3种防坠落防护。</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摄像机安装横臂</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金属定制，0.6</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1.5米，管材直径≥75mm，整体热镀锌喷塑，含安装抱箍</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6米摄像机安装立杆</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杆高6米，壁厚5mm。底盘法兰￠420×10。底部为￠160 mm，</w:t>
            </w:r>
            <w:r>
              <w:rPr>
                <w:rFonts w:hint="eastAsia" w:ascii="宋体" w:hAnsi="宋体" w:cs="宋体"/>
                <w:i w:val="0"/>
                <w:color w:val="auto"/>
                <w:sz w:val="20"/>
                <w:szCs w:val="20"/>
                <w:highlight w:val="none"/>
                <w:u w:val="none"/>
                <w:lang w:val="en-US" w:eastAsia="zh-CN" w:bidi="ar"/>
              </w:rPr>
              <w:t xml:space="preserve">顶部</w:t>
            </w:r>
            <w:r>
              <w:rPr>
                <w:rFonts w:hint="eastAsia" w:ascii="宋体" w:hAnsi="宋体" w:eastAsia="宋体" w:cs="宋体"/>
                <w:i w:val="0"/>
                <w:color w:val="auto"/>
                <w:sz w:val="20"/>
                <w:szCs w:val="20"/>
                <w:highlight w:val="none"/>
                <w:u w:val="none"/>
                <w:lang w:val="en-US" w:eastAsia="zh-CN" w:bidi="ar"/>
              </w:rPr>
              <w:t xml:space="preserve">为￠110 mm整体热浸锌，喷塑。包含防雷接地设备。</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6米立杆基础</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基础尺寸：600*600*800，包含防雷接地及基础地笼开挖、混凝土浇筑和土方清运及绿化恢复。</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4米摄像机安装立杆</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杆高4米壁厚4mm。底盘法兰￠320×10。管径为￠140 mm，整体热浸锌，喷塑。</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4米立杆基础</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基础尺寸：500*500*600，包含防雷接地及基础地笼开挖、混凝土浇筑和土方清运及绿化恢复。</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45</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标识标牌</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标志牌外框规格为600*400mm，铝板四周翻折10mm框边，背面采用50mm铝型材，铝板与背面铝型材采用焊接连接，焊缝打磨平滑；所有结构的焊接必须满足国家行业标准，标志牌底板采用2mm厚铝板，没有拼接，是整块成形，牌面反光膜选用工程级反光膜。</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287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安装所需五金件、标签、套管、水晶头等。</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569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传输设备及线路</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r>
      <w:tr>
        <w:trPr>
          <w:trHeight w:val="2439"/>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工业级光纤汇聚交换机</w:t>
            </w:r>
            <w:r/>
          </w:p>
        </w:tc>
        <w:tc>
          <w:tcPr>
            <w:shd w:val="clear" w:color="auto" w:fill="auto"/>
            <w:tcBorders>
              <w:top w:val="single" w:color="000000" w:sz="4" w:space="0"/>
              <w:left w:val="single" w:color="000000" w:sz="4" w:space="0"/>
              <w:right w:val="single" w:color="000000" w:sz="4" w:space="0"/>
            </w:tcBorders>
            <w:tcW w:w="6279" w:type="dxa"/>
            <w:vAlign w:val="top"/>
            <w:textDirection w:val="lrTb"/>
            <w:noWrap w:val="false"/>
          </w:tcPr>
          <w:p>
            <w:pPr>
              <w:rPr>
                <w:rFonts w:hint="eastAsia"/>
                <w:color w:val="auto"/>
                <w:highlight w:val="none"/>
                <w:lang w:val="en-US" w:eastAsia="zh-CN"/>
              </w:rPr>
            </w:pPr>
            <w:r>
              <w:rPr>
                <w:rFonts w:hint="eastAsia"/>
                <w:color w:val="auto"/>
                <w:highlight w:val="none"/>
                <w:lang w:val="en-US" w:eastAsia="zh-CN"/>
              </w:rPr>
              <w:t xml:space="preserve">支持24个100Base-X FC/ST/SC光口（单模单纤20km）和≧2个千兆COMBO光电复用口，交换容量196Gbps，全线速转发，MAC地址8K，支持环网冗余技术 （自愈时间&lt;20ms），支持SNMP/IGMP/RMON等协议，满足IEEE802.1/IEEE802.3协议标准，支持VLAN，支持多种网络管理功能：端口镜像、端口隔离、端口汇聚，支持广播风暴抑制、流量控制、组播，支持QOS，1U机架式，国标三插电源接入AC100~240V。含24个百兆光模块。</w:t>
            </w:r>
            <w:r/>
          </w:p>
          <w:p>
            <w:pPr>
              <w:rPr>
                <w:rFonts w:hint="eastAsia"/>
                <w:color w:val="auto"/>
                <w:highlight w:val="none"/>
              </w:rPr>
            </w:pPr>
            <w:r>
              <w:rPr>
                <w:rFonts w:hint="eastAsia" w:ascii="宋体" w:hAnsi="宋体" w:eastAsia="宋体" w:cs="宋体"/>
                <w:i w:val="0"/>
                <w:color w:val="auto"/>
                <w:sz w:val="20"/>
                <w:szCs w:val="20"/>
                <w:highlight w:val="none"/>
                <w:u w:val="none"/>
                <w:lang w:val="en-US" w:eastAsia="zh-CN" w:bidi="ar"/>
              </w:rPr>
              <w:t xml:space="preserve">▲</w:t>
            </w:r>
            <w:r>
              <w:rPr>
                <w:rFonts w:hint="eastAsia"/>
                <w:color w:val="auto"/>
                <w:highlight w:val="none"/>
                <w:lang w:val="en-US" w:eastAsia="zh-CN"/>
              </w:rPr>
              <w:t xml:space="preserve">具备光电复用汇聚交换机软件相关著作权证书，提供证书复印件并加盖供应商公章；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14</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前端端口交换机</w:t>
            </w:r>
            <w:r/>
          </w:p>
        </w:tc>
        <w:tc>
          <w:tcPr>
            <w:shd w:val="clear" w:color="auto" w:fill="auto"/>
            <w:tcBorders>
              <w:top w:val="single" w:color="000000" w:sz="4" w:space="0"/>
              <w:left w:val="single" w:color="000000" w:sz="4" w:space="0"/>
              <w:right w:val="single" w:color="000000" w:sz="4" w:space="0"/>
            </w:tcBorders>
            <w:tcW w:w="6279" w:type="dxa"/>
            <w:vAlign w:val="top"/>
            <w:textDirection w:val="lrTb"/>
            <w:noWrap w:val="false"/>
          </w:tcPr>
          <w:p>
            <w:pPr>
              <w:rPr>
                <w:rFonts w:hint="eastAsia"/>
                <w:color w:val="auto"/>
                <w:highlight w:val="none"/>
                <w:lang w:val="en-US" w:eastAsia="zh-CN"/>
              </w:rPr>
            </w:pPr>
            <w:r>
              <w:rPr>
                <w:rFonts w:hint="eastAsia"/>
                <w:color w:val="auto"/>
                <w:highlight w:val="none"/>
                <w:lang w:val="en-US" w:eastAsia="zh-CN"/>
              </w:rPr>
              <w:t xml:space="preserve">支持5个10/100Base-X电口，IP40保护等级，全线速转发，符合EMC工业四级要求，工作温度-40~85℃，不含光模块。</w:t>
            </w:r>
            <w:r/>
          </w:p>
          <w:p>
            <w:pPr>
              <w:rPr>
                <w:rFonts w:hint="eastAsia"/>
                <w:color w:val="auto"/>
                <w:highlight w:val="none"/>
              </w:rPr>
            </w:pPr>
            <w:r>
              <w:rPr>
                <w:rFonts w:hint="eastAsia" w:ascii="宋体" w:hAnsi="宋体" w:eastAsia="宋体" w:cs="宋体"/>
                <w:i w:val="0"/>
                <w:color w:val="auto"/>
                <w:sz w:val="20"/>
                <w:szCs w:val="20"/>
                <w:highlight w:val="none"/>
                <w:u w:val="none"/>
                <w:lang w:val="en-US" w:eastAsia="zh-CN" w:bidi="ar"/>
              </w:rPr>
              <w:t xml:space="preserve">▲</w:t>
            </w:r>
            <w:r>
              <w:rPr>
                <w:rFonts w:hint="eastAsia"/>
                <w:color w:val="auto"/>
                <w:highlight w:val="none"/>
                <w:lang w:val="en-US" w:eastAsia="zh-CN"/>
              </w:rPr>
              <w:t xml:space="preserve">具备工业交换机软件相关著作权证书，提供证书复印件并加盖供应商公章；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30</w:t>
            </w:r>
            <w:r/>
          </w:p>
        </w:tc>
      </w:tr>
      <w:tr>
        <w:trPr>
          <w:trHeight w:val="2310"/>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前端工业级以太网光纤收发器</w:t>
            </w:r>
            <w:r/>
          </w:p>
        </w:tc>
        <w:tc>
          <w:tcPr>
            <w:shd w:val="clear" w:color="auto" w:fill="auto"/>
            <w:tcBorders>
              <w:top w:val="single" w:color="000000" w:sz="4" w:space="0"/>
              <w:left w:val="single" w:color="000000" w:sz="4" w:space="0"/>
              <w:right w:val="single" w:color="000000" w:sz="4" w:space="0"/>
            </w:tcBorders>
            <w:tcW w:w="6279" w:type="dxa"/>
            <w:vAlign w:val="top"/>
            <w:textDirection w:val="lrTb"/>
            <w:noWrap w:val="false"/>
          </w:tcPr>
          <w:p>
            <w:pPr>
              <w:rPr>
                <w:rFonts w:hint="eastAsia"/>
                <w:color w:val="auto"/>
                <w:highlight w:val="none"/>
                <w:lang w:val="en-US" w:eastAsia="zh-CN"/>
              </w:rPr>
            </w:pPr>
            <w:r>
              <w:rPr>
                <w:rFonts w:hint="eastAsia"/>
                <w:color w:val="auto"/>
                <w:highlight w:val="none"/>
                <w:lang w:val="en-US" w:eastAsia="zh-CN"/>
              </w:rPr>
              <w:t xml:space="preserve">支持4个10/100Base-X电口和1个100Base-X FC/ST/SC光口（单模单纤20kmSC），IP40保护等级，全线速转发，符合EMC工业四级要求，工作温度-40~85℃，含一只20公里百兆光模块。</w:t>
            </w:r>
            <w:r/>
          </w:p>
          <w:p>
            <w:pPr>
              <w:rPr>
                <w:rFonts w:hint="eastAsia"/>
                <w:color w:val="auto"/>
                <w:highlight w:val="none"/>
                <w:lang w:val="en-US" w:eastAsia="zh-CN"/>
              </w:rPr>
            </w:pPr>
            <w:r>
              <w:rPr>
                <w:rFonts w:hint="eastAsia" w:ascii="宋体" w:hAnsi="宋体" w:eastAsia="宋体" w:cs="宋体"/>
                <w:i w:val="0"/>
                <w:color w:val="auto"/>
                <w:sz w:val="20"/>
                <w:szCs w:val="20"/>
                <w:highlight w:val="none"/>
                <w:u w:val="none"/>
                <w:lang w:val="en-US" w:eastAsia="zh-CN" w:bidi="ar"/>
              </w:rPr>
              <w:t xml:space="preserve">▲</w:t>
            </w:r>
            <w:r>
              <w:rPr>
                <w:rFonts w:hint="eastAsia"/>
                <w:color w:val="auto"/>
                <w:highlight w:val="none"/>
                <w:lang w:val="en-US" w:eastAsia="zh-CN"/>
              </w:rPr>
              <w:t xml:space="preserve">具备光纤收发器软件相关著作权证书，提供证书复印件并加盖供应商公章；</w:t>
            </w:r>
            <w:r/>
          </w:p>
          <w:p>
            <w:pPr>
              <w:rPr>
                <w:rFonts w:hint="eastAsia"/>
                <w:color w:val="auto"/>
                <w:highlight w:val="none"/>
              </w:rPr>
            </w:pPr>
            <w:r>
              <w:rPr>
                <w:rFonts w:hint="eastAsia" w:ascii="宋体" w:hAnsi="宋体" w:eastAsia="宋体" w:cs="宋体"/>
                <w:i w:val="0"/>
                <w:color w:val="auto"/>
                <w:sz w:val="20"/>
                <w:szCs w:val="20"/>
                <w:highlight w:val="none"/>
                <w:u w:val="none"/>
                <w:lang w:val="en-US" w:eastAsia="zh-CN" w:bidi="ar"/>
              </w:rPr>
              <w:t xml:space="preserve">▲</w:t>
            </w:r>
            <w:r>
              <w:rPr>
                <w:rFonts w:hint="eastAsia"/>
                <w:color w:val="auto"/>
                <w:highlight w:val="none"/>
                <w:lang w:val="en-US" w:eastAsia="zh-CN"/>
              </w:rPr>
              <w:t xml:space="preserve">根据《光纤收发器测试方式》和《光纤收发器技术要求》检验依据，接收灵敏度≦-36dBm（需提供国家权威机构或其下属机构出具的检测报告证明，提供复印件并加盖供应商公章）。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277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千兆光纤模块</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千兆</w:t>
            </w:r>
            <w:r>
              <w:rPr>
                <w:rFonts w:hint="eastAsia" w:ascii="宋体" w:hAnsi="宋体" w:eastAsia="宋体" w:cs="宋体"/>
                <w:i w:val="0"/>
                <w:color w:val="auto"/>
                <w:sz w:val="20"/>
                <w:szCs w:val="20"/>
                <w:highlight w:val="none"/>
                <w:u w:val="none"/>
                <w:lang w:val="en-US" w:eastAsia="zh-CN" w:bidi="ar"/>
              </w:rPr>
              <w:t xml:space="preserve">光模块-SFP-GE-单模模块</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1310nm,20km,LC</w:t>
            </w:r>
            <w:r>
              <w:rPr>
                <w:rFonts w:hint="eastAsia" w:ascii="宋体" w:hAnsi="宋体" w:cs="宋体"/>
                <w:i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FC-FC接口/5米 单模</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277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LC-LC接口/5米 单模</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1U机架式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中心设备及算法</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r>
      <w:tr>
        <w:trPr>
          <w:trHeight w:val="1779"/>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视频存储</w:t>
            </w:r>
            <w:r/>
          </w:p>
        </w:tc>
        <w:tc>
          <w:tcPr>
            <w:shd w:val="clear" w:color="auto" w:fill="auto"/>
            <w:tcBorders>
              <w:top w:val="single" w:color="000000" w:sz="4" w:space="0"/>
              <w:left w:val="single" w:color="000000" w:sz="4" w:space="0"/>
              <w:right w:val="single" w:color="000000" w:sz="4" w:space="0"/>
            </w:tcBorders>
            <w:tcW w:w="6279" w:type="dxa"/>
            <w:vAlign w:val="top"/>
            <w:textDirection w:val="lrTb"/>
            <w:noWrap w:val="false"/>
          </w:tcPr>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系统架构：</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▲全对称架构，业务负载均衡，节点故障业务自迁移。提供产品彩页扫描件并加盖供应商公章；</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▲内置流媒体服务，支持视频流直存，无需额外流媒体存储转发服务器。提供产品彩页扫描件并加盖供应商公章；</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支持容器云平台，视图管理软件容器化，存储、转发服务按需部署。</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硬件配置：</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处理器：配置≥2颗CPU处理器，每颗CPU核心数≥16核，每颗CPU主频≥2.4GHz；</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内存：配置≥48G 内存；</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硬盘：配置≥2块960GB SAS SSD 系统盘，≥36 块 16TB SATA 硬盘；</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网络接口：配置≥4*GE，≥2*10GE；</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配置≥2个热插拔 2000W 交流电源模块，支持 1+1 冗余。</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功能要求：</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支持实况、录像回放、电视墙显示管理等；</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支持 H.264、H.265、MJPEG 等格式；</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支持 TCP，UDP，IPv4，HTTP，HTTPS，RTP，RTSP，RTCP，SIP，ARP，SSL，NTP，</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SMTP 等网络协议；</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支持实时/历史视频、图片等备份模式。</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性能要求：</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最大支持 1200 路@2Mbps 视图接入；</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最大支持 1200 路@2Mbps 实况转发。</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开放框架：</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南向对接：接入插件化集成，支持 Onvif2.4 以及 Onvif Profile S、GB/T28181、1400、主</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流摄像机厂家 SDK；</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北向对接：SDK、Restful；</w:t>
            </w:r>
            <w:r/>
          </w:p>
          <w:p>
            <w:pPr>
              <w:jc w:val="both"/>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质保：原厂5年质保（含硬盘不返还服务）。</w:t>
            </w:r>
            <w:r/>
          </w:p>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对接要求：支持与分局视频存储平台无缝接入</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人脸接入大数据算法</w:t>
            </w:r>
            <w:r/>
          </w:p>
        </w:tc>
        <w:tc>
          <w:tcPr>
            <w:shd w:val="clear" w:color="auto" w:fill="auto"/>
            <w:tcBorders>
              <w:top w:val="single" w:color="000000" w:sz="4" w:space="0"/>
              <w:left w:val="single" w:color="000000" w:sz="4" w:space="0"/>
              <w:right w:val="single" w:color="000000" w:sz="4" w:space="0"/>
            </w:tcBorders>
            <w:tcW w:w="6279"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包含基础业务应用单元，包含人脸、视频、图片接入解析单元，含授权。</w:t>
            </w:r>
            <w:r>
              <w:rPr>
                <w:rFonts w:hint="eastAsia" w:ascii="宋体" w:hAnsi="宋体" w:eastAsia="宋体" w:cs="宋体"/>
                <w:i w:val="0"/>
                <w:color w:val="auto"/>
                <w:sz w:val="20"/>
                <w:szCs w:val="20"/>
                <w:highlight w:val="none"/>
                <w:u w:val="none"/>
                <w:lang w:val="en-US" w:eastAsia="zh-CN" w:bidi="ar"/>
              </w:rPr>
              <w:br/>
            </w:r>
            <w:r>
              <w:rPr>
                <w:rFonts w:hint="eastAsia" w:ascii="宋体" w:hAnsi="宋体" w:eastAsia="宋体" w:cs="宋体"/>
                <w:i w:val="0"/>
                <w:color w:val="auto"/>
                <w:sz w:val="20"/>
                <w:szCs w:val="20"/>
                <w:highlight w:val="none"/>
                <w:u w:val="none"/>
                <w:lang w:val="en-US" w:eastAsia="zh-CN" w:bidi="ar"/>
              </w:rPr>
              <w:t xml:space="preserve">与智慧经开视频云综合应用实战平台无缝对接。</w:t>
            </w:r>
            <w:r>
              <w:rPr>
                <w:rFonts w:hint="eastAsia" w:ascii="宋体" w:hAnsi="宋体" w:cs="宋体"/>
                <w:b/>
                <w:bCs/>
                <w:color w:val="auto"/>
                <w:sz w:val="20"/>
                <w:szCs w:val="20"/>
                <w:highlight w:val="none"/>
                <w:lang w:bidi="ar"/>
              </w:rPr>
              <w:t xml:space="preserve">▲需保证与智慧经开视频云综合应用实战平台对接。（提供对接承诺函加盖</w:t>
            </w:r>
            <w:r>
              <w:rPr>
                <w:rFonts w:hint="eastAsia" w:ascii="宋体" w:hAnsi="宋体" w:cs="宋体"/>
                <w:b/>
                <w:bCs/>
                <w:color w:val="auto"/>
                <w:sz w:val="20"/>
                <w:szCs w:val="20"/>
                <w:highlight w:val="none"/>
                <w:lang w:eastAsia="zh-CN" w:bidi="ar"/>
              </w:rPr>
              <w:t xml:space="preserve">供应商</w:t>
            </w:r>
            <w:r>
              <w:rPr>
                <w:rFonts w:hint="eastAsia" w:ascii="宋体" w:hAnsi="宋体" w:cs="宋体"/>
                <w:b/>
                <w:bCs/>
                <w:color w:val="auto"/>
                <w:sz w:val="20"/>
                <w:szCs w:val="20"/>
                <w:highlight w:val="none"/>
                <w:lang w:bidi="ar"/>
              </w:rPr>
              <w:t xml:space="preserve">公章）</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513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链路接电电费</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eastAsia="zh-CN"/>
              </w:rPr>
              <w:suppressLineNumbers w:val="0"/>
            </w:pPr>
            <w:r>
              <w:rPr>
                <w:rFonts w:hint="eastAsia" w:ascii="宋体" w:hAnsi="宋体" w:cs="宋体"/>
                <w:i w:val="0"/>
                <w:color w:val="auto"/>
                <w:sz w:val="20"/>
                <w:szCs w:val="20"/>
                <w:highlight w:val="none"/>
                <w:u w:val="none"/>
                <w:lang w:eastAsia="zh-CN"/>
              </w:rPr>
              <w:t xml:space="preserve">链路租赁费</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现场点位至辖区派出所，单芯裸纤，最大光纤长度＜15KM，光纤综合折合的公里数不得大于导航推荐公里数的1.5倍，单价按照5年1路计算。规范敷设，市容整治区域禁止飞线。</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277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现场取电</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263个点位用电申请，电表安装以及安装所需的一切材料，电源线使用不低于RVV2*2.5，规范敷设，含开挖补偿，市容整治区域禁止飞线。</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前端设备五年运行接电</w:t>
            </w:r>
            <w:r>
              <w:rPr>
                <w:rFonts w:hint="eastAsia" w:ascii="宋体" w:hAnsi="宋体" w:cs="宋体"/>
                <w:i w:val="0"/>
                <w:color w:val="auto"/>
                <w:sz w:val="20"/>
                <w:szCs w:val="20"/>
                <w:highlight w:val="none"/>
                <w:u w:val="none"/>
                <w:lang w:val="en-US" w:eastAsia="zh-CN" w:bidi="ar"/>
              </w:rPr>
              <w:t xml:space="preserve">、使用、</w:t>
            </w:r>
            <w:r>
              <w:rPr>
                <w:rFonts w:hint="eastAsia" w:ascii="宋体" w:hAnsi="宋体" w:eastAsia="宋体" w:cs="宋体"/>
                <w:i w:val="0"/>
                <w:color w:val="auto"/>
                <w:sz w:val="20"/>
                <w:szCs w:val="20"/>
                <w:highlight w:val="none"/>
                <w:u w:val="none"/>
                <w:lang w:val="en-US" w:eastAsia="zh-CN" w:bidi="ar"/>
              </w:rPr>
              <w:t xml:space="preserve">维护等，传输借用点位使用现有电源供电，</w:t>
            </w:r>
            <w:r>
              <w:rPr>
                <w:rFonts w:hint="eastAsia" w:ascii="宋体" w:hAnsi="宋体" w:cs="宋体"/>
                <w:i w:val="0"/>
                <w:color w:val="auto"/>
                <w:sz w:val="20"/>
                <w:szCs w:val="20"/>
                <w:highlight w:val="none"/>
                <w:u w:val="none"/>
                <w:lang w:val="en-US" w:eastAsia="zh-CN" w:bidi="ar"/>
              </w:rPr>
              <w:t xml:space="preserve">费用</w:t>
            </w:r>
            <w:r>
              <w:rPr>
                <w:rFonts w:hint="eastAsia" w:ascii="宋体" w:hAnsi="宋体" w:eastAsia="宋体" w:cs="宋体"/>
                <w:i w:val="0"/>
                <w:color w:val="auto"/>
                <w:sz w:val="20"/>
                <w:szCs w:val="20"/>
                <w:highlight w:val="none"/>
                <w:u w:val="none"/>
                <w:lang w:val="en-US" w:eastAsia="zh-CN" w:bidi="ar"/>
              </w:rPr>
              <w:t xml:space="preserve">由中标单位自行与前期点位用电责任人结算</w:t>
            </w:r>
            <w:r>
              <w:rPr>
                <w:rFonts w:hint="eastAsia" w:ascii="宋体" w:hAnsi="宋体" w:cs="宋体"/>
                <w:i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569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r>
    </w:tbl>
    <w:p>
      <w:pPr>
        <w:ind w:firstLine="0"/>
        <w:jc w:val="left"/>
        <w:spacing w:line="360" w:lineRule="auto"/>
        <w:rPr>
          <w:rFonts w:hint="eastAsia" w:asciiTheme="majorEastAsia" w:hAnsiTheme="majorEastAsia" w:eastAsiaTheme="majorEastAsia" w:cstheme="majorEastAsia"/>
          <w:b/>
          <w:bCs/>
          <w:color w:val="auto"/>
          <w:sz w:val="24"/>
          <w:highlight w:val="none"/>
          <w:lang w:val="en-US" w:eastAsia="zh-CN"/>
        </w:rPr>
      </w:pPr>
      <w:r>
        <w:rPr>
          <w:rFonts w:hint="eastAsia" w:asciiTheme="majorEastAsia" w:hAnsiTheme="majorEastAsia" w:eastAsiaTheme="majorEastAsia" w:cstheme="majorEastAsia"/>
          <w:b/>
          <w:bCs/>
          <w:color w:val="auto"/>
          <w:sz w:val="24"/>
          <w:highlight w:val="none"/>
          <w:lang w:val="en-US" w:eastAsia="zh-CN"/>
        </w:rPr>
        <w:t xml:space="preserve">2.具体建设点位</w:t>
      </w:r>
      <w:r/>
    </w:p>
    <w:p>
      <w:pPr>
        <w:ind w:firstLine="0"/>
        <w:spacing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eastAsia="zh-CN"/>
        </w:rPr>
        <w:t xml:space="preserve">（</w:t>
      </w:r>
      <w:r>
        <w:rPr>
          <w:rFonts w:hint="eastAsia" w:asciiTheme="majorEastAsia" w:hAnsiTheme="majorEastAsia" w:eastAsiaTheme="majorEastAsia" w:cstheme="majorEastAsia"/>
          <w:b/>
          <w:bCs/>
          <w:color w:val="auto"/>
          <w:sz w:val="24"/>
          <w:szCs w:val="24"/>
          <w:highlight w:val="none"/>
          <w:lang w:val="en-US" w:eastAsia="zh-CN"/>
        </w:rPr>
        <w:t xml:space="preserve">1</w:t>
      </w:r>
      <w:r>
        <w:rPr>
          <w:rFonts w:hint="eastAsia" w:asciiTheme="majorEastAsia" w:hAnsiTheme="majorEastAsia" w:eastAsiaTheme="majorEastAsia" w:cstheme="majorEastAsia"/>
          <w:b/>
          <w:bCs/>
          <w:color w:val="auto"/>
          <w:sz w:val="24"/>
          <w:szCs w:val="24"/>
          <w:highlight w:val="none"/>
          <w:lang w:eastAsia="zh-CN"/>
        </w:rPr>
        <w:t xml:space="preserve">）</w:t>
      </w:r>
      <w:r>
        <w:rPr>
          <w:rFonts w:hint="eastAsia" w:asciiTheme="majorEastAsia" w:hAnsiTheme="majorEastAsia" w:eastAsiaTheme="majorEastAsia" w:cstheme="majorEastAsia"/>
          <w:b/>
          <w:bCs/>
          <w:color w:val="auto"/>
          <w:sz w:val="24"/>
          <w:szCs w:val="24"/>
          <w:highlight w:val="none"/>
        </w:rPr>
        <w:t xml:space="preserve">防控圈点位</w:t>
      </w:r>
      <w:r/>
    </w:p>
    <w:tbl>
      <w:tblPr>
        <w:tblStyle w:val="905"/>
        <w:tblW w:w="9100" w:type="dxa"/>
        <w:tblInd w:w="0" w:type="dxa"/>
        <w:tblLayout w:type="fixed"/>
        <w:tblCellMar>
          <w:left w:w="15" w:type="dxa"/>
          <w:top w:w="15" w:type="dxa"/>
          <w:right w:w="15" w:type="dxa"/>
          <w:bottom w:w="15" w:type="dxa"/>
        </w:tblCellMar>
        <w:tblLook w:val="04A0" w:firstRow="1" w:lastRow="0" w:firstColumn="1" w:lastColumn="0" w:noHBand="0" w:noVBand="1"/>
      </w:tblPr>
      <w:tblGrid>
        <w:gridCol w:w="445"/>
        <w:gridCol w:w="583"/>
        <w:gridCol w:w="3076"/>
        <w:gridCol w:w="2797"/>
        <w:gridCol w:w="1340"/>
        <w:gridCol w:w="859"/>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b/>
                <w:color w:val="auto"/>
                <w:sz w:val="22"/>
                <w:highlight w:val="none"/>
              </w:rPr>
            </w:pPr>
            <w:r>
              <w:rPr>
                <w:rFonts w:hint="eastAsia" w:ascii="宋体" w:hAnsi="宋体" w:cs="宋体"/>
                <w:b/>
                <w:color w:val="auto"/>
                <w:sz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rPr>
                <w:rFonts w:hint="eastAsia" w:ascii="宋体" w:hAnsi="宋体" w:eastAsia="宋体" w:cs="宋体"/>
                <w:b/>
                <w:color w:val="auto"/>
                <w:sz w:val="22"/>
                <w:highlight w:val="none"/>
                <w:lang w:eastAsia="zh-CN"/>
              </w:rPr>
            </w:pPr>
            <w:r>
              <w:rPr>
                <w:rFonts w:hint="eastAsia" w:ascii="宋体" w:hAnsi="宋体" w:cs="宋体"/>
                <w:b/>
                <w:color w:val="auto"/>
                <w:sz w:val="22"/>
                <w:highlight w:val="none"/>
                <w:lang w:eastAsia="zh-CN"/>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b/>
                <w:color w:val="auto"/>
                <w:sz w:val="22"/>
                <w:highlight w:val="none"/>
              </w:rPr>
            </w:pPr>
            <w:r>
              <w:rPr>
                <w:rFonts w:hint="eastAsia" w:ascii="宋体" w:hAnsi="宋体" w:cs="宋体"/>
                <w:b/>
                <w:color w:val="auto"/>
                <w:sz w:val="22"/>
                <w:highlight w:val="none"/>
                <w:lang w:bidi="ar"/>
              </w:rPr>
              <w:t xml:space="preserve">点位名称</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b/>
                <w:color w:val="auto"/>
                <w:sz w:val="22"/>
                <w:highlight w:val="none"/>
              </w:rPr>
            </w:pPr>
            <w:r>
              <w:rPr>
                <w:rFonts w:hint="eastAsia" w:ascii="宋体" w:hAnsi="宋体" w:cs="宋体"/>
                <w:b/>
                <w:color w:val="auto"/>
                <w:sz w:val="22"/>
                <w:highlight w:val="none"/>
                <w:lang w:bidi="ar"/>
              </w:rPr>
              <w:t xml:space="preserve">监控范围</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b/>
                <w:color w:val="auto"/>
                <w:sz w:val="22"/>
                <w:highlight w:val="none"/>
              </w:rPr>
            </w:pPr>
            <w:r>
              <w:rPr>
                <w:rFonts w:hint="eastAsia" w:ascii="宋体" w:hAnsi="宋体" w:cs="宋体"/>
                <w:b/>
                <w:color w:val="auto"/>
                <w:sz w:val="22"/>
                <w:highlight w:val="none"/>
                <w:lang w:bidi="ar"/>
              </w:rPr>
              <w:t xml:space="preserve">摄像机选型</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b/>
                <w:color w:val="auto"/>
                <w:sz w:val="22"/>
                <w:highlight w:val="none"/>
              </w:rPr>
            </w:pPr>
            <w:r>
              <w:rPr>
                <w:rFonts w:hint="eastAsia" w:ascii="宋体" w:hAnsi="宋体" w:cs="宋体"/>
                <w:b/>
                <w:color w:val="auto"/>
                <w:sz w:val="22"/>
                <w:highlight w:val="none"/>
                <w:lang w:bidi="ar"/>
              </w:rPr>
              <w:t xml:space="preserve">安装方式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华丰路潞城桥西侧向北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both"/>
              <w:widowControl/>
              <w:rPr>
                <w:rFonts w:ascii="宋体" w:hAnsi="宋体" w:cs="宋体"/>
                <w:color w:val="auto"/>
                <w:sz w:val="22"/>
                <w:highlight w:val="none"/>
              </w:rPr>
            </w:pPr>
            <w:r>
              <w:rPr>
                <w:rFonts w:hint="eastAsia" w:ascii="宋体" w:hAnsi="宋体" w:cs="宋体"/>
                <w:color w:val="auto"/>
                <w:sz w:val="22"/>
                <w:highlight w:val="none"/>
                <w:lang w:bidi="ar"/>
              </w:rPr>
              <w:t xml:space="preserve">人行道、非机动车道，兼顾机动车道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440"/>
              <w:widowControl/>
              <w:rPr>
                <w:rFonts w:ascii="宋体" w:hAnsi="宋体" w:cs="宋体"/>
                <w:color w:val="auto"/>
                <w:sz w:val="22"/>
                <w:highlight w:val="none"/>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华丰路潞城桥东侧向南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东城路东城桥西侧向北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东城路东城桥东侧向南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管委会东南角向东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过路斑马线</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东方路东城路西侧路北非机动车道向东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东方路东城路西侧路北人行道向东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华丰路东方路北侧路东人行道向南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毓秀路当中段向西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全路面</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管委会北门</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门口全貌、抓拍</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800万抓拍球机</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富民路华丰路南侧路东非机动车道向南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富民路华丰路南侧路东人行道向南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富民路华丰路南侧路西非机动车道向北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富民路华丰路南侧路西人行道向北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富民路东城路南侧路西非机动车道向北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富民路东城路南侧路西人行道向北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富民路东城路南侧路东非机动车道向南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富民路常青路南侧路西非机动车道向北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富民路常青路南侧路西人行道向北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富民路常青路南侧路东向南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常青路潞横路南侧路西向北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常青路潞横路南侧路东向南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常青路东方路西侧路北非机动车道向东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常青路东方路西侧路北人行道向东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常青路东方路南侧路西向北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常青路山水路东侧路南向西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常青路山水路东侧路北向东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常青路东方二路东侧路南向西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常青路东方二路东侧路北向东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常青路漕上路北侧路东向南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常青路漕上路北侧路西向北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常青路漕上路西侧路北向东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常青路漕上路西侧路南向西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漕上路隆昌路北侧路东非机动车道向南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漕上路隆昌路北侧路东人行道向南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漕上路隆昌路北侧路西非机动车道向北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漕上路隆昌路北侧路西人行道向北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漕上路东城路北侧路西向北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漕上路东城路北侧路东非机动车道向南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漕上路东城路北侧路东人行道向南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漕上路华丰路北侧路西向北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漕上路华丰路北侧路东非机动车道向南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漕上路华丰路北侧路东人行道向南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漕上路大明路东侧路南向西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漕上路大明路北侧路东向南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大明路东方二路东侧路南非机动车道向西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大明路东方二路东侧路南人行道向西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大明路东方路东侧路北非机动车道向东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大明路东方路东侧路北人行道向东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大明路东方路东侧路南非机动车道向西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大明路东方路东侧路南人行道向西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龙锦路大明路南侧路西向北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龙锦路华丰路南侧路西向北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全路面</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龙锦路华丰路东侧路南向西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龙锦路东城路南侧路西非机动车道向北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龙锦路东城路南侧路西人行道向北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龙锦路常青路南侧路东向南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龙锦路常青路南侧路西向北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龙锦路五一路路口南侧路西向北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半幅路面</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龙锦路五一路路口南侧路东向南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半幅路面</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龙锦路兴东路南侧路东向南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龙锦路兴东路南侧路西向北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大明路潞横路东侧路南向西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大明路潞横路南侧路西向北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龙城大道湾城北路西侧路南向西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龙城大道湾城北路西侧路北向东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湾城北路曙方路西侧路南向西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湾城北路曙方路西侧路北向东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湾城北路东方大道西侧路南向西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湾城北路东方大道西侧路北向东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湾城路铁路地道北向南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全路面</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墙壁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延陵路常钢宿舍路口西侧路南向西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延陵路常钢宿舍路口西侧路北向东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延陵路大明路东侧路南向西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延陵路大明路北侧路东向南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街道所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延陵路常青路北侧路西向北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街道所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延陵路常青路北侧路东向南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街道所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延陵路五一路北侧路西辅道向北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全路面</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街道所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延陵路五一路北侧路东辅道向南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全路面</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遥观所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兴东路漕上路南侧向南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全路面</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遥观所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兴东路漕上路南侧向北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全路面</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共杆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遥观所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兴东路漕上路北侧向北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全路面</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遥观所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兴东路漕上路西侧路北非机动车道向东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遥观所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兴东路漕上路西侧路北人行道向东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兴东路东方二路北侧路东向南</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兴东路东方二路西侧路北非机动车道向西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兴东路东方二路西侧路北人行道向西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兴东路山水路西侧路北非机动车道向东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兴东路山水路西侧路北人行道向东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兴东路山水路西侧路南非机动车道向西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兴东路山水路西侧路南人行道向西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兴东路东方路西侧路南向西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兴东路东方路西侧路北非机动车道向东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兴东路东方路西侧路北人行道向东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兴东路潞横路西侧路南非机动车道向西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兴东路潞横路西侧路南人行道向西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兴东路潞横路西侧路北非机动车道向东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兴东路潞横路西侧路北人行道向东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兴东路富民路西侧路南向西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兴东路富民路西侧路北向东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非机动车道、人行道，兼顾机动车道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富民路大明路东侧路南向西</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潞城所</w:t>
            </w:r>
            <w:r/>
          </w:p>
        </w:tc>
        <w:tc>
          <w:tcPr>
            <w:shd w:val="clear" w:color="auto" w:fill="auto"/>
            <w:tcBorders>
              <w:top w:val="single" w:color="000000" w:sz="4" w:space="0"/>
              <w:left w:val="single" w:color="000000" w:sz="4" w:space="0"/>
              <w:bottom w:val="single" w:color="000000" w:sz="4" w:space="0"/>
              <w:right w:val="single" w:color="000000" w:sz="4" w:space="0"/>
            </w:tcBorders>
            <w:tcW w:w="307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富民路大明路东侧路北向东</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人行道、非机动车道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r>
    </w:tbl>
    <w:p>
      <w:pPr>
        <w:ind w:firstLine="0"/>
        <w:spacing w:line="360" w:lineRule="auto"/>
        <w:rPr>
          <w:rFonts w:ascii="宋体" w:hAnsi="宋体" w:cs="宋体"/>
          <w:color w:val="auto"/>
          <w:szCs w:val="24"/>
          <w:highlight w:val="none"/>
          <w:lang w:bidi="ar"/>
        </w:rPr>
      </w:pPr>
      <w:r>
        <w:rPr>
          <w:rFonts w:hint="eastAsia" w:asciiTheme="majorEastAsia" w:hAnsiTheme="majorEastAsia" w:eastAsiaTheme="majorEastAsia" w:cstheme="majorEastAsia"/>
          <w:b/>
          <w:bCs/>
          <w:color w:val="auto"/>
          <w:sz w:val="24"/>
          <w:szCs w:val="24"/>
          <w:highlight w:val="none"/>
          <w:lang w:eastAsia="zh-CN"/>
        </w:rPr>
        <w:t xml:space="preserve">（</w:t>
      </w:r>
      <w:r>
        <w:rPr>
          <w:rFonts w:hint="eastAsia" w:asciiTheme="majorEastAsia" w:hAnsiTheme="majorEastAsia" w:eastAsiaTheme="majorEastAsia" w:cstheme="majorEastAsia"/>
          <w:b/>
          <w:bCs/>
          <w:color w:val="auto"/>
          <w:sz w:val="24"/>
          <w:szCs w:val="24"/>
          <w:highlight w:val="none"/>
          <w:lang w:val="en-US" w:eastAsia="zh-CN"/>
        </w:rPr>
        <w:t xml:space="preserve">2</w:t>
      </w:r>
      <w:r>
        <w:rPr>
          <w:rFonts w:hint="eastAsia" w:asciiTheme="majorEastAsia" w:hAnsiTheme="majorEastAsia" w:eastAsiaTheme="majorEastAsia" w:cstheme="majorEastAsia"/>
          <w:b/>
          <w:bCs/>
          <w:color w:val="auto"/>
          <w:sz w:val="24"/>
          <w:szCs w:val="24"/>
          <w:highlight w:val="none"/>
          <w:lang w:eastAsia="zh-CN"/>
        </w:rPr>
        <w:t xml:space="preserve">）</w:t>
      </w:r>
      <w:r>
        <w:rPr>
          <w:rFonts w:hint="eastAsia" w:asciiTheme="majorEastAsia" w:hAnsiTheme="majorEastAsia" w:eastAsiaTheme="majorEastAsia" w:cstheme="majorEastAsia"/>
          <w:b/>
          <w:bCs/>
          <w:color w:val="auto"/>
          <w:sz w:val="24"/>
          <w:szCs w:val="24"/>
          <w:highlight w:val="none"/>
          <w:lang w:bidi="ar"/>
        </w:rPr>
        <w:t xml:space="preserve">重点部位补盲点位</w:t>
      </w:r>
      <w:r/>
    </w:p>
    <w:tbl>
      <w:tblPr>
        <w:tblStyle w:val="905"/>
        <w:tblW w:w="9336" w:type="dxa"/>
        <w:tblInd w:w="0" w:type="dxa"/>
        <w:tblLayout w:type="fixed"/>
        <w:tblCellMar>
          <w:left w:w="15" w:type="dxa"/>
          <w:top w:w="15" w:type="dxa"/>
          <w:right w:w="15" w:type="dxa"/>
          <w:bottom w:w="15" w:type="dxa"/>
        </w:tblCellMar>
        <w:tblLook w:val="04A0" w:firstRow="1" w:lastRow="0" w:firstColumn="1" w:lastColumn="0" w:noHBand="0" w:noVBand="1"/>
      </w:tblPr>
      <w:tblGrid>
        <w:gridCol w:w="397"/>
        <w:gridCol w:w="836"/>
        <w:gridCol w:w="2962"/>
        <w:gridCol w:w="2632"/>
        <w:gridCol w:w="983"/>
        <w:gridCol w:w="690"/>
        <w:gridCol w:w="836"/>
      </w:tblGrid>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点位名称</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安装位置</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设备类型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安装方式</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传输方式</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歌林公园</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歌林公园西南角向西</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入口北侧绿化带立杆</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800万结构化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歌林公园</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歌林公园东北角入口向北</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入口南侧绿化带立杆</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800万结构化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歌林公园</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歌林公园东北角入口向南</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入口北侧绿化带立杆</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800万结构化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歌林公园</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歌林公园东北角北侧入口（东方大道边上）</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入口南侧绿化带立杆</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400万结构化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刘国钧职校</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刘国钧职校南门东侧向西</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门东路北路灯杆</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800万结构化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借杆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刘国钧职校</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刘国钧职校南门西侧向东</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门西路北路灯杆</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800万结构化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借杆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刘国钧职校</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刘国钧职校西南门东侧向西</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门西路北路灯杆</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800万结构化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借杆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刘国钧职校</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刘国钧职校东门南侧向北</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入口南侧路灯杆</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800万结构化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借杆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刘国钧职校</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刘国钧职校东门北侧向南</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入口北侧绿化带立杆</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800万结构化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省常中分校</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省常中分校北门东侧向西</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门东路南路灯杆</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800万结构化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借杆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利用原点位</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省常中分校</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省常中分校北门西侧向东</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门西路南路灯杆</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800万结构化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借杆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七院</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七院北门外侧东向西</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门东路南道板立杆</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800万结构化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七院</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七院北侧当中小门</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门西侧标牌杆</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400万结构化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借杆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七院</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七院北侧西小门</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内侧墙面安装</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400万结构化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墙壁</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潞城</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上东城14幢109号</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上东城14幢109号对面</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400万结构化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墙壁</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横林</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顺通路166号铭宸雅苑5幢107号</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顺通路166号铭宸雅苑5幢107号对面</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800万结构化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借杆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横山桥</w:t>
            </w:r>
            <w:r/>
          </w:p>
        </w:tc>
        <w:tc>
          <w:tcPr>
            <w:shd w:val="clear" w:color="auto" w:fill="auto"/>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横山桥镇山水花苑8幢-4号</w:t>
            </w:r>
            <w:r/>
          </w:p>
        </w:tc>
        <w:tc>
          <w:tcPr>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横山桥镇山水花苑8幢-4号对面</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400万结构化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借杆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firstLine="0"/>
              <w:jc w:val="center"/>
              <w:widowControl/>
              <w:rPr>
                <w:rFonts w:cs="Times New Roman"/>
                <w:color w:val="auto"/>
                <w:sz w:val="22"/>
                <w:highlight w:val="none"/>
                <w:lang w:bidi="ar"/>
              </w:rPr>
            </w:pPr>
            <w:r>
              <w:rPr>
                <w:rFonts w:cs="Times New Roman"/>
                <w:color w:val="auto"/>
                <w:sz w:val="22"/>
                <w:highlight w:val="none"/>
                <w:lang w:bidi="ar"/>
              </w:rPr>
              <w:t xml:space="preserve">租赁光纤</w:t>
            </w:r>
            <w:r/>
          </w:p>
        </w:tc>
      </w:tr>
    </w:tbl>
    <w:p>
      <w:pPr>
        <w:ind w:firstLine="0"/>
        <w:rPr>
          <w:color w:val="auto"/>
          <w:highlight w:val="none"/>
        </w:rPr>
      </w:pPr>
      <w:r>
        <w:rPr>
          <w:color w:val="auto"/>
          <w:highlight w:val="none"/>
        </w:rPr>
      </w:r>
      <w:r/>
    </w:p>
    <w:p>
      <w:pPr>
        <w:ind w:firstLine="0"/>
        <w:jc w:val="left"/>
        <w:spacing w:line="360" w:lineRule="auto"/>
        <w:widowControl/>
        <w:rPr>
          <w:rFonts w:ascii="宋体" w:hAnsi="宋体" w:cs="宋体"/>
          <w:color w:val="auto"/>
          <w:sz w:val="22"/>
          <w:highlight w:val="none"/>
          <w:lang w:bidi="ar"/>
        </w:rPr>
      </w:pPr>
      <w:r>
        <w:rPr>
          <w:rFonts w:hint="eastAsia" w:asciiTheme="majorEastAsia" w:hAnsiTheme="majorEastAsia" w:eastAsiaTheme="majorEastAsia" w:cstheme="majorEastAsia"/>
          <w:b/>
          <w:bCs/>
          <w:color w:val="auto"/>
          <w:sz w:val="24"/>
          <w:szCs w:val="24"/>
          <w:highlight w:val="none"/>
          <w:lang w:eastAsia="zh-CN"/>
        </w:rPr>
        <w:t xml:space="preserve">（</w:t>
      </w:r>
      <w:r>
        <w:rPr>
          <w:rFonts w:hint="eastAsia" w:asciiTheme="majorEastAsia" w:hAnsiTheme="majorEastAsia" w:eastAsiaTheme="majorEastAsia" w:cstheme="majorEastAsia"/>
          <w:b/>
          <w:bCs/>
          <w:color w:val="auto"/>
          <w:sz w:val="24"/>
          <w:szCs w:val="24"/>
          <w:highlight w:val="none"/>
          <w:lang w:val="en-US" w:eastAsia="zh-CN"/>
        </w:rPr>
        <w:t xml:space="preserve">3</w:t>
      </w:r>
      <w:r>
        <w:rPr>
          <w:rFonts w:hint="eastAsia" w:asciiTheme="majorEastAsia" w:hAnsiTheme="majorEastAsia" w:eastAsiaTheme="majorEastAsia" w:cstheme="majorEastAsia"/>
          <w:b/>
          <w:bCs/>
          <w:color w:val="auto"/>
          <w:sz w:val="24"/>
          <w:szCs w:val="24"/>
          <w:highlight w:val="none"/>
          <w:lang w:eastAsia="zh-CN"/>
        </w:rPr>
        <w:t xml:space="preserve">）</w:t>
      </w:r>
      <w:r>
        <w:rPr>
          <w:rFonts w:hint="eastAsia" w:asciiTheme="majorEastAsia" w:hAnsiTheme="majorEastAsia" w:eastAsiaTheme="majorEastAsia" w:cstheme="majorEastAsia"/>
          <w:b/>
          <w:bCs/>
          <w:color w:val="auto"/>
          <w:sz w:val="24"/>
          <w:szCs w:val="24"/>
          <w:highlight w:val="none"/>
          <w:lang w:bidi="ar"/>
        </w:rPr>
        <w:t xml:space="preserve">监控补盲点位</w:t>
      </w:r>
      <w:r/>
    </w:p>
    <w:tbl>
      <w:tblPr>
        <w:tblStyle w:val="905"/>
        <w:tblW w:w="90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467"/>
        <w:gridCol w:w="700"/>
        <w:gridCol w:w="3298"/>
        <w:gridCol w:w="479"/>
        <w:gridCol w:w="479"/>
        <w:gridCol w:w="479"/>
        <w:gridCol w:w="684"/>
        <w:gridCol w:w="686"/>
        <w:gridCol w:w="386"/>
        <w:gridCol w:w="665"/>
        <w:gridCol w:w="479"/>
        <w:gridCol w:w="295"/>
      </w:tblGrid>
      <w:tr>
        <w:trPr>
          <w:trHeight w:val="285"/>
        </w:trPr>
        <w:tc>
          <w:tcPr>
            <w:shd w:val="clear" w:color="auto" w:fill="auto"/>
            <w:tcW w:w="467" w:type="dxa"/>
            <w:vAlign w:val="center"/>
            <w:vMerge w:val="restart"/>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序号</w:t>
            </w:r>
            <w:r/>
          </w:p>
        </w:tc>
        <w:tc>
          <w:tcPr>
            <w:shd w:val="clear" w:color="auto" w:fill="auto"/>
            <w:tcW w:w="700" w:type="dxa"/>
            <w:vAlign w:val="center"/>
            <w:vMerge w:val="restart"/>
            <w:textDirection w:val="lrTb"/>
            <w:noWrap w:val="false"/>
          </w:tcPr>
          <w:p>
            <w:pPr>
              <w:ind w:firstLine="0"/>
              <w:jc w:val="center"/>
              <w:widowControl/>
              <w:rPr>
                <w:rFonts w:hint="eastAsia" w:ascii="宋体" w:hAnsi="宋体" w:eastAsia="宋体" w:cs="宋体"/>
                <w:color w:val="auto"/>
                <w:sz w:val="22"/>
                <w:highlight w:val="none"/>
                <w:lang w:eastAsia="zh-CN" w:bidi="ar"/>
              </w:rPr>
            </w:pPr>
            <w:r>
              <w:rPr>
                <w:rFonts w:hint="eastAsia" w:ascii="宋体" w:hAnsi="宋体" w:cs="宋体"/>
                <w:color w:val="auto"/>
                <w:sz w:val="22"/>
                <w:highlight w:val="none"/>
                <w:lang w:eastAsia="zh-CN" w:bidi="ar"/>
              </w:rPr>
              <w:t xml:space="preserve">区域</w:t>
            </w:r>
            <w:r/>
          </w:p>
        </w:tc>
        <w:tc>
          <w:tcPr>
            <w:shd w:val="clear" w:color="auto" w:fill="auto"/>
            <w:tcW w:w="3298" w:type="dxa"/>
            <w:vAlign w:val="center"/>
            <w:vMerge w:val="restart"/>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点位位置</w:t>
            </w:r>
            <w:r/>
          </w:p>
        </w:tc>
        <w:tc>
          <w:tcPr>
            <w:gridSpan w:val="5"/>
            <w:shd w:val="clear" w:color="auto" w:fill="auto"/>
            <w:tcW w:w="280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摄像机类型</w:t>
            </w:r>
            <w:r/>
          </w:p>
        </w:tc>
        <w:tc>
          <w:tcPr>
            <w:gridSpan w:val="4"/>
            <w:shd w:val="clear" w:color="auto" w:fill="auto"/>
            <w:tcW w:w="182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安装方式</w:t>
            </w:r>
            <w:r/>
          </w:p>
        </w:tc>
      </w:tr>
      <w:tr>
        <w:trPr>
          <w:trHeight w:val="660"/>
        </w:trPr>
        <w:tc>
          <w:tcPr>
            <w:shd w:val="clear" w:color="auto" w:fill="auto"/>
            <w:tcW w:w="467" w:type="dxa"/>
            <w:vAlign w:val="center"/>
            <w:vMerge w:val="continue"/>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700" w:type="dxa"/>
            <w:vAlign w:val="center"/>
            <w:vMerge w:val="continue"/>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298" w:type="dxa"/>
            <w:vAlign w:val="center"/>
            <w:vMerge w:val="continue"/>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全彩枪机</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普通球机</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高空球机</w:t>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400万全结构</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800万全结构</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新立杆</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壁装支架</w:t>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挑臂</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青洋花苑西区东门断头路南侧朝北</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全结构</w:t>
            </w:r>
            <w:r>
              <w:rPr>
                <w:rFonts w:hint="eastAsia" w:ascii="宋体" w:hAnsi="宋体" w:cs="宋体"/>
                <w:color w:val="auto"/>
                <w:sz w:val="22"/>
                <w:highlight w:val="none"/>
                <w:lang w:eastAsia="zh-CN" w:bidi="ar"/>
              </w:rPr>
              <w:t xml:space="preserve">）</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轨道交通产业园东门朝东（全结构）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区政府东南停车场北侧朝南</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枪机</w:t>
            </w:r>
            <w:r>
              <w:rPr>
                <w:rFonts w:hint="eastAsia" w:ascii="宋体" w:hAnsi="宋体" w:cs="宋体"/>
                <w:color w:val="auto"/>
                <w:sz w:val="22"/>
                <w:highlight w:val="none"/>
                <w:lang w:eastAsia="zh-CN" w:bidi="ar"/>
              </w:rPr>
              <w:t xml:space="preserve">）</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东方福郡北侧篮球场朝东（人脸）</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vMerge w:val="restart"/>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vMerge w:val="restart"/>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东方福郡北侧篮球场朝西（人脸）</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vMerge w:val="continue"/>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vMerge w:val="continue"/>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都璟西南角朝西（全结构）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万都西北角朝西（全结构）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丁塘河西路和曙兴路东南角朝西（全结构）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丁塘河西路和曙兴路东北角朝东（全结构）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蔚蓝天地五期东南角朝东（全结构）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东方大道和智博路西北角朝北（全结构）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丁塘河西路和智博路东南角朝南（全结构）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丁塘河西路和智博路西南角朝西（全结构）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东方大道和丁塘河西路东北角朝南（全结构）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五一路和漕上路东北角朝东（全结构）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青洋路地铁站3号口朝东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丁堰</w:t>
            </w:r>
            <w:r>
              <w:rPr>
                <w:rFonts w:hint="eastAsia" w:ascii="宋体" w:hAnsi="宋体" w:cs="宋体"/>
                <w:color w:val="auto"/>
                <w:sz w:val="22"/>
                <w:highlight w:val="none"/>
                <w:lang w:eastAsia="zh-CN" w:bidi="ar"/>
              </w:rPr>
              <w:t xml:space="preserve">地铁站</w:t>
            </w:r>
            <w:r>
              <w:rPr>
                <w:rFonts w:hint="eastAsia" w:ascii="宋体" w:hAnsi="宋体" w:cs="宋体"/>
                <w:color w:val="auto"/>
                <w:sz w:val="22"/>
                <w:highlight w:val="none"/>
                <w:lang w:bidi="ar"/>
              </w:rPr>
              <w:t xml:space="preserve">2号口朝东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五一路潞横路南侧向北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五一路地铁站1号口西侧朝东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美的西侧商铺中段朝南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上东城西侧商铺中段朝北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vMerge w:val="restart"/>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vMerge w:val="restart"/>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上东城西侧商铺中段朝南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vMerge w:val="continue"/>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vMerge w:val="continue"/>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上东城南侧商铺中段朝西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沙河浜村中段朝北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vMerge w:val="restart"/>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vMerge w:val="restart"/>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沙河浜村中段朝南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vMerge w:val="continue"/>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vMerge w:val="continue"/>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潞城花苑东门门口朝北（全结构）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潞城</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常青路丁剑路东南侧朝东（全结构）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梅港路东侧路口朝东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河口桥东侧朝东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河口桥西侧朝西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三山港桥西北侧朝东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三山港桥西南侧朝西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沈家塘路口朝北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段家塘172号朝东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陆渚村西南路口朝西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陆渚村东侧路口朝东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五一路往郑村路口朝南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实验中学对面人行道朝东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实验中学对面人行道朝西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丁剑路与长青路路口朝南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樟村东侧朝北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樟村健身广场西侧朝南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樟村健身广场西侧朝北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丁剑路往大明路路口朝北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丁剑路往大明路路口朝东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丰泰苑北门朝西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东方君开北门朝西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东方君开北门朝东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亨达未来城东门朝北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亨达未来城东门朝南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港威花园商铺39-34朝东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沈庄村东出入口朝南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冯家村路口朝东南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三零一库门口朝东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徐窑步行桥朝西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丁剑路与东城路东北侧朝东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丁剑路与东城路东南侧朝西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白金汉爵西侧高空</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芳渚村2号门口朝南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丁堰</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河西新村98号北侧马路</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街道</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工房北区59幢西侧路段 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街道</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花溪地道南出口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街道</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环卫路环境卫生管理处外来小区路口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街道</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火车头体育场西南门 全结构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街道</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戚墅堰高铁站西侧佳福楼门口 戚大街社区 朝南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街道</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圩墩新村20幢东十字路口 朝西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殷坂杨北线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镇西村委门口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横遥路黄印路口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红丰路与新槐路路口向西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明清街天仁菜市场旁停车场</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铭宸雅苑门口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长沟路村中</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红联西三路桥上</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卫星中孟村中</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崔西路与崔塘东路进村口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上林国际铜锣湾KTV门口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横林地板城新鼎红KTV门口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横林地板城泊悦会门口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孟墅与杨家头十字路口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盛家桥村中</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卫星孙家塘西村村中</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梅巷路与赵家路路口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梅巷新路</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镇西陶庄路1个</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精工路松江头路口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明清街天仁菜市场</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牛塘村北面进口和东面进村口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白塘头进村口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卫星北邵村进村口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崔桥华佗庵</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桃园路陶家村进村口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顺通路中吴大道十字路口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新槐路顺通路十字路口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夏家头桥</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赛欧公寓</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青禾公寓</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中吴大道横洛路十字路口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江村菜场</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中吴大道红丰路</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崔横南路新横崔路路口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崔横南路和崔蓉路路口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彭家头横洛东路</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顺通路步行道</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横玉路牛塘村路口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东环路与崔卫路十字路口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庆丰后圻头老菜场十字路口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梅巷苏前路</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崔北路与通顺路十字路口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崔芙路卫星菜场段</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后边庄司古路口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崔横北路濮姚路路口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昌盛东路26号</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横林派出所门口路段</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横林</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横林大道潮悦汇十字路口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勤新老宋氏钢管厂门口向北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勤新冯家村西路口向西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勤新许家塘戚墅堰永泰电机门口向西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勤新许家塘北村口向南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勤新合泰电机公司门口向北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勤新勤建段10号东盟机械门口向北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vMerge w:val="restart"/>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勤新勤建段10号东盟机械门口向南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vMerge w:val="continue"/>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勤新村委门口向北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郑村鹅颈湾公园西北角朝南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郑村觉华禅寺路口向北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郑村华通地板门口向北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新南宣家村303号门口向东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新南严庄桥南向北抓拍</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常州唯尔福卫生品有限公司门口向东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前杨航运家园门口主路向南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前杨西河区103号小亚副食品店门口向东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戚建路卡特大道路口向南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建设路东村路口向南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渔庄河南头路口向东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渔庄村南路口向北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vMerge w:val="restart"/>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渔庄村南路口向南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vMerge w:val="continue"/>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渔庄村与232省道向东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渔庄马家头36号门口向西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渔庄马家巷厂房朝东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桥南村老村西北路村口向东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vMerge w:val="restart"/>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桥南村老村西北路村口向南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vMerge w:val="continue"/>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桥南经三路路口向北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桥南东城塘路口向西北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倪家塘东南小路口向北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东方元宝墩桥向北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东方村委后到彭家头向北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东方村委后到彭家头新路东路口向南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东方遥观模具厂十字路口向北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东方马庄路口向北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钱家路华通路路口西向东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花炮厂三岔路口北向南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440"/>
              <w:jc w:val="center"/>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遥观镇政府门口向南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遥观全民健身中心东侧向南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后马庄三岔路口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遥观商贸中心东路口向北抓拍</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建农德园三岔口向北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宋剑湖家园北门入口人脸（照非机动车小门）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遥观</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宋剑湖家园北门出口人脸（照非机动车小门）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白家村南口向北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东方二路吉地亚厂门口向北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232省道与遥观交界处向南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0259刘桥头21号【2018移动】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星辰村委曹巷村769号路口2北【2018移动】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0008宝恒冶金厂对面【2018移动】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0248里巷村北口【2018移动】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奥特勒厂门口向西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0340山水路东桥洞【2018移动】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0339山水花苑西【2018移动】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山水小学北十字路口向西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联达电器厂路口向西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新河湾小区北路口辅道向西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0347省庄村委东十字路口2北【2018移动】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横山高速道口十字路口向北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农贸市场西南角向南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省庄俞家村南口向北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顺丰产业园南门西路口向东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方氏宗祠路口向西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前街196号门口向西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吴家村16号向西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元著山居东丁字路口向北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元著山居顶楼</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横山医院南门口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后街52号向北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凯旋商店东口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0193华阳涂料厂对面进村口1【2018移动】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0830革新路-小学东2向北【2020电信】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0018阳光山城南门进口【2018移动】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是家巷189号向西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日盈电子厂路口向西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0412奚巷14号【2018移动】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0257林家巷南口（莹瑶超市）1北【2018移动】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江南路环山北路向东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0420奚巷村广场【2018移动】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0419奚巷村东口【2018移动】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常州小丫子儿童用品有限公司门口【2018移动】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0122防水材料厂西口【2018移动】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S232武澄西路十字路口向东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S232武澄西路十字路口向南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S232武澄西路十字路口向西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S232武澄西路十字路口向北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西连头灌溉站向南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黄连墅东口向南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小西连头村东进口向西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汽车城路口向东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0342上俞塘东口2东【2018移动】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0175红专桥东2北【2018移动】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0225金红桥北2南【2018移动】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0374童庄村口向北【2018移动】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东洲加油站十字路口向西辅道</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东洲加油站十字路口向北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东洲加油站十字路口向北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横芙路辅道向东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长盈厂对面路口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0192华扬锌业有限公司对面【2018移动】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0236骏程建材对面1【2018移动】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0237骏程建材对面2【2018移动】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0522易尔通电子监控【2018移动】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0053朝阳路</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前东洲【2018移动】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前东洲桥路口向北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0062成家桥28号旁2【2018移动】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0013时家塘南【2018移动】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0521姚潭滩村中十字路口2西【2018移动】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0330邱家村西北口【2018移动】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0451邱家村南葡萄园边向南【2018移动】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0533章家村村中篮球场【2018移动】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0163恒群机械厂门口【2018移动】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小陈家村西南路口向北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大陈家村西口向东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0238黄家村北职工宿舍路口【2018移动】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江南路-环山北路十字路口向北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0387五一村新苑桥东朝西【2018移动】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绿能十字路口向东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绿能十字路口向西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凤凰公墓蔡家村路口向西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0103董村村21号十字路口1【2018移动】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董村兴隆桥向北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张家村南口向北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前巷广场</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0123崇安路-新芙路西【2018移动】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0067崇安路</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新民街东【2018移动】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0512雅丽靓衣坊十字路口1东【2018移动】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0301戚月线荣盛广告【2018移动】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0047朝阳公墓向西【2018移动】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山东桥新桥下向东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新安大桥下地磅路口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信捷制品厂路口向西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平家村东南角路口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范家村东口向西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0016新利财富小区南门【2018移动】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羊绒城物业西路口向东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芳茂山庄路口辅道向南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潘家村路口向北辅道</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0795观前桥向东【2020电信】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0796观前桥向西【2020电信】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0436逸枫网吧北路口【2018移动】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0210江南银行东十字路口【2018移动】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潞横路江苏银行段向南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0842殷家巷桥向西【2020电信】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横山桥</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霞峰桥向西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东柳塘清水河桥南向北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竹园头村中往东北角</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邹家桥64号东向西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东柳塘别墅区向南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东柳塘别墅区向北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东柳塘127号西向东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东柳塘向烛店129号向西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东西柳塘交界处向西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西柳塘857号三岔口向西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西柳塘垂钓中心西向东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小湖沟村57号河边向北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仙姿国际门口向东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时代浴室门口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西周桥高速桥洞往北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西周桥高速桥洞往南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双庙别墅区向北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双庙创业桥向西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昌力油缸厂旁路口向北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周家村合金大楼向南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乔庄王家村88号向西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乔庄王家村65号向东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大沟村81号门口向东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大沟村最后一行向东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大沟村最后一行河边向南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鸿运石业门口向南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肯德基路口厂门口向东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钱家桥桥边215号门口向西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钱家桥212号门口向东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29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钱家桥瑞田电子门口向东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钱家村31号门口高铁便道向东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大桥头523号厂门口向东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一新村河边向西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一新村2号向南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一新村2号向北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宕里别墅区86号村中向北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宕里朱家107号门口向东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宕里朱家162号门口向西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宕里朱家37号门口向东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宕里朱家桥上向西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庄里向北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二新村34号向西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二新村56号向西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二新村96号向西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龙潭头18号向西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佳盟电子有限公司门口向西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西周新村阿三家前门向西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西周新桥向东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鲤池坝桥向西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49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南边村建伟家旁南向北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南边村18号向东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肖田村35号门口向西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东周村委向北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荷月中路派出所后面西向东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医院对面新市街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西周周丽燕家路口向西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桃园往西与玉祁交界处向东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桃园往西与玉祁交界处向西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许家村40-1向西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59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许家广场向东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郭家村塘岸上与玉祁交界处</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郭家村48号门口往东朝塘岸</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奚家桥29号门口向东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丁家新桥往西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郭家瑞发电子厂向东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东周刘家村路口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东周桥南村32号向东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东周村167号门口向西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东周村49号门口向西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69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小徐家村12号向西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朱家塘村中</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梁家桥村委后面向北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何家村陆华凯家村口向东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汤白荡15号向东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大沟村桥往西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采菱沟36号钢林家一排向东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悦蓉雅苑高空向西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悦蓉雅苑高空向北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航弘电机向南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79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航弘电机向西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西柳塘基站河边村上向东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西柳塘刘氏宗祠前村中</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东柳塘广场向西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东柳塘宋栋才家旁向西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邮局后面向东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陆家村村中向东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西柳塘268号门口西向东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双庙陈家村1号向西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双庙红旗桥往北村上向西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89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梁家桥往颜家村新村</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万家桥28号向东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刘白荡23号向西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转盘桥下王文家门口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幼儿园门口店铺</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西柳塘大份头村中</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东铭洋超市门口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荷月路品味人生门口向东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水莲花路口向北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朝阳路</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横芙路向南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99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朝阳路</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横芙路向北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交警杆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亚构大桥与玉祁交界处向南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亚构大桥与玉祁交界处向北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农业银行门口</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大桥头菜场往北</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借电杆</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荷怡花苑高空向东</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荷怡花苑高空向西</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0011常芙西路麦可基路口（2018移动）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0105李象桥广场（2018移动）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0131前汤白荡55号村口路口（2018移动）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109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0009步行街南侧桥（2018移动）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0052芙蓉菜场老年活动室路口向西（2018移动）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0058芙蓉街教师公寓路口（2018移动）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0221英英副食品批发入口向南（2018移动）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0021大桥头德丰机电北侧路口向南（2018移动）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拾房村与陈家村之间路口向东北（2018移动）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0030宕里村道至朝阳路（2018移动）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0195西周浴室（2018移动）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0129陆家村荣昌涂料向南（2018移动）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0087宏光印刷厂路口（2018移动）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119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0124龙潭至西岳丁字路口向西南（2018移动）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戚月线与常芙东路交汇处向东南（2018移动）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0065芙蓉至新安老路桥头向西（2018移动）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0089湖西新区田中桥向南（2018移动）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0206小湖沟与山东桥交界处（2018移动）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0225邮政储蓄所路口向东南（2018移动）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0211新概念网吧后门旁（2018移动）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0050芙蓉菜场东南角（2018移动）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0094金润发大门向东（2018移动）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0150蓉湖路老浴室三岔路口向东南（2018移动）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129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0115刘白荡往芙蓉村向西（2018移动）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0113梁家桥沿江高速桥下向南（2018移动）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0128陆家村利群超市门口（2018移动）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0031宕里村委与朝阳路交界（2018移动）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0168双庙桥北侧（2018移动）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0085徐家村河北向南（2018移动）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0162双庙矮凳桥向西（2018移动）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0138钱家桥西侧路口向西南（2018移动）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0048东周周国忠门口桥（2018移动）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0126陆家祠堂门口（2018移动）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139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0037东柳塘华立能厂旁转角处（2018移动）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0369李培华家后门口向东北（2020电信）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0381欧家玛超市向西（2020电信）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0383正兴钢管厂向南（2020电信）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0388陆家村桥向东（2020电信）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0392钱家桥老年活动室向北（2020电信）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0409宕里工业园区向南（2020电信）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0419瑞欧金属厂门口向南（2020电信）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0425好多巴多服务站向东（2020电信）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0437金湘胶带厂路口向南（2020电信）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149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0439东西周交界处向南（2020电信）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0441东小桥向北（2020电信）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0458双庙村委十字路口向东（2020电信）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152</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0386幼儿园路口向南（2020电信）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153</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0461李象桥向西（2020电信）</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154</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0023西柳菜场路口（2018移动）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155</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0027云海制冷厂三岔路口（2018移动）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156</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0029李象二桥（2018移动）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157</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常芙西路麦可米蛋糕店路口对面（2018移动）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158</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0142泉峰空调厂旁路口（2018移动）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159</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0014柳三路水利站往新安丁字路口（2018移动）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 </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160</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0141青林空调厂路口（2018移动）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r>
        <w:trPr>
          <w:trHeight w:val="285"/>
        </w:trPr>
        <w:tc>
          <w:tcPr>
            <w:shd w:val="clear" w:color="auto" w:fill="auto"/>
            <w:tcW w:w="467"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161</w:t>
            </w:r>
            <w:r/>
          </w:p>
        </w:tc>
        <w:tc>
          <w:tcPr>
            <w:shd w:val="clear" w:color="auto" w:fill="auto"/>
            <w:tcW w:w="700" w:type="dxa"/>
            <w:vAlign w:val="center"/>
            <w:textDirection w:val="lrTb"/>
            <w:noWrap w:val="false"/>
          </w:tcPr>
          <w:p>
            <w:pPr>
              <w:ind w:firstLine="0"/>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芙蓉</w:t>
            </w:r>
            <w:r/>
          </w:p>
        </w:tc>
        <w:tc>
          <w:tcPr>
            <w:shd w:val="clear" w:color="auto" w:fill="auto"/>
            <w:tcW w:w="3298"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0038东柳塘篮球场旁边道口（2018移动）</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84"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c>
          <w:tcPr>
            <w:shd w:val="clear" w:color="auto" w:fill="auto"/>
            <w:tcW w:w="6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386"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66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已有监控杆件</w:t>
            </w:r>
            <w:r/>
          </w:p>
        </w:tc>
        <w:tc>
          <w:tcPr>
            <w:shd w:val="clear" w:color="auto" w:fill="auto"/>
            <w:tcW w:w="479" w:type="dxa"/>
            <w:vAlign w:val="center"/>
            <w:textDirection w:val="lrTb"/>
            <w:noWrap w:val="false"/>
          </w:tcPr>
          <w:p>
            <w:pPr>
              <w:ind w:firstLine="0"/>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shd w:val="clear" w:color="auto" w:fill="auto"/>
            <w:tcW w:w="295" w:type="dxa"/>
            <w:vAlign w:val="center"/>
            <w:textDirection w:val="lrTb"/>
            <w:noWrap w:val="false"/>
          </w:tcPr>
          <w:p>
            <w:pPr>
              <w:ind w:firstLine="0"/>
              <w:jc w:val="center"/>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1</w:t>
            </w:r>
            <w:r/>
          </w:p>
        </w:tc>
      </w:tr>
    </w:tbl>
    <w:p>
      <w:pPr>
        <w:ind w:right="210" w:firstLine="0"/>
        <w:jc w:val="left"/>
        <w:spacing w:line="360" w:lineRule="auto"/>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p>
      <w:pPr>
        <w:ind w:right="210" w:firstLine="0"/>
        <w:jc w:val="left"/>
        <w:spacing w:line="360" w:lineRule="auto"/>
        <w:rPr>
          <w:rFonts w:hint="eastAsia" w:ascii="宋体" w:hAnsi="宋体" w:eastAsia="宋体" w:cs="宋体"/>
          <w:b/>
          <w:bCs/>
          <w:color w:val="auto"/>
          <w:sz w:val="24"/>
          <w:highlight w:val="none"/>
        </w:rPr>
      </w:pPr>
      <w:r>
        <w:rPr>
          <w:rFonts w:hint="default" w:ascii="宋体" w:hAnsi="宋体" w:eastAsia="宋体" w:cs="宋体"/>
          <w:b/>
          <w:bCs/>
          <w:color w:val="auto"/>
          <w:sz w:val="24"/>
          <w:highlight w:val="none"/>
        </w:rPr>
        <w:t xml:space="preserve">四、</w:t>
      </w:r>
      <w:r>
        <w:rPr>
          <w:rFonts w:hint="eastAsia" w:ascii="宋体" w:hAnsi="宋体" w:eastAsia="宋体" w:cs="宋体"/>
          <w:b/>
          <w:bCs/>
          <w:color w:val="auto"/>
          <w:sz w:val="24"/>
          <w:highlight w:val="none"/>
          <w:lang w:eastAsia="zh-CN"/>
        </w:rPr>
        <w:t xml:space="preserve">建设</w:t>
      </w:r>
      <w:r>
        <w:rPr>
          <w:rFonts w:hint="default" w:ascii="宋体" w:hAnsi="宋体" w:eastAsia="宋体" w:cs="宋体"/>
          <w:b/>
          <w:bCs/>
          <w:color w:val="auto"/>
          <w:sz w:val="24"/>
          <w:highlight w:val="none"/>
        </w:rPr>
        <w:t xml:space="preserve">要求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（一）点位布建需求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织密经开区主城区智能感知防控圈：在主城区43个路口需安装智能摄像机点位102套。</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织密重点单位防范防护网：围绕党政机关、学校、医院等单位提高视频覆盖率和智能感知率，新增智能感知设备17套。</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织密重点区域智能感知防控圈：本项目中，将围绕经开区主要商业街区、商业综合体、重点目标单位、桥梁涵洞等新增智能感知设备164套。</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织密自然村智能感知防控圈：针对城乡地域发展不均衡的现象，实施自然村智能感知补盲和升级，更新新增智能感知设备280套。</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织密全域高空防控圈：开展高空监控补盲，新增高空监控设备6套，进一步织密全域高空防控网。</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二</w:t>
      </w:r>
      <w:r>
        <w:rPr>
          <w:rFonts w:hint="eastAsia" w:ascii="宋体" w:hAnsi="宋体" w:eastAsia="宋体" w:cs="宋体"/>
          <w:b w:val="0"/>
          <w:bCs w:val="0"/>
          <w:color w:val="auto"/>
          <w:sz w:val="24"/>
          <w:highlight w:val="none"/>
        </w:rPr>
        <w:t xml:space="preserve">）视频图像资源性能需求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视频编码</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视频编解码支持采用H.264/H.265/M-JPEG标准。</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图像质量</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图像质量将满足系统的远程监视要求，不受外界影响导致图像彩色失真、图像漂移，图像应清晰自然、无动画感，视频监控摄像机图像分辨率至少达到1080P（不小于25帧/秒）。</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图像质量将保证图像信息的原始完整性，即在色彩还原性、图像轮廓还原性、灰度级、事件后继性等</w:t>
      </w:r>
      <w:r>
        <w:rPr>
          <w:rFonts w:hint="eastAsia" w:ascii="宋体" w:hAnsi="宋体" w:cs="宋体"/>
          <w:b w:val="0"/>
          <w:bCs w:val="0"/>
          <w:color w:val="auto"/>
          <w:sz w:val="24"/>
          <w:highlight w:val="none"/>
          <w:lang w:eastAsia="zh-CN"/>
        </w:rPr>
        <w:t xml:space="preserve">方面</w:t>
      </w:r>
      <w:r>
        <w:rPr>
          <w:rFonts w:hint="eastAsia" w:ascii="宋体" w:hAnsi="宋体" w:eastAsia="宋体" w:cs="宋体"/>
          <w:b w:val="0"/>
          <w:bCs w:val="0"/>
          <w:color w:val="auto"/>
          <w:sz w:val="24"/>
          <w:highlight w:val="none"/>
        </w:rPr>
        <w:t xml:space="preserve">均与现场场景保持最大相似性</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主观评价</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。系统的最终显示图像</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主观评价</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应达到四级</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含四级</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以上图像质量等级，对于电磁环境特别恶劣的现场，图像质量不低于三级。</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人脸图片质量</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本次项目所抓拍的人脸图片质量须满足以下需求：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光照要求：人脸面部区域正面光照强度100lux及以上，人脸面部左右侧光照强度差不超过一倍，人脸背面光照强度不超过正面光照强度的两倍；</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像素要求：人脸双眼间距40个像素以上，人脸宽度80像素以上；</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分辨率：不小于100dpi；</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灰度：动态灰度范围不小于180级或24位真色彩；</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清晰度：人脸清晰，无阴阳脸，无明显拖尾、抖动等运动模糊；</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噪波：图像无明显噪波。</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要求同时输出人脸照片小图和人像全景图，其中人员的面部像素≥80*80；在满足光照和人脸抓拍场景条件下，人脸识别率要求≥90%。</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可靠性</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系统前端硬件设备采用支持固件在线升级的产品。当设备异常时应能自动重新启动或由监控中心控制其重新启动。</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系统验收后的首次故障时间应不小于90d。</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实时性</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90%以上实时视频画面调出响应时间≤2秒；</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前端设备控制延时≤2秒；</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监控视频显示与实际事件发生时间差≤2秒；</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可靠性需求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监控中心关键设备全部采取冗余设计，以保障系统正常运行或快速恢复。采用冷备方式系统恢复时间小于30秒。</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系统前端硬件设备采用支持固件在线升级的产品。当设备异常时将自动重新启动或由监控中心控制其重新启动。</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系统整体可靠性指标应在子系统、子系统所有各组成设备间进行逐级合理分配，各设备平均无故障时间</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MTBF</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符合其MTBF分配指标。系统硬件设备的平均无故障</w:t>
      </w:r>
      <w:r>
        <w:rPr>
          <w:rFonts w:hint="eastAsia" w:ascii="宋体" w:hAnsi="宋体" w:cs="宋体"/>
          <w:b w:val="0"/>
          <w:bCs w:val="0"/>
          <w:color w:val="auto"/>
          <w:sz w:val="24"/>
          <w:highlight w:val="none"/>
          <w:lang w:eastAsia="zh-CN"/>
        </w:rPr>
        <w:t xml:space="preserve">时间（</w:t>
      </w:r>
      <w:r>
        <w:rPr>
          <w:rFonts w:hint="eastAsia" w:ascii="宋体" w:hAnsi="宋体" w:eastAsia="宋体" w:cs="宋体"/>
          <w:b w:val="0"/>
          <w:bCs w:val="0"/>
          <w:color w:val="auto"/>
          <w:sz w:val="24"/>
          <w:highlight w:val="none"/>
        </w:rPr>
        <w:t xml:space="preserve">MTBF</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最低大于20000h。</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实时性需求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90%以上实时视频画面调出响应时间≤2秒；视频控制切换响应时间≤2秒；前端设备控制延时≤2秒；监控视频显示与实际事件发生时间差≤2秒；用户登录时间≤2秒；冗余热备用设备</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一般指服务器</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之间在自动和手动方式下均实现无扰动切换，热备用服务器接替值班服务器的切换时间＜30秒；系统从断电后重启至恢复正常运行的黑启动时间＜15分钟。</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传输网络性能指标</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监控中心内部及监控中心间互联的网络性能指标符合YD/T1171-2001．中规定的1级</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交互式</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或1级以上服务质量等级。具体指标如下：</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网络时延上限值为400毫秒；</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时延抖动上限值为50毫秒；</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丢包率上限值为1x10-³。</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OSD贴字</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所有视频OSD贴字均的字体、字符间距、辖区属性、格式等满足《GA/T 751—2008视频图像文字标注规范》。文字信息分四行，第一行为地级市名称如</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常州</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，第二行为区县名称如</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经开区</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，第三行为派出所名称，如</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横山桥</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，第四行为摄像机名称，命名规则分为视频联网平台名称规则和前端视频画面OSD叠加名称规则，具体参考《常州市公安局监控设备平台命名与视频贴字规范》。</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NTP校时</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所有网络设备均应具备NTP配置功能，能够与中心NTP校时服务器实现每半小时自动校时。</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11</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数据存储计算需求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项目需要存储的数据主要有：智能化设备513套，普通视频监控设备56套，共计569套摄像机的视频需要存储；同时，513套智能化摄像机抓拍图片需要存储。根据上级要求、各种数据的重要性以及数据容量的实际需求，要求：一是视频存储时间不少于30天；二是图片存储时间不少于6个月，特征数据存储时间不少于1年。</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三</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eastAsia="zh-CN"/>
        </w:rPr>
        <w:t xml:space="preserve">其他</w:t>
      </w:r>
      <w:r>
        <w:rPr>
          <w:rFonts w:hint="eastAsia" w:ascii="宋体" w:hAnsi="宋体" w:eastAsia="宋体" w:cs="宋体"/>
          <w:b w:val="0"/>
          <w:bCs w:val="0"/>
          <w:color w:val="auto"/>
          <w:sz w:val="24"/>
          <w:highlight w:val="none"/>
        </w:rPr>
        <w:t xml:space="preserve">设备采购需求</w:t>
      </w:r>
      <w:r/>
    </w:p>
    <w:p>
      <w:pPr>
        <w:ind w:right="210" w:firstLine="480"/>
        <w:jc w:val="left"/>
        <w:spacing w:line="360" w:lineRule="auto"/>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1.控制箱</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控制箱尺寸≥540mm*420mm*220mm，控制箱选用不锈钢材质，为保证系统的全天候运行，前端控制箱除保证防水、防撬外，还设计自动温控开关，可以根据温度自动开关风扇，为箱内的设备提供合理的使用温度。控制箱的内部空间应是所有箱内设备体积的2倍以上，以保证箱内设备的散热和空气流通，并采用底部进线，机箱和立杆统一接地。箱体表面要求喷塑处理，刷印LOGO图案和字体等，如下图：</w:t>
      </w:r>
      <w:r/>
    </w:p>
    <w:p>
      <w:pPr>
        <w:ind w:right="0" w:firstLine="0"/>
        <w:jc w:val="center"/>
        <w:spacing w:line="360" w:lineRule="auto"/>
        <w:rPr>
          <w:rFonts w:hint="eastAsia" w:ascii="宋体" w:hAnsi="宋体" w:eastAsia="宋体" w:cs="宋体"/>
          <w:b w:val="0"/>
          <w:bCs w:val="0"/>
          <w:color w:val="auto"/>
          <w:sz w:val="24"/>
          <w:highlight w:val="none"/>
        </w:rPr>
      </w:pPr>
      <w:r>
        <w:rPr>
          <w:color w:val="auto"/>
          <w:highlight w:val="none"/>
        </w:rPr>
        <mc:AlternateContent>
          <mc:Choice Requires="wpg">
            <w:drawing>
              <wp:inline xmlns:wp="http://schemas.openxmlformats.org/drawingml/2006/wordprocessingDrawing" distT="0" distB="0" distL="0" distR="0">
                <wp:extent cx="2170430" cy="2799080"/>
                <wp:effectExtent l="0" t="0" r="8890" b="5080"/>
                <wp:docPr id="8" name="图片 1" descr="C:\Users\user\AppData\Local\Temp\ksohtml\wps2C0F.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C:\Users\user\AppData\Local\Temp\ksohtml\wps2C0F.tmp.png"/>
                        <pic:cNvPicPr>
                          <a:picLocks noChangeAspect="1"/>
                        </pic:cNvPicPr>
                        <pic:nvPr/>
                      </pic:nvPicPr>
                      <pic:blipFill>
                        <a:blip r:embed="rId23"/>
                        <a:stretch/>
                      </pic:blipFill>
                      <pic:spPr bwMode="auto">
                        <a:xfrm>
                          <a:off x="0" y="0"/>
                          <a:ext cx="2170430" cy="27990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0.9pt;height:220.4pt;mso-wrap-distance-left:0.0pt;mso-wrap-distance-top:0.0pt;mso-wrap-distance-right:0.0pt;mso-wrap-distance-bottom:0.0pt;" stroked="f">
                <v:path textboxrect="0,0,0,0"/>
                <v:imagedata r:id="rId23" o:title=""/>
              </v:shape>
            </w:pict>
          </mc:Fallback>
        </mc:AlternateContent>
      </w:r>
      <w:r/>
    </w:p>
    <w:p>
      <w:pPr>
        <w:ind w:right="0" w:firstLine="0"/>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控制箱logo图示</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监控设备箱中主要安装以下设备：</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自动重合闸漏电开关断路器，空气开关重合闸电源防雷保护器10A，规格为</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10A,2P；</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直流24V散热风扇，温控开关；</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熔纤盘、光纤熔纤盒、光纤终端盒尾纤、光纤理线盘等；</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千兆网络防雷器；</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电源防雷器；</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多功能插座，含2孔/3孔通用插座≥3个；</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7</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其他专用设备和专用模块的放置空间预留。</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光纤链路技术指标</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为满足前端点位传输要求，光纤链路端对端提供衰减系数不高于0.35db/km@1310nm、0.2db/km@1550nm的单模单芯裸光纤，单条链路总光衰不超过18db。</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治安监控前端摄像机立杆技术指标</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立杆是前端监控点的物理支柱，室外环境的恶劣加上各种不可预测的天气情况，要求室外立杆一定要具有良好的牢固度，因此立杆由变径钢管制成。立杆和室外机箱外观必须与周边景观配套，色标由用户提供。</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对于枪机立杆，要求采用上端挑臂直立安装，净高要求≥4.5米（挑臂长度根据现场定制）。</w:t>
      </w:r>
      <w:r/>
    </w:p>
    <w:p>
      <w:pPr>
        <w:ind w:right="0" w:firstLine="0"/>
        <w:jc w:val="center"/>
        <w:spacing w:line="360" w:lineRule="auto"/>
        <w:rPr>
          <w:rFonts w:hint="eastAsia" w:ascii="宋体" w:hAnsi="宋体" w:eastAsia="宋体" w:cs="宋体"/>
          <w:b w:val="0"/>
          <w:bCs w:val="0"/>
          <w:color w:val="auto"/>
          <w:sz w:val="24"/>
          <w:highlight w:val="none"/>
        </w:rPr>
      </w:pPr>
      <w:r>
        <w:rPr>
          <w:color w:val="auto"/>
          <w:highlight w:val="none"/>
        </w:rPr>
        <mc:AlternateContent>
          <mc:Choice Requires="wpg">
            <w:drawing>
              <wp:inline xmlns:wp="http://schemas.openxmlformats.org/drawingml/2006/wordprocessingDrawing" distT="0" distB="0" distL="0" distR="0">
                <wp:extent cx="1407160" cy="2449195"/>
                <wp:effectExtent l="0" t="0" r="0" b="0"/>
                <wp:docPr id="9" name="图片 2" descr="C:\Users\user\AppData\Local\Temp\ksohtml\wps2C10.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descr="C:\Users\user\AppData\Local\Temp\ksohtml\wps2C10.tmp.png"/>
                        <pic:cNvPicPr>
                          <a:picLocks noChangeAspect="1"/>
                        </pic:cNvPicPr>
                        <pic:nvPr/>
                      </pic:nvPicPr>
                      <pic:blipFill>
                        <a:blip r:embed="rId24"/>
                        <a:stretch/>
                      </pic:blipFill>
                      <pic:spPr bwMode="auto">
                        <a:xfrm>
                          <a:off x="0" y="0"/>
                          <a:ext cx="1407160" cy="2449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0.8pt;height:192.8pt;mso-wrap-distance-left:0.0pt;mso-wrap-distance-top:0.0pt;mso-wrap-distance-right:0.0pt;mso-wrap-distance-bottom:0.0pt;" stroked="f">
                <v:path textboxrect="0,0,0,0"/>
                <v:imagedata r:id="rId24" o:title=""/>
              </v:shape>
            </w:pict>
          </mc:Fallback>
        </mc:AlternateConten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立杆应设计采用锥型热镀锌管立杆，下</w:t>
      </w:r>
      <w:r>
        <w:rPr>
          <w:rFonts w:hint="eastAsia" w:ascii="宋体" w:hAnsi="宋体" w:eastAsia="宋体" w:cs="宋体"/>
          <w:b w:val="0"/>
          <w:bCs w:val="0"/>
          <w:color w:val="auto"/>
          <w:sz w:val="24"/>
          <w:highlight w:val="none"/>
        </w:rPr>
        <w:t xml:space="preserve">底部的管径≥210mm，上部管径≥150mm，管壁厚度≥5mm，挑臂长度一般应≥1000mm，挑臂壁厚≥4mm，特定地点挑臂长度根据现场实际情况设计，立杆可以安装单向或者多向延长杆，满足视频无死角应用要求。根据点位性质，在离地2.5m至4.5m之间，可以满足安装单个或者多个延长杆，延长杆具体高度和长度根据实际勘点情况确定。延长杆与枪机连接件采取密封和防水设计，连接处应为无缝焊接。立杆做灌筑基础，基础深度≥1500mm，底部尺寸应不小于1000mm×1000mm。立杆高度现场查勘确定，一般不低于4500mm。</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对于球机立杆，要求上端挑臂，采用吊装的形式安装球型摄像机，净高要求≥6米（挑臂长度根据现场定制）。</w:t>
      </w:r>
      <w:r/>
    </w:p>
    <w:p>
      <w:pPr>
        <w:ind w:right="0" w:firstLine="0"/>
        <w:jc w:val="center"/>
        <w:spacing w:line="360" w:lineRule="auto"/>
        <w:rPr>
          <w:rFonts w:hint="eastAsia" w:ascii="宋体" w:hAnsi="宋体" w:eastAsia="宋体" w:cs="宋体"/>
          <w:b w:val="0"/>
          <w:bCs w:val="0"/>
          <w:color w:val="auto"/>
          <w:sz w:val="24"/>
          <w:highlight w:val="none"/>
        </w:rPr>
      </w:pPr>
      <w:r>
        <w:rPr>
          <w:color w:val="auto"/>
          <w:highlight w:val="none"/>
        </w:rPr>
        <mc:AlternateContent>
          <mc:Choice Requires="wpg">
            <w:drawing>
              <wp:inline xmlns:wp="http://schemas.openxmlformats.org/drawingml/2006/wordprocessingDrawing" distT="0" distB="0" distL="0" distR="0">
                <wp:extent cx="1454785" cy="2456815"/>
                <wp:effectExtent l="0" t="0" r="0" b="12065"/>
                <wp:docPr id="10" name="图片 3" descr="C:\Users\user\AppData\Local\Temp\ksohtml\wps2C11.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descr="C:\Users\user\AppData\Local\Temp\ksohtml\wps2C11.tmp.png"/>
                        <pic:cNvPicPr>
                          <a:picLocks noChangeAspect="1"/>
                        </pic:cNvPicPr>
                        <pic:nvPr/>
                      </pic:nvPicPr>
                      <pic:blipFill>
                        <a:blip r:embed="rId25"/>
                        <a:stretch/>
                      </pic:blipFill>
                      <pic:spPr bwMode="auto">
                        <a:xfrm>
                          <a:off x="0" y="0"/>
                          <a:ext cx="1454785" cy="2456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4.5pt;height:193.4pt;mso-wrap-distance-left:0.0pt;mso-wrap-distance-top:0.0pt;mso-wrap-distance-right:0.0pt;mso-wrap-distance-bottom:0.0pt;" stroked="f">
                <v:path textboxrect="0,0,0,0"/>
                <v:imagedata r:id="rId25" o:title=""/>
              </v:shape>
            </w:pict>
          </mc:Fallback>
        </mc:AlternateConten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立杆应设计采用锥型热镀锌管立杆，下底部的管径≥210mm，上部管径≥150mm，管壁厚度≥5mm，挑臂长度一般应≥2000mm，挑臂壁厚≥4mm，特定地点挑臂长度根据现场实际情况设计，满足视频无遮挡无死角应用要求，连接处应为无缝焊接。立杆挑臂与球机连接件采取密封和防水设计。立杆做灌筑基础，基础深度≥1500mm，底部尺寸应不小于1000mm×1000mm。立杆高度现场查勘确定，一般不低于6000mm。</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以上枪机立杆、球机立杆要求按抗风力12级，抗震8级设计，使用寿命15年以上，在使用寿命年限内出现质量问题由供应商承担相应责任，提供书面承诺。具体如下图所示：</w:t>
      </w:r>
      <w:r/>
    </w:p>
    <w:p>
      <w:pPr>
        <w:ind w:right="0" w:firstLine="0"/>
        <w:jc w:val="center"/>
        <w:spacing w:line="360" w:lineRule="auto"/>
        <w:rPr>
          <w:rFonts w:hint="eastAsia" w:ascii="宋体" w:hAnsi="宋体" w:eastAsia="宋体" w:cs="宋体"/>
          <w:b w:val="0"/>
          <w:bCs w:val="0"/>
          <w:color w:val="auto"/>
          <w:sz w:val="24"/>
          <w:highlight w:val="none"/>
        </w:rPr>
      </w:pPr>
      <w:r>
        <w:rPr>
          <w:color w:val="auto"/>
          <w:highlight w:val="none"/>
        </w:rPr>
        <mc:AlternateContent>
          <mc:Choice Requires="wpg">
            <w:drawing>
              <wp:inline xmlns:wp="http://schemas.openxmlformats.org/drawingml/2006/wordprocessingDrawing" distT="0" distB="0" distL="0" distR="0">
                <wp:extent cx="2273935" cy="2520315"/>
                <wp:effectExtent l="0" t="0" r="12065" b="9525"/>
                <wp:docPr id="11" name="图片 4" descr="C:\Users\user\AppData\Local\Temp\ksohtml\wps2C12.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C:\Users\user\AppData\Local\Temp\ksohtml\wps2C12.tmp.jpg"/>
                        <pic:cNvPicPr>
                          <a:picLocks noChangeAspect="1"/>
                        </pic:cNvPicPr>
                        <pic:nvPr/>
                      </pic:nvPicPr>
                      <pic:blipFill>
                        <a:blip r:embed="rId26"/>
                        <a:stretch/>
                      </pic:blipFill>
                      <pic:spPr bwMode="auto">
                        <a:xfrm>
                          <a:off x="0" y="0"/>
                          <a:ext cx="2273935" cy="2520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79.0pt;height:198.4pt;mso-wrap-distance-left:0.0pt;mso-wrap-distance-top:0.0pt;mso-wrap-distance-right:0.0pt;mso-wrap-distance-bottom:0.0pt;" stroked="f">
                <v:path textboxrect="0,0,0,0"/>
                <v:imagedata r:id="rId26" o:title=""/>
              </v:shape>
            </w:pict>
          </mc:Fallback>
        </mc:AlternateConten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立杆符合国家标准GB/T13912-92，镀锌附着力符合GB2694-88标准。</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立杆的立柱、挑臂采用Q235A优质钢管。</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立杆焊接处光滑平整，不得有影响强度的裂纹、夹渣和针状气孔，并且无外观明显缺陷。</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杆件整体热镀锌防腐处理。热镀锌锌层厚≥85μm，浸锌件的锌层应均匀、光滑、无毛刺、滴瘤和多余结块，用硫酸铜液做侵蚀实验时，四次不露铁，锌层应与金属基件结合牢固，经</w:t>
      </w:r>
      <w:r>
        <w:rPr>
          <w:rFonts w:hint="eastAsia" w:ascii="宋体" w:hAnsi="宋体" w:cs="宋体"/>
          <w:b w:val="0"/>
          <w:bCs w:val="0"/>
          <w:color w:val="auto"/>
          <w:sz w:val="24"/>
          <w:highlight w:val="none"/>
          <w:lang w:eastAsia="zh-CN"/>
        </w:rPr>
        <w:t xml:space="preserve">锤击试验</w:t>
      </w:r>
      <w:r>
        <w:rPr>
          <w:rFonts w:hint="eastAsia" w:ascii="宋体" w:hAnsi="宋体" w:eastAsia="宋体" w:cs="宋体"/>
          <w:b w:val="0"/>
          <w:bCs w:val="0"/>
          <w:color w:val="auto"/>
          <w:sz w:val="24"/>
          <w:highlight w:val="none"/>
        </w:rPr>
        <w:t xml:space="preserve">，锌层不剥离、不凸起，镀锌寿命不小于15年。</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杆件表面喷塑应用优质品牌的户外纯聚酯塑粉，喷塑层厚度≥65μm，施工时应严格按照规范要求进行，使用寿命≥15年。喷塑层应抗强烈的紫外线，均匀光滑、无肉眼可分辨的小孔、空间、孔隙、裂缝、脱皮及其它有害缺陷。喷塑层应附着良好，对聚酯喷层，经划格试验后，刻痕光滑，喷塑层无剥离脱落。经冲击试验，喷塑层无碎裂、开裂或脱落现象。</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杆件紧固处如法兰盘、螺母、螺帽须采用与杆件同质材料Q235A优质冷轧钢板；机箱或其他部分需固定于杆件上面的设备采用不锈钢钢带进行紧固。</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杆件基坑设计</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摄像机杆件基坑开挖尺寸满足≥1000mm（长）*1000mm（宽）*1500mm </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深</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，基坑的四壁及底部平整，上下的长宽尺寸基本一致。</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接地扁铁采用镀锌角钢，壁厚≥5mm。系统的接地与摄像机杆件基坑接地要求一致。</w:t>
      </w:r>
      <w:r/>
    </w:p>
    <w:p>
      <w:pPr>
        <w:ind w:right="0" w:firstLine="0"/>
        <w:jc w:val="center"/>
        <w:spacing w:line="360" w:lineRule="auto"/>
        <w:rPr>
          <w:rFonts w:hint="eastAsia" w:ascii="宋体" w:hAnsi="宋体" w:eastAsia="宋体" w:cs="宋体"/>
          <w:b w:val="0"/>
          <w:bCs w:val="0"/>
          <w:color w:val="auto"/>
          <w:sz w:val="24"/>
          <w:highlight w:val="none"/>
        </w:rPr>
      </w:pPr>
      <w:r>
        <w:rPr>
          <w:color w:val="auto"/>
          <w:highlight w:val="none"/>
        </w:rPr>
        <mc:AlternateContent>
          <mc:Choice Requires="wpg">
            <w:drawing>
              <wp:inline xmlns:wp="http://schemas.openxmlformats.org/drawingml/2006/wordprocessingDrawing" distT="0" distB="0" distL="0" distR="0">
                <wp:extent cx="3331845" cy="2313940"/>
                <wp:effectExtent l="0" t="0" r="5715" b="2540"/>
                <wp:docPr id="12" name="图片 5" descr="C:\Users\user\AppData\Local\Temp\ksohtml\wps2C13.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descr="C:\Users\user\AppData\Local\Temp\ksohtml\wps2C13.tmp.png"/>
                        <pic:cNvPicPr>
                          <a:picLocks noChangeAspect="1"/>
                        </pic:cNvPicPr>
                        <pic:nvPr/>
                      </pic:nvPicPr>
                      <pic:blipFill>
                        <a:blip r:embed="rId27"/>
                        <a:stretch/>
                      </pic:blipFill>
                      <pic:spPr bwMode="auto">
                        <a:xfrm>
                          <a:off x="0" y="0"/>
                          <a:ext cx="3331845" cy="2313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62.3pt;height:182.2pt;mso-wrap-distance-left:0.0pt;mso-wrap-distance-top:0.0pt;mso-wrap-distance-right:0.0pt;mso-wrap-distance-bottom:0.0pt;" stroked="f">
                <v:path textboxrect="0,0,0,0"/>
                <v:imagedata r:id="rId27" o:title=""/>
              </v:shape>
            </w:pict>
          </mc:Fallback>
        </mc:AlternateContent>
      </w:r>
      <w:r/>
    </w:p>
    <w:p>
      <w:pPr>
        <w:ind w:right="0" w:firstLine="0"/>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基坑示意图</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基坑浇筑设计</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进行基础开挖时必须注意地下管路、管线，避免破损地下管线</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如有超挖，则必须回填压实处理。</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对土建使用的原材料（砂、石子、水泥、钢材等）进行试验，并进行砼配料方案试验。</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eastAsia="zh-CN"/>
        </w:rPr>
        <w:t xml:space="preserve">浇筑</w:t>
      </w:r>
      <w:r>
        <w:rPr>
          <w:rFonts w:hint="eastAsia" w:ascii="宋体" w:hAnsi="宋体" w:eastAsia="宋体" w:cs="宋体"/>
          <w:b w:val="0"/>
          <w:bCs w:val="0"/>
          <w:color w:val="auto"/>
          <w:sz w:val="24"/>
          <w:highlight w:val="none"/>
        </w:rPr>
        <w:t xml:space="preserve">符合规范的规定，并进行养护。</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采用商品混凝土，混凝土设计强度等级C25。</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eastAsia="zh-CN"/>
        </w:rPr>
        <w:t xml:space="preserve">浇筑</w:t>
      </w:r>
      <w:r>
        <w:rPr>
          <w:rFonts w:hint="eastAsia" w:ascii="宋体" w:hAnsi="宋体" w:eastAsia="宋体" w:cs="宋体"/>
          <w:b w:val="0"/>
          <w:bCs w:val="0"/>
          <w:color w:val="auto"/>
          <w:sz w:val="24"/>
          <w:highlight w:val="none"/>
        </w:rPr>
        <w:t xml:space="preserve">符合规范，并满足养护期要求。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基础浇筑时必须做好预埋件、接地体的预埋工作。</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rPr>
        <w:t xml:space="preserve">窨井砌筑设计</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通常一般只要求使用小规格窨井，为了设备安装方便，窨井宜设置在摄像杆和设备机箱附近。</w:t>
      </w:r>
      <w:r/>
    </w:p>
    <w:p>
      <w:pPr>
        <w:ind w:right="0" w:firstLine="0"/>
        <w:jc w:val="center"/>
        <w:spacing w:line="360" w:lineRule="auto"/>
        <w:rPr>
          <w:rFonts w:hint="eastAsia" w:ascii="宋体" w:hAnsi="宋体" w:eastAsia="宋体" w:cs="宋体"/>
          <w:b w:val="0"/>
          <w:bCs w:val="0"/>
          <w:color w:val="auto"/>
          <w:sz w:val="24"/>
          <w:highlight w:val="none"/>
        </w:rPr>
      </w:pPr>
      <w:r>
        <w:rPr>
          <w:color w:val="auto"/>
          <w:highlight w:val="none"/>
        </w:rPr>
        <mc:AlternateContent>
          <mc:Choice Requires="wpg">
            <w:drawing>
              <wp:inline xmlns:wp="http://schemas.openxmlformats.org/drawingml/2006/wordprocessingDrawing" distT="0" distB="0" distL="0" distR="0">
                <wp:extent cx="4317365" cy="3228340"/>
                <wp:effectExtent l="0" t="0" r="10795" b="2540"/>
                <wp:docPr id="13" name="图片 6" descr="C:\Users\user\AppData\Local\Temp\ksohtml\wps2C14.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C:\Users\user\AppData\Local\Temp\ksohtml\wps2C14.tmp.png"/>
                        <pic:cNvPicPr>
                          <a:picLocks noChangeAspect="1"/>
                        </pic:cNvPicPr>
                        <pic:nvPr/>
                      </pic:nvPicPr>
                      <pic:blipFill>
                        <a:blip r:embed="rId28"/>
                        <a:stretch/>
                      </pic:blipFill>
                      <pic:spPr bwMode="auto">
                        <a:xfrm>
                          <a:off x="0" y="0"/>
                          <a:ext cx="4317365" cy="3228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39.9pt;height:254.2pt;mso-wrap-distance-left:0.0pt;mso-wrap-distance-top:0.0pt;mso-wrap-distance-right:0.0pt;mso-wrap-distance-bottom:0.0pt;" stroked="f">
                <v:path textboxrect="0,0,0,0"/>
                <v:imagedata r:id="rId28" o:title=""/>
              </v:shape>
            </w:pict>
          </mc:Fallback>
        </mc:AlternateContent>
      </w:r>
      <w:r/>
    </w:p>
    <w:p>
      <w:pPr>
        <w:ind w:right="0" w:firstLine="0"/>
        <w:jc w:val="cente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窨井示意图</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窨井井底铺设沙垫层，井壁铺设混凝土基础垫层，井壁和井底粉刷防水</w:t>
      </w:r>
      <w:r>
        <w:rPr>
          <w:rFonts w:hint="eastAsia" w:ascii="宋体" w:hAnsi="宋体" w:cs="宋体"/>
          <w:b w:val="0"/>
          <w:bCs w:val="0"/>
          <w:color w:val="auto"/>
          <w:sz w:val="24"/>
          <w:highlight w:val="none"/>
          <w:lang w:eastAsia="zh-CN"/>
        </w:rPr>
        <w:t xml:space="preserve">砂浆</w:t>
      </w:r>
      <w:r>
        <w:rPr>
          <w:rFonts w:hint="eastAsia" w:ascii="宋体" w:hAnsi="宋体" w:eastAsia="宋体" w:cs="宋体"/>
          <w:b w:val="0"/>
          <w:bCs w:val="0"/>
          <w:color w:val="auto"/>
          <w:sz w:val="24"/>
          <w:highlight w:val="none"/>
        </w:rPr>
        <w:t xml:space="preserve">；如地下水位过高，窨井井底</w:t>
      </w:r>
      <w:r>
        <w:rPr>
          <w:rFonts w:hint="eastAsia" w:ascii="宋体" w:hAnsi="宋体" w:cs="宋体"/>
          <w:b w:val="0"/>
          <w:bCs w:val="0"/>
          <w:color w:val="auto"/>
          <w:sz w:val="24"/>
          <w:highlight w:val="none"/>
          <w:lang w:eastAsia="zh-CN"/>
        </w:rPr>
        <w:t xml:space="preserve">需</w:t>
      </w:r>
      <w:r>
        <w:rPr>
          <w:rFonts w:hint="eastAsia" w:ascii="宋体" w:hAnsi="宋体" w:eastAsia="宋体" w:cs="宋体"/>
          <w:b w:val="0"/>
          <w:bCs w:val="0"/>
          <w:color w:val="auto"/>
          <w:sz w:val="24"/>
          <w:highlight w:val="none"/>
        </w:rPr>
        <w:t xml:space="preserve">增设一层10cm的混凝土垫层。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用于设备杆件处及管道连接处的小窨井，井口面积≥0.25m2，深度不小于400mm，底部留有渗水孔。</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用于设备机箱处及过街管道连接处的大窨井，井口面积≥0.5m2，深度≥500mm，底部留有渗水孔。</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窨井中管道到井底的距离≥100mm。</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窨井盖满足常州市政建设相关规范要求。绿化带、人行道等机动车禁行区域、有机动车行驶区域井盖强度均应≥C300等级，城市主路、公路、高等级公路、高速公路等区域强度应≥D400等级。</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7.</w:t>
      </w:r>
      <w:r>
        <w:rPr>
          <w:rFonts w:hint="eastAsia" w:ascii="宋体" w:hAnsi="宋体" w:eastAsia="宋体" w:cs="宋体"/>
          <w:b w:val="0"/>
          <w:bCs w:val="0"/>
          <w:color w:val="auto"/>
          <w:sz w:val="24"/>
          <w:highlight w:val="none"/>
        </w:rPr>
        <w:t xml:space="preserve">避雷设计</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摄像机和补光灯安装支架上加置避雷针，敷设有效的接地网，采用一点接地的方式，接地电阻≤4Ω。视频线缆的摄像机端安装视频避雷器。所有的用电设备通过防浪涌和雷击电源插座接出，具备外部和内部二级避雷措施，且装有漏电保护开关。</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8.</w:t>
      </w:r>
      <w:r>
        <w:rPr>
          <w:rFonts w:hint="eastAsia" w:ascii="宋体" w:hAnsi="宋体" w:eastAsia="宋体" w:cs="宋体"/>
          <w:b w:val="0"/>
          <w:bCs w:val="0"/>
          <w:color w:val="auto"/>
          <w:sz w:val="24"/>
          <w:highlight w:val="none"/>
        </w:rPr>
        <w:t xml:space="preserve">地下管道埋设</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沥青、水泥路面在700mm以下埋放镀锌钢管，人行道路面500mm以下埋设镀锌钢管。在埋放时强、弱电各埋一根钢管，以避免干扰。镀锌钢管采用热镀锌国标管规格一般为4寸、2寸管，管壁厚度和镀锌层符合国标要求。人行横道管坑回填50mm沙后回填余泥（土）。</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9.</w:t>
      </w:r>
      <w:r>
        <w:rPr>
          <w:rFonts w:hint="eastAsia" w:ascii="宋体" w:hAnsi="宋体" w:eastAsia="宋体" w:cs="宋体"/>
          <w:b w:val="0"/>
          <w:bCs w:val="0"/>
          <w:color w:val="auto"/>
          <w:sz w:val="24"/>
          <w:highlight w:val="none"/>
        </w:rPr>
        <w:t xml:space="preserve">沙井施工</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管道拐弯处或线管长度超过50米时应设置沙井，沙井位置与路口侧石平行，沙井与沙井间取直。沙井使用砖砌制作，沙井规格为650×650×800mm，沙井盖700×700mm。沙井在车行道上应与路面做平，人行道上与路面高出10～20mm，沙井的壁砌砖，抹水泥厚度不小于10mm，底部铺上30～50mm的沙子，沙井底部距埋管口保持300mm以上的距离，管道入沙井口后伸出20～50mm管口。</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10.</w:t>
      </w:r>
      <w:r>
        <w:rPr>
          <w:rFonts w:hint="eastAsia" w:ascii="宋体" w:hAnsi="宋体" w:eastAsia="宋体" w:cs="宋体"/>
          <w:b w:val="0"/>
          <w:bCs w:val="0"/>
          <w:color w:val="auto"/>
          <w:sz w:val="24"/>
          <w:highlight w:val="none"/>
        </w:rPr>
        <w:t xml:space="preserve">线缆</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设备电源电缆、光缆和传输电缆，采用地下加保护管埋设，到上线敷设在倒L杆内。视频传输电缆采用敷设在倒L杆内，传输电缆采用六类非屏蔽防水双绞线，裸铜线径为0.57mm，绝缘线径为1.02mm。电源电缆采用多支铜芯、聚氯乙烯绝缘聚氯乙烯护套</w:t>
      </w:r>
      <w:r>
        <w:rPr>
          <w:rFonts w:hint="eastAsia" w:ascii="宋体" w:hAnsi="宋体" w:cs="宋体"/>
          <w:b w:val="0"/>
          <w:bCs w:val="0"/>
          <w:color w:val="auto"/>
          <w:sz w:val="24"/>
          <w:highlight w:val="none"/>
          <w:lang w:eastAsia="zh-CN"/>
        </w:rPr>
        <w:t xml:space="preserve">圆形</w:t>
      </w:r>
      <w:r>
        <w:rPr>
          <w:rFonts w:hint="eastAsia" w:ascii="宋体" w:hAnsi="宋体" w:eastAsia="宋体" w:cs="宋体"/>
          <w:b w:val="0"/>
          <w:bCs w:val="0"/>
          <w:color w:val="auto"/>
          <w:sz w:val="24"/>
          <w:highlight w:val="none"/>
        </w:rPr>
        <w:t xml:space="preserve">平行连接软电线（RVV），线芯标称面积为不小于1mm</w:t>
      </w:r>
      <w:r>
        <w:rPr>
          <w:rFonts w:hint="eastAsia" w:ascii="宋体" w:hAnsi="宋体" w:eastAsia="宋体" w:cs="宋体"/>
          <w:b w:val="0"/>
          <w:bCs w:val="0"/>
          <w:color w:val="auto"/>
          <w:sz w:val="24"/>
          <w:highlight w:val="none"/>
          <w:vertAlign w:val="superscript"/>
        </w:rPr>
        <w:t xml:space="preserve">2</w:t>
      </w:r>
      <w:r>
        <w:rPr>
          <w:rFonts w:hint="eastAsia" w:ascii="宋体" w:hAnsi="宋体" w:eastAsia="宋体" w:cs="宋体"/>
          <w:b w:val="0"/>
          <w:bCs w:val="0"/>
          <w:color w:val="auto"/>
          <w:sz w:val="24"/>
          <w:highlight w:val="none"/>
        </w:rPr>
        <w:t xml:space="preserve">的三芯线。夜间补光灯电源线采用多支铜芯、聚氯乙烯绝缘聚氯乙烯护套</w:t>
      </w:r>
      <w:r>
        <w:rPr>
          <w:rFonts w:hint="eastAsia" w:ascii="宋体" w:hAnsi="宋体" w:cs="宋体"/>
          <w:b w:val="0"/>
          <w:bCs w:val="0"/>
          <w:color w:val="auto"/>
          <w:sz w:val="24"/>
          <w:highlight w:val="none"/>
          <w:lang w:eastAsia="zh-CN"/>
        </w:rPr>
        <w:t xml:space="preserve">圆形</w:t>
      </w:r>
      <w:r>
        <w:rPr>
          <w:rFonts w:hint="eastAsia" w:ascii="宋体" w:hAnsi="宋体" w:eastAsia="宋体" w:cs="宋体"/>
          <w:b w:val="0"/>
          <w:bCs w:val="0"/>
          <w:color w:val="auto"/>
          <w:sz w:val="24"/>
          <w:highlight w:val="none"/>
        </w:rPr>
        <w:t xml:space="preserve">平行连接软电线（RVV），线芯标称面积为不小于2mm2的二芯线。敷设线缆时，应注意</w:t>
      </w:r>
      <w:r>
        <w:rPr>
          <w:rFonts w:hint="eastAsia" w:ascii="宋体" w:hAnsi="宋体" w:cs="宋体"/>
          <w:b w:val="0"/>
          <w:bCs w:val="0"/>
          <w:color w:val="auto"/>
          <w:sz w:val="24"/>
          <w:highlight w:val="none"/>
          <w:lang w:eastAsia="zh-CN"/>
        </w:rPr>
        <w:t xml:space="preserve">拖曳</w:t>
      </w:r>
      <w:r>
        <w:rPr>
          <w:rFonts w:hint="eastAsia" w:ascii="宋体" w:hAnsi="宋体" w:eastAsia="宋体" w:cs="宋体"/>
          <w:b w:val="0"/>
          <w:bCs w:val="0"/>
          <w:color w:val="auto"/>
          <w:sz w:val="24"/>
          <w:highlight w:val="none"/>
        </w:rPr>
        <w:t xml:space="preserve">的角度及强度，以防线缆保护层损伤。线缆敷设地表沿线应设置明显标志，具体标志物包括但不限于写有明确提示性文字的立桩、铭牌、挂标、指示牌等，防止被外力挖断。</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线缆架空敷设要求：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（1）原则上不允许线缆架空敷设。</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（2）按照文明城市要求，空中线缆需整齐规范。在项目质保期内，需满足常州市工信局《常州市空中线缆治理提升行动方案》（常工信信发[2022]146号）具体要求，如有不符合该要求的，必须无条件整改到位。</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（3）架空线缆必须采用钢绳作为引导和保护，避免线缆横向受力过大导致断裂。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（4）架空线缆高度≥6.0米。</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（5）线缆与钢绳之间采用挂钩或者滑环连接，</w:t>
      </w:r>
      <w:r>
        <w:rPr>
          <w:rFonts w:hint="eastAsia" w:ascii="宋体" w:hAnsi="宋体" w:cs="宋体"/>
          <w:b w:val="0"/>
          <w:bCs w:val="0"/>
          <w:color w:val="auto"/>
          <w:sz w:val="24"/>
          <w:highlight w:val="none"/>
          <w:lang w:eastAsia="zh-CN"/>
        </w:rPr>
        <w:t xml:space="preserve">每隔</w:t>
      </w:r>
      <w:r>
        <w:rPr>
          <w:rFonts w:hint="eastAsia" w:ascii="宋体" w:hAnsi="宋体" w:eastAsia="宋体" w:cs="宋体"/>
          <w:b w:val="0"/>
          <w:bCs w:val="0"/>
          <w:color w:val="auto"/>
          <w:sz w:val="24"/>
          <w:highlight w:val="none"/>
        </w:rPr>
        <w:t xml:space="preserve">1米设置1个挂钩。</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（6）每根线缆两端装设标志牌。</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（7）若架空线缆横跨行车道，应加装颜色醒目绝缘护套管。</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11.</w:t>
      </w:r>
      <w:r>
        <w:rPr>
          <w:rFonts w:hint="eastAsia" w:ascii="宋体" w:hAnsi="宋体" w:eastAsia="宋体" w:cs="宋体"/>
          <w:b w:val="0"/>
          <w:bCs w:val="0"/>
          <w:color w:val="auto"/>
          <w:sz w:val="24"/>
          <w:highlight w:val="none"/>
        </w:rPr>
        <w:t xml:space="preserve">布线</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每</w:t>
      </w:r>
      <w:r>
        <w:rPr>
          <w:rFonts w:hint="eastAsia" w:ascii="宋体" w:hAnsi="宋体" w:cs="宋体"/>
          <w:b w:val="0"/>
          <w:bCs w:val="0"/>
          <w:color w:val="auto"/>
          <w:sz w:val="24"/>
          <w:highlight w:val="none"/>
          <w:lang w:eastAsia="zh-CN"/>
        </w:rPr>
        <w:t xml:space="preserve">根</w:t>
      </w:r>
      <w:r>
        <w:rPr>
          <w:rFonts w:hint="eastAsia" w:ascii="宋体" w:hAnsi="宋体" w:eastAsia="宋体" w:cs="宋体"/>
          <w:b w:val="0"/>
          <w:bCs w:val="0"/>
          <w:color w:val="auto"/>
          <w:sz w:val="24"/>
          <w:highlight w:val="none"/>
        </w:rPr>
        <w:t xml:space="preserve">电缆线用有标识的套管编码以便日后维修。每</w:t>
      </w:r>
      <w:r>
        <w:rPr>
          <w:rFonts w:hint="eastAsia" w:ascii="宋体" w:hAnsi="宋体" w:cs="宋体"/>
          <w:b w:val="0"/>
          <w:bCs w:val="0"/>
          <w:color w:val="auto"/>
          <w:sz w:val="24"/>
          <w:highlight w:val="none"/>
          <w:lang w:eastAsia="zh-CN"/>
        </w:rPr>
        <w:t xml:space="preserve">根</w:t>
      </w:r>
      <w:r>
        <w:rPr>
          <w:rFonts w:hint="eastAsia" w:ascii="宋体" w:hAnsi="宋体" w:eastAsia="宋体" w:cs="宋体"/>
          <w:b w:val="0"/>
          <w:bCs w:val="0"/>
          <w:color w:val="auto"/>
          <w:sz w:val="24"/>
          <w:highlight w:val="none"/>
        </w:rPr>
        <w:t xml:space="preserve">电缆线留有2米的余量于最靠近立杆（柱）的沙井内；在倒L杆端、每根电缆留有5米的余量整齐地放于控制机旁的沙井内。放线后每根电缆线尾断口独立密封，防止水分渗入线内，做到防水、防潮。放线前，在导管的管口处套上喇叭形无锋利的塑料套子，以免损伤电缆。尽量集中在某根管内（或某几根管内）走线，2寸管内放线不超过6根，4寸管内放线不超过10根。放线时强、弱电要分管走线，强电为一根管，弱电为一根管。放线完毕，</w:t>
      </w:r>
      <w:r>
        <w:rPr>
          <w:rFonts w:hint="eastAsia" w:ascii="宋体" w:hAnsi="宋体" w:cs="宋体"/>
          <w:b w:val="0"/>
          <w:bCs w:val="0"/>
          <w:color w:val="auto"/>
          <w:sz w:val="24"/>
          <w:highlight w:val="none"/>
          <w:lang w:eastAsia="zh-CN"/>
        </w:rPr>
        <w:t xml:space="preserve">再</w:t>
      </w:r>
      <w:r>
        <w:rPr>
          <w:rFonts w:hint="eastAsia" w:ascii="宋体" w:hAnsi="宋体" w:eastAsia="宋体" w:cs="宋体"/>
          <w:b w:val="0"/>
          <w:bCs w:val="0"/>
          <w:color w:val="auto"/>
          <w:sz w:val="24"/>
          <w:highlight w:val="none"/>
        </w:rPr>
        <w:t xml:space="preserve">检查线间绝缘电阻，检查其是否有损坏。线与线之间的绝缘电阻在500伏测试范围时在10兆欧以上。</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四</w:t>
      </w:r>
      <w:r>
        <w:rPr>
          <w:rFonts w:hint="eastAsia" w:ascii="宋体" w:hAnsi="宋体" w:eastAsia="宋体" w:cs="宋体"/>
          <w:b w:val="0"/>
          <w:bCs w:val="0"/>
          <w:color w:val="auto"/>
          <w:sz w:val="24"/>
          <w:highlight w:val="none"/>
        </w:rPr>
        <w:t xml:space="preserve">）视频图像图片采集需求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视频编码</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视频编解码支持采用H.264/H.265/M-JPEG标准。</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图像质量</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图像质量将满足系统的远程监视要求，不受外界影响导致图像彩色失真、图像漂移，图像应清晰自然、无动画感，视频监控摄像机图像分辨率至少达到2K（不小于25帧/秒）。</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图像质量将保证图像信息的原始完整性，即在色彩还原性、图像轮廓还原性、灰度级、事件后继性等</w:t>
      </w:r>
      <w:r>
        <w:rPr>
          <w:rFonts w:hint="eastAsia" w:ascii="宋体" w:hAnsi="宋体" w:cs="宋体"/>
          <w:b w:val="0"/>
          <w:bCs w:val="0"/>
          <w:color w:val="auto"/>
          <w:sz w:val="24"/>
          <w:highlight w:val="none"/>
          <w:lang w:eastAsia="zh-CN"/>
        </w:rPr>
        <w:t xml:space="preserve">方面</w:t>
      </w:r>
      <w:r>
        <w:rPr>
          <w:rFonts w:hint="eastAsia" w:ascii="宋体" w:hAnsi="宋体" w:eastAsia="宋体" w:cs="宋体"/>
          <w:b w:val="0"/>
          <w:bCs w:val="0"/>
          <w:color w:val="auto"/>
          <w:sz w:val="24"/>
          <w:highlight w:val="none"/>
        </w:rPr>
        <w:t xml:space="preserve">均与现场场景保持最大相似性</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主观评价</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。系统的最终显示图像</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主观评价</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应达到四级</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含四级</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以上图像质量等级，对于电磁环境特别恶劣的现场，图像质量不低于三级。</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结构化图片质量</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本次项目所抓拍的结构化图片质量须满足以下需求：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光照要求：结构化目标正面光照强度100lux及以上，结构化目标左右侧光照强度差不超过一倍，结构化目标背面光照强度不超过正面光照强度的两倍；</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像素要求：抓拍点距离摄像机18米外，场景宽度10米，人员结构化数据双眼间距40个像素以上，宽度80像素以上；人体宽度200像素以上；车牌宽度120像素以上；车身宽度1200像素以上；非机动车宽度700以上</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分辨率：不低于2560×1440；</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信噪比：不低于54dB；</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清晰度：结构化目标清晰，无阴阳脸，无明显拖尾、抖动等运动模糊；</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色彩还原性：整体画面色彩和实际环境物体色彩一致，无明显偏色现象；</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画面亮度：整体画面亮度合适，亮区不过曝、不刺眼、不丢失细节；暗区不过暗、能突出细节、能分辨物体特征；</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要求同时输出人员结构化数据照片小图和全景图，人体照片小图和人体全景图，车身抠图、车牌抠图、车内司乘人员结构化数据抠图和车辆全景图，非机动车人员结构化数据抠图、非机动车人员结构化数据全景图、非机动车车身抠图和非机动车车身全景图；</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其中人员结构化数据像素≥80*80；在满足光照和人员结构化数据抓拍场景条件下，经施工单位调试人员结构化数据抓拍率要求≥98%；人员结构化数据抓拍准确率≥96%；人体抓拍率≥98%；人体抓拍准确率≥96%；机动车抓拍率≥98%；机动车内司乘人员结构化数据抓拍率≥85%；机动车抓拍准确率≥96%；机动车车牌抓拍率≥98%；非机动车抓拍率≥98%；非机动车抓拍准确率≥96%。以上要求作为项目初验标准，达到标准才可初验。</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可靠性</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系统前端硬件设备采用支持固件在线升级的产品。当设备异常时应能自动重新启动或由监控中心控制其重新启动；</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系统验收后的首次故障时间应不小于90d。</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实时性</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90%以上实时视频画面调出响应时间≤2秒；</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前端设备控制延时≤2秒；</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监控视频显示与实际事件发生时间差≤2秒。</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视频平台特性需求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当信息（包括视音频信息、控制信息及报警信息等）经由IP网络传输时，端到端的信息延迟时间（包括发送端信息采集、编码、网络传输、信息接收端解码、显示等过程所经历的时间）需满足下列要求：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前端设备与信号直接接入的监控中心相应设备间端到端的信息延迟时间应不大于2s；前端设备与用户终端设备间端到端的信息延迟时间应不大于4s；最大注册用户数≥60000，最大在线用户数≥3000。</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平台处理能力需求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单台媒体转发服务器设备可同时转发的视频信号的数量（2K画面）大于200路；平台可同时转发的视频信号的数量（2K画面）大于3000路；平台单通讯接入节点高峰处理性能不低于200条/秒，抓拍数据入库延迟不大于2秒。</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可靠性需求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关键设备全部采取冗余设计，以保障系统正常运行或快速恢复。采用冷备方式系统恢复时间小于30秒。</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系统前端硬件设备采用支持固件在线升级的产品。当设备异常时将自动重新启动或由监控中心控制其重新启动。</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系统整体可靠性指标应在子系统、子系统所有各组成设备间进行逐级合理分配，各设备平均无故障时间</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MTBF</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符合其MTBF分配指标。系统硬件设备的平均无故障</w:t>
      </w:r>
      <w:r>
        <w:rPr>
          <w:rFonts w:hint="eastAsia" w:ascii="宋体" w:hAnsi="宋体" w:cs="宋体"/>
          <w:b w:val="0"/>
          <w:bCs w:val="0"/>
          <w:color w:val="auto"/>
          <w:sz w:val="24"/>
          <w:highlight w:val="none"/>
          <w:lang w:eastAsia="zh-CN"/>
        </w:rPr>
        <w:t xml:space="preserve">时间（</w:t>
      </w:r>
      <w:r>
        <w:rPr>
          <w:rFonts w:hint="eastAsia" w:ascii="宋体" w:hAnsi="宋体" w:eastAsia="宋体" w:cs="宋体"/>
          <w:b w:val="0"/>
          <w:bCs w:val="0"/>
          <w:color w:val="auto"/>
          <w:sz w:val="24"/>
          <w:highlight w:val="none"/>
        </w:rPr>
        <w:t xml:space="preserve">MTBF</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最低大于20000h。</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实时性需求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90%以上实时视频画面调出响应时间≤2秒；视频控制切换响应时间≤2秒；前端设备控制延时≤2秒；监控视频显示与实际事件发生时间差≤2秒；用户登录时间≤2秒；冗余热备用设备</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一般指服务器</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之间在自动和手动方式下均实现无扰动切换，热备用服务器接替值班服务器的切换时间＜30秒；系统从断电后重启至恢复正常运行的黑启动时间＜15分钟。</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分发标准需求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平台互联和平台内部（含客户端）的视频传输通过流媒体服务器进行复制转发。</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11</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存储标准需求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用集中存储模式，支持可靠的硬盘存储，通过应用软件来提供大容量、高性能的数据存储和业务访问功能；同时，基于视频存储管理平台可对整个集群各个存储服务器及各个通道的录像进行实时监控，在显示存储资源使用情况的同时，会对集群中的异常情况产生实时报警信息，方便运维人员统一管理，大大降低运维成本。视频数据留存不少于1个月。</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12</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传输网络性能指标</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中心内部及中心间互联的网络性能指标符合YD/T1171-2001．中规定的1级</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交互式</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或1级以上服务质量等级。具体指标如下：网络时延上限值为400毫秒；时延抖动上限值为50毫秒；丢包率上限值为1x10-3。</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五</w:t>
      </w:r>
      <w:r>
        <w:rPr>
          <w:rFonts w:hint="eastAsia" w:ascii="宋体" w:hAnsi="宋体" w:eastAsia="宋体" w:cs="宋体"/>
          <w:b w:val="0"/>
          <w:bCs w:val="0"/>
          <w:color w:val="auto"/>
          <w:sz w:val="24"/>
          <w:highlight w:val="none"/>
        </w:rPr>
        <w:t xml:space="preserve">）联网需求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对关于人们生命财产安全的城市级视频监控系统，有其特殊性，要实现派出所、分局、市局数据信息共享，系统支持多级的组网方式，支持派出所、分局、市局三级管理系统，实现全网视频、结构化信息共享。</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根据经开区分局对整个网络视频监控系统的要求，系统采用基于公安图像IP网进行网络视频监控整体架构搭建，系统分为监控前端、派出所接入中心、分局汇聚中心以及市局数据中心四级结构。</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监控前端</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在各个监控点位现场，安装视频监控及智能抓拍单元进行视频采集编码压缩以及网络传输，通过通讯商提供的专用光纤，将前端摄像机采集的视频流和抓拍数据实时就近接入派出所接入中心。</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派出所接入中心</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采用派出所接入分局云存储机制，即可实现所有视频接入</w:t>
      </w:r>
      <w:r>
        <w:rPr>
          <w:rFonts w:hint="eastAsia" w:ascii="宋体" w:hAnsi="宋体" w:cs="宋体"/>
          <w:b w:val="0"/>
          <w:bCs w:val="0"/>
          <w:color w:val="auto"/>
          <w:sz w:val="24"/>
          <w:highlight w:val="none"/>
          <w:lang w:eastAsia="zh-CN"/>
        </w:rPr>
        <w:t xml:space="preserve">联网</w:t>
      </w:r>
      <w:r>
        <w:rPr>
          <w:rFonts w:hint="eastAsia" w:ascii="宋体" w:hAnsi="宋体" w:eastAsia="宋体" w:cs="宋体"/>
          <w:b w:val="0"/>
          <w:bCs w:val="0"/>
          <w:color w:val="auto"/>
          <w:sz w:val="24"/>
          <w:highlight w:val="none"/>
        </w:rPr>
        <w:t xml:space="preserve">平台。一方面，通过云存储，确保存储数据安全可靠；另一方面，通过分局国标对接单元将视频数据共享至经开公安视频综合应用平台，实现共享应用。</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分局汇聚中心</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在分局层接收派出所上传的视频数据并转发至市局相关平台。涉及到的计算和存储资源，均利用已有通讯服务器（计算虚拟化）和FCSAN存储空间进行数据接收和存储。</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市局数据中心</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由市局负责接收分局上传的视频数据，并做相应的接入、存储和配置。</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六</w:t>
      </w:r>
      <w:r>
        <w:rPr>
          <w:rFonts w:hint="eastAsia" w:ascii="宋体" w:hAnsi="宋体" w:eastAsia="宋体" w:cs="宋体"/>
          <w:b w:val="0"/>
          <w:bCs w:val="0"/>
          <w:color w:val="auto"/>
          <w:sz w:val="24"/>
          <w:highlight w:val="none"/>
        </w:rPr>
        <w:t xml:space="preserve">）网络安全保障系统需求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本项目主要涉及安全计算环境层面，依据《信息安全技术网络安全等级保护基本要求》（GB22239-2019）、《公安视频图像信息系统安全技术要求》，在前端设备安全技术方面，需满足以下要求：</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物理安全：前端设备应根据使用环境和安全需要，采取相应防物理破坏、防电磁干扰、防阻挡屏蔽、防雷、防水、防尘、稳定电力供应等措施。</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前端设备的重要部件如控制箱、线缆等，设置明显的不易除去的标记，设置写有“您已进入视频监控区”字样的提示性标志标牌。</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设备箱采用防盗、防火、防水设计，箱体不易被暴力开启，箱体印刷“公安监控”等信息。前端设备总体采用专用防雷接地设计，接地电阻不大于4Ω。</w:t>
      </w:r>
      <w:r/>
    </w:p>
    <w:p>
      <w:pPr>
        <w:ind w:right="210"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杆件设计需要满足实体防护安全设计，壁厚、高度、接口等需满足监控现场要求。</w:t>
      </w:r>
      <w:r/>
    </w:p>
    <w:p>
      <w:pPr>
        <w:ind w:right="210" w:firstLine="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五</w:t>
      </w:r>
      <w:r>
        <w:rPr>
          <w:rFonts w:hint="default" w:ascii="宋体" w:hAnsi="宋体" w:eastAsia="宋体" w:cs="宋体"/>
          <w:b/>
          <w:bCs/>
          <w:color w:val="auto"/>
          <w:sz w:val="24"/>
          <w:highlight w:val="none"/>
        </w:rPr>
        <w:t xml:space="preserve">、基本要求</w:t>
      </w:r>
      <w:r/>
    </w:p>
    <w:p>
      <w:pPr>
        <w:ind w:right="210" w:firstLine="480"/>
        <w:jc w:val="left"/>
        <w:spacing w:line="360" w:lineRule="auto"/>
        <w:rPr>
          <w:rFonts w:hint="eastAsia" w:ascii="宋体" w:hAnsi="宋体" w:eastAsia="宋体" w:cs="宋体"/>
          <w:color w:val="auto"/>
          <w:sz w:val="24"/>
          <w:highlight w:val="none"/>
        </w:rPr>
      </w:pPr>
      <w:r>
        <w:rPr>
          <w:rFonts w:hint="default" w:ascii="宋体" w:hAnsi="宋体" w:eastAsia="宋体" w:cs="宋体"/>
          <w:color w:val="auto"/>
          <w:sz w:val="24"/>
          <w:highlight w:val="none"/>
        </w:rPr>
        <w:t xml:space="preserve">1.投标人应保证所供货物的安全性、可靠性、先进性、经济性和实用性，并为全新、未使用过的原装合格正品，完全符合招标文件规定的质量、规格和性能的要求，达到中</w:t>
      </w:r>
      <w:r>
        <w:rPr>
          <w:rFonts w:hint="eastAsia" w:ascii="宋体" w:hAnsi="宋体" w:eastAsia="宋体" w:cs="宋体"/>
          <w:color w:val="auto"/>
          <w:sz w:val="24"/>
          <w:highlight w:val="none"/>
        </w:rPr>
        <w:t xml:space="preserve">国最新版的法律、法规或行业规定的相关标准、规范的要求，符合项目所在地政府有关特殊要求，同时满足采购人使用要求，保证能通过采购人的质量验收、竣工验收等各类验收。</w:t>
      </w:r>
      <w:r/>
    </w:p>
    <w:p>
      <w:pPr>
        <w:ind w:right="210" w:firstLine="480"/>
        <w:jc w:val="left"/>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2.投标人应保证采购人在使用其所供货物时不受第三方提出侵犯其专利权、著作权和工业产权等知识产权的起诉。一旦出现侵权，一律由投标人承担全部责任。同时，投</w:t>
      </w:r>
      <w:r>
        <w:rPr>
          <w:rFonts w:hint="eastAsia" w:ascii="宋体" w:hAnsi="宋体" w:cs="宋体"/>
          <w:color w:val="auto"/>
          <w:sz w:val="24"/>
          <w:highlight w:val="none"/>
        </w:rPr>
        <w:t xml:space="preserve">标人对采购人采购的货物所涉及的技术、产能等信息负有保密义务。</w:t>
      </w:r>
      <w:r/>
    </w:p>
    <w:p>
      <w:pPr>
        <w:ind w:right="210" w:firstLine="0"/>
        <w:jc w:val="left"/>
        <w:spacing w:line="360" w:lineRule="auto"/>
        <w:rPr>
          <w:rFonts w:ascii="宋体" w:hAnsi="宋体" w:cs="宋体"/>
          <w:b/>
          <w:bCs/>
          <w:color w:val="auto"/>
          <w:sz w:val="24"/>
          <w:highlight w:val="none"/>
        </w:rPr>
      </w:pPr>
      <w:r>
        <w:rPr>
          <w:rFonts w:hint="eastAsia" w:ascii="宋体" w:hAnsi="宋体"/>
          <w:b/>
          <w:color w:val="auto"/>
          <w:sz w:val="24"/>
          <w:highlight w:val="none"/>
          <w:lang w:eastAsia="zh-CN"/>
        </w:rPr>
        <w:t xml:space="preserve">六</w:t>
      </w: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售后服务要求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.售后服务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bookmarkStart w:id="329" w:name="OLE_LINK4"/>
      <w:r>
        <w:rPr>
          <w:rFonts w:hint="eastAsia" w:ascii="宋体" w:hAnsi="宋体"/>
          <w:color w:val="auto"/>
          <w:sz w:val="24"/>
          <w:highlight w:val="none"/>
        </w:rPr>
        <w:t xml:space="preserve">双方必须遵守《常州市公安视频监控系统维护管理办法》，项目建设和管理单位为常州市公安局常州经济开发区分局，项目承建单位是维护管理、考核的责任主体，系统运行设备完好率每月必须</w:t>
      </w:r>
      <w:r>
        <w:rPr>
          <w:rFonts w:hint="eastAsia" w:ascii="宋体" w:hAnsi="宋体"/>
          <w:color w:val="auto"/>
          <w:sz w:val="24"/>
          <w:highlight w:val="none"/>
          <w:lang w:eastAsia="zh-CN"/>
        </w:rPr>
        <w:t xml:space="preserve">达到</w:t>
      </w:r>
      <w:r>
        <w:rPr>
          <w:rFonts w:hint="eastAsia" w:ascii="宋体" w:hAnsi="宋体"/>
          <w:color w:val="auto"/>
          <w:sz w:val="24"/>
          <w:highlight w:val="none"/>
        </w:rPr>
        <w:t xml:space="preserve">95%以上，维修及时率达100%。</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质保期限、维护管理期限、考核期限按合同期限执行：自项目通过竣工验收之日起计算</w:t>
      </w:r>
      <w:r>
        <w:rPr>
          <w:rFonts w:hint="eastAsia" w:ascii="宋体" w:hAnsi="宋体"/>
          <w:color w:val="auto"/>
          <w:sz w:val="24"/>
          <w:highlight w:val="none"/>
          <w:u w:val="single"/>
        </w:rPr>
        <w:t xml:space="preserve">五</w:t>
      </w:r>
      <w:r>
        <w:rPr>
          <w:rFonts w:hint="eastAsia" w:ascii="宋体" w:hAnsi="宋体"/>
          <w:color w:val="auto"/>
          <w:sz w:val="24"/>
          <w:highlight w:val="none"/>
        </w:rPr>
        <w:t xml:space="preserve">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）中标人</w:t>
      </w:r>
      <w:r>
        <w:rPr>
          <w:rFonts w:hint="eastAsia" w:ascii="宋体" w:hAnsi="宋体"/>
          <w:color w:val="auto"/>
          <w:sz w:val="24"/>
          <w:highlight w:val="none"/>
        </w:rPr>
        <w:t xml:space="preserve">在项目建设完成、竣工验收时，需提供运维具体部门、责任人及联系方式，如有变更，及时通知</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在合同期内，</w:t>
      </w:r>
      <w:r>
        <w:rPr>
          <w:rFonts w:hint="eastAsia" w:ascii="宋体" w:hAnsi="宋体"/>
          <w:color w:val="auto"/>
          <w:sz w:val="24"/>
          <w:highlight w:val="none"/>
          <w:lang w:eastAsia="zh-CN"/>
        </w:rPr>
        <w:t xml:space="preserve">中标人</w:t>
      </w:r>
      <w:r>
        <w:rPr>
          <w:rFonts w:hint="eastAsia" w:ascii="宋体" w:hAnsi="宋体"/>
          <w:color w:val="auto"/>
          <w:sz w:val="24"/>
          <w:highlight w:val="none"/>
        </w:rPr>
        <w:t xml:space="preserve">须提供图像网络工程师一名，用于图像网网络管理、交换机日常巡检、网络故障排除等工作，同时提供7*24小时应急保障工作。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在合同期内，</w:t>
      </w:r>
      <w:r>
        <w:rPr>
          <w:rFonts w:hint="eastAsia" w:ascii="宋体" w:hAnsi="宋体"/>
          <w:color w:val="auto"/>
          <w:sz w:val="24"/>
          <w:highlight w:val="none"/>
          <w:lang w:eastAsia="zh-CN"/>
        </w:rPr>
        <w:t xml:space="preserve">中标人</w:t>
      </w:r>
      <w:r>
        <w:rPr>
          <w:rFonts w:hint="eastAsia" w:ascii="宋体" w:hAnsi="宋体"/>
          <w:color w:val="auto"/>
          <w:sz w:val="24"/>
          <w:highlight w:val="none"/>
        </w:rPr>
        <w:t xml:space="preserve">应派驻</w:t>
      </w:r>
      <w:r>
        <w:rPr>
          <w:rFonts w:hint="eastAsia" w:ascii="宋体" w:hAnsi="宋体"/>
          <w:color w:val="auto"/>
          <w:sz w:val="24"/>
          <w:highlight w:val="none"/>
          <w:u w:val="single"/>
        </w:rPr>
        <w:t xml:space="preserve">一</w:t>
      </w:r>
      <w:r>
        <w:rPr>
          <w:rFonts w:hint="eastAsia" w:ascii="宋体" w:hAnsi="宋体"/>
          <w:color w:val="auto"/>
          <w:sz w:val="24"/>
          <w:highlight w:val="none"/>
        </w:rPr>
        <w:t xml:space="preserve">名经</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审核认可的现场维护人员进驻</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运维中心，开展平台日常巡检、故障排查修复等工作，同时提供7*24小时应急保障工作。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）中标人</w:t>
      </w:r>
      <w:r>
        <w:rPr>
          <w:rFonts w:hint="eastAsia" w:ascii="宋体" w:hAnsi="宋体"/>
          <w:color w:val="auto"/>
          <w:sz w:val="24"/>
          <w:highlight w:val="none"/>
        </w:rPr>
        <w:t xml:space="preserve">施工队伍必须满足项目质量、进度和文明施工等方面的要求，并提供所有施工人员的身份证原件（复印件留档），社保或保险缴纳证明，报</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审核通过备案后方可进场施工。在实施过程中，施工队伍违反规定的，</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可予以清退，所有违约责任由</w:t>
      </w:r>
      <w:r>
        <w:rPr>
          <w:rFonts w:hint="eastAsia" w:ascii="宋体" w:hAnsi="宋体"/>
          <w:color w:val="auto"/>
          <w:sz w:val="24"/>
          <w:highlight w:val="none"/>
          <w:lang w:eastAsia="zh-CN"/>
        </w:rPr>
        <w:t xml:space="preserve">中标人</w:t>
      </w:r>
      <w:r>
        <w:rPr>
          <w:rFonts w:hint="eastAsia" w:ascii="宋体" w:hAnsi="宋体"/>
          <w:color w:val="auto"/>
          <w:sz w:val="24"/>
          <w:highlight w:val="none"/>
        </w:rPr>
        <w:t xml:space="preserve">承担。</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在运行维护期内，如遇其他原因搬迁，</w:t>
      </w:r>
      <w:r>
        <w:rPr>
          <w:rFonts w:hint="eastAsia" w:ascii="宋体" w:hAnsi="宋体"/>
          <w:color w:val="auto"/>
          <w:sz w:val="24"/>
          <w:highlight w:val="none"/>
          <w:lang w:eastAsia="zh-CN"/>
        </w:rPr>
        <w:t xml:space="preserve">中标人</w:t>
      </w:r>
      <w:r>
        <w:rPr>
          <w:rFonts w:hint="eastAsia" w:ascii="宋体" w:hAnsi="宋体"/>
          <w:color w:val="auto"/>
          <w:sz w:val="24"/>
          <w:highlight w:val="none"/>
        </w:rPr>
        <w:t xml:space="preserve">应免费承担不超过前端设备、链路等10%的搬迁服务。</w:t>
      </w:r>
      <w:bookmarkEnd w:id="329"/>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.人员培训</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认为可以培训的前一周提出需求，由</w:t>
      </w:r>
      <w:r>
        <w:rPr>
          <w:rFonts w:hint="eastAsia" w:ascii="宋体" w:hAnsi="宋体"/>
          <w:color w:val="auto"/>
          <w:sz w:val="24"/>
          <w:highlight w:val="none"/>
          <w:lang w:eastAsia="zh-CN"/>
        </w:rPr>
        <w:t xml:space="preserve">中标人</w:t>
      </w:r>
      <w:r>
        <w:rPr>
          <w:rFonts w:hint="eastAsia" w:ascii="宋体" w:hAnsi="宋体"/>
          <w:color w:val="auto"/>
          <w:sz w:val="24"/>
          <w:highlight w:val="none"/>
        </w:rPr>
        <w:t xml:space="preserve">提供培训计划及资料进行培训，确保</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培训后能熟练操作、了解构造原理、日常维护、排除一般故障。</w:t>
      </w:r>
      <w:r>
        <w:rPr>
          <w:rFonts w:hint="eastAsia" w:ascii="宋体" w:hAnsi="宋体"/>
          <w:color w:val="auto"/>
          <w:sz w:val="24"/>
          <w:highlight w:val="none"/>
          <w:lang w:eastAsia="zh-CN"/>
        </w:rPr>
        <w:t xml:space="preserve">中标人</w:t>
      </w:r>
      <w:r>
        <w:rPr>
          <w:rFonts w:hint="eastAsia" w:ascii="宋体" w:hAnsi="宋体"/>
          <w:color w:val="auto"/>
          <w:sz w:val="24"/>
          <w:highlight w:val="none"/>
        </w:rPr>
        <w:t xml:space="preserve">保证</w:t>
      </w:r>
      <w:r>
        <w:rPr>
          <w:rFonts w:hint="eastAsia" w:ascii="宋体" w:hAnsi="宋体"/>
          <w:color w:val="auto"/>
          <w:sz w:val="24"/>
          <w:highlight w:val="none"/>
        </w:rPr>
        <w:t xml:space="preserve">对</w:t>
      </w:r>
      <w:r>
        <w:rPr>
          <w:rFonts w:hint="eastAsia" w:ascii="宋体" w:hAnsi="宋体"/>
          <w:color w:val="auto"/>
          <w:sz w:val="24"/>
          <w:highlight w:val="none"/>
          <w:lang w:eastAsia="zh-CN"/>
        </w:rPr>
        <w:t xml:space="preserve">才后人</w:t>
      </w:r>
      <w:r>
        <w:rPr>
          <w:rFonts w:hint="eastAsia" w:ascii="宋体" w:hAnsi="宋体"/>
          <w:color w:val="auto"/>
          <w:sz w:val="24"/>
          <w:highlight w:val="none"/>
        </w:rPr>
        <w:t xml:space="preserve">各单位两名以上人员进行现场培训。培训时间地点由双方另行协商确定。</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中标人</w:t>
      </w:r>
      <w:r>
        <w:rPr>
          <w:rFonts w:hint="eastAsia" w:ascii="宋体" w:hAnsi="宋体"/>
          <w:color w:val="auto"/>
          <w:sz w:val="24"/>
          <w:highlight w:val="none"/>
        </w:rPr>
        <w:t xml:space="preserve">派出的培训指导人员，应在所在的技术领域具有五年以上的维修经验。培训指导人员的简历连同培训计划一并提交</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认为培训指导人员不合适可要求更换</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培训教程应按不同等级的受训人员分别制定，每一组应能对所有系统的特性、操作要求和维修有一个完整的了解，其中特别对软件系统进行专项培训。</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lang w:eastAsia="zh-CN"/>
        </w:rPr>
        <w:t xml:space="preserve">七、</w:t>
      </w:r>
      <w:r>
        <w:rPr>
          <w:rFonts w:hint="eastAsia" w:ascii="宋体" w:hAnsi="宋体"/>
          <w:b/>
          <w:color w:val="auto"/>
          <w:sz w:val="24"/>
          <w:highlight w:val="none"/>
        </w:rPr>
        <w:t xml:space="preserve">报价方式</w:t>
      </w:r>
      <w:r/>
    </w:p>
    <w:p>
      <w:pPr>
        <w:pStyle w:val="90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本项目投标报价为</w:t>
      </w:r>
      <w:r>
        <w:rPr>
          <w:rFonts w:hint="eastAsia" w:ascii="宋体" w:hAnsi="宋体" w:cs="宋体"/>
          <w:b/>
          <w:bCs/>
          <w:color w:val="auto"/>
          <w:sz w:val="24"/>
          <w:highlight w:val="none"/>
          <w:lang w:val="en-US" w:eastAsia="zh-CN"/>
        </w:rPr>
        <w:t xml:space="preserve">全费用</w:t>
      </w:r>
      <w:r>
        <w:rPr>
          <w:rFonts w:hint="eastAsia" w:ascii="宋体" w:hAnsi="宋体" w:cs="宋体"/>
          <w:b/>
          <w:bCs/>
          <w:color w:val="auto"/>
          <w:sz w:val="24"/>
          <w:highlight w:val="none"/>
        </w:rPr>
        <w:t xml:space="preserve">固定</w:t>
      </w:r>
      <w:r>
        <w:rPr>
          <w:rFonts w:hint="eastAsia" w:ascii="宋体" w:hAnsi="宋体" w:cs="宋体"/>
          <w:b/>
          <w:bCs/>
          <w:color w:val="auto"/>
          <w:sz w:val="24"/>
          <w:highlight w:val="none"/>
          <w:lang w:val="en-US" w:eastAsia="zh-CN"/>
        </w:rPr>
        <w:t xml:space="preserve">综合</w:t>
      </w:r>
      <w:r>
        <w:rPr>
          <w:rFonts w:hint="eastAsia" w:ascii="宋体" w:hAnsi="宋体" w:cs="宋体"/>
          <w:b/>
          <w:bCs/>
          <w:color w:val="auto"/>
          <w:sz w:val="24"/>
          <w:highlight w:val="none"/>
          <w:lang w:eastAsia="zh-CN"/>
        </w:rPr>
        <w:t xml:space="preserve">单</w:t>
      </w:r>
      <w:r>
        <w:rPr>
          <w:rFonts w:hint="eastAsia" w:ascii="宋体" w:hAnsi="宋体" w:cs="宋体"/>
          <w:b/>
          <w:bCs/>
          <w:color w:val="auto"/>
          <w:sz w:val="24"/>
          <w:highlight w:val="none"/>
        </w:rPr>
        <w:t xml:space="preserve">价，</w:t>
      </w:r>
      <w:r>
        <w:rPr>
          <w:rFonts w:hint="eastAsia" w:ascii="宋体" w:hAnsi="宋体" w:cs="宋体"/>
          <w:b/>
          <w:bCs/>
          <w:color w:val="auto"/>
          <w:sz w:val="24"/>
          <w:highlight w:val="none"/>
          <w:lang w:eastAsia="zh-CN"/>
        </w:rPr>
        <w:t xml:space="preserve">按实结算。</w:t>
      </w:r>
      <w:r>
        <w:rPr>
          <w:rFonts w:hint="eastAsia" w:ascii="宋体" w:hAnsi="宋体" w:cs="宋体"/>
          <w:color w:val="auto"/>
          <w:sz w:val="24"/>
          <w:highlight w:val="none"/>
        </w:rPr>
        <w:t xml:space="preserve">投标报价应包括招标文件所确定的招标范围相应货物和服务的供货、包装、运输、保险、辅助设备、安装调试、管理、维护（包括质保期内的一切维修、保养、更换零部件、人工等伴随服务）、售后服务、劳务、培训、验收、办公设备、设备、工具、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w:t>
      </w:r>
      <w:r>
        <w:rPr>
          <w:rFonts w:hint="eastAsia" w:ascii="宋体" w:hAnsi="宋体" w:cs="宋体"/>
          <w:color w:val="auto"/>
          <w:sz w:val="24"/>
          <w:highlight w:val="none"/>
          <w:lang w:val="zh-TW" w:eastAsia="zh-TW"/>
        </w:rPr>
        <w:t xml:space="preserve">付实际使用人的时间。</w:t>
      </w:r>
      <w:r>
        <w:rPr>
          <w:rFonts w:hint="eastAsia" w:ascii="宋体" w:hAnsi="宋体"/>
          <w:bCs/>
          <w:color w:val="auto"/>
          <w:sz w:val="24"/>
          <w:highlight w:val="none"/>
        </w:rPr>
        <w:t xml:space="preserve">供应商应考虑合同期内的物价、政策等所有风险因素，在报价时自行预测并纳入总价中。</w:t>
      </w:r>
      <w:r>
        <w:rPr>
          <w:rFonts w:hint="eastAsia" w:ascii="宋体" w:hAnsi="宋体" w:cs="宋体"/>
          <w:color w:val="auto"/>
          <w:sz w:val="24"/>
          <w:highlight w:val="none"/>
        </w:rPr>
        <w:t xml:space="preserve">采购人不接受供应商任何因遗漏报价而发生的费用追加，因供应商违反《中华人民共和国民法典》等法律法规而造成采购人的连带责任和损失全部由供应商承担。</w:t>
      </w:r>
      <w:r/>
    </w:p>
    <w:p>
      <w:pPr>
        <w:ind w:firstLine="480"/>
        <w:jc w:val="left"/>
        <w:spacing w:line="360" w:lineRule="auto"/>
        <w:rPr>
          <w:rFonts w:ascii="宋体" w:hAnsi="宋体"/>
          <w:color w:val="auto"/>
          <w:sz w:val="24"/>
          <w:highlight w:val="none"/>
        </w:rPr>
      </w:pPr>
      <w:r>
        <w:rPr>
          <w:rFonts w:ascii="宋体" w:hAnsi="宋体"/>
          <w:color w:val="auto"/>
          <w:sz w:val="24"/>
          <w:highlight w:val="none"/>
        </w:rPr>
      </w:r>
      <w:r/>
    </w:p>
    <w:p>
      <w:pPr>
        <w:pStyle w:val="902"/>
        <w:rPr>
          <w:color w:val="auto"/>
          <w:highlight w:val="none"/>
        </w:rPr>
      </w:pPr>
      <w:r>
        <w:rPr>
          <w:color w:val="auto"/>
          <w:highlight w:val="none"/>
        </w:rPr>
        <w:br w:type="page" w:clear="all"/>
      </w:r>
      <w:bookmarkStart w:id="330" w:name="_Toc16395"/>
      <w:r>
        <w:rPr>
          <w:color w:val="auto"/>
          <w:highlight w:val="none"/>
        </w:rPr>
        <w:t xml:space="preserve">第六章   拟签订的合同文本</w:t>
      </w:r>
      <w:bookmarkEnd w:id="330"/>
      <w:r/>
      <w:r/>
    </w:p>
    <w:p>
      <w:pPr>
        <w:jc w:val="center"/>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lang w:eastAsia="zh-CN"/>
        </w:rPr>
        <w:t xml:space="preserve">经开区治安监控智能化改造项目</w:t>
      </w:r>
      <w:r/>
    </w:p>
    <w:p>
      <w:pPr>
        <w:ind w:left="0" w:right="0" w:firstLine="0"/>
        <w:jc w:val="center"/>
        <w:spacing w:line="360" w:lineRule="auto"/>
        <w:rPr>
          <w:rFonts w:hint="eastAsia" w:ascii="宋体" w:hAnsi="宋体" w:eastAsia="宋体"/>
          <w:color w:val="auto"/>
          <w:sz w:val="24"/>
          <w:szCs w:val="24"/>
          <w:highlight w:val="none"/>
        </w:rPr>
      </w:pPr>
      <w:r>
        <w:rPr>
          <w:rFonts w:hint="eastAsia" w:ascii="宋体" w:hAnsi="宋体" w:cs="宋体"/>
          <w:b/>
          <w:bCs/>
          <w:color w:val="auto"/>
          <w:sz w:val="36"/>
          <w:szCs w:val="36"/>
          <w:highlight w:val="none"/>
        </w:rPr>
        <w:t xml:space="preserve">政府采购合同</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采购人：</w:t>
      </w:r>
      <w:r>
        <w:rPr>
          <w:rFonts w:hint="eastAsia" w:ascii="宋体" w:hAnsi="宋体" w:eastAsia="宋体"/>
          <w:color w:val="auto"/>
          <w:sz w:val="24"/>
          <w:szCs w:val="24"/>
          <w:highlight w:val="none"/>
          <w:u w:val="single"/>
        </w:rPr>
        <w:t xml:space="preserve">  常州市公安局常州经济开发区分局 </w:t>
      </w:r>
      <w:r>
        <w:rPr>
          <w:rFonts w:hint="eastAsia" w:ascii="宋体" w:hAnsi="宋体" w:eastAsia="宋体"/>
          <w:color w:val="auto"/>
          <w:sz w:val="24"/>
          <w:szCs w:val="24"/>
          <w:highlight w:val="none"/>
        </w:rPr>
        <w:t xml:space="preserve">（以下简称甲方）</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（以下简称乙方）</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集中采购机构：</w:t>
      </w:r>
      <w:r>
        <w:rPr>
          <w:rFonts w:ascii="宋体" w:hAnsi="宋体" w:eastAsia="宋体"/>
          <w:color w:val="auto"/>
          <w:sz w:val="24"/>
          <w:szCs w:val="24"/>
          <w:highlight w:val="none"/>
        </w:rPr>
        <w:t xml:space="preserve"> </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常州市公安局常州经济开发区分局（甲方）</w:t>
      </w:r>
      <w:r>
        <w:rPr>
          <w:rFonts w:hint="eastAsia" w:ascii="宋体" w:hAnsi="宋体" w:eastAsia="宋体"/>
          <w:color w:val="auto"/>
          <w:sz w:val="24"/>
          <w:szCs w:val="24"/>
          <w:highlight w:val="none"/>
        </w:rPr>
        <w:t xml:space="preserve">所需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（项目名称）</w:t>
      </w:r>
      <w:r>
        <w:rPr>
          <w:rFonts w:hint="eastAsia" w:ascii="宋体" w:hAnsi="宋体" w:eastAsia="宋体"/>
          <w:color w:val="auto"/>
          <w:sz w:val="24"/>
          <w:szCs w:val="24"/>
          <w:highlight w:val="none"/>
        </w:rPr>
        <w:t xml:space="preserve">以公开采购方式进行采购。经评审委员会确定</w:t>
      </w:r>
      <w:r>
        <w:rPr>
          <w:rFonts w:hint="eastAsia" w:ascii="宋体" w:hAnsi="宋体" w:eastAsia="宋体"/>
          <w:color w:val="auto"/>
          <w:sz w:val="24"/>
          <w:szCs w:val="24"/>
          <w:highlight w:val="none"/>
          <w:u w:val="single"/>
        </w:rPr>
        <w:t xml:space="preserve">               （乙方）</w:t>
      </w:r>
      <w:r>
        <w:rPr>
          <w:rFonts w:hint="eastAsia" w:ascii="宋体" w:hAnsi="宋体" w:eastAsia="宋体"/>
          <w:color w:val="auto"/>
          <w:sz w:val="24"/>
          <w:szCs w:val="24"/>
          <w:highlight w:val="none"/>
        </w:rPr>
        <w:t xml:space="preserve">为成交供应商。甲、乙双方根据《中华人民共和国</w:t>
      </w:r>
      <w:r>
        <w:rPr>
          <w:rFonts w:hint="eastAsia" w:ascii="宋体" w:hAnsi="宋体"/>
          <w:color w:val="auto"/>
          <w:sz w:val="24"/>
          <w:szCs w:val="24"/>
          <w:highlight w:val="none"/>
          <w:lang w:eastAsia="zh-CN"/>
        </w:rPr>
        <w:t xml:space="preserve">民法典</w:t>
      </w:r>
      <w:r>
        <w:rPr>
          <w:rFonts w:hint="eastAsia" w:ascii="宋体" w:hAnsi="宋体" w:eastAsia="宋体"/>
          <w:color w:val="auto"/>
          <w:sz w:val="24"/>
          <w:szCs w:val="24"/>
          <w:highlight w:val="none"/>
        </w:rPr>
        <w:t xml:space="preserve">》、《中华人民共和国政府采购法》和其他法律、法规的规定，并按照公正、平等、自愿、诚实信用的原则，同意按照以下条款和条件，签署本合同。</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一、本合同由合同文本和下列文件组成</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hint="eastAsia" w:ascii="宋体" w:hAnsi="宋体" w:eastAsia="宋体"/>
          <w:color w:val="auto"/>
          <w:sz w:val="24"/>
          <w:szCs w:val="24"/>
          <w:highlight w:val="none"/>
        </w:rPr>
        <w:t xml:space="preserve">招标文件</w:t>
      </w:r>
      <w:r>
        <w:rPr>
          <w:rFonts w:hint="eastAsia" w:ascii="宋体" w:hAnsi="宋体" w:eastAsia="宋体"/>
          <w:color w:val="auto"/>
          <w:sz w:val="24"/>
          <w:szCs w:val="24"/>
          <w:highlight w:val="none"/>
          <w:lang w:eastAsia="zh-CN"/>
        </w:rPr>
        <w:t xml:space="preserve">；</w:t>
      </w:r>
      <w:r/>
    </w:p>
    <w:p>
      <w:pPr>
        <w:ind w:firstLine="480"/>
        <w:spacing w:line="360" w:lineRule="auto"/>
        <w:rPr>
          <w:rFonts w:ascii="宋体" w:hAnsi="宋体" w:eastAsia="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eastAsia="宋体"/>
          <w:color w:val="auto"/>
          <w:sz w:val="24"/>
          <w:szCs w:val="24"/>
          <w:highlight w:val="none"/>
        </w:rPr>
        <w:t xml:space="preserve">投标文件；</w:t>
      </w:r>
      <w:r/>
    </w:p>
    <w:p>
      <w:pPr>
        <w:ind w:firstLine="480"/>
        <w:spacing w:line="360" w:lineRule="auto"/>
        <w:rPr>
          <w:rFonts w:ascii="宋体" w:hAnsi="宋体" w:eastAsia="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eastAsia="宋体"/>
          <w:color w:val="auto"/>
          <w:sz w:val="24"/>
          <w:szCs w:val="24"/>
          <w:highlight w:val="none"/>
        </w:rPr>
        <w:t xml:space="preserve">中标通知书；</w:t>
      </w:r>
      <w:r/>
    </w:p>
    <w:p>
      <w:pPr>
        <w:ind w:firstLine="480"/>
        <w:spacing w:line="360" w:lineRule="auto"/>
        <w:rPr>
          <w:rFonts w:ascii="宋体" w:hAnsi="宋体" w:eastAsia="宋体"/>
          <w:color w:val="auto"/>
          <w:sz w:val="24"/>
          <w:szCs w:val="24"/>
          <w:highlight w:val="none"/>
        </w:rPr>
      </w:pPr>
      <w:r>
        <w:rPr>
          <w:rFonts w:hint="eastAsia" w:ascii="宋体" w:hAnsi="宋体"/>
          <w:color w:val="auto"/>
          <w:sz w:val="24"/>
          <w:szCs w:val="24"/>
          <w:highlight w:val="none"/>
          <w:lang w:eastAsia="zh-CN"/>
        </w:rPr>
        <w:t xml:space="preserve">（4）</w:t>
      </w:r>
      <w:r>
        <w:rPr>
          <w:rFonts w:hint="eastAsia" w:ascii="宋体" w:hAnsi="宋体" w:eastAsia="宋体"/>
          <w:color w:val="auto"/>
          <w:sz w:val="24"/>
          <w:szCs w:val="24"/>
          <w:highlight w:val="none"/>
        </w:rPr>
        <w:t xml:space="preserve">中标人在投标、评标过程中所作其它有关承诺、声明、书面澄清；</w:t>
      </w:r>
      <w:r/>
    </w:p>
    <w:p>
      <w:pPr>
        <w:ind w:firstLine="480"/>
        <w:spacing w:line="360" w:lineRule="auto"/>
        <w:rPr>
          <w:rFonts w:ascii="宋体" w:hAnsi="宋体" w:eastAsia="宋体"/>
          <w:color w:val="auto"/>
          <w:sz w:val="24"/>
          <w:szCs w:val="24"/>
          <w:highlight w:val="none"/>
        </w:rPr>
      </w:pPr>
      <w:r>
        <w:rPr>
          <w:rFonts w:hint="eastAsia" w:ascii="宋体" w:hAnsi="宋体"/>
          <w:color w:val="auto"/>
          <w:sz w:val="24"/>
          <w:szCs w:val="24"/>
          <w:highlight w:val="none"/>
          <w:lang w:eastAsia="zh-CN"/>
        </w:rPr>
        <w:t xml:space="preserve">（5）</w:t>
      </w:r>
      <w:r>
        <w:rPr>
          <w:rFonts w:hint="eastAsia" w:ascii="宋体" w:hAnsi="宋体" w:eastAsia="宋体"/>
          <w:color w:val="auto"/>
          <w:sz w:val="24"/>
          <w:szCs w:val="24"/>
          <w:highlight w:val="none"/>
        </w:rPr>
        <w:t xml:space="preserve">甲乙双方商定的其他文件等。</w:t>
      </w:r>
      <w:r/>
    </w:p>
    <w:p>
      <w:pPr>
        <w:ind w:firstLine="480"/>
        <w:spacing w:line="360" w:lineRule="auto"/>
        <w:rPr>
          <w:rFonts w:ascii="宋体" w:hAnsi="宋体" w:eastAsia="宋体"/>
          <w:color w:val="auto"/>
          <w:sz w:val="24"/>
          <w:szCs w:val="24"/>
          <w:highlight w:val="none"/>
        </w:rPr>
      </w:pPr>
      <w:r>
        <w:rPr>
          <w:rFonts w:hint="eastAsia" w:ascii="宋体" w:hAnsi="宋体"/>
          <w:color w:val="auto"/>
          <w:sz w:val="24"/>
          <w:szCs w:val="24"/>
          <w:highlight w:val="none"/>
          <w:lang w:eastAsia="zh-CN"/>
        </w:rPr>
        <w:t xml:space="preserve">（6）</w:t>
      </w:r>
      <w:r>
        <w:rPr>
          <w:rFonts w:hint="eastAsia" w:ascii="宋体" w:hAnsi="宋体" w:eastAsia="宋体"/>
          <w:color w:val="auto"/>
          <w:sz w:val="24"/>
          <w:szCs w:val="24"/>
          <w:highlight w:val="none"/>
        </w:rPr>
        <w:t xml:space="preserve">本合同附件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采购文件、投标文件、合同条款及中标通知书，中标人在投标、评标过程中所作其它有关承诺、声明、书面澄清等均为合同不可分割的部分，与主合同具有同等法律效力。</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二、货物名称、品牌、数量、单价、规格和标准</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（详细清单见附件） </w:t>
      </w:r>
      <w:r/>
    </w:p>
    <w:p>
      <w:pPr>
        <w:ind w:firstLine="482"/>
        <w:spacing w:line="360" w:lineRule="auto"/>
        <w:rPr>
          <w:rFonts w:hint="eastAsia"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rPr>
        <w:t xml:space="preserve">三、合同金额</w:t>
      </w:r>
      <w:r>
        <w:rPr>
          <w:rFonts w:hint="eastAsia" w:ascii="宋体" w:hAnsi="宋体" w:eastAsia="宋体"/>
          <w:b/>
          <w:bCs/>
          <w:color w:val="auto"/>
          <w:sz w:val="24"/>
          <w:szCs w:val="24"/>
          <w:highlight w:val="none"/>
          <w:lang w:eastAsia="zh-CN"/>
        </w:rPr>
        <w:t xml:space="preserve">及付款方式</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本项目</w:t>
      </w:r>
      <w:r>
        <w:rPr>
          <w:rFonts w:hint="eastAsia" w:ascii="宋体" w:hAnsi="宋体" w:eastAsia="宋体"/>
          <w:color w:val="auto"/>
          <w:sz w:val="24"/>
          <w:szCs w:val="24"/>
          <w:highlight w:val="none"/>
        </w:rPr>
        <w:t xml:space="preserve">合同总金额：人民币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元（大写）</w:t>
      </w:r>
      <w:r/>
    </w:p>
    <w:p>
      <w:pPr>
        <w:ind w:firstLine="28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人民币</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元（小写）</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本合同服务期限内合同总价款不变。（有另行规定的除外。）</w:t>
      </w:r>
      <w:r/>
    </w:p>
    <w:p>
      <w:pPr>
        <w:ind w:right="210"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四、</w:t>
      </w:r>
      <w:r>
        <w:rPr>
          <w:rFonts w:hint="default" w:ascii="宋体" w:hAnsi="宋体" w:eastAsia="宋体"/>
          <w:b/>
          <w:bCs/>
          <w:color w:val="auto"/>
          <w:sz w:val="24"/>
          <w:szCs w:val="24"/>
          <w:highlight w:val="none"/>
          <w:lang w:val="en-US" w:eastAsia="zh-CN"/>
        </w:rPr>
        <w:t xml:space="preserve">付款方式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签订合同</w:t>
      </w:r>
      <w:r>
        <w:rPr>
          <w:rFonts w:hint="eastAsia" w:ascii="宋体" w:hAnsi="宋体" w:eastAsia="宋体"/>
          <w:color w:val="auto"/>
          <w:sz w:val="24"/>
          <w:szCs w:val="24"/>
          <w:highlight w:val="none"/>
          <w:lang w:eastAsia="zh-CN"/>
        </w:rPr>
        <w:t xml:space="preserve">后</w:t>
      </w:r>
      <w:r>
        <w:rPr>
          <w:rFonts w:hint="eastAsia" w:ascii="宋体" w:hAnsi="宋体" w:eastAsia="宋体"/>
          <w:color w:val="auto"/>
          <w:sz w:val="24"/>
          <w:szCs w:val="24"/>
          <w:highlight w:val="none"/>
        </w:rPr>
        <w:t xml:space="preserve">30日内，支付</w:t>
      </w:r>
      <w:r>
        <w:rPr>
          <w:rFonts w:hint="eastAsia" w:ascii="宋体" w:hAnsi="宋体"/>
          <w:color w:val="auto"/>
          <w:sz w:val="24"/>
          <w:szCs w:val="24"/>
          <w:highlight w:val="none"/>
          <w:lang w:eastAsia="zh-CN"/>
        </w:rPr>
        <w:t xml:space="preserve">合同金额</w:t>
      </w:r>
      <w:r>
        <w:rPr>
          <w:rFonts w:hint="eastAsia" w:ascii="宋体" w:hAnsi="宋体" w:eastAsia="宋体"/>
          <w:color w:val="auto"/>
          <w:sz w:val="24"/>
          <w:szCs w:val="24"/>
          <w:highlight w:val="none"/>
        </w:rPr>
        <w:t xml:space="preserve">的30%；</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项目竣工验收合格并完成审计后60日内</w:t>
      </w:r>
      <w:r>
        <w:rPr>
          <w:rFonts w:hint="eastAsia" w:ascii="宋体" w:hAnsi="宋体"/>
          <w:color w:val="auto"/>
          <w:sz w:val="24"/>
          <w:szCs w:val="24"/>
          <w:highlight w:val="none"/>
          <w:lang w:eastAsia="zh-CN"/>
        </w:rPr>
        <w:t xml:space="preserve">，支</w:t>
      </w:r>
      <w:r>
        <w:rPr>
          <w:rFonts w:hint="eastAsia" w:ascii="宋体" w:hAnsi="宋体" w:cs="宋体"/>
          <w:color w:val="auto"/>
          <w:sz w:val="24"/>
          <w:highlight w:val="none"/>
          <w:lang w:val="zh-CN" w:eastAsia="zh-CN"/>
        </w:rPr>
        <w:t xml:space="preserve">付至审计结算价的80%</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lang w:eastAsia="zh-CN"/>
        </w:rPr>
        <w:t xml:space="preserve">）项目竣工验收合格进入运行维护期，运行维护期为五年，</w:t>
      </w:r>
      <w:r>
        <w:rPr>
          <w:rFonts w:hint="eastAsia" w:ascii="宋体" w:hAnsi="宋体"/>
          <w:color w:val="auto"/>
          <w:sz w:val="24"/>
          <w:szCs w:val="24"/>
          <w:highlight w:val="none"/>
          <w:lang w:eastAsia="zh-CN"/>
        </w:rPr>
        <w:t xml:space="preserve">每</w:t>
      </w:r>
      <w:r>
        <w:rPr>
          <w:rFonts w:hint="eastAsia" w:ascii="宋体" w:hAnsi="宋体" w:eastAsia="宋体"/>
          <w:color w:val="auto"/>
          <w:sz w:val="24"/>
          <w:szCs w:val="24"/>
          <w:highlight w:val="none"/>
          <w:lang w:eastAsia="zh-CN"/>
        </w:rPr>
        <w:t xml:space="preserve">一年运行维护期满后30日内支付审计结算价的4%</w:t>
      </w:r>
      <w:r>
        <w:rPr>
          <w:rFonts w:hint="eastAsia" w:ascii="宋体" w:hAnsi="宋体"/>
          <w:color w:val="auto"/>
          <w:sz w:val="24"/>
          <w:szCs w:val="24"/>
          <w:highlight w:val="none"/>
          <w:lang w:eastAsia="zh-CN"/>
        </w:rPr>
        <w:t xml:space="preserve">，运维服务期限届满后，</w:t>
      </w:r>
      <w:r>
        <w:rPr>
          <w:rFonts w:hint="eastAsia" w:ascii="宋体" w:hAnsi="宋体" w:eastAsia="宋体"/>
          <w:color w:val="auto"/>
          <w:sz w:val="24"/>
          <w:szCs w:val="24"/>
          <w:highlight w:val="none"/>
          <w:lang w:eastAsia="zh-CN"/>
        </w:rPr>
        <w:t xml:space="preserve">一次性付清剩余全部款项。</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特别说明：</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结算审计核减率5%以下的审计费用由采购人承担；核减率5%（含）以上的审计费用一律由供应商承担，并直接在审定价中扣除。中标供应商应无条件接受采购人内部审计部门的延伸审计。</w:t>
      </w:r>
      <w:r/>
    </w:p>
    <w:p>
      <w:pPr>
        <w:ind w:right="210"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付款前，</w:t>
      </w:r>
      <w:r>
        <w:rPr>
          <w:rFonts w:hint="eastAsia" w:ascii="宋体" w:hAnsi="宋体" w:eastAsia="宋体" w:cs="宋体"/>
          <w:color w:val="auto"/>
          <w:sz w:val="24"/>
          <w:szCs w:val="24"/>
          <w:highlight w:val="none"/>
          <w:lang w:val="en-US" w:eastAsia="zh-CN"/>
        </w:rPr>
        <w:t xml:space="preserve">乙方</w:t>
      </w:r>
      <w:r>
        <w:rPr>
          <w:rFonts w:hint="default" w:ascii="宋体" w:hAnsi="宋体" w:eastAsia="宋体" w:cs="宋体"/>
          <w:color w:val="auto"/>
          <w:sz w:val="24"/>
          <w:szCs w:val="24"/>
          <w:highlight w:val="none"/>
          <w:lang w:val="en-US" w:eastAsia="zh-CN"/>
        </w:rPr>
        <w:t xml:space="preserve">应提供符合</w:t>
      </w:r>
      <w:r>
        <w:rPr>
          <w:rFonts w:hint="eastAsia" w:ascii="宋体" w:hAnsi="宋体" w:eastAsia="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要求的合同全额的合法有效发票。否</w:t>
      </w:r>
      <w:r>
        <w:rPr>
          <w:rFonts w:hint="default" w:ascii="宋体" w:hAnsi="宋体" w:eastAsia="宋体" w:cs="宋体"/>
          <w:color w:val="auto"/>
          <w:sz w:val="24"/>
          <w:szCs w:val="24"/>
          <w:highlight w:val="none"/>
          <w:lang w:val="en-US" w:eastAsia="zh-CN"/>
        </w:rPr>
        <w:t xml:space="preserve">则，</w:t>
      </w:r>
      <w:r>
        <w:rPr>
          <w:rFonts w:hint="eastAsia" w:ascii="宋体" w:hAnsi="宋体" w:eastAsia="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有权顺延付款时间，且不承担任何违约或赔偿责任。</w:t>
      </w:r>
      <w:r/>
    </w:p>
    <w:p>
      <w:pPr>
        <w:ind w:firstLine="482"/>
        <w:spacing w:line="360"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 xml:space="preserve">五、项目结算</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本项目采用固定单价合同。本项目按实结算，项目的结算金额以项目完成后</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审计部门的审计结果作为结算依据。</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项目货款结算价包括：</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①合同范围内的工程量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②变更项目</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项目货款的结算原则：</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①结算时单价按合同单价固定不变，工程量根据甲乙双方合同中约定应予计量且实际完成的并经甲方、监理、审计审核的合格工程量确定；</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完成甲方要求的合同以外的工程或发生非乙方责任事件的工程量按甲乙双方、监理、审计现场签证确认。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②变更项目：</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a因乙方过错（包括设计不合理）、乙方违反合同或乙方责任造成的变更：由此而产生的额外费用由乙方承担；</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b因上述乙方的变更而造成设备的闲置、浪费和损坏的损失，由乙方承担。</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c 因客观情况或特殊原因变更或者增补的设备、系统，经甲乙双方共同书面确认后可以对本项目部分设备或者系统进行变更，在本合同中有价格的按本合同单价进行计算；本合同中没有单价的设备、系统按变更或者增补单上约定的单价及收费标准（不高于市场价格并经监理、审计确认）进行结算。</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d项目变更按甲方变更指令，甲方、乙方、审计单位现场签证确认的工程量予以结算。</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e非乙方原因出现项目不可实施部分，甲方应配合进行项目变更。</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本项目费用的结算以审计单位审定的金额为准。</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六、维保服务时间</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.本项目在   年   月   日前完成建设，即整体工程达到初验要求</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lang w:val="en-US" w:eastAsia="zh-CN"/>
        </w:rPr>
        <w:t xml:space="preserve">  年</w:t>
      </w:r>
      <w:r>
        <w:rPr>
          <w:rFonts w:hint="eastAsia" w:ascii="宋体" w:hAnsi="宋体"/>
          <w:color w:val="auto"/>
          <w:sz w:val="24"/>
          <w:szCs w:val="24"/>
          <w:highlight w:val="none"/>
          <w:lang w:val="en-US" w:eastAsia="zh-CN"/>
        </w:rPr>
        <w:t xml:space="preserve">  </w:t>
      </w:r>
      <w:r>
        <w:rPr>
          <w:rFonts w:hint="eastAsia" w:ascii="宋体" w:hAnsi="宋体" w:eastAsia="宋体"/>
          <w:color w:val="auto"/>
          <w:sz w:val="24"/>
          <w:szCs w:val="24"/>
          <w:highlight w:val="none"/>
          <w:lang w:val="en-US" w:eastAsia="zh-CN"/>
        </w:rPr>
        <w:t xml:space="preserve">月  日前正式交付甲方使用，否则视为逾期。因非乙方自身原因（包括但不限于甲方原因、现场不具备施工条件或者恶劣天气、影响公共卫生的传染性疾病等原因）工期如要适当顺延，应由乙方及时办理工期顺延的手续</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lang w:val="en-US" w:eastAsia="zh-CN"/>
        </w:rPr>
        <w:t xml:space="preserve">提请甲方及第三方监理共同书面确认</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lang w:val="en-US" w:eastAsia="zh-CN"/>
        </w:rPr>
        <w:t xml:space="preserve">后才能适当顺延工期，在此情况下乙方无需承担相应责任。如甲方在3个工作日之内未予答复，则视为同意乙方的工期顺延请求。</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本项目按有关规定</w:t>
      </w:r>
      <w:r>
        <w:rPr>
          <w:rFonts w:hint="eastAsia" w:ascii="宋体" w:hAnsi="宋体"/>
          <w:color w:val="auto"/>
          <w:sz w:val="24"/>
          <w:szCs w:val="24"/>
          <w:highlight w:val="none"/>
          <w:lang w:eastAsia="zh-CN"/>
        </w:rPr>
        <w:t xml:space="preserve">进行</w:t>
      </w:r>
      <w:r>
        <w:rPr>
          <w:rFonts w:hint="eastAsia" w:ascii="宋体" w:hAnsi="宋体" w:eastAsia="宋体"/>
          <w:color w:val="auto"/>
          <w:sz w:val="24"/>
          <w:szCs w:val="24"/>
          <w:highlight w:val="none"/>
        </w:rPr>
        <w:t xml:space="preserve">审计。</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本项目质保期为</w:t>
      </w:r>
      <w:r>
        <w:rPr>
          <w:rFonts w:hint="eastAsia" w:ascii="宋体" w:hAnsi="宋体" w:eastAsia="宋体"/>
          <w:color w:val="auto"/>
          <w:sz w:val="24"/>
          <w:szCs w:val="24"/>
          <w:highlight w:val="none"/>
          <w:u w:val="single"/>
        </w:rPr>
        <w:t xml:space="preserve">五</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lang w:eastAsia="zh-CN"/>
        </w:rPr>
        <w:t xml:space="preserve">，</w:t>
      </w:r>
      <w:r>
        <w:rPr>
          <w:rFonts w:hint="default" w:ascii="宋体" w:hAnsi="宋体" w:eastAsia="宋体" w:cs="宋体"/>
          <w:b w:val="0"/>
          <w:color w:val="auto"/>
          <w:sz w:val="24"/>
          <w:highlight w:val="none"/>
        </w:rPr>
        <w:t xml:space="preserve">自</w:t>
      </w:r>
      <w:r>
        <w:rPr>
          <w:rFonts w:hint="eastAsia" w:ascii="宋体" w:hAnsi="宋体" w:eastAsia="宋体" w:cs="宋体"/>
          <w:b w:val="0"/>
          <w:color w:val="auto"/>
          <w:sz w:val="24"/>
          <w:highlight w:val="none"/>
          <w:lang w:eastAsia="zh-CN"/>
        </w:rPr>
        <w:t xml:space="preserve">甲方</w:t>
      </w:r>
      <w:r>
        <w:rPr>
          <w:rFonts w:hint="default" w:ascii="宋体" w:hAnsi="宋体" w:eastAsia="宋体" w:cs="宋体"/>
          <w:b w:val="0"/>
          <w:color w:val="auto"/>
          <w:sz w:val="24"/>
          <w:highlight w:val="none"/>
        </w:rPr>
        <w:t xml:space="preserve">验收合格之日起</w:t>
      </w:r>
      <w:r>
        <w:rPr>
          <w:rFonts w:hint="default" w:ascii="宋体" w:hAnsi="宋体" w:eastAsia="宋体" w:cs="宋体"/>
          <w:b w:val="0"/>
          <w:color w:val="auto"/>
          <w:sz w:val="24"/>
          <w:highlight w:val="none"/>
          <w:lang w:eastAsia="zh-CN"/>
        </w:rPr>
        <w:t xml:space="preserve">，</w:t>
      </w:r>
      <w:r>
        <w:rPr>
          <w:rFonts w:hint="default" w:ascii="宋体" w:hAnsi="宋体" w:eastAsia="宋体" w:cs="宋体"/>
          <w:b w:val="0"/>
          <w:color w:val="auto"/>
          <w:sz w:val="24"/>
          <w:highlight w:val="none"/>
        </w:rPr>
        <w:t xml:space="preserve">5年质保期内免费升级、维护。</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七、质量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乙方所提供的服务必须符合国家有关标准和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采购文件（含技术要求）和响应文件的要求。</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乙方保证本项目所涉设备及其各部件应为全新、未曾使用过之优质产品，与规定的质量、规格和性能相符，并保证该产品确系原厂制造，同时提供原厂承诺的产品质量保证书、技术性能说明书、有关部门的检测测试报告、质量标准认证证书等相关材料。在合同履行过程中一旦发现不能满足技术要求的产品，成交供应商应无条件更换符合采购人及本项目技术要求的产品。</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该项目建设过程中，甲方将引入第三方信息化项目建设监理公司，监理方将会同甲方对项目进行全程监督和管理，乙方在项目建设过程中必须配合监理方，同时服从常州市公安局常州经济开发区分局的统一协调。对项目实施过程中出现的不配合导致项目推进困难的，甲方有权协同其它相关部门提请终止合作，重新选择合作单位，并保留追究赔偿责任的权力。</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.乙方投标文件技术负偏离表中未提出参数负偏离的产品，视为能完全满足甲方及本项目技术要求，合同履行</w:t>
      </w:r>
      <w:r>
        <w:rPr>
          <w:rFonts w:hint="eastAsia" w:ascii="宋体" w:hAnsi="宋体"/>
          <w:color w:val="auto"/>
          <w:sz w:val="24"/>
          <w:szCs w:val="24"/>
          <w:highlight w:val="none"/>
          <w:lang w:val="en-US" w:eastAsia="zh-CN"/>
        </w:rPr>
        <w:t xml:space="preserve">期间</w:t>
      </w:r>
      <w:r>
        <w:rPr>
          <w:rFonts w:hint="eastAsia" w:ascii="宋体" w:hAnsi="宋体" w:eastAsia="宋体"/>
          <w:color w:val="auto"/>
          <w:sz w:val="24"/>
          <w:szCs w:val="24"/>
          <w:highlight w:val="none"/>
          <w:lang w:val="en-US" w:eastAsia="zh-CN"/>
        </w:rPr>
        <w:t xml:space="preserve">一旦发现不能满足参数要求的产品，乙方必须无条件更换，甲方不另行支付费用。</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eastAsia="宋体"/>
          <w:color w:val="auto"/>
          <w:sz w:val="24"/>
          <w:szCs w:val="24"/>
          <w:highlight w:val="none"/>
          <w:lang w:val="en-US" w:eastAsia="zh-CN"/>
        </w:rPr>
        <w:t xml:space="preserve">.乙方应充分考虑项目建设期产品更新换代甚至停产的风险，项目建设期内如遇产品此类风险，应无条件升级或更换符合甲方要求的产品，甲方不另行支付费用。</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rPr>
          <w:rFonts w:hint="eastAsia" w:ascii="宋体" w:hAnsi="宋体" w:eastAsia="宋体"/>
          <w:color w:val="auto"/>
          <w:sz w:val="24"/>
          <w:szCs w:val="24"/>
          <w:highlight w:val="none"/>
          <w:lang w:val="en-US" w:eastAsia="zh-CN"/>
        </w:rPr>
        <w:t xml:space="preserve">.乙方必须严格按照甲方认可的深化设计方案内容及相关承诺进行建设，未经过甲方及监理公司共同书面确认不得任意变更。</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八、服务承诺</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.甲乙双方必须遵守《常州市公安视频监控系统维护管理办法》，项目建设和管理单位为常州市公安局常州经济开发区分局，项目承建单位是维护管理、考核的责任主体，系统运行设备完好率每月必须</w:t>
      </w:r>
      <w:r>
        <w:rPr>
          <w:rFonts w:hint="eastAsia" w:ascii="宋体" w:hAnsi="宋体"/>
          <w:color w:val="auto"/>
          <w:sz w:val="24"/>
          <w:szCs w:val="24"/>
          <w:highlight w:val="none"/>
          <w:lang w:val="en-US" w:eastAsia="zh-CN"/>
        </w:rPr>
        <w:t xml:space="preserve">达到</w:t>
      </w:r>
      <w:r>
        <w:rPr>
          <w:rFonts w:hint="eastAsia" w:ascii="宋体" w:hAnsi="宋体" w:eastAsia="宋体"/>
          <w:color w:val="auto"/>
          <w:sz w:val="24"/>
          <w:szCs w:val="24"/>
          <w:highlight w:val="none"/>
          <w:lang w:val="en-US" w:eastAsia="zh-CN"/>
        </w:rPr>
        <w:t xml:space="preserve">95%以上，维修及时率达100%。</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2.质保期限、维护管理期限、考核期限按合同期限执行：自项目通过竣工验收之日起计算</w:t>
      </w:r>
      <w:r>
        <w:rPr>
          <w:rFonts w:hint="eastAsia" w:ascii="宋体" w:hAnsi="宋体" w:eastAsia="宋体"/>
          <w:color w:val="auto"/>
          <w:sz w:val="24"/>
          <w:szCs w:val="24"/>
          <w:highlight w:val="none"/>
          <w:u w:val="single"/>
          <w:lang w:val="en-US" w:eastAsia="zh-CN"/>
        </w:rPr>
        <w:t xml:space="preserve">五</w:t>
      </w:r>
      <w:r>
        <w:rPr>
          <w:rFonts w:hint="eastAsia" w:ascii="宋体" w:hAnsi="宋体" w:eastAsia="宋体"/>
          <w:color w:val="auto"/>
          <w:sz w:val="24"/>
          <w:szCs w:val="24"/>
          <w:highlight w:val="none"/>
          <w:lang w:val="en-US" w:eastAsia="zh-CN"/>
        </w:rPr>
        <w:t xml:space="preserve">年。</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乙方在项目建设完成、竣工验收时，需提供运维具体部门、责任人及联系方式，如有变更，及时通知甲方。</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在合同期内，乙方须提供图像网络工程师一名，用于图像网网络管理、交换机日常巡检、网络故障排除等工作，同时提供7*24小时应急保障工作。</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在合同期内，乙方应派驻</w:t>
      </w:r>
      <w:r>
        <w:rPr>
          <w:rFonts w:hint="eastAsia" w:ascii="宋体" w:hAnsi="宋体" w:eastAsia="宋体"/>
          <w:color w:val="auto"/>
          <w:sz w:val="24"/>
          <w:szCs w:val="24"/>
          <w:highlight w:val="none"/>
          <w:u w:val="single"/>
        </w:rPr>
        <w:t xml:space="preserve">一</w:t>
      </w:r>
      <w:r>
        <w:rPr>
          <w:rFonts w:hint="eastAsia" w:ascii="宋体" w:hAnsi="宋体" w:eastAsia="宋体"/>
          <w:color w:val="auto"/>
          <w:sz w:val="24"/>
          <w:szCs w:val="24"/>
          <w:highlight w:val="none"/>
        </w:rPr>
        <w:t xml:space="preserve">名经甲方审核认可的现场维护人员进驻甲方运维中心，开展平台日常巡检、故障排查修复等工作，同时提供7*24小时应急保障工作。</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乙方施工队伍必须满足项目质量、进度和文明施工等方面的要求，并提供所有施工人员的身份证原件（复印件留档），社保或保险缴纳证明，报甲方审核通过备案后方可进场施工。在实施过程中，施工队伍违反规定的，甲方可予以清退，所有违约责任由乙方承担。</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7</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在</w:t>
      </w:r>
      <w:r>
        <w:rPr>
          <w:rFonts w:hint="eastAsia" w:ascii="宋体" w:hAnsi="宋体" w:eastAsia="宋体"/>
          <w:color w:val="auto"/>
          <w:sz w:val="24"/>
          <w:szCs w:val="24"/>
          <w:highlight w:val="none"/>
          <w:lang w:eastAsia="zh-CN"/>
        </w:rPr>
        <w:t xml:space="preserve">运行维护</w:t>
      </w:r>
      <w:r>
        <w:rPr>
          <w:rFonts w:hint="eastAsia" w:ascii="宋体" w:hAnsi="宋体" w:eastAsia="宋体"/>
          <w:color w:val="auto"/>
          <w:sz w:val="24"/>
          <w:szCs w:val="24"/>
          <w:highlight w:val="none"/>
        </w:rPr>
        <w:t xml:space="preserve">期内，如遇其他原因搬迁，乙方应免费承担不超过前端设备、链路等</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0%的搬迁服务。</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九、资产归属</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除链路外，本项目所有设备及系统归甲方所有。</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十、知识产权</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乙方应保证甲方在中国境内使用货物或货物的任何一部分时，免受第三方提出的侵犯其知识产权的诉讼。</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十一、合同生效</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本合同经甲乙双方签章，    见证，合同生效</w:t>
      </w:r>
      <w:r>
        <w:rPr>
          <w:rFonts w:hint="eastAsia" w:ascii="宋体" w:hAnsi="宋体"/>
          <w:color w:val="auto"/>
          <w:sz w:val="24"/>
          <w:szCs w:val="24"/>
          <w:highlight w:val="none"/>
          <w:lang w:eastAsia="zh-CN"/>
        </w:rPr>
        <w:t xml:space="preserve">。</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十二、双方责任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甲方的责任：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甲方应妥善保管和合理使用设备，并按规范进行机房设备的日常管理，放置在甲方各监控中心机房内的设备和光纤线路等，如遇意外事故出现问题或故障，甲方应及时通知乙方，并配合乙方按协议约定的内容检查线路设备和系统。</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（2）甲方按规范做好安装在甲方机房内的设备的安全维护，确保正常情况下的机房设备安全。</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（3）甲方应按本合同约定向乙方支付合同所述支付款项；甲方应积极向政府财政部门报告，按时办理支付手续。</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（4）按需组织并进行工程阶段验收工作，经甲方及第三方监理共同认可、签字确认后作为后续终验的有效组成部分。</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乙方的责任：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（1）乙方负责对本合同相关设备的采购及施工建设。</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（2）乙方应根据项目招标技术方案文件和投标响应技术文件在开工前完成项目详细深化方案的设计，并取得甲方和监理书面同意后方可实施，深化方案中需包含施工推进表。</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（3）乙方保证所提供设备符合响应文件内容并达到整套系统的运行质量要求，达到磋商文件要求。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（4）乙方负责提供本项目所需的光纤线路的维护工作。</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（5）乙方所提供的设备质量应符合国家主管部门的质量标准和技术要求，满足甲方招标文件所规定的参数需求。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（6）乙方负责系统整体施工，以及在协议期内约定范围内系统的日常维护工作。</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乙方应遵守工程建设安全生产有关管理规定，严格按安全管理规定施工，并随时接受行业安全人员依法监督检查，采取必要安全防护措施，消除事故隐患。在工程建设维护过程中发生的安全事故及纠纷均由乙方负责解决，并承担相应责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（8）乙方应对施工现场工作人员进行安全教育，并对其安全负责，采购人不得要求乙方违反安全管理的规范进行施工。</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（9）合同期满后，甲方根据需要使用、调整、变更系统设备等，乙方应予积极配合，变更工程的施工、新增设备、材料费按成本价优惠计收。</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（10）外场施工部分，乙方应严格按照建筑、市政相关验收要求进行施工，经监理公司验收合格方能进行结算。</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（11）乙方在工程推进过程中如需开挖道路、绿化、接电、迁移等作业施工的，所有手续由乙方自行办理，甲方配合，因此产生的费用也由乙方自行承担。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（12）乙方应及时支付农民工工资、费用及材料等款项，如有拖欠投诉且情况属实，甲方将从下一次支付工程款中扣除拖欠金额，并按有关规定直接支付投诉方，支付金额纳入乙方总工程款中结算。</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（13）乙方应履行投标响应文件中的相关承诺。</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甲方违约责任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（1）在合同生效后，甲方无正当理由要求取消或解除合同的，应向乙方偿付合同总价款的5%作为违约金，违约金不足以补偿损失的，乙方有权要求甲方补足。</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（2）在合同生效后，甲方应按本合同的约定及时向乙方支付合同所述款项。如违约，每逾期壹天，甲方应向乙方支付合同总价款3‰的人民币作为违约金，最高不超过本合同总价的10％。</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（3）甲方违反合同规定，拒绝接收乙方交付竣工验收合格的项目的，应当承担乙方由此造成的一切损失。</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乙方违约责任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（1）在本合同生效后，乙方无理由要求终止本合同或解除合同的，应向甲方偿付合同总价款的5%作为违约金，违约金不足以补偿损失的，甲方有权要求乙方补足。</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（2）若因乙方责任影响进度（不可抗力引发的除外）或交付不合格从而</w:t>
      </w:r>
      <w:r>
        <w:rPr>
          <w:rFonts w:hint="eastAsia" w:ascii="宋体" w:hAnsi="宋体" w:eastAsia="宋体"/>
          <w:color w:val="auto"/>
          <w:sz w:val="24"/>
          <w:szCs w:val="24"/>
          <w:highlight w:val="none"/>
        </w:rPr>
        <w:t xml:space="preserve">影响甲方按期正常使用的，每延期壹天，乙方应向甲方支付合同总价款3‰的人民币作为违约金，最高不超过本合同总价的10％。实际施工进度对照乙方递交的施工推进表，延期超过施工推进表5天，甲方开具工作联系函予以警告，警告后5天仍未赶上进度的，每延期壹天，乙方应向甲方支付人民币五千元作为违约金；延期超过施工推进表30天的，每延期壹天，乙方应向甲方支付合同总价款3‰的人民币作为违约金；延期超过施工推进表60天，甲方有权无条件解除合同，乙方向甲方支付合同总价的10%作为补偿金，违约金不足以补偿损失的，甲方有权要求乙方补足。</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（3）乙方提供的产品不符合本合同要求的，甲方有权拒绝接收，同时要求乙方提供本合同约定的产品，由此产生的损失全部由乙方承担。</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（4）乙方在免费维保期内不履行本合同约定义务的，甲方有权要求乙方履行，否则甲方自行更换，乙方承担由此造成的损失和责任。</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十三、不可抗力条款</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因不可抗力致使一方不能及时或完全履行合同的，应及时通知武进区公共资源交易中心及另一方，双方互不承担责任，并在15天内提供有关不可抗力的相应证明。</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合同未履行部分是否继续履行、如何履行等问题，可由双方协商解决。</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十四、争议的解决方式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合同发生纠纷时，双方应协商解决，协商不成可以采用下列方式解决：（1）提交常州仲裁委员会仲裁；（2）向甲方所在地人民法院起诉。本合同发生纠纷，经双方协商不能解决时，采用第</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种方式予以解决。</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十五、补充协议</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合同未尽事宜，经双方协商可签订补充协议，所签订的补充协议与本合同具有同等的法律效力，补充协议的生效应符合本合同相关规定。合同补充条款应同时报武进区公共资源交易中心备案。</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十六、其他</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技术培训</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甲方认为可以培训的前一周提出需求，由乙方提供培训计划及资料进行培训，确保甲方培训后能熟练操作、了解构造原理、日常维护、排除一般故障。乙方保证对甲方各单位两名以上人员进行现场培训。培训时间地点由甲乙双方另行协商确定。</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乙方派出的培训指导人员，应在所在的技术领域具有五年以上的维修经验。培训指导人员的简历连同培训计划一并提交甲方，甲方认为培训指导人员不合适可要求更换</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培训教程应按不同等级的受训人员分别制定，每一组应能对所有系统的特性、操作要求和维修有一个完整的了解，其中特别对软件系统进行专项培训。</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（1）设备检验在每批设备到达甲方指定的项目实施地点后由甲方会同第三方监理在7个工作日内共同进行检验（具体到货设备以乙方提供的设备检验单为准），逾期不验收的则视为设备检验合格。</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（2）所涉项目内容实施完</w:t>
      </w:r>
      <w:r>
        <w:rPr>
          <w:rFonts w:hint="eastAsia" w:ascii="宋体" w:hAnsi="宋体" w:eastAsia="宋体"/>
          <w:color w:val="auto"/>
          <w:sz w:val="24"/>
          <w:szCs w:val="24"/>
          <w:highlight w:val="none"/>
        </w:rPr>
        <w:t xml:space="preserve">成或者相关功能系统实施完成后进入30天的测试运行期，测试运行期结束，由乙方自行检查确认达到招标要求后，向甲方提交初验申请及项目建设测试报告，甲方会同第三方监理方针对乙方已完成项目开展初验。整体项目初验合格后，进入三个月试运行期，试运行结束后，乙方方可提交竣工验收申请。乙方提交竣工验收申请及相关工程资料、验收资料后20日内，甲方须会同第三方监理方针对乙方已完成项目开展竣工验收，并邀请相关专家根据合同规定的内容和验收标准对已完工项目进行竣工验收，竣工验收合格的出具验收合格通知书，甲方逾期不验收的则视为验收合格。</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对经甲方及第三方监理共同认可的暂时不具备施工条件的及暂缓施工的部分不列入验收范围，待具备施工条件后另行组织施工，完工后进行二个月的试运行，试运行结束后，甲方须会同第三方监理进行竣工验收，竣工验收合格的出具验收报告。</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（4）已完成项目自竣工验收合格之日起开始进入质保期。</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（5）对于暂缓施工的及所需调整的工作量，由甲方出具项目调整点位清单，乙方根据甲方出具的增补清单进行设备采购并安排实施。因特殊原因不施工的由甲方办理相关手续</w:t>
      </w:r>
      <w:r>
        <w:rPr>
          <w:rFonts w:hint="eastAsia" w:ascii="宋体" w:hAnsi="宋体"/>
          <w:color w:val="auto"/>
          <w:sz w:val="24"/>
          <w:szCs w:val="24"/>
          <w:highlight w:val="none"/>
          <w:lang w:eastAsia="zh-CN"/>
        </w:rPr>
        <w:t xml:space="preserve">作为</w:t>
      </w:r>
      <w:r>
        <w:rPr>
          <w:rFonts w:hint="eastAsia" w:ascii="宋体" w:hAnsi="宋体" w:eastAsia="宋体"/>
          <w:color w:val="auto"/>
          <w:sz w:val="24"/>
          <w:szCs w:val="24"/>
          <w:highlight w:val="none"/>
        </w:rPr>
        <w:t xml:space="preserve">调整合同金额的依据。</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合同履行过程中甲方有权对磋商文件中规定的货物数量、系统和服务予以增加或减少，乙方不改变报价单价。</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十七、合同保存</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本合同一式</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份，甲方</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份，乙方</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份，丙方（见证方）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份。</w:t>
      </w:r>
      <w:r/>
    </w:p>
    <w:p>
      <w:pP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甲方（采购人）：</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（盖章）   乙方（成交供应商）：</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（盖章）</w:t>
      </w:r>
      <w:r/>
    </w:p>
    <w:p>
      <w:pPr>
        <w:spacing w:line="500" w:lineRule="exact"/>
        <w:rPr>
          <w:rFonts w:hint="eastAsia"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 xml:space="preserve">地址：</w:t>
      </w:r>
      <w:r>
        <w:rPr>
          <w:rFonts w:hint="eastAsia" w:asciiTheme="majorEastAsia" w:hAnsiTheme="majorEastAsia" w:eastAsiaTheme="majorEastAsia" w:cstheme="majorEastAsia"/>
          <w:color w:val="auto"/>
          <w:sz w:val="24"/>
          <w:highlight w:val="none"/>
          <w:u w:val="single"/>
        </w:rPr>
        <w:t xml:space="preserve">   常州市东方东路97号   </w:t>
      </w:r>
      <w:r>
        <w:rPr>
          <w:rFonts w:hint="eastAsia" w:asciiTheme="majorEastAsia" w:hAnsiTheme="majorEastAsia" w:eastAsiaTheme="majorEastAsia" w:cstheme="majorEastAsia"/>
          <w:color w:val="auto"/>
          <w:sz w:val="24"/>
          <w:highlight w:val="none"/>
        </w:rPr>
        <w:t xml:space="preserve">    地址：</w:t>
      </w:r>
      <w:r>
        <w:rPr>
          <w:rFonts w:hint="eastAsia" w:asciiTheme="majorEastAsia" w:hAnsiTheme="majorEastAsia" w:eastAsiaTheme="majorEastAsia" w:cstheme="majorEastAsia"/>
          <w:color w:val="auto"/>
          <w:sz w:val="24"/>
          <w:highlight w:val="none"/>
          <w:u w:val="single"/>
        </w:rPr>
        <w:t xml:space="preserve">                          </w:t>
      </w:r>
      <w:r/>
    </w:p>
    <w:p>
      <w:pPr>
        <w:spacing w:line="500" w:lineRule="exact"/>
        <w:rPr>
          <w:rFonts w:hint="eastAsia"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 xml:space="preserve">法定（授权）代表人：</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    法定（授权）代表人：</w:t>
      </w:r>
      <w:r>
        <w:rPr>
          <w:rFonts w:hint="eastAsia" w:asciiTheme="majorEastAsia" w:hAnsiTheme="majorEastAsia" w:eastAsiaTheme="majorEastAsia" w:cstheme="majorEastAsia"/>
          <w:color w:val="auto"/>
          <w:sz w:val="24"/>
          <w:highlight w:val="none"/>
          <w:u w:val="single"/>
        </w:rPr>
        <w:t xml:space="preserve">             </w:t>
      </w:r>
      <w:r/>
    </w:p>
    <w:p>
      <w:pPr>
        <w:spacing w:line="500" w:lineRule="exact"/>
        <w:rPr>
          <w:rFonts w:hint="eastAsia"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年</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月</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日        </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年</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月</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日</w:t>
      </w:r>
      <w:r/>
    </w:p>
    <w:p>
      <w:pPr>
        <w:ind w:firstLine="480"/>
        <w:spacing w:line="500" w:lineRule="exact"/>
        <w:rPr>
          <w:rFonts w:hint="eastAsia"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 xml:space="preserve">         成交供应商户名：</w:t>
      </w:r>
      <w:r>
        <w:rPr>
          <w:rFonts w:hint="eastAsia" w:asciiTheme="majorEastAsia" w:hAnsiTheme="majorEastAsia" w:eastAsiaTheme="majorEastAsia" w:cstheme="majorEastAsia"/>
          <w:color w:val="auto"/>
          <w:sz w:val="24"/>
          <w:highlight w:val="none"/>
          <w:u w:val="single"/>
        </w:rPr>
        <w:t xml:space="preserve">                         </w:t>
      </w:r>
      <w:r/>
    </w:p>
    <w:p>
      <w:pPr>
        <w:ind w:firstLine="480"/>
        <w:spacing w:line="500" w:lineRule="exact"/>
        <w:rPr>
          <w:rFonts w:hint="eastAsia"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 xml:space="preserve">         成交供应商开户银行：</w:t>
      </w:r>
      <w:r>
        <w:rPr>
          <w:rFonts w:hint="eastAsia" w:asciiTheme="majorEastAsia" w:hAnsiTheme="majorEastAsia" w:eastAsiaTheme="majorEastAsia" w:cstheme="majorEastAsia"/>
          <w:color w:val="auto"/>
          <w:sz w:val="24"/>
          <w:highlight w:val="none"/>
          <w:u w:val="single"/>
        </w:rPr>
        <w:t xml:space="preserve">                     </w:t>
      </w:r>
      <w:r/>
    </w:p>
    <w:p>
      <w:pPr>
        <w:ind w:firstLine="480"/>
        <w:spacing w:line="500" w:lineRule="exact"/>
        <w:rPr>
          <w:rFonts w:hint="eastAsia"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 xml:space="preserve">         成交供应商</w:t>
      </w:r>
      <w:r>
        <w:rPr>
          <w:rFonts w:hint="eastAsia" w:asciiTheme="majorEastAsia" w:hAnsiTheme="majorEastAsia" w:eastAsiaTheme="majorEastAsia" w:cstheme="majorEastAsia"/>
          <w:color w:val="auto"/>
          <w:sz w:val="24"/>
          <w:highlight w:val="none"/>
          <w:lang w:eastAsia="zh-CN"/>
        </w:rPr>
        <w:t xml:space="preserve">账号</w:t>
      </w:r>
      <w:r>
        <w:rPr>
          <w:rFonts w:hint="eastAsia" w:asciiTheme="majorEastAsia" w:hAnsiTheme="majorEastAsia" w:eastAsiaTheme="majorEastAsia" w:cstheme="majorEastAsia"/>
          <w:color w:val="auto"/>
          <w:sz w:val="24"/>
          <w:highlight w:val="none"/>
        </w:rPr>
        <w:t xml:space="preserve">：</w:t>
      </w:r>
      <w:r>
        <w:rPr>
          <w:rFonts w:hint="eastAsia" w:asciiTheme="majorEastAsia" w:hAnsiTheme="majorEastAsia" w:eastAsiaTheme="majorEastAsia" w:cstheme="majorEastAsia"/>
          <w:color w:val="auto"/>
          <w:sz w:val="24"/>
          <w:highlight w:val="none"/>
          <w:u w:val="single"/>
        </w:rPr>
        <w:t xml:space="preserve">                         </w:t>
      </w:r>
      <w:r/>
    </w:p>
    <w:p>
      <w:pPr>
        <w:jc w:val="left"/>
        <w:spacing w:before="156" w:line="500" w:lineRule="exac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highlight w:val="none"/>
        </w:rPr>
        <w:t xml:space="preserve">丙方（见证方）</w:t>
      </w:r>
      <w:r>
        <w:rPr>
          <w:rFonts w:hint="eastAsia" w:asciiTheme="majorEastAsia" w:hAnsiTheme="majorEastAsia" w:eastAsiaTheme="majorEastAsia" w:cstheme="majorEastAsia"/>
          <w:color w:val="auto"/>
          <w:sz w:val="24"/>
          <w:szCs w:val="24"/>
          <w:highlight w:val="none"/>
        </w:rPr>
        <w:t xml:space="preserve"> </w:t>
      </w:r>
      <w:r/>
    </w:p>
    <w:p>
      <w:pPr>
        <w:jc w:val="left"/>
        <w:spacing w:before="156" w:line="500" w:lineRule="exac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480"/>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年</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月</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日</w:t>
      </w:r>
      <w:r/>
    </w:p>
    <w:p>
      <w:pP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br w:type="page" w:clear="all"/>
      </w:r>
      <w:r/>
    </w:p>
    <w:p>
      <w:pPr>
        <w:spacing w:line="460" w:lineRule="exact"/>
        <w:rPr>
          <w:rFonts w:ascii="楷体_GB2312" w:eastAsia="楷体_GB2312"/>
          <w:b/>
          <w:color w:val="auto"/>
          <w:sz w:val="32"/>
          <w:szCs w:val="32"/>
          <w:highlight w:val="none"/>
        </w:rPr>
      </w:pPr>
      <w:r>
        <w:rPr>
          <w:rFonts w:hint="eastAsia" w:ascii="楷体_GB2312" w:eastAsia="楷体_GB2312"/>
          <w:b/>
          <w:color w:val="auto"/>
          <w:sz w:val="32"/>
          <w:szCs w:val="32"/>
          <w:highlight w:val="none"/>
        </w:rPr>
        <w:t xml:space="preserve">附件一</w:t>
      </w:r>
      <w:r>
        <w:rPr>
          <w:rFonts w:ascii="楷体_GB2312" w:eastAsia="楷体_GB2312"/>
          <w:b/>
          <w:color w:val="auto"/>
          <w:sz w:val="32"/>
          <w:szCs w:val="32"/>
          <w:highlight w:val="none"/>
        </w:rPr>
        <w:t xml:space="preserve">：</w:t>
      </w:r>
      <w:r>
        <w:rPr>
          <w:rFonts w:hint="eastAsia" w:ascii="楷体_GB2312" w:eastAsia="楷体_GB2312"/>
          <w:b/>
          <w:color w:val="auto"/>
          <w:sz w:val="32"/>
          <w:szCs w:val="32"/>
          <w:highlight w:val="none"/>
        </w:rPr>
        <w:t xml:space="preserve">合同</w:t>
      </w:r>
      <w:r>
        <w:rPr>
          <w:rFonts w:ascii="楷体_GB2312" w:eastAsia="楷体_GB2312"/>
          <w:b/>
          <w:color w:val="auto"/>
          <w:sz w:val="32"/>
          <w:szCs w:val="32"/>
          <w:highlight w:val="none"/>
        </w:rPr>
        <w:t xml:space="preserve">清单</w:t>
      </w:r>
      <w:r/>
    </w:p>
    <w:p>
      <w:pPr>
        <w:rPr>
          <w:rFonts w:hint="eastAsia"/>
          <w:color w:val="auto"/>
          <w:highlight w:val="none"/>
        </w:rPr>
      </w:pPr>
      <w:r>
        <w:rPr>
          <w:rFonts w:hint="eastAsia" w:ascii="楷体_GB2312" w:eastAsia="楷体_GB2312"/>
          <w:color w:val="auto"/>
          <w:sz w:val="24"/>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spacing w:line="460" w:lineRule="exact"/>
        <w:rPr>
          <w:rFonts w:ascii="楷体_GB2312" w:eastAsia="楷体_GB2312"/>
          <w:b/>
          <w:color w:val="auto"/>
          <w:sz w:val="32"/>
          <w:szCs w:val="32"/>
          <w:highlight w:val="none"/>
        </w:rPr>
      </w:pPr>
      <w:r>
        <w:rPr>
          <w:rFonts w:hint="eastAsia" w:ascii="楷体_GB2312" w:eastAsia="楷体_GB2312"/>
          <w:b/>
          <w:color w:val="auto"/>
          <w:sz w:val="32"/>
          <w:szCs w:val="32"/>
          <w:highlight w:val="none"/>
        </w:rPr>
        <w:t xml:space="preserve">附件二：</w:t>
      </w:r>
      <w:r/>
    </w:p>
    <w:p>
      <w:pPr>
        <w:jc w:val="center"/>
        <w:spacing w:line="341" w:lineRule="auto"/>
        <w:rPr>
          <w:rFonts w:ascii="宋体" w:hAnsi="宋体" w:cs="黑体"/>
          <w:b/>
          <w:color w:val="auto"/>
          <w:sz w:val="32"/>
          <w:szCs w:val="32"/>
          <w:highlight w:val="none"/>
        </w:rPr>
      </w:pPr>
      <w:r>
        <w:rPr>
          <w:rFonts w:hint="eastAsia" w:ascii="宋体" w:hAnsi="宋体" w:cs="黑体"/>
          <w:b/>
          <w:color w:val="auto"/>
          <w:sz w:val="32"/>
          <w:szCs w:val="32"/>
          <w:highlight w:val="none"/>
        </w:rPr>
        <w:t xml:space="preserve">常州市公安视频监控系统维护管理办法</w:t>
      </w:r>
      <w:r/>
    </w:p>
    <w:p>
      <w:pPr>
        <w:jc w:val="center"/>
        <w:spacing w:line="360" w:lineRule="exact"/>
        <w:rPr>
          <w:rFonts w:hint="eastAsia" w:ascii="宋体" w:hAnsi="宋体" w:cs="黑体"/>
          <w:b/>
          <w:color w:val="auto"/>
          <w:sz w:val="36"/>
          <w:szCs w:val="36"/>
          <w:highlight w:val="none"/>
        </w:rPr>
      </w:pPr>
      <w:r>
        <w:rPr>
          <w:rFonts w:hint="eastAsia" w:ascii="宋体" w:hAnsi="宋体" w:cs="黑体"/>
          <w:b/>
          <w:color w:val="auto"/>
          <w:sz w:val="36"/>
          <w:szCs w:val="36"/>
          <w:highlight w:val="none"/>
        </w:rPr>
      </w:r>
      <w:r/>
    </w:p>
    <w:p>
      <w:pPr>
        <w:jc w:val="center"/>
        <w:spacing w:line="360" w:lineRule="exact"/>
        <w:rPr>
          <w:rFonts w:ascii="宋体" w:hAnsi="宋体" w:cs="黑体"/>
          <w:b/>
          <w:color w:val="auto"/>
          <w:szCs w:val="21"/>
          <w:highlight w:val="none"/>
        </w:rPr>
      </w:pPr>
      <w:r>
        <w:rPr>
          <w:rFonts w:hint="eastAsia" w:ascii="宋体" w:hAnsi="宋体" w:cs="黑体"/>
          <w:b/>
          <w:color w:val="auto"/>
          <w:szCs w:val="21"/>
          <w:highlight w:val="none"/>
        </w:rPr>
        <w:t xml:space="preserve">第一章 总则</w:t>
      </w:r>
      <w:r/>
    </w:p>
    <w:p>
      <w:pPr>
        <w:ind w:firstLine="420"/>
        <w:spacing w:line="360" w:lineRule="exact"/>
        <w:rPr>
          <w:rFonts w:ascii="宋体" w:hAnsi="宋体" w:cs="黑体"/>
          <w:color w:val="auto"/>
          <w:szCs w:val="21"/>
          <w:highlight w:val="none"/>
        </w:rPr>
      </w:pPr>
      <w:r>
        <w:rPr>
          <w:rFonts w:ascii="宋体" w:hAnsi="宋体" w:cs="黑体"/>
          <w:color w:val="auto"/>
          <w:szCs w:val="21"/>
          <w:highlight w:val="none"/>
        </w:rPr>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为规范“常州市视频监控系统”的运行维护管</w:t>
      </w:r>
      <w:r>
        <w:rPr>
          <w:rFonts w:hint="eastAsia" w:ascii="宋体" w:hAnsi="宋体" w:cs="宋体"/>
          <w:color w:val="auto"/>
          <w:szCs w:val="21"/>
          <w:highlight w:val="none"/>
        </w:rPr>
        <w:t xml:space="preserve">理工作，确保视频监控系统的安全</w:t>
      </w:r>
      <w:r>
        <w:rPr>
          <w:rFonts w:hint="eastAsia" w:ascii="宋体" w:hAnsi="宋体" w:cs="宋体"/>
          <w:color w:val="auto"/>
          <w:szCs w:val="21"/>
          <w:highlight w:val="none"/>
        </w:rPr>
        <w:t xml:space="preserve">可</w:t>
      </w:r>
      <w:r>
        <w:rPr>
          <w:rFonts w:hint="eastAsia" w:ascii="宋体" w:hAnsi="宋体" w:cs="宋体"/>
          <w:color w:val="auto"/>
          <w:szCs w:val="21"/>
          <w:highlight w:val="none"/>
        </w:rPr>
        <w:t xml:space="preserve">靠运行，切实提高系统运行效率和服务质量，使系统更好</w:t>
      </w:r>
      <w:r>
        <w:rPr>
          <w:rFonts w:hint="eastAsia" w:ascii="宋体" w:hAnsi="宋体" w:cs="宋体"/>
          <w:color w:val="auto"/>
          <w:szCs w:val="21"/>
          <w:highlight w:val="none"/>
        </w:rPr>
        <w:t xml:space="preserve">地</w:t>
      </w:r>
      <w:r>
        <w:rPr>
          <w:rFonts w:hint="eastAsia" w:ascii="宋体" w:hAnsi="宋体" w:cs="宋体"/>
          <w:color w:val="auto"/>
          <w:szCs w:val="21"/>
          <w:highlight w:val="none"/>
        </w:rPr>
        <w:t xml:space="preserve">服务于常州市公安局视频监控系统管理及应用，特制</w:t>
      </w:r>
      <w:r>
        <w:rPr>
          <w:rFonts w:hint="eastAsia" w:ascii="宋体" w:hAnsi="宋体" w:cs="宋体"/>
          <w:color w:val="auto"/>
          <w:szCs w:val="21"/>
          <w:highlight w:val="none"/>
        </w:rPr>
        <w:t xml:space="preserve">订本维护管理办法。</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本维护管理办法适用于常州市各级政府出资建设，由公安具体实施的（含已建、在建）并在质保期内的视频监控系统，项目承建单位是维护管理、考核的责任主体，承建单位可根据本办法制定相应的实施细则。</w:t>
      </w:r>
      <w:r/>
    </w:p>
    <w:p>
      <w:pPr>
        <w:numPr>
          <w:ilvl w:val="1"/>
          <w:numId w:val="2"/>
        </w:numPr>
        <w:ind w:left="0" w:firstLine="420"/>
        <w:spacing w:line="360" w:lineRule="exact"/>
        <w:tabs>
          <w:tab w:val="left" w:pos="0" w:leader="none"/>
        </w:tabs>
        <w:rPr>
          <w:rFonts w:ascii="宋体" w:hAnsi="宋体"/>
          <w:color w:val="auto"/>
          <w:spacing w:val="1"/>
          <w:szCs w:val="21"/>
          <w:highlight w:val="none"/>
        </w:rPr>
      </w:pPr>
      <w:r>
        <w:rPr>
          <w:rFonts w:hint="eastAsia" w:ascii="宋体" w:hAnsi="宋体" w:cs="宋体"/>
          <w:color w:val="auto"/>
          <w:szCs w:val="21"/>
          <w:highlight w:val="none"/>
        </w:rPr>
        <w:t xml:space="preserve">质保期限、维护管理期限、考核期限按合同期限执行：自项目通过竣工验收之日起计算。</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视频监控系统维护管理内容分为前端设备维护、网络传输维护、机房环境维护、视频监控平台维护四部分：</w:t>
      </w:r>
      <w:r/>
    </w:p>
    <w:p>
      <w:pPr>
        <w:numPr>
          <w:ilvl w:val="0"/>
          <w:numId w:val="3"/>
        </w:numPr>
        <w:ind w:left="420" w:firstLine="420"/>
        <w:spacing w:line="360" w:lineRule="exact"/>
        <w:tabs>
          <w:tab w:val="left" w:pos="1418" w:leader="none"/>
        </w:tabs>
        <w:rPr>
          <w:rFonts w:ascii="宋体" w:hAnsi="宋体" w:cs="宋体"/>
          <w:color w:val="auto"/>
          <w:szCs w:val="21"/>
          <w:highlight w:val="none"/>
        </w:rPr>
      </w:pPr>
      <w:r>
        <w:rPr>
          <w:rFonts w:hint="eastAsia" w:ascii="宋体" w:hAnsi="宋体" w:cs="宋体"/>
          <w:color w:val="auto"/>
          <w:szCs w:val="21"/>
          <w:highlight w:val="none"/>
        </w:rPr>
        <w:t xml:space="preserve">前端设备指摄像机、立杆、补光灯、现场设备安装箱及手孔井等；</w:t>
      </w:r>
      <w:r/>
    </w:p>
    <w:p>
      <w:pPr>
        <w:numPr>
          <w:ilvl w:val="0"/>
          <w:numId w:val="3"/>
        </w:numPr>
        <w:ind w:left="420" w:firstLine="452"/>
        <w:spacing w:line="360" w:lineRule="exact"/>
        <w:tabs>
          <w:tab w:val="left" w:pos="1418" w:leader="none"/>
        </w:tabs>
        <w:rPr>
          <w:rFonts w:ascii="宋体" w:hAnsi="宋体" w:cs="宋体"/>
          <w:color w:val="auto"/>
          <w:szCs w:val="21"/>
          <w:highlight w:val="none"/>
        </w:rPr>
      </w:pPr>
      <w:r>
        <w:rPr>
          <w:rFonts w:hint="eastAsia" w:ascii="宋体" w:hAnsi="宋体" w:cs="宋体"/>
          <w:color w:val="auto"/>
          <w:spacing w:val="8"/>
          <w:szCs w:val="21"/>
          <w:highlight w:val="none"/>
        </w:rPr>
        <w:t xml:space="preserve">网络传输指保证系统相互通信和正常运行</w:t>
      </w:r>
      <w:r>
        <w:rPr>
          <w:rFonts w:hint="eastAsia" w:ascii="宋体" w:hAnsi="宋体" w:cs="宋体"/>
          <w:color w:val="auto"/>
          <w:spacing w:val="6"/>
          <w:szCs w:val="21"/>
          <w:highlight w:val="none"/>
        </w:rPr>
        <w:t xml:space="preserve">的</w:t>
      </w:r>
      <w:r>
        <w:rPr>
          <w:rFonts w:hint="eastAsia" w:ascii="宋体" w:hAnsi="宋体" w:cs="宋体"/>
          <w:color w:val="auto"/>
          <w:szCs w:val="21"/>
          <w:highlight w:val="none"/>
        </w:rPr>
        <w:t xml:space="preserve">网络系统</w:t>
      </w:r>
      <w:r>
        <w:rPr>
          <w:rFonts w:hint="eastAsia" w:ascii="宋体" w:hAnsi="宋体" w:cs="宋体"/>
          <w:color w:val="auto"/>
          <w:spacing w:val="-29"/>
          <w:szCs w:val="21"/>
          <w:highlight w:val="none"/>
        </w:rPr>
        <w:t xml:space="preserve">，</w:t>
      </w:r>
      <w:r>
        <w:rPr>
          <w:rFonts w:hint="eastAsia" w:ascii="宋体" w:hAnsi="宋体" w:cs="宋体"/>
          <w:color w:val="auto"/>
          <w:szCs w:val="21"/>
          <w:highlight w:val="none"/>
        </w:rPr>
        <w:t xml:space="preserve">包括联网所需的交换机</w:t>
      </w:r>
      <w:r>
        <w:rPr>
          <w:rFonts w:hint="eastAsia" w:ascii="宋体" w:hAnsi="宋体" w:cs="宋体"/>
          <w:color w:val="auto"/>
          <w:spacing w:val="-30"/>
          <w:szCs w:val="21"/>
          <w:highlight w:val="none"/>
        </w:rPr>
        <w:t xml:space="preserve">、</w:t>
      </w:r>
      <w:r>
        <w:rPr>
          <w:rFonts w:hint="eastAsia" w:ascii="宋体" w:hAnsi="宋体" w:cs="宋体"/>
          <w:color w:val="auto"/>
          <w:szCs w:val="21"/>
          <w:highlight w:val="none"/>
        </w:rPr>
        <w:t xml:space="preserve">路由器</w:t>
      </w:r>
      <w:r>
        <w:rPr>
          <w:rFonts w:hint="eastAsia" w:ascii="宋体" w:hAnsi="宋体" w:cs="宋体"/>
          <w:color w:val="auto"/>
          <w:spacing w:val="-30"/>
          <w:szCs w:val="21"/>
          <w:highlight w:val="none"/>
        </w:rPr>
        <w:t xml:space="preserve">、</w:t>
      </w:r>
      <w:r>
        <w:rPr>
          <w:rFonts w:hint="eastAsia" w:ascii="宋体" w:hAnsi="宋体" w:cs="宋体"/>
          <w:color w:val="auto"/>
          <w:szCs w:val="21"/>
          <w:highlight w:val="none"/>
        </w:rPr>
        <w:t xml:space="preserve">防火墙等网络设备和连接网络设备的传输线路等；</w:t>
      </w:r>
      <w:r/>
    </w:p>
    <w:p>
      <w:pPr>
        <w:numPr>
          <w:ilvl w:val="0"/>
          <w:numId w:val="3"/>
        </w:numPr>
        <w:ind w:left="420" w:firstLine="420"/>
        <w:spacing w:line="360" w:lineRule="exact"/>
        <w:tabs>
          <w:tab w:val="left" w:pos="1418" w:leader="none"/>
        </w:tabs>
        <w:rPr>
          <w:rFonts w:ascii="宋体" w:hAnsi="宋体" w:cs="宋体"/>
          <w:color w:val="auto"/>
          <w:szCs w:val="21"/>
          <w:highlight w:val="none"/>
        </w:rPr>
      </w:pPr>
      <w:r>
        <w:rPr>
          <w:rFonts w:hint="eastAsia" w:ascii="宋体" w:hAnsi="宋体" w:cs="宋体"/>
          <w:color w:val="auto"/>
          <w:szCs w:val="21"/>
          <w:highlight w:val="none"/>
        </w:rPr>
        <w:t xml:space="preserve">机房环境指保证系统正常稳定运行的基础设施，包含机房装饰、电力供应、空气调节、灰尘过滤、静电防护、消防设施、网络布线、维护工具等；</w:t>
      </w:r>
      <w:r/>
    </w:p>
    <w:p>
      <w:pPr>
        <w:numPr>
          <w:ilvl w:val="0"/>
          <w:numId w:val="3"/>
        </w:numPr>
        <w:ind w:left="420" w:firstLine="420"/>
        <w:spacing w:line="360" w:lineRule="exact"/>
        <w:tabs>
          <w:tab w:val="left" w:pos="1418" w:leader="none"/>
        </w:tabs>
        <w:rPr>
          <w:rFonts w:ascii="宋体" w:hAnsi="宋体" w:cs="宋体"/>
          <w:color w:val="auto"/>
          <w:szCs w:val="21"/>
          <w:highlight w:val="none"/>
        </w:rPr>
      </w:pPr>
      <w:r>
        <w:rPr>
          <w:rFonts w:hint="eastAsia" w:ascii="宋体" w:hAnsi="宋体" w:cs="宋体"/>
          <w:color w:val="auto"/>
          <w:szCs w:val="21"/>
          <w:highlight w:val="none"/>
        </w:rPr>
        <w:t xml:space="preserve">视频监控平台包括视频点播硬件</w:t>
      </w:r>
      <w:r>
        <w:rPr>
          <w:rFonts w:hint="eastAsia" w:ascii="宋体" w:hAnsi="宋体" w:cs="宋体"/>
          <w:color w:val="auto"/>
          <w:spacing w:val="1"/>
          <w:szCs w:val="21"/>
          <w:highlight w:val="none"/>
        </w:rPr>
        <w:t xml:space="preserve">、视频存储等硬件设备及平台软件</w:t>
      </w:r>
      <w:r>
        <w:rPr>
          <w:rFonts w:hint="eastAsia" w:ascii="宋体" w:hAnsi="宋体" w:cs="宋体"/>
          <w:color w:val="auto"/>
          <w:szCs w:val="21"/>
          <w:highlight w:val="none"/>
        </w:rPr>
        <w:t xml:space="preserve">。</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olor w:val="auto"/>
          <w:szCs w:val="21"/>
          <w:highlight w:val="none"/>
        </w:rPr>
        <w:t xml:space="preserve">在质保期内，设备发生损坏、被盗、拆除等情况，承建单位须无条件更换或重建，建设方不承担任何费用；同时在质保期内提供免费的设备、链路、平台等搬迁服务。</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olor w:val="auto"/>
          <w:szCs w:val="21"/>
          <w:highlight w:val="none"/>
        </w:rPr>
        <w:t xml:space="preserve">在质保期内，前端监控点因城市建设、道路改造等原因需要拆除的，由承建单位负责与拆迁单位联系赔补、重建事宜，相关</w:t>
      </w:r>
      <w:r>
        <w:rPr>
          <w:rFonts w:ascii="宋体" w:hAnsi="宋体"/>
          <w:color w:val="auto"/>
          <w:szCs w:val="21"/>
          <w:highlight w:val="none"/>
        </w:rPr>
        <w:t xml:space="preserve">拆迁</w:t>
      </w:r>
      <w:r>
        <w:rPr>
          <w:rFonts w:hint="eastAsia" w:ascii="宋体" w:hAnsi="宋体"/>
          <w:color w:val="auto"/>
          <w:szCs w:val="21"/>
          <w:highlight w:val="none"/>
        </w:rPr>
        <w:t xml:space="preserve">补偿款</w:t>
      </w:r>
      <w:r>
        <w:rPr>
          <w:rFonts w:ascii="宋体" w:hAnsi="宋体"/>
          <w:color w:val="auto"/>
          <w:szCs w:val="21"/>
          <w:highlight w:val="none"/>
        </w:rPr>
        <w:t xml:space="preserve">归乙方所有，</w:t>
      </w:r>
      <w:r>
        <w:rPr>
          <w:rFonts w:hint="eastAsia" w:ascii="宋体" w:hAnsi="宋体"/>
          <w:color w:val="auto"/>
          <w:szCs w:val="21"/>
          <w:highlight w:val="none"/>
        </w:rPr>
        <w:t xml:space="preserve">建设单位配合协调。在条件具备情况下（以拆迁补偿协议为准），二个月内必须恢复；不具备重建条件的，由建设单位进行重新选址，承建单位负责迁址重新建设，点位自双方书面确认后二个月内完成建设、验收并投入使用，建设单位不承担任何费用。</w:t>
      </w:r>
      <w:r/>
    </w:p>
    <w:p>
      <w:pPr>
        <w:numPr>
          <w:ilvl w:val="1"/>
          <w:numId w:val="2"/>
        </w:numPr>
        <w:ind w:left="0" w:firstLine="420"/>
        <w:spacing w:line="360" w:lineRule="exact"/>
        <w:tabs>
          <w:tab w:val="left" w:pos="0" w:leader="none"/>
        </w:tabs>
        <w:rPr>
          <w:rFonts w:ascii="宋体" w:hAnsi="宋体"/>
          <w:color w:val="auto"/>
          <w:spacing w:val="1"/>
          <w:szCs w:val="21"/>
          <w:highlight w:val="none"/>
        </w:rPr>
      </w:pPr>
      <w:r>
        <w:rPr>
          <w:rFonts w:hint="eastAsia" w:ascii="宋体" w:hAnsi="宋体"/>
          <w:color w:val="auto"/>
          <w:szCs w:val="21"/>
          <w:highlight w:val="none"/>
        </w:rPr>
        <w:t xml:space="preserve">在质保期内</w:t>
      </w:r>
      <w:r>
        <w:rPr>
          <w:rFonts w:hint="eastAsia" w:ascii="宋体" w:hAnsi="宋体" w:cs="宋体"/>
          <w:color w:val="auto"/>
          <w:szCs w:val="21"/>
          <w:highlight w:val="none"/>
        </w:rPr>
        <w:t xml:space="preserve">，承建单位必须提供各类设备的备品备件，且数量不少于承建项目相应设备数量2%的比例。</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olor w:val="auto"/>
          <w:szCs w:val="21"/>
          <w:highlight w:val="none"/>
        </w:rPr>
        <w:t xml:space="preserve">在质保期内，在一年内连续发生2次以上（含2次）同一设备故障，必须更换故障设备。</w:t>
      </w:r>
      <w:r/>
    </w:p>
    <w:p>
      <w:pPr>
        <w:ind w:firstLine="424"/>
        <w:jc w:val="left"/>
        <w:spacing w:line="360" w:lineRule="exact"/>
        <w:tabs>
          <w:tab w:val="left" w:pos="0" w:leader="none"/>
          <w:tab w:val="left" w:pos="1980" w:leader="none"/>
        </w:tabs>
        <w:rPr>
          <w:rFonts w:ascii="宋体" w:hAnsi="宋体"/>
          <w:color w:val="auto"/>
          <w:spacing w:val="1"/>
          <w:szCs w:val="21"/>
          <w:highlight w:val="none"/>
        </w:rPr>
      </w:pPr>
      <w:r>
        <w:rPr>
          <w:rFonts w:ascii="宋体" w:hAnsi="宋体"/>
          <w:color w:val="auto"/>
          <w:spacing w:val="1"/>
          <w:szCs w:val="21"/>
          <w:highlight w:val="none"/>
        </w:rPr>
      </w:r>
      <w:r/>
    </w:p>
    <w:p>
      <w:pPr>
        <w:jc w:val="center"/>
        <w:spacing w:line="360" w:lineRule="exact"/>
        <w:tabs>
          <w:tab w:val="left" w:pos="0" w:leader="none"/>
          <w:tab w:val="left" w:pos="1980" w:leader="none"/>
        </w:tabs>
        <w:rPr>
          <w:rFonts w:ascii="宋体" w:hAnsi="宋体"/>
          <w:b/>
          <w:color w:val="auto"/>
          <w:spacing w:val="1"/>
          <w:szCs w:val="21"/>
          <w:highlight w:val="none"/>
        </w:rPr>
      </w:pPr>
      <w:r>
        <w:rPr>
          <w:rFonts w:hint="eastAsia" w:ascii="宋体" w:hAnsi="宋体"/>
          <w:b/>
          <w:color w:val="auto"/>
          <w:spacing w:val="1"/>
          <w:szCs w:val="21"/>
          <w:highlight w:val="none"/>
        </w:rPr>
        <w:t xml:space="preserve">第二章 维护管理组织要求</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常州市视频监控系统的维护管理遵循在常州市公安局技防支队统一的领导下，组成分级管理和维护的模式。作为常州市视频监控系统的承建单位，具体组织实施系统的维护管理工作。</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系统的维护管理单位组织结构。</w:t>
      </w:r>
      <w:r/>
    </w:p>
    <w:p>
      <w:pPr>
        <w:numPr>
          <w:ilvl w:val="0"/>
          <w:numId w:val="4"/>
        </w:numPr>
        <w:ind w:left="420" w:firstLine="452"/>
        <w:spacing w:line="360" w:lineRule="exact"/>
        <w:tabs>
          <w:tab w:val="left" w:pos="0" w:leader="none"/>
        </w:tabs>
        <w:rPr>
          <w:rFonts w:ascii="宋体" w:hAnsi="宋体" w:cs="宋体"/>
          <w:color w:val="auto"/>
          <w:spacing w:val="8"/>
          <w:szCs w:val="21"/>
          <w:highlight w:val="none"/>
        </w:rPr>
      </w:pPr>
      <w:r>
        <w:rPr>
          <w:rFonts w:hint="eastAsia" w:ascii="宋体" w:hAnsi="宋体" w:cs="宋体"/>
          <w:color w:val="auto"/>
          <w:spacing w:val="8"/>
          <w:szCs w:val="21"/>
          <w:highlight w:val="none"/>
        </w:rPr>
        <w:t xml:space="preserve">系统承建单位负责项目建设范围内视频监控系统的维护管理和考核。</w:t>
      </w:r>
      <w:r/>
    </w:p>
    <w:p>
      <w:pPr>
        <w:numPr>
          <w:ilvl w:val="0"/>
          <w:numId w:val="4"/>
        </w:numPr>
        <w:ind w:left="420" w:firstLine="452"/>
        <w:spacing w:line="360" w:lineRule="exact"/>
        <w:tabs>
          <w:tab w:val="left" w:pos="0" w:leader="none"/>
        </w:tabs>
        <w:rPr>
          <w:rFonts w:ascii="宋体" w:hAnsi="宋体" w:cs="宋体"/>
          <w:color w:val="auto"/>
          <w:spacing w:val="8"/>
          <w:szCs w:val="21"/>
          <w:highlight w:val="none"/>
        </w:rPr>
      </w:pPr>
      <w:r>
        <w:rPr>
          <w:rFonts w:hint="eastAsia" w:ascii="宋体" w:hAnsi="宋体" w:cs="宋体"/>
          <w:color w:val="auto"/>
          <w:spacing w:val="8"/>
          <w:szCs w:val="21"/>
          <w:highlight w:val="none"/>
        </w:rPr>
        <w:t xml:space="preserve">系统承建单位对系统建设单位（市公安局技防支队）负责，并接受建设单位的业务指导和归口管理。</w:t>
      </w:r>
      <w:r/>
    </w:p>
    <w:p>
      <w:pPr>
        <w:numPr>
          <w:ilvl w:val="0"/>
          <w:numId w:val="4"/>
        </w:numPr>
        <w:ind w:left="420" w:firstLine="452"/>
        <w:spacing w:line="360" w:lineRule="exact"/>
        <w:tabs>
          <w:tab w:val="left" w:pos="0" w:leader="none"/>
        </w:tabs>
        <w:rPr>
          <w:rFonts w:ascii="宋体" w:hAnsi="宋体" w:cs="宋体"/>
          <w:color w:val="auto"/>
          <w:spacing w:val="8"/>
          <w:szCs w:val="21"/>
          <w:highlight w:val="none"/>
        </w:rPr>
      </w:pPr>
      <w:r>
        <w:rPr>
          <w:rFonts w:hint="eastAsia" w:ascii="宋体" w:hAnsi="宋体" w:cs="宋体"/>
          <w:color w:val="auto"/>
          <w:spacing w:val="8"/>
          <w:szCs w:val="21"/>
          <w:highlight w:val="none"/>
        </w:rPr>
        <w:t xml:space="preserve">承建单位成立维护管理小组，明确维护管理小组责任人。</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 承建单位负责本建设项目建设、维护工作。承建单位在项目建</w:t>
      </w:r>
      <w:r>
        <w:rPr>
          <w:rFonts w:hint="eastAsia" w:ascii="宋体" w:hAnsi="宋体"/>
          <w:color w:val="auto"/>
          <w:szCs w:val="21"/>
          <w:highlight w:val="none"/>
        </w:rPr>
        <w:t xml:space="preserve">设完成、竣工验收时，需提供维护具体部门、责任人及</w:t>
      </w:r>
      <w:r>
        <w:rPr>
          <w:rFonts w:hint="eastAsia" w:ascii="宋体" w:hAnsi="宋体"/>
          <w:color w:val="auto"/>
          <w:szCs w:val="21"/>
          <w:highlight w:val="none"/>
        </w:rPr>
        <w:t xml:space="preserve">联系方式，如有变更，及时通知建设单位；承建单位竣工验收后必须成立维护小组到常州市公安局技防支队现场办公，进行日常的维护保障工作。承建单位应承诺保持派驻人员的连续性和稳定性；派驻人员由建设单位负责考核；派驻人员必须服从建设单位的管理，包括工作时间、工作安排，严格执行请销假制度；派驻人员在服务期内不得兼任其他项目的维护工作；派驻人员根据工作需要，在市区、辖市（区）内的差旅费用由承建单位统一支付；派驻人员调整更换必须经建设单位同意。承建单位对派驻人员必须进行相关安全保密教育，签订保密协议，有履行保密的责任和义务。</w:t>
      </w:r>
      <w:r/>
    </w:p>
    <w:p>
      <w:pPr>
        <w:ind w:firstLine="420"/>
        <w:jc w:val="left"/>
        <w:spacing w:line="360" w:lineRule="exact"/>
        <w:tabs>
          <w:tab w:val="left" w:pos="0" w:leader="none"/>
          <w:tab w:val="left" w:pos="1980" w:leader="none"/>
        </w:tabs>
        <w:rPr>
          <w:rFonts w:ascii="宋体" w:hAnsi="宋体"/>
          <w:color w:val="auto"/>
          <w:szCs w:val="21"/>
          <w:highlight w:val="none"/>
        </w:rPr>
      </w:pPr>
      <w:r>
        <w:rPr>
          <w:rFonts w:ascii="宋体" w:hAnsi="宋体"/>
          <w:color w:val="auto"/>
          <w:szCs w:val="21"/>
          <w:highlight w:val="none"/>
        </w:rPr>
      </w:r>
      <w:r/>
    </w:p>
    <w:p>
      <w:pPr>
        <w:jc w:val="center"/>
        <w:spacing w:line="360" w:lineRule="exact"/>
        <w:tabs>
          <w:tab w:val="left" w:pos="0" w:leader="none"/>
          <w:tab w:val="left" w:pos="1980" w:leader="none"/>
        </w:tabs>
        <w:rPr>
          <w:rFonts w:ascii="宋体" w:hAnsi="宋体" w:cs="宋体"/>
          <w:b/>
          <w:color w:val="auto"/>
          <w:szCs w:val="21"/>
          <w:highlight w:val="none"/>
        </w:rPr>
      </w:pPr>
      <w:r>
        <w:rPr>
          <w:rFonts w:hint="eastAsia" w:ascii="宋体" w:hAnsi="宋体"/>
          <w:b/>
          <w:color w:val="auto"/>
          <w:szCs w:val="21"/>
          <w:highlight w:val="none"/>
        </w:rPr>
        <w:t xml:space="preserve">第三章 维护管理职责要求</w:t>
      </w:r>
      <w:r/>
    </w:p>
    <w:p>
      <w:pPr>
        <w:numPr>
          <w:ilvl w:val="1"/>
          <w:numId w:val="2"/>
        </w:numPr>
        <w:ind w:left="0" w:firstLine="420"/>
        <w:spacing w:line="36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维护管理单位具体工作职责</w:t>
      </w:r>
      <w:r/>
    </w:p>
    <w:p>
      <w:pPr>
        <w:numPr>
          <w:ilvl w:val="0"/>
          <w:numId w:val="5"/>
        </w:numPr>
        <w:ind w:left="420" w:firstLine="420"/>
        <w:spacing w:line="360" w:lineRule="exact"/>
        <w:rPr>
          <w:rFonts w:ascii="宋体" w:hAnsi="宋体"/>
          <w:color w:val="auto"/>
          <w:szCs w:val="21"/>
          <w:highlight w:val="none"/>
        </w:rPr>
      </w:pPr>
      <w:r>
        <w:rPr>
          <w:rFonts w:hint="eastAsia" w:ascii="宋体" w:hAnsi="宋体"/>
          <w:color w:val="auto"/>
          <w:szCs w:val="21"/>
          <w:highlight w:val="none"/>
        </w:rPr>
        <w:t xml:space="preserve">贯彻国家及公安部门关于视频监控系统技术、设备及质量管理等方面的方针、政策和规定，组织制定系统的维护规程、维护管理办法和维护责任制度；</w:t>
      </w:r>
      <w:r/>
    </w:p>
    <w:p>
      <w:pPr>
        <w:numPr>
          <w:ilvl w:val="0"/>
          <w:numId w:val="5"/>
        </w:numPr>
        <w:ind w:left="420" w:firstLine="420"/>
        <w:spacing w:line="360" w:lineRule="exact"/>
        <w:rPr>
          <w:rFonts w:ascii="宋体" w:hAnsi="宋体"/>
          <w:color w:val="auto"/>
          <w:szCs w:val="21"/>
          <w:highlight w:val="none"/>
        </w:rPr>
      </w:pPr>
      <w:r>
        <w:rPr>
          <w:rFonts w:hint="eastAsia" w:ascii="宋体" w:hAnsi="宋体"/>
          <w:color w:val="auto"/>
          <w:szCs w:val="21"/>
          <w:highlight w:val="none"/>
        </w:rPr>
        <w:t xml:space="preserve">认真贯彻执行各项规章制度，落实维护规程和系统安全运行措施，负责制定项目范围内的系统维护管理实施细则；</w:t>
      </w:r>
      <w:r/>
    </w:p>
    <w:p>
      <w:pPr>
        <w:numPr>
          <w:ilvl w:val="0"/>
          <w:numId w:val="5"/>
        </w:numPr>
        <w:ind w:left="420" w:firstLine="420"/>
        <w:spacing w:line="360" w:lineRule="exact"/>
        <w:rPr>
          <w:rFonts w:ascii="宋体" w:hAnsi="宋体"/>
          <w:color w:val="auto"/>
          <w:szCs w:val="21"/>
          <w:highlight w:val="none"/>
        </w:rPr>
      </w:pPr>
      <w:r>
        <w:rPr>
          <w:rFonts w:hint="eastAsia" w:ascii="宋体" w:hAnsi="宋体"/>
          <w:color w:val="auto"/>
          <w:szCs w:val="21"/>
          <w:highlight w:val="none"/>
        </w:rPr>
        <w:t xml:space="preserve">负责项目范围内系统维护管理、监督检查工作，掌握运行质量情况，制定质量指标，并进行定期检查考核；</w:t>
      </w:r>
      <w:r/>
    </w:p>
    <w:p>
      <w:pPr>
        <w:numPr>
          <w:ilvl w:val="0"/>
          <w:numId w:val="5"/>
        </w:numPr>
        <w:ind w:left="420" w:firstLine="420"/>
        <w:spacing w:line="360" w:lineRule="exact"/>
        <w:rPr>
          <w:rFonts w:ascii="宋体" w:hAnsi="宋体"/>
          <w:color w:val="auto"/>
          <w:szCs w:val="21"/>
          <w:highlight w:val="none"/>
        </w:rPr>
      </w:pPr>
      <w:r>
        <w:rPr>
          <w:rFonts w:hint="eastAsia" w:ascii="宋体" w:hAnsi="宋体"/>
          <w:color w:val="auto"/>
          <w:szCs w:val="21"/>
          <w:highlight w:val="none"/>
        </w:rPr>
        <w:t xml:space="preserve">负责管理、考核系统设备供应商，制定对设备供应商的管理办法和考核指标，收集整理系统运行过程中的反馈意见，督促相关厂商提高服务质量；</w:t>
      </w:r>
      <w:r/>
    </w:p>
    <w:p>
      <w:pPr>
        <w:numPr>
          <w:ilvl w:val="0"/>
          <w:numId w:val="5"/>
        </w:numPr>
        <w:ind w:left="420" w:firstLine="420"/>
        <w:spacing w:line="360" w:lineRule="exact"/>
        <w:rPr>
          <w:rFonts w:ascii="宋体" w:hAnsi="宋体"/>
          <w:color w:val="auto"/>
          <w:szCs w:val="21"/>
          <w:highlight w:val="none"/>
        </w:rPr>
      </w:pPr>
      <w:r>
        <w:rPr>
          <w:rFonts w:hint="eastAsia" w:ascii="宋体" w:hAnsi="宋体"/>
          <w:color w:val="auto"/>
          <w:szCs w:val="21"/>
          <w:highlight w:val="none"/>
        </w:rPr>
        <w:t xml:space="preserve">系统发生较大故障时，负责必要的资源协调和处理工作，并在事后组织分析总结，制定防范措施并推广；</w:t>
      </w:r>
      <w:r/>
    </w:p>
    <w:p>
      <w:pPr>
        <w:numPr>
          <w:ilvl w:val="0"/>
          <w:numId w:val="5"/>
        </w:numPr>
        <w:ind w:left="420" w:firstLine="420"/>
        <w:spacing w:line="360" w:lineRule="exact"/>
        <w:rPr>
          <w:rFonts w:ascii="宋体" w:hAnsi="宋体"/>
          <w:color w:val="auto"/>
          <w:szCs w:val="21"/>
          <w:highlight w:val="none"/>
        </w:rPr>
      </w:pPr>
      <w:r>
        <w:rPr>
          <w:rFonts w:hint="eastAsia" w:ascii="宋体" w:hAnsi="宋体"/>
          <w:color w:val="auto"/>
          <w:szCs w:val="21"/>
          <w:highlight w:val="none"/>
        </w:rPr>
        <w:t xml:space="preserve">组织专业技术专家、设备厂商对系统进行定期巡检，巡检包括对系统及设备性能测试、维护人员日常维护作业计划执行情况检查、机房环境检查等；</w:t>
      </w:r>
      <w:r/>
    </w:p>
    <w:p>
      <w:pPr>
        <w:numPr>
          <w:ilvl w:val="0"/>
          <w:numId w:val="5"/>
        </w:numPr>
        <w:ind w:left="420" w:firstLine="420"/>
        <w:spacing w:line="360" w:lineRule="exact"/>
        <w:rPr>
          <w:rFonts w:ascii="宋体" w:hAnsi="宋体"/>
          <w:color w:val="auto"/>
          <w:szCs w:val="21"/>
          <w:highlight w:val="none"/>
        </w:rPr>
      </w:pPr>
      <w:r>
        <w:rPr>
          <w:rFonts w:hint="eastAsia" w:ascii="宋体" w:hAnsi="宋体"/>
          <w:color w:val="auto"/>
          <w:szCs w:val="21"/>
          <w:highlight w:val="none"/>
        </w:rPr>
        <w:t xml:space="preserve">负责归口管理系统范围内的系统优化、升级需求；</w:t>
      </w:r>
      <w:r/>
    </w:p>
    <w:p>
      <w:pPr>
        <w:numPr>
          <w:ilvl w:val="0"/>
          <w:numId w:val="5"/>
        </w:numPr>
        <w:ind w:left="420" w:firstLine="420"/>
        <w:spacing w:line="360" w:lineRule="exact"/>
        <w:rPr>
          <w:rFonts w:ascii="宋体" w:hAnsi="宋体"/>
          <w:color w:val="auto"/>
          <w:szCs w:val="21"/>
          <w:highlight w:val="none"/>
        </w:rPr>
      </w:pPr>
      <w:r>
        <w:rPr>
          <w:rFonts w:hint="eastAsia" w:ascii="宋体" w:hAnsi="宋体"/>
          <w:color w:val="auto"/>
          <w:szCs w:val="21"/>
          <w:highlight w:val="none"/>
        </w:rPr>
        <w:t xml:space="preserve">负责组织系统维护技术培训、技术交流、联席会议，组织维护人员参加各种培训和考试，提高维护人员管理和技术水平；</w:t>
      </w:r>
      <w:r/>
    </w:p>
    <w:p>
      <w:pPr>
        <w:numPr>
          <w:ilvl w:val="0"/>
          <w:numId w:val="5"/>
        </w:numPr>
        <w:ind w:left="420" w:firstLine="420"/>
        <w:spacing w:line="360" w:lineRule="exact"/>
        <w:rPr>
          <w:rFonts w:ascii="宋体" w:hAnsi="宋体"/>
          <w:color w:val="auto"/>
          <w:szCs w:val="21"/>
          <w:highlight w:val="none"/>
        </w:rPr>
      </w:pPr>
      <w:r>
        <w:rPr>
          <w:rFonts w:hint="eastAsia" w:ascii="宋体" w:hAnsi="宋体"/>
          <w:color w:val="auto"/>
          <w:szCs w:val="21"/>
          <w:highlight w:val="none"/>
        </w:rPr>
        <w:t xml:space="preserve">负责组织落实各项技术安全措施，确保系统安全稳定运行；</w:t>
      </w:r>
      <w:r/>
    </w:p>
    <w:p>
      <w:pPr>
        <w:numPr>
          <w:ilvl w:val="0"/>
          <w:numId w:val="5"/>
        </w:numPr>
        <w:ind w:left="420" w:firstLine="420"/>
        <w:spacing w:line="360" w:lineRule="exact"/>
        <w:rPr>
          <w:rFonts w:ascii="宋体" w:hAnsi="宋体"/>
          <w:color w:val="auto"/>
          <w:szCs w:val="21"/>
          <w:highlight w:val="none"/>
        </w:rPr>
      </w:pPr>
      <w:r>
        <w:rPr>
          <w:rFonts w:hint="eastAsia" w:ascii="宋体" w:hAnsi="宋体"/>
          <w:color w:val="auto"/>
          <w:szCs w:val="21"/>
          <w:highlight w:val="none"/>
        </w:rPr>
        <w:t xml:space="preserve">负责对系统范围内故障管理、问题管理、变更管理、版本管理、配置管理等流程规范性和相关制度落实情况进行监督管理。</w:t>
      </w:r>
      <w:r/>
    </w:p>
    <w:p>
      <w:pPr>
        <w:numPr>
          <w:ilvl w:val="1"/>
          <w:numId w:val="2"/>
        </w:numPr>
        <w:ind w:left="0" w:firstLine="420"/>
        <w:spacing w:line="36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系统维护小组或维护人员职责</w:t>
      </w:r>
      <w:r/>
    </w:p>
    <w:p>
      <w:pPr>
        <w:numPr>
          <w:ilvl w:val="0"/>
          <w:numId w:val="6"/>
        </w:numPr>
        <w:ind w:left="420" w:firstLine="420"/>
        <w:spacing w:line="360" w:lineRule="exact"/>
        <w:tabs>
          <w:tab w:val="left" w:pos="426" w:leader="none"/>
        </w:tabs>
        <w:rPr>
          <w:rFonts w:ascii="宋体" w:hAnsi="宋体"/>
          <w:color w:val="auto"/>
          <w:szCs w:val="21"/>
          <w:highlight w:val="none"/>
        </w:rPr>
      </w:pPr>
      <w:r>
        <w:rPr>
          <w:rFonts w:hint="eastAsia" w:ascii="宋体" w:hAnsi="宋体"/>
          <w:color w:val="auto"/>
          <w:szCs w:val="21"/>
          <w:highlight w:val="none"/>
        </w:rPr>
        <w:t xml:space="preserve">负责收集整理项目范围内的系统运行质量情况，每月向建设单位上报信息系统运行情况和所有的维护记录；</w:t>
      </w:r>
      <w:r/>
    </w:p>
    <w:p>
      <w:pPr>
        <w:numPr>
          <w:ilvl w:val="0"/>
          <w:numId w:val="6"/>
        </w:numPr>
        <w:ind w:left="420" w:firstLine="420"/>
        <w:spacing w:line="360" w:lineRule="exact"/>
        <w:tabs>
          <w:tab w:val="left" w:pos="426" w:leader="none"/>
        </w:tabs>
        <w:rPr>
          <w:rFonts w:ascii="宋体" w:hAnsi="宋体"/>
          <w:color w:val="auto"/>
          <w:szCs w:val="21"/>
          <w:highlight w:val="none"/>
        </w:rPr>
      </w:pPr>
      <w:r>
        <w:rPr>
          <w:rFonts w:hint="eastAsia" w:ascii="宋体" w:hAnsi="宋体"/>
          <w:color w:val="auto"/>
          <w:szCs w:val="21"/>
          <w:highlight w:val="none"/>
        </w:rPr>
        <w:t xml:space="preserve">配合承建单位参与项目范围内系统运行质量分析，协助承建单位及时找出系统运行质量或效率下降的原因，提出改进建议，参与编写升级、扩容、实施、测试方案，并配合具体实施；</w:t>
      </w:r>
      <w:r/>
    </w:p>
    <w:p>
      <w:pPr>
        <w:numPr>
          <w:ilvl w:val="0"/>
          <w:numId w:val="6"/>
        </w:numPr>
        <w:ind w:left="420" w:firstLine="420"/>
        <w:spacing w:line="360" w:lineRule="exact"/>
        <w:tabs>
          <w:tab w:val="left" w:pos="426" w:leader="none"/>
        </w:tabs>
        <w:rPr>
          <w:rFonts w:ascii="宋体" w:hAnsi="宋体"/>
          <w:color w:val="auto"/>
          <w:szCs w:val="21"/>
          <w:highlight w:val="none"/>
        </w:rPr>
      </w:pPr>
      <w:r>
        <w:rPr>
          <w:rFonts w:hint="eastAsia" w:ascii="宋体" w:hAnsi="宋体"/>
          <w:color w:val="auto"/>
          <w:szCs w:val="21"/>
          <w:highlight w:val="none"/>
        </w:rPr>
        <w:t xml:space="preserve">协助承建单位进行项目范围内的产品维保厂商的管理和考核；</w:t>
      </w:r>
      <w:r/>
    </w:p>
    <w:p>
      <w:pPr>
        <w:numPr>
          <w:ilvl w:val="0"/>
          <w:numId w:val="6"/>
        </w:numPr>
        <w:ind w:left="420" w:firstLine="420"/>
        <w:spacing w:line="360" w:lineRule="exact"/>
        <w:tabs>
          <w:tab w:val="left" w:pos="426" w:leader="none"/>
        </w:tabs>
        <w:rPr>
          <w:rFonts w:ascii="宋体" w:hAnsi="宋体"/>
          <w:color w:val="auto"/>
          <w:szCs w:val="21"/>
          <w:highlight w:val="none"/>
        </w:rPr>
      </w:pPr>
      <w:r>
        <w:rPr>
          <w:rFonts w:hint="eastAsia" w:ascii="宋体" w:hAnsi="宋体"/>
          <w:color w:val="auto"/>
          <w:szCs w:val="21"/>
          <w:highlight w:val="none"/>
        </w:rPr>
        <w:t xml:space="preserve">负责项目范围内系统的故障申告和服务请求。系统发生较大故障时，按照重大突发事件汇报路径上报建设主管单位（常州市公安局技防支队）；</w:t>
      </w:r>
      <w:r/>
    </w:p>
    <w:p>
      <w:pPr>
        <w:numPr>
          <w:ilvl w:val="0"/>
          <w:numId w:val="6"/>
        </w:numPr>
        <w:ind w:left="420" w:firstLine="420"/>
        <w:spacing w:line="360" w:lineRule="exact"/>
        <w:tabs>
          <w:tab w:val="left" w:pos="426" w:leader="none"/>
        </w:tabs>
        <w:rPr>
          <w:rFonts w:ascii="宋体" w:hAnsi="宋体"/>
          <w:color w:val="auto"/>
          <w:szCs w:val="21"/>
          <w:highlight w:val="none"/>
        </w:rPr>
      </w:pPr>
      <w:r>
        <w:rPr>
          <w:rFonts w:hint="eastAsia" w:ascii="宋体" w:hAnsi="宋体"/>
          <w:color w:val="auto"/>
          <w:szCs w:val="21"/>
          <w:highlight w:val="none"/>
        </w:rPr>
        <w:t xml:space="preserve">负责组织和编制系统优化、升级需求，上报系统维护管理单位审核；获得批准后，参与实施；</w:t>
      </w:r>
      <w:r/>
    </w:p>
    <w:p>
      <w:pPr>
        <w:numPr>
          <w:ilvl w:val="0"/>
          <w:numId w:val="6"/>
        </w:numPr>
        <w:ind w:left="420" w:firstLine="420"/>
        <w:spacing w:line="360" w:lineRule="exact"/>
        <w:tabs>
          <w:tab w:val="left" w:pos="426" w:leader="none"/>
        </w:tabs>
        <w:rPr>
          <w:rFonts w:ascii="宋体" w:hAnsi="宋体"/>
          <w:color w:val="auto"/>
          <w:szCs w:val="21"/>
          <w:highlight w:val="none"/>
        </w:rPr>
      </w:pPr>
      <w:r>
        <w:rPr>
          <w:rFonts w:hint="eastAsia" w:ascii="宋体" w:hAnsi="宋体"/>
          <w:color w:val="auto"/>
          <w:szCs w:val="21"/>
          <w:highlight w:val="none"/>
        </w:rPr>
        <w:t xml:space="preserve">组织对项目范围内的系统进行定期巡检，落实配合人员，对巡检结果进行确认，</w:t>
      </w:r>
      <w:r>
        <w:rPr>
          <w:rFonts w:hint="eastAsia" w:ascii="宋体" w:hAnsi="宋体"/>
          <w:color w:val="auto"/>
          <w:szCs w:val="21"/>
          <w:highlight w:val="none"/>
          <w:lang w:eastAsia="zh-CN"/>
        </w:rPr>
        <w:t xml:space="preserve">对发现的问题</w:t>
      </w:r>
      <w:r>
        <w:rPr>
          <w:rFonts w:hint="eastAsia" w:ascii="宋体" w:hAnsi="宋体"/>
          <w:color w:val="auto"/>
          <w:szCs w:val="21"/>
          <w:highlight w:val="none"/>
        </w:rPr>
        <w:t xml:space="preserve">进行整改。</w:t>
      </w:r>
      <w:r/>
    </w:p>
    <w:p>
      <w:pPr>
        <w:numPr>
          <w:ilvl w:val="0"/>
          <w:numId w:val="6"/>
        </w:numPr>
        <w:ind w:left="420" w:firstLine="420"/>
        <w:spacing w:line="360" w:lineRule="exact"/>
        <w:tabs>
          <w:tab w:val="left" w:pos="426" w:leader="none"/>
        </w:tabs>
        <w:rPr>
          <w:rFonts w:ascii="宋体" w:hAnsi="宋体"/>
          <w:color w:val="auto"/>
          <w:szCs w:val="21"/>
          <w:highlight w:val="none"/>
        </w:rPr>
      </w:pPr>
      <w:r>
        <w:rPr>
          <w:rFonts w:hint="eastAsia" w:ascii="宋体" w:hAnsi="宋体"/>
          <w:color w:val="auto"/>
          <w:szCs w:val="21"/>
          <w:highlight w:val="none"/>
        </w:rPr>
        <w:t xml:space="preserve">负责项目范围内系统的设备硬件、配套网络和机房环境的监控和日常维护工作，制定日常维护作业计划并认真执行，保证系统正常运行；</w:t>
      </w:r>
      <w:r/>
    </w:p>
    <w:p>
      <w:pPr>
        <w:numPr>
          <w:ilvl w:val="0"/>
          <w:numId w:val="6"/>
        </w:numPr>
        <w:ind w:left="420" w:firstLine="420"/>
        <w:spacing w:line="360" w:lineRule="exact"/>
        <w:tabs>
          <w:tab w:val="left" w:pos="426" w:leader="none"/>
        </w:tabs>
        <w:rPr>
          <w:rFonts w:ascii="宋体" w:hAnsi="宋体"/>
          <w:color w:val="auto"/>
          <w:szCs w:val="21"/>
          <w:highlight w:val="none"/>
        </w:rPr>
      </w:pPr>
      <w:r>
        <w:rPr>
          <w:rFonts w:hint="eastAsia" w:ascii="宋体" w:hAnsi="宋体"/>
          <w:color w:val="auto"/>
          <w:szCs w:val="21"/>
          <w:highlight w:val="none"/>
        </w:rPr>
        <w:t xml:space="preserve">对于系统的所有维护（包括故障处理、系统改进和功能完善增加）都必须填写维护记录，每月向承建单位上报项目范围内的系统运行情况和所有的维护记录；</w:t>
      </w:r>
      <w:r/>
    </w:p>
    <w:p>
      <w:pPr>
        <w:numPr>
          <w:ilvl w:val="0"/>
          <w:numId w:val="6"/>
        </w:numPr>
        <w:ind w:left="420" w:firstLine="420"/>
        <w:spacing w:line="360" w:lineRule="exact"/>
        <w:tabs>
          <w:tab w:val="left" w:pos="426" w:leader="none"/>
        </w:tabs>
        <w:rPr>
          <w:rFonts w:ascii="宋体" w:hAnsi="宋体"/>
          <w:color w:val="auto"/>
          <w:szCs w:val="21"/>
          <w:highlight w:val="none"/>
        </w:rPr>
      </w:pPr>
      <w:r>
        <w:rPr>
          <w:rFonts w:hint="eastAsia" w:ascii="宋体" w:hAnsi="宋体"/>
          <w:color w:val="auto"/>
          <w:szCs w:val="21"/>
          <w:highlight w:val="none"/>
        </w:rPr>
        <w:t xml:space="preserve">负责项目范围内系统档案资料的维护，及时更新有关资料；</w:t>
      </w:r>
      <w:r/>
    </w:p>
    <w:p>
      <w:pPr>
        <w:numPr>
          <w:ilvl w:val="0"/>
          <w:numId w:val="6"/>
        </w:numPr>
        <w:ind w:left="420" w:firstLine="420"/>
        <w:spacing w:line="360" w:lineRule="exact"/>
        <w:tabs>
          <w:tab w:val="left" w:pos="426" w:leader="none"/>
        </w:tabs>
        <w:rPr>
          <w:rFonts w:ascii="宋体" w:hAnsi="宋体"/>
          <w:color w:val="auto"/>
          <w:szCs w:val="21"/>
          <w:highlight w:val="none"/>
        </w:rPr>
      </w:pPr>
      <w:r>
        <w:rPr>
          <w:rFonts w:hint="eastAsia" w:ascii="宋体" w:hAnsi="宋体"/>
          <w:color w:val="auto"/>
          <w:szCs w:val="21"/>
          <w:highlight w:val="none"/>
        </w:rPr>
        <w:t xml:space="preserve">协助承建单位对所辖范围内系统的用户账号管理和数据安全管理，按照信息安全管理相关要求定期进行信息安全自我审核，每月向项目建设单位上报项目范围内的系统信息安全情况。</w:t>
      </w:r>
      <w:r/>
    </w:p>
    <w:p>
      <w:pPr>
        <w:ind w:right="43" w:firstLine="420"/>
        <w:spacing w:line="360" w:lineRule="exact"/>
        <w:rPr>
          <w:rFonts w:ascii="宋体" w:hAnsi="宋体"/>
          <w:color w:val="auto"/>
          <w:szCs w:val="21"/>
          <w:highlight w:val="none"/>
        </w:rPr>
      </w:pPr>
      <w:r>
        <w:rPr>
          <w:rFonts w:ascii="宋体" w:hAnsi="宋体"/>
          <w:color w:val="auto"/>
          <w:szCs w:val="21"/>
          <w:highlight w:val="none"/>
        </w:rPr>
      </w:r>
      <w:r/>
    </w:p>
    <w:p>
      <w:pPr>
        <w:ind w:right="43"/>
        <w:jc w:val="center"/>
        <w:spacing w:line="360" w:lineRule="exact"/>
        <w:rPr>
          <w:rFonts w:ascii="宋体" w:hAnsi="宋体"/>
          <w:b/>
          <w:color w:val="auto"/>
          <w:szCs w:val="21"/>
          <w:highlight w:val="none"/>
        </w:rPr>
      </w:pPr>
      <w:r>
        <w:rPr>
          <w:rFonts w:hint="eastAsia" w:ascii="宋体" w:hAnsi="宋体"/>
          <w:b/>
          <w:color w:val="auto"/>
          <w:szCs w:val="21"/>
          <w:highlight w:val="none"/>
        </w:rPr>
        <w:t xml:space="preserve">第四章</w:t>
      </w:r>
      <w:r>
        <w:rPr>
          <w:rFonts w:ascii="宋体" w:hAnsi="宋体"/>
          <w:b/>
          <w:color w:val="auto"/>
          <w:szCs w:val="21"/>
          <w:highlight w:val="none"/>
        </w:rPr>
        <w:t xml:space="preserve"> </w:t>
      </w:r>
      <w:r>
        <w:rPr>
          <w:rFonts w:hint="eastAsia" w:ascii="宋体" w:hAnsi="宋体"/>
          <w:b/>
          <w:color w:val="auto"/>
          <w:szCs w:val="21"/>
          <w:highlight w:val="none"/>
        </w:rPr>
        <w:t xml:space="preserve">维护管理工作要求</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故障恢复：在质保期内，承建单位保证系统7*24不间断</w:t>
      </w:r>
      <w:r>
        <w:rPr>
          <w:rFonts w:hint="eastAsia" w:ascii="宋体" w:hAnsi="宋体" w:cs="宋体"/>
          <w:color w:val="auto"/>
          <w:szCs w:val="21"/>
          <w:highlight w:val="none"/>
          <w:lang w:eastAsia="zh-CN"/>
        </w:rPr>
        <w:t xml:space="preserve">地</w:t>
      </w:r>
      <w:r>
        <w:rPr>
          <w:rFonts w:hint="eastAsia" w:ascii="宋体" w:hAnsi="宋体" w:cs="宋体"/>
          <w:color w:val="auto"/>
          <w:szCs w:val="21"/>
          <w:highlight w:val="none"/>
        </w:rPr>
        <w:t xml:space="preserve">稳定正常运行并提供及时维护</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避免由网络故障或软件的升级而影响整个系统的运行。</w:t>
      </w:r>
      <w:r>
        <w:rPr>
          <w:rFonts w:hint="eastAsia" w:ascii="宋体" w:hAnsi="宋体"/>
          <w:color w:val="auto"/>
          <w:szCs w:val="21"/>
          <w:highlight w:val="none"/>
        </w:rPr>
        <w:t xml:space="preserve">系统出现故障后，通过维修，使系统恢复正常运转。系统使用单位对出现的故障向承建单位报告，由其派出技术人员进行排除。维护管理单位必须有相应的资质，承建单位须提供相关备用品，相关服务高于厂家标准的，按此要求执行，低于厂家标准服务的，按厂家服务执行。合同期内所有保修服务方式均为承建单位上门保修，</w:t>
      </w:r>
      <w:r>
        <w:rPr>
          <w:rFonts w:hint="eastAsia" w:ascii="宋体" w:hAnsi="宋体"/>
          <w:color w:val="auto"/>
          <w:szCs w:val="21"/>
          <w:highlight w:val="none"/>
          <w:lang w:eastAsia="zh-CN"/>
        </w:rPr>
        <w:t xml:space="preserve">即</w:t>
      </w:r>
      <w:r>
        <w:rPr>
          <w:rFonts w:hint="eastAsia" w:ascii="宋体" w:hAnsi="宋体"/>
          <w:color w:val="auto"/>
          <w:szCs w:val="21"/>
          <w:highlight w:val="none"/>
        </w:rPr>
        <w:t xml:space="preserve">由承建单位派员到现场维修，由此产生的一切费用均由承建单位承担。</w:t>
      </w:r>
      <w:r/>
    </w:p>
    <w:p>
      <w:pPr>
        <w:ind w:firstLine="420"/>
        <w:spacing w:line="360" w:lineRule="exact"/>
        <w:tabs>
          <w:tab w:val="left" w:pos="0" w:leader="none"/>
          <w:tab w:val="left" w:pos="1980" w:leader="none"/>
        </w:tabs>
        <w:rPr>
          <w:rFonts w:ascii="宋体" w:hAnsi="宋体"/>
          <w:color w:val="auto"/>
          <w:szCs w:val="21"/>
          <w:highlight w:val="none"/>
        </w:rPr>
      </w:pPr>
      <w:r>
        <w:rPr>
          <w:rFonts w:hint="eastAsia" w:ascii="宋体" w:hAnsi="宋体"/>
          <w:color w:val="auto"/>
          <w:szCs w:val="21"/>
          <w:highlight w:val="none"/>
        </w:rPr>
        <w:t xml:space="preserve">（一）一般系统或设备发生故障后，在4小时内到达现场，并在12小时的期限内修复。特殊情况不能修复的，要查出故障原因，并提出解决方案。</w:t>
      </w:r>
      <w:r/>
    </w:p>
    <w:p>
      <w:pPr>
        <w:ind w:firstLine="420"/>
        <w:spacing w:line="360" w:lineRule="exact"/>
        <w:tabs>
          <w:tab w:val="left" w:pos="0" w:leader="none"/>
          <w:tab w:val="left" w:pos="1980" w:leader="none"/>
        </w:tabs>
        <w:rPr>
          <w:rFonts w:ascii="宋体" w:hAnsi="宋体"/>
          <w:color w:val="auto"/>
          <w:szCs w:val="21"/>
          <w:highlight w:val="none"/>
        </w:rPr>
      </w:pPr>
      <w:r>
        <w:rPr>
          <w:rFonts w:hint="eastAsia" w:ascii="宋体" w:hAnsi="宋体"/>
          <w:color w:val="auto"/>
          <w:szCs w:val="21"/>
          <w:highlight w:val="none"/>
        </w:rPr>
        <w:t xml:space="preserve">（二）系统网络故障响应处理时间应少于30分钟，到达现场时间应少于4个小时。按照故障程度，一般故障4小时修复，重大故障24小时内修复，特殊情况，最长不得超过48小时。</w:t>
      </w:r>
      <w:r/>
    </w:p>
    <w:p>
      <w:pPr>
        <w:ind w:firstLine="420"/>
        <w:spacing w:line="360" w:lineRule="exact"/>
        <w:tabs>
          <w:tab w:val="left" w:pos="0" w:leader="none"/>
          <w:tab w:val="left" w:pos="1980" w:leader="none"/>
        </w:tabs>
        <w:rPr>
          <w:rFonts w:ascii="宋体" w:hAnsi="宋体"/>
          <w:color w:val="auto"/>
          <w:szCs w:val="21"/>
          <w:highlight w:val="none"/>
        </w:rPr>
      </w:pPr>
      <w:r>
        <w:rPr>
          <w:rFonts w:hint="eastAsia" w:ascii="宋体" w:hAnsi="宋体"/>
          <w:color w:val="auto"/>
          <w:szCs w:val="21"/>
          <w:highlight w:val="none"/>
        </w:rPr>
        <w:t xml:space="preserve">（三）因光缆断裂、区域停电和不可抗力的原因造成的损坏不受上述限制，但必须采取有力措施和组织足够的力量及时修复。</w:t>
      </w:r>
      <w:r/>
    </w:p>
    <w:p>
      <w:pPr>
        <w:ind w:firstLine="420"/>
        <w:spacing w:line="360" w:lineRule="exact"/>
        <w:tabs>
          <w:tab w:val="left" w:pos="0" w:leader="none"/>
          <w:tab w:val="left" w:pos="1980" w:leader="none"/>
        </w:tabs>
        <w:rPr>
          <w:rFonts w:ascii="宋体" w:hAnsi="宋体"/>
          <w:color w:val="auto"/>
          <w:szCs w:val="21"/>
          <w:highlight w:val="none"/>
        </w:rPr>
      </w:pPr>
      <w:r>
        <w:rPr>
          <w:rFonts w:hint="eastAsia" w:ascii="宋体" w:hAnsi="宋体"/>
          <w:color w:val="auto"/>
          <w:szCs w:val="21"/>
          <w:highlight w:val="none"/>
        </w:rPr>
        <w:t xml:space="preserve">（四）设备在维护维修时，存在系统被入侵/攻击的可能。</w:t>
      </w:r>
      <w:r>
        <w:rPr>
          <w:rFonts w:hint="eastAsia" w:ascii="宋体" w:hAnsi="宋体"/>
          <w:color w:val="auto"/>
          <w:szCs w:val="21"/>
          <w:highlight w:val="none"/>
          <w:lang w:eastAsia="zh-CN"/>
        </w:rPr>
        <w:t xml:space="preserve">因此</w:t>
      </w:r>
      <w:r>
        <w:rPr>
          <w:rFonts w:hint="eastAsia" w:ascii="宋体" w:hAnsi="宋体"/>
          <w:color w:val="auto"/>
          <w:szCs w:val="21"/>
          <w:highlight w:val="none"/>
        </w:rPr>
        <w:t xml:space="preserve">对设备日常维护与维修的行为必须有安全性要求。</w:t>
      </w:r>
      <w:r/>
    </w:p>
    <w:p>
      <w:pPr>
        <w:ind w:left="420" w:firstLine="420"/>
        <w:spacing w:line="360" w:lineRule="exact"/>
        <w:tabs>
          <w:tab w:val="left" w:pos="0" w:leader="none"/>
          <w:tab w:val="left" w:pos="1980" w:leader="none"/>
        </w:tabs>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rPr>
        <w:t xml:space="preserve">要做好维护、维修人员的身份审核。</w:t>
      </w:r>
      <w:r/>
    </w:p>
    <w:p>
      <w:pPr>
        <w:ind w:left="420" w:firstLine="420"/>
        <w:spacing w:line="360" w:lineRule="exact"/>
        <w:tabs>
          <w:tab w:val="left" w:pos="0" w:leader="none"/>
          <w:tab w:val="left" w:pos="1980" w:leader="none"/>
        </w:tabs>
        <w:rPr>
          <w:rFonts w:ascii="宋体" w:hAnsi="宋体"/>
          <w:color w:val="auto"/>
          <w:szCs w:val="21"/>
          <w:highlight w:val="none"/>
        </w:rPr>
      </w:pP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全程记录相关操作过程。记录必要的软件/设备信息。</w:t>
      </w:r>
      <w:r/>
    </w:p>
    <w:p>
      <w:pPr>
        <w:ind w:left="420" w:firstLine="420"/>
        <w:spacing w:line="360" w:lineRule="exact"/>
        <w:tabs>
          <w:tab w:val="left" w:pos="0" w:leader="none"/>
          <w:tab w:val="left" w:pos="1980" w:leader="none"/>
        </w:tabs>
        <w:rPr>
          <w:rFonts w:ascii="宋体" w:hAnsi="宋体"/>
          <w:color w:val="auto"/>
          <w:szCs w:val="21"/>
          <w:highlight w:val="none"/>
        </w:rPr>
      </w:pP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应采用原有系统采购的软件与硬件。硬件系统替换时，必须查看设备是否处于刚出厂未使用状态。</w:t>
      </w:r>
      <w:r/>
    </w:p>
    <w:p>
      <w:pPr>
        <w:ind w:left="420" w:firstLine="420"/>
        <w:spacing w:line="360" w:lineRule="exact"/>
        <w:tabs>
          <w:tab w:val="left" w:pos="0" w:leader="none"/>
          <w:tab w:val="left" w:pos="1980" w:leader="none"/>
        </w:tabs>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在维护、维修工作中要防止系统规划、用户信息、图像资源等信息的泄密。</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olor w:val="auto"/>
          <w:szCs w:val="21"/>
          <w:highlight w:val="none"/>
        </w:rPr>
        <w:t xml:space="preserve">应急处理：将各种系统</w:t>
      </w:r>
      <w:r>
        <w:rPr>
          <w:rFonts w:hint="eastAsia" w:ascii="宋体" w:hAnsi="宋体"/>
          <w:color w:val="auto"/>
          <w:szCs w:val="21"/>
          <w:highlight w:val="none"/>
        </w:rPr>
        <w:t xml:space="preserve">故障和告警进行分级处理，可分为一般故障（仅为个别节点不能访问但不影响整个系统的功能）、严重故障（系统的某些功能受损但日常应用基本可维持）、致命故障（系统功能受重大影响或系统瘫痪），并对每个故障等级建立处置规范和流程。视频监控系统设备一旦发生重大故障，系统维护单位派人员应迅速进行抢修。为应对系统的突发性故障，保证系统在应急情况下能正常运行，必须建立系统紧急抢修的预案，并加以演练。例如，限制各级故障的处理时间，指定处理各级故障的厂商，并明确具体联系人和联系方式，对系统故障建立跟踪机制，跟踪故障处理的整个进程等。</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olor w:val="auto"/>
          <w:szCs w:val="21"/>
          <w:highlight w:val="none"/>
        </w:rPr>
        <w:t xml:space="preserve">质保期内承建单位负责对其提供的所有系统功能调整、升级、维护服务工作，确保各类软件及时更新到最新版本，将成熟的新技术、新标准实时应用到常州市视频监控系统建设项目，以保证系统能正常高效运行。</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承建单位</w:t>
      </w:r>
      <w:r>
        <w:rPr>
          <w:rFonts w:hint="eastAsia" w:ascii="宋体" w:hAnsi="宋体"/>
          <w:color w:val="auto"/>
          <w:szCs w:val="21"/>
          <w:highlight w:val="none"/>
        </w:rPr>
        <w:t xml:space="preserve">网络升级、调整及检修应选择非工作时段，且须提前一周以书面方式通知使用单位。</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olor w:val="auto"/>
          <w:szCs w:val="21"/>
          <w:highlight w:val="none"/>
        </w:rPr>
        <w:t xml:space="preserve">摄像机护罩半年清洁一次，以保证图像的清晰，</w:t>
      </w:r>
      <w:r>
        <w:rPr>
          <w:rFonts w:hint="eastAsia" w:ascii="宋体" w:hAnsi="宋体"/>
          <w:color w:val="auto"/>
          <w:szCs w:val="21"/>
          <w:highlight w:val="none"/>
        </w:rPr>
        <w:t xml:space="preserve">查看各安装点的摄像头线缆情况，弱电柜中的编码器、收发器、视频光端机灯状态是否正常，电源有否松动，对设备柜中的灰尘进行清洁</w:t>
      </w:r>
      <w:r>
        <w:rPr>
          <w:rFonts w:hint="eastAsia" w:ascii="宋体" w:hAnsi="宋体"/>
          <w:color w:val="auto"/>
          <w:szCs w:val="21"/>
          <w:highlight w:val="none"/>
        </w:rPr>
        <w:t xml:space="preserve">，检查防雷、接地系统是否正常。</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承建单位负责技术档案和资料的管理，应建立健全必要的技术资料和原始记录，包括但不限于：</w:t>
      </w:r>
      <w:r/>
    </w:p>
    <w:p>
      <w:pPr>
        <w:numPr>
          <w:ilvl w:val="0"/>
          <w:numId w:val="7"/>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系统结构图及相关技术资料；</w:t>
      </w:r>
      <w:r/>
    </w:p>
    <w:p>
      <w:pPr>
        <w:numPr>
          <w:ilvl w:val="0"/>
          <w:numId w:val="7"/>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机房平面图、设备布置图、电源电缆、信号线、地线图；</w:t>
      </w:r>
      <w:r/>
    </w:p>
    <w:p>
      <w:pPr>
        <w:numPr>
          <w:ilvl w:val="0"/>
          <w:numId w:val="7"/>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网络连接图和相关配置资料；</w:t>
      </w:r>
      <w:r/>
    </w:p>
    <w:p>
      <w:pPr>
        <w:numPr>
          <w:ilvl w:val="0"/>
          <w:numId w:val="7"/>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各类软硬件设备配置清单</w:t>
      </w:r>
      <w:r>
        <w:rPr>
          <w:rFonts w:hint="eastAsia" w:ascii="宋体" w:hAnsi="宋体" w:cs="宋体"/>
          <w:color w:val="auto"/>
          <w:szCs w:val="21"/>
          <w:highlight w:val="none"/>
          <w:lang w:eastAsia="zh-CN"/>
        </w:rPr>
        <w:t xml:space="preserve">；</w:t>
      </w:r>
      <w:r/>
    </w:p>
    <w:p>
      <w:pPr>
        <w:numPr>
          <w:ilvl w:val="0"/>
          <w:numId w:val="7"/>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设备或系统使用手册、维护手册等资料；</w:t>
      </w:r>
      <w:r/>
    </w:p>
    <w:p>
      <w:pPr>
        <w:numPr>
          <w:ilvl w:val="0"/>
          <w:numId w:val="7"/>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工程资料，包括安装、工程设计、测试及开通、试运行、竣工等全套技术资料；</w:t>
      </w:r>
      <w:r/>
    </w:p>
    <w:p>
      <w:pPr>
        <w:numPr>
          <w:ilvl w:val="0"/>
          <w:numId w:val="7"/>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上述资料的变更记录。</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承建单位负责软件资料管理应包含以下内容：</w:t>
      </w:r>
      <w:r/>
    </w:p>
    <w:p>
      <w:pPr>
        <w:numPr>
          <w:ilvl w:val="0"/>
          <w:numId w:val="8"/>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所有软件的介质、许可证、版本资料及补丁资料；</w:t>
      </w:r>
      <w:r/>
    </w:p>
    <w:p>
      <w:pPr>
        <w:numPr>
          <w:ilvl w:val="0"/>
          <w:numId w:val="8"/>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所有软件的安装手册、操作使用手册、应用开发手册等技术资料；</w:t>
      </w:r>
      <w:r/>
    </w:p>
    <w:p>
      <w:pPr>
        <w:numPr>
          <w:ilvl w:val="0"/>
          <w:numId w:val="8"/>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上述资料的变更记录。</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承建单位负责配置数据管理要求：</w:t>
      </w:r>
      <w:r/>
    </w:p>
    <w:p>
      <w:pPr>
        <w:numPr>
          <w:ilvl w:val="0"/>
          <w:numId w:val="9"/>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配置数据管理应包含各种静态数据资料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如系统的各种参数设置等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及变更记录；</w:t>
      </w:r>
      <w:r/>
    </w:p>
    <w:p>
      <w:pPr>
        <w:numPr>
          <w:ilvl w:val="0"/>
          <w:numId w:val="9"/>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维护人员必须维护最新的当前系统配置数据。</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承建单位负责运行记录的管理：</w:t>
      </w:r>
      <w:r/>
    </w:p>
    <w:p>
      <w:pPr>
        <w:numPr>
          <w:ilvl w:val="0"/>
          <w:numId w:val="10"/>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维护作业计划和适用的各种规章制度；</w:t>
      </w:r>
      <w:r/>
    </w:p>
    <w:p>
      <w:pPr>
        <w:numPr>
          <w:ilvl w:val="0"/>
          <w:numId w:val="10"/>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系统运行记录和巡检记录；</w:t>
      </w:r>
      <w:r/>
    </w:p>
    <w:p>
      <w:pPr>
        <w:numPr>
          <w:ilvl w:val="0"/>
          <w:numId w:val="10"/>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故障及处理、设备检修、返修记录；</w:t>
      </w:r>
      <w:r/>
    </w:p>
    <w:p>
      <w:pPr>
        <w:numPr>
          <w:ilvl w:val="0"/>
          <w:numId w:val="10"/>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系统备份磁带、磁盘、光盘的更换及相关信息汇总记录；</w:t>
      </w:r>
      <w:r/>
    </w:p>
    <w:p>
      <w:pPr>
        <w:numPr>
          <w:ilvl w:val="0"/>
          <w:numId w:val="10"/>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软、硬件设备变更和系统参数变更。</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承建单位负责对各项操作均应进行日志记录，内容应包括操作人、操作时间和操作内容等详细信息。承建单位维护人员应每日对操作日志、安全日志进行审查，对异常事件及时跟进解决，并每周形成日志审查汇总意见报建设单位审核。安全日志应包括但不局限于以下内容：</w:t>
      </w:r>
      <w:r/>
    </w:p>
    <w:p>
      <w:pPr>
        <w:numPr>
          <w:ilvl w:val="0"/>
          <w:numId w:val="11"/>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对于应用系统，包括系统管理员的所有系统操作记录、所有的登录访问记录、对敏感数据或关键数据有重大影响的系统操作记录以及其他重要系统操作记录的日志；</w:t>
      </w:r>
      <w:r/>
    </w:p>
    <w:p>
      <w:pPr>
        <w:numPr>
          <w:ilvl w:val="0"/>
          <w:numId w:val="11"/>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对于操作系统，包括系统管理员的所有操作记录、所有的登录日志；</w:t>
      </w:r>
      <w:r/>
    </w:p>
    <w:p>
      <w:pPr>
        <w:numPr>
          <w:ilvl w:val="0"/>
          <w:numId w:val="11"/>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对于数据库系统，包括数据库登录、库表结构的变更记录。</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承建单位负责安全保密要求</w:t>
      </w:r>
      <w:r/>
    </w:p>
    <w:p>
      <w:pPr>
        <w:numPr>
          <w:ilvl w:val="0"/>
          <w:numId w:val="12"/>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联网设备必须采取必要的安全措施，以保障网络的设备安全及所承载业务的信息安全。在计算机上应安装防病毒软件，每天更新病毒库；</w:t>
      </w:r>
      <w:r/>
    </w:p>
    <w:p>
      <w:pPr>
        <w:numPr>
          <w:ilvl w:val="0"/>
          <w:numId w:val="12"/>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未经变更流程，严禁将视频监控系统与公众互联网进行连接； </w:t>
      </w:r>
      <w:r/>
    </w:p>
    <w:p>
      <w:pPr>
        <w:numPr>
          <w:ilvl w:val="0"/>
          <w:numId w:val="12"/>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在与其他外部网络的网络连接处必须安装防火墙，并指定防火墙管理员，只有指定的系统（网络）管理员才能拥有防火墙管理帐号，未经批准，不得进行防火墙策略的更改；</w:t>
      </w:r>
      <w:r/>
    </w:p>
    <w:p>
      <w:pPr>
        <w:numPr>
          <w:ilvl w:val="0"/>
          <w:numId w:val="12"/>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严禁在系统中安装未经授权的软件；不得在系统上运行与工作无关的程序；未经批准，不得利用系统进行培训实习；</w:t>
      </w:r>
      <w:r/>
    </w:p>
    <w:p>
      <w:pPr>
        <w:numPr>
          <w:ilvl w:val="0"/>
          <w:numId w:val="12"/>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未经批准不得擅自抄录、复制配置资料、技术档案，内部资料不得泄露；</w:t>
      </w:r>
      <w:r/>
    </w:p>
    <w:p>
      <w:pPr>
        <w:numPr>
          <w:ilvl w:val="0"/>
          <w:numId w:val="12"/>
        </w:numPr>
        <w:ind w:left="420"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设备管理和维护人员都应熟悉并严格遵守和执行信息安全保密相关规定。</w:t>
      </w:r>
      <w:r/>
    </w:p>
    <w:p>
      <w:pPr>
        <w:ind w:left="708" w:right="187" w:firstLine="420"/>
        <w:spacing w:line="360" w:lineRule="exact"/>
        <w:rPr>
          <w:rFonts w:ascii="宋体" w:hAnsi="宋体" w:cs="宋体"/>
          <w:color w:val="auto"/>
          <w:szCs w:val="21"/>
          <w:highlight w:val="none"/>
        </w:rPr>
      </w:pPr>
      <w:r>
        <w:rPr>
          <w:rFonts w:ascii="宋体" w:hAnsi="宋体" w:cs="宋体"/>
          <w:color w:val="auto"/>
          <w:szCs w:val="21"/>
          <w:highlight w:val="none"/>
        </w:rPr>
      </w:r>
      <w:r/>
    </w:p>
    <w:p>
      <w:pPr>
        <w:ind w:right="187"/>
        <w:jc w:val="center"/>
        <w:spacing w:line="360" w:lineRule="exact"/>
        <w:rPr>
          <w:rFonts w:ascii="宋体" w:hAnsi="宋体" w:cs="宋体"/>
          <w:b/>
          <w:color w:val="auto"/>
          <w:szCs w:val="21"/>
          <w:highlight w:val="none"/>
        </w:rPr>
      </w:pPr>
      <w:r>
        <w:rPr>
          <w:rFonts w:hint="eastAsia" w:ascii="宋体" w:hAnsi="宋体" w:cs="宋体"/>
          <w:b/>
          <w:color w:val="auto"/>
          <w:szCs w:val="21"/>
          <w:highlight w:val="none"/>
        </w:rPr>
        <w:t xml:space="preserve">第五章 维护管理考核要求</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olor w:val="auto"/>
          <w:szCs w:val="21"/>
          <w:highlight w:val="none"/>
        </w:rPr>
        <w:t xml:space="preserve">在质保期内，每月</w:t>
      </w:r>
      <w:r>
        <w:rPr>
          <w:rFonts w:ascii="宋体" w:hAnsi="宋体"/>
          <w:color w:val="auto"/>
          <w:szCs w:val="21"/>
          <w:highlight w:val="none"/>
        </w:rPr>
        <w:t xml:space="preserve">20号为维护考核日期，当月20号形成上一月的维护考核报表，承建单位维护责任人在五个工作日内进行审核并签字确认，逾期承建单位未确认的，以技防支队考核为准。（完好率考核基数以应建数扣除拆除数为准）。</w:t>
      </w:r>
      <w:r/>
    </w:p>
    <w:p>
      <w:pPr>
        <w:numPr>
          <w:ilvl w:val="1"/>
          <w:numId w:val="2"/>
        </w:numPr>
        <w:ind w:left="0" w:firstLine="420"/>
        <w:spacing w:line="36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在质保期内，对故障点位，一个月内必须修复到位，若一个月内未及时修复，每个监控点扣</w:t>
      </w:r>
      <w:r>
        <w:rPr>
          <w:rFonts w:ascii="宋体" w:hAnsi="宋体"/>
          <w:color w:val="auto"/>
          <w:szCs w:val="21"/>
          <w:highlight w:val="none"/>
        </w:rPr>
        <w:t xml:space="preserve">1000元；对涉及前端监控点因城市建设、道路改造等原因拆除的，在条件具备情况下（以拆迁补偿协议为准），二个月内必须恢复；不具备重建条件的，由建设单位进行重新选址，承建单位负责迁址重新建设，点位自双方书面确认后二个月内完成建设、验收并投入使用。逾期未完成的，涉及的每个监控点扣1000</w:t>
      </w:r>
      <w:r>
        <w:rPr>
          <w:rFonts w:hint="eastAsia" w:ascii="宋体" w:hAnsi="宋体"/>
          <w:color w:val="auto"/>
          <w:szCs w:val="21"/>
          <w:highlight w:val="none"/>
        </w:rPr>
        <w:t xml:space="preserve">元</w:t>
      </w:r>
      <w:r>
        <w:rPr>
          <w:rFonts w:ascii="宋体" w:hAnsi="宋体"/>
          <w:color w:val="auto"/>
          <w:szCs w:val="21"/>
          <w:highlight w:val="none"/>
        </w:rPr>
        <w:t xml:space="preserve">/月。</w:t>
      </w:r>
      <w:r/>
    </w:p>
    <w:p>
      <w:pPr>
        <w:numPr>
          <w:ilvl w:val="1"/>
          <w:numId w:val="2"/>
        </w:numPr>
        <w:ind w:left="0" w:firstLine="420"/>
        <w:spacing w:line="36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在质保期内，因乙方原因出现</w:t>
      </w:r>
      <w:r>
        <w:rPr>
          <w:rFonts w:hint="eastAsia" w:ascii="宋体" w:hAnsi="宋体" w:cs="宋体"/>
          <w:color w:val="auto"/>
          <w:szCs w:val="21"/>
          <w:highlight w:val="none"/>
        </w:rPr>
        <w:t xml:space="preserve">系统故障影响全市视频监控应用，在24小时内不能恢复的，扣10000元；影响辖市（区）级视频监控应用的，在24个小时内不能恢复的，扣5000元；影响派出所级视</w:t>
      </w:r>
      <w:r>
        <w:rPr>
          <w:rFonts w:hint="eastAsia" w:ascii="宋体" w:hAnsi="宋体"/>
          <w:color w:val="auto"/>
          <w:szCs w:val="21"/>
          <w:highlight w:val="none"/>
        </w:rPr>
        <w:t xml:space="preserve">频监控应用的，在</w:t>
      </w:r>
      <w:r>
        <w:rPr>
          <w:rFonts w:ascii="宋体" w:hAnsi="宋体"/>
          <w:color w:val="auto"/>
          <w:szCs w:val="21"/>
          <w:highlight w:val="none"/>
        </w:rPr>
        <w:t xml:space="preserve">24小时内不能恢复的，扣3000元。</w:t>
      </w:r>
      <w:r/>
    </w:p>
    <w:p>
      <w:pPr>
        <w:numPr>
          <w:ilvl w:val="1"/>
          <w:numId w:val="2"/>
        </w:numPr>
        <w:ind w:left="0" w:firstLine="420"/>
        <w:spacing w:line="36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在质保期内，补光灯出现</w:t>
      </w:r>
      <w:r>
        <w:rPr>
          <w:rFonts w:hint="eastAsia" w:ascii="宋体" w:hAnsi="宋体" w:cs="宋体"/>
          <w:color w:val="auto"/>
          <w:szCs w:val="21"/>
          <w:highlight w:val="none"/>
        </w:rPr>
        <w:t xml:space="preserve">故障，</w:t>
      </w:r>
      <w:r>
        <w:rPr>
          <w:rFonts w:hint="eastAsia" w:ascii="宋体" w:hAnsi="宋体"/>
          <w:color w:val="auto"/>
          <w:szCs w:val="21"/>
          <w:highlight w:val="none"/>
        </w:rPr>
        <w:t xml:space="preserve">在一个月内未及时修复的，扣</w:t>
      </w:r>
      <w:r>
        <w:rPr>
          <w:rFonts w:ascii="宋体" w:hAnsi="宋体"/>
          <w:color w:val="auto"/>
          <w:szCs w:val="21"/>
          <w:highlight w:val="none"/>
        </w:rPr>
        <w:t xml:space="preserve">1000元。</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olor w:val="auto"/>
          <w:szCs w:val="21"/>
          <w:highlight w:val="none"/>
        </w:rPr>
        <w:t xml:space="preserve">在质保期内，摄像机护罩半年未清洁一次的，扣</w:t>
      </w:r>
      <w:r>
        <w:rPr>
          <w:rFonts w:ascii="宋体" w:hAnsi="宋体"/>
          <w:color w:val="auto"/>
          <w:szCs w:val="21"/>
          <w:highlight w:val="none"/>
        </w:rPr>
        <w:t xml:space="preserve">5000元。</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olor w:val="auto"/>
          <w:szCs w:val="21"/>
          <w:highlight w:val="none"/>
        </w:rPr>
        <w:t xml:space="preserve">在质保期内，每年对市局、分局、派出所系统、机房进行体检、维护保养（电力供应、</w:t>
      </w:r>
      <w:r>
        <w:rPr>
          <w:rFonts w:ascii="宋体" w:hAnsi="宋体"/>
          <w:color w:val="auto"/>
          <w:szCs w:val="21"/>
          <w:highlight w:val="none"/>
        </w:rPr>
        <w:t xml:space="preserve">UPS、布线、设备除尘等）一次，未进行的扣5000元（以书面体检报告为准）。</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olor w:val="auto"/>
          <w:szCs w:val="21"/>
          <w:highlight w:val="none"/>
        </w:rPr>
        <w:t xml:space="preserve">在质保期内，遇有其他故障情形，对建设单位发给承建单位的故障维护单未按要求及时修复的，扣</w:t>
      </w:r>
      <w:r>
        <w:rPr>
          <w:rFonts w:ascii="宋体" w:hAnsi="宋体"/>
          <w:color w:val="auto"/>
          <w:szCs w:val="21"/>
          <w:highlight w:val="none"/>
        </w:rPr>
        <w:t xml:space="preserve">1000元。</w:t>
      </w:r>
      <w:r/>
    </w:p>
    <w:p>
      <w:pPr>
        <w:numPr>
          <w:ilvl w:val="1"/>
          <w:numId w:val="2"/>
        </w:numPr>
        <w:ind w:left="0" w:firstLine="420"/>
        <w:spacing w:line="360" w:lineRule="exact"/>
        <w:tabs>
          <w:tab w:val="left" w:pos="0" w:leader="none"/>
        </w:tabs>
        <w:rPr>
          <w:rFonts w:ascii="宋体" w:hAnsi="宋体" w:cs="宋体"/>
          <w:color w:val="auto"/>
          <w:szCs w:val="21"/>
          <w:highlight w:val="none"/>
        </w:rPr>
      </w:pPr>
      <w:r>
        <w:rPr>
          <w:rFonts w:hint="eastAsia" w:ascii="宋体" w:hAnsi="宋体"/>
          <w:color w:val="auto"/>
          <w:szCs w:val="21"/>
          <w:highlight w:val="none"/>
        </w:rPr>
        <w:t xml:space="preserve">在质保期内，每年完好率扣款金额</w:t>
      </w:r>
      <w:r>
        <w:rPr>
          <w:rFonts w:ascii="宋体" w:hAnsi="宋体"/>
          <w:color w:val="auto"/>
          <w:szCs w:val="21"/>
          <w:highlight w:val="none"/>
        </w:rPr>
        <w:t xml:space="preserve">=当年资金支付费用总金额-当年资金支付费用总金额*（全年每月监控完好率平均数*100+5）/100，当全年每月监控完好率平均数*100+5≥100分时，按100分算。每年实际扣款金额=完好率扣款金额+故障扣除金额。</w:t>
      </w:r>
      <w:r/>
    </w:p>
    <w:p>
      <w:pPr>
        <w:numPr>
          <w:ilvl w:val="1"/>
          <w:numId w:val="2"/>
        </w:numPr>
        <w:ind w:left="0" w:right="187" w:firstLine="420"/>
        <w:spacing w:line="360" w:lineRule="exact"/>
        <w:rPr>
          <w:rFonts w:ascii="宋体" w:hAnsi="宋体"/>
          <w:bCs/>
          <w:color w:val="auto"/>
          <w:szCs w:val="21"/>
          <w:highlight w:val="none"/>
        </w:rPr>
      </w:pPr>
      <w:r>
        <w:rPr>
          <w:rFonts w:hint="eastAsia" w:ascii="宋体" w:hAnsi="宋体" w:cs="宋体"/>
          <w:color w:val="auto"/>
          <w:szCs w:val="21"/>
          <w:highlight w:val="none"/>
        </w:rPr>
        <w:t xml:space="preserve">本办法的解释权属于常州市公安局技防支队。</w:t>
      </w:r>
      <w:r/>
    </w:p>
    <w:p>
      <w:pPr>
        <w:numPr>
          <w:ilvl w:val="1"/>
          <w:numId w:val="2"/>
        </w:numPr>
        <w:ind w:left="0" w:right="187" w:firstLine="420"/>
        <w:spacing w:line="360" w:lineRule="exact"/>
        <w:rPr>
          <w:rFonts w:ascii="宋体" w:hAnsi="宋体"/>
          <w:bCs/>
          <w:color w:val="auto"/>
          <w:szCs w:val="21"/>
          <w:highlight w:val="none"/>
        </w:rPr>
      </w:pPr>
      <w:r>
        <w:rPr>
          <w:rFonts w:hint="eastAsia" w:ascii="宋体" w:hAnsi="宋体" w:cs="宋体"/>
          <w:color w:val="auto"/>
          <w:szCs w:val="21"/>
          <w:highlight w:val="none"/>
        </w:rPr>
        <w:t xml:space="preserve">本办法自2014年1月1日实行。</w:t>
      </w:r>
      <w:r/>
    </w:p>
    <w:p>
      <w:pPr>
        <w:rPr>
          <w:rFonts w:hint="eastAsia"/>
          <w:color w:val="auto"/>
          <w:highlight w:val="none"/>
        </w:rPr>
      </w:pPr>
      <w:r>
        <w:rPr>
          <w:rFonts w:hint="eastAsia"/>
          <w:color w:val="auto"/>
          <w:highlight w:val="none"/>
        </w:rPr>
      </w:r>
      <w:r/>
    </w:p>
    <w:p>
      <w:pPr>
        <w:spacing w:line="400" w:lineRule="exact"/>
        <w:rPr>
          <w:rFonts w:hint="eastAsia" w:ascii="楷体" w:hAnsi="楷体" w:eastAsia="楷体"/>
          <w:color w:val="auto"/>
          <w:sz w:val="24"/>
          <w:highlight w:val="none"/>
        </w:rPr>
      </w:pPr>
      <w:r>
        <w:rPr>
          <w:rFonts w:hint="eastAsia" w:ascii="楷体" w:hAnsi="楷体" w:eastAsia="楷体"/>
          <w:color w:val="auto"/>
          <w:sz w:val="24"/>
          <w:highlight w:val="none"/>
        </w:rPr>
      </w:r>
      <w:r/>
    </w:p>
    <w:p>
      <w:pPr>
        <w:spacing w:line="400" w:lineRule="exact"/>
        <w:rPr>
          <w:rFonts w:hint="eastAsia" w:ascii="楷体" w:hAnsi="楷体" w:eastAsia="楷体"/>
          <w:color w:val="auto"/>
          <w:sz w:val="24"/>
          <w:highlight w:val="none"/>
        </w:rPr>
      </w:pPr>
      <w:r>
        <w:rPr>
          <w:rFonts w:hint="eastAsia" w:ascii="楷体" w:hAnsi="楷体" w:eastAsia="楷体"/>
          <w:color w:val="auto"/>
          <w:sz w:val="24"/>
          <w:highlight w:val="none"/>
        </w:rPr>
      </w:r>
      <w:r/>
    </w:p>
    <w:p>
      <w:pPr>
        <w:spacing w:line="400" w:lineRule="exact"/>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附件三：服务承诺</w:t>
      </w:r>
      <w:r/>
    </w:p>
    <w:p>
      <w:pPr>
        <w:spacing w:line="400" w:lineRule="exact"/>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spacing w:line="400" w:lineRule="exact"/>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spacing w:line="400" w:lineRule="exact"/>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附件四：项目进度计划表</w:t>
      </w:r>
      <w:r/>
    </w:p>
    <w:p>
      <w:pPr>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p>
      <w:pPr>
        <w:pStyle w:val="902"/>
        <w:rPr>
          <w:color w:val="auto"/>
          <w:highlight w:val="none"/>
        </w:rPr>
      </w:pPr>
      <w:r>
        <w:rPr>
          <w:rFonts w:hint="eastAsia" w:ascii="宋体" w:hAnsi="宋体" w:cs="宋体"/>
          <w:b w:val="0"/>
          <w:color w:val="auto"/>
          <w:sz w:val="24"/>
          <w:highlight w:val="none"/>
        </w:rPr>
        <w:br w:type="page" w:clear="all"/>
      </w:r>
      <w:bookmarkStart w:id="331" w:name="_Toc20925"/>
      <w:r/>
      <w:bookmarkStart w:id="332" w:name="_Toc99301426"/>
      <w:r>
        <w:rPr>
          <w:color w:val="auto"/>
          <w:highlight w:val="none"/>
        </w:rPr>
        <w:t xml:space="preserve">第七章</w:t>
      </w:r>
      <w:r>
        <w:rPr>
          <w:rFonts w:hint="eastAsia"/>
          <w:color w:val="auto"/>
          <w:highlight w:val="none"/>
        </w:rPr>
        <w:t xml:space="preserve">   投标文件的组成及提交须知</w:t>
      </w:r>
      <w:bookmarkEnd w:id="331"/>
      <w:r/>
      <w:r/>
    </w:p>
    <w:tbl>
      <w:tblPr>
        <w:tblStyle w:val="905"/>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jc w:val="center"/>
              <w:rPr>
                <w:rFonts w:hint="eastAsia" w:ascii="宋体" w:hAnsi="宋体" w:cs="宋体"/>
                <w:b/>
                <w:color w:val="auto"/>
                <w:szCs w:val="21"/>
                <w:highlight w:val="none"/>
              </w:rPr>
            </w:pPr>
            <w:r/>
            <w:bookmarkStart w:id="333" w:name="_Hlk152937762"/>
            <w:r>
              <w:rPr>
                <w:rFonts w:hint="eastAsia" w:ascii="宋体" w:hAnsi="宋体" w:cs="宋体"/>
                <w:b/>
                <w:color w:val="auto"/>
                <w:szCs w:val="21"/>
                <w:highlight w:val="none"/>
                <w:lang w:bidi="ar"/>
              </w:rPr>
              <w:t xml:space="preserve">名称</w:t>
            </w:r>
            <w:r/>
          </w:p>
        </w:tc>
        <w:tc>
          <w:tcPr>
            <w:tcW w:w="25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类别</w:t>
            </w:r>
            <w:r/>
          </w:p>
        </w:tc>
        <w:tc>
          <w:tcPr>
            <w:tcW w:w="6043"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trHeight w:val="215"/>
        </w:trPr>
        <w:tc>
          <w:tcPr>
            <w:tcW w:w="1150" w:type="dxa"/>
            <w:vAlign w:val="center"/>
            <w:vMerge w:val="restart"/>
            <w:textDirection w:val="lrTb"/>
            <w:noWrap w:val="false"/>
          </w:tcPr>
          <w:p>
            <w:pPr>
              <w:ind w:left="211" w:hanging="211"/>
              <w:rPr>
                <w:rFonts w:hint="eastAsia" w:ascii="宋体" w:hAnsi="宋体" w:cs="宋体"/>
                <w:color w:val="auto"/>
                <w:szCs w:val="21"/>
                <w:highlight w:val="none"/>
              </w:rPr>
            </w:pPr>
            <w:r>
              <w:rPr>
                <w:rFonts w:hint="eastAsia" w:ascii="宋体" w:hAnsi="宋体" w:cs="宋体"/>
                <w:b/>
                <w:color w:val="auto"/>
                <w:szCs w:val="21"/>
                <w:highlight w:val="none"/>
                <w:lang w:bidi="ar"/>
              </w:rPr>
              <w:t xml:space="preserve">投标文件组成</w:t>
            </w:r>
            <w:r/>
          </w:p>
        </w:tc>
        <w:tc>
          <w:tcPr>
            <w:tcW w:w="2502" w:type="dxa"/>
            <w:vAlign w:val="center"/>
            <w:vMerge w:val="restart"/>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W w:w="604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trHeight w:val="237"/>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top"/>
            <w:vMerge w:val="continue"/>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04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top"/>
            <w:vMerge w:val="continue"/>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04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top"/>
            <w:vMerge w:val="continue"/>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04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center"/>
            <w:vMerge w:val="restart"/>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W w:w="604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top"/>
            <w:vMerge w:val="continue"/>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043" w:type="dxa"/>
            <w:vAlign w:val="center"/>
            <w:textDirection w:val="lrTb"/>
            <w:noWrap w:val="false"/>
          </w:tcPr>
          <w:p>
            <w:pPr>
              <w:rPr>
                <w:rFonts w:hint="eastAsia" w:ascii="宋体" w:hAnsi="宋体" w:cs="宋体"/>
                <w:b/>
                <w:bCs/>
                <w:color w:val="auto"/>
                <w:szCs w:val="21"/>
                <w:highlight w:val="none"/>
              </w:rPr>
            </w:pPr>
            <w:r>
              <w:rPr>
                <w:rFonts w:hint="eastAsia" w:ascii="宋体" w:hAnsi="宋体" w:cs="宋体"/>
                <w:color w:val="auto"/>
                <w:szCs w:val="21"/>
                <w:highlight w:val="none"/>
              </w:rPr>
              <w:t xml:space="preserve">△法人授权书</w:t>
            </w:r>
            <w:r/>
          </w:p>
        </w:tc>
      </w:tr>
      <w:tr>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top"/>
            <w:vMerge w:val="continue"/>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04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top"/>
            <w:vMerge w:val="continue"/>
            <w:textDirection w:val="lrTb"/>
            <w:noWrap w:val="false"/>
          </w:tcPr>
          <w:p>
            <w:pPr>
              <w:jc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c>
          <w:tcPr>
            <w:tcW w:w="604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trHeight w:val="275"/>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top"/>
            <w:vMerge w:val="continue"/>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04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top"/>
            <w:vMerge w:val="continue"/>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04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b/>
                <w:bCs/>
                <w:color w:val="auto"/>
                <w:highlight w:val="none"/>
              </w:rPr>
              <w:t xml:space="preserve">如采购公告中明确专门面向中小/小微企业采购，须按要求提供中小企业声明函</w:t>
            </w:r>
            <w:r/>
          </w:p>
        </w:tc>
      </w:tr>
      <w:tr>
        <w:trPr>
          <w:trHeight w:val="315"/>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top"/>
            <w:vMerge w:val="continue"/>
            <w:textDirection w:val="lrTb"/>
            <w:noWrap w:val="false"/>
          </w:tcPr>
          <w:p>
            <w:pPr>
              <w:jc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c>
          <w:tcPr>
            <w:tcW w:w="604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trHeight w:val="90"/>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center"/>
            <w:vMerge w:val="restart"/>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W w:w="604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trHeight w:val="280"/>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top"/>
            <w:vMerge w:val="continue"/>
            <w:textDirection w:val="lrTb"/>
            <w:noWrap w:val="false"/>
          </w:tcPr>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04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top"/>
            <w:vMerge w:val="continue"/>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04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*技术偏离表、商务要求响应及偏离表</w:t>
            </w:r>
            <w:r/>
          </w:p>
        </w:tc>
      </w:tr>
      <w:tr>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top"/>
            <w:vMerge w:val="continue"/>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043"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*投标（响应）文件有效性</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根据招标文件要求填写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如招标文件无相关要求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此条可不填写</w:t>
            </w:r>
            <w:r>
              <w:rPr>
                <w:rFonts w:hint="eastAsia" w:ascii="宋体" w:hAnsi="宋体" w:cs="宋体"/>
                <w:color w:val="auto"/>
                <w:szCs w:val="21"/>
                <w:highlight w:val="none"/>
                <w:lang w:eastAsia="zh-CN"/>
              </w:rPr>
              <w:t xml:space="preserve">）</w:t>
            </w:r>
            <w:r/>
          </w:p>
        </w:tc>
      </w:tr>
      <w:tr>
        <w:trPr>
          <w:trHeight w:val="533"/>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top"/>
            <w:textDirection w:val="lrTb"/>
            <w:noWrap w:val="false"/>
          </w:tcPr>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W w:w="6043"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502" w:type="dxa"/>
            <w:vAlign w:val="top"/>
            <w:textDirection w:val="lrTb"/>
            <w:noWrap w:val="false"/>
          </w:tcPr>
          <w:p>
            <w:pPr>
              <w:ind w:firstLine="211"/>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W w:w="6043"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企业报价折扣证明（</w:t>
            </w: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rPr>
                <w:rFonts w:hint="eastAsia" w:ascii="宋体" w:hAnsi="宋体" w:cs="宋体"/>
                <w:color w:val="auto"/>
                <w:szCs w:val="21"/>
                <w:highlight w:val="none"/>
              </w:rPr>
              <w:t xml:space="preserve">）</w:t>
            </w:r>
            <w:r/>
          </w:p>
        </w:tc>
      </w:tr>
      <w:tr>
        <w:trPr/>
        <w:tc>
          <w:tcPr>
            <w:tcW w:w="1150" w:type="dxa"/>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投标文件提交须知</w:t>
            </w:r>
            <w:r/>
          </w:p>
          <w:p>
            <w:pP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8545" w:type="dxa"/>
            <w:vAlign w:val="top"/>
            <w:textDirection w:val="lrTb"/>
            <w:noWrap w:val="false"/>
          </w:tcPr>
          <w:p>
            <w:pPr>
              <w:jc w:val="left"/>
              <w:keepNext/>
              <w:spacing w:line="480" w:lineRule="exact"/>
              <w:rPr>
                <w:rFonts w:hint="eastAsia" w:ascii="宋体" w:hAnsi="宋体"/>
                <w:b/>
                <w:bCs/>
                <w:color w:val="auto"/>
                <w:szCs w:val="21"/>
                <w:highlight w:val="none"/>
                <w:u w:val="single"/>
              </w:rPr>
              <w:outlineLvl w:val="0"/>
            </w:pPr>
            <w:r/>
            <w:bookmarkStart w:id="334" w:name="_Toc28277"/>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334"/>
            <w:r/>
            <w:r/>
          </w:p>
          <w:p>
            <w:pPr>
              <w:jc w:val="left"/>
              <w:keepNext/>
              <w:spacing w:line="480" w:lineRule="exact"/>
              <w:rPr>
                <w:rFonts w:hint="eastAsia" w:ascii="宋体" w:hAnsi="宋体" w:cs="宋体"/>
                <w:b/>
                <w:bCs/>
                <w:color w:val="auto"/>
                <w:szCs w:val="21"/>
                <w:highlight w:val="none"/>
                <w:u w:val="single"/>
                <w:lang w:bidi="ar"/>
              </w:rPr>
              <w:outlineLvl w:val="0"/>
            </w:pPr>
            <w:r/>
            <w:bookmarkStart w:id="335" w:name="_Toc9233"/>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bookmarkEnd w:id="335"/>
            <w:r/>
            <w:r/>
          </w:p>
          <w:p>
            <w:pPr>
              <w:jc w:val="left"/>
              <w:keepNext/>
              <w:spacing w:line="480" w:lineRule="exact"/>
              <w:rPr>
                <w:rFonts w:hint="eastAsia" w:ascii="宋体" w:hAnsi="宋体" w:cs="宋体"/>
                <w:b/>
                <w:bCs/>
                <w:color w:val="auto"/>
                <w:szCs w:val="21"/>
                <w:highlight w:val="none"/>
                <w:u w:val="single"/>
                <w:lang w:bidi="ar"/>
              </w:rPr>
              <w:outlineLvl w:val="0"/>
            </w:pPr>
            <w:r/>
            <w:bookmarkStart w:id="336" w:name="_Toc7264"/>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36"/>
            <w:r/>
            <w:r/>
          </w:p>
          <w:p>
            <w:pPr>
              <w:jc w:val="left"/>
              <w:keepNext/>
              <w:spacing w:line="480" w:lineRule="exact"/>
              <w:rPr>
                <w:rFonts w:hint="eastAsia" w:ascii="宋体" w:hAnsi="宋体" w:cs="宋体"/>
                <w:b/>
                <w:bCs/>
                <w:color w:val="auto"/>
                <w:szCs w:val="21"/>
                <w:highlight w:val="none"/>
                <w:u w:val="single"/>
                <w:lang w:bidi="ar"/>
              </w:rPr>
              <w:outlineLvl w:val="0"/>
            </w:pPr>
            <w:r/>
            <w:bookmarkStart w:id="337" w:name="_Toc29372"/>
            <w:r>
              <w:rPr>
                <w:rFonts w:hint="eastAsia" w:ascii="宋体" w:hAnsi="宋体" w:cs="宋体"/>
                <w:b/>
                <w:bCs/>
                <w:color w:val="auto"/>
                <w:szCs w:val="21"/>
                <w:highlight w:val="none"/>
                <w:u w:val="single"/>
                <w:lang w:bidi="ar"/>
              </w:rPr>
              <w:t xml:space="preserve">4.投标文件应按照招标文件要求的格式填写，无相应内容填写可填写“无”等明确的回答。</w:t>
            </w:r>
            <w:bookmarkEnd w:id="337"/>
            <w:r/>
            <w:r/>
          </w:p>
          <w:p>
            <w:pPr>
              <w:jc w:val="left"/>
              <w:keepNext/>
              <w:spacing w:line="480" w:lineRule="exact"/>
              <w:rPr>
                <w:rFonts w:hint="eastAsia" w:ascii="宋体" w:hAnsi="宋体" w:cs="宋体"/>
                <w:b/>
                <w:color w:val="auto"/>
                <w:szCs w:val="21"/>
                <w:highlight w:val="none"/>
              </w:rPr>
              <w:outlineLvl w:val="0"/>
            </w:pPr>
            <w:r/>
            <w:bookmarkStart w:id="338" w:name="_Toc20929"/>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333"/>
            <w:r/>
            <w:bookmarkEnd w:id="338"/>
            <w:r/>
            <w:r/>
          </w:p>
        </w:tc>
      </w:tr>
    </w:tbl>
    <w:p>
      <w:pPr>
        <w:pStyle w:val="921"/>
        <w:rPr>
          <w:rFonts w:hint="eastAsia"/>
          <w:color w:val="auto"/>
          <w:highlight w:val="none"/>
        </w:rPr>
      </w:pPr>
      <w:r>
        <w:rPr>
          <w:rFonts w:hint="eastAsia"/>
          <w:color w:val="auto"/>
          <w:highlight w:val="none"/>
        </w:rPr>
      </w:r>
      <w:r/>
    </w:p>
    <w:p>
      <w:pPr>
        <w:jc w:val="center"/>
        <w:spacing w:line="360" w:lineRule="auto"/>
        <w:rPr>
          <w:b/>
          <w:color w:val="auto"/>
          <w:sz w:val="36"/>
          <w:szCs w:val="36"/>
          <w:highlight w:val="none"/>
        </w:rPr>
        <w:outlineLvl w:val="2"/>
      </w:pPr>
      <w:r>
        <w:rPr>
          <w:b/>
          <w:color w:val="auto"/>
          <w:sz w:val="36"/>
          <w:szCs w:val="36"/>
          <w:highlight w:val="none"/>
        </w:rPr>
      </w:r>
      <w:r/>
    </w:p>
    <w:p>
      <w:pPr>
        <w:pStyle w:val="902"/>
        <w:rPr>
          <w:color w:val="auto"/>
          <w:highlight w:val="none"/>
        </w:rPr>
      </w:pPr>
      <w:r/>
      <w:bookmarkStart w:id="339" w:name="_Toc28306"/>
      <w:r>
        <w:rPr>
          <w:color w:val="auto"/>
          <w:highlight w:val="none"/>
        </w:rPr>
        <w:t xml:space="preserve">第</w:t>
      </w:r>
      <w:r>
        <w:rPr>
          <w:rFonts w:hint="eastAsia"/>
          <w:color w:val="auto"/>
          <w:highlight w:val="none"/>
        </w:rPr>
        <w:t xml:space="preserve">八</w:t>
      </w:r>
      <w:r>
        <w:rPr>
          <w:color w:val="auto"/>
          <w:highlight w:val="none"/>
        </w:rPr>
        <w:t xml:space="preserve">章   投标文件格式</w:t>
      </w:r>
      <w:bookmarkEnd w:id="332"/>
      <w:r/>
      <w:bookmarkEnd w:id="339"/>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lang w:eastAsia="zh-CN"/>
        </w:rPr>
        <w:t xml:space="preserve">1.</w:t>
      </w:r>
      <w:r>
        <w:rPr>
          <w:color w:val="auto"/>
          <w:sz w:val="24"/>
          <w:highlight w:val="none"/>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lang w:eastAsia="zh-CN"/>
        </w:rPr>
        <w:t xml:space="preserve">2.</w:t>
      </w: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lang w:eastAsia="zh-CN"/>
        </w:rPr>
        <w:t xml:space="preserve">3.</w:t>
      </w:r>
      <w:r>
        <w:rPr>
          <w:color w:val="auto"/>
          <w:sz w:val="24"/>
          <w:highlight w:val="none"/>
        </w:rPr>
        <w:t xml:space="preserve">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lang w:eastAsia="zh-CN"/>
        </w:rPr>
        <w:t xml:space="preserve">4.</w:t>
      </w:r>
      <w:r>
        <w:rPr>
          <w:rFonts w:hint="eastAsia"/>
          <w:color w:val="auto"/>
          <w:sz w:val="24"/>
          <w:highlight w:val="none"/>
        </w:rPr>
        <w:t xml:space="preserve">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jc w:val="left"/>
        <w:widowControl/>
        <w:rPr>
          <w:color w:val="auto"/>
          <w:sz w:val="24"/>
          <w:highlight w:val="none"/>
        </w:rPr>
      </w:pPr>
      <w:r>
        <w:rPr>
          <w:color w:val="auto"/>
          <w:sz w:val="24"/>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ind w:firstLine="2529"/>
        <w:rPr>
          <w:b/>
          <w:color w:val="auto"/>
          <w:sz w:val="32"/>
          <w:szCs w:val="32"/>
          <w:highlight w:val="none"/>
        </w:rPr>
      </w:pPr>
      <w:r>
        <w:rPr>
          <w:b/>
          <w:color w:val="auto"/>
          <w:spacing w:val="20"/>
          <w:sz w:val="32"/>
          <w:szCs w:val="32"/>
          <w:highlight w:val="none"/>
        </w:rPr>
        <w:t xml:space="preserve">一</w:t>
      </w:r>
      <w:r>
        <w:rPr>
          <w:rFonts w:hint="eastAsia"/>
          <w:b/>
          <w:color w:val="auto"/>
          <w:spacing w:val="20"/>
          <w:sz w:val="32"/>
          <w:szCs w:val="32"/>
          <w:highlight w:val="none"/>
        </w:rPr>
        <w:t xml:space="preserve">、</w:t>
      </w:r>
      <w:r>
        <w:rPr>
          <w:b/>
          <w:color w:val="auto"/>
          <w:spacing w:val="20"/>
          <w:sz w:val="32"/>
          <w:szCs w:val="32"/>
          <w:highlight w:val="none"/>
        </w:rPr>
        <w:t xml:space="preserve">投标文件</w:t>
      </w:r>
      <w:r>
        <w:rPr>
          <w:b/>
          <w:color w:val="auto"/>
          <w:sz w:val="32"/>
          <w:szCs w:val="32"/>
          <w:highlight w:val="none"/>
        </w:rPr>
        <w:t xml:space="preserve">封面</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446"/>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ind w:firstLine="1806"/>
        <w:rPr>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 xml:space="preserve">二、开标</w:t>
      </w:r>
      <w:r>
        <w:rPr>
          <w:b/>
          <w:color w:val="auto"/>
          <w:spacing w:val="20"/>
          <w:sz w:val="32"/>
          <w:szCs w:val="32"/>
          <w:highlight w:val="none"/>
        </w:rPr>
        <w:t xml:space="preserve">一览表（实质性格式）</w:t>
      </w:r>
      <w:r/>
    </w:p>
    <w:p>
      <w:pPr>
        <w:pStyle w:val="916"/>
        <w:ind w:firstLine="482"/>
        <w:spacing w:line="360" w:lineRule="auto"/>
        <w:rPr>
          <w:rFonts w:hint="eastAsia"/>
          <w:b/>
          <w:color w:val="auto"/>
          <w:highlight w:val="none"/>
        </w:rPr>
      </w:pPr>
      <w:r>
        <w:rPr>
          <w:rFonts w:hint="eastAsia"/>
          <w:b/>
          <w:color w:val="auto"/>
          <w:highlight w:val="none"/>
        </w:rPr>
        <w:t xml:space="preserve">（一）投标人在提交投标文件时，应按照投标工具（苏采云客户端）的提示流程编制提交开标一览表，开标一览表格式以投标工具中的为准。</w:t>
      </w:r>
      <w:r/>
    </w:p>
    <w:p>
      <w:pPr>
        <w:pStyle w:val="921"/>
        <w:rPr>
          <w:rFonts w:hint="eastAsia"/>
          <w:color w:val="auto"/>
          <w:highlight w:val="none"/>
        </w:rPr>
      </w:pPr>
      <w:r>
        <w:rPr>
          <w:rFonts w:hint="eastAsia"/>
          <w:color w:val="auto"/>
          <w:highlight w:val="none"/>
        </w:rPr>
      </w:r>
      <w:r/>
    </w:p>
    <w:p>
      <w:pPr>
        <w:jc w:val="center"/>
        <w:keepLines/>
        <w:keepNext/>
        <w:spacing w:after="120" w:line="360" w:lineRule="auto"/>
        <w:widowControl/>
        <w:rPr>
          <w:b/>
          <w:color w:val="auto"/>
          <w:spacing w:val="20"/>
          <w:sz w:val="32"/>
          <w:szCs w:val="32"/>
          <w:highlight w:val="none"/>
        </w:rPr>
        <w:outlineLvl w:val="1"/>
      </w:pPr>
      <w:r>
        <w:rPr>
          <w:rFonts w:hint="eastAsia"/>
          <w:b/>
          <w:color w:val="auto"/>
          <w:spacing w:val="20"/>
          <w:sz w:val="32"/>
          <w:szCs w:val="32"/>
          <w:highlight w:val="none"/>
        </w:rPr>
        <w:t xml:space="preserve">三、报价明细表</w:t>
      </w:r>
      <w:r/>
    </w:p>
    <w:p>
      <w:pPr>
        <w:ind w:firstLine="480"/>
        <w:tabs>
          <w:tab w:val="left" w:pos="1800" w:leader="none"/>
          <w:tab w:val="left" w:pos="5580" w:leader="none"/>
        </w:tabs>
        <w:rPr>
          <w:color w:val="auto"/>
          <w:sz w:val="24"/>
          <w:highlight w:val="none"/>
        </w:rPr>
      </w:pPr>
      <w:r/>
      <w:bookmarkStart w:id="340" w:name="_Hlk149905522"/>
      <w:r>
        <w:rPr>
          <w:color w:val="auto"/>
          <w:sz w:val="24"/>
          <w:highlight w:val="none"/>
        </w:rPr>
        <w:t xml:space="preserve">项目编号：___________ 项目名称：__________报价单位：人民币元</w:t>
      </w:r>
      <w:r/>
    </w:p>
    <w:tbl>
      <w:tblPr>
        <w:tblStyle w:val="905"/>
        <w:tblW w:w="9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266"/>
        <w:gridCol w:w="734"/>
        <w:gridCol w:w="265"/>
        <w:gridCol w:w="6693"/>
        <w:gridCol w:w="266"/>
        <w:gridCol w:w="344"/>
        <w:gridCol w:w="266"/>
        <w:gridCol w:w="266"/>
      </w:tblGrid>
      <w:tr>
        <w:trPr>
          <w:trHeight w:val="630"/>
        </w:trPr>
        <w:tc>
          <w:tcPr>
            <w:shd w:val="clear" w:color="auto" w:fill="auto"/>
            <w:tcBorders>
              <w:top w:val="single" w:color="auto" w:sz="4" w:space="0"/>
              <w:left w:val="single" w:color="000000" w:sz="4" w:space="0"/>
              <w:bottom w:val="single" w:color="auto"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auto"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产品名称</w:t>
            </w:r>
            <w:r/>
          </w:p>
        </w:tc>
        <w:tc>
          <w:tcPr>
            <w:shd w:val="clear" w:color="auto" w:fill="auto"/>
            <w:tcBorders>
              <w:top w:val="single" w:color="auto" w:sz="4" w:space="0"/>
              <w:left w:val="single" w:color="000000" w:sz="4" w:space="0"/>
              <w:bottom w:val="single" w:color="auto" w:sz="4" w:space="0"/>
              <w:right w:val="single" w:color="000000" w:sz="4" w:space="0"/>
            </w:tcBorders>
            <w:tcW w:w="265"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lang w:val="en-US" w:eastAsia="zh-CN" w:bidi="ar"/>
              </w:rPr>
              <w:suppressLineNumbers w:val="0"/>
            </w:pPr>
            <w:r>
              <w:rPr>
                <w:rFonts w:hint="eastAsia" w:ascii="宋体" w:hAnsi="宋体" w:cs="宋体"/>
                <w:b/>
                <w:i w:val="0"/>
                <w:color w:val="auto"/>
                <w:sz w:val="21"/>
                <w:szCs w:val="21"/>
                <w:highlight w:val="none"/>
                <w:u w:val="none"/>
                <w:lang w:val="en-US" w:eastAsia="zh-CN" w:bidi="ar"/>
              </w:rPr>
              <w:t xml:space="preserve">品牌</w:t>
            </w:r>
            <w:r/>
          </w:p>
        </w:tc>
        <w:tc>
          <w:tcPr>
            <w:shd w:val="clear" w:color="auto" w:fill="auto"/>
            <w:tcBorders>
              <w:top w:val="single" w:color="auto" w:sz="4" w:space="0"/>
              <w:left w:val="single" w:color="000000" w:sz="4" w:space="0"/>
              <w:bottom w:val="single" w:color="auto" w:sz="4" w:space="0"/>
              <w:right w:val="single" w:color="000000" w:sz="4" w:space="0"/>
            </w:tcBorders>
            <w:tcW w:w="6693"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规格型号及技术参数</w:t>
            </w:r>
            <w:r/>
          </w:p>
        </w:tc>
        <w:tc>
          <w:tcPr>
            <w:shd w:val="clear" w:color="auto" w:fill="auto"/>
            <w:tcBorders>
              <w:top w:val="single" w:color="auto" w:sz="4" w:space="0"/>
              <w:left w:val="single" w:color="000000" w:sz="4" w:space="0"/>
              <w:bottom w:val="single" w:color="auto"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单位</w:t>
            </w:r>
            <w:r/>
          </w:p>
        </w:tc>
        <w:tc>
          <w:tcPr>
            <w:shd w:val="clear" w:color="auto" w:fill="auto"/>
            <w:tcBorders>
              <w:top w:val="single" w:color="auto" w:sz="4" w:space="0"/>
              <w:left w:val="single" w:color="000000" w:sz="4" w:space="0"/>
              <w:bottom w:val="single" w:color="auto"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数量</w:t>
            </w:r>
            <w:r/>
          </w:p>
        </w:tc>
        <w:tc>
          <w:tcPr>
            <w:shd w:val="clear" w:color="auto" w:fill="auto"/>
            <w:tcBorders>
              <w:top w:val="single" w:color="auto" w:sz="4" w:space="0"/>
              <w:left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lang w:val="en-US" w:eastAsia="zh-CN" w:bidi="ar"/>
              </w:rPr>
              <w:suppressLineNumbers w:val="0"/>
            </w:pPr>
            <w:r>
              <w:rPr>
                <w:rFonts w:hint="eastAsia" w:ascii="宋体" w:hAnsi="宋体" w:cs="宋体"/>
                <w:b/>
                <w:i w:val="0"/>
                <w:color w:val="auto"/>
                <w:sz w:val="21"/>
                <w:szCs w:val="21"/>
                <w:highlight w:val="none"/>
                <w:u w:val="none"/>
                <w:lang w:val="en-US" w:eastAsia="zh-CN" w:bidi="ar"/>
              </w:rPr>
              <w:t xml:space="preserve">单价</w:t>
            </w:r>
            <w:r/>
          </w:p>
        </w:tc>
        <w:tc>
          <w:tcPr>
            <w:shd w:val="clear" w:color="auto" w:fill="auto"/>
            <w:tcBorders>
              <w:top w:val="single" w:color="auto" w:sz="4" w:space="0"/>
              <w:left w:val="single" w:color="000000" w:sz="4" w:space="0"/>
              <w:bottom w:val="single" w:color="auto"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lang w:val="en-US" w:eastAsia="zh-CN" w:bidi="ar"/>
              </w:rPr>
              <w:suppressLineNumbers w:val="0"/>
            </w:pPr>
            <w:r>
              <w:rPr>
                <w:rFonts w:hint="eastAsia" w:ascii="宋体" w:hAnsi="宋体" w:cs="宋体"/>
                <w:b/>
                <w:i w:val="0"/>
                <w:color w:val="auto"/>
                <w:sz w:val="21"/>
                <w:szCs w:val="21"/>
                <w:highlight w:val="none"/>
                <w:u w:val="none"/>
                <w:lang w:val="en-US" w:eastAsia="zh-CN" w:bidi="ar"/>
              </w:rPr>
              <w:t xml:space="preserve">合价</w:t>
            </w:r>
            <w:r/>
          </w:p>
        </w:tc>
      </w:tr>
      <w:tr>
        <w:trPr>
          <w:trHeight w:val="285"/>
        </w:trPr>
        <w:tc>
          <w:tcPr>
            <w:shd w:val="clear" w:color="auto" w:fill="auto"/>
            <w:tcBorders>
              <w:top w:val="single" w:color="auto"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A</w:t>
            </w:r>
            <w:r/>
          </w:p>
        </w:tc>
        <w:tc>
          <w:tcPr>
            <w:shd w:val="clear" w:color="auto" w:fill="auto"/>
            <w:tcBorders>
              <w:top w:val="single" w:color="auto"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前端设备</w:t>
            </w:r>
            <w:r/>
          </w:p>
        </w:tc>
        <w:tc>
          <w:tcPr>
            <w:shd w:val="clear" w:color="auto" w:fill="auto"/>
            <w:tcBorders>
              <w:top w:val="single" w:color="auto" w:sz="4" w:space="0"/>
              <w:left w:val="single" w:color="000000" w:sz="4" w:space="0"/>
              <w:bottom w:val="single" w:color="000000" w:sz="4" w:space="0"/>
              <w:right w:val="single" w:color="000000" w:sz="4" w:space="0"/>
            </w:tcBorders>
            <w:tcW w:w="265"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6693"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266"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344"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266"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266"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r>
      <w:tr>
        <w:trPr>
          <w:trHeight w:val="2931"/>
        </w:trPr>
        <w:tc>
          <w:tcPr>
            <w:shd w:val="clear" w:color="auto" w:fill="auto"/>
            <w:tcBorders>
              <w:top w:val="single" w:color="000000" w:sz="4" w:space="0"/>
              <w:left w:val="single" w:color="000000" w:sz="4" w:space="0"/>
              <w:bottom w:val="single" w:color="auto"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400万像素全彩超枪型网络摄像机</w:t>
            </w:r>
            <w:r/>
          </w:p>
        </w:tc>
        <w:tc>
          <w:tcPr>
            <w:shd w:val="clear" w:color="auto" w:fill="auto"/>
            <w:tcBorders>
              <w:top w:val="single" w:color="000000" w:sz="4" w:space="0"/>
              <w:left w:val="single" w:color="000000" w:sz="4" w:space="0"/>
              <w:bottom w:val="single" w:color="auto" w:sz="4" w:space="0"/>
              <w:right w:val="single" w:color="000000" w:sz="4" w:space="0"/>
            </w:tcBorders>
            <w:tcW w:w="265"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6693"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1.采用不低于400万像素1/1.8英寸CMOS图像传感器</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分辨率≥2688×1520；</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2.采用定焦镜头；镜头光圈≥F1.0；镜头焦距3.6mm/6mm</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可选</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；内置不低于4颗混合补光灯；补光距离≥40m。</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3.最低照度≤0.0002lux（彩色模式）；≤0.0001lux（黑白模式）；0lux（补光灯开启）。</w:t>
            </w:r>
            <w:r/>
          </w:p>
          <w:p>
            <w:pPr>
              <w:jc w:val="left"/>
              <w:keepLines w:val="0"/>
              <w:keepNext w:val="0"/>
              <w:widowControl/>
              <w:rPr>
                <w:rFonts w:hint="eastAsia" w:ascii="宋体" w:hAnsi="宋体" w:eastAsia="宋体" w:cs="宋体"/>
                <w:b w:val="0"/>
                <w:bCs w:val="0"/>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▲4.支持超感光功能自动调节，可自动调节画面中人脸、人体目标以及环境景物的亮度、色彩饱和度、对比度、锐度</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画面信噪比不小于50dB</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色彩饱和度不小于120%。支持畸变矫正功能</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LDC</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开启畸变矫正功能后</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输出图像的几何失真、画面畸变应减小</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开启畸变矫正功能</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几何失真应小于等于9.2%。</w:t>
            </w:r>
            <w:r>
              <w:rPr>
                <w:rFonts w:hint="eastAsia" w:ascii="宋体" w:hAnsi="宋体" w:eastAsia="宋体" w:cs="宋体"/>
                <w:b w:val="0"/>
                <w:bCs w:val="0"/>
                <w:i w:val="0"/>
                <w:color w:val="auto"/>
                <w:sz w:val="20"/>
                <w:szCs w:val="20"/>
                <w:highlight w:val="none"/>
                <w:u w:val="none"/>
                <w:lang w:val="en-US" w:eastAsia="zh-CN" w:bidi="ar"/>
              </w:rPr>
              <w:t xml:space="preserve">（提供国家认可的认证机构出具的带有CMA 、CNAS标志检测报告复印件并加盖</w:t>
            </w:r>
            <w:r>
              <w:rPr>
                <w:rFonts w:hint="eastAsia" w:ascii="宋体" w:hAnsi="宋体" w:cs="宋体"/>
                <w:b w:val="0"/>
                <w:bCs w:val="0"/>
                <w:i w:val="0"/>
                <w:color w:val="auto"/>
                <w:sz w:val="20"/>
                <w:szCs w:val="20"/>
                <w:highlight w:val="none"/>
                <w:u w:val="none"/>
                <w:lang w:val="en-US" w:eastAsia="zh-CN" w:bidi="ar"/>
              </w:rPr>
              <w:t xml:space="preserve">供应商</w:t>
            </w:r>
            <w:r>
              <w:rPr>
                <w:rFonts w:hint="eastAsia" w:ascii="宋体" w:hAnsi="宋体" w:eastAsia="宋体" w:cs="宋体"/>
                <w:b w:val="0"/>
                <w:bCs w:val="0"/>
                <w:i w:val="0"/>
                <w:color w:val="auto"/>
                <w:sz w:val="20"/>
                <w:szCs w:val="20"/>
                <w:highlight w:val="none"/>
                <w:u w:val="none"/>
                <w:lang w:val="en-US" w:eastAsia="zh-CN" w:bidi="ar"/>
              </w:rPr>
              <w:t xml:space="preserve">公章）</w:t>
            </w:r>
            <w:r/>
          </w:p>
          <w:p>
            <w:pPr>
              <w:jc w:val="left"/>
              <w:keepLines w:val="0"/>
              <w:keepNext w:val="0"/>
              <w:widowControl/>
              <w:rPr>
                <w:rFonts w:hint="eastAsia" w:ascii="宋体" w:hAnsi="宋体" w:eastAsia="宋体" w:cs="宋体"/>
                <w:b w:val="0"/>
                <w:bCs w:val="0"/>
                <w:i w:val="0"/>
                <w:color w:val="auto"/>
                <w:sz w:val="20"/>
                <w:szCs w:val="20"/>
                <w:highlight w:val="none"/>
                <w:u w:val="none"/>
                <w:lang w:val="en-US" w:eastAsia="zh-CN" w:bidi="ar"/>
              </w:rPr>
              <w:suppressLineNumbers w:val="0"/>
            </w:pPr>
            <w:r>
              <w:rPr>
                <w:rFonts w:hint="eastAsia" w:ascii="宋体" w:hAnsi="宋体" w:eastAsia="宋体" w:cs="宋体"/>
                <w:b w:val="0"/>
                <w:bCs w:val="0"/>
                <w:i w:val="0"/>
                <w:color w:val="auto"/>
                <w:sz w:val="20"/>
                <w:szCs w:val="20"/>
                <w:highlight w:val="none"/>
                <w:u w:val="none"/>
                <w:lang w:val="en-US" w:eastAsia="zh-CN" w:bidi="ar"/>
              </w:rPr>
              <w:t xml:space="preserve">▲5.环境照度不高于0.5lx</w:t>
            </w:r>
            <w:r>
              <w:rPr>
                <w:rFonts w:hint="eastAsia" w:ascii="宋体" w:hAnsi="宋体" w:cs="宋体"/>
                <w:b w:val="0"/>
                <w:bCs w:val="0"/>
                <w:i w:val="0"/>
                <w:color w:val="auto"/>
                <w:sz w:val="20"/>
                <w:szCs w:val="20"/>
                <w:highlight w:val="none"/>
                <w:u w:val="none"/>
                <w:lang w:val="en-US" w:eastAsia="zh-CN" w:bidi="ar"/>
              </w:rPr>
              <w:t xml:space="preserve">，</w:t>
            </w:r>
            <w:r>
              <w:rPr>
                <w:rFonts w:hint="eastAsia" w:ascii="宋体" w:hAnsi="宋体" w:eastAsia="宋体" w:cs="宋体"/>
                <w:b w:val="0"/>
                <w:bCs w:val="0"/>
                <w:i w:val="0"/>
                <w:color w:val="auto"/>
                <w:sz w:val="20"/>
                <w:szCs w:val="20"/>
                <w:highlight w:val="none"/>
                <w:u w:val="none"/>
                <w:lang w:val="en-US" w:eastAsia="zh-CN" w:bidi="ar"/>
              </w:rPr>
              <w:t xml:space="preserve">设备开启补光灯</w:t>
            </w:r>
            <w:r>
              <w:rPr>
                <w:rFonts w:hint="eastAsia" w:ascii="宋体" w:hAnsi="宋体" w:cs="宋体"/>
                <w:b w:val="0"/>
                <w:bCs w:val="0"/>
                <w:i w:val="0"/>
                <w:color w:val="auto"/>
                <w:sz w:val="20"/>
                <w:szCs w:val="20"/>
                <w:highlight w:val="none"/>
                <w:u w:val="none"/>
                <w:lang w:val="en-US" w:eastAsia="zh-CN" w:bidi="ar"/>
              </w:rPr>
              <w:t xml:space="preserve">，</w:t>
            </w:r>
            <w:r>
              <w:rPr>
                <w:rFonts w:hint="eastAsia" w:ascii="宋体" w:hAnsi="宋体" w:eastAsia="宋体" w:cs="宋体"/>
                <w:b w:val="0"/>
                <w:bCs w:val="0"/>
                <w:i w:val="0"/>
                <w:color w:val="auto"/>
                <w:sz w:val="20"/>
                <w:szCs w:val="20"/>
                <w:highlight w:val="none"/>
                <w:u w:val="none"/>
                <w:lang w:val="en-US" w:eastAsia="zh-CN" w:bidi="ar"/>
              </w:rPr>
              <w:t xml:space="preserve">镜头上边缘出现遮挡物或环境雾霾粉尘等干扰物时</w:t>
            </w:r>
            <w:r>
              <w:rPr>
                <w:rFonts w:hint="eastAsia" w:ascii="宋体" w:hAnsi="宋体" w:cs="宋体"/>
                <w:b w:val="0"/>
                <w:bCs w:val="0"/>
                <w:i w:val="0"/>
                <w:color w:val="auto"/>
                <w:sz w:val="20"/>
                <w:szCs w:val="20"/>
                <w:highlight w:val="none"/>
                <w:u w:val="none"/>
                <w:lang w:val="en-US" w:eastAsia="zh-CN" w:bidi="ar"/>
              </w:rPr>
              <w:t xml:space="preserve">，</w:t>
            </w:r>
            <w:r>
              <w:rPr>
                <w:rFonts w:hint="eastAsia" w:ascii="宋体" w:hAnsi="宋体" w:eastAsia="宋体" w:cs="宋体"/>
                <w:b w:val="0"/>
                <w:bCs w:val="0"/>
                <w:i w:val="0"/>
                <w:color w:val="auto"/>
                <w:sz w:val="20"/>
                <w:szCs w:val="20"/>
                <w:highlight w:val="none"/>
                <w:u w:val="none"/>
                <w:lang w:val="en-US" w:eastAsia="zh-CN" w:bidi="ar"/>
              </w:rPr>
              <w:t xml:space="preserve">设备可自动减弱画面模糊现象。支持防补光过曝功能，其支持人脸优先、车牌优先、关闭3种模式</w:t>
            </w:r>
            <w:r>
              <w:rPr>
                <w:rFonts w:hint="eastAsia" w:ascii="宋体" w:hAnsi="宋体" w:cs="宋体"/>
                <w:b w:val="0"/>
                <w:bCs w:val="0"/>
                <w:i w:val="0"/>
                <w:color w:val="auto"/>
                <w:sz w:val="20"/>
                <w:szCs w:val="20"/>
                <w:highlight w:val="none"/>
                <w:u w:val="none"/>
                <w:lang w:val="en-US" w:eastAsia="zh-CN" w:bidi="ar"/>
              </w:rPr>
              <w:t xml:space="preserve">；</w:t>
            </w:r>
            <w:r>
              <w:rPr>
                <w:rFonts w:hint="eastAsia" w:ascii="宋体" w:hAnsi="宋体" w:eastAsia="宋体" w:cs="宋体"/>
                <w:b w:val="0"/>
                <w:bCs w:val="0"/>
                <w:i w:val="0"/>
                <w:color w:val="auto"/>
                <w:sz w:val="20"/>
                <w:szCs w:val="20"/>
                <w:highlight w:val="none"/>
                <w:u w:val="none"/>
                <w:lang w:val="en-US" w:eastAsia="zh-CN" w:bidi="ar"/>
              </w:rPr>
              <w:t xml:space="preserve">开启人脸优先功能</w:t>
            </w:r>
            <w:r>
              <w:rPr>
                <w:rFonts w:hint="eastAsia" w:ascii="宋体" w:hAnsi="宋体" w:cs="宋体"/>
                <w:b w:val="0"/>
                <w:bCs w:val="0"/>
                <w:i w:val="0"/>
                <w:color w:val="auto"/>
                <w:sz w:val="20"/>
                <w:szCs w:val="20"/>
                <w:highlight w:val="none"/>
                <w:u w:val="none"/>
                <w:lang w:val="en-US" w:eastAsia="zh-CN" w:bidi="ar"/>
              </w:rPr>
              <w:t xml:space="preserve">，</w:t>
            </w:r>
            <w:r>
              <w:rPr>
                <w:rFonts w:hint="eastAsia" w:ascii="宋体" w:hAnsi="宋体" w:eastAsia="宋体" w:cs="宋体"/>
                <w:b w:val="0"/>
                <w:bCs w:val="0"/>
                <w:i w:val="0"/>
                <w:color w:val="auto"/>
                <w:sz w:val="20"/>
                <w:szCs w:val="20"/>
                <w:highlight w:val="none"/>
                <w:u w:val="none"/>
                <w:lang w:val="en-US" w:eastAsia="zh-CN" w:bidi="ar"/>
              </w:rPr>
              <w:t xml:space="preserve">设备检测到人员后可自动调节补光灯的亮度</w:t>
            </w:r>
            <w:r>
              <w:rPr>
                <w:rFonts w:hint="eastAsia" w:ascii="宋体" w:hAnsi="宋体" w:cs="宋体"/>
                <w:b w:val="0"/>
                <w:bCs w:val="0"/>
                <w:i w:val="0"/>
                <w:color w:val="auto"/>
                <w:sz w:val="20"/>
                <w:szCs w:val="20"/>
                <w:highlight w:val="none"/>
                <w:u w:val="none"/>
                <w:lang w:val="en-US" w:eastAsia="zh-CN" w:bidi="ar"/>
              </w:rPr>
              <w:t xml:space="preserve">，</w:t>
            </w:r>
            <w:r>
              <w:rPr>
                <w:rFonts w:hint="eastAsia" w:ascii="宋体" w:hAnsi="宋体" w:eastAsia="宋体" w:cs="宋体"/>
                <w:b w:val="0"/>
                <w:bCs w:val="0"/>
                <w:i w:val="0"/>
                <w:color w:val="auto"/>
                <w:sz w:val="20"/>
                <w:szCs w:val="20"/>
                <w:highlight w:val="none"/>
                <w:u w:val="none"/>
                <w:lang w:val="en-US" w:eastAsia="zh-CN" w:bidi="ar"/>
              </w:rPr>
              <w:t xml:space="preserve">人员离开后补光灯恢复</w:t>
            </w:r>
            <w:r>
              <w:rPr>
                <w:rFonts w:hint="eastAsia" w:ascii="宋体" w:hAnsi="宋体" w:cs="宋体"/>
                <w:b w:val="0"/>
                <w:bCs w:val="0"/>
                <w:i w:val="0"/>
                <w:color w:val="auto"/>
                <w:sz w:val="20"/>
                <w:szCs w:val="20"/>
                <w:highlight w:val="none"/>
                <w:u w:val="none"/>
                <w:lang w:val="en-US" w:eastAsia="zh-CN" w:bidi="ar"/>
              </w:rPr>
              <w:t xml:space="preserve">；</w:t>
            </w:r>
            <w:r>
              <w:rPr>
                <w:rFonts w:hint="eastAsia" w:ascii="宋体" w:hAnsi="宋体" w:eastAsia="宋体" w:cs="宋体"/>
                <w:b w:val="0"/>
                <w:bCs w:val="0"/>
                <w:i w:val="0"/>
                <w:color w:val="auto"/>
                <w:sz w:val="20"/>
                <w:szCs w:val="20"/>
                <w:highlight w:val="none"/>
                <w:u w:val="none"/>
                <w:lang w:val="en-US" w:eastAsia="zh-CN" w:bidi="ar"/>
              </w:rPr>
              <w:t xml:space="preserve">开启车牌优先功能</w:t>
            </w:r>
            <w:r>
              <w:rPr>
                <w:rFonts w:hint="eastAsia" w:ascii="宋体" w:hAnsi="宋体" w:cs="宋体"/>
                <w:b w:val="0"/>
                <w:bCs w:val="0"/>
                <w:i w:val="0"/>
                <w:color w:val="auto"/>
                <w:sz w:val="20"/>
                <w:szCs w:val="20"/>
                <w:highlight w:val="none"/>
                <w:u w:val="none"/>
                <w:lang w:val="en-US" w:eastAsia="zh-CN" w:bidi="ar"/>
              </w:rPr>
              <w:t xml:space="preserve">，</w:t>
            </w:r>
            <w:r>
              <w:rPr>
                <w:rFonts w:hint="eastAsia" w:ascii="宋体" w:hAnsi="宋体" w:eastAsia="宋体" w:cs="宋体"/>
                <w:b w:val="0"/>
                <w:bCs w:val="0"/>
                <w:i w:val="0"/>
                <w:color w:val="auto"/>
                <w:sz w:val="20"/>
                <w:szCs w:val="20"/>
                <w:highlight w:val="none"/>
                <w:u w:val="none"/>
                <w:lang w:val="en-US" w:eastAsia="zh-CN" w:bidi="ar"/>
              </w:rPr>
              <w:t xml:space="preserve">设备检测到车辆后可自动开启补光灯并调节亮度</w:t>
            </w:r>
            <w:r>
              <w:rPr>
                <w:rFonts w:hint="eastAsia" w:ascii="宋体" w:hAnsi="宋体" w:cs="宋体"/>
                <w:b w:val="0"/>
                <w:bCs w:val="0"/>
                <w:i w:val="0"/>
                <w:color w:val="auto"/>
                <w:sz w:val="20"/>
                <w:szCs w:val="20"/>
                <w:highlight w:val="none"/>
                <w:u w:val="none"/>
                <w:lang w:val="en-US" w:eastAsia="zh-CN" w:bidi="ar"/>
              </w:rPr>
              <w:t xml:space="preserve">，</w:t>
            </w:r>
            <w:r>
              <w:rPr>
                <w:rFonts w:hint="eastAsia" w:ascii="宋体" w:hAnsi="宋体" w:eastAsia="宋体" w:cs="宋体"/>
                <w:b w:val="0"/>
                <w:bCs w:val="0"/>
                <w:i w:val="0"/>
                <w:color w:val="auto"/>
                <w:sz w:val="20"/>
                <w:szCs w:val="20"/>
                <w:highlight w:val="none"/>
                <w:u w:val="none"/>
                <w:lang w:val="en-US" w:eastAsia="zh-CN" w:bidi="ar"/>
              </w:rPr>
              <w:t xml:space="preserve">车辆离开后补光灯关闭。（提供国家认可的认证机构出具的带有CMA 、CNAS标志检测报告复印件并加盖</w:t>
            </w:r>
            <w:r>
              <w:rPr>
                <w:rFonts w:hint="eastAsia" w:ascii="宋体" w:hAnsi="宋体" w:cs="宋体"/>
                <w:b w:val="0"/>
                <w:bCs w:val="0"/>
                <w:i w:val="0"/>
                <w:color w:val="auto"/>
                <w:sz w:val="20"/>
                <w:szCs w:val="20"/>
                <w:highlight w:val="none"/>
                <w:u w:val="none"/>
                <w:lang w:val="en-US" w:eastAsia="zh-CN" w:bidi="ar"/>
              </w:rPr>
              <w:t xml:space="preserve">供应商</w:t>
            </w:r>
            <w:r>
              <w:rPr>
                <w:rFonts w:hint="eastAsia" w:ascii="宋体" w:hAnsi="宋体" w:eastAsia="宋体" w:cs="宋体"/>
                <w:b w:val="0"/>
                <w:bCs w:val="0"/>
                <w:i w:val="0"/>
                <w:color w:val="auto"/>
                <w:sz w:val="20"/>
                <w:szCs w:val="20"/>
                <w:highlight w:val="none"/>
                <w:u w:val="none"/>
                <w:lang w:val="en-US" w:eastAsia="zh-CN" w:bidi="ar"/>
              </w:rPr>
              <w:t xml:space="preserve">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6.接入标准支持ONVIF；GB/T28181；GB35114A。具有H.265、H.264、MJPEG 设置选项</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可将H.264和H.265格式设置为 Baseline/Main/HighProfile。</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7.网络接口≥1个（RJ-45网口；支持10M/100M网络数据）；供电方式支持DC12V供电， 防护等级支持≥IP67。</w:t>
            </w:r>
            <w:r/>
          </w:p>
        </w:tc>
        <w:tc>
          <w:tcPr>
            <w:shd w:val="clear" w:color="auto" w:fill="auto"/>
            <w:tcBorders>
              <w:top w:val="single" w:color="000000" w:sz="4" w:space="0"/>
              <w:left w:val="single" w:color="000000" w:sz="4" w:space="0"/>
              <w:bottom w:val="single" w:color="auto"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auto"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auto"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558"/>
        </w:trPr>
        <w:tc>
          <w:tcPr>
            <w:shd w:val="clear" w:color="auto" w:fill="auto"/>
            <w:tcBorders>
              <w:top w:val="single" w:color="auto" w:sz="4" w:space="0"/>
              <w:left w:val="single" w:color="auto" w:sz="4" w:space="0"/>
              <w:bottom w:val="single" w:color="auto" w:sz="4" w:space="0"/>
              <w:right w:val="single" w:color="auto"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400万像素红外智能球机</w:t>
            </w:r>
            <w:r/>
          </w:p>
        </w:tc>
        <w:tc>
          <w:tcPr>
            <w:shd w:val="clear" w:color="auto" w:fill="auto"/>
            <w:tcBorders>
              <w:top w:val="single" w:color="auto" w:sz="4" w:space="0"/>
              <w:left w:val="single" w:color="auto" w:sz="4" w:space="0"/>
              <w:bottom w:val="single" w:color="auto" w:sz="4" w:space="0"/>
              <w:right w:val="single" w:color="auto" w:sz="4" w:space="0"/>
            </w:tcBorders>
            <w:tcW w:w="265"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693"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1.设备采用不低于400万像素1/1.8英寸CMOS图像传感器，分辨率≥2688×1520。</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2.最低照度：彩色≤0.0005lux；黑白≤0.0001lux（补光灯开启）。</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3.采用电动变焦镜头，镜头焦距范围4.8mm～154mm；光学变倍≥32倍；数字变倍≥16倍。内置不低于4颗红外补光灯，补光距离≥150m。</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4.支持水平方向360°连续旋转，垂直方向范围-20°～90°自动翻转180°后连续监视；支持≥300个预置位，≥8条巡航路径，≥5条巡迹路径。</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5.支持绊线入侵、区域入侵、穿越围栏、徘徊检测、物品遗留、物品搬移、快速移动、停车检测、人员聚集等通用智能；支持人车分类报警；支持联动跟踪。</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6.支持人脸检测；支持优选；支持抓拍；支持上报最优的人脸抓图；支持人脸增强；支持人脸属性提取。</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7.接入标准支持ONVIF；GB/T28181；GA/T1400；GB35114A。具有H.265、H.264、MJPEG 设置选项</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可将H.264和H.265格式设置为 Baseline/Main/HighProfile。</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8.支持≥1路音频输入，≥1路音频输出，≥2路报警输入，≥1路报警输出；支持报警联动功能。供电方式支持DC24V宽电压输入；防护等级支持≥IP66，≥6000V防雷、防浪涌和防突波保护。</w:t>
            </w:r>
            <w:r/>
          </w:p>
        </w:tc>
        <w:tc>
          <w:tcPr>
            <w:shd w:val="clear" w:color="auto" w:fill="auto"/>
            <w:tcBorders>
              <w:top w:val="single" w:color="auto" w:sz="4" w:space="0"/>
              <w:left w:val="single" w:color="auto" w:sz="4" w:space="0"/>
              <w:bottom w:val="single" w:color="auto" w:sz="4" w:space="0"/>
              <w:right w:val="single" w:color="auto"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4454"/>
        </w:trPr>
        <w:tc>
          <w:tcPr>
            <w:shd w:val="clear" w:color="auto" w:fill="auto"/>
            <w:tcBorders>
              <w:top w:val="single" w:color="auto" w:sz="4" w:space="0"/>
              <w:left w:val="single" w:color="000000" w:sz="4" w:space="0"/>
              <w:bottom w:val="single" w:color="auto"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auto" w:sz="4" w:space="0"/>
              <w:left w:val="single" w:color="000000" w:sz="4" w:space="0"/>
              <w:bottom w:val="single" w:color="auto"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400万像素高空球机</w:t>
            </w:r>
            <w:r/>
          </w:p>
        </w:tc>
        <w:tc>
          <w:tcPr>
            <w:shd w:val="clear" w:color="auto" w:fill="auto"/>
            <w:tcBorders>
              <w:top w:val="single" w:color="auto" w:sz="4" w:space="0"/>
              <w:left w:val="single" w:color="000000" w:sz="4" w:space="0"/>
              <w:bottom w:val="single" w:color="auto" w:sz="4" w:space="0"/>
              <w:right w:val="single" w:color="000000" w:sz="4" w:space="0"/>
            </w:tcBorders>
            <w:tcW w:w="265"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6693"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1.设备支持内置≥3个图像传感器；可同时输出两路视频图像；细节通道采用不低于400万像素1/1.8英寸CMOS图像传感器</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全景拼接通道采用不低于双300万像素1/1.8英寸CMOS图像传感器，细节通道分辨率≥2688×1520; 全景通道分辨率≥3632×1632，支持两路拼接全景视角。</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2.最低照度：彩色≤0.0002Lux；黑白≤0.0001Lux。全景通道可输出2个镜头无缝拼接的全景图像</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拼接偏差像素不大于4个像素</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全景摄像机水平视场角不小于210°</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垂直视场角不小于90°。</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3.全景通道采用定焦镜头，镜头焦距均≤2*2.8mm；细节通道采用电动变焦镜头，镜头焦距范围5.5mm～220mm; 细节支持光学变倍≥40倍，数字变倍≥16倍。内置混合补光灯，补光距离≥200m。</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▲4.全景通道支持电动调节垂直旋转</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旋转范围支持5°~24°；细节通道支持0°~360°连续旋转</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垂直旋转范围支持-30°~+90° 。内置2个麦克风和1个扬声器</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可随样机的转动进行水平（0°~360°）、垂直（-30°~+90°）旋转不同方向语音对讲。支持通用行为分析、视频结构化、卡口抓拍、交通道路事件、抛洒物等智能模式，每个预置点可在0.5s内完成智能模式切换 。（提供国家认可的认证机构出具的带有CMA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5.支持从最小倍率变倍聚焦至距离100m处人脸目标时间不大于0.3s，抓拍图片中人脸目标像素不低于70×70；从最小倍率变倍聚焦至距离100m处车牌目标时间不大于0.3s，抓拍图片中车牌目标像素不低于150×50。（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6.全景和细节通道支持独立运行不同智能。全景支持周界防范、人群分布图等智能功能。细节通道</w:t>
            </w:r>
            <w:r>
              <w:rPr>
                <w:rFonts w:hint="eastAsia" w:ascii="宋体" w:hAnsi="宋体" w:cs="宋体"/>
                <w:i w:val="0"/>
                <w:color w:val="auto"/>
                <w:sz w:val="20"/>
                <w:szCs w:val="20"/>
                <w:highlight w:val="none"/>
                <w:u w:val="none"/>
                <w:lang w:eastAsia="zh-CN"/>
              </w:rPr>
              <w:t xml:space="preserve">支持</w:t>
            </w:r>
            <w:r>
              <w:rPr>
                <w:rFonts w:hint="eastAsia" w:ascii="宋体" w:hAnsi="宋体" w:eastAsia="宋体" w:cs="宋体"/>
                <w:i w:val="0"/>
                <w:color w:val="auto"/>
                <w:sz w:val="20"/>
                <w:szCs w:val="20"/>
                <w:highlight w:val="none"/>
                <w:u w:val="none"/>
              </w:rPr>
              <w:t xml:space="preserve">机动车、非机动车、人脸、人体跟踪抓拍；支持机动车和非机动车属性提取；支持人脸和人体属性提取。</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7.设备支持在低照度环境下，可自动调节预览场景视频画面中人脸、人体、车辆等目标及预览场景视频画面的区域曝光、亮度、色彩饱和度、对比度、锐度等。</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▲8.设备支持快速变焦功能</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从最小倍数到最大倍数的变倍时间不大于1s</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从最大倍数到最小倍数的变倍时间不大于1s。支持人群分布大模型算法，可对全景通道绘制区域内的人数进行统计、可检出不低于5000人，并可检出高度、宽度均不小于5px的人头目标。（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9.接入标准支持ONVIF；GB/T28181；GA/T1400；GB35114A。具有H.265、H.264、MJPEG 设置选项</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可将H.264和H.265格式设置为 Baseline/Main/HighProfile。</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10.支持≥1路音频输入和≥1路音频输出；内置≥7路报警输入和≥2路报警输出，支持报警联动功能。供电方式支持DC36V宽电压输入；防护等级支持≥IP67，≥8000V防雷、防浪涌和防突波保护。</w:t>
            </w:r>
            <w:r/>
          </w:p>
        </w:tc>
        <w:tc>
          <w:tcPr>
            <w:shd w:val="clear" w:color="auto" w:fill="auto"/>
            <w:tcBorders>
              <w:top w:val="single" w:color="auto" w:sz="4" w:space="0"/>
              <w:left w:val="single" w:color="000000" w:sz="4" w:space="0"/>
              <w:bottom w:val="single" w:color="auto"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p>
        </w:tc>
        <w:tc>
          <w:tcPr>
            <w:shd w:val="clear" w:color="auto" w:fill="auto"/>
            <w:tcBorders>
              <w:top w:val="single" w:color="auto" w:sz="4" w:space="0"/>
              <w:left w:val="single" w:color="000000" w:sz="4" w:space="0"/>
              <w:bottom w:val="single" w:color="auto"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496"/>
        </w:trPr>
        <w:tc>
          <w:tcPr>
            <w:shd w:val="clear" w:color="auto" w:fill="auto"/>
            <w:tcBorders>
              <w:top w:val="single" w:color="auto" w:sz="4" w:space="0"/>
              <w:left w:val="single" w:color="auto" w:sz="4" w:space="0"/>
              <w:bottom w:val="single" w:color="auto" w:sz="4" w:space="0"/>
              <w:right w:val="single" w:color="auto"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400万像素高速抓拍球机</w:t>
            </w:r>
            <w:r/>
          </w:p>
        </w:tc>
        <w:tc>
          <w:tcPr>
            <w:shd w:val="clear" w:color="auto" w:fill="auto"/>
            <w:tcBorders>
              <w:top w:val="single" w:color="auto" w:sz="4" w:space="0"/>
              <w:left w:val="single" w:color="auto" w:sz="4" w:space="0"/>
              <w:bottom w:val="single" w:color="auto" w:sz="4" w:space="0"/>
              <w:right w:val="single" w:color="auto" w:sz="4" w:space="0"/>
            </w:tcBorders>
            <w:tcW w:w="265"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693"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1.设备支持内置≥2个图像传感器；全景细节通道均支持电动云台，全景和细节通道均采用不低于400W像素1/1.8英寸CMOS传感器，全景和细节分辨率均不低于2688×1520；</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2.最低照度≤0.0002lux（彩色模式）；≤0.0001lux（黑白模式）；0lux（补光灯开启）。</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3.全景和细节均采用电动变焦镜头，全景焦距范围8mm～32mm；细节焦距范围7mm～175mm，细节支持25倍光学变倍。设备内置补光灯≥10颗；全景补光距离≥30m；细节补光距离≥150m。</w:t>
            </w:r>
            <w:r/>
          </w:p>
          <w:p>
            <w:pPr>
              <w:jc w:val="left"/>
              <w:keepLines w:val="0"/>
              <w:keepNext w:val="0"/>
              <w:widowControl/>
              <w:rPr>
                <w:rFonts w:hint="eastAsia" w:ascii="宋体" w:hAnsi="宋体" w:eastAsia="宋体" w:cs="宋体"/>
                <w:b w:val="0"/>
                <w:bCs w:val="0"/>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▲4.设备全景、细节两个通道均支持远程云台控制及布控功能，可分时复用。设备可输出全景画面和细节画面</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所有摄像机可通过浏览器设置云台转动位置。全景摄像机支持水平0°~360°连续旋转</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垂直角度：0°~30°；细节摄像机水平角度：0°~340°</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垂直角度：-10°~180°</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旋转过程中无水平翻转。设备细节镜头内置GMR磁场传感器，当镜头群组</w:t>
            </w:r>
            <w:r>
              <w:rPr>
                <w:rFonts w:hint="eastAsia" w:ascii="宋体" w:hAnsi="宋体" w:cs="宋体"/>
                <w:i w:val="0"/>
                <w:color w:val="auto"/>
                <w:sz w:val="20"/>
                <w:szCs w:val="20"/>
                <w:highlight w:val="none"/>
                <w:u w:val="none"/>
                <w:lang w:val="en-US" w:eastAsia="zh-CN" w:bidi="ar"/>
              </w:rPr>
              <w:t xml:space="preserve">受到</w:t>
            </w:r>
            <w:r>
              <w:rPr>
                <w:rFonts w:hint="eastAsia" w:ascii="宋体" w:hAnsi="宋体" w:eastAsia="宋体" w:cs="宋体"/>
                <w:i w:val="0"/>
                <w:color w:val="auto"/>
                <w:sz w:val="20"/>
                <w:szCs w:val="20"/>
                <w:highlight w:val="none"/>
                <w:u w:val="none"/>
                <w:lang w:val="en-US" w:eastAsia="zh-CN" w:bidi="ar"/>
              </w:rPr>
              <w:t xml:space="preserve">外力作用发生偏移时可自动复位</w:t>
            </w:r>
            <w:r>
              <w:rPr>
                <w:rFonts w:hint="eastAsia" w:ascii="宋体" w:hAnsi="宋体" w:eastAsia="宋体" w:cs="宋体"/>
                <w:b w:val="0"/>
                <w:bCs w:val="0"/>
                <w:i w:val="0"/>
                <w:color w:val="auto"/>
                <w:sz w:val="20"/>
                <w:szCs w:val="20"/>
                <w:highlight w:val="none"/>
                <w:u w:val="none"/>
                <w:lang w:val="en-US" w:eastAsia="zh-CN" w:bidi="ar"/>
              </w:rPr>
              <w:t xml:space="preserve">。（提供国家认可的认证机构出具的带有CMA 、CNAS标志检测报告复印件并加盖</w:t>
            </w:r>
            <w:r>
              <w:rPr>
                <w:rFonts w:hint="eastAsia" w:ascii="宋体" w:hAnsi="宋体" w:cs="宋体"/>
                <w:b w:val="0"/>
                <w:bCs w:val="0"/>
                <w:i w:val="0"/>
                <w:color w:val="auto"/>
                <w:sz w:val="20"/>
                <w:szCs w:val="20"/>
                <w:highlight w:val="none"/>
                <w:u w:val="none"/>
                <w:lang w:val="en-US" w:eastAsia="zh-CN" w:bidi="ar"/>
              </w:rPr>
              <w:t xml:space="preserve">供应商</w:t>
            </w:r>
            <w:r>
              <w:rPr>
                <w:rFonts w:hint="eastAsia" w:ascii="宋体" w:hAnsi="宋体" w:eastAsia="宋体" w:cs="宋体"/>
                <w:b w:val="0"/>
                <w:bCs w:val="0"/>
                <w:i w:val="0"/>
                <w:color w:val="auto"/>
                <w:sz w:val="20"/>
                <w:szCs w:val="20"/>
                <w:highlight w:val="none"/>
                <w:u w:val="none"/>
                <w:lang w:val="en-US" w:eastAsia="zh-CN" w:bidi="ar"/>
              </w:rPr>
              <w:t xml:space="preserve">公章）</w:t>
            </w:r>
            <w:r/>
          </w:p>
          <w:p>
            <w:pPr>
              <w:jc w:val="left"/>
              <w:keepLines w:val="0"/>
              <w:keepNext w:val="0"/>
              <w:widowControl/>
              <w:rPr>
                <w:rFonts w:hint="eastAsia" w:ascii="宋体" w:hAnsi="宋体" w:eastAsia="宋体" w:cs="宋体"/>
                <w:b w:val="0"/>
                <w:bCs w:val="0"/>
                <w:i w:val="0"/>
                <w:color w:val="auto"/>
                <w:sz w:val="20"/>
                <w:szCs w:val="20"/>
                <w:highlight w:val="none"/>
                <w:u w:val="none"/>
                <w:lang w:val="en-US" w:eastAsia="zh-CN" w:bidi="ar"/>
              </w:rPr>
              <w:suppressLineNumbers w:val="0"/>
            </w:pPr>
            <w:r>
              <w:rPr>
                <w:rFonts w:hint="eastAsia" w:ascii="宋体" w:hAnsi="宋体" w:eastAsia="宋体" w:cs="宋体"/>
                <w:b w:val="0"/>
                <w:bCs w:val="0"/>
                <w:i w:val="0"/>
                <w:color w:val="auto"/>
                <w:sz w:val="20"/>
                <w:szCs w:val="20"/>
                <w:highlight w:val="none"/>
                <w:u w:val="none"/>
                <w:lang w:val="en-US" w:eastAsia="zh-CN" w:bidi="ar"/>
              </w:rPr>
              <w:t xml:space="preserve">5.设备支持机动车、非机动车、人脸、人体跟踪抓拍；支持机动车和非机动车属性提取；支持人脸和人体属性提取。</w:t>
            </w:r>
            <w:r/>
          </w:p>
          <w:p>
            <w:pPr>
              <w:jc w:val="left"/>
              <w:keepLines w:val="0"/>
              <w:keepNext w:val="0"/>
              <w:widowControl/>
              <w:rPr>
                <w:rFonts w:hint="eastAsia" w:ascii="宋体" w:hAnsi="宋体" w:eastAsia="宋体" w:cs="宋体"/>
                <w:b w:val="0"/>
                <w:bCs w:val="0"/>
                <w:i w:val="0"/>
                <w:color w:val="auto"/>
                <w:sz w:val="20"/>
                <w:szCs w:val="20"/>
                <w:highlight w:val="none"/>
                <w:u w:val="none"/>
                <w:lang w:val="en-US" w:eastAsia="zh-CN" w:bidi="ar"/>
              </w:rPr>
              <w:suppressLineNumbers w:val="0"/>
            </w:pPr>
            <w:r>
              <w:rPr>
                <w:rFonts w:hint="eastAsia" w:ascii="宋体" w:hAnsi="宋体" w:eastAsia="宋体" w:cs="宋体"/>
                <w:b w:val="0"/>
                <w:bCs w:val="0"/>
                <w:i w:val="0"/>
                <w:color w:val="auto"/>
                <w:sz w:val="20"/>
                <w:szCs w:val="20"/>
                <w:highlight w:val="none"/>
                <w:u w:val="none"/>
                <w:lang w:val="en-US" w:eastAsia="zh-CN" w:bidi="ar"/>
              </w:rPr>
              <w:t xml:space="preserve">6.支持独立态联动态双模式；独立态模式，全景细节均支持同时独立运行视频结构化、人脸检测等多种智能；联动态模式，全景支持视频结构化联动细节人员抓拍及属性提取；全景支持周界检测联动细节跟踪及目标抓拍属性提取。</w:t>
            </w:r>
            <w:r/>
          </w:p>
          <w:p>
            <w:pPr>
              <w:jc w:val="left"/>
              <w:keepLines w:val="0"/>
              <w:keepNext w:val="0"/>
              <w:widowControl/>
              <w:rPr>
                <w:rFonts w:hint="eastAsia" w:ascii="宋体" w:hAnsi="宋体" w:eastAsia="宋体" w:cs="宋体"/>
                <w:b w:val="0"/>
                <w:bCs w:val="0"/>
                <w:i w:val="0"/>
                <w:color w:val="auto"/>
                <w:sz w:val="20"/>
                <w:szCs w:val="20"/>
                <w:highlight w:val="none"/>
                <w:u w:val="none"/>
                <w:lang w:val="en-US" w:eastAsia="zh-CN" w:bidi="ar"/>
              </w:rPr>
              <w:suppressLineNumbers w:val="0"/>
            </w:pPr>
            <w:r>
              <w:rPr>
                <w:rFonts w:hint="eastAsia" w:ascii="宋体" w:hAnsi="宋体" w:eastAsia="宋体" w:cs="宋体"/>
                <w:b w:val="0"/>
                <w:bCs w:val="0"/>
                <w:i w:val="0"/>
                <w:color w:val="auto"/>
                <w:sz w:val="20"/>
                <w:szCs w:val="20"/>
                <w:highlight w:val="none"/>
                <w:u w:val="none"/>
                <w:lang w:val="en-US" w:eastAsia="zh-CN" w:bidi="ar"/>
              </w:rPr>
              <w:t xml:space="preserve">▲7.设备支持细节镜头从最小倍变倍聚焦至设备100m处人脸目标时间不大于0.3s，抓拍图片中人脸目标像素不低于70×70；从最小倍变倍聚焦至设备100m处车牌目标时间不大于0.3s，抓拍图片中车牌目标像素不低于150×50。设备支持手动或自动启动雨刷功能。（提供国家认可的认证机构出具的带有CMA 、CNAS标志检测报告复印件并加盖</w:t>
            </w:r>
            <w:r>
              <w:rPr>
                <w:rFonts w:hint="eastAsia" w:ascii="宋体" w:hAnsi="宋体" w:cs="宋体"/>
                <w:b w:val="0"/>
                <w:bCs w:val="0"/>
                <w:i w:val="0"/>
                <w:color w:val="auto"/>
                <w:sz w:val="20"/>
                <w:szCs w:val="20"/>
                <w:highlight w:val="none"/>
                <w:u w:val="none"/>
                <w:lang w:val="en-US" w:eastAsia="zh-CN" w:bidi="ar"/>
              </w:rPr>
              <w:t xml:space="preserve">供应商</w:t>
            </w:r>
            <w:r>
              <w:rPr>
                <w:rFonts w:hint="eastAsia" w:ascii="宋体" w:hAnsi="宋体" w:eastAsia="宋体" w:cs="宋体"/>
                <w:b w:val="0"/>
                <w:bCs w:val="0"/>
                <w:i w:val="0"/>
                <w:color w:val="auto"/>
                <w:sz w:val="20"/>
                <w:szCs w:val="20"/>
                <w:highlight w:val="none"/>
                <w:u w:val="none"/>
                <w:lang w:val="en-US" w:eastAsia="zh-CN" w:bidi="ar"/>
              </w:rPr>
              <w:t xml:space="preserve">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8.接入标准支持ONVIF；GB/T28181；GA/T1400；GB35114A。具有H.265、H.264、MJPEG 设置选项</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可将H.264和H.265格式设置为 Baseline/Main/HighProfile。</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9. 供电方式支持DC36V宽电压输入， 防护等级支持≥IP67,TVS 8000V防雷、防浪涌和防突波保护。</w:t>
            </w:r>
            <w:r/>
          </w:p>
        </w:tc>
        <w:tc>
          <w:tcPr>
            <w:shd w:val="clear" w:color="auto" w:fill="auto"/>
            <w:tcBorders>
              <w:top w:val="single" w:color="auto" w:sz="4" w:space="0"/>
              <w:left w:val="single" w:color="auto" w:sz="4" w:space="0"/>
              <w:bottom w:val="single" w:color="auto" w:sz="4" w:space="0"/>
              <w:right w:val="single" w:color="auto"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503"/>
        </w:trPr>
        <w:tc>
          <w:tcPr>
            <w:shd w:val="clear" w:color="auto" w:fill="auto"/>
            <w:tcBorders>
              <w:top w:val="single" w:color="auto" w:sz="4" w:space="0"/>
              <w:left w:val="single" w:color="auto" w:sz="4" w:space="0"/>
              <w:bottom w:val="single" w:color="auto" w:sz="4" w:space="0"/>
              <w:right w:val="single" w:color="auto"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400W双通道全结构化摄像机</w:t>
            </w:r>
            <w:r/>
          </w:p>
        </w:tc>
        <w:tc>
          <w:tcPr>
            <w:shd w:val="clear" w:color="auto" w:fill="auto"/>
            <w:tcBorders>
              <w:top w:val="single" w:color="auto" w:sz="4" w:space="0"/>
              <w:left w:val="single" w:color="auto" w:sz="4" w:space="0"/>
              <w:bottom w:val="single" w:color="auto" w:sz="4" w:space="0"/>
              <w:right w:val="single" w:color="auto" w:sz="4" w:space="0"/>
            </w:tcBorders>
            <w:tcW w:w="265"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693"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1.设备支持内置≥2个图像传感器；全景和细节通道均采用不低于400W像素1/1.8英寸CMOS图像传感器，分辨率均支持≥2688×1520。</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2.最低照度：彩色≤0.0002lux；黑白≤0.0001lux；0lux（补光灯开启）。</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3.全景通道采用定焦镜头；镜头焦距≤3.6mm</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细节通道采用电动变焦镜头，镜头范围8mm～32mm。全景通道内置≥2颗混合补光灯，细节通道内置≥3颗混合补光灯</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补光距离≥100m</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人脸检测距离≥15m。</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4.细节通道支持机动车、非机动车、人脸、人体跟踪抓拍；支持机动车和非机动车属性提取；支持人脸和人体属性提取。</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▲5.设备可通过浏览器自定义旋转角度</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可一键调节云台至设置的角度。支持场景大模型算法研判</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当场景自定义选择环境自适应选项时</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可根据环境亮度变化自动进行白天/夜晚的配置切换</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白天/夜晚的图像配置包含宽动态、曝光、增益等参数。（提供国家认可的认证机构出具的带有CMA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▲6.全景通道支持光圈F≥1.0。设备支持聚焦目标可设置为混合模式或者人脸模式</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当画面中无参考人体目标进行自动聚焦时</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选择混合聚焦</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应保证画面整体清晰</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切换为人脸模式聚焦时</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应根据画面场景自动调整聚焦策略</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应优先保证抓拍人脸清晰度。（提供国家认可的认证机构出具的带有CMA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▲7.设备在环境光照度低于50lx且同一画面中</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可同时对不同速度、明亮度、反光度的行人、非机动车、机动车分类曝光</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可实时检测、跟踪、抓拍行进的行人人脸、人体、非机动车及车上人员、机动车车牌、机动车</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可识别人脸及车牌号码</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抓拍的人脸和车牌号码图片应清晰可辨</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无过曝、过暗情况。（提供国家认可的认证机构出具的带有CMA 、CNAS标志检测报告复印件并加盖供应商公章）</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8.全景摄像机与细节摄像机均支持独立电动云台；全景摄像机</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垂直旋转范围</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-5°~30°，水平旋转范围</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0°~355°；细节摄像机</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垂直旋转范围</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-5°~30°。</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9.接入标准支持ONVIF；GB/T28181；GA/T1400；GB35114A。具有H.265、H.264、MJPEG 设置选项</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可将H.264和H.265格式设置为 Baseline/Main/HighProfile。</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10.支持内置双麦克风，支持内置扬声器；支持≥1个（RJ-45网口，支持10M/100M/1000M 网络数据）；供电方式支持DC12V；防护等级支持≥IP67。</w:t>
            </w:r>
            <w:r/>
          </w:p>
        </w:tc>
        <w:tc>
          <w:tcPr>
            <w:shd w:val="clear" w:color="auto" w:fill="auto"/>
            <w:tcBorders>
              <w:top w:val="single" w:color="auto" w:sz="4" w:space="0"/>
              <w:left w:val="single" w:color="auto" w:sz="4" w:space="0"/>
              <w:bottom w:val="single" w:color="auto" w:sz="4" w:space="0"/>
              <w:right w:val="single" w:color="auto"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242</w:t>
            </w:r>
            <w:r/>
          </w:p>
        </w:tc>
        <w:tc>
          <w:tcPr>
            <w:shd w:val="clear" w:color="auto" w:fill="auto"/>
            <w:tcBorders>
              <w:top w:val="single" w:color="auto" w:sz="4" w:space="0"/>
              <w:left w:val="single" w:color="auto" w:sz="4" w:space="0"/>
              <w:bottom w:val="single" w:color="auto" w:sz="4" w:space="0"/>
              <w:right w:val="single" w:color="auto"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3693"/>
        </w:trPr>
        <w:tc>
          <w:tcPr>
            <w:shd w:val="clear" w:color="auto" w:fill="auto"/>
            <w:tcBorders>
              <w:top w:val="single" w:color="auto"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p>
        </w:tc>
        <w:tc>
          <w:tcPr>
            <w:shd w:val="clear" w:color="auto" w:fill="auto"/>
            <w:tcBorders>
              <w:top w:val="single" w:color="auto"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800W双通道全结构化摄像机</w:t>
            </w:r>
            <w:r/>
          </w:p>
        </w:tc>
        <w:tc>
          <w:tcPr>
            <w:shd w:val="clear" w:color="auto" w:fill="auto"/>
            <w:tcBorders>
              <w:top w:val="single" w:color="auto" w:sz="4" w:space="0"/>
              <w:left w:val="single" w:color="000000" w:sz="4" w:space="0"/>
              <w:right w:val="single" w:color="000000" w:sz="4" w:space="0"/>
            </w:tcBorders>
            <w:tcW w:w="265"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auto" w:sz="4" w:space="0"/>
              <w:left w:val="single" w:color="000000" w:sz="4" w:space="0"/>
              <w:right w:val="single" w:color="000000" w:sz="4" w:space="0"/>
            </w:tcBorders>
            <w:tcW w:w="6693"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1.设备支持内置≥3个图像传感器，可同时输出两路视频图像，细节通道采用不低于800万像素1/1.2英寸CMOS图像传感器</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全景拼接通道采用不低于双400万像素1/2.5英寸CMOS图像传感器；细节通道分辨率≥3840×2160; 全景通道分辨率≥4096×2104，支持两路拼接全景视角。</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2.最低照度：彩色≤0.0002lx； 黑白≤0.0001lx；细节通道采用电动变焦镜头，镜头焦距范围10</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50mm; 全景通道采用定焦镜头，镜头焦距均≤2*3.6mm。内置混合补光灯，补光距离≥100m，人脸检测距离≥20m。</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3.细节通道支持机动车、非机动车、人脸、人体跟踪抓拍；支持机动车和非机动车属性提取；支持人脸和人体属性提取。</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4.细节通道广角端镜头光圈不小于F1.2。全景通道水平视场角不低于180°</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垂直视场角不低于95°。内置不低于7颗补光灯</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补光灯开启后</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无明显波纹状、圆环状、麻点状、条纹状及不规则亮斑。支持一键预置位功能</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可通过web一键控制设备通道1</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全景</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云台转到指定位置</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并具有平面效果图展示。具有景深拓展模式选项</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在相同图像参数、光圈设置的情况下</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开启景深拓展功能</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可使设备景深变大</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画面内景象保持清晰</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使设备景深增加至50m。</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5.双通道均支持独立电动云台</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全景通道垂直旋转范围不小于-5°~45°；水平旋转范围不小于0°~355°；通道2</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细节</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垂直旋转范围不小于-5°~30°。设备机身外壳内嵌水平仪</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可检测设备的水平程度。云台转动至最大角度时</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预览界面云台控制按钮会闪红并弹窗提示。通道2细节内置景深编码模块</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可通过景深编码模块进行一键景深扩展调节</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调节时间&lt;1s。</w:t>
            </w:r>
            <w:r/>
          </w:p>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t xml:space="preserve">6.接入标准支持ONVIF；GB/T28181；GA/T1400；GB35114A。具有H.265、H.264、MJPEG 设置选项</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可将H.264和H.265格式设置为 Baseline/Main/HighProfile。</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7.支持内置≥2个麦克风，内置≥1个扬声器；网络接口≥1个（RJ-45网口，支持10M/100M/1000M 网络数据）；供电方式支持DC12V供电；防护等级支持≥IP67。</w:t>
            </w:r>
            <w:r/>
          </w:p>
        </w:tc>
        <w:tc>
          <w:tcPr>
            <w:shd w:val="clear" w:color="auto" w:fill="auto"/>
            <w:tcBorders>
              <w:top w:val="single" w:color="auto"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270</w:t>
            </w:r>
            <w:r/>
          </w:p>
        </w:tc>
        <w:tc>
          <w:tcPr>
            <w:shd w:val="clear" w:color="auto" w:fill="auto"/>
            <w:tcBorders>
              <w:top w:val="single" w:color="auto"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auto"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监控专用电源</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户外防水DC12V,3A</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安装万向节</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三维万向节，金属镀锌喷塑，螺丝采用不锈钢</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前端摄像机连接线缆</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设备箱至摄像机连接线，电源线、六类网线、信号线等，含套管</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室外挂杆箱</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304不锈钢定制，厚度1.0，380*410*220，喷塑印公安专用字样，用于电杆及户外接线放置传输设备及电源控制保护装置，内含：空开，防雷，电源插排，接地排等。包含安装包箍，借杆安装要求设备箱后背离开电杆15cm以上。</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高空摄像机安装支架</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金属定制，整体镀锌喷塑，管材直径≥75mm，摄像机出墙长度≥1000mm，制作不低于3种防坠落防护。</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摄像机安装横臂</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金属定制，0.6</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1.5米，管材直径≥75mm，整体热镀锌喷塑，含安装抱箍</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6米摄像机安装立杆</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杆高6米，壁厚5mm。底盘法兰￠420×10。底部为￠160 mm，</w:t>
            </w:r>
            <w:r>
              <w:rPr>
                <w:rFonts w:hint="eastAsia" w:ascii="宋体" w:hAnsi="宋体" w:cs="宋体"/>
                <w:i w:val="0"/>
                <w:color w:val="auto"/>
                <w:sz w:val="20"/>
                <w:szCs w:val="20"/>
                <w:highlight w:val="none"/>
                <w:u w:val="none"/>
                <w:lang w:val="en-US" w:eastAsia="zh-CN" w:bidi="ar"/>
              </w:rPr>
              <w:t xml:space="preserve">顶部</w:t>
            </w:r>
            <w:r>
              <w:rPr>
                <w:rFonts w:hint="eastAsia" w:ascii="宋体" w:hAnsi="宋体" w:eastAsia="宋体" w:cs="宋体"/>
                <w:i w:val="0"/>
                <w:color w:val="auto"/>
                <w:sz w:val="20"/>
                <w:szCs w:val="20"/>
                <w:highlight w:val="none"/>
                <w:u w:val="none"/>
                <w:lang w:val="en-US" w:eastAsia="zh-CN" w:bidi="ar"/>
              </w:rPr>
              <w:t xml:space="preserve">为￠110 mm整体热浸锌，喷塑。包含防雷接地设备。</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6米立杆基础</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基础尺寸：600*600*800，包含防雷接地及基础地笼开挖、混凝土浇筑和土方清运及绿化恢复。</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4米摄像机安装立杆</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杆高4米壁厚4mm。底盘法兰￠320×10。管径为￠140 mm，整体热浸锌，喷塑。</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4米立杆基础</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基础尺寸：500*500*600，包含防雷接地及基础地笼开挖、混凝土浇筑和土方清运及绿化恢复。</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标识标牌</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标志牌外框规格为600*400mm，铝板四周翻折10mm框边，背面采用50mm铝型材，铝板与背面铝型材采用焊接连接，焊缝打磨平滑；所有结构的焊接必须满足国家行业标准，标志牌底板采用2mm厚铝板，没有拼接，是整块成形，牌面反光膜选用工程级反光膜。</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安装所需五金件、标签、套管、水晶头等。</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传输设备及线路</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工业级光纤汇聚交换机</w:t>
            </w:r>
            <w:r/>
          </w:p>
        </w:tc>
        <w:tc>
          <w:tcPr>
            <w:shd w:val="clear" w:color="auto" w:fill="auto"/>
            <w:tcBorders>
              <w:top w:val="single" w:color="000000" w:sz="4" w:space="0"/>
              <w:left w:val="single" w:color="000000" w:sz="4" w:space="0"/>
              <w:right w:val="single" w:color="000000" w:sz="4" w:space="0"/>
            </w:tcBorders>
            <w:tcW w:w="265"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6693"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支持24个100Base-X FC/ST/SC光口</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单模单纤20km</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和≧2个千兆COMBO光电复用口，交换容量196Gbps，全线速转发，MAC地址8K，支持环网冗余技术 </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自愈时间&lt;20ms</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支持SNMP/IGMP/RMON等协议，满足IEEE802.1/IEEE802.3协议标准，支持VLAN，支持多种网络管理功能：端口镜像、端口隔离、端口汇聚，支持广播风暴抑制、流量控制、组播，支持QOS，1U机架式，国标三插电源接入AC100~240V。含24个百兆光模块。</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▲具备光电复用汇聚交换机软件相关著作权证书，提供证书复印件并加盖供应商公章；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前端增加端口交换机</w:t>
            </w:r>
            <w:r/>
          </w:p>
        </w:tc>
        <w:tc>
          <w:tcPr>
            <w:shd w:val="clear" w:color="auto" w:fill="auto"/>
            <w:tcBorders>
              <w:top w:val="single" w:color="000000" w:sz="4" w:space="0"/>
              <w:left w:val="single" w:color="000000" w:sz="4" w:space="0"/>
              <w:right w:val="single" w:color="000000" w:sz="4" w:space="0"/>
            </w:tcBorders>
            <w:tcW w:w="265"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6693"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支持5个10/100Base-X电口，IP40保护等级，全线速转发，符合EMC工业四级要求，工作温度-40~85℃，不含光模块。</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▲具备工业交换机软件相关著作权证书，提供证书复印件并加盖供应商公章；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前端工业级以太网光纤收发器</w:t>
            </w:r>
            <w:r/>
          </w:p>
        </w:tc>
        <w:tc>
          <w:tcPr>
            <w:shd w:val="clear" w:color="auto" w:fill="auto"/>
            <w:tcBorders>
              <w:top w:val="single" w:color="000000" w:sz="4" w:space="0"/>
              <w:left w:val="single" w:color="000000" w:sz="4" w:space="0"/>
              <w:right w:val="single" w:color="000000" w:sz="4" w:space="0"/>
            </w:tcBorders>
            <w:tcW w:w="265"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6693"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支持4个10/100Base-X电口和1个100Base-X FC/ST/SC光口</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单模单纤20kmSC</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，IP40保护等级，全线速转发，符合EMC工业四级要求，工作温度-40~85℃，含一只20公里百兆光模块。</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▲具备光纤收发器软件相关著作权证书，提供证书复印件并加盖供应商公章；</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▲根据《光纤收发器测试方式》和《光纤收发器技术要求》检验依据，接收灵敏度≦-36dBm（需提供国家权威机构或其下属机构出具的检测报告证明，提供复印件并加盖供应商公章）。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千兆光纤模块</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val="en-US" w:eastAsia="zh-CN" w:bidi="ar"/>
              </w:rPr>
              <w:t xml:space="preserve">千兆</w:t>
            </w:r>
            <w:r>
              <w:rPr>
                <w:rFonts w:hint="eastAsia" w:ascii="宋体" w:hAnsi="宋体" w:eastAsia="宋体" w:cs="宋体"/>
                <w:i w:val="0"/>
                <w:color w:val="auto"/>
                <w:sz w:val="20"/>
                <w:szCs w:val="20"/>
                <w:highlight w:val="none"/>
                <w:u w:val="none"/>
                <w:lang w:val="en-US" w:eastAsia="zh-CN" w:bidi="ar"/>
              </w:rPr>
              <w:t xml:space="preserve">光模块-SFP-GE-单模模块</w:t>
            </w:r>
            <w:r>
              <w:rPr>
                <w:rFonts w:hint="eastAsia" w:ascii="宋体" w:hAnsi="宋体" w:cs="宋体"/>
                <w:i w:val="0"/>
                <w:color w:val="auto"/>
                <w:sz w:val="20"/>
                <w:szCs w:val="20"/>
                <w:highlight w:val="none"/>
                <w:u w:val="none"/>
                <w:lang w:val="en-US" w:eastAsia="zh-CN" w:bidi="ar"/>
              </w:rPr>
              <w:t xml:space="preserve">（</w:t>
            </w:r>
            <w:r>
              <w:rPr>
                <w:rFonts w:hint="eastAsia" w:ascii="宋体" w:hAnsi="宋体" w:eastAsia="宋体" w:cs="宋体"/>
                <w:i w:val="0"/>
                <w:color w:val="auto"/>
                <w:sz w:val="20"/>
                <w:szCs w:val="20"/>
                <w:highlight w:val="none"/>
                <w:u w:val="none"/>
                <w:lang w:val="en-US" w:eastAsia="zh-CN" w:bidi="ar"/>
              </w:rPr>
              <w:t xml:space="preserve">1310nm,20km,LC</w:t>
            </w:r>
            <w:r>
              <w:rPr>
                <w:rFonts w:hint="eastAsia" w:ascii="宋体" w:hAnsi="宋体" w:cs="宋体"/>
                <w:i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FC-FC接口/5米 单模</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LC-LC接口/5米 单模</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1U机架式</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中心设备及算法</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r>
      <w:tr>
        <w:trPr>
          <w:trHeight w:val="1779"/>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视频存储</w:t>
            </w:r>
            <w:r/>
          </w:p>
        </w:tc>
        <w:tc>
          <w:tcPr>
            <w:shd w:val="clear" w:color="auto" w:fill="auto"/>
            <w:tcBorders>
              <w:top w:val="single" w:color="000000" w:sz="4" w:space="0"/>
              <w:left w:val="single" w:color="000000" w:sz="4" w:space="0"/>
              <w:right w:val="single" w:color="000000" w:sz="4" w:space="0"/>
            </w:tcBorders>
            <w:tcW w:w="265"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6693"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系统架构：</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▲全对称架构，业务负载均衡，节点故障业务自迁移。提供产品彩页扫描件并加盖</w:t>
            </w:r>
            <w:r>
              <w:rPr>
                <w:rFonts w:hint="eastAsia" w:ascii="宋体" w:hAnsi="宋体" w:cs="宋体"/>
                <w:i w:val="0"/>
                <w:color w:val="auto"/>
                <w:sz w:val="20"/>
                <w:szCs w:val="20"/>
                <w:highlight w:val="none"/>
                <w:u w:val="none"/>
                <w:lang w:eastAsia="zh-CN"/>
              </w:rPr>
              <w:t xml:space="preserve">供应商</w:t>
            </w:r>
            <w:r>
              <w:rPr>
                <w:rFonts w:hint="eastAsia" w:ascii="宋体" w:hAnsi="宋体" w:eastAsia="宋体" w:cs="宋体"/>
                <w:i w:val="0"/>
                <w:color w:val="auto"/>
                <w:sz w:val="20"/>
                <w:szCs w:val="20"/>
                <w:highlight w:val="none"/>
                <w:u w:val="none"/>
              </w:rPr>
              <w:t xml:space="preserve">公章；</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▲内置流媒体服务，支持视频流直存，无需额外流媒体存储转发服务器。提供产品彩页扫描件并加盖</w:t>
            </w:r>
            <w:r>
              <w:rPr>
                <w:rFonts w:hint="eastAsia" w:ascii="宋体" w:hAnsi="宋体" w:cs="宋体"/>
                <w:i w:val="0"/>
                <w:color w:val="auto"/>
                <w:sz w:val="20"/>
                <w:szCs w:val="20"/>
                <w:highlight w:val="none"/>
                <w:u w:val="none"/>
                <w:lang w:eastAsia="zh-CN"/>
              </w:rPr>
              <w:t xml:space="preserve">供应商</w:t>
            </w:r>
            <w:r>
              <w:rPr>
                <w:rFonts w:hint="eastAsia" w:ascii="宋体" w:hAnsi="宋体" w:eastAsia="宋体" w:cs="宋体"/>
                <w:i w:val="0"/>
                <w:color w:val="auto"/>
                <w:sz w:val="20"/>
                <w:szCs w:val="20"/>
                <w:highlight w:val="none"/>
                <w:u w:val="none"/>
              </w:rPr>
              <w:t xml:space="preserve">公章；</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支持容器云平台，视图管理软件容器化，存储、转发服务按需部署。</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硬件配置：</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处理器：配置≥2颗CPU处理器，每颗CPU核心数≥16核，每颗CPU主频≥2.4GHz；</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内存：配置≥48G 内存；</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硬盘：配置≥2块960GB SAS SSD 系统盘，≥36 块 16TB SATA 硬盘；</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网络接口：配置≥4*GE，≥2*10GE；</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配置≥2个热插拔 2000W 交流电源模块</w:t>
            </w:r>
            <w:r>
              <w:rPr>
                <w:rFonts w:hint="eastAsia" w:ascii="宋体" w:hAnsi="宋体" w:cs="宋体"/>
                <w:i w:val="0"/>
                <w:color w:val="auto"/>
                <w:sz w:val="20"/>
                <w:szCs w:val="20"/>
                <w:highlight w:val="none"/>
                <w:u w:val="none"/>
                <w:lang w:eastAsia="zh-CN"/>
              </w:rPr>
              <w:t xml:space="preserve">，</w:t>
            </w:r>
            <w:r>
              <w:rPr>
                <w:rFonts w:hint="eastAsia" w:ascii="宋体" w:hAnsi="宋体" w:eastAsia="宋体" w:cs="宋体"/>
                <w:i w:val="0"/>
                <w:color w:val="auto"/>
                <w:sz w:val="20"/>
                <w:szCs w:val="20"/>
                <w:highlight w:val="none"/>
                <w:u w:val="none"/>
              </w:rPr>
              <w:t xml:space="preserve">支持 1+1 冗余。</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功能要求：</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支持实况、录像回放、电视墙显示管理等；</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支持 H.264、H.265、MJPEG 等格式；</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支持 TCP，UDP，IPv4，HTTP，HTTPS，RTP，RTSP，RTCP，SIP，ARP，SSL，NTP，</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SMTP 等网络协议；</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支持实时/历史视频、图片等备份模式。</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性能要求：</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最大支持 1200 路@2Mbps 视图接入；</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最大支持 1200 路@2Mbps 实况转发。</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开放框架：</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南向对接：接入插件化集成，支持 Onvif2.4 以及 Onvif Profile S、GB/T28181、1400、主</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流摄像机厂家 SDK；</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北向对接：SDK、Restful；</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质保：原厂5年质保（含硬盘不返还服务）。</w:t>
            </w:r>
            <w:r/>
          </w:p>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rPr>
              <w:t xml:space="preserve">对接要求：支持与分局视频存储平台无缝接入</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人脸接入大数据算法</w:t>
            </w:r>
            <w:r/>
          </w:p>
        </w:tc>
        <w:tc>
          <w:tcPr>
            <w:shd w:val="clear" w:color="auto" w:fill="auto"/>
            <w:tcBorders>
              <w:top w:val="single" w:color="000000" w:sz="4" w:space="0"/>
              <w:left w:val="single" w:color="000000" w:sz="4" w:space="0"/>
              <w:right w:val="single" w:color="000000" w:sz="4" w:space="0"/>
            </w:tcBorders>
            <w:tcW w:w="265"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6693" w:type="dxa"/>
            <w:vAlign w:val="top"/>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包含基础业务应用单元，包含人脸、视频、图片接入解析单元，含授权。</w:t>
            </w:r>
            <w:r>
              <w:rPr>
                <w:rFonts w:hint="eastAsia" w:ascii="宋体" w:hAnsi="宋体" w:eastAsia="宋体" w:cs="宋体"/>
                <w:i w:val="0"/>
                <w:color w:val="auto"/>
                <w:sz w:val="20"/>
                <w:szCs w:val="20"/>
                <w:highlight w:val="none"/>
                <w:u w:val="none"/>
                <w:lang w:val="en-US" w:eastAsia="zh-CN" w:bidi="ar"/>
              </w:rPr>
              <w:br/>
            </w:r>
            <w:r>
              <w:rPr>
                <w:rFonts w:hint="eastAsia" w:ascii="宋体" w:hAnsi="宋体" w:eastAsia="宋体" w:cs="宋体"/>
                <w:i w:val="0"/>
                <w:color w:val="auto"/>
                <w:sz w:val="20"/>
                <w:szCs w:val="20"/>
                <w:highlight w:val="none"/>
                <w:u w:val="none"/>
                <w:lang w:val="en-US" w:eastAsia="zh-CN" w:bidi="ar"/>
              </w:rPr>
              <w:t xml:space="preserve">与智慧经开视频云综合应用实战平台无缝对接。</w:t>
            </w:r>
            <w:r>
              <w:rPr>
                <w:rFonts w:hint="eastAsia" w:ascii="宋体" w:hAnsi="宋体" w:cs="宋体"/>
                <w:b/>
                <w:bCs/>
                <w:color w:val="auto"/>
                <w:sz w:val="20"/>
                <w:szCs w:val="20"/>
                <w:highlight w:val="none"/>
                <w:lang w:bidi="ar"/>
              </w:rPr>
              <w:t xml:space="preserve">▲需保证与智慧经开视频云综合应用实战平台对接。（提供对接承诺函加盖</w:t>
            </w:r>
            <w:r>
              <w:rPr>
                <w:rFonts w:hint="eastAsia" w:ascii="宋体" w:hAnsi="宋体" w:cs="宋体"/>
                <w:b/>
                <w:bCs/>
                <w:color w:val="auto"/>
                <w:sz w:val="20"/>
                <w:szCs w:val="20"/>
                <w:highlight w:val="none"/>
                <w:lang w:eastAsia="zh-CN" w:bidi="ar"/>
              </w:rPr>
              <w:t xml:space="preserve">供应商</w:t>
            </w:r>
            <w:r>
              <w:rPr>
                <w:rFonts w:hint="eastAsia" w:ascii="宋体" w:hAnsi="宋体" w:cs="宋体"/>
                <w:b/>
                <w:bCs/>
                <w:color w:val="auto"/>
                <w:sz w:val="20"/>
                <w:szCs w:val="20"/>
                <w:highlight w:val="none"/>
                <w:lang w:bidi="ar"/>
              </w:rPr>
              <w:t xml:space="preserve">公章）</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链路接电电费</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cs="宋体"/>
                <w:i w:val="0"/>
                <w:color w:val="auto"/>
                <w:sz w:val="20"/>
                <w:szCs w:val="20"/>
                <w:highlight w:val="none"/>
                <w:u w:val="none"/>
                <w:lang w:eastAsia="zh-CN"/>
              </w:rPr>
              <w:t xml:space="preserve">链路租赁费</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现场点位至辖区派出所，单芯裸纤，最大光纤长度＜15KM，光纤综合折合的公里数不得大于导航推荐公里数的1.5倍，单价按照5年1路计算。规范敷设，市容整治区域禁止飞线。</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现场取电</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263个点位用电申请，电表安装以及安装所需的一切材料，电源线使用不低于RVV2*2.5，规范敷设，含开挖补偿，市容整治区域禁止飞线。</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cs="宋体"/>
                <w:i w:val="0"/>
                <w:color w:val="auto"/>
                <w:sz w:val="20"/>
                <w:szCs w:val="20"/>
                <w:highlight w:val="none"/>
                <w:u w:val="none"/>
                <w:lang w:val="en-US" w:eastAsia="zh-CN" w:bidi="ar"/>
              </w:rPr>
              <w:suppressLineNumbers w:val="0"/>
            </w:pPr>
            <w:r>
              <w:rPr>
                <w:rFonts w:hint="eastAsia" w:ascii="宋体" w:hAnsi="宋体" w:cs="宋体"/>
                <w:i w:val="0"/>
                <w:color w:val="auto"/>
                <w:sz w:val="20"/>
                <w:szCs w:val="20"/>
                <w:highlight w:val="none"/>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both"/>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前端设备五年运行接电</w:t>
            </w:r>
            <w:r>
              <w:rPr>
                <w:rFonts w:hint="eastAsia" w:ascii="宋体" w:hAnsi="宋体" w:cs="宋体"/>
                <w:i w:val="0"/>
                <w:color w:val="auto"/>
                <w:sz w:val="20"/>
                <w:szCs w:val="20"/>
                <w:highlight w:val="none"/>
                <w:u w:val="none"/>
                <w:lang w:val="en-US" w:eastAsia="zh-CN" w:bidi="ar"/>
              </w:rPr>
              <w:t xml:space="preserve">、使用、</w:t>
            </w:r>
            <w:r>
              <w:rPr>
                <w:rFonts w:hint="eastAsia" w:ascii="宋体" w:hAnsi="宋体" w:eastAsia="宋体" w:cs="宋体"/>
                <w:i w:val="0"/>
                <w:color w:val="auto"/>
                <w:sz w:val="20"/>
                <w:szCs w:val="20"/>
                <w:highlight w:val="none"/>
                <w:u w:val="none"/>
                <w:lang w:val="en-US" w:eastAsia="zh-CN" w:bidi="ar"/>
              </w:rPr>
              <w:t xml:space="preserve">维护等，传输借用点位使用现有电源供电，</w:t>
            </w:r>
            <w:r>
              <w:rPr>
                <w:rFonts w:hint="eastAsia" w:ascii="宋体" w:hAnsi="宋体" w:cs="宋体"/>
                <w:i w:val="0"/>
                <w:color w:val="auto"/>
                <w:sz w:val="20"/>
                <w:szCs w:val="20"/>
                <w:highlight w:val="none"/>
                <w:u w:val="none"/>
                <w:lang w:val="en-US" w:eastAsia="zh-CN" w:bidi="ar"/>
              </w:rPr>
              <w:t xml:space="preserve">费用</w:t>
            </w:r>
            <w:r>
              <w:rPr>
                <w:rFonts w:hint="eastAsia" w:ascii="宋体" w:hAnsi="宋体" w:eastAsia="宋体" w:cs="宋体"/>
                <w:i w:val="0"/>
                <w:color w:val="auto"/>
                <w:sz w:val="20"/>
                <w:szCs w:val="20"/>
                <w:highlight w:val="none"/>
                <w:u w:val="none"/>
                <w:lang w:val="en-US" w:eastAsia="zh-CN" w:bidi="ar"/>
              </w:rPr>
              <w:t xml:space="preserve">由中标单位自行与前期点位用电责任人结算</w:t>
            </w:r>
            <w:r>
              <w:rPr>
                <w:rFonts w:hint="eastAsia" w:ascii="宋体" w:hAnsi="宋体" w:cs="宋体"/>
                <w:i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65"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jc w:val="left"/>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rPr>
              <w:suppressLineNumbers w:val="0"/>
            </w:pPr>
            <w:r>
              <w:rPr>
                <w:rFonts w:hint="eastAsia" w:ascii="宋体" w:hAnsi="宋体" w:eastAsia="宋体" w:cs="宋体"/>
                <w:i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jc w:val="center"/>
              <w:keepLines w:val="0"/>
              <w:keepNext w:val="0"/>
              <w:widowControl/>
              <w:rPr>
                <w:rFonts w:hint="eastAsia" w:ascii="宋体" w:hAnsi="宋体" w:eastAsia="宋体" w:cs="宋体"/>
                <w:i w:val="0"/>
                <w:color w:val="auto"/>
                <w:sz w:val="20"/>
                <w:szCs w:val="20"/>
                <w:highlight w:val="none"/>
                <w:u w:val="none"/>
                <w:lang w:val="en-US" w:eastAsia="zh-CN" w:bidi="ar"/>
              </w:rPr>
              <w:suppressLineNumbers w:val="0"/>
            </w:pPr>
            <w:r>
              <w:rPr>
                <w:rFonts w:hint="eastAsia" w:ascii="宋体" w:hAnsi="宋体" w:eastAsia="宋体" w:cs="宋体"/>
                <w:i w:val="0"/>
                <w:color w:val="auto"/>
                <w:sz w:val="20"/>
                <w:szCs w:val="20"/>
                <w:highlight w:val="none"/>
                <w:u w:val="none"/>
                <w:lang w:val="en-US" w:eastAsia="zh-CN" w:bidi="ar"/>
              </w:rPr>
            </w:r>
            <w:r/>
          </w:p>
        </w:tc>
      </w:tr>
    </w:tbl>
    <w:p>
      <w:pPr>
        <w:jc w:val="left"/>
        <w:spacing w:line="360" w:lineRule="auto"/>
        <w:tabs>
          <w:tab w:val="left" w:pos="1800" w:leader="none"/>
          <w:tab w:val="left" w:pos="5580" w:leader="none"/>
        </w:tabs>
        <w:rPr>
          <w:rFonts w:hint="eastAsia" w:ascii="宋体" w:hAnsi="宋体" w:cs="楷体"/>
          <w:color w:val="auto"/>
          <w:sz w:val="24"/>
          <w:highlight w:val="none"/>
        </w:rPr>
      </w:pPr>
      <w:r>
        <w:rPr>
          <w:rFonts w:ascii="宋体" w:hAnsi="宋体" w:cs="楷体"/>
          <w:color w:val="auto"/>
          <w:sz w:val="24"/>
          <w:highlight w:val="none"/>
        </w:rPr>
        <w:t xml:space="preserve">注：1</w:t>
      </w:r>
      <w:r>
        <w:rPr>
          <w:rFonts w:hint="eastAsia" w:ascii="宋体" w:hAnsi="宋体" w:cs="楷体"/>
          <w:color w:val="auto"/>
          <w:sz w:val="24"/>
          <w:highlight w:val="none"/>
          <w:lang w:val="en-US" w:eastAsia="zh-CN"/>
        </w:rPr>
        <w:t xml:space="preserve">.</w:t>
      </w:r>
      <w:r>
        <w:rPr>
          <w:rFonts w:ascii="宋体" w:hAnsi="宋体" w:cs="楷体"/>
          <w:color w:val="auto"/>
          <w:sz w:val="24"/>
          <w:highlight w:val="none"/>
        </w:rPr>
        <w:t xml:space="preserve">如果不提供</w:t>
      </w:r>
      <w:r>
        <w:rPr>
          <w:rFonts w:hint="eastAsia" w:ascii="宋体" w:hAnsi="宋体" w:cs="楷体"/>
          <w:color w:val="auto"/>
          <w:sz w:val="24"/>
          <w:highlight w:val="none"/>
        </w:rPr>
        <w:t xml:space="preserve">明细</w:t>
      </w:r>
      <w:r>
        <w:rPr>
          <w:rFonts w:ascii="宋体" w:hAnsi="宋体" w:cs="楷体"/>
          <w:color w:val="auto"/>
          <w:sz w:val="24"/>
          <w:highlight w:val="none"/>
        </w:rPr>
        <w:t xml:space="preserve">报价将视为没有实质性响应</w:t>
      </w:r>
      <w:r>
        <w:rPr>
          <w:rFonts w:hint="eastAsia" w:ascii="宋体" w:hAnsi="宋体" w:cs="楷体"/>
          <w:color w:val="auto"/>
          <w:sz w:val="24"/>
          <w:highlight w:val="none"/>
        </w:rPr>
        <w:t xml:space="preserve">招标</w:t>
      </w:r>
      <w:r>
        <w:rPr>
          <w:rFonts w:ascii="宋体" w:hAnsi="宋体" w:cs="楷体"/>
          <w:color w:val="auto"/>
          <w:sz w:val="24"/>
          <w:highlight w:val="none"/>
        </w:rPr>
        <w:t xml:space="preserve">文件。</w:t>
      </w:r>
      <w:r/>
    </w:p>
    <w:p>
      <w:pPr>
        <w:numPr>
          <w:ilvl w:val="0"/>
          <w:numId w:val="0"/>
        </w:numPr>
        <w:ind w:firstLine="480"/>
        <w:jc w:val="left"/>
        <w:keepLines w:val="0"/>
        <w:keepNext w:val="0"/>
        <w:pageBreakBefore w:val="0"/>
        <w:spacing w:line="360" w:lineRule="auto"/>
        <w:widowControl w:val="off"/>
        <w:tabs>
          <w:tab w:val="left" w:pos="1800" w:leader="none"/>
          <w:tab w:val="left" w:pos="5580" w:leader="none"/>
        </w:tabs>
        <w:rPr>
          <w:rFonts w:hint="eastAsia" w:ascii="宋体" w:hAnsi="宋体"/>
          <w:color w:val="auto"/>
          <w:sz w:val="24"/>
          <w:szCs w:val="21"/>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免费质保期内运行维护费用、税金、运输保险及其他有关的为完成本项目发生的所有费用，招标文件中另有规定的除外。</w:t>
      </w:r>
      <w:bookmarkEnd w:id="340"/>
      <w:r/>
    </w:p>
    <w:p>
      <w:pPr>
        <w:ind w:firstLine="482"/>
        <w:jc w:val="left"/>
        <w:spacing w:line="360" w:lineRule="auto"/>
        <w:tabs>
          <w:tab w:val="left" w:pos="1800" w:leader="none"/>
          <w:tab w:val="left" w:pos="5580" w:leader="none"/>
        </w:tabs>
        <w:rPr>
          <w:color w:val="auto"/>
          <w:highlight w:val="none"/>
        </w:rPr>
      </w:pPr>
      <w:r>
        <w:rPr>
          <w:rFonts w:hint="eastAsia" w:ascii="宋体" w:hAnsi="宋体" w:cs="楷体"/>
          <w:b/>
          <w:bCs/>
          <w:color w:val="auto"/>
          <w:sz w:val="24"/>
          <w:highlight w:val="none"/>
          <w:lang w:eastAsia="zh-CN"/>
        </w:rPr>
        <w:t xml:space="preserve">3.</w:t>
      </w:r>
      <w:r>
        <w:rPr>
          <w:rFonts w:hint="eastAsia" w:ascii="宋体" w:hAnsi="宋体" w:cs="楷体"/>
          <w:b/>
          <w:bCs/>
          <w:color w:val="auto"/>
          <w:sz w:val="24"/>
          <w:highlight w:val="none"/>
        </w:rPr>
        <w:t xml:space="preserve">本采购项目中含有多种产品时，供应商未填写本采购包中提供的符合本国产品标准的产品成本之和占该采购包提供的全部产品成本之和的比例数值的，或比例数值未达到80%的，将不享受本国产品价格评审优惠。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60" w:lineRule="auto"/>
        <w:tabs>
          <w:tab w:val="left" w:pos="1800" w:leader="none"/>
          <w:tab w:val="left" w:pos="5580" w:leader="none"/>
        </w:tabs>
        <w:rPr>
          <w:rFonts w:ascii="宋体" w:hAnsi="宋体" w:cs="楷体"/>
          <w:color w:val="auto"/>
          <w:sz w:val="24"/>
          <w:highlight w:val="none"/>
        </w:rPr>
      </w:pPr>
      <w:r>
        <w:rPr>
          <w:rFonts w:hint="eastAsia" w:ascii="宋体" w:hAnsi="宋体" w:cs="楷体"/>
          <w:color w:val="auto"/>
          <w:sz w:val="24"/>
          <w:highlight w:val="none"/>
          <w:lang w:eastAsia="zh-CN"/>
        </w:rPr>
        <w:t xml:space="preserve">4.</w:t>
      </w:r>
      <w:r>
        <w:rPr>
          <w:rFonts w:hint="eastAsia" w:ascii="宋体" w:hAnsi="宋体" w:cs="楷体"/>
          <w:color w:val="auto"/>
          <w:sz w:val="24"/>
          <w:highlight w:val="none"/>
        </w:rPr>
        <w:t xml:space="preserve">本表行数可以按照项目分项情况增加。</w:t>
      </w:r>
      <w:r>
        <w:rPr>
          <w:rFonts w:ascii="宋体" w:hAnsi="宋体" w:cs="楷体"/>
          <w:color w:val="auto"/>
          <w:sz w:val="24"/>
          <w:highlight w:val="none"/>
        </w:rPr>
        <w:t xml:space="preserve">各项的详细规格</w:t>
      </w:r>
      <w:r>
        <w:rPr>
          <w:rFonts w:hint="eastAsia" w:ascii="宋体" w:hAnsi="宋体" w:cs="楷体"/>
          <w:color w:val="auto"/>
          <w:sz w:val="24"/>
          <w:highlight w:val="none"/>
        </w:rPr>
        <w:t xml:space="preserve">如表格中填写不下的</w:t>
      </w:r>
      <w:r>
        <w:rPr>
          <w:rFonts w:ascii="宋体" w:hAnsi="宋体" w:cs="楷体"/>
          <w:color w:val="auto"/>
          <w:sz w:val="24"/>
          <w:highlight w:val="none"/>
        </w:rPr>
        <w:t xml:space="preserve">，可</w:t>
      </w:r>
      <w:r>
        <w:rPr>
          <w:rFonts w:hint="eastAsia" w:ascii="宋体" w:hAnsi="宋体" w:cs="楷体"/>
          <w:color w:val="auto"/>
          <w:sz w:val="24"/>
          <w:highlight w:val="none"/>
        </w:rPr>
        <w:t xml:space="preserve">以逐项</w:t>
      </w:r>
      <w:r>
        <w:rPr>
          <w:rFonts w:ascii="宋体" w:hAnsi="宋体" w:cs="楷体"/>
          <w:color w:val="auto"/>
          <w:sz w:val="24"/>
          <w:highlight w:val="none"/>
        </w:rPr>
        <w:t xml:space="preserve">另页描述。</w:t>
      </w:r>
      <w:r/>
    </w:p>
    <w:p>
      <w:pPr>
        <w:jc w:val="right"/>
        <w:spacing w:before="25" w:after="25" w:line="360" w:lineRule="auto"/>
        <w:rPr>
          <w:rFonts w:hint="eastAsia" w:ascii="宋体" w:hAnsi="宋体"/>
          <w:bCs/>
          <w:color w:val="auto"/>
          <w:sz w:val="24"/>
          <w:highlight w:val="none"/>
        </w:rPr>
      </w:pPr>
      <w:r>
        <w:rPr>
          <w:color w:val="auto"/>
          <w:sz w:val="24"/>
          <w:highlight w:val="none"/>
          <w:lang w:val="zh-CN"/>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日期：     年    月    日</w:t>
      </w:r>
      <w:r/>
    </w:p>
    <w:p>
      <w:pPr>
        <w:pStyle w:val="921"/>
        <w:rPr>
          <w:rFonts w:hint="eastAsia"/>
          <w:color w:val="auto"/>
          <w:highlight w:val="none"/>
        </w:rPr>
        <w:sectPr>
          <w:footerReference w:type="default" r:id="rId17"/>
          <w:footnotePr/>
          <w:endnotePr/>
          <w:type w:val="nextPage"/>
          <w:pgSz w:w="11905" w:h="16838" w:orient="portrait"/>
          <w:pgMar w:top="1417" w:right="1134" w:bottom="1417" w:left="1701" w:header="851" w:footer="850" w:gutter="0"/>
          <w:cols w:num="1" w:sep="0" w:space="720" w:equalWidth="1"/>
          <w:docGrid w:linePitch="360"/>
        </w:sectPr>
      </w:pPr>
      <w:r>
        <w:rPr>
          <w:rFonts w:hint="eastAsia"/>
          <w:color w:val="auto"/>
          <w:highlight w:val="none"/>
        </w:rPr>
      </w:r>
      <w:r/>
    </w:p>
    <w:p>
      <w:pPr>
        <w:pStyle w:val="919"/>
        <w:ind w:firstLine="1806"/>
        <w:jc w:val="both"/>
        <w:rPr>
          <w:rFonts w:ascii="Times New Roman" w:hAnsi="Times New Roman" w:eastAsia="宋体"/>
          <w:color w:val="auto"/>
          <w:spacing w:val="20"/>
          <w:sz w:val="32"/>
          <w:szCs w:val="32"/>
          <w:highlight w:val="none"/>
        </w:rPr>
        <w:outlineLvl w:val="2"/>
      </w:pPr>
      <w:r>
        <w:rPr>
          <w:rFonts w:hint="eastAsia" w:ascii="Times New Roman" w:hAnsi="Times New Roman" w:eastAsia="宋体"/>
          <w:color w:val="auto"/>
          <w:spacing w:val="20"/>
          <w:sz w:val="32"/>
          <w:szCs w:val="32"/>
          <w:highlight w:val="none"/>
        </w:rPr>
        <w:t xml:space="preserve">四、中小企业声明函</w:t>
      </w:r>
      <w:r>
        <w:rPr>
          <w:rFonts w:ascii="Times New Roman"/>
          <w:b w:val="0"/>
          <w:color w:val="auto"/>
          <w:highlight w:val="none"/>
        </w:rPr>
        <w:t xml:space="preserve">（实质性格式）</w:t>
      </w:r>
      <w:r/>
    </w:p>
    <w:p>
      <w:pPr>
        <w:pStyle w:val="920"/>
        <w:rPr>
          <w:color w:val="auto"/>
          <w:highlight w:val="none"/>
        </w:rPr>
      </w:pPr>
      <w:r>
        <w:rPr>
          <w:color w:val="auto"/>
          <w:highlight w:val="none"/>
        </w:rPr>
      </w:r>
      <w:r/>
    </w:p>
    <w:p>
      <w:pPr>
        <w:pStyle w:val="919"/>
        <w:jc w:val="left"/>
        <w:spacing w:before="0" w:line="360" w:lineRule="auto"/>
        <w:tabs>
          <w:tab w:val="center" w:pos="4592" w:leader="none"/>
          <w:tab w:val="left" w:pos="7860" w:leader="none"/>
        </w:tabs>
        <w:rPr>
          <w:rFonts w:hint="eastAsia" w:ascii="宋体" w:hAnsi="宋体" w:cs="楷体"/>
          <w:b w:val="0"/>
          <w:color w:val="auto"/>
          <w:sz w:val="24"/>
          <w:highlight w:val="none"/>
        </w:rPr>
        <w:outlineLvl w:val="2"/>
      </w:pPr>
      <w:r>
        <w:rPr>
          <w:rFonts w:hint="eastAsia"/>
          <w:b w:val="0"/>
          <w:color w:val="auto"/>
          <w:sz w:val="24"/>
          <w:highlight w:val="none"/>
          <w:u w:val="single"/>
        </w:rPr>
        <w:t xml:space="preserve">注意事项：</w:t>
      </w:r>
      <w:bookmarkStart w:id="341" w:name="_Toc311189788"/>
      <w:r>
        <w:rPr>
          <w:rFonts w:hint="eastAsia"/>
          <w:b w:val="0"/>
          <w:color w:val="auto"/>
          <w:sz w:val="24"/>
          <w:highlight w:val="none"/>
          <w:u w:val="single"/>
        </w:rPr>
        <w:t xml:space="preserve">请按照第二章第一节《</w:t>
      </w:r>
      <w:r>
        <w:rPr>
          <w:b w:val="0"/>
          <w:color w:val="auto"/>
          <w:sz w:val="24"/>
          <w:highlight w:val="none"/>
          <w:u w:val="single"/>
        </w:rPr>
        <w:t xml:space="preserve">投标人须知资料表</w:t>
      </w:r>
      <w:r>
        <w:rPr>
          <w:rFonts w:hint="eastAsia"/>
          <w:b w:val="0"/>
          <w:color w:val="auto"/>
          <w:sz w:val="24"/>
          <w:highlight w:val="none"/>
          <w:u w:val="single"/>
        </w:rPr>
        <w:t xml:space="preserve">》中列明的项目属性填写货物类还是工程、服务类。</w:t>
      </w:r>
      <w:r>
        <w:rPr>
          <w:rFonts w:hint="eastAsia" w:ascii="宋体" w:hAnsi="宋体" w:cs="楷体"/>
          <w:b w:val="0"/>
          <w:color w:val="auto"/>
          <w:sz w:val="24"/>
          <w:highlight w:val="none"/>
        </w:rPr>
        <w:t xml:space="preserve">                       </w:t>
      </w:r>
      <w:bookmarkEnd w:id="341"/>
      <w:r/>
      <w:bookmarkStart w:id="342" w:name="_Toc425"/>
      <w:r/>
      <w:bookmarkEnd w:id="342"/>
      <w:r/>
      <w:bookmarkStart w:id="343" w:name="_Toc29116"/>
      <w:r/>
      <w:bookmarkEnd w:id="343"/>
      <w:r/>
      <w:bookmarkStart w:id="344" w:name="_Toc373054875"/>
      <w:r/>
      <w:bookmarkEnd w:id="344"/>
      <w:r/>
      <w:bookmarkStart w:id="345" w:name="_Toc30417"/>
      <w:r/>
      <w:bookmarkEnd w:id="345"/>
      <w:r>
        <w:rPr>
          <w:rFonts w:hint="eastAsia" w:ascii="宋体" w:hAnsi="宋体" w:cs="楷体"/>
          <w:b w:val="0"/>
          <w:color w:val="auto"/>
          <w:sz w:val="24"/>
          <w:highlight w:val="none"/>
        </w:rPr>
        <w:t xml:space="preserve">                    </w:t>
      </w:r>
      <w:r/>
    </w:p>
    <w:p>
      <w:pPr>
        <w:ind w:firstLine="2570"/>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w:t>
      </w:r>
      <w:r>
        <w:rPr>
          <w:rFonts w:hint="eastAsia" w:ascii="宋体" w:hAnsi="宋体" w:cs="楷体"/>
          <w:b/>
          <w:color w:val="auto"/>
          <w:sz w:val="32"/>
          <w:szCs w:val="32"/>
          <w:highlight w:val="none"/>
          <w:lang w:eastAsia="zh-CN"/>
        </w:rPr>
        <w:t xml:space="preserve">（</w:t>
      </w:r>
      <w:r>
        <w:rPr>
          <w:rFonts w:hint="eastAsia" w:ascii="宋体" w:hAnsi="宋体" w:cs="楷体"/>
          <w:b/>
          <w:color w:val="auto"/>
          <w:sz w:val="32"/>
          <w:szCs w:val="32"/>
          <w:highlight w:val="none"/>
        </w:rPr>
        <w:t xml:space="preserve">货物</w:t>
      </w:r>
      <w:r>
        <w:rPr>
          <w:rFonts w:hint="eastAsia" w:ascii="宋体" w:hAnsi="宋体" w:cs="楷体"/>
          <w:b/>
          <w:color w:val="auto"/>
          <w:sz w:val="32"/>
          <w:szCs w:val="32"/>
          <w:highlight w:val="none"/>
          <w:lang w:eastAsia="zh-CN"/>
        </w:rPr>
        <w:t xml:space="preserve">）</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本公司（联合体）郑重申明</w:t>
      </w:r>
      <w:r>
        <w:rPr>
          <w:rFonts w:hint="eastAsia" w:ascii="宋体" w:hAnsi="宋体" w:cs="楷体"/>
          <w:color w:val="auto"/>
          <w:sz w:val="24"/>
          <w:highlight w:val="none"/>
          <w:lang w:eastAsia="zh-CN"/>
        </w:rPr>
        <w:t xml:space="preserve">，</w:t>
      </w:r>
      <w:r>
        <w:rPr>
          <w:rFonts w:hint="eastAsia" w:ascii="宋体" w:hAnsi="宋体" w:cs="楷体"/>
          <w:color w:val="auto"/>
          <w:sz w:val="24"/>
          <w:highlight w:val="none"/>
        </w:rPr>
        <w:t xml:space="preserve">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929"/>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lang w:val="en-US" w:eastAsia="zh-CN"/>
        </w:rPr>
        <w:t xml:space="preserve">1.</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929"/>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lang w:eastAsia="zh-CN"/>
        </w:rPr>
        <w:t xml:space="preserve">2.</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929"/>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929"/>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
        <w:spacing w:line="440" w:lineRule="exact"/>
        <w:rPr>
          <w:rFonts w:ascii="宋体" w:hAnsi="宋体" w:cs="楷体"/>
          <w:color w:val="auto"/>
          <w:sz w:val="24"/>
          <w:highlight w:val="none"/>
        </w:rPr>
      </w:pPr>
      <w:r>
        <w:rPr>
          <w:rFonts w:ascii="宋体" w:hAnsi="宋体" w:cs="楷体"/>
          <w:color w:val="auto"/>
          <w:sz w:val="24"/>
          <w:highlight w:val="none"/>
        </w:rPr>
      </w:r>
      <w:r/>
    </w:p>
    <w:p>
      <w:pPr>
        <w:ind w:firstLine="3840"/>
        <w:spacing w:line="44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800"/>
        <w:spacing w:line="440" w:lineRule="exact"/>
        <w:rPr>
          <w:rFonts w:ascii="宋体" w:hAnsi="宋体" w:cs="楷体"/>
          <w:color w:val="auto"/>
          <w:sz w:val="24"/>
          <w:highlight w:val="none"/>
        </w:rPr>
      </w:pPr>
      <w:r>
        <w:rPr>
          <w:rFonts w:hint="eastAsia" w:ascii="宋体" w:hAnsi="宋体" w:cs="楷体"/>
          <w:color w:val="auto"/>
          <w:sz w:val="24"/>
          <w:highlight w:val="none"/>
        </w:rPr>
        <w:t xml:space="preserve">日期：年 月 日</w:t>
      </w:r>
      <w:r/>
    </w:p>
    <w:p>
      <w:pPr>
        <w:ind w:firstLine="2650"/>
        <w:spacing w:line="360" w:lineRule="auto"/>
        <w:widowControl/>
        <w:rPr>
          <w:rFonts w:ascii="宋体" w:hAnsi="宋体" w:cs="楷体"/>
          <w:b/>
          <w:color w:val="auto"/>
          <w:sz w:val="24"/>
          <w:highlight w:val="none"/>
        </w:rPr>
      </w:pPr>
      <w:r>
        <w:rPr>
          <w:rFonts w:ascii="宋体" w:hAnsi="宋体" w:cs="楷体"/>
          <w:b/>
          <w:color w:val="auto"/>
          <w:sz w:val="24"/>
          <w:highlight w:val="none"/>
        </w:rPr>
      </w:r>
      <w:r/>
    </w:p>
    <w:p>
      <w:pPr>
        <w:pStyle w:val="907"/>
        <w:spacing w:line="440" w:lineRule="exact"/>
        <w:rPr>
          <w:rFonts w:cs="楷体"/>
          <w:color w:val="auto"/>
          <w:szCs w:val="20"/>
          <w:highlight w:val="none"/>
        </w:rPr>
      </w:pPr>
      <w:r>
        <w:rPr>
          <w:rFonts w:hint="eastAsia" w:cs="楷体"/>
          <w:color w:val="auto"/>
          <w:highlight w:val="none"/>
        </w:rPr>
        <w:t xml:space="preserve">注：1</w:t>
      </w:r>
      <w:r>
        <w:rPr>
          <w:rFonts w:hint="eastAsia" w:cs="楷体"/>
          <w:color w:val="auto"/>
          <w:highlight w:val="none"/>
          <w:lang w:val="en-US" w:eastAsia="zh-CN"/>
        </w:rPr>
        <w:t xml:space="preserve">.</w:t>
      </w:r>
      <w:r>
        <w:rPr>
          <w:rFonts w:hint="eastAsia" w:cs="楷体"/>
          <w:color w:val="auto"/>
          <w:highlight w:val="none"/>
        </w:rPr>
        <w:t xml:space="preserve">从业人员、营业收入和资产总额填报上一年度数据，无上一年度数据的新成立企业可不填报。</w:t>
      </w:r>
      <w:r/>
    </w:p>
    <w:p>
      <w:pPr>
        <w:pStyle w:val="929"/>
        <w:ind w:firstLine="480"/>
        <w:rPr>
          <w:rFonts w:ascii="宋体" w:hAnsi="宋体" w:eastAsia="宋体" w:cs="楷体"/>
          <w:color w:val="auto"/>
          <w:sz w:val="24"/>
          <w:szCs w:val="24"/>
          <w:highlight w:val="none"/>
        </w:rPr>
      </w:pPr>
      <w:r>
        <w:rPr>
          <w:rFonts w:hint="eastAsia" w:ascii="宋体" w:hAnsi="宋体" w:eastAsia="宋体" w:cs="楷体"/>
          <w:color w:val="auto"/>
          <w:sz w:val="24"/>
          <w:szCs w:val="24"/>
          <w:highlight w:val="none"/>
          <w:lang w:eastAsia="zh-CN"/>
        </w:rPr>
        <w:t xml:space="preserve">2.</w:t>
      </w:r>
      <w:r>
        <w:rPr>
          <w:rFonts w:hint="eastAsia" w:ascii="宋体" w:hAnsi="宋体" w:eastAsia="宋体" w:cs="楷体"/>
          <w:color w:val="auto"/>
          <w:sz w:val="24"/>
          <w:szCs w:val="24"/>
          <w:highlight w:val="none"/>
        </w:rPr>
        <w:t xml:space="preserve">中小企业划型标准规定参考《工信部联企业[2011]300号》</w:t>
      </w:r>
      <w:r/>
    </w:p>
    <w:p>
      <w:pPr>
        <w:pStyle w:val="929"/>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929"/>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929"/>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929"/>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929"/>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929"/>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929"/>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1928"/>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w:t>
      </w:r>
      <w:r>
        <w:rPr>
          <w:rFonts w:hint="eastAsia" w:ascii="宋体" w:hAnsi="宋体" w:cs="楷体"/>
          <w:b/>
          <w:color w:val="auto"/>
          <w:sz w:val="32"/>
          <w:szCs w:val="32"/>
          <w:highlight w:val="none"/>
          <w:lang w:eastAsia="zh-CN"/>
        </w:rPr>
        <w:t xml:space="preserve">（</w:t>
      </w:r>
      <w:r>
        <w:rPr>
          <w:rFonts w:hint="eastAsia" w:ascii="宋体" w:hAnsi="宋体" w:cs="楷体"/>
          <w:b/>
          <w:color w:val="auto"/>
          <w:sz w:val="32"/>
          <w:szCs w:val="32"/>
          <w:highlight w:val="none"/>
        </w:rPr>
        <w:t xml:space="preserve">工程、服务</w:t>
      </w:r>
      <w:r>
        <w:rPr>
          <w:rFonts w:hint="eastAsia" w:ascii="宋体" w:hAnsi="宋体" w:cs="楷体"/>
          <w:b/>
          <w:color w:val="auto"/>
          <w:sz w:val="32"/>
          <w:szCs w:val="32"/>
          <w:highlight w:val="none"/>
          <w:lang w:eastAsia="zh-CN"/>
        </w:rPr>
        <w:t xml:space="preserve">）</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本公司（联合体）郑重申明</w:t>
      </w:r>
      <w:r>
        <w:rPr>
          <w:rFonts w:hint="eastAsia" w:ascii="宋体" w:hAnsi="宋体" w:cs="楷体"/>
          <w:color w:val="auto"/>
          <w:sz w:val="24"/>
          <w:highlight w:val="none"/>
          <w:lang w:eastAsia="zh-CN"/>
        </w:rPr>
        <w:t xml:space="preserve">，</w:t>
      </w:r>
      <w:r>
        <w:rPr>
          <w:rFonts w:hint="eastAsia" w:ascii="宋体" w:hAnsi="宋体" w:cs="楷体"/>
          <w:color w:val="auto"/>
          <w:sz w:val="24"/>
          <w:highlight w:val="none"/>
        </w:rPr>
        <w:t xml:space="preserve">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929"/>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lang w:eastAsia="zh-CN"/>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929"/>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lang w:eastAsia="zh-CN"/>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929"/>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929"/>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ascii="宋体" w:hAnsi="宋体" w:cs="楷体"/>
          <w:color w:val="auto"/>
          <w:sz w:val="24"/>
          <w:highlight w:val="none"/>
        </w:rPr>
      </w:pPr>
      <w:r>
        <w:rPr>
          <w:rFonts w:ascii="宋体" w:hAnsi="宋体" w:cs="楷体"/>
          <w:color w:val="auto"/>
          <w:sz w:val="24"/>
          <w:highlight w:val="none"/>
        </w:rPr>
      </w:r>
      <w:r/>
    </w:p>
    <w:p>
      <w:pPr>
        <w:ind w:firstLine="3360"/>
        <w:spacing w:line="44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560"/>
        <w:spacing w:line="440" w:lineRule="exact"/>
        <w:rPr>
          <w:rFonts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929"/>
        <w:ind w:firstLine="400"/>
        <w:rPr>
          <w:color w:val="auto"/>
          <w:highlight w:val="none"/>
        </w:rPr>
      </w:pPr>
      <w:r>
        <w:rPr>
          <w:color w:val="auto"/>
          <w:highlight w:val="none"/>
        </w:rPr>
      </w:r>
      <w:r/>
    </w:p>
    <w:p>
      <w:pPr>
        <w:pStyle w:val="907"/>
        <w:spacing w:line="440" w:lineRule="exact"/>
        <w:rPr>
          <w:rFonts w:cs="楷体"/>
          <w:color w:val="auto"/>
          <w:highlight w:val="none"/>
        </w:rPr>
      </w:pPr>
      <w:r>
        <w:rPr>
          <w:rFonts w:hint="eastAsia" w:cs="楷体"/>
          <w:color w:val="auto"/>
          <w:highlight w:val="none"/>
        </w:rPr>
        <w:t xml:space="preserve">注：1</w:t>
      </w:r>
      <w:r>
        <w:rPr>
          <w:rFonts w:hint="eastAsia" w:cs="楷体"/>
          <w:color w:val="auto"/>
          <w:highlight w:val="none"/>
          <w:lang w:val="en-US" w:eastAsia="zh-CN"/>
        </w:rPr>
        <w:t xml:space="preserve">.</w:t>
      </w:r>
      <w:r>
        <w:rPr>
          <w:rFonts w:hint="eastAsia" w:cs="楷体"/>
          <w:color w:val="auto"/>
          <w:highlight w:val="none"/>
        </w:rPr>
        <w:t xml:space="preserve">从业人员、营业收入和资产总额填报上一年度数据，无上一年度数据的新成立企业可不填报。</w:t>
      </w:r>
      <w:r/>
    </w:p>
    <w:p>
      <w:pPr>
        <w:pStyle w:val="929"/>
        <w:ind w:firstLine="480"/>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lang w:val="en-US" w:eastAsia="zh-CN"/>
        </w:rPr>
        <w:t xml:space="preserve">.</w:t>
      </w:r>
      <w:r>
        <w:rPr>
          <w:rFonts w:hint="eastAsia" w:ascii="宋体" w:hAnsi="宋体" w:eastAsia="宋体" w:cs="楷体"/>
          <w:color w:val="auto"/>
          <w:sz w:val="24"/>
          <w:szCs w:val="24"/>
          <w:highlight w:val="none"/>
        </w:rPr>
        <w:t xml:space="preserve">中小企业划型标准规定参考《工信部联企业[2011]300号》</w:t>
      </w:r>
      <w:r/>
    </w:p>
    <w:p>
      <w:pPr>
        <w:pStyle w:val="907"/>
        <w:spacing w:line="440" w:lineRule="exact"/>
        <w:rPr>
          <w:rFonts w:cs="楷体"/>
          <w:color w:val="auto"/>
          <w:highlight w:val="none"/>
        </w:rPr>
      </w:pPr>
      <w:r>
        <w:rPr>
          <w:rFonts w:cs="楷体"/>
          <w:color w:val="auto"/>
          <w:highlight w:val="none"/>
        </w:rPr>
      </w:r>
      <w:r/>
    </w:p>
    <w:p>
      <w:pPr>
        <w:pStyle w:val="907"/>
        <w:spacing w:line="440" w:lineRule="exact"/>
        <w:rPr>
          <w:rFonts w:hint="eastAsia" w:cs="楷体"/>
          <w:color w:val="auto"/>
          <w:highlight w:val="none"/>
        </w:rPr>
      </w:pPr>
      <w:r>
        <w:rPr>
          <w:rFonts w:hint="eastAsia" w:cs="楷体"/>
          <w:color w:val="auto"/>
          <w:highlight w:val="none"/>
        </w:rPr>
      </w:r>
      <w:r/>
    </w:p>
    <w:p>
      <w:pPr>
        <w:pStyle w:val="907"/>
        <w:spacing w:line="440" w:lineRule="exact"/>
        <w:rPr>
          <w:rFonts w:hint="eastAsia" w:cs="楷体"/>
          <w:color w:val="auto"/>
          <w:highlight w:val="none"/>
        </w:rPr>
      </w:pPr>
      <w:r>
        <w:rPr>
          <w:rFonts w:hint="eastAsia" w:cs="楷体"/>
          <w:color w:val="auto"/>
          <w:highlight w:val="none"/>
        </w:rPr>
      </w:r>
      <w:r/>
    </w:p>
    <w:p>
      <w:pPr>
        <w:pStyle w:val="907"/>
        <w:spacing w:line="440" w:lineRule="exact"/>
        <w:rPr>
          <w:rFonts w:hint="eastAsia" w:cs="楷体"/>
          <w:color w:val="auto"/>
          <w:highlight w:val="none"/>
        </w:rPr>
      </w:pPr>
      <w:r>
        <w:rPr>
          <w:rFonts w:hint="eastAsia" w:cs="楷体"/>
          <w:color w:val="auto"/>
          <w:highlight w:val="none"/>
        </w:rPr>
      </w:r>
      <w:r/>
    </w:p>
    <w:p>
      <w:pPr>
        <w:rPr>
          <w:rFonts w:hint="eastAsia" w:cs="楷体"/>
          <w:color w:val="auto"/>
          <w:highlight w:val="none"/>
        </w:rPr>
      </w:pPr>
      <w:r>
        <w:rPr>
          <w:rFonts w:hint="eastAsia" w:cs="楷体"/>
          <w:color w:val="auto"/>
          <w:highlight w:val="none"/>
        </w:rPr>
      </w:r>
      <w:r/>
    </w:p>
    <w:p>
      <w:pPr>
        <w:pStyle w:val="921"/>
        <w:rPr>
          <w:rFonts w:hint="eastAsia"/>
          <w:color w:val="auto"/>
          <w:highlight w:val="none"/>
        </w:rPr>
      </w:pPr>
      <w:r>
        <w:rPr>
          <w:rFonts w:hint="eastAsia"/>
          <w:color w:val="auto"/>
          <w:highlight w:val="none"/>
        </w:rPr>
      </w:r>
      <w:r/>
    </w:p>
    <w:p>
      <w:pPr>
        <w:jc w:val="center"/>
        <w:spacing w:before="240" w:after="240" w:line="360" w:lineRule="auto"/>
        <w:rPr>
          <w:b/>
          <w:color w:val="auto"/>
          <w:sz w:val="32"/>
          <w:szCs w:val="32"/>
          <w:highlight w:val="none"/>
        </w:rPr>
      </w:pPr>
      <w:r>
        <w:rPr>
          <w:rFonts w:hint="eastAsia"/>
          <w:b/>
          <w:bCs/>
          <w:color w:val="auto"/>
          <w:sz w:val="32"/>
          <w:szCs w:val="32"/>
          <w:highlight w:val="none"/>
        </w:rPr>
        <w:t xml:space="preserve">五、残疾人福利性单位声明函</w:t>
      </w:r>
      <w:r>
        <w:rPr>
          <w:b/>
          <w:bCs/>
          <w:color w:val="auto"/>
          <w:sz w:val="32"/>
          <w:szCs w:val="32"/>
          <w:highlight w:val="none"/>
        </w:rPr>
        <w:t xml:space="preserve">（实质性格式） </w:t>
      </w:r>
      <w:r>
        <w:rPr>
          <w:b/>
          <w:color w:val="auto"/>
          <w:sz w:val="32"/>
          <w:szCs w:val="32"/>
          <w:highlight w:val="none"/>
        </w:rPr>
        <w:t xml:space="preserve">    </w:t>
      </w:r>
      <w:r/>
    </w:p>
    <w:p>
      <w:pPr>
        <w:ind w:firstLine="504"/>
        <w:spacing w:line="588" w:lineRule="exact"/>
        <w:rPr>
          <w:rFonts w:hint="eastAsia"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hint="eastAsia"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hint="eastAsia"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hint="eastAsia" w:ascii="宋体" w:hAnsi="宋体"/>
          <w:color w:val="auto"/>
          <w:spacing w:val="6"/>
          <w:sz w:val="24"/>
          <w:highlight w:val="none"/>
        </w:rPr>
      </w:pPr>
      <w:r>
        <w:rPr>
          <w:rFonts w:hint="eastAsia" w:ascii="宋体" w:hAnsi="宋体"/>
          <w:color w:val="auto"/>
          <w:spacing w:val="6"/>
          <w:sz w:val="24"/>
          <w:highlight w:val="none"/>
        </w:rPr>
      </w:r>
      <w:r/>
    </w:p>
    <w:p>
      <w:pPr>
        <w:ind w:firstLine="504"/>
        <w:spacing w:line="588" w:lineRule="exact"/>
        <w:rPr>
          <w:rFonts w:hint="eastAsia" w:ascii="宋体" w:hAnsi="宋体"/>
          <w:color w:val="auto"/>
          <w:spacing w:val="6"/>
          <w:sz w:val="24"/>
          <w:highlight w:val="none"/>
        </w:rPr>
      </w:pPr>
      <w:r>
        <w:rPr>
          <w:rFonts w:hint="eastAsia" w:ascii="宋体" w:hAnsi="宋体"/>
          <w:color w:val="auto"/>
          <w:spacing w:val="6"/>
          <w:sz w:val="24"/>
          <w:highlight w:val="none"/>
        </w:rPr>
      </w:r>
      <w:r/>
    </w:p>
    <w:p>
      <w:pPr>
        <w:ind w:right="1560" w:firstLine="504"/>
        <w:jc w:val="center"/>
        <w:spacing w:line="588" w:lineRule="exact"/>
        <w:tabs>
          <w:tab w:val="left" w:pos="4860" w:leader="none"/>
        </w:tabs>
        <w:rPr>
          <w:rFonts w:hint="eastAsia" w:ascii="宋体" w:hAnsi="宋体"/>
          <w:color w:val="auto"/>
          <w:spacing w:val="6"/>
          <w:sz w:val="24"/>
          <w:highlight w:val="none"/>
        </w:rPr>
      </w:pPr>
      <w:r>
        <w:rPr>
          <w:rFonts w:ascii="宋体" w:hAnsi="宋体"/>
          <w:color w:val="auto"/>
          <w:spacing w:val="6"/>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right="1560" w:firstLine="504"/>
        <w:jc w:val="center"/>
        <w:spacing w:line="588" w:lineRule="exact"/>
        <w:tabs>
          <w:tab w:val="left" w:pos="4860" w:leader="none"/>
        </w:tabs>
        <w:rPr>
          <w:rFonts w:hint="eastAsia" w:ascii="宋体" w:hAnsi="宋体"/>
          <w:color w:val="auto"/>
          <w:spacing w:val="6"/>
          <w:sz w:val="24"/>
          <w:highlight w:val="none"/>
        </w:r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r>
        <w:rPr>
          <w:rFonts w:hint="eastAsia" w:ascii="宋体" w:hAnsi="宋体"/>
          <w:color w:val="auto"/>
          <w:spacing w:val="6"/>
          <w:sz w:val="24"/>
          <w:highlight w:val="none"/>
          <w:lang w:eastAsia="zh-CN"/>
        </w:rPr>
        <w:t xml:space="preserve">：</w:t>
      </w:r>
      <w:r/>
    </w:p>
    <w:p>
      <w:pPr>
        <w:pStyle w:val="930"/>
        <w:rPr>
          <w:rFonts w:hint="eastAsia" w:ascii="宋体" w:hAnsi="宋体"/>
          <w:color w:val="auto"/>
          <w:spacing w:val="6"/>
          <w:highlight w:val="none"/>
        </w:rPr>
      </w:pPr>
      <w:r>
        <w:rPr>
          <w:rFonts w:hint="eastAsia" w:ascii="宋体" w:hAnsi="宋体"/>
          <w:color w:val="auto"/>
          <w:spacing w:val="6"/>
          <w:highlight w:val="none"/>
        </w:rPr>
      </w:r>
      <w:r/>
    </w:p>
    <w:p>
      <w:pPr>
        <w:rPr>
          <w:rFonts w:hint="eastAsia" w:ascii="宋体" w:hAnsi="宋体"/>
          <w:color w:val="auto"/>
          <w:spacing w:val="6"/>
          <w:sz w:val="24"/>
          <w:highlight w:val="none"/>
        </w:rPr>
      </w:pPr>
      <w:r>
        <w:rPr>
          <w:rFonts w:hint="eastAsia" w:ascii="宋体" w:hAnsi="宋体"/>
          <w:color w:val="auto"/>
          <w:spacing w:val="6"/>
          <w:sz w:val="24"/>
          <w:highlight w:val="none"/>
        </w:rPr>
      </w:r>
      <w:r/>
    </w:p>
    <w:p>
      <w:pPr>
        <w:pStyle w:val="930"/>
        <w:rPr>
          <w:rFonts w:hint="eastAsia" w:ascii="宋体" w:hAnsi="宋体"/>
          <w:color w:val="auto"/>
          <w:spacing w:val="6"/>
          <w:highlight w:val="none"/>
        </w:rPr>
      </w:pPr>
      <w:r>
        <w:rPr>
          <w:rFonts w:hint="eastAsia" w:ascii="宋体" w:hAnsi="宋体"/>
          <w:color w:val="auto"/>
          <w:spacing w:val="6"/>
          <w:highlight w:val="none"/>
        </w:rPr>
      </w:r>
      <w:r/>
    </w:p>
    <w:p>
      <w:pPr>
        <w:rPr>
          <w:rFonts w:hint="eastAsia" w:ascii="宋体" w:hAnsi="宋体"/>
          <w:color w:val="auto"/>
          <w:spacing w:val="6"/>
          <w:sz w:val="24"/>
          <w:highlight w:val="none"/>
        </w:rPr>
      </w:pPr>
      <w:r>
        <w:rPr>
          <w:rFonts w:hint="eastAsia" w:ascii="宋体" w:hAnsi="宋体"/>
          <w:color w:val="auto"/>
          <w:spacing w:val="6"/>
          <w:sz w:val="24"/>
          <w:highlight w:val="none"/>
        </w:rPr>
      </w:r>
      <w:r/>
    </w:p>
    <w:p>
      <w:pPr>
        <w:pStyle w:val="930"/>
        <w:rPr>
          <w:rFonts w:hint="eastAsia" w:ascii="宋体" w:hAnsi="宋体"/>
          <w:color w:val="auto"/>
          <w:spacing w:val="6"/>
          <w:highlight w:val="none"/>
        </w:rPr>
      </w:pPr>
      <w:r>
        <w:rPr>
          <w:rFonts w:hint="eastAsia" w:ascii="宋体" w:hAnsi="宋体"/>
          <w:color w:val="auto"/>
          <w:spacing w:val="6"/>
          <w:highlight w:val="none"/>
        </w:rPr>
      </w:r>
      <w:r/>
    </w:p>
    <w:p>
      <w:pPr>
        <w:rPr>
          <w:rFonts w:hint="eastAsia" w:ascii="宋体" w:hAnsi="宋体"/>
          <w:color w:val="auto"/>
          <w:spacing w:val="6"/>
          <w:sz w:val="24"/>
          <w:highlight w:val="none"/>
        </w:rPr>
      </w:pPr>
      <w:r>
        <w:rPr>
          <w:rFonts w:hint="eastAsia" w:ascii="宋体" w:hAnsi="宋体"/>
          <w:color w:val="auto"/>
          <w:spacing w:val="6"/>
          <w:sz w:val="24"/>
          <w:highlight w:val="none"/>
        </w:rPr>
      </w:r>
      <w:r/>
    </w:p>
    <w:p>
      <w:pPr>
        <w:pStyle w:val="930"/>
        <w:rPr>
          <w:rFonts w:hint="eastAsia" w:ascii="宋体" w:hAnsi="宋体"/>
          <w:color w:val="auto"/>
          <w:spacing w:val="6"/>
          <w:highlight w:val="none"/>
        </w:rPr>
      </w:pPr>
      <w:r>
        <w:rPr>
          <w:rFonts w:hint="eastAsia" w:ascii="宋体" w:hAnsi="宋体"/>
          <w:color w:val="auto"/>
          <w:spacing w:val="6"/>
          <w:highlight w:val="none"/>
        </w:rPr>
      </w:r>
      <w:r/>
    </w:p>
    <w:p>
      <w:pPr>
        <w:rPr>
          <w:rFonts w:hint="eastAsia" w:ascii="宋体" w:hAnsi="宋体"/>
          <w:color w:val="auto"/>
          <w:spacing w:val="6"/>
          <w:sz w:val="24"/>
          <w:highlight w:val="none"/>
        </w:rPr>
      </w:pPr>
      <w:r>
        <w:rPr>
          <w:rFonts w:hint="eastAsia" w:ascii="宋体" w:hAnsi="宋体"/>
          <w:color w:val="auto"/>
          <w:spacing w:val="6"/>
          <w:sz w:val="24"/>
          <w:highlight w:val="none"/>
        </w:rPr>
      </w:r>
      <w:r/>
    </w:p>
    <w:p>
      <w:pPr>
        <w:pStyle w:val="930"/>
        <w:rPr>
          <w:rFonts w:hint="eastAsia" w:ascii="宋体" w:hAnsi="宋体"/>
          <w:color w:val="auto"/>
          <w:spacing w:val="6"/>
          <w:highlight w:val="none"/>
        </w:rPr>
      </w:pPr>
      <w:r>
        <w:rPr>
          <w:rFonts w:hint="eastAsia" w:ascii="宋体" w:hAnsi="宋体"/>
          <w:color w:val="auto"/>
          <w:spacing w:val="6"/>
          <w:highlight w:val="none"/>
        </w:rPr>
      </w:r>
      <w:r/>
    </w:p>
    <w:p>
      <w:pPr>
        <w:rPr>
          <w:rFonts w:hint="eastAsia" w:ascii="宋体" w:hAnsi="宋体"/>
          <w:color w:val="auto"/>
          <w:spacing w:val="6"/>
          <w:sz w:val="24"/>
          <w:highlight w:val="none"/>
        </w:rPr>
      </w:pPr>
      <w:r>
        <w:rPr>
          <w:rFonts w:hint="eastAsia" w:ascii="宋体" w:hAnsi="宋体"/>
          <w:color w:val="auto"/>
          <w:spacing w:val="6"/>
          <w:sz w:val="24"/>
          <w:highlight w:val="none"/>
        </w:rPr>
      </w:r>
      <w:r/>
    </w:p>
    <w:p>
      <w:pPr>
        <w:pStyle w:val="930"/>
        <w:rPr>
          <w:rFonts w:hint="eastAsia" w:ascii="宋体" w:hAnsi="宋体"/>
          <w:color w:val="auto"/>
          <w:spacing w:val="6"/>
          <w:highlight w:val="none"/>
        </w:rPr>
      </w:pPr>
      <w:r>
        <w:rPr>
          <w:rFonts w:hint="eastAsia" w:ascii="宋体" w:hAnsi="宋体"/>
          <w:color w:val="auto"/>
          <w:spacing w:val="6"/>
          <w:highlight w:val="none"/>
        </w:rPr>
      </w:r>
      <w:r/>
    </w:p>
    <w:p>
      <w:pPr>
        <w:rPr>
          <w:rFonts w:hint="eastAsia" w:ascii="宋体" w:hAnsi="宋体"/>
          <w:color w:val="auto"/>
          <w:spacing w:val="6"/>
          <w:sz w:val="24"/>
          <w:highlight w:val="none"/>
        </w:rPr>
      </w:pPr>
      <w:r>
        <w:rPr>
          <w:rFonts w:hint="eastAsia" w:ascii="宋体" w:hAnsi="宋体"/>
          <w:color w:val="auto"/>
          <w:spacing w:val="6"/>
          <w:sz w:val="24"/>
          <w:highlight w:val="none"/>
        </w:rPr>
      </w:r>
      <w:r/>
    </w:p>
    <w:p>
      <w:pPr>
        <w:pStyle w:val="930"/>
        <w:rPr>
          <w:rFonts w:hint="eastAsia" w:ascii="宋体" w:hAnsi="宋体"/>
          <w:color w:val="auto"/>
          <w:spacing w:val="6"/>
          <w:highlight w:val="none"/>
        </w:rPr>
      </w:pPr>
      <w:r>
        <w:rPr>
          <w:rFonts w:hint="eastAsia" w:ascii="宋体" w:hAnsi="宋体"/>
          <w:color w:val="auto"/>
          <w:spacing w:val="6"/>
          <w:highlight w:val="none"/>
        </w:rPr>
      </w:r>
      <w:r/>
    </w:p>
    <w:p>
      <w:pPr>
        <w:rPr>
          <w:rFonts w:hint="eastAsia" w:ascii="宋体" w:hAnsi="宋体"/>
          <w:color w:val="auto"/>
          <w:spacing w:val="6"/>
          <w:sz w:val="24"/>
          <w:highlight w:val="none"/>
        </w:rPr>
      </w:pPr>
      <w:r>
        <w:rPr>
          <w:rFonts w:hint="eastAsia" w:ascii="宋体" w:hAnsi="宋体"/>
          <w:color w:val="auto"/>
          <w:spacing w:val="6"/>
          <w:sz w:val="24"/>
          <w:highlight w:val="none"/>
        </w:rPr>
      </w:r>
      <w:r/>
    </w:p>
    <w:p>
      <w:pPr>
        <w:pStyle w:val="930"/>
        <w:rPr>
          <w:rFonts w:hint="eastAsia" w:ascii="宋体" w:hAnsi="宋体"/>
          <w:color w:val="auto"/>
          <w:spacing w:val="6"/>
          <w:highlight w:val="none"/>
        </w:rPr>
      </w:pPr>
      <w:r>
        <w:rPr>
          <w:rFonts w:hint="eastAsia" w:ascii="宋体" w:hAnsi="宋体"/>
          <w:color w:val="auto"/>
          <w:spacing w:val="6"/>
          <w:highlight w:val="none"/>
        </w:rPr>
      </w:r>
      <w:r/>
    </w:p>
    <w:p>
      <w:pPr>
        <w:rPr>
          <w:rFonts w:hint="eastAsia" w:ascii="宋体" w:hAnsi="宋体"/>
          <w:color w:val="auto"/>
          <w:spacing w:val="6"/>
          <w:sz w:val="24"/>
          <w:highlight w:val="none"/>
        </w:rPr>
      </w:pPr>
      <w:r>
        <w:rPr>
          <w:rFonts w:hint="eastAsia" w:ascii="宋体" w:hAnsi="宋体"/>
          <w:color w:val="auto"/>
          <w:spacing w:val="6"/>
          <w:sz w:val="24"/>
          <w:highlight w:val="none"/>
        </w:rPr>
      </w:r>
      <w:r/>
    </w:p>
    <w:p>
      <w:pPr>
        <w:pStyle w:val="930"/>
        <w:rPr>
          <w:rFonts w:hint="eastAsia" w:ascii="宋体" w:hAnsi="宋体"/>
          <w:color w:val="auto"/>
          <w:spacing w:val="6"/>
          <w:highlight w:val="none"/>
        </w:rPr>
      </w:pPr>
      <w:r>
        <w:rPr>
          <w:rFonts w:hint="eastAsia" w:ascii="宋体" w:hAnsi="宋体"/>
          <w:color w:val="auto"/>
          <w:spacing w:val="6"/>
          <w:highlight w:val="none"/>
        </w:rPr>
      </w:r>
      <w:r/>
    </w:p>
    <w:p>
      <w:pPr>
        <w:rPr>
          <w:rFonts w:hint="eastAsia" w:ascii="宋体" w:hAnsi="宋体"/>
          <w:color w:val="auto"/>
          <w:spacing w:val="6"/>
          <w:sz w:val="24"/>
          <w:highlight w:val="none"/>
        </w:rPr>
      </w:pPr>
      <w:r>
        <w:rPr>
          <w:rFonts w:hint="eastAsia" w:ascii="宋体" w:hAnsi="宋体"/>
          <w:color w:val="auto"/>
          <w:spacing w:val="6"/>
          <w:sz w:val="24"/>
          <w:highlight w:val="none"/>
        </w:rPr>
      </w:r>
      <w:r/>
    </w:p>
    <w:p>
      <w:pPr>
        <w:jc w:val="center"/>
        <w:spacing w:line="400" w:lineRule="exact"/>
        <w:rPr>
          <w:rFonts w:hint="eastAsia"/>
          <w:b/>
          <w:color w:val="auto"/>
          <w:spacing w:val="20"/>
          <w:sz w:val="32"/>
          <w:szCs w:val="32"/>
          <w:highlight w:val="none"/>
        </w:rPr>
        <w:outlineLvl w:val="2"/>
      </w:pPr>
      <w:r>
        <w:rPr>
          <w:rFonts w:hint="eastAsia"/>
          <w:b/>
          <w:color w:val="auto"/>
          <w:spacing w:val="20"/>
          <w:sz w:val="32"/>
          <w:szCs w:val="32"/>
          <w:highlight w:val="none"/>
        </w:rPr>
        <w:t xml:space="preserve">六、关于符合本国产品标准的声明函</w:t>
      </w:r>
      <w:r/>
    </w:p>
    <w:p>
      <w:pPr>
        <w:pStyle w:val="910"/>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10"/>
        <w:ind w:firstLine="420"/>
        <w:spacing w:before="0" w:beforeAutospacing="0" w:after="0" w:afterAutospacing="0" w:line="500" w:lineRule="exact"/>
        <w:rPr>
          <w:rFonts w:hint="eastAsia"/>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0"/>
        <w:ind w:firstLine="420"/>
        <w:spacing w:before="0" w:beforeAutospacing="0" w:after="0" w:afterAutospacing="0" w:line="500" w:lineRule="exac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635" t="4445" r="1905" b="11430"/>
                <wp:wrapNone/>
                <wp:docPr id="14"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635" t="4445" r="6985" b="12700"/>
                <wp:wrapNone/>
                <wp:docPr id="15"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10160" b="15875"/>
                <wp:wrapNone/>
                <wp:docPr id="17" name="直接箭头连接符 7"/>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2700"/>
                <wp:wrapNone/>
                <wp:docPr id="18" name="直接箭头连接符 9"/>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635" t="4445" r="5715" b="1587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shd w:val="clear" w:color="auto" w:fill="ffffff"/>
        </w:rPr>
        <w:t xml:space="preserve">1.</w:t>
      </w:r>
      <w:r>
        <w:rPr>
          <w:rStyle w:val="913"/>
          <w:rFonts w:hint="eastAsia"/>
          <w:color w:val="auto"/>
          <w:highlight w:val="none"/>
          <w:u w:val="single"/>
          <w:shd w:val="clear" w:color="auto" w:fill="ffffff"/>
        </w:rPr>
        <w:t xml:space="preserve">（产品名称1）</w:t>
      </w:r>
      <w:r>
        <w:rPr>
          <w:rStyle w:val="913"/>
          <w:rFonts w:hint="eastAsia"/>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913"/>
          <w:rFonts w:hint="eastAsia"/>
          <w:color w:val="auto"/>
          <w:highlight w:val="none"/>
          <w:u w:val="single"/>
          <w:shd w:val="clear" w:color="auto" w:fill="ffffff"/>
        </w:rPr>
        <w:t xml:space="preserve">（厂名）</w:t>
      </w:r>
      <w:r>
        <w:rPr>
          <w:rStyle w:val="913"/>
          <w:rFonts w:hint="eastAsia"/>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13"/>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913"/>
          <w:rFonts w:hint="eastAsia"/>
          <w:color w:val="auto"/>
          <w:highlight w:val="none"/>
          <w:u w:val="single"/>
          <w:shd w:val="clear" w:color="auto" w:fill="ffffff"/>
        </w:rPr>
        <w:t xml:space="preserve">（产品名称1） </w:t>
      </w:r>
      <w:r>
        <w:rPr>
          <w:rFonts w:hint="eastAsia"/>
          <w:color w:val="auto"/>
          <w:highlight w:val="none"/>
          <w:shd w:val="clear" w:color="auto" w:fill="ffffff"/>
        </w:rPr>
        <w:t xml:space="preserve">的中国境内生产的组件成本占比≥</w:t>
      </w:r>
      <w:r>
        <w:rPr>
          <w:rStyle w:val="913"/>
          <w:rFonts w:hint="eastAsia"/>
          <w:color w:val="auto"/>
          <w:highlight w:val="none"/>
          <w:u w:val="single"/>
          <w:shd w:val="clear" w:color="auto" w:fill="ffffff"/>
        </w:rPr>
        <w:t xml:space="preserve">（规定比例）</w:t>
      </w:r>
      <w:r>
        <w:rPr>
          <w:rStyle w:val="913"/>
          <w:rFonts w:hint="eastAsia"/>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913"/>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13"/>
          <w:rFonts w:hint="eastAsia"/>
          <w:color w:val="auto"/>
          <w:highlight w:val="none"/>
          <w:u w:val="single"/>
          <w:shd w:val="clear" w:color="auto" w:fill="ffffff"/>
        </w:rPr>
        <w:t xml:space="preserve">（关键组件）</w:t>
      </w:r>
      <w:r>
        <w:rPr>
          <w:rStyle w:val="913"/>
          <w:rFonts w:hint="eastAsia"/>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913"/>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13"/>
          <w:rFonts w:hint="eastAsia"/>
          <w:color w:val="auto"/>
          <w:highlight w:val="none"/>
          <w:u w:val="single"/>
          <w:shd w:val="clear" w:color="auto" w:fill="ffffff"/>
        </w:rPr>
        <w:t xml:space="preserve">（关键工序）</w:t>
      </w:r>
      <w:r>
        <w:rPr>
          <w:rStyle w:val="913"/>
          <w:rFonts w:hint="eastAsia"/>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910"/>
        <w:ind w:firstLine="420"/>
        <w:spacing w:before="0" w:beforeAutospacing="0" w:after="0" w:afterAutospacing="0" w:line="500" w:lineRule="exac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1270" t="4445" r="13970" b="18415"/>
                <wp:wrapNone/>
                <wp:docPr id="20" name="直接箭头连接符 5"/>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2540" b="18415"/>
                <wp:wrapNone/>
                <wp:docPr id="21" name="直接箭头连接符 4"/>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0160" b="10795"/>
                <wp:wrapNone/>
                <wp:docPr id="22" name="直接箭头连接符 3"/>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635" t="4445" r="8890" b="6985"/>
                <wp:wrapNone/>
                <wp:docPr id="23"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24" name="直接箭头连接符 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25" name="直接箭头连接符 23"/>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auto"/>
          <w:highlight w:val="none"/>
          <w:shd w:val="clear" w:color="auto" w:fill="ffffff"/>
        </w:rPr>
        <w:t xml:space="preserve">2.</w:t>
      </w:r>
      <w:r>
        <w:rPr>
          <w:rStyle w:val="913"/>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913"/>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13"/>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13"/>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913"/>
          <w:rFonts w:hint="eastAsia"/>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913"/>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13"/>
          <w:rFonts w:hint="eastAsia"/>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913"/>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13"/>
          <w:rFonts w:hint="eastAsia"/>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910"/>
        <w:ind w:firstLine="42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w:t>
      </w:r>
      <w:r/>
    </w:p>
    <w:p>
      <w:pPr>
        <w:pStyle w:val="910"/>
        <w:ind w:firstLine="42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910"/>
        <w:spacing w:before="0" w:beforeAutospacing="0" w:after="0" w:afterAutospacing="0" w:line="500" w:lineRule="exact"/>
        <w:rPr>
          <w:rFonts w:hint="eastAsia"/>
          <w:color w:val="auto"/>
          <w:highlight w:val="none"/>
        </w:rPr>
      </w:pPr>
      <w:r>
        <w:rPr>
          <w:rFonts w:hint="eastAsia"/>
          <w:color w:val="auto"/>
          <w:highlight w:val="none"/>
        </w:rPr>
      </w:r>
      <w:r/>
    </w:p>
    <w:p>
      <w:pPr>
        <w:pStyle w:val="910"/>
        <w:ind w:firstLine="396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公司（单位）名称（盖章）：　        </w:t>
      </w:r>
      <w:r/>
    </w:p>
    <w:p>
      <w:pPr>
        <w:pStyle w:val="910"/>
        <w:jc w:val="center"/>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                                日期：　   年　  月　  日         </w:t>
      </w:r>
      <w:r/>
    </w:p>
    <w:p>
      <w:pPr>
        <w:pStyle w:val="91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__________________</w:t>
      </w:r>
      <w:r/>
    </w:p>
    <w:p>
      <w:pPr>
        <w:pStyle w:val="91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1.产品如有型号，请在“产品名称”栏一并填写。</w:t>
      </w:r>
      <w:r/>
    </w:p>
    <w:p>
      <w:pPr>
        <w:pStyle w:val="91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2.生产厂名与厂址应与生产厂营业执照载明的相关信息保持一致。</w:t>
      </w:r>
      <w:r/>
    </w:p>
    <w:p>
      <w:pPr>
        <w:pStyle w:val="91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3.该产品的中国境内生产的组件成本占比相关要求实施前，“规定比例”栏可不填，下同。</w:t>
      </w:r>
      <w:r/>
    </w:p>
    <w:p>
      <w:pPr>
        <w:pStyle w:val="91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4.该产品的关键组件要求实施前，“关键组件”栏可不填，下同。</w:t>
      </w:r>
      <w:r/>
    </w:p>
    <w:p>
      <w:pPr>
        <w:pStyle w:val="910"/>
        <w:spacing w:before="0" w:beforeAutospacing="0" w:after="0" w:afterAutospacing="0" w:line="500" w:lineRule="exact"/>
        <w:rPr>
          <w:rFonts w:hint="eastAsia"/>
          <w:color w:val="auto"/>
          <w:highlight w:val="none"/>
          <w:shd w:val="clear" w:color="auto" w:fill="ffffff"/>
        </w:rPr>
      </w:pPr>
      <w:r>
        <w:rPr>
          <w:rFonts w:hint="eastAsia"/>
          <w:color w:val="auto"/>
          <w:highlight w:val="none"/>
          <w:shd w:val="clear" w:color="auto" w:fill="ffffff"/>
        </w:rPr>
        <w:t xml:space="preserve">5.该产品的关键工序要求实施前，“关键工序”栏可不填，下同。</w:t>
      </w:r>
      <w:r/>
    </w:p>
    <w:p>
      <w:pPr>
        <w:pStyle w:val="910"/>
        <w:spacing w:before="0" w:beforeAutospacing="0" w:after="0" w:afterAutospacing="0" w:line="500" w:lineRule="exact"/>
        <w:rPr>
          <w:rFonts w:hint="eastAsia"/>
          <w:color w:val="auto"/>
          <w:highlight w:val="none"/>
          <w:shd w:val="clear" w:color="auto" w:fill="ffffff"/>
        </w:rPr>
      </w:pPr>
      <w:r>
        <w:rPr>
          <w:rFonts w:hint="eastAsia"/>
          <w:color w:val="auto"/>
          <w:highlight w:val="none"/>
          <w:shd w:val="clear" w:color="auto" w:fill="ffffff"/>
        </w:rPr>
        <w:t xml:space="preserve">6.用斜线划除的地方无需填写。</w:t>
      </w:r>
      <w:r/>
    </w:p>
    <w:p>
      <w:pPr>
        <w:pStyle w:val="930"/>
        <w:rPr>
          <w:rFonts w:hint="eastAsia"/>
          <w:color w:val="auto"/>
          <w:highlight w:val="none"/>
        </w:rPr>
        <w:sectPr>
          <w:footerReference w:type="default" r:id="rId18"/>
          <w:footnotePr/>
          <w:endnotePr/>
          <w:type w:val="nextPage"/>
          <w:pgSz w:w="11905" w:h="16838" w:orient="portrait"/>
          <w:pgMar w:top="1417" w:right="1134" w:bottom="1417" w:left="1701" w:header="851" w:footer="850" w:gutter="0"/>
          <w:cols w:num="1" w:sep="0" w:space="720" w:equalWidth="1"/>
          <w:docGrid w:linePitch="360"/>
        </w:sectPr>
      </w:pPr>
      <w:r>
        <w:rPr>
          <w:rFonts w:hint="eastAsia"/>
          <w:color w:val="auto"/>
          <w:highlight w:val="none"/>
        </w:rPr>
      </w:r>
      <w:r/>
    </w:p>
    <w:p>
      <w:pPr>
        <w:ind w:firstLine="2890"/>
        <w:spacing w:line="400" w:lineRule="exact"/>
        <w:rPr>
          <w:b/>
          <w:color w:val="auto"/>
          <w:spacing w:val="20"/>
          <w:sz w:val="32"/>
          <w:szCs w:val="32"/>
          <w:highlight w:val="none"/>
        </w:rPr>
        <w:outlineLvl w:val="2"/>
      </w:pPr>
      <w:r>
        <w:rPr>
          <w:rFonts w:hint="eastAsia"/>
          <w:b/>
          <w:color w:val="auto"/>
          <w:spacing w:val="20"/>
          <w:sz w:val="32"/>
          <w:szCs w:val="32"/>
          <w:highlight w:val="none"/>
        </w:rPr>
        <w:t xml:space="preserve">七、项目实施方案 </w:t>
      </w:r>
      <w:r/>
    </w:p>
    <w:p>
      <w:pPr>
        <w:pStyle w:val="916"/>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根据评分标准提供</w:t>
      </w:r>
      <w:r/>
    </w:p>
    <w:p>
      <w:pPr>
        <w:pStyle w:val="921"/>
        <w:rPr>
          <w:rFonts w:hint="eastAsia"/>
          <w:color w:val="auto"/>
          <w:highlight w:val="none"/>
        </w:rPr>
      </w:pPr>
      <w:r>
        <w:rPr>
          <w:rFonts w:hint="eastAsia"/>
          <w:color w:val="auto"/>
          <w:highlight w:val="none"/>
        </w:rPr>
      </w:r>
      <w:r/>
    </w:p>
    <w:p>
      <w:pPr>
        <w:ind w:firstLine="4413"/>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ind w:firstLine="4413"/>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ind w:firstLine="4413"/>
        <w:jc w:val="left"/>
        <w:spacing w:line="400" w:lineRule="exact"/>
        <w:widowControl/>
        <w:rPr>
          <w:rFonts w:hint="eastAsia" w:ascii="宋体" w:hAnsi="宋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olor w:val="auto"/>
          <w:sz w:val="24"/>
          <w:highlight w:val="none"/>
        </w:rPr>
        <w:t xml:space="preserve">  </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center"/>
        <w:rPr>
          <w:rFonts w:hint="eastAsia" w:ascii="宋体" w:hAnsi="宋体"/>
          <w:color w:val="auto"/>
          <w:sz w:val="24"/>
          <w:szCs w:val="20"/>
          <w:highlight w:val="none"/>
        </w:rPr>
      </w:pPr>
      <w:r>
        <w:rPr>
          <w:rFonts w:hint="eastAsia" w:ascii="宋体" w:hAnsi="宋体"/>
          <w:color w:val="auto"/>
          <w:sz w:val="24"/>
          <w:szCs w:val="20"/>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spacing w:line="400" w:lineRule="exact"/>
        <w:rPr>
          <w:rFonts w:ascii="楷体_GB2312" w:eastAsia="楷体_GB2312"/>
          <w:color w:val="auto"/>
          <w:sz w:val="24"/>
          <w:highlight w:val="none"/>
        </w:rPr>
        <w:outlineLvl w:val="2"/>
      </w:pPr>
      <w:r>
        <w:rPr>
          <w:rFonts w:ascii="楷体_GB2312" w:eastAsia="楷体_GB2312"/>
          <w:color w:val="auto"/>
          <w:sz w:val="24"/>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ind w:firstLine="2529"/>
        <w:spacing w:line="400" w:lineRule="exact"/>
        <w:rPr>
          <w:b/>
          <w:color w:val="auto"/>
          <w:spacing w:val="20"/>
          <w:sz w:val="32"/>
          <w:szCs w:val="32"/>
          <w:highlight w:val="none"/>
        </w:rPr>
        <w:outlineLvl w:val="2"/>
      </w:pPr>
      <w:r>
        <w:rPr>
          <w:b/>
          <w:color w:val="auto"/>
          <w:spacing w:val="20"/>
          <w:sz w:val="32"/>
          <w:szCs w:val="32"/>
          <w:highlight w:val="none"/>
        </w:rPr>
      </w:r>
      <w:r/>
    </w:p>
    <w:p>
      <w:pPr>
        <w:ind w:firstLine="2529"/>
        <w:spacing w:line="400" w:lineRule="exact"/>
        <w:rPr>
          <w:b/>
          <w:color w:val="auto"/>
          <w:spacing w:val="20"/>
          <w:sz w:val="32"/>
          <w:szCs w:val="32"/>
          <w:highlight w:val="none"/>
        </w:rPr>
        <w:outlineLvl w:val="2"/>
      </w:pPr>
      <w:r>
        <w:rPr>
          <w:rFonts w:hint="eastAsia"/>
          <w:b/>
          <w:color w:val="auto"/>
          <w:spacing w:val="20"/>
          <w:sz w:val="32"/>
          <w:szCs w:val="32"/>
          <w:highlight w:val="none"/>
        </w:rPr>
        <w:t xml:space="preserve">八、基本服务承诺书 </w:t>
      </w:r>
      <w:r>
        <w:rPr>
          <w:b/>
          <w:color w:val="auto"/>
          <w:spacing w:val="20"/>
          <w:sz w:val="32"/>
          <w:szCs w:val="32"/>
          <w:highlight w:val="none"/>
        </w:rPr>
        <w:t xml:space="preserve"> </w:t>
      </w:r>
      <w:r/>
    </w:p>
    <w:p>
      <w:pPr>
        <w:spacing w:line="40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numPr>
          <w:ilvl w:val="0"/>
          <w:numId w:val="13"/>
        </w:numPr>
        <w:ind w:firstLine="480"/>
        <w:spacing w:line="400" w:lineRule="exact"/>
        <w:rPr>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hint="eastAsia" w:ascii="宋体" w:hAnsi="宋体"/>
          <w:bCs/>
          <w:color w:val="auto"/>
          <w:sz w:val="24"/>
          <w:highlight w:val="none"/>
        </w:rPr>
      </w:pPr>
      <w:r>
        <w:rPr>
          <w:rFonts w:hint="eastAsia" w:ascii="宋体" w:hAnsi="宋体"/>
          <w:bCs/>
          <w:color w:val="auto"/>
          <w:sz w:val="24"/>
          <w:highlight w:val="none"/>
        </w:rPr>
      </w:r>
      <w:r/>
    </w:p>
    <w:p>
      <w:pPr>
        <w:pStyle w:val="921"/>
        <w:rPr>
          <w:rFonts w:hint="eastAsia"/>
          <w:color w:val="auto"/>
          <w:highlight w:val="none"/>
        </w:rPr>
      </w:pPr>
      <w:r>
        <w:rPr>
          <w:rFonts w:hint="eastAsia"/>
          <w:color w:val="auto"/>
          <w:highlight w:val="none"/>
        </w:rPr>
      </w:r>
      <w:r/>
    </w:p>
    <w:p>
      <w:pPr>
        <w:ind w:firstLine="43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keepLines/>
        <w:keepNext/>
        <w:spacing w:after="240" w:line="360" w:lineRule="auto"/>
        <w:widowControl/>
        <w:rPr>
          <w:color w:val="auto"/>
          <w:highlight w:val="none"/>
        </w:rPr>
        <w:outlineLvl w:val="1"/>
      </w:pPr>
      <w:r>
        <w:rPr>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jc w:val="center"/>
        <w:spacing w:line="360" w:lineRule="auto"/>
        <w:rPr>
          <w:b/>
          <w:color w:val="auto"/>
          <w:spacing w:val="20"/>
          <w:sz w:val="30"/>
          <w:szCs w:val="30"/>
          <w:highlight w:val="none"/>
        </w:rPr>
      </w:pPr>
      <w:r>
        <w:rPr>
          <w:rFonts w:hint="eastAsia"/>
          <w:b/>
          <w:color w:val="auto"/>
          <w:spacing w:val="20"/>
          <w:sz w:val="30"/>
          <w:szCs w:val="30"/>
          <w:highlight w:val="none"/>
        </w:rPr>
        <w:t xml:space="preserve">九、法人授权书（实质性格式）</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本授权书声明：</w:t>
      </w:r>
      <w:r>
        <w:rPr>
          <w:color w:val="auto"/>
          <w:sz w:val="24"/>
          <w:highlight w:val="none"/>
        </w:rPr>
        <w:t xml:space="preserve">____________</w:t>
      </w:r>
      <w:r>
        <w:rPr>
          <w:rFonts w:hint="eastAsia"/>
          <w:color w:val="auto"/>
          <w:sz w:val="24"/>
          <w:highlight w:val="none"/>
        </w:rPr>
        <w:t xml:space="preserve">（供应商名称）授权</w:t>
      </w:r>
      <w:r>
        <w:rPr>
          <w:color w:val="auto"/>
          <w:sz w:val="24"/>
          <w:highlight w:val="none"/>
        </w:rPr>
        <w:t xml:space="preserve">________________</w:t>
      </w:r>
      <w:r>
        <w:rPr>
          <w:rFonts w:hint="eastAsia"/>
          <w:color w:val="auto"/>
          <w:sz w:val="24"/>
          <w:highlight w:val="none"/>
        </w:rPr>
        <w:t xml:space="preserve">（被授权人的姓名）为我方就</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本授权书于</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日起生效，特此声明。</w:t>
      </w:r>
      <w:r/>
    </w:p>
    <w:p>
      <w:pPr>
        <w:ind w:firstLine="480"/>
        <w:spacing w:line="360" w:lineRule="auto"/>
        <w:tabs>
          <w:tab w:val="left" w:pos="360" w:leader="none"/>
        </w:tabs>
        <w:rPr>
          <w:color w:val="auto"/>
          <w:sz w:val="24"/>
          <w:highlight w:val="none"/>
        </w:rPr>
      </w:pPr>
      <w:r>
        <w:rPr>
          <w:color w:val="auto"/>
          <w:sz w:val="24"/>
          <w:highlight w:val="none"/>
        </w:rPr>
      </w:r>
      <w:r/>
    </w:p>
    <w:p>
      <w:pPr>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被授权人身份证号码：</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ascii="宋体" w:hAnsi="宋体" w:cs="楷体"/>
          <w:color w:val="auto"/>
          <w:sz w:val="24"/>
          <w:highlight w:val="none"/>
        </w:rPr>
        <w:t xml:space="preserve">法定代表人身份证号码：</w:t>
      </w:r>
      <w:r>
        <w:rPr>
          <w:rFonts w:hint="eastAsia" w:ascii="宋体" w:hAnsi="宋体" w:cs="楷体"/>
          <w:color w:val="auto"/>
          <w:sz w:val="24"/>
          <w:highlight w:val="none"/>
          <w:u w:val="single"/>
        </w:rPr>
        <w:t xml:space="preserve">                      </w:t>
      </w:r>
      <w:r/>
    </w:p>
    <w:p>
      <w:pPr>
        <w:ind w:firstLine="480"/>
        <w:jc w:val="left"/>
        <w:spacing w:line="360" w:lineRule="auto"/>
        <w:rPr>
          <w:color w:val="auto"/>
          <w:sz w:val="20"/>
          <w:szCs w:val="20"/>
          <w:highlight w:val="none"/>
        </w:rPr>
      </w:pPr>
      <w:r>
        <w:rPr>
          <w:rFonts w:hint="eastAsia" w:ascii="宋体" w:hAnsi="宋体" w:cs="楷体"/>
          <w:color w:val="auto"/>
          <w:sz w:val="24"/>
          <w:highlight w:val="none"/>
        </w:rPr>
        <w:t xml:space="preserve">法定代表人联系方式（手机）：</w:t>
      </w:r>
      <w:r>
        <w:rPr>
          <w:rFonts w:hint="eastAsia" w:ascii="宋体" w:hAnsi="宋体" w:cs="楷体"/>
          <w:color w:val="auto"/>
          <w:sz w:val="24"/>
          <w:highlight w:val="none"/>
          <w:u w:val="single"/>
        </w:rPr>
        <w:t xml:space="preserve">              </w:t>
      </w:r>
      <w:r/>
    </w:p>
    <w:p>
      <w:pPr>
        <w:ind w:firstLine="4080"/>
        <w:spacing w:line="360" w:lineRule="auto"/>
        <w:tabs>
          <w:tab w:val="left" w:pos="360" w:leader="none"/>
        </w:tabs>
        <w:rPr>
          <w:color w:val="auto"/>
          <w:sz w:val="24"/>
          <w:highlight w:val="none"/>
        </w:rPr>
      </w:pPr>
      <w:r>
        <w:rPr>
          <w:color w:val="auto"/>
          <w:sz w:val="24"/>
          <w:highlight w:val="none"/>
        </w:rPr>
      </w:r>
      <w:r/>
    </w:p>
    <w:p>
      <w:pPr>
        <w:ind w:firstLine="4080"/>
        <w:spacing w:line="360" w:lineRule="auto"/>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日期：</w:t>
      </w:r>
      <w:bookmarkStart w:id="346" w:name="_Hlt26955070"/>
      <w:r/>
      <w:bookmarkEnd w:id="346"/>
      <w:r/>
      <w:bookmarkStart w:id="347" w:name="_格式3__银行出具的资信证明"/>
      <w:r/>
      <w:bookmarkEnd w:id="347"/>
      <w:r/>
      <w:bookmarkStart w:id="348" w:name="_Hlt26671380"/>
      <w:r/>
      <w:bookmarkEnd w:id="348"/>
      <w:r/>
      <w:r/>
    </w:p>
    <w:p>
      <w:pPr>
        <w:ind w:firstLine="480"/>
        <w:spacing w:line="360" w:lineRule="auto"/>
        <w:rPr>
          <w:rFonts w:hint="eastAsia" w:ascii="宋体" w:hAnsi="宋体" w:cs="楷体"/>
          <w:color w:val="auto"/>
          <w:sz w:val="24"/>
          <w:highlight w:val="none"/>
          <w:u w:val="single"/>
        </w:rPr>
      </w:pPr>
      <w:r>
        <w:rPr>
          <w:rFonts w:hint="eastAsia" w:ascii="宋体" w:hAnsi="宋体" w:cs="楷体"/>
          <w:color w:val="auto"/>
          <w:sz w:val="24"/>
          <w:highlight w:val="none"/>
        </w:rPr>
        <w:t xml:space="preserve">注意事项：</w:t>
      </w:r>
      <w:r>
        <w:rPr>
          <w:rFonts w:hint="eastAsia" w:ascii="宋体" w:hAnsi="宋体" w:cs="楷体"/>
          <w:color w:val="auto"/>
          <w:sz w:val="24"/>
          <w:highlight w:val="none"/>
          <w:u w:val="single"/>
        </w:rPr>
        <w:t xml:space="preserve">需附法定代表人第二代居民身份证复印件（正反面）和被授权人第二代居民身份证复印件（正反面）、</w:t>
      </w:r>
      <w:r>
        <w:rPr>
          <w:rFonts w:hint="eastAsia" w:ascii="宋体" w:hAnsi="宋体"/>
          <w:bCs/>
          <w:color w:val="auto"/>
          <w:sz w:val="24"/>
          <w:highlight w:val="none"/>
          <w:u w:val="single"/>
        </w:rPr>
        <w:t xml:space="preserve">投标人为授权委托人缴纳的近三个月的（不含开标当月）连续的社会基本养老保险的缴纳凭证（加盖社保中心章或社保中心参保缴费证明电子专用章）</w:t>
      </w:r>
      <w:r>
        <w:rPr>
          <w:rFonts w:hint="eastAsia" w:ascii="宋体" w:hAnsi="宋体" w:cs="楷体"/>
          <w:color w:val="auto"/>
          <w:sz w:val="24"/>
          <w:highlight w:val="none"/>
          <w:u w:val="single"/>
        </w:rPr>
        <w:t xml:space="preserve">。</w:t>
      </w:r>
      <w:r/>
    </w:p>
    <w:p>
      <w:pPr>
        <w:ind w:firstLine="480"/>
        <w:spacing w:line="360" w:lineRule="auto"/>
        <w:rPr>
          <w:rFonts w:hint="eastAsia" w:ascii="宋体" w:hAnsi="宋体" w:cs="楷体"/>
          <w:color w:val="auto"/>
          <w:sz w:val="24"/>
          <w:highlight w:val="none"/>
          <w:u w:val="single"/>
        </w:rPr>
      </w:pPr>
      <w:r>
        <w:rPr>
          <w:rFonts w:hint="eastAsia" w:ascii="宋体" w:hAnsi="宋体" w:cs="楷体"/>
          <w:color w:val="auto"/>
          <w:sz w:val="24"/>
          <w:highlight w:val="none"/>
          <w:u w:val="singl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ind w:firstLine="723"/>
        <w:jc w:val="center"/>
        <w:spacing w:after="120" w:line="360" w:lineRule="auto"/>
        <w:rPr>
          <w:b/>
          <w:color w:val="auto"/>
          <w:spacing w:val="20"/>
          <w:sz w:val="32"/>
          <w:szCs w:val="32"/>
          <w:highlight w:val="none"/>
        </w:rPr>
      </w:pPr>
      <w:r>
        <w:rPr>
          <w:rFonts w:hint="eastAsia"/>
          <w:b/>
          <w:color w:val="auto"/>
          <w:spacing w:val="20"/>
          <w:sz w:val="32"/>
          <w:szCs w:val="32"/>
          <w:highlight w:val="none"/>
        </w:rPr>
        <w:t xml:space="preserve">十、资格承诺声明函</w:t>
      </w:r>
      <w:r>
        <w:rPr>
          <w:b/>
          <w:color w:val="auto"/>
          <w:spacing w:val="20"/>
          <w:sz w:val="32"/>
          <w:szCs w:val="32"/>
          <w:highlight w:val="none"/>
        </w:rPr>
        <w:t xml:space="preserve">（实质性格式）</w:t>
      </w:r>
      <w:r/>
    </w:p>
    <w:p>
      <w:pPr>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致本项目采购单位及常州常投招标有限公司：</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按照《中华人民共和国政府采购法》第二十二条及招标文件的规定，我单位郑重声明如下：</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一、我单位全称为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，注册地点为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，统一社会信用代码为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，法定代表人（单位负责人）为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二、我单位具有独立承担民事责任的能力。</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三、我单位具有良好的商业信誉和健全的财务会计制度。</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四、我单位具有履行合同所必需的设备和专业技术能力。</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五、我单位有依法缴纳税收和社会保障资金的良好记录。</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七、我单位具备法律、行政法规规定的其他条件。</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r>
      <w:r/>
    </w:p>
    <w:p>
      <w:pPr>
        <w:pStyle w:val="929"/>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ind w:firstLine="480"/>
        <w:jc w:val="center"/>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432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法定代表人（负责人）：</w:t>
      </w:r>
      <w:r/>
    </w:p>
    <w:p>
      <w:pPr>
        <w:ind w:firstLine="480"/>
        <w:jc w:val="center"/>
        <w:spacing w:line="500" w:lineRule="exact"/>
        <w:rPr>
          <w:rFonts w:hint="eastAsia"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cs="楷体"/>
          <w:color w:val="auto"/>
          <w:sz w:val="24"/>
          <w:highlight w:val="none"/>
        </w:rPr>
        <w:t xml:space="preserve">日期：</w:t>
      </w:r>
      <w:r>
        <w:rPr>
          <w:rFonts w:ascii="宋体" w:hAnsi="宋体" w:cs="楷体"/>
          <w:color w:val="auto"/>
          <w:sz w:val="24"/>
          <w:highlight w:val="none"/>
        </w:rPr>
        <w:t xml:space="preserve">    </w:t>
      </w:r>
      <w:r>
        <w:rPr>
          <w:rFonts w:hint="eastAsia" w:ascii="宋体" w:hAnsi="宋体" w:cs="楷体"/>
          <w:color w:val="auto"/>
          <w:sz w:val="24"/>
          <w:highlight w:val="none"/>
        </w:rPr>
        <w:t xml:space="preserve">年</w:t>
      </w:r>
      <w:r>
        <w:rPr>
          <w:rFonts w:ascii="宋体" w:hAnsi="宋体" w:cs="楷体"/>
          <w:color w:val="auto"/>
          <w:sz w:val="24"/>
          <w:highlight w:val="none"/>
        </w:rPr>
        <w:t xml:space="preserve">   </w:t>
      </w:r>
      <w:r>
        <w:rPr>
          <w:rFonts w:hint="eastAsia" w:ascii="宋体" w:hAnsi="宋体" w:cs="楷体"/>
          <w:color w:val="auto"/>
          <w:sz w:val="24"/>
          <w:highlight w:val="none"/>
        </w:rPr>
        <w:t xml:space="preserve">月</w:t>
      </w:r>
      <w:r>
        <w:rPr>
          <w:rFonts w:ascii="宋体" w:hAnsi="宋体" w:cs="楷体"/>
          <w:color w:val="auto"/>
          <w:sz w:val="24"/>
          <w:highlight w:val="none"/>
        </w:rPr>
        <w:t xml:space="preserve">   </w:t>
      </w:r>
      <w:r>
        <w:rPr>
          <w:rFonts w:hint="eastAsia" w:ascii="宋体" w:hAnsi="宋体" w:cs="楷体"/>
          <w:color w:val="auto"/>
          <w:sz w:val="24"/>
          <w:highlight w:val="none"/>
        </w:rPr>
        <w:t xml:space="preserve">日</w:t>
      </w:r>
      <w:r/>
    </w:p>
    <w:p>
      <w:pPr>
        <w:spacing w:line="440" w:lineRule="exact"/>
        <w:widowControl/>
        <w:rPr>
          <w:rFonts w:hint="eastAsia" w:ascii="宋体" w:hAnsi="宋体" w:cs="楷体"/>
          <w:color w:val="auto"/>
          <w:sz w:val="24"/>
          <w:highlight w:val="none"/>
        </w:rPr>
      </w:pPr>
      <w:r>
        <w:rPr>
          <w:rFonts w:hint="eastAsia" w:ascii="宋体" w:hAnsi="宋体" w:cs="楷体"/>
          <w:color w:val="auto"/>
          <w:sz w:val="24"/>
          <w:highlight w:val="none"/>
        </w:rPr>
      </w:r>
      <w:r/>
    </w:p>
    <w:p>
      <w:pPr>
        <w:spacing w:line="440" w:lineRule="exact"/>
        <w:widowControl/>
        <w:rPr>
          <w:rFonts w:hint="eastAsia" w:ascii="宋体" w:hAnsi="宋体"/>
          <w:b/>
          <w:color w:val="auto"/>
          <w:sz w:val="24"/>
          <w:highlight w:val="none"/>
        </w:rPr>
      </w:pPr>
      <w:r>
        <w:rPr>
          <w:rFonts w:hint="eastAsia" w:ascii="宋体" w:hAnsi="宋体"/>
          <w:b/>
          <w:color w:val="auto"/>
          <w:sz w:val="24"/>
          <w:highlight w:val="none"/>
        </w:rPr>
      </w:r>
      <w:r/>
    </w:p>
    <w:p>
      <w:pPr>
        <w:spacing w:line="440" w:lineRule="exact"/>
        <w:widowControl/>
        <w:rPr>
          <w:rFonts w:hint="eastAsia" w:ascii="宋体" w:hAnsi="宋体"/>
          <w:b/>
          <w:color w:val="auto"/>
          <w:sz w:val="24"/>
          <w:highlight w:val="none"/>
        </w:rPr>
      </w:pPr>
      <w:r>
        <w:rPr>
          <w:rFonts w:hint="eastAsia" w:ascii="宋体" w:hAnsi="宋体"/>
          <w:b/>
          <w:color w:val="auto"/>
          <w:sz w:val="24"/>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spacing w:line="440" w:lineRule="exact"/>
        <w:widowControl/>
        <w:rPr>
          <w:rFonts w:hint="eastAsia" w:ascii="宋体" w:hAnsi="宋体"/>
          <w:b/>
          <w:color w:val="auto"/>
          <w:sz w:val="24"/>
          <w:highlight w:val="none"/>
        </w:rPr>
      </w:pPr>
      <w:r>
        <w:rPr>
          <w:rFonts w:hint="eastAsia" w:ascii="宋体" w:hAnsi="宋体"/>
          <w:b/>
          <w:color w:val="auto"/>
          <w:sz w:val="24"/>
          <w:highlight w:val="none"/>
        </w:rPr>
      </w:r>
      <w:r/>
    </w:p>
    <w:p>
      <w:pPr>
        <w:pStyle w:val="931"/>
        <w:spacing w:after="120" w:line="360" w:lineRule="auto"/>
        <w:rPr>
          <w:rFonts w:ascii="Times New Roman" w:eastAsia="宋体"/>
          <w:b/>
          <w:color w:val="auto"/>
          <w:spacing w:val="20"/>
          <w:sz w:val="32"/>
          <w:szCs w:val="32"/>
          <w:highlight w:val="none"/>
        </w:rPr>
      </w:pPr>
      <w:r>
        <w:rPr>
          <w:rFonts w:hint="eastAsia" w:ascii="Times New Roman" w:eastAsia="宋体"/>
          <w:b/>
          <w:color w:val="auto"/>
          <w:spacing w:val="20"/>
          <w:sz w:val="32"/>
          <w:szCs w:val="32"/>
          <w:highlight w:val="none"/>
        </w:rPr>
        <w:t xml:space="preserve">十一、政府采购供应商信用承诺书</w:t>
      </w:r>
      <w:r>
        <w:rPr>
          <w:rFonts w:ascii="Times New Roman" w:eastAsia="宋体"/>
          <w:b/>
          <w:color w:val="auto"/>
          <w:spacing w:val="20"/>
          <w:sz w:val="32"/>
          <w:szCs w:val="32"/>
          <w:highlight w:val="none"/>
        </w:rPr>
        <w:t xml:space="preserve">（实质性格式）</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为维护公开、公平、公正的政府采购市场秩序，树立诚实守信的供应商形象，本单位在参与政府采购活动中</w:t>
      </w:r>
      <w:r>
        <w:rPr>
          <w:rFonts w:hint="eastAsia" w:ascii="宋体" w:hAnsi="宋体" w:cs="楷体"/>
          <w:color w:val="auto"/>
          <w:sz w:val="24"/>
          <w:highlight w:val="none"/>
          <w:lang w:eastAsia="zh-CN"/>
        </w:rPr>
        <w:t xml:space="preserve">，</w:t>
      </w:r>
      <w:r>
        <w:rPr>
          <w:rFonts w:hint="eastAsia" w:ascii="宋体" w:hAnsi="宋体" w:cs="楷体"/>
          <w:color w:val="auto"/>
          <w:sz w:val="24"/>
          <w:highlight w:val="none"/>
        </w:rPr>
        <w:t xml:space="preserve">自愿作出以下承诺：</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五、承诺本单位自觉接受行政管理部门、行业组织、社会公众、新闻舆论的监督。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七、承诺本单位在信用中国（江苏）网站中无违法违规、较重或严重失信记录。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八、承诺本单位提出政府采购质疑和投诉坚持依法依规、诚实信用原则。</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九、根据政府采购相关法律法规的规定需要作出的其他承诺。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5040"/>
        <w:spacing w:line="400" w:lineRule="exact"/>
        <w:rPr>
          <w:rFonts w:hint="eastAsia"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504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法定代表人（负责人）：</w:t>
      </w:r>
      <w:r/>
    </w:p>
    <w:p>
      <w:pPr>
        <w:pStyle w:val="932"/>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年   月   日</w:t>
      </w:r>
      <w:r/>
    </w:p>
    <w:p>
      <w:pPr>
        <w:pStyle w:val="932"/>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pStyle w:val="932"/>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pStyle w:val="932"/>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ind w:firstLine="2168"/>
        <w:keepLines/>
        <w:keepNext/>
        <w:spacing w:after="240" w:line="360" w:lineRule="auto"/>
        <w:widowControl/>
        <w:rPr>
          <w:b/>
          <w:color w:val="auto"/>
          <w:spacing w:val="20"/>
          <w:sz w:val="32"/>
          <w:szCs w:val="32"/>
          <w:highlight w:val="none"/>
        </w:rPr>
        <w:outlineLvl w:val="2"/>
      </w:pPr>
      <w:r>
        <w:rPr>
          <w:rFonts w:hint="eastAsia"/>
          <w:b/>
          <w:color w:val="auto"/>
          <w:spacing w:val="20"/>
          <w:sz w:val="32"/>
          <w:szCs w:val="32"/>
          <w:highlight w:val="none"/>
        </w:rPr>
        <w:t xml:space="preserve">十二、投标函</w:t>
      </w:r>
      <w:r>
        <w:rPr>
          <w:b/>
          <w:color w:val="auto"/>
          <w:spacing w:val="20"/>
          <w:sz w:val="32"/>
          <w:szCs w:val="32"/>
          <w:highlight w:val="none"/>
        </w:rPr>
        <w:t xml:space="preserve">（实质性格式）</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致：常州常投招标有限公司</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号招标文件，正式授权_________________</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姓名</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代表我方______________（投标人的名称），全权处理本次项目投标的有关事宜。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我方将根据招标文件的规定，严格履行合同的责任和义务</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并保证在招标文件规定的时</w:t>
      </w:r>
      <w:r>
        <w:rPr>
          <w:rFonts w:hint="eastAsia" w:ascii="宋体" w:hAnsi="宋体"/>
          <w:color w:val="auto"/>
          <w:sz w:val="24"/>
          <w:szCs w:val="21"/>
          <w:highlight w:val="none"/>
          <w:lang w:eastAsia="zh-CN"/>
        </w:rPr>
        <w:t xml:space="preserve">间内</w:t>
      </w:r>
      <w:r>
        <w:rPr>
          <w:rFonts w:hint="eastAsia" w:ascii="宋体" w:hAnsi="宋体"/>
          <w:color w:val="auto"/>
          <w:sz w:val="24"/>
          <w:szCs w:val="21"/>
          <w:highlight w:val="none"/>
        </w:rPr>
        <w:t xml:space="preserve">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color w:val="auto"/>
          <w:highlight w:val="none"/>
        </w:rPr>
        <w:t xml:space="preserve"></w:t>
      </w:r>
      <w:bookmarkStart w:id="349"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49"/>
      <w:r/>
      <w:r/>
    </w:p>
    <w:p>
      <w:pPr>
        <w:ind w:left="420" w:firstLine="456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日期：________年____月____日</w:t>
      </w:r>
      <w:r/>
    </w:p>
    <w:p>
      <w:pPr>
        <w:pStyle w:val="916"/>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jc w:val="center"/>
        <w:rPr>
          <w:b/>
          <w:color w:val="auto"/>
          <w:spacing w:val="20"/>
          <w:sz w:val="32"/>
          <w:szCs w:val="32"/>
          <w:highlight w:val="none"/>
        </w:rPr>
      </w:pPr>
      <w:r>
        <w:rPr>
          <w:b/>
          <w:color w:val="auto"/>
          <w:spacing w:val="20"/>
          <w:sz w:val="32"/>
          <w:szCs w:val="32"/>
          <w:highlight w:val="none"/>
        </w:rPr>
      </w:r>
      <w:r/>
    </w:p>
    <w:p>
      <w:pPr>
        <w:pStyle w:val="933"/>
        <w:rPr>
          <w:color w:val="auto"/>
          <w:highlight w:val="none"/>
        </w:rPr>
      </w:pPr>
      <w:r>
        <w:rPr>
          <w:color w:val="auto"/>
          <w:highlight w:val="none"/>
        </w:rPr>
      </w:r>
      <w:r/>
    </w:p>
    <w:p>
      <w:pPr>
        <w:ind w:firstLine="2168"/>
        <w:keepLines/>
        <w:keepNext/>
        <w:spacing w:after="240" w:line="360" w:lineRule="auto"/>
        <w:widowControl/>
        <w:rPr>
          <w:b/>
          <w:color w:val="auto"/>
          <w:spacing w:val="20"/>
          <w:sz w:val="32"/>
          <w:szCs w:val="32"/>
          <w:highlight w:val="none"/>
        </w:rPr>
        <w:outlineLvl w:val="1"/>
      </w:pPr>
      <w:r>
        <w:rPr>
          <w:rFonts w:hint="eastAsia"/>
          <w:b/>
          <w:color w:val="auto"/>
          <w:spacing w:val="20"/>
          <w:sz w:val="32"/>
          <w:szCs w:val="32"/>
          <w:highlight w:val="none"/>
        </w:rPr>
        <w:t xml:space="preserve">十三、技术偏离表</w:t>
      </w:r>
      <w:r>
        <w:rPr>
          <w:b/>
          <w:color w:val="auto"/>
          <w:spacing w:val="20"/>
          <w:sz w:val="32"/>
          <w:szCs w:val="32"/>
          <w:highlight w:val="none"/>
        </w:rPr>
        <w:t xml:space="preserve">（实质性格式）</w:t>
      </w:r>
      <w:r/>
    </w:p>
    <w:p>
      <w:pPr>
        <w:spacing w:line="360" w:lineRule="auto"/>
        <w:rPr>
          <w:rFonts w:hint="eastAsia" w:ascii="宋体" w:hAnsi="宋体" w:cs="宋体"/>
          <w:color w:val="auto"/>
          <w:sz w:val="20"/>
          <w:szCs w:val="21"/>
          <w:highlight w:val="none"/>
          <w:lang w:bidi="ar"/>
        </w:rPr>
      </w:pPr>
      <w:r>
        <w:rPr>
          <w:rFonts w:hint="eastAsia" w:ascii="宋体" w:hAnsi="宋体" w:cs="宋体"/>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905"/>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序号</w:t>
            </w:r>
            <w:r/>
          </w:p>
        </w:tc>
        <w:tc>
          <w:tcPr>
            <w:tcW w:w="2421" w:type="dxa"/>
            <w:vAlign w:val="center"/>
            <w:textDirection w:val="lrTb"/>
            <w:noWrap w:val="false"/>
          </w:tcPr>
          <w:p>
            <w:pPr>
              <w:ind w:firstLine="48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名称及内容</w:t>
            </w:r>
            <w:r/>
          </w:p>
        </w:tc>
        <w:tc>
          <w:tcPr>
            <w:tcW w:w="1560"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招标文件技术参数</w:t>
            </w:r>
            <w:r/>
          </w:p>
        </w:tc>
        <w:tc>
          <w:tcPr>
            <w:tcW w:w="1419"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投标文件技术参数</w:t>
            </w:r>
            <w:r/>
          </w:p>
        </w:tc>
        <w:tc>
          <w:tcPr>
            <w:tcW w:w="2120" w:type="dxa"/>
            <w:vAlign w:val="center"/>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证明材料</w:t>
            </w:r>
            <w:r/>
          </w:p>
        </w:tc>
        <w:tc>
          <w:tcPr>
            <w:tcW w:w="1711" w:type="dxa"/>
            <w:vAlign w:val="center"/>
            <w:textDirection w:val="lrTb"/>
            <w:noWrap w:val="false"/>
          </w:tcPr>
          <w:p>
            <w:pPr>
              <w:ind w:firstLine="48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偏离情况</w:t>
            </w:r>
            <w:r/>
          </w:p>
          <w:p>
            <w:pP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rHeight w:val="90"/>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1</w:t>
            </w:r>
            <w:r/>
          </w:p>
        </w:tc>
        <w:tc>
          <w:tcPr>
            <w:tcW w:w="2421" w:type="dxa"/>
            <w:vAlign w:val="top"/>
            <w:textDirection w:val="lrTb"/>
            <w:noWrap w:val="false"/>
          </w:tcPr>
          <w:p>
            <w:pP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2</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72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3</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72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rHeight w:val="65"/>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bl>
    <w:p>
      <w:pPr>
        <w:spacing w:line="360" w:lineRule="auto"/>
        <w:rPr>
          <w:rFonts w:hint="eastAsia" w:ascii="宋体" w:hAnsi="宋体" w:cs="宋体"/>
          <w:color w:val="auto"/>
          <w:sz w:val="20"/>
          <w:szCs w:val="21"/>
          <w:highlight w:val="none"/>
        </w:rPr>
      </w:pPr>
      <w:r>
        <w:rPr>
          <w:rFonts w:hint="eastAsia" w:ascii="宋体" w:hAnsi="宋体" w:cs="宋体"/>
          <w:color w:val="auto"/>
          <w:sz w:val="20"/>
          <w:szCs w:val="21"/>
          <w:highlight w:val="none"/>
        </w:rPr>
        <w:t xml:space="preserve">                                                                                                                                                                                    </w:t>
      </w:r>
      <w:r/>
    </w:p>
    <w:p>
      <w:pPr>
        <w:ind w:firstLine="4440"/>
        <w:spacing w:line="360" w:lineRule="auto"/>
        <w:rPr>
          <w:rFonts w:ascii="黑体" w:eastAsia="黑体" w:cs="黑体"/>
          <w:bCs/>
          <w:color w:val="auto"/>
          <w:sz w:val="24"/>
          <w:highlight w:val="none"/>
          <w:lang w:bidi="ar"/>
        </w:rPr>
      </w:pPr>
      <w:r>
        <w:rPr>
          <w:rFonts w:ascii="黑体" w:eastAsia="黑体" w:cs="黑体"/>
          <w:bCs/>
          <w:color w:val="auto"/>
          <w:sz w:val="24"/>
          <w:highlight w:val="none"/>
          <w:lang w:bidi="ar"/>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921"/>
        <w:ind w:firstLine="4800"/>
        <w:rPr>
          <w:rFonts w:hint="eastAsia" w:ascii="宋体" w:hAnsi="宋体" w:cs="Times New Roman"/>
          <w:bCs/>
          <w:color w:val="auto"/>
          <w:highlight w:val="none"/>
        </w:rPr>
      </w:pPr>
      <w:r>
        <w:rPr>
          <w:rFonts w:hint="eastAsia" w:ascii="宋体" w:hAnsi="宋体" w:cs="Times New Roman"/>
          <w:bCs/>
          <w:color w:val="auto"/>
          <w:highlight w:val="none"/>
        </w:rPr>
        <w:t xml:space="preserve">日期：_____年______月______日</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注意事项：</w:t>
      </w:r>
      <w:r/>
    </w:p>
    <w:p>
      <w:pPr>
        <w:numPr>
          <w:ilvl w:val="0"/>
          <w:numId w:val="0"/>
        </w:numPr>
        <w:ind w:left="482"/>
        <w:spacing w:line="44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w:t>
      </w:r>
      <w:r>
        <w:rPr>
          <w:rFonts w:hint="eastAsia" w:ascii="宋体" w:hAnsi="宋体"/>
          <w:b/>
          <w:bCs/>
          <w:color w:val="auto"/>
          <w:sz w:val="24"/>
          <w:highlight w:val="none"/>
        </w:rPr>
        <w:t xml:space="preserve">请按上表格式，依照招标文件项目要求相应内容逐项响应。</w:t>
      </w:r>
      <w:r/>
    </w:p>
    <w:p>
      <w:pPr>
        <w:ind w:firstLine="482"/>
        <w:spacing w:line="440" w:lineRule="exact"/>
        <w:rPr>
          <w:rFonts w:hint="eastAsia" w:ascii="宋体" w:hAnsi="宋体"/>
          <w:b/>
          <w:bCs/>
          <w:color w:val="auto"/>
          <w:sz w:val="24"/>
          <w:highlight w:val="none"/>
        </w:rPr>
      </w:pP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如根据招标文件要求需提供“证明材料”的，需填写证明材料名称；招标文件未要求提供“证明材料”的，可不填写。</w:t>
      </w:r>
      <w:r/>
    </w:p>
    <w:p>
      <w:pPr>
        <w:ind w:firstLine="482"/>
        <w:spacing w:line="440" w:lineRule="exact"/>
        <w:rPr>
          <w:rFonts w:hint="eastAsia" w:ascii="宋体" w:hAnsi="宋体"/>
          <w:b/>
          <w:bCs/>
          <w:color w:val="auto"/>
          <w:sz w:val="24"/>
          <w:highlight w:val="none"/>
        </w:rPr>
      </w:pPr>
      <w:r>
        <w:rPr>
          <w:rFonts w:hint="eastAsia" w:ascii="宋体" w:hAnsi="宋体"/>
          <w:b/>
          <w:bCs/>
          <w:color w:val="auto"/>
          <w:sz w:val="24"/>
          <w:highlight w:val="none"/>
          <w:lang w:eastAsia="zh-CN"/>
        </w:rPr>
        <w:t xml:space="preserve">3.</w:t>
      </w:r>
      <w:r>
        <w:rPr>
          <w:rFonts w:hint="eastAsia" w:ascii="宋体" w:hAnsi="宋体"/>
          <w:b/>
          <w:bCs/>
          <w:color w:val="auto"/>
          <w:sz w:val="24"/>
          <w:highlight w:val="none"/>
        </w:rPr>
        <w:t xml:space="preserve">如投标人提供的货物或服务与招标文件的要求存在偏离，偏离情况可填写“正偏离”或“负偏离”；如完全满足招标文件要求，偏离情况填写“完全满足”即可。</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t xml:space="preserve">                      </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pStyle w:val="911"/>
        <w:rPr>
          <w:rFonts w:hint="eastAsia"/>
          <w:color w:val="auto"/>
          <w:sz w:val="20"/>
          <w:szCs w:val="20"/>
          <w:highlight w:val="none"/>
        </w:rPr>
      </w:pPr>
      <w:r>
        <w:rPr>
          <w:rFonts w:hint="eastAsia"/>
          <w:color w:val="auto"/>
          <w:sz w:val="20"/>
          <w:szCs w:val="20"/>
          <w:highlight w:val="none"/>
        </w:rPr>
      </w:r>
      <w:r/>
    </w:p>
    <w:p>
      <w:pPr>
        <w:pStyle w:val="911"/>
        <w:rPr>
          <w:rFonts w:hint="eastAsia"/>
          <w:color w:val="auto"/>
          <w:sz w:val="20"/>
          <w:szCs w:val="20"/>
          <w:highlight w:val="none"/>
        </w:rPr>
      </w:pPr>
      <w:r>
        <w:rPr>
          <w:rFonts w:hint="eastAsia"/>
          <w:color w:val="auto"/>
          <w:sz w:val="20"/>
          <w:szCs w:val="20"/>
          <w:highlight w:val="none"/>
        </w:rPr>
      </w:r>
      <w:r/>
    </w:p>
    <w:p>
      <w:pPr>
        <w:pStyle w:val="911"/>
        <w:rPr>
          <w:rFonts w:hint="eastAsia"/>
          <w:color w:val="auto"/>
          <w:sz w:val="20"/>
          <w:szCs w:val="20"/>
          <w:highlight w:val="none"/>
        </w:rPr>
      </w:pPr>
      <w:r>
        <w:rPr>
          <w:rFonts w:hint="eastAsia"/>
          <w:color w:val="auto"/>
          <w:sz w:val="20"/>
          <w:szCs w:val="20"/>
          <w:highlight w:val="none"/>
        </w:rPr>
      </w:r>
      <w:r/>
    </w:p>
    <w:p>
      <w:pPr>
        <w:pStyle w:val="911"/>
        <w:rPr>
          <w:rFonts w:hint="eastAsia"/>
          <w:color w:val="auto"/>
          <w:sz w:val="20"/>
          <w:szCs w:val="20"/>
          <w:highlight w:val="none"/>
        </w:rPr>
      </w:pPr>
      <w:r>
        <w:rPr>
          <w:rFonts w:hint="eastAsia"/>
          <w:color w:val="auto"/>
          <w:sz w:val="20"/>
          <w:szCs w:val="20"/>
          <w:highlight w:val="none"/>
        </w:rPr>
      </w:r>
      <w:r/>
    </w:p>
    <w:p>
      <w:pPr>
        <w:pStyle w:val="911"/>
        <w:rPr>
          <w:rFonts w:hint="eastAsia"/>
          <w:color w:val="auto"/>
          <w:sz w:val="20"/>
          <w:szCs w:val="20"/>
          <w:highlight w:val="none"/>
        </w:rPr>
      </w:pPr>
      <w:r>
        <w:rPr>
          <w:rFonts w:hint="eastAsia"/>
          <w:color w:val="auto"/>
          <w:sz w:val="20"/>
          <w:szCs w:val="20"/>
          <w:highlight w:val="none"/>
        </w:rPr>
      </w:r>
      <w:r/>
    </w:p>
    <w:p>
      <w:pPr>
        <w:pStyle w:val="911"/>
        <w:rPr>
          <w:rFonts w:hint="eastAsia"/>
          <w:color w:val="auto"/>
          <w:sz w:val="20"/>
          <w:szCs w:val="20"/>
          <w:highlight w:val="none"/>
        </w:rPr>
      </w:pPr>
      <w:r>
        <w:rPr>
          <w:rFonts w:hint="eastAsia"/>
          <w:color w:val="auto"/>
          <w:sz w:val="20"/>
          <w:szCs w:val="20"/>
          <w:highlight w:val="none"/>
        </w:rPr>
      </w:r>
      <w:r/>
    </w:p>
    <w:p>
      <w:pPr>
        <w:pStyle w:val="911"/>
        <w:rPr>
          <w:rFonts w:hint="eastAsia"/>
          <w:color w:val="auto"/>
          <w:sz w:val="20"/>
          <w:szCs w:val="20"/>
          <w:highlight w:val="none"/>
        </w:rPr>
      </w:pPr>
      <w:r>
        <w:rPr>
          <w:rFonts w:hint="eastAsia"/>
          <w:color w:val="auto"/>
          <w:sz w:val="20"/>
          <w:szCs w:val="20"/>
          <w:highlight w:val="none"/>
        </w:rPr>
      </w:r>
      <w:r/>
    </w:p>
    <w:p>
      <w:pPr>
        <w:pStyle w:val="911"/>
        <w:rPr>
          <w:rFonts w:hint="eastAsia"/>
          <w:color w:val="auto"/>
          <w:sz w:val="20"/>
          <w:szCs w:val="20"/>
          <w:highlight w:val="none"/>
        </w:rPr>
      </w:pPr>
      <w:r>
        <w:rPr>
          <w:rFonts w:hint="eastAsia"/>
          <w:color w:val="auto"/>
          <w:sz w:val="20"/>
          <w:szCs w:val="20"/>
          <w:highlight w:val="none"/>
        </w:rPr>
      </w:r>
      <w:r/>
    </w:p>
    <w:p>
      <w:pPr>
        <w:pStyle w:val="911"/>
        <w:rPr>
          <w:rFonts w:hint="eastAsia"/>
          <w:color w:val="auto"/>
          <w:sz w:val="20"/>
          <w:szCs w:val="20"/>
          <w:highlight w:val="none"/>
        </w:rPr>
      </w:pPr>
      <w:r>
        <w:rPr>
          <w:rFonts w:hint="eastAsia"/>
          <w:color w:val="auto"/>
          <w:sz w:val="20"/>
          <w:szCs w:val="20"/>
          <w:highlight w:val="none"/>
        </w:rPr>
      </w:r>
      <w:r/>
    </w:p>
    <w:p>
      <w:pPr>
        <w:ind w:left="1470"/>
        <w:jc w:val="center"/>
        <w:rPr>
          <w:b/>
          <w:color w:val="auto"/>
          <w:spacing w:val="20"/>
          <w:sz w:val="32"/>
          <w:szCs w:val="32"/>
          <w:highlight w:val="none"/>
        </w:rPr>
      </w:pPr>
      <w:r>
        <w:rPr>
          <w:rFonts w:hint="eastAsia"/>
          <w:b/>
          <w:color w:val="auto"/>
          <w:spacing w:val="20"/>
          <w:sz w:val="32"/>
          <w:szCs w:val="32"/>
          <w:highlight w:val="none"/>
        </w:rPr>
        <w:t xml:space="preserve">十三、商务要求响应及偏离表</w:t>
      </w:r>
      <w:r>
        <w:rPr>
          <w:b/>
          <w:color w:val="auto"/>
          <w:spacing w:val="20"/>
          <w:sz w:val="32"/>
          <w:szCs w:val="32"/>
          <w:highlight w:val="none"/>
        </w:rPr>
        <w:t xml:space="preserve">（实质性格式）</w:t>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spacing w:line="360" w:lineRule="auto"/>
        <w:rPr>
          <w:color w:val="auto"/>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05"/>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auto"/>
                <w:sz w:val="24"/>
                <w:highlight w:val="none"/>
              </w:rPr>
            </w:pPr>
            <w:r/>
            <w:bookmarkStart w:id="350" w:name="_Hlt24879081"/>
            <w:r/>
            <w:bookmarkEnd w:id="350"/>
            <w:r/>
            <w:bookmarkStart w:id="351" w:name="_Hlt26955064"/>
            <w:r/>
            <w:bookmarkEnd w:id="351"/>
            <w:r/>
            <w:bookmarkStart w:id="352" w:name="_Hlt26782999"/>
            <w:r/>
            <w:bookmarkEnd w:id="352"/>
            <w:r/>
            <w:bookmarkStart w:id="353" w:name="_Hlt26580838"/>
            <w:r/>
            <w:bookmarkEnd w:id="353"/>
            <w:r/>
            <w:bookmarkStart w:id="354" w:name="_Hlt26609391"/>
            <w:r/>
            <w:bookmarkEnd w:id="354"/>
            <w:r/>
            <w:bookmarkStart w:id="355" w:name="_Hlt26955056"/>
            <w:r/>
            <w:bookmarkEnd w:id="355"/>
            <w:r/>
            <w:bookmarkStart w:id="356" w:name="_Hlt26671372"/>
            <w:r/>
            <w:bookmarkEnd w:id="356"/>
            <w:r/>
            <w:bookmarkStart w:id="357" w:name="_Hlt26671343"/>
            <w:r/>
            <w:bookmarkEnd w:id="357"/>
            <w:r>
              <w:rPr>
                <w:rFonts w:hint="eastAsia"/>
                <w:b/>
                <w:color w:val="auto"/>
                <w:sz w:val="24"/>
                <w:highlight w:val="none"/>
              </w:rPr>
              <w:t xml:space="preserve">对本项目商务要求条款的偏离情况（请进行勾选）：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（如无偏离，仅勾选无偏离即可）</w:t>
            </w:r>
            <w:r/>
          </w:p>
          <w:p>
            <w:pPr>
              <w:rPr>
                <w:rFonts w:hint="eastAsia" w:ascii="宋体" w:hAnsi="宋体"/>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cantSplit/>
        </w:trPr>
        <w:tc>
          <w:tcPr>
            <w:tcW w:w="54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超出、</w:t>
            </w:r>
            <w:r/>
          </w:p>
          <w:p>
            <w:pPr>
              <w:jc w:val="center"/>
              <w:rPr>
                <w:rFonts w:hint="eastAsia" w:ascii="宋体" w:hAnsi="宋体"/>
                <w:color w:val="auto"/>
                <w:sz w:val="24"/>
                <w:highlight w:val="none"/>
              </w:rPr>
            </w:pPr>
            <w:r>
              <w:rPr>
                <w:rFonts w:hint="eastAsia" w:ascii="宋体" w:hAnsi="宋体"/>
                <w:color w:val="auto"/>
                <w:sz w:val="24"/>
                <w:highlight w:val="none"/>
              </w:rPr>
              <w:t xml:space="preserve">或偏离</w:t>
            </w:r>
            <w:r/>
          </w:p>
        </w:tc>
        <w:tc>
          <w:tcPr>
            <w:tcW w:w="117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证明</w:t>
            </w:r>
            <w:r/>
          </w:p>
          <w:p>
            <w:pPr>
              <w:jc w:val="center"/>
              <w:rPr>
                <w:rFonts w:hint="eastAsia" w:ascii="宋体" w:hAnsi="宋体"/>
                <w:color w:val="auto"/>
                <w:sz w:val="24"/>
                <w:highlight w:val="none"/>
              </w:rPr>
            </w:pPr>
            <w:r>
              <w:rPr>
                <w:rFonts w:hint="eastAsia" w:ascii="宋体" w:hAnsi="宋体"/>
                <w:color w:val="auto"/>
                <w:sz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73"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73"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73"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73"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73"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73"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852"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73"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3291" w:type="dxa"/>
            <w:vAlign w:val="top"/>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w:t>
            </w:r>
            <w:r/>
          </w:p>
        </w:tc>
        <w:tc>
          <w:tcPr>
            <w:tcW w:w="2852"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73" w:type="dxa"/>
            <w:vAlign w:val="top"/>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t xml:space="preserve">注： 行数不够，可自行添加。</w:t>
      </w:r>
      <w:r/>
    </w:p>
    <w:p>
      <w:pPr>
        <w:pStyle w:val="911"/>
        <w:rPr>
          <w:rFonts w:hint="eastAsia"/>
          <w:color w:val="auto"/>
          <w:sz w:val="20"/>
          <w:szCs w:val="20"/>
          <w:highlight w:val="none"/>
        </w:rPr>
      </w:pPr>
      <w:r>
        <w:rPr>
          <w:rFonts w:hint="eastAsia"/>
          <w:color w:val="auto"/>
          <w:sz w:val="20"/>
          <w:szCs w:val="20"/>
          <w:highlight w:val="none"/>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921"/>
        <w:ind w:firstLine="4800"/>
        <w:rPr>
          <w:rFonts w:hint="eastAsia"/>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ind w:firstLine="2951"/>
        <w:keepLines/>
        <w:keepNext/>
        <w:spacing w:before="260" w:after="260" w:line="415" w:lineRule="auto"/>
        <w:rPr>
          <w:rFonts w:hint="eastAsia" w:ascii="宋体" w:hAnsi="宋体"/>
          <w:b/>
          <w:color w:val="auto"/>
          <w:sz w:val="28"/>
          <w:szCs w:val="28"/>
          <w:highlight w:val="none"/>
        </w:rPr>
        <w:outlineLvl w:val="3"/>
      </w:pPr>
      <w:r>
        <w:rPr>
          <w:rFonts w:hint="eastAsia" w:ascii="宋体" w:hAnsi="宋体"/>
          <w:b/>
          <w:color w:val="auto"/>
          <w:sz w:val="28"/>
          <w:szCs w:val="28"/>
          <w:highlight w:val="none"/>
        </w:rPr>
      </w:r>
      <w:r/>
    </w:p>
    <w:p>
      <w:pPr>
        <w:pStyle w:val="921"/>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21"/>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21"/>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21"/>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21"/>
        <w:rPr>
          <w:rFonts w:hint="eastAsia" w:ascii="宋体" w:hAnsi="宋体"/>
          <w:b/>
          <w:color w:val="auto"/>
          <w:sz w:val="28"/>
          <w:szCs w:val="28"/>
          <w:highlight w:val="none"/>
        </w:rPr>
      </w:pPr>
      <w:r>
        <w:rPr>
          <w:rFonts w:hint="eastAsia" w:ascii="宋体" w:hAnsi="宋体"/>
          <w:b/>
          <w:color w:val="auto"/>
          <w:sz w:val="28"/>
          <w:szCs w:val="28"/>
          <w:highlight w:val="none"/>
        </w:rPr>
      </w:r>
      <w:r/>
    </w:p>
    <w:p>
      <w:pPr>
        <w:rPr>
          <w:color w:val="auto"/>
          <w:sz w:val="20"/>
          <w:szCs w:val="20"/>
          <w:highlight w:val="none"/>
        </w:rPr>
      </w:pPr>
      <w:r>
        <w:rPr>
          <w:color w:val="auto"/>
          <w:sz w:val="20"/>
          <w:szCs w:val="20"/>
          <w:highlight w:val="none"/>
        </w:rPr>
      </w:r>
      <w:r/>
    </w:p>
    <w:p>
      <w:pPr>
        <w:ind w:firstLine="2890"/>
        <w:keepLines/>
        <w:keepNext/>
        <w:spacing w:before="260" w:after="260" w:line="415" w:lineRule="auto"/>
        <w:rPr>
          <w:b/>
          <w:color w:val="auto"/>
          <w:spacing w:val="20"/>
          <w:sz w:val="32"/>
          <w:szCs w:val="32"/>
          <w:highlight w:val="none"/>
        </w:rPr>
        <w:outlineLvl w:val="3"/>
      </w:pPr>
      <w:r>
        <w:rPr>
          <w:rFonts w:hint="eastAsia"/>
          <w:b/>
          <w:color w:val="auto"/>
          <w:spacing w:val="20"/>
          <w:sz w:val="32"/>
          <w:szCs w:val="32"/>
          <w:highlight w:val="none"/>
        </w:rPr>
        <w:t xml:space="preserve">十四、其他格式材料</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w:t>
      </w:r>
      <w:r>
        <w:rPr>
          <w:rFonts w:hint="eastAsia" w:ascii="宋体" w:hAnsi="宋体"/>
          <w:b/>
          <w:color w:val="auto"/>
          <w:sz w:val="32"/>
          <w:szCs w:val="32"/>
          <w:highlight w:val="none"/>
        </w:rPr>
        <w:t xml:space="preserve">参加本项目人员一览表</w:t>
      </w:r>
      <w:r/>
    </w:p>
    <w:p>
      <w:pPr>
        <w:spacing w:line="360" w:lineRule="auto"/>
        <w:rPr>
          <w:rFonts w:hint="eastAsia" w:ascii="宋体" w:hAnsi="宋体"/>
          <w:color w:val="auto"/>
          <w:sz w:val="22"/>
          <w:highlight w:val="none"/>
        </w:rPr>
      </w:pPr>
      <w:r>
        <w:rPr>
          <w:rFonts w:hint="eastAsia" w:ascii="宋体" w:hAnsi="宋体"/>
          <w:color w:val="auto"/>
          <w:sz w:val="22"/>
          <w:highlight w:val="none"/>
        </w:rPr>
      </w:r>
      <w:r/>
    </w:p>
    <w:p>
      <w:pPr>
        <w:spacing w:line="360" w:lineRule="auto"/>
        <w:rPr>
          <w:rFonts w:hint="eastAsia" w:ascii="宋体" w:hAnsi="宋体" w:cs="宋体"/>
          <w:color w:val="auto"/>
          <w:sz w:val="24"/>
          <w:highlight w:val="none"/>
        </w:rPr>
      </w:pPr>
      <w:r/>
      <w:bookmarkStart w:id="358" w:name="OLE_LINK20"/>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bookmarkEnd w:id="358"/>
      <w:r/>
      <w:r/>
    </w:p>
    <w:tbl>
      <w:tblPr>
        <w:tblStyle w:val="905"/>
        <w:tblpPr w:horzAnchor="page" w:tblpX="1329" w:vertAnchor="text" w:tblpY="447" w:leftFromText="180" w:topFromText="0" w:rightFromText="180" w:bottomFromText="0"/>
        <w:tblW w:w="9286"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4"/>
        <w:gridCol w:w="624"/>
        <w:gridCol w:w="625"/>
        <w:gridCol w:w="625"/>
        <w:gridCol w:w="1469"/>
        <w:gridCol w:w="625"/>
        <w:gridCol w:w="625"/>
        <w:gridCol w:w="1469"/>
        <w:gridCol w:w="794"/>
        <w:gridCol w:w="1806"/>
      </w:tblGrid>
      <w:t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责任</w:t>
            </w:r>
            <w:r/>
          </w:p>
          <w:p>
            <w:pPr>
              <w:ind w:left="0" w:right="0"/>
              <w:jc w:val="center"/>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项目经历或主要工作</w:t>
            </w:r>
            <w:r/>
          </w:p>
          <w:p>
            <w:pPr>
              <w:ind w:left="0" w:right="0"/>
              <w:jc w:val="center"/>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62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69"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69"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79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06"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62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69"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69"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79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06"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62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69"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69"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9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6"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62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69"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69"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9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6"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62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69"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69"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9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6"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62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69"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25"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69"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794"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06" w:type="dxa"/>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bl>
    <w:p>
      <w:pPr>
        <w:tabs>
          <w:tab w:val="left" w:pos="9765"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360" w:lineRule="auto"/>
        <w:tabs>
          <w:tab w:val="left" w:pos="9765" w:leader="none"/>
        </w:tabs>
        <w:rPr>
          <w:rFonts w:hint="eastAsia"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21"/>
        <w:ind w:firstLine="4560"/>
        <w:rPr>
          <w:rFonts w:hint="eastAsia" w:ascii="宋体" w:hAnsi="宋体" w:cs="宋体"/>
          <w:color w:val="auto"/>
          <w:highlight w:val="none"/>
        </w:rPr>
      </w:pPr>
      <w:r>
        <w:rPr>
          <w:rFonts w:hint="eastAsia" w:ascii="宋体" w:hAnsi="宋体" w:cs="宋体"/>
          <w:bCs/>
          <w:color w:val="auto"/>
          <w:highlight w:val="none"/>
        </w:rPr>
        <w:t xml:space="preserve">投标单位名称：</w:t>
      </w:r>
      <w:r>
        <w:rPr>
          <w:rFonts w:hint="eastAsia" w:ascii="宋体" w:hAnsi="宋体" w:cs="宋体"/>
          <w:color w:val="auto"/>
          <w:highlight w:val="none"/>
        </w:rPr>
        <w:t xml:space="preserve">（加盖CA电子公章）</w:t>
      </w:r>
      <w:r/>
    </w:p>
    <w:p>
      <w:pPr>
        <w:pStyle w:val="921"/>
        <w:ind w:firstLine="4560"/>
        <w:rPr>
          <w:rFonts w:hint="eastAsia"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jc w:val="center"/>
        <w:rPr>
          <w:rFonts w:hint="eastAsia" w:ascii="宋体" w:hAnsi="宋体"/>
          <w:b/>
          <w:color w:val="auto"/>
          <w:sz w:val="32"/>
          <w:szCs w:val="32"/>
          <w:highlight w:val="none"/>
        </w:rPr>
      </w:pPr>
      <w:r>
        <w:rPr>
          <w:color w:val="auto"/>
          <w:sz w:val="22"/>
          <w:highlight w:val="none"/>
        </w:rPr>
        <w:br w:type="page" w:clear="all"/>
      </w:r>
      <w:r>
        <w:rPr>
          <w:rFonts w:ascii="宋体" w:hAnsi="宋体"/>
          <w:b/>
          <w:color w:val="auto"/>
          <w:sz w:val="32"/>
          <w:szCs w:val="32"/>
          <w:highlight w:val="none"/>
        </w:rPr>
        <w:t xml:space="preserve">2</w:t>
      </w:r>
      <w:r>
        <w:rPr>
          <w:rFonts w:hint="eastAsia" w:ascii="宋体" w:hAnsi="宋体"/>
          <w:b/>
          <w:color w:val="auto"/>
          <w:sz w:val="32"/>
          <w:szCs w:val="32"/>
          <w:highlight w:val="none"/>
          <w:lang w:val="en-US" w:eastAsia="zh-CN"/>
        </w:rPr>
        <w:t xml:space="preserve">.</w:t>
      </w:r>
      <w:r>
        <w:rPr>
          <w:rFonts w:hint="eastAsia" w:ascii="宋体" w:hAnsi="宋体"/>
          <w:b/>
          <w:color w:val="auto"/>
          <w:sz w:val="32"/>
          <w:szCs w:val="32"/>
          <w:highlight w:val="none"/>
        </w:rPr>
        <w:t xml:space="preserve">相关业绩案例一览表</w:t>
      </w:r>
      <w:r/>
    </w:p>
    <w:p>
      <w:pPr>
        <w:jc w:val="center"/>
        <w:spacing w:line="360" w:lineRule="auto"/>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0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lang w:bidi="ar"/>
        </w:rPr>
        <w:t xml:space="preserve">  </w:t>
      </w:r>
      <w:r/>
    </w:p>
    <w:p>
      <w:pPr>
        <w:pStyle w:val="921"/>
        <w:jc w:val="right"/>
        <w:rPr>
          <w:rFonts w:hint="eastAsia"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keepLines/>
        <w:keepNext/>
        <w:spacing w:before="260" w:after="260" w:line="415" w:lineRule="auto"/>
        <w:rPr>
          <w:rFonts w:hint="eastAsia" w:ascii="宋体" w:hAnsi="宋体"/>
          <w:b/>
          <w:color w:val="auto"/>
          <w:sz w:val="24"/>
          <w:highlight w:val="none"/>
        </w:rPr>
        <w:outlineLvl w:val="3"/>
      </w:pPr>
      <w:r>
        <w:rPr>
          <w:rFonts w:hint="eastAsia" w:ascii="宋体" w:hAnsi="宋体"/>
          <w:b/>
          <w:color w:val="auto"/>
          <w:sz w:val="24"/>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359"/>
      <w:r/>
    </w:p>
    <w:sectPr>
      <w:headerReference w:type="even" r:id="rId11"/>
      <w:headerReference w:type="first" r:id="rId12"/>
      <w:footerReference w:type="even" r:id="rId19"/>
      <w:footerReference w:type="first" r:id="rId20"/>
      <w:footnotePr/>
      <w:endnotePr/>
      <w:type w:val="nextPage"/>
      <w:pgSz w:w="11905" w:h="16838"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魏碑_GBK">
    <w:panose1 w:val="020B0503020202020204"/>
  </w:font>
  <w:font w:name="华文新魏">
    <w:panose1 w:val="02010800040101010101"/>
  </w:font>
  <w:font w:name="Segoe UI Symbol">
    <w:panose1 w:val="020B0502040204020203"/>
  </w:font>
  <w:font w:name="Wingdings">
    <w:panose1 w:val="05000000000000000000"/>
  </w:font>
  <w:font w:name="Adobe 仿宋 Std R">
    <w:panose1 w:val="020B0503020202020204"/>
  </w:font>
  <w:font w:name="Calibri">
    <w:panose1 w:val="020F0502020204030204"/>
  </w:font>
  <w:font w:name="方正小标宋简体">
    <w:panose1 w:val="020B0503020202020204"/>
  </w:font>
  <w:font w:name="Courier New">
    <w:panose1 w:val="02070309020205020404"/>
  </w:font>
  <w:font w:name="楷体">
    <w:panose1 w:val="02010609060101010101"/>
  </w:font>
  <w:font w:name="Symbol">
    <w:panose1 w:val="05050102010706020507"/>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36"/>
      </w:rPr>
      <w:framePr w:wrap="around" w:vAnchor="text" w:hAnchor="margin" w:xAlign="right" w:y="1"/>
    </w:pPr>
    <w:r/>
    <w:r/>
  </w:p>
  <w:p>
    <w:pPr>
      <w:pStyle w:val="93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p>
    <w:pPr>
      <w:pStyle w:val="9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v:textbox>
            </v:shape>
          </w:pict>
        </mc:Fallback>
      </mc:AlternateContent>
    </w:r>
    <w:r>
      <w:rPr>
        <w:rFonts w:hint="eastAsia"/>
      </w:rPr>
      <w:tab/>
    </w:r>
    <w:r/>
  </w:p>
  <w:p>
    <w:pPr>
      <w:pStyle w:val="93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11</w:t>
                          </w:r>
                          <w:r>
                            <w:rPr>
                              <w:rFonts w:hint="eastAsia"/>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11</w:t>
                    </w:r>
                    <w:r>
                      <w:rPr>
                        <w:rFonts w:hint="eastAsia"/>
                      </w:rPr>
                      <w:fldChar w:fldCharType="end"/>
                    </w:r>
                    <w:r/>
                  </w:p>
                </w:txbxContent>
              </v:textbox>
            </v:shape>
          </w:pict>
        </mc:Fallback>
      </mc:AlternateContent>
    </w:r>
    <w:r/>
  </w:p>
  <w:p>
    <w:pPr>
      <w:pStyle w:val="93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36"/>
      </w:rPr>
      <w:framePr w:wrap="around" w:vAnchor="text" w:hAnchor="margin" w:xAlign="right" w:y="1"/>
    </w:pPr>
    <w:r>
      <w:rPr>
        <w:rStyle w:val="936"/>
      </w:rPr>
      <w:fldChar w:fldCharType="begin"/>
    </w:r>
    <w:r>
      <w:rPr>
        <w:rStyle w:val="936"/>
      </w:rPr>
      <w:instrText xml:space="preserve">PAGE  </w:instrText>
    </w:r>
    <w:r>
      <w:rPr>
        <w:rStyle w:val="936"/>
      </w:rPr>
      <w:fldChar w:fldCharType="end"/>
    </w:r>
    <w:r/>
  </w:p>
  <w:p>
    <w:pPr>
      <w:pStyle w:val="935"/>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40" w:firstLine="449"/>
        <w:tabs>
          <w:tab w:val="left" w:pos="249" w:leader="none"/>
        </w:tabs>
      </w:pPr>
      <w:rPr>
        <w:rFonts w:hint="eastAsia"/>
      </w:rPr>
    </w:lvl>
    <w:lvl w:ilvl="1">
      <w:start w:val="1"/>
      <w:numFmt w:val="lowerLetter"/>
      <w:isLgl w:val="false"/>
      <w:suff w:val="tab"/>
      <w:lvlText w:val="%2)"/>
      <w:lvlJc w:val="left"/>
      <w:pPr>
        <w:ind w:left="1929" w:hanging="420"/>
        <w:tabs>
          <w:tab w:val="left" w:pos="1929" w:leader="none"/>
        </w:tabs>
      </w:pPr>
    </w:lvl>
    <w:lvl w:ilvl="2">
      <w:start w:val="1"/>
      <w:numFmt w:val="lowerRoman"/>
      <w:isLgl w:val="false"/>
      <w:suff w:val="tab"/>
      <w:lvlText w:val="%3."/>
      <w:lvlJc w:val="right"/>
      <w:pPr>
        <w:ind w:left="2349" w:hanging="420"/>
        <w:tabs>
          <w:tab w:val="left" w:pos="2349" w:leader="none"/>
        </w:tabs>
      </w:pPr>
    </w:lvl>
    <w:lvl w:ilvl="3">
      <w:start w:val="1"/>
      <w:numFmt w:val="decimal"/>
      <w:isLgl w:val="false"/>
      <w:suff w:val="tab"/>
      <w:lvlText w:val="%4."/>
      <w:lvlJc w:val="left"/>
      <w:pPr>
        <w:ind w:left="2769" w:hanging="420"/>
        <w:tabs>
          <w:tab w:val="left" w:pos="2769" w:leader="none"/>
        </w:tabs>
      </w:pPr>
    </w:lvl>
    <w:lvl w:ilvl="4">
      <w:start w:val="1"/>
      <w:numFmt w:val="lowerLetter"/>
      <w:isLgl w:val="false"/>
      <w:suff w:val="tab"/>
      <w:lvlText w:val="%5)"/>
      <w:lvlJc w:val="left"/>
      <w:pPr>
        <w:ind w:left="3189" w:hanging="420"/>
        <w:tabs>
          <w:tab w:val="left" w:pos="3189" w:leader="none"/>
        </w:tabs>
      </w:pPr>
    </w:lvl>
    <w:lvl w:ilvl="5">
      <w:start w:val="1"/>
      <w:numFmt w:val="lowerRoman"/>
      <w:isLgl w:val="false"/>
      <w:suff w:val="tab"/>
      <w:lvlText w:val="%6."/>
      <w:lvlJc w:val="right"/>
      <w:pPr>
        <w:ind w:left="3609" w:hanging="420"/>
        <w:tabs>
          <w:tab w:val="left" w:pos="3609" w:leader="none"/>
        </w:tabs>
      </w:pPr>
    </w:lvl>
    <w:lvl w:ilvl="6">
      <w:start w:val="1"/>
      <w:numFmt w:val="decimal"/>
      <w:isLgl w:val="false"/>
      <w:suff w:val="tab"/>
      <w:lvlText w:val="%7."/>
      <w:lvlJc w:val="left"/>
      <w:pPr>
        <w:ind w:left="4029" w:hanging="420"/>
        <w:tabs>
          <w:tab w:val="left" w:pos="4029" w:leader="none"/>
        </w:tabs>
      </w:pPr>
    </w:lvl>
    <w:lvl w:ilvl="7">
      <w:start w:val="1"/>
      <w:numFmt w:val="lowerLetter"/>
      <w:isLgl w:val="false"/>
      <w:suff w:val="tab"/>
      <w:lvlText w:val="%8)"/>
      <w:lvlJc w:val="left"/>
      <w:pPr>
        <w:ind w:left="4449" w:hanging="420"/>
        <w:tabs>
          <w:tab w:val="left" w:pos="4449" w:leader="none"/>
        </w:tabs>
      </w:pPr>
    </w:lvl>
    <w:lvl w:ilvl="8">
      <w:start w:val="1"/>
      <w:numFmt w:val="lowerRoman"/>
      <w:isLgl w:val="false"/>
      <w:suff w:val="tab"/>
      <w:lvlText w:val="%9."/>
      <w:lvlJc w:val="right"/>
      <w:pPr>
        <w:ind w:left="4869" w:hanging="420"/>
        <w:tabs>
          <w:tab w:val="left" w:pos="4869" w:leader="none"/>
        </w:tabs>
      </w:pPr>
    </w:lvl>
  </w:abstractNum>
  <w:abstractNum w:abstractNumId="1">
    <w:multiLevelType w:val="hybridMultilevel"/>
    <w:lvl w:ilvl="0">
      <w:start w:val="1"/>
      <w:numFmt w:val="decimal"/>
      <w:isLgl w:val="false"/>
      <w:suff w:val="tab"/>
      <w:lvlText w:val="%1."/>
      <w:lvlJc w:val="left"/>
      <w:pPr>
        <w:ind w:left="1128" w:hanging="420"/>
      </w:pPr>
    </w:lvl>
    <w:lvl w:ilvl="1">
      <w:start w:val="1"/>
      <w:numFmt w:val="lowerLetter"/>
      <w:isLgl w:val="false"/>
      <w:suff w:val="tab"/>
      <w:lvlText w:val="%2)"/>
      <w:lvlJc w:val="left"/>
      <w:pPr>
        <w:ind w:left="1548" w:hanging="420"/>
      </w:pPr>
    </w:lvl>
    <w:lvl w:ilvl="2">
      <w:start w:val="1"/>
      <w:numFmt w:val="lowerRoman"/>
      <w:isLgl w:val="false"/>
      <w:suff w:val="tab"/>
      <w:lvlText w:val="%3."/>
      <w:lvlJc w:val="right"/>
      <w:pPr>
        <w:ind w:left="1968" w:hanging="420"/>
      </w:pPr>
    </w:lvl>
    <w:lvl w:ilvl="3">
      <w:start w:val="1"/>
      <w:numFmt w:val="decimal"/>
      <w:isLgl w:val="false"/>
      <w:suff w:val="tab"/>
      <w:lvlText w:val="%4."/>
      <w:lvlJc w:val="left"/>
      <w:pPr>
        <w:ind w:left="2388" w:hanging="420"/>
      </w:pPr>
    </w:lvl>
    <w:lvl w:ilvl="4">
      <w:start w:val="1"/>
      <w:numFmt w:val="lowerLetter"/>
      <w:isLgl w:val="false"/>
      <w:suff w:val="tab"/>
      <w:lvlText w:val="%5)"/>
      <w:lvlJc w:val="left"/>
      <w:pPr>
        <w:ind w:left="2808" w:hanging="420"/>
      </w:pPr>
    </w:lvl>
    <w:lvl w:ilvl="5">
      <w:start w:val="1"/>
      <w:numFmt w:val="lowerRoman"/>
      <w:isLgl w:val="false"/>
      <w:suff w:val="tab"/>
      <w:lvlText w:val="%6."/>
      <w:lvlJc w:val="right"/>
      <w:pPr>
        <w:ind w:left="3228" w:hanging="420"/>
      </w:pPr>
    </w:lvl>
    <w:lvl w:ilvl="6">
      <w:start w:val="1"/>
      <w:numFmt w:val="decimal"/>
      <w:isLgl w:val="false"/>
      <w:suff w:val="tab"/>
      <w:lvlText w:val="%7."/>
      <w:lvlJc w:val="left"/>
      <w:pPr>
        <w:ind w:left="3648" w:hanging="420"/>
      </w:pPr>
    </w:lvl>
    <w:lvl w:ilvl="7">
      <w:start w:val="1"/>
      <w:numFmt w:val="lowerLetter"/>
      <w:isLgl w:val="false"/>
      <w:suff w:val="tab"/>
      <w:lvlText w:val="%8)"/>
      <w:lvlJc w:val="left"/>
      <w:pPr>
        <w:ind w:left="4068" w:hanging="420"/>
      </w:pPr>
    </w:lvl>
    <w:lvl w:ilvl="8">
      <w:start w:val="1"/>
      <w:numFmt w:val="lowerRoman"/>
      <w:isLgl w:val="false"/>
      <w:suff w:val="tab"/>
      <w:lvlText w:val="%9."/>
      <w:lvlJc w:val="right"/>
      <w:pPr>
        <w:ind w:left="4488" w:hanging="420"/>
      </w:pPr>
    </w:lvl>
  </w:abstractNum>
  <w:abstractNum w:abstractNumId="2">
    <w:multiLevelType w:val="hybridMultilevel"/>
    <w:lvl w:ilvl="0">
      <w:start w:val="1"/>
      <w:numFmt w:val="decimalFullWidth"/>
      <w:isLgl w:val="false"/>
      <w:suff w:val="tab"/>
      <w:lvlText w:val="%1、"/>
      <w:lvlJc w:val="left"/>
      <w:pPr>
        <w:ind w:left="720" w:hanging="720"/>
        <w:tabs>
          <w:tab w:val="left" w:pos="720" w:leader="none"/>
        </w:tabs>
      </w:pPr>
      <w:rPr>
        <w:rFonts w:ascii="仿宋_GB2312" w:hAnsi="仿宋_GB2312" w:eastAsia="仿宋_GB2312" w:cs="Times New Roman"/>
      </w:rPr>
    </w:lvl>
    <w:lvl w:ilvl="1">
      <w:start w:val="1"/>
      <w:numFmt w:val="chineseCountingThousand"/>
      <w:isLgl w:val="false"/>
      <w:suff w:val="tab"/>
      <w:lvlText w:val="第%2条."/>
      <w:lvlJc w:val="left"/>
      <w:pPr>
        <w:ind w:left="1980" w:hanging="420"/>
        <w:tabs>
          <w:tab w:val="left" w:pos="1980" w:leader="none"/>
        </w:tabs>
      </w:pPr>
      <w:rPr>
        <w:rFonts w:hint="eastAsia" w:eastAsia="仿宋_GB2312"/>
        <w:b/>
        <w:sz w:val="28"/>
        <w:szCs w:val="28"/>
        <w:lang w:val="en-US"/>
      </w:rPr>
    </w:lvl>
    <w:lvl w:ilvl="2">
      <w:start w:val="1"/>
      <w:numFmt w:val="decimalFullWidth"/>
      <w:isLgl w:val="false"/>
      <w:suff w:val="tab"/>
      <w:lvlText w:val="%3、"/>
      <w:lvlJc w:val="left"/>
      <w:pPr>
        <w:ind w:left="1560" w:hanging="720"/>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449" w:firstLine="449"/>
        <w:tabs>
          <w:tab w:val="left" w:pos="58" w:leader="none"/>
        </w:tabs>
      </w:pPr>
      <w:rPr>
        <w:rFonts w:hint="eastAsia"/>
      </w:rPr>
    </w:lvl>
    <w:lvl w:ilvl="1">
      <w:start w:val="1"/>
      <w:numFmt w:val="lowerLetter"/>
      <w:isLgl w:val="false"/>
      <w:suff w:val="tab"/>
      <w:lvlText w:val="%2)"/>
      <w:lvlJc w:val="left"/>
      <w:pPr>
        <w:ind w:left="1098" w:hanging="420"/>
        <w:tabs>
          <w:tab w:val="left" w:pos="1098" w:leader="none"/>
        </w:tabs>
      </w:pPr>
    </w:lvl>
    <w:lvl w:ilvl="2">
      <w:start w:val="1"/>
      <w:numFmt w:val="lowerRoman"/>
      <w:isLgl w:val="false"/>
      <w:suff w:val="tab"/>
      <w:lvlText w:val="%3."/>
      <w:lvlJc w:val="right"/>
      <w:pPr>
        <w:ind w:left="1518" w:hanging="420"/>
        <w:tabs>
          <w:tab w:val="left" w:pos="1518" w:leader="none"/>
        </w:tabs>
      </w:pPr>
    </w:lvl>
    <w:lvl w:ilvl="3">
      <w:start w:val="1"/>
      <w:numFmt w:val="decimal"/>
      <w:isLgl w:val="false"/>
      <w:suff w:val="tab"/>
      <w:lvlText w:val="%4."/>
      <w:lvlJc w:val="left"/>
      <w:pPr>
        <w:ind w:left="1938" w:hanging="420"/>
        <w:tabs>
          <w:tab w:val="left" w:pos="1938" w:leader="none"/>
        </w:tabs>
      </w:pPr>
    </w:lvl>
    <w:lvl w:ilvl="4">
      <w:start w:val="1"/>
      <w:numFmt w:val="lowerLetter"/>
      <w:isLgl w:val="false"/>
      <w:suff w:val="tab"/>
      <w:lvlText w:val="%5)"/>
      <w:lvlJc w:val="left"/>
      <w:pPr>
        <w:ind w:left="2358" w:hanging="420"/>
        <w:tabs>
          <w:tab w:val="left" w:pos="2358" w:leader="none"/>
        </w:tabs>
      </w:pPr>
    </w:lvl>
    <w:lvl w:ilvl="5">
      <w:start w:val="1"/>
      <w:numFmt w:val="lowerRoman"/>
      <w:isLgl w:val="false"/>
      <w:suff w:val="tab"/>
      <w:lvlText w:val="%6."/>
      <w:lvlJc w:val="right"/>
      <w:pPr>
        <w:ind w:left="2778" w:hanging="420"/>
        <w:tabs>
          <w:tab w:val="left" w:pos="2778" w:leader="none"/>
        </w:tabs>
      </w:pPr>
    </w:lvl>
    <w:lvl w:ilvl="6">
      <w:start w:val="1"/>
      <w:numFmt w:val="decimal"/>
      <w:isLgl w:val="false"/>
      <w:suff w:val="tab"/>
      <w:lvlText w:val="%7."/>
      <w:lvlJc w:val="left"/>
      <w:pPr>
        <w:ind w:left="3198" w:hanging="420"/>
        <w:tabs>
          <w:tab w:val="left" w:pos="3198" w:leader="none"/>
        </w:tabs>
      </w:pPr>
    </w:lvl>
    <w:lvl w:ilvl="7">
      <w:start w:val="1"/>
      <w:numFmt w:val="lowerLetter"/>
      <w:isLgl w:val="false"/>
      <w:suff w:val="tab"/>
      <w:lvlText w:val="%8)"/>
      <w:lvlJc w:val="left"/>
      <w:pPr>
        <w:ind w:left="3618" w:hanging="420"/>
        <w:tabs>
          <w:tab w:val="left" w:pos="3618" w:leader="none"/>
        </w:tabs>
      </w:pPr>
    </w:lvl>
    <w:lvl w:ilvl="8">
      <w:start w:val="1"/>
      <w:numFmt w:val="lowerRoman"/>
      <w:isLgl w:val="false"/>
      <w:suff w:val="tab"/>
      <w:lvlText w:val="%9."/>
      <w:lvlJc w:val="right"/>
      <w:pPr>
        <w:ind w:left="4038" w:hanging="420"/>
        <w:tabs>
          <w:tab w:val="left" w:pos="4038" w:leader="none"/>
        </w:tabs>
      </w:pPr>
    </w:lvl>
  </w:abstractNum>
  <w:abstractNum w:abstractNumId="4">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129" w:hanging="420"/>
        <w:tabs>
          <w:tab w:val="left" w:pos="1129" w:leader="none"/>
        </w:tabs>
      </w:pPr>
    </w:lvl>
    <w:lvl w:ilvl="1">
      <w:start w:val="1"/>
      <w:numFmt w:val="lowerLetter"/>
      <w:isLgl w:val="false"/>
      <w:suff w:val="tab"/>
      <w:lvlText w:val="%2)"/>
      <w:lvlJc w:val="left"/>
      <w:pPr>
        <w:ind w:left="1549" w:hanging="420"/>
        <w:tabs>
          <w:tab w:val="left" w:pos="1549" w:leader="none"/>
        </w:tabs>
      </w:pPr>
    </w:lvl>
    <w:lvl w:ilvl="2">
      <w:start w:val="1"/>
      <w:numFmt w:val="lowerRoman"/>
      <w:isLgl w:val="false"/>
      <w:suff w:val="tab"/>
      <w:lvlText w:val="%3."/>
      <w:lvlJc w:val="right"/>
      <w:pPr>
        <w:ind w:left="1969" w:hanging="420"/>
        <w:tabs>
          <w:tab w:val="left" w:pos="1969" w:leader="none"/>
        </w:tabs>
      </w:pPr>
    </w:lvl>
    <w:lvl w:ilvl="3">
      <w:start w:val="1"/>
      <w:numFmt w:val="decimal"/>
      <w:isLgl w:val="false"/>
      <w:suff w:val="tab"/>
      <w:lvlText w:val="%4."/>
      <w:lvlJc w:val="left"/>
      <w:pPr>
        <w:ind w:left="2389" w:hanging="420"/>
        <w:tabs>
          <w:tab w:val="left" w:pos="2389" w:leader="none"/>
        </w:tabs>
      </w:pPr>
    </w:lvl>
    <w:lvl w:ilvl="4">
      <w:start w:val="1"/>
      <w:numFmt w:val="lowerLetter"/>
      <w:isLgl w:val="false"/>
      <w:suff w:val="tab"/>
      <w:lvlText w:val="%5)"/>
      <w:lvlJc w:val="left"/>
      <w:pPr>
        <w:ind w:left="2809" w:hanging="420"/>
        <w:tabs>
          <w:tab w:val="left" w:pos="2809" w:leader="none"/>
        </w:tabs>
      </w:pPr>
    </w:lvl>
    <w:lvl w:ilvl="5">
      <w:start w:val="1"/>
      <w:numFmt w:val="lowerRoman"/>
      <w:isLgl w:val="false"/>
      <w:suff w:val="tab"/>
      <w:lvlText w:val="%6."/>
      <w:lvlJc w:val="right"/>
      <w:pPr>
        <w:ind w:left="3229" w:hanging="420"/>
        <w:tabs>
          <w:tab w:val="left" w:pos="3229" w:leader="none"/>
        </w:tabs>
      </w:pPr>
    </w:lvl>
    <w:lvl w:ilvl="6">
      <w:start w:val="1"/>
      <w:numFmt w:val="decimal"/>
      <w:isLgl w:val="false"/>
      <w:suff w:val="tab"/>
      <w:lvlText w:val="%7."/>
      <w:lvlJc w:val="left"/>
      <w:pPr>
        <w:ind w:left="3649" w:hanging="420"/>
        <w:tabs>
          <w:tab w:val="left" w:pos="3649" w:leader="none"/>
        </w:tabs>
      </w:pPr>
    </w:lvl>
    <w:lvl w:ilvl="7">
      <w:start w:val="1"/>
      <w:numFmt w:val="lowerLetter"/>
      <w:isLgl w:val="false"/>
      <w:suff w:val="tab"/>
      <w:lvlText w:val="%8)"/>
      <w:lvlJc w:val="left"/>
      <w:pPr>
        <w:ind w:left="4069" w:hanging="420"/>
        <w:tabs>
          <w:tab w:val="left" w:pos="4069" w:leader="none"/>
        </w:tabs>
      </w:pPr>
    </w:lvl>
    <w:lvl w:ilvl="8">
      <w:start w:val="1"/>
      <w:numFmt w:val="lowerRoman"/>
      <w:isLgl w:val="false"/>
      <w:suff w:val="tab"/>
      <w:lvlText w:val="%9."/>
      <w:lvlJc w:val="right"/>
      <w:pPr>
        <w:ind w:left="4489" w:hanging="420"/>
        <w:tabs>
          <w:tab w:val="left" w:pos="4489" w:leader="none"/>
        </w:tabs>
      </w:pPr>
    </w:lvl>
  </w:abstractNum>
  <w:abstractNum w:abstractNumId="6">
    <w:multiLevelType w:val="hybridMultilevel"/>
    <w:lvl w:ilvl="0">
      <w:start w:val="1"/>
      <w:numFmt w:val="decimal"/>
      <w:isLgl w:val="false"/>
      <w:suff w:val="tab"/>
      <w:lvlText w:val="%1."/>
      <w:lvlJc w:val="left"/>
      <w:pPr>
        <w:ind w:left="679" w:firstLine="449"/>
        <w:tabs>
          <w:tab w:val="left" w:pos="288" w:leader="none"/>
        </w:tabs>
      </w:pPr>
      <w:rPr>
        <w:rFonts w:hint="eastAsia"/>
      </w:rPr>
    </w:lvl>
    <w:lvl w:ilvl="1">
      <w:start w:val="1"/>
      <w:numFmt w:val="lowerLetter"/>
      <w:isLgl w:val="false"/>
      <w:suff w:val="tab"/>
      <w:lvlText w:val="%2)"/>
      <w:lvlJc w:val="left"/>
      <w:pPr>
        <w:ind w:left="1548" w:hanging="420"/>
        <w:tabs>
          <w:tab w:val="left" w:pos="1548" w:leader="none"/>
        </w:tabs>
      </w:pPr>
    </w:lvl>
    <w:lvl w:ilvl="2">
      <w:start w:val="1"/>
      <w:numFmt w:val="lowerRoman"/>
      <w:isLgl w:val="false"/>
      <w:suff w:val="tab"/>
      <w:lvlText w:val="%3."/>
      <w:lvlJc w:val="right"/>
      <w:pPr>
        <w:ind w:left="1968" w:hanging="420"/>
        <w:tabs>
          <w:tab w:val="left" w:pos="1968" w:leader="none"/>
        </w:tabs>
      </w:pPr>
    </w:lvl>
    <w:lvl w:ilvl="3">
      <w:start w:val="1"/>
      <w:numFmt w:val="decimal"/>
      <w:isLgl w:val="false"/>
      <w:suff w:val="tab"/>
      <w:lvlText w:val="%4."/>
      <w:lvlJc w:val="left"/>
      <w:pPr>
        <w:ind w:left="2388" w:hanging="420"/>
        <w:tabs>
          <w:tab w:val="left" w:pos="2388" w:leader="none"/>
        </w:tabs>
      </w:pPr>
    </w:lvl>
    <w:lvl w:ilvl="4">
      <w:start w:val="1"/>
      <w:numFmt w:val="lowerLetter"/>
      <w:isLgl w:val="false"/>
      <w:suff w:val="tab"/>
      <w:lvlText w:val="%5)"/>
      <w:lvlJc w:val="left"/>
      <w:pPr>
        <w:ind w:left="2808" w:hanging="420"/>
        <w:tabs>
          <w:tab w:val="left" w:pos="2808" w:leader="none"/>
        </w:tabs>
      </w:pPr>
    </w:lvl>
    <w:lvl w:ilvl="5">
      <w:start w:val="1"/>
      <w:numFmt w:val="lowerRoman"/>
      <w:isLgl w:val="false"/>
      <w:suff w:val="tab"/>
      <w:lvlText w:val="%6."/>
      <w:lvlJc w:val="right"/>
      <w:pPr>
        <w:ind w:left="3228" w:hanging="420"/>
        <w:tabs>
          <w:tab w:val="left" w:pos="3228" w:leader="none"/>
        </w:tabs>
      </w:pPr>
    </w:lvl>
    <w:lvl w:ilvl="6">
      <w:start w:val="1"/>
      <w:numFmt w:val="decimal"/>
      <w:isLgl w:val="false"/>
      <w:suff w:val="tab"/>
      <w:lvlText w:val="%7."/>
      <w:lvlJc w:val="left"/>
      <w:pPr>
        <w:ind w:left="3648" w:hanging="420"/>
        <w:tabs>
          <w:tab w:val="left" w:pos="3648" w:leader="none"/>
        </w:tabs>
      </w:pPr>
    </w:lvl>
    <w:lvl w:ilvl="7">
      <w:start w:val="1"/>
      <w:numFmt w:val="lowerLetter"/>
      <w:isLgl w:val="false"/>
      <w:suff w:val="tab"/>
      <w:lvlText w:val="%8)"/>
      <w:lvlJc w:val="left"/>
      <w:pPr>
        <w:ind w:left="4068" w:hanging="420"/>
        <w:tabs>
          <w:tab w:val="left" w:pos="4068" w:leader="none"/>
        </w:tabs>
      </w:pPr>
    </w:lvl>
    <w:lvl w:ilvl="8">
      <w:start w:val="1"/>
      <w:numFmt w:val="lowerRoman"/>
      <w:isLgl w:val="false"/>
      <w:suff w:val="tab"/>
      <w:lvlText w:val="%9."/>
      <w:lvlJc w:val="right"/>
      <w:pPr>
        <w:ind w:left="4488" w:hanging="420"/>
        <w:tabs>
          <w:tab w:val="left" w:pos="4488" w:leader="none"/>
        </w:tabs>
      </w:pPr>
    </w:lvl>
  </w:abstractNum>
  <w:abstractNum w:abstractNumId="7">
    <w:multiLevelType w:val="hybridMultilevel"/>
    <w:lvl w:ilvl="0">
      <w:start w:val="1"/>
      <w:numFmt w:val="decimal"/>
      <w:isLgl w:val="false"/>
      <w:suff w:val="tab"/>
      <w:lvlText w:val="%1."/>
      <w:lvlJc w:val="left"/>
      <w:pPr>
        <w:ind w:left="679" w:firstLine="449"/>
        <w:tabs>
          <w:tab w:val="left" w:pos="288" w:leader="none"/>
        </w:tabs>
      </w:pPr>
      <w:rPr>
        <w:rFonts w:hint="eastAsia"/>
      </w:rPr>
    </w:lvl>
    <w:lvl w:ilvl="1">
      <w:start w:val="1"/>
      <w:numFmt w:val="lowerLetter"/>
      <w:isLgl w:val="false"/>
      <w:suff w:val="tab"/>
      <w:lvlText w:val="%2)"/>
      <w:lvlJc w:val="left"/>
      <w:pPr>
        <w:ind w:left="1548" w:hanging="420"/>
        <w:tabs>
          <w:tab w:val="left" w:pos="1548" w:leader="none"/>
        </w:tabs>
      </w:pPr>
    </w:lvl>
    <w:lvl w:ilvl="2">
      <w:start w:val="1"/>
      <w:numFmt w:val="lowerRoman"/>
      <w:isLgl w:val="false"/>
      <w:suff w:val="tab"/>
      <w:lvlText w:val="%3."/>
      <w:lvlJc w:val="right"/>
      <w:pPr>
        <w:ind w:left="1968" w:hanging="420"/>
        <w:tabs>
          <w:tab w:val="left" w:pos="1968" w:leader="none"/>
        </w:tabs>
      </w:pPr>
    </w:lvl>
    <w:lvl w:ilvl="3">
      <w:start w:val="1"/>
      <w:numFmt w:val="decimal"/>
      <w:isLgl w:val="false"/>
      <w:suff w:val="tab"/>
      <w:lvlText w:val="%4."/>
      <w:lvlJc w:val="left"/>
      <w:pPr>
        <w:ind w:left="2388" w:hanging="420"/>
        <w:tabs>
          <w:tab w:val="left" w:pos="2388" w:leader="none"/>
        </w:tabs>
      </w:pPr>
    </w:lvl>
    <w:lvl w:ilvl="4">
      <w:start w:val="1"/>
      <w:numFmt w:val="lowerLetter"/>
      <w:isLgl w:val="false"/>
      <w:suff w:val="tab"/>
      <w:lvlText w:val="%5)"/>
      <w:lvlJc w:val="left"/>
      <w:pPr>
        <w:ind w:left="2808" w:hanging="420"/>
        <w:tabs>
          <w:tab w:val="left" w:pos="2808" w:leader="none"/>
        </w:tabs>
      </w:pPr>
    </w:lvl>
    <w:lvl w:ilvl="5">
      <w:start w:val="1"/>
      <w:numFmt w:val="lowerRoman"/>
      <w:isLgl w:val="false"/>
      <w:suff w:val="tab"/>
      <w:lvlText w:val="%6."/>
      <w:lvlJc w:val="right"/>
      <w:pPr>
        <w:ind w:left="3228" w:hanging="420"/>
        <w:tabs>
          <w:tab w:val="left" w:pos="3228" w:leader="none"/>
        </w:tabs>
      </w:pPr>
    </w:lvl>
    <w:lvl w:ilvl="6">
      <w:start w:val="1"/>
      <w:numFmt w:val="decimal"/>
      <w:isLgl w:val="false"/>
      <w:suff w:val="tab"/>
      <w:lvlText w:val="%7."/>
      <w:lvlJc w:val="left"/>
      <w:pPr>
        <w:ind w:left="3648" w:hanging="420"/>
        <w:tabs>
          <w:tab w:val="left" w:pos="3648" w:leader="none"/>
        </w:tabs>
      </w:pPr>
    </w:lvl>
    <w:lvl w:ilvl="7">
      <w:start w:val="1"/>
      <w:numFmt w:val="lowerLetter"/>
      <w:isLgl w:val="false"/>
      <w:suff w:val="tab"/>
      <w:lvlText w:val="%8)"/>
      <w:lvlJc w:val="left"/>
      <w:pPr>
        <w:ind w:left="4068" w:hanging="420"/>
        <w:tabs>
          <w:tab w:val="left" w:pos="4068" w:leader="none"/>
        </w:tabs>
      </w:pPr>
    </w:lvl>
    <w:lvl w:ilvl="8">
      <w:start w:val="1"/>
      <w:numFmt w:val="lowerRoman"/>
      <w:isLgl w:val="false"/>
      <w:suff w:val="tab"/>
      <w:lvlText w:val="%9."/>
      <w:lvlJc w:val="right"/>
      <w:pPr>
        <w:ind w:left="4488" w:hanging="420"/>
        <w:tabs>
          <w:tab w:val="left" w:pos="4488" w:leader="none"/>
        </w:tabs>
      </w:pPr>
    </w:lvl>
  </w:abstractNum>
  <w:abstractNum w:abstractNumId="8">
    <w:multiLevelType w:val="hybridMultilevel"/>
    <w:lvl w:ilvl="0">
      <w:start w:val="1"/>
      <w:numFmt w:val="decimal"/>
      <w:isLgl w:val="false"/>
      <w:suff w:val="tab"/>
      <w:lvlText w:val="%1."/>
      <w:lvlJc w:val="left"/>
      <w:pPr>
        <w:ind w:left="1129" w:hanging="420"/>
      </w:p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9">
    <w:multiLevelType w:val="hybridMultilevel"/>
    <w:lvl w:ilvl="0">
      <w:start w:val="1"/>
      <w:numFmt w:val="decimal"/>
      <w:isLgl w:val="false"/>
      <w:suff w:val="tab"/>
      <w:lvlText w:val="%1."/>
      <w:lvlJc w:val="left"/>
      <w:pPr>
        <w:ind w:left="679" w:firstLine="449"/>
        <w:tabs>
          <w:tab w:val="left" w:pos="288" w:leader="none"/>
        </w:tabs>
      </w:pPr>
      <w:rPr>
        <w:rFonts w:hint="eastAsia"/>
      </w:rPr>
    </w:lvl>
    <w:lvl w:ilvl="1">
      <w:start w:val="1"/>
      <w:numFmt w:val="lowerLetter"/>
      <w:isLgl w:val="false"/>
      <w:suff w:val="tab"/>
      <w:lvlText w:val="%2)"/>
      <w:lvlJc w:val="left"/>
      <w:pPr>
        <w:ind w:left="1548" w:hanging="420"/>
        <w:tabs>
          <w:tab w:val="left" w:pos="1548" w:leader="none"/>
        </w:tabs>
      </w:pPr>
    </w:lvl>
    <w:lvl w:ilvl="2">
      <w:start w:val="1"/>
      <w:numFmt w:val="lowerRoman"/>
      <w:isLgl w:val="false"/>
      <w:suff w:val="tab"/>
      <w:lvlText w:val="%3."/>
      <w:lvlJc w:val="right"/>
      <w:pPr>
        <w:ind w:left="1968" w:hanging="420"/>
        <w:tabs>
          <w:tab w:val="left" w:pos="1968" w:leader="none"/>
        </w:tabs>
      </w:pPr>
    </w:lvl>
    <w:lvl w:ilvl="3">
      <w:start w:val="1"/>
      <w:numFmt w:val="decimal"/>
      <w:isLgl w:val="false"/>
      <w:suff w:val="tab"/>
      <w:lvlText w:val="%4."/>
      <w:lvlJc w:val="left"/>
      <w:pPr>
        <w:ind w:left="2388" w:hanging="420"/>
        <w:tabs>
          <w:tab w:val="left" w:pos="2388" w:leader="none"/>
        </w:tabs>
      </w:pPr>
    </w:lvl>
    <w:lvl w:ilvl="4">
      <w:start w:val="1"/>
      <w:numFmt w:val="lowerLetter"/>
      <w:isLgl w:val="false"/>
      <w:suff w:val="tab"/>
      <w:lvlText w:val="%5)"/>
      <w:lvlJc w:val="left"/>
      <w:pPr>
        <w:ind w:left="2808" w:hanging="420"/>
        <w:tabs>
          <w:tab w:val="left" w:pos="2808" w:leader="none"/>
        </w:tabs>
      </w:pPr>
    </w:lvl>
    <w:lvl w:ilvl="5">
      <w:start w:val="1"/>
      <w:numFmt w:val="lowerRoman"/>
      <w:isLgl w:val="false"/>
      <w:suff w:val="tab"/>
      <w:lvlText w:val="%6."/>
      <w:lvlJc w:val="right"/>
      <w:pPr>
        <w:ind w:left="3228" w:hanging="420"/>
        <w:tabs>
          <w:tab w:val="left" w:pos="3228" w:leader="none"/>
        </w:tabs>
      </w:pPr>
    </w:lvl>
    <w:lvl w:ilvl="6">
      <w:start w:val="1"/>
      <w:numFmt w:val="decimal"/>
      <w:isLgl w:val="false"/>
      <w:suff w:val="tab"/>
      <w:lvlText w:val="%7."/>
      <w:lvlJc w:val="left"/>
      <w:pPr>
        <w:ind w:left="3648" w:hanging="420"/>
        <w:tabs>
          <w:tab w:val="left" w:pos="3648" w:leader="none"/>
        </w:tabs>
      </w:pPr>
    </w:lvl>
    <w:lvl w:ilvl="7">
      <w:start w:val="1"/>
      <w:numFmt w:val="lowerLetter"/>
      <w:isLgl w:val="false"/>
      <w:suff w:val="tab"/>
      <w:lvlText w:val="%8)"/>
      <w:lvlJc w:val="left"/>
      <w:pPr>
        <w:ind w:left="4068" w:hanging="420"/>
        <w:tabs>
          <w:tab w:val="left" w:pos="4068" w:leader="none"/>
        </w:tabs>
      </w:pPr>
    </w:lvl>
    <w:lvl w:ilvl="8">
      <w:start w:val="1"/>
      <w:numFmt w:val="lowerRoman"/>
      <w:isLgl w:val="false"/>
      <w:suff w:val="tab"/>
      <w:lvlText w:val="%9."/>
      <w:lvlJc w:val="right"/>
      <w:pPr>
        <w:ind w:left="4488" w:hanging="420"/>
        <w:tabs>
          <w:tab w:val="left" w:pos="4488" w:leader="none"/>
        </w:tabs>
      </w:pPr>
    </w:lvl>
  </w:abstractNum>
  <w:abstractNum w:abstractNumId="10">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679" w:firstLine="449"/>
        <w:tabs>
          <w:tab w:val="left" w:pos="288" w:leader="none"/>
        </w:tabs>
      </w:pPr>
      <w:rPr>
        <w:rFonts w:hint="eastAsia"/>
      </w:rPr>
    </w:lvl>
    <w:lvl w:ilvl="1">
      <w:start w:val="1"/>
      <w:numFmt w:val="lowerLetter"/>
      <w:isLgl w:val="false"/>
      <w:suff w:val="tab"/>
      <w:lvlText w:val="%2)"/>
      <w:lvlJc w:val="left"/>
      <w:pPr>
        <w:ind w:left="1548" w:hanging="420"/>
        <w:tabs>
          <w:tab w:val="left" w:pos="1548" w:leader="none"/>
        </w:tabs>
      </w:pPr>
    </w:lvl>
    <w:lvl w:ilvl="2">
      <w:start w:val="1"/>
      <w:numFmt w:val="lowerRoman"/>
      <w:isLgl w:val="false"/>
      <w:suff w:val="tab"/>
      <w:lvlText w:val="%3."/>
      <w:lvlJc w:val="right"/>
      <w:pPr>
        <w:ind w:left="1968" w:hanging="420"/>
        <w:tabs>
          <w:tab w:val="left" w:pos="1968" w:leader="none"/>
        </w:tabs>
      </w:pPr>
    </w:lvl>
    <w:lvl w:ilvl="3">
      <w:start w:val="1"/>
      <w:numFmt w:val="decimal"/>
      <w:isLgl w:val="false"/>
      <w:suff w:val="tab"/>
      <w:lvlText w:val="%4."/>
      <w:lvlJc w:val="left"/>
      <w:pPr>
        <w:ind w:left="2388" w:hanging="420"/>
        <w:tabs>
          <w:tab w:val="left" w:pos="2388" w:leader="none"/>
        </w:tabs>
      </w:pPr>
    </w:lvl>
    <w:lvl w:ilvl="4">
      <w:start w:val="1"/>
      <w:numFmt w:val="lowerLetter"/>
      <w:isLgl w:val="false"/>
      <w:suff w:val="tab"/>
      <w:lvlText w:val="%5)"/>
      <w:lvlJc w:val="left"/>
      <w:pPr>
        <w:ind w:left="2808" w:hanging="420"/>
        <w:tabs>
          <w:tab w:val="left" w:pos="2808" w:leader="none"/>
        </w:tabs>
      </w:pPr>
    </w:lvl>
    <w:lvl w:ilvl="5">
      <w:start w:val="1"/>
      <w:numFmt w:val="lowerRoman"/>
      <w:isLgl w:val="false"/>
      <w:suff w:val="tab"/>
      <w:lvlText w:val="%6."/>
      <w:lvlJc w:val="right"/>
      <w:pPr>
        <w:ind w:left="3228" w:hanging="420"/>
        <w:tabs>
          <w:tab w:val="left" w:pos="3228" w:leader="none"/>
        </w:tabs>
      </w:pPr>
    </w:lvl>
    <w:lvl w:ilvl="6">
      <w:start w:val="1"/>
      <w:numFmt w:val="decimal"/>
      <w:isLgl w:val="false"/>
      <w:suff w:val="tab"/>
      <w:lvlText w:val="%7."/>
      <w:lvlJc w:val="left"/>
      <w:pPr>
        <w:ind w:left="3648" w:hanging="420"/>
        <w:tabs>
          <w:tab w:val="left" w:pos="3648" w:leader="none"/>
        </w:tabs>
      </w:pPr>
    </w:lvl>
    <w:lvl w:ilvl="7">
      <w:start w:val="1"/>
      <w:numFmt w:val="lowerLetter"/>
      <w:isLgl w:val="false"/>
      <w:suff w:val="tab"/>
      <w:lvlText w:val="%8)"/>
      <w:lvlJc w:val="left"/>
      <w:pPr>
        <w:ind w:left="4068" w:hanging="420"/>
        <w:tabs>
          <w:tab w:val="left" w:pos="4068" w:leader="none"/>
        </w:tabs>
      </w:pPr>
    </w:lvl>
    <w:lvl w:ilvl="8">
      <w:start w:val="1"/>
      <w:numFmt w:val="lowerRoman"/>
      <w:isLgl w:val="false"/>
      <w:suff w:val="tab"/>
      <w:lvlText w:val="%9."/>
      <w:lvlJc w:val="right"/>
      <w:pPr>
        <w:ind w:left="4488" w:hanging="420"/>
        <w:tabs>
          <w:tab w:val="left" w:pos="4488" w:leader="none"/>
        </w:tabs>
      </w:pPr>
    </w:lvl>
  </w:abstractNum>
  <w:abstractNum w:abstractNumId="12">
    <w:multiLevelType w:val="hybridMultilevel"/>
    <w:lvl w:ilvl="0">
      <w:start w:val="1"/>
      <w:numFmt w:val="decimal"/>
      <w:isLgl w:val="false"/>
      <w:suff w:val="tab"/>
      <w:lvlText w:val="%1."/>
      <w:lvlJc w:val="left"/>
      <w:pPr>
        <w:ind w:left="679" w:firstLine="449"/>
        <w:tabs>
          <w:tab w:val="left" w:pos="288" w:leader="none"/>
        </w:tabs>
      </w:pPr>
      <w:rPr>
        <w:rFonts w:hint="eastAsia"/>
      </w:rPr>
    </w:lvl>
    <w:lvl w:ilvl="1">
      <w:start w:val="1"/>
      <w:numFmt w:val="lowerLetter"/>
      <w:isLgl w:val="false"/>
      <w:suff w:val="tab"/>
      <w:lvlText w:val="%2)"/>
      <w:lvlJc w:val="left"/>
      <w:pPr>
        <w:ind w:left="1548" w:hanging="420"/>
        <w:tabs>
          <w:tab w:val="left" w:pos="1548" w:leader="none"/>
        </w:tabs>
      </w:pPr>
    </w:lvl>
    <w:lvl w:ilvl="2">
      <w:start w:val="1"/>
      <w:numFmt w:val="lowerRoman"/>
      <w:isLgl w:val="false"/>
      <w:suff w:val="tab"/>
      <w:lvlText w:val="%3."/>
      <w:lvlJc w:val="right"/>
      <w:pPr>
        <w:ind w:left="1968" w:hanging="420"/>
        <w:tabs>
          <w:tab w:val="left" w:pos="1968" w:leader="none"/>
        </w:tabs>
      </w:pPr>
    </w:lvl>
    <w:lvl w:ilvl="3">
      <w:start w:val="1"/>
      <w:numFmt w:val="decimal"/>
      <w:isLgl w:val="false"/>
      <w:suff w:val="tab"/>
      <w:lvlText w:val="%4."/>
      <w:lvlJc w:val="left"/>
      <w:pPr>
        <w:ind w:left="2388" w:hanging="420"/>
        <w:tabs>
          <w:tab w:val="left" w:pos="2388" w:leader="none"/>
        </w:tabs>
      </w:pPr>
    </w:lvl>
    <w:lvl w:ilvl="4">
      <w:start w:val="1"/>
      <w:numFmt w:val="lowerLetter"/>
      <w:isLgl w:val="false"/>
      <w:suff w:val="tab"/>
      <w:lvlText w:val="%5)"/>
      <w:lvlJc w:val="left"/>
      <w:pPr>
        <w:ind w:left="2808" w:hanging="420"/>
        <w:tabs>
          <w:tab w:val="left" w:pos="2808" w:leader="none"/>
        </w:tabs>
      </w:pPr>
    </w:lvl>
    <w:lvl w:ilvl="5">
      <w:start w:val="1"/>
      <w:numFmt w:val="lowerRoman"/>
      <w:isLgl w:val="false"/>
      <w:suff w:val="tab"/>
      <w:lvlText w:val="%6."/>
      <w:lvlJc w:val="right"/>
      <w:pPr>
        <w:ind w:left="3228" w:hanging="420"/>
        <w:tabs>
          <w:tab w:val="left" w:pos="3228" w:leader="none"/>
        </w:tabs>
      </w:pPr>
    </w:lvl>
    <w:lvl w:ilvl="6">
      <w:start w:val="1"/>
      <w:numFmt w:val="decimal"/>
      <w:isLgl w:val="false"/>
      <w:suff w:val="tab"/>
      <w:lvlText w:val="%7."/>
      <w:lvlJc w:val="left"/>
      <w:pPr>
        <w:ind w:left="3648" w:hanging="420"/>
        <w:tabs>
          <w:tab w:val="left" w:pos="3648" w:leader="none"/>
        </w:tabs>
      </w:pPr>
    </w:lvl>
    <w:lvl w:ilvl="7">
      <w:start w:val="1"/>
      <w:numFmt w:val="lowerLetter"/>
      <w:isLgl w:val="false"/>
      <w:suff w:val="tab"/>
      <w:lvlText w:val="%8)"/>
      <w:lvlJc w:val="left"/>
      <w:pPr>
        <w:ind w:left="4068" w:hanging="420"/>
        <w:tabs>
          <w:tab w:val="left" w:pos="4068" w:leader="none"/>
        </w:tabs>
      </w:pPr>
    </w:lvl>
    <w:lvl w:ilvl="8">
      <w:start w:val="1"/>
      <w:numFmt w:val="lowerRoman"/>
      <w:isLgl w:val="false"/>
      <w:suff w:val="tab"/>
      <w:lvlText w:val="%9."/>
      <w:lvlJc w:val="right"/>
      <w:pPr>
        <w:ind w:left="4488" w:hanging="420"/>
        <w:tabs>
          <w:tab w:val="left" w:pos="4488" w:leader="none"/>
        </w:tabs>
      </w:pPr>
    </w:lvl>
  </w:abstractNum>
  <w:num w:numId="1">
    <w:abstractNumId w:val="10"/>
  </w:num>
  <w:num w:numId="2">
    <w:abstractNumId w:val="2"/>
  </w:num>
  <w:num w:numId="3">
    <w:abstractNumId w:val="0"/>
  </w:num>
  <w:num w:numId="4">
    <w:abstractNumId w:val="3"/>
  </w:num>
  <w:num w:numId="5">
    <w:abstractNumId w:val="8"/>
  </w:num>
  <w:num w:numId="6">
    <w:abstractNumId w:val="5"/>
  </w:num>
  <w:num w:numId="7">
    <w:abstractNumId w:val="6"/>
  </w:num>
  <w:num w:numId="8">
    <w:abstractNumId w:val="9"/>
  </w:num>
  <w:num w:numId="9">
    <w:abstractNumId w:val="7"/>
  </w:num>
  <w:num w:numId="10">
    <w:abstractNumId w:val="12"/>
  </w:num>
  <w:num w:numId="11">
    <w:abstractNumId w:val="11"/>
  </w:num>
  <w:num w:numId="12">
    <w:abstractNumId w:val="1"/>
  </w:num>
  <w:num w:numId="13">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04"/>
    <w:link w:val="902"/>
    <w:uiPriority w:val="9"/>
    <w:rPr>
      <w:rFonts w:ascii="Arial" w:hAnsi="Arial" w:eastAsia="Arial" w:cs="Arial"/>
      <w:sz w:val="40"/>
      <w:szCs w:val="40"/>
    </w:rPr>
  </w:style>
  <w:style w:type="character" w:styleId="15">
    <w:name w:val="Heading 2 Char"/>
    <w:basedOn w:val="904"/>
    <w:link w:val="903"/>
    <w:uiPriority w:val="9"/>
    <w:rPr>
      <w:rFonts w:ascii="Arial" w:hAnsi="Arial" w:eastAsia="Arial" w:cs="Arial"/>
      <w:sz w:val="34"/>
    </w:rPr>
  </w:style>
  <w:style w:type="paragraph" w:styleId="16">
    <w:name w:val="Heading 3"/>
    <w:basedOn w:val="901"/>
    <w:next w:val="9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904"/>
    <w:link w:val="16"/>
    <w:uiPriority w:val="9"/>
    <w:rPr>
      <w:rFonts w:ascii="Arial" w:hAnsi="Arial" w:eastAsia="Arial" w:cs="Arial"/>
      <w:sz w:val="30"/>
      <w:szCs w:val="30"/>
    </w:rPr>
  </w:style>
  <w:style w:type="paragraph" w:styleId="18">
    <w:name w:val="Heading 4"/>
    <w:basedOn w:val="901"/>
    <w:next w:val="90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904"/>
    <w:link w:val="18"/>
    <w:uiPriority w:val="9"/>
    <w:rPr>
      <w:rFonts w:ascii="Arial" w:hAnsi="Arial" w:eastAsia="Arial" w:cs="Arial"/>
      <w:b/>
      <w:bCs/>
      <w:sz w:val="26"/>
      <w:szCs w:val="26"/>
    </w:rPr>
  </w:style>
  <w:style w:type="paragraph" w:styleId="20">
    <w:name w:val="Heading 5"/>
    <w:basedOn w:val="901"/>
    <w:next w:val="9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04"/>
    <w:link w:val="20"/>
    <w:uiPriority w:val="9"/>
    <w:rPr>
      <w:rFonts w:ascii="Arial" w:hAnsi="Arial" w:eastAsia="Arial" w:cs="Arial"/>
      <w:b/>
      <w:bCs/>
      <w:sz w:val="24"/>
      <w:szCs w:val="24"/>
    </w:rPr>
  </w:style>
  <w:style w:type="paragraph" w:styleId="22">
    <w:name w:val="Heading 6"/>
    <w:basedOn w:val="901"/>
    <w:next w:val="9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04"/>
    <w:link w:val="22"/>
    <w:uiPriority w:val="9"/>
    <w:rPr>
      <w:rFonts w:ascii="Arial" w:hAnsi="Arial" w:eastAsia="Arial" w:cs="Arial"/>
      <w:b/>
      <w:bCs/>
      <w:sz w:val="22"/>
      <w:szCs w:val="22"/>
    </w:rPr>
  </w:style>
  <w:style w:type="paragraph" w:styleId="24">
    <w:name w:val="Heading 7"/>
    <w:basedOn w:val="901"/>
    <w:next w:val="9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04"/>
    <w:link w:val="24"/>
    <w:uiPriority w:val="9"/>
    <w:rPr>
      <w:rFonts w:ascii="Arial" w:hAnsi="Arial" w:eastAsia="Arial" w:cs="Arial"/>
      <w:b/>
      <w:bCs/>
      <w:i/>
      <w:iCs/>
      <w:sz w:val="22"/>
      <w:szCs w:val="22"/>
    </w:rPr>
  </w:style>
  <w:style w:type="paragraph" w:styleId="26">
    <w:name w:val="Heading 8"/>
    <w:basedOn w:val="901"/>
    <w:next w:val="9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04"/>
    <w:link w:val="26"/>
    <w:uiPriority w:val="9"/>
    <w:rPr>
      <w:rFonts w:ascii="Arial" w:hAnsi="Arial" w:eastAsia="Arial" w:cs="Arial"/>
      <w:i/>
      <w:iCs/>
      <w:sz w:val="22"/>
      <w:szCs w:val="22"/>
    </w:rPr>
  </w:style>
  <w:style w:type="paragraph" w:styleId="28">
    <w:name w:val="Heading 9"/>
    <w:basedOn w:val="901"/>
    <w:next w:val="9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04"/>
    <w:link w:val="28"/>
    <w:uiPriority w:val="9"/>
    <w:rPr>
      <w:rFonts w:ascii="Arial" w:hAnsi="Arial" w:eastAsia="Arial" w:cs="Arial"/>
      <w:i/>
      <w:iCs/>
      <w:sz w:val="21"/>
      <w:szCs w:val="21"/>
    </w:rPr>
  </w:style>
  <w:style w:type="paragraph" w:styleId="30">
    <w:name w:val="List Paragraph"/>
    <w:basedOn w:val="90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1"/>
    <w:next w:val="901"/>
    <w:link w:val="34"/>
    <w:uiPriority w:val="10"/>
    <w:qFormat/>
    <w:pPr>
      <w:contextualSpacing/>
      <w:spacing w:before="300" w:after="200"/>
    </w:pPr>
    <w:rPr>
      <w:sz w:val="48"/>
      <w:szCs w:val="48"/>
    </w:rPr>
  </w:style>
  <w:style w:type="character" w:styleId="34">
    <w:name w:val="Title Char"/>
    <w:basedOn w:val="904"/>
    <w:link w:val="33"/>
    <w:uiPriority w:val="10"/>
    <w:rPr>
      <w:sz w:val="48"/>
      <w:szCs w:val="48"/>
    </w:rPr>
  </w:style>
  <w:style w:type="paragraph" w:styleId="35">
    <w:name w:val="Subtitle"/>
    <w:basedOn w:val="901"/>
    <w:next w:val="901"/>
    <w:link w:val="36"/>
    <w:uiPriority w:val="11"/>
    <w:qFormat/>
    <w:pPr>
      <w:spacing w:before="200" w:after="200"/>
    </w:pPr>
    <w:rPr>
      <w:sz w:val="24"/>
      <w:szCs w:val="24"/>
    </w:rPr>
  </w:style>
  <w:style w:type="character" w:styleId="36">
    <w:name w:val="Subtitle Char"/>
    <w:basedOn w:val="904"/>
    <w:link w:val="35"/>
    <w:uiPriority w:val="11"/>
    <w:rPr>
      <w:sz w:val="24"/>
      <w:szCs w:val="24"/>
    </w:rPr>
  </w:style>
  <w:style w:type="paragraph" w:styleId="37">
    <w:name w:val="Quote"/>
    <w:basedOn w:val="901"/>
    <w:next w:val="901"/>
    <w:link w:val="38"/>
    <w:uiPriority w:val="29"/>
    <w:qFormat/>
    <w:pPr>
      <w:ind w:left="720" w:right="720"/>
    </w:pPr>
    <w:rPr>
      <w:i/>
    </w:rPr>
  </w:style>
  <w:style w:type="character" w:styleId="38">
    <w:name w:val="Quote Char"/>
    <w:link w:val="37"/>
    <w:uiPriority w:val="29"/>
    <w:rPr>
      <w:i/>
    </w:rPr>
  </w:style>
  <w:style w:type="paragraph" w:styleId="39">
    <w:name w:val="Intense Quote"/>
    <w:basedOn w:val="901"/>
    <w:next w:val="9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1"/>
    <w:link w:val="42"/>
    <w:uiPriority w:val="99"/>
    <w:unhideWhenUsed/>
    <w:pPr>
      <w:spacing w:after="0" w:line="240" w:lineRule="auto"/>
      <w:tabs>
        <w:tab w:val="center" w:pos="7143" w:leader="none"/>
        <w:tab w:val="right" w:pos="14287" w:leader="none"/>
      </w:tabs>
    </w:pPr>
  </w:style>
  <w:style w:type="character" w:styleId="42">
    <w:name w:val="Header Char"/>
    <w:basedOn w:val="904"/>
    <w:link w:val="41"/>
    <w:uiPriority w:val="99"/>
  </w:style>
  <w:style w:type="character" w:styleId="44">
    <w:name w:val="Footer Char"/>
    <w:basedOn w:val="904"/>
    <w:link w:val="908"/>
    <w:uiPriority w:val="99"/>
  </w:style>
  <w:style w:type="paragraph" w:styleId="45">
    <w:name w:val="Caption"/>
    <w:basedOn w:val="901"/>
    <w:next w:val="901"/>
    <w:uiPriority w:val="35"/>
    <w:semiHidden/>
    <w:unhideWhenUsed/>
    <w:qFormat/>
    <w:pPr>
      <w:spacing w:line="276" w:lineRule="auto"/>
    </w:pPr>
    <w:rPr>
      <w:b/>
      <w:bCs/>
      <w:color w:val="4f81bd" w:themeColor="accent1"/>
      <w:sz w:val="18"/>
      <w:szCs w:val="18"/>
    </w:rPr>
  </w:style>
  <w:style w:type="character" w:styleId="46">
    <w:name w:val="Caption Char"/>
    <w:basedOn w:val="45"/>
    <w:link w:val="908"/>
    <w:uiPriority w:val="99"/>
  </w:style>
  <w:style w:type="table" w:styleId="47">
    <w:name w:val="Table Grid"/>
    <w:basedOn w:val="90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04"/>
    <w:uiPriority w:val="99"/>
    <w:unhideWhenUsed/>
    <w:rPr>
      <w:vertAlign w:val="superscript"/>
    </w:rPr>
  </w:style>
  <w:style w:type="paragraph" w:styleId="177">
    <w:name w:val="endnote text"/>
    <w:basedOn w:val="9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04"/>
    <w:uiPriority w:val="99"/>
    <w:semiHidden/>
    <w:unhideWhenUsed/>
    <w:rPr>
      <w:vertAlign w:val="superscript"/>
    </w:rPr>
  </w:style>
  <w:style w:type="paragraph" w:styleId="181">
    <w:name w:val="toc 2"/>
    <w:basedOn w:val="901"/>
    <w:next w:val="901"/>
    <w:uiPriority w:val="39"/>
    <w:unhideWhenUsed/>
    <w:pPr>
      <w:ind w:left="283" w:right="0" w:firstLine="0"/>
      <w:spacing w:after="57"/>
    </w:pPr>
  </w:style>
  <w:style w:type="paragraph" w:styleId="182">
    <w:name w:val="toc 3"/>
    <w:basedOn w:val="901"/>
    <w:next w:val="901"/>
    <w:uiPriority w:val="39"/>
    <w:unhideWhenUsed/>
    <w:pPr>
      <w:ind w:left="567" w:right="0" w:firstLine="0"/>
      <w:spacing w:after="57"/>
    </w:pPr>
  </w:style>
  <w:style w:type="paragraph" w:styleId="183">
    <w:name w:val="toc 4"/>
    <w:basedOn w:val="901"/>
    <w:next w:val="901"/>
    <w:uiPriority w:val="39"/>
    <w:unhideWhenUsed/>
    <w:pPr>
      <w:ind w:left="850" w:right="0" w:firstLine="0"/>
      <w:spacing w:after="57"/>
    </w:pPr>
  </w:style>
  <w:style w:type="paragraph" w:styleId="184">
    <w:name w:val="toc 5"/>
    <w:basedOn w:val="901"/>
    <w:next w:val="901"/>
    <w:uiPriority w:val="39"/>
    <w:unhideWhenUsed/>
    <w:pPr>
      <w:ind w:left="1134" w:right="0" w:firstLine="0"/>
      <w:spacing w:after="57"/>
    </w:pPr>
  </w:style>
  <w:style w:type="paragraph" w:styleId="185">
    <w:name w:val="toc 6"/>
    <w:basedOn w:val="901"/>
    <w:next w:val="901"/>
    <w:uiPriority w:val="39"/>
    <w:unhideWhenUsed/>
    <w:pPr>
      <w:ind w:left="1417" w:right="0" w:firstLine="0"/>
      <w:spacing w:after="57"/>
    </w:pPr>
  </w:style>
  <w:style w:type="paragraph" w:styleId="186">
    <w:name w:val="toc 7"/>
    <w:basedOn w:val="901"/>
    <w:next w:val="901"/>
    <w:uiPriority w:val="39"/>
    <w:unhideWhenUsed/>
    <w:pPr>
      <w:ind w:left="1701" w:right="0" w:firstLine="0"/>
      <w:spacing w:after="57"/>
    </w:pPr>
  </w:style>
  <w:style w:type="paragraph" w:styleId="187">
    <w:name w:val="toc 8"/>
    <w:basedOn w:val="901"/>
    <w:next w:val="901"/>
    <w:uiPriority w:val="39"/>
    <w:unhideWhenUsed/>
    <w:pPr>
      <w:ind w:left="1984" w:right="0" w:firstLine="0"/>
      <w:spacing w:after="57"/>
    </w:pPr>
  </w:style>
  <w:style w:type="paragraph" w:styleId="188">
    <w:name w:val="toc 9"/>
    <w:basedOn w:val="901"/>
    <w:next w:val="9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1"/>
    <w:next w:val="901"/>
    <w:uiPriority w:val="99"/>
    <w:unhideWhenUsed/>
    <w:pPr>
      <w:spacing w:after="0" w:afterAutospacing="0"/>
    </w:pPr>
  </w:style>
  <w:style w:type="paragraph" w:styleId="90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2">
    <w:name w:val="Heading 1"/>
    <w:basedOn w:val="901"/>
    <w:next w:val="901"/>
    <w:link w:val="918"/>
    <w:uiPriority w:val="9"/>
    <w:qFormat/>
    <w:pPr>
      <w:jc w:val="center"/>
      <w:keepLines/>
      <w:keepNext/>
      <w:spacing w:before="480" w:after="200"/>
      <w:outlineLvl w:val="0"/>
    </w:pPr>
    <w:rPr>
      <w:rFonts w:ascii="Arial" w:hAnsi="Arial" w:cs="Arial"/>
      <w:b/>
      <w:sz w:val="36"/>
      <w:szCs w:val="40"/>
    </w:rPr>
  </w:style>
  <w:style w:type="paragraph" w:styleId="903">
    <w:name w:val="Heading 2"/>
    <w:basedOn w:val="901"/>
    <w:next w:val="901"/>
    <w:link w:val="923"/>
    <w:uiPriority w:val="9"/>
    <w:qFormat/>
    <w:pPr>
      <w:keepLines/>
      <w:keepNext/>
      <w:spacing w:before="360" w:after="200"/>
      <w:outlineLvl w:val="1"/>
    </w:pPr>
    <w:rPr>
      <w:rFonts w:ascii="Arial" w:hAnsi="Arial" w:eastAsia="Arial" w:cs="Arial"/>
      <w:sz w:val="34"/>
    </w:rPr>
  </w:style>
  <w:style w:type="character" w:styleId="904" w:default="1">
    <w:name w:val="Default Paragraph Font"/>
    <w:uiPriority w:val="0"/>
    <w:semiHidden/>
    <w:qFormat/>
  </w:style>
  <w:style w:type="table" w:styleId="905" w:default="1">
    <w:name w:val="Normal Table"/>
    <w:uiPriority w:val="0"/>
    <w:semiHidden/>
    <w:qFormat/>
    <w:tblPr>
      <w:tblCellMar>
        <w:left w:w="108" w:type="dxa"/>
        <w:top w:w="0" w:type="dxa"/>
        <w:right w:w="108" w:type="dxa"/>
        <w:bottom w:w="0" w:type="dxa"/>
      </w:tblCellMar>
    </w:tblPr>
  </w:style>
  <w:style w:type="paragraph" w:styleId="906">
    <w:name w:val="annotation text"/>
    <w:basedOn w:val="901"/>
    <w:uiPriority w:val="99"/>
    <w:unhideWhenUsed/>
    <w:qFormat/>
    <w:pPr>
      <w:jc w:val="left"/>
    </w:pPr>
  </w:style>
  <w:style w:type="paragraph" w:styleId="907">
    <w:name w:val="Body Text"/>
    <w:basedOn w:val="901"/>
    <w:uiPriority w:val="99"/>
    <w:qFormat/>
    <w:pPr>
      <w:spacing w:before="120" w:line="22" w:lineRule="atLeast"/>
      <w:tabs>
        <w:tab w:val="left" w:pos="567" w:leader="none"/>
      </w:tabs>
    </w:pPr>
    <w:rPr>
      <w:rFonts w:ascii="宋体" w:hAnsi="宋体"/>
      <w:sz w:val="24"/>
    </w:rPr>
  </w:style>
  <w:style w:type="paragraph" w:styleId="908">
    <w:name w:val="Footer"/>
    <w:basedOn w:val="901"/>
    <w:uiPriority w:val="99"/>
    <w:unhideWhenUsed/>
    <w:qFormat/>
    <w:pPr>
      <w:tabs>
        <w:tab w:val="center" w:pos="7143" w:leader="none"/>
        <w:tab w:val="right" w:pos="14287" w:leader="none"/>
      </w:tabs>
    </w:pPr>
  </w:style>
  <w:style w:type="paragraph" w:styleId="909">
    <w:name w:val="toc 1"/>
    <w:basedOn w:val="901"/>
    <w:next w:val="901"/>
    <w:uiPriority w:val="0"/>
    <w:qFormat/>
  </w:style>
  <w:style w:type="paragraph" w:styleId="910">
    <w:name w:val="Normal (Web)"/>
    <w:basedOn w:val="901"/>
    <w:uiPriority w:val="99"/>
    <w:unhideWhenUsed/>
    <w:qFormat/>
    <w:pPr>
      <w:jc w:val="left"/>
      <w:spacing w:before="100" w:beforeAutospacing="1" w:after="100" w:afterAutospacing="1"/>
      <w:widowControl/>
    </w:pPr>
    <w:rPr>
      <w:rFonts w:ascii="宋体" w:hAnsi="宋体" w:cs="宋体"/>
      <w:sz w:val="24"/>
    </w:rPr>
  </w:style>
  <w:style w:type="paragraph" w:styleId="911">
    <w:name w:val="Body Text First Indent"/>
    <w:basedOn w:val="907"/>
    <w:uiPriority w:val="99"/>
    <w:qFormat/>
    <w:pPr>
      <w:ind w:firstLine="420"/>
    </w:pPr>
  </w:style>
  <w:style w:type="character" w:styleId="912">
    <w:name w:val="Strong"/>
    <w:basedOn w:val="904"/>
    <w:uiPriority w:val="0"/>
    <w:qFormat/>
    <w:rPr>
      <w:b/>
    </w:rPr>
  </w:style>
  <w:style w:type="character" w:styleId="913">
    <w:name w:val="Emphasis"/>
    <w:uiPriority w:val="0"/>
    <w:qFormat/>
    <w:rPr>
      <w:color w:val="cc0033"/>
    </w:rPr>
  </w:style>
  <w:style w:type="character" w:styleId="914">
    <w:name w:val="annotation reference"/>
    <w:uiPriority w:val="0"/>
    <w:qFormat/>
    <w:rPr>
      <w:sz w:val="21"/>
      <w:szCs w:val="21"/>
    </w:rPr>
  </w:style>
  <w:style w:type="paragraph" w:styleId="915" w:customStyle="1">
    <w:name w:val="标题 41"/>
    <w:basedOn w:val="901"/>
    <w:next w:val="901"/>
    <w:uiPriority w:val="0"/>
    <w:qFormat/>
    <w:pPr>
      <w:keepLines/>
      <w:keepNext/>
      <w:spacing w:before="280" w:after="290" w:line="376" w:lineRule="atLeast"/>
      <w:outlineLvl w:val="3"/>
    </w:pPr>
    <w:rPr>
      <w:rFonts w:ascii="Arial" w:hAnsi="Arial" w:eastAsia="黑体"/>
      <w:b/>
      <w:sz w:val="28"/>
      <w:szCs w:val="20"/>
    </w:rPr>
  </w:style>
  <w:style w:type="paragraph" w:styleId="916" w:customStyle="1">
    <w:name w:val="正文文本1"/>
    <w:basedOn w:val="901"/>
    <w:next w:val="901"/>
    <w:uiPriority w:val="0"/>
    <w:qFormat/>
    <w:pPr>
      <w:spacing w:before="120" w:line="22" w:lineRule="atLeast"/>
      <w:tabs>
        <w:tab w:val="left" w:pos="567" w:leader="none"/>
      </w:tabs>
    </w:pPr>
    <w:rPr>
      <w:rFonts w:ascii="宋体" w:hAnsi="宋体"/>
      <w:sz w:val="24"/>
    </w:rPr>
  </w:style>
  <w:style w:type="paragraph" w:styleId="917" w:customStyle="1">
    <w:name w:val="WPSOffice手动目录 1"/>
    <w:uiPriority w:val="0"/>
    <w:qFormat/>
    <w:rPr>
      <w:rFonts w:ascii="Times New Roman" w:hAnsi="Times New Roman" w:eastAsia="宋体" w:cs="Times New Roman"/>
      <w:lang w:val="en-US" w:eastAsia="zh-CN" w:bidi="ar-SA"/>
    </w:rPr>
  </w:style>
  <w:style w:type="character" w:styleId="918" w:customStyle="1">
    <w:name w:val="标题 1 字符"/>
    <w:link w:val="902"/>
    <w:uiPriority w:val="9"/>
    <w:qFormat/>
    <w:rPr>
      <w:rFonts w:ascii="Arial" w:hAnsi="Arial" w:cs="Arial"/>
      <w:b/>
      <w:sz w:val="36"/>
      <w:szCs w:val="40"/>
    </w:rPr>
  </w:style>
  <w:style w:type="paragraph" w:styleId="919" w:customStyle="1">
    <w:name w:val="标题 21"/>
    <w:basedOn w:val="901"/>
    <w:next w:val="920"/>
    <w:uiPriority w:val="0"/>
    <w:qFormat/>
    <w:pPr>
      <w:jc w:val="center"/>
      <w:keepLines/>
      <w:keepNext/>
      <w:spacing w:before="120" w:line="300" w:lineRule="auto"/>
      <w:outlineLvl w:val="1"/>
    </w:pPr>
    <w:rPr>
      <w:rFonts w:ascii="Arial" w:hAnsi="Arial" w:eastAsia="黑体"/>
      <w:b/>
      <w:sz w:val="30"/>
      <w:szCs w:val="20"/>
    </w:rPr>
  </w:style>
  <w:style w:type="paragraph" w:styleId="920" w:customStyle="1">
    <w:name w:val="正文缩进11"/>
    <w:basedOn w:val="901"/>
    <w:uiPriority w:val="0"/>
    <w:qFormat/>
    <w:pPr>
      <w:ind w:firstLine="420"/>
      <w:jc w:val="left"/>
    </w:pPr>
    <w:rPr>
      <w:rFonts w:ascii="宋体"/>
      <w:sz w:val="24"/>
    </w:rPr>
  </w:style>
  <w:style w:type="paragraph" w:styleId="92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922" w:customStyle="1">
    <w:name w:val="纯文本1"/>
    <w:basedOn w:val="901"/>
    <w:uiPriority w:val="0"/>
    <w:qFormat/>
    <w:rPr>
      <w:rFonts w:hint="eastAsia" w:ascii="宋体" w:hAnsi="Courier New"/>
      <w:szCs w:val="20"/>
    </w:rPr>
  </w:style>
  <w:style w:type="character" w:styleId="923" w:customStyle="1">
    <w:name w:val="标题 2 字符"/>
    <w:link w:val="903"/>
    <w:uiPriority w:val="0"/>
    <w:qFormat/>
    <w:rPr>
      <w:rFonts w:ascii="Arial" w:hAnsi="Arial" w:eastAsia="Arial" w:cs="Arial"/>
      <w:sz w:val="34"/>
    </w:rPr>
  </w:style>
  <w:style w:type="paragraph" w:styleId="924" w:customStyle="1">
    <w:name w:val="列表段落1"/>
    <w:basedOn w:val="901"/>
    <w:uiPriority w:val="34"/>
    <w:qFormat/>
    <w:pPr>
      <w:contextualSpacing/>
      <w:ind w:left="720"/>
      <w:jc w:val="left"/>
      <w:widowControl/>
    </w:pPr>
    <w:rPr>
      <w:rFonts w:ascii="Calibri" w:hAnsi="Calibri"/>
      <w:sz w:val="24"/>
      <w:lang w:eastAsia="en-US" w:bidi="en-US"/>
    </w:rPr>
  </w:style>
  <w:style w:type="paragraph" w:styleId="925" w:customStyle="1">
    <w:name w:val="普通正文"/>
    <w:basedOn w:val="901"/>
    <w:uiPriority w:val="0"/>
    <w:qFormat/>
    <w:pPr>
      <w:ind w:firstLine="480"/>
      <w:jc w:val="left"/>
      <w:spacing w:before="120" w:after="120" w:line="360" w:lineRule="auto"/>
    </w:pPr>
    <w:rPr>
      <w:rFonts w:ascii="Arial" w:hAnsi="Arial"/>
      <w:sz w:val="24"/>
    </w:rPr>
  </w:style>
  <w:style w:type="paragraph" w:styleId="926" w:customStyle="1">
    <w:name w:val="图例"/>
    <w:basedOn w:val="901"/>
    <w:uiPriority w:val="0"/>
    <w:qFormat/>
    <w:pPr>
      <w:jc w:val="center"/>
      <w:spacing w:before="120" w:after="120" w:line="360" w:lineRule="auto"/>
    </w:pPr>
    <w:rPr>
      <w:rFonts w:eastAsia="仿宋_GB2312"/>
      <w:b/>
      <w:sz w:val="24"/>
      <w:szCs w:val="20"/>
    </w:rPr>
  </w:style>
  <w:style w:type="paragraph" w:styleId="927" w:customStyle="1">
    <w:name w:val="列表段落2"/>
    <w:basedOn w:val="901"/>
    <w:uiPriority w:val="34"/>
    <w:qFormat/>
    <w:pPr>
      <w:contextualSpacing/>
      <w:ind w:left="720"/>
    </w:pPr>
  </w:style>
  <w:style w:type="paragraph" w:styleId="928" w:customStyle="1">
    <w:name w:val="样式"/>
    <w:uiPriority w:val="0"/>
    <w:qFormat/>
    <w:pPr>
      <w:widowControl w:val="off"/>
    </w:pPr>
    <w:rPr>
      <w:rFonts w:ascii="Calibri" w:hAnsi="Calibri" w:eastAsia="宋体" w:cs="Times New Roman"/>
      <w:sz w:val="24"/>
      <w:szCs w:val="24"/>
      <w:lang w:val="en-US" w:eastAsia="zh-CN" w:bidi="ar-SA"/>
    </w:rPr>
  </w:style>
  <w:style w:type="paragraph" w:styleId="929" w:customStyle="1">
    <w:name w:val="正文1"/>
    <w:basedOn w:val="901"/>
    <w:uiPriority w:val="0"/>
    <w:qFormat/>
    <w:pPr>
      <w:contextualSpacing/>
      <w:ind w:firstLine="200"/>
      <w:jc w:val="left"/>
      <w:spacing w:before="120" w:after="120"/>
      <w:widowControl/>
    </w:pPr>
    <w:rPr>
      <w:rFonts w:ascii="Calibri" w:hAnsi="Calibri" w:eastAsia="Adobe 仿宋 Std R"/>
      <w:sz w:val="20"/>
      <w:szCs w:val="21"/>
    </w:rPr>
  </w:style>
  <w:style w:type="paragraph" w:styleId="930" w:customStyle="1">
    <w:name w:val="正文文本缩进11"/>
    <w:basedOn w:val="901"/>
    <w:next w:val="901"/>
    <w:uiPriority w:val="0"/>
    <w:qFormat/>
    <w:pPr>
      <w:ind w:firstLine="570"/>
      <w:spacing w:line="360" w:lineRule="auto"/>
    </w:pPr>
    <w:rPr>
      <w:sz w:val="24"/>
    </w:rPr>
  </w:style>
  <w:style w:type="paragraph" w:styleId="931" w:customStyle="1">
    <w:name w:val="材料标题"/>
    <w:basedOn w:val="901"/>
    <w:uiPriority w:val="0"/>
    <w:qFormat/>
    <w:pPr>
      <w:jc w:val="center"/>
      <w:spacing w:line="700" w:lineRule="exact"/>
    </w:pPr>
    <w:rPr>
      <w:rFonts w:ascii="方正小标宋简体" w:eastAsia="方正小标宋简体"/>
      <w:color w:val="000000"/>
      <w:sz w:val="44"/>
      <w:szCs w:val="44"/>
    </w:rPr>
  </w:style>
  <w:style w:type="paragraph" w:styleId="932" w:customStyle="1">
    <w:name w:val="成文日期"/>
    <w:basedOn w:val="901"/>
    <w:uiPriority w:val="0"/>
    <w:qFormat/>
    <w:pPr>
      <w:ind w:right="400" w:firstLine="200"/>
      <w:jc w:val="right"/>
      <w:spacing w:line="570" w:lineRule="exact"/>
    </w:pPr>
    <w:rPr>
      <w:rFonts w:ascii="仿宋_GB2312" w:eastAsia="仿宋_GB2312"/>
      <w:sz w:val="32"/>
      <w:szCs w:val="20"/>
    </w:rPr>
  </w:style>
  <w:style w:type="paragraph" w:styleId="933" w:customStyle="1">
    <w:name w:val="正文首行缩进 21"/>
    <w:basedOn w:val="930"/>
    <w:uiPriority w:val="0"/>
    <w:qFormat/>
    <w:pPr>
      <w:ind w:left="420" w:firstLine="420"/>
      <w:spacing w:after="120" w:line="480" w:lineRule="exact"/>
    </w:pPr>
    <w:rPr>
      <w:szCs w:val="20"/>
    </w:rPr>
  </w:style>
  <w:style w:type="paragraph" w:styleId="934" w:customStyle="1">
    <w:name w:val="页眉1"/>
    <w:basedOn w:val="901"/>
    <w:uiPriority w:val="0"/>
    <w:qFormat/>
    <w:pPr>
      <w:jc w:val="center"/>
      <w:tabs>
        <w:tab w:val="center" w:pos="4153" w:leader="none"/>
        <w:tab w:val="right" w:pos="8306" w:leader="none"/>
      </w:tabs>
      <w:pBdr>
        <w:bottom w:val="single" w:color="000000" w:sz="6" w:space="1"/>
      </w:pBdr>
    </w:pPr>
    <w:rPr>
      <w:sz w:val="18"/>
      <w:szCs w:val="18"/>
    </w:rPr>
  </w:style>
  <w:style w:type="paragraph" w:styleId="935" w:customStyle="1">
    <w:name w:val="页脚1"/>
    <w:basedOn w:val="901"/>
    <w:uiPriority w:val="99"/>
    <w:qFormat/>
    <w:pPr>
      <w:jc w:val="left"/>
      <w:tabs>
        <w:tab w:val="center" w:pos="4153" w:leader="none"/>
        <w:tab w:val="right" w:pos="8306" w:leader="none"/>
      </w:tabs>
    </w:pPr>
    <w:rPr>
      <w:rFonts w:ascii="宋体"/>
      <w:sz w:val="18"/>
      <w:szCs w:val="20"/>
    </w:rPr>
  </w:style>
  <w:style w:type="character" w:styleId="936" w:customStyle="1">
    <w:name w:val="页码1"/>
    <w:uiPriority w:val="0"/>
    <w:qFormat/>
  </w:style>
  <w:style w:type="numbering" w:styleId="79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png"/><Relationship Id="rId24" Type="http://schemas.openxmlformats.org/officeDocument/2006/relationships/image" Target="media/image2.png"/><Relationship Id="rId25" Type="http://schemas.openxmlformats.org/officeDocument/2006/relationships/image" Target="media/image3.png"/><Relationship Id="rId26" Type="http://schemas.openxmlformats.org/officeDocument/2006/relationships/image" Target="media/image4.jpg"/><Relationship Id="rId27" Type="http://schemas.openxmlformats.org/officeDocument/2006/relationships/image" Target="media/image5.png"/><Relationship Id="rId28"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405990c3-bcdd-49ac-8a4c-fa88bf3569fb</errorID>
      <errorWord>【2011】300号</errorWord>
      <group>L1_Knowledge</group>
      <groupName>知识性问题</groupName>
      <ability>L2_Knowledge</ability>
      <abilityName>其他知识</abilityName>
      <candidateList>
        <item>〔2011〕300号</item>
      </candidateList>
      <explain>发文字号格式错误。</explain>
      <paraID>3585B909</paraID>
      <start>57</start>
      <end>67</end>
      <status>unmodified</status>
      <modifiedWord/>
      <trackRevisions>false</trackRevisions>
    </reviewItem>
    <reviewItem>
      <errorID>0ea71c49-4e95-4f4e-a224-2c525471d16b</errorID>
      <errorWord>对于</errorWord>
      <group>L1_Word</group>
      <groupName>字词问题</groupName>
      <ability>L2_Typo</ability>
      <abilityName>字词错误</abilityName>
      <candidateList>
        <item>对</item>
      </candidateList>
      <explain/>
      <paraID>67F40444</paraID>
      <start>126</start>
      <end>128</end>
      <status>unmodified</status>
      <modifiedWord/>
      <trackRevisions>false</trackRevisions>
    </reviewItem>
    <reviewItem>
      <errorID>0e6b8c0f-9363-4be6-be6d-c9ef56777809</errorID>
      <errorWord>将会</errorWord>
      <group>L1_Word</group>
      <groupName>字词问题</groupName>
      <ability>L2_Typo</ability>
      <abilityName>字词错误</abilityName>
      <candidateList>
        <item>将</item>
      </candidateList>
      <explain/>
      <paraID>67F40444</paraID>
      <start>147</start>
      <end>149</end>
      <status>unmodified</status>
      <modifiedWord/>
      <trackRevisions>false</trackRevisions>
    </reviewItem>
    <reviewItem>
      <errorID>d722246d-7975-4c61-bab0-d67b3c79d5e9</errorID>
      <errorWord>接收</errorWord>
      <group>L1_Word</group>
      <groupName>字词问题</groupName>
      <ability>L2_Typo</ability>
      <abilityName>字词错误</abilityName>
      <candidateList>
        <item>接受</item>
      </candidateList>
      <explain>存在发音相同字词的误用。</explain>
      <paraID>20CEA7C9</paraID>
      <start>0</start>
      <end>2</end>
      <status>unmodified</status>
      <modifiedWord/>
      <trackRevisions>false</trackRevisions>
    </reviewItem>
    <reviewItem>
      <errorID>014ca7a9-4e21-461f-9211-b0fd0141c850</errorID>
      <errorWord>间</errorWord>
      <group>L1_Word</group>
      <groupName>字词问题</groupName>
      <ability>L2_Typo</ability>
      <abilityName>字词错误</abilityName>
      <candidateList>
        <item>间之</item>
      </candidateList>
      <explain/>
      <paraID> 1061926</paraID>
      <start>10</start>
      <end>11</end>
      <status>unmodified</status>
      <modifiedWord/>
      <trackRevisions>false</trackRevisions>
    </reviewItem>
    <reviewItem>
      <errorID>399080f4-ed66-4a33-92a1-4c555f151328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4877227</paraID>
      <start>21</start>
      <end>24</end>
      <status>unmodified</status>
      <modifiedWord/>
      <trackRevisions>false</trackRevisions>
    </reviewItem>
    <reviewItem>
      <errorID>8ff2761b-07fe-4b14-b25f-a1f03d11343a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7FC5DA9B</paraID>
      <start>28</start>
      <end>31</end>
      <status>unmodified</status>
      <modifiedWord/>
      <trackRevisions>false</trackRevisions>
    </reviewItem>
    <reviewItem>
      <errorID>53a31d27-25e4-49ce-b1d0-cb5895da4a1d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7FC5DA9B</paraID>
      <start>62</start>
      <end>65</end>
      <status>unmodified</status>
      <modifiedWord/>
      <trackRevisions>false</trackRevisions>
    </reviewItem>
    <reviewItem>
      <errorID>0ae55abb-e3f4-4c66-99d4-d8d640b1a097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5DFDBE21</paraID>
      <start>13</start>
      <end>16</end>
      <status>unmodified</status>
      <modifiedWord/>
      <trackRevisions>false</trackRevisions>
    </reviewItem>
    <reviewItem>
      <errorID>7972b959-b679-4e68-87e8-a2623b4f96ff</errorID>
      <errorWord>保持通讯畅通</errorWord>
      <group>L1_Word</group>
      <groupName>字词问题</groupName>
      <ability>L2_Typo</ability>
      <abilityName>字词错误</abilityName>
      <candidateList>
        <item>保持通信畅通</item>
      </candidateList>
      <explain/>
      <paraID>3D4B5030</paraID>
      <start>17</start>
      <end>23</end>
      <status>unmodified</status>
      <modifiedWord/>
      <trackRevisions>false</trackRevisions>
    </reviewItem>
    <reviewItem>
      <errorID>a1c8310e-c9d2-4847-a6ef-7c1d77ad0cf8</errorID>
      <errorWord>&lt;</errorWord>
      <group>L1_Format</group>
      <groupName>格式问题</groupName>
      <ability>L2_HalfPunc_CN</ability>
      <abilityName>全半角问题</abilityName>
      <candidateList>
        <item>〈</item>
      </candidateList>
      <explain>文本全半角错误。</explain>
      <paraID>685A497B</paraID>
      <start>56</start>
      <end>57</end>
      <status>unmodified</status>
      <modifiedWord/>
      <trackRevisions>false</trackRevisions>
    </reviewItem>
    <reviewItem>
      <errorID>b5b8c242-dbdb-4c04-a3a5-4fc18fd2bbce</errorID>
      <errorWord>&lt;</errorWord>
      <group>L1_Format</group>
      <groupName>格式问题</groupName>
      <ability>L2_HalfPunc_CN</ability>
      <abilityName>全半角问题</abilityName>
      <candidateList>
        <item>〈</item>
      </candidateList>
      <explain>文本全半角错误。</explain>
      <paraID> 1E11477</paraID>
      <start>58</start>
      <end>59</end>
      <status>unmodified</status>
      <modifiedWord/>
      <trackRevisions>false</trackRevisions>
    </reviewItem>
    <reviewItem>
      <errorID>a5cf322f-92ae-44b2-9111-f15f07bc447b</errorID>
      <errorWord>&lt;</errorWord>
      <group>L1_Format</group>
      <groupName>格式问题</groupName>
      <ability>L2_HalfPunc_CN</ability>
      <abilityName>全半角问题</abilityName>
      <candidateList>
        <item>〈</item>
      </candidateList>
      <explain>文本全半角错误。</explain>
      <paraID>1E6FC42C</paraID>
      <start>43</start>
      <end>44</end>
      <status>unmodified</status>
      <modifiedWord/>
      <trackRevisions>false</trackRevisions>
    </reviewItem>
    <reviewItem>
      <errorID>84d19534-c6bf-4f17-a3f0-d7683051ce8b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6560844</paraID>
      <start>45</start>
      <end>48</end>
      <status>unmodified</status>
      <modifiedWord/>
      <trackRevisions>false</trackRevisions>
    </reviewItem>
    <reviewItem>
      <errorID>db52b807-e4f8-4bf0-9af6-7ff7daaff202</errorID>
      <errorWord>法律、法规</errorWord>
      <group>L1_Word</group>
      <groupName>字词问题</groupName>
      <ability>L2_Typo</ability>
      <abilityName>字词错误</abilityName>
      <candidateList>
        <item>法律法规</item>
      </candidateList>
      <explain/>
      <paraID>20E183D3</paraID>
      <start>9</start>
      <end>14</end>
      <status>unmodified</status>
      <modifiedWord/>
      <trackRevisions>false</trackRevisions>
    </reviewItem>
    <reviewItem>
      <errorID>1f207f77-92c8-4ad3-8687-5786ac4aff3a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2C0509B0</paraID>
      <start>20</start>
      <end>23</end>
      <status>unmodified</status>
      <modifiedWord/>
      <trackRevisions>false</trackRevisions>
    </reviewItem>
    <reviewItem>
      <errorID>e7dfd75f-175d-4357-83fc-faf259626c51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27E72E58</paraID>
      <start>8</start>
      <end>11</end>
      <status>unmodified</status>
      <modifiedWord/>
      <trackRevisions>false</trackRevisions>
    </reviewItem>
    <reviewItem>
      <errorID>c344e5b0-4c9c-4011-b146-4d8501118dd6</errorID>
      <errorWord>&lt;</errorWord>
      <group>L1_Format</group>
      <groupName>格式问题</groupName>
      <ability>L2_HalfPunc_CN</ability>
      <abilityName>全半角问题</abilityName>
      <candidateList>
        <item>〈</item>
      </candidateList>
      <explain>文本全半角错误。</explain>
      <paraID>39F3CF9E</paraID>
      <start>49</start>
      <end>50</end>
      <status>unmodified</status>
      <modifiedWord/>
      <trackRevisions>false</trackRevisions>
    </reviewItem>
    <reviewItem>
      <errorID>86e9a5f6-e799-42f5-874e-4528bbc101b9</errorID>
      <errorWord>&lt;</errorWord>
      <group>L1_Format</group>
      <groupName>格式问题</groupName>
      <ability>L2_HalfPunc_CN</ability>
      <abilityName>全半角问题</abilityName>
      <candidateList>
        <item>〈</item>
      </candidateList>
      <explain>文本全半角错误。</explain>
      <paraID>1363F313</paraID>
      <start>49</start>
      <end>50</end>
      <status>unmodified</status>
      <modifiedWord/>
      <trackRevisions>false</trackRevisions>
    </reviewItem>
    <reviewItem>
      <errorID>42c45ba7-0acc-41cd-9bb9-cf6069e1c1bc</errorID>
      <errorWord>&lt;</errorWord>
      <group>L1_Format</group>
      <groupName>格式问题</groupName>
      <ability>L2_HalfPunc_CN</ability>
      <abilityName>全半角问题</abilityName>
      <candidateList>
        <item>〈</item>
      </candidateList>
      <explain>文本全半角错误。</explain>
      <paraID>38561EFE</paraID>
      <start>34</start>
      <end>35</end>
      <status>unmodified</status>
      <modifiedWord/>
      <trackRevisions>false</trackRevisions>
    </reviewItem>
    <reviewItem>
      <errorID>ea0a728b-bf9a-4146-9dee-6387bcb15e8d</errorID>
      <errorWord>法律、法规</errorWord>
      <group>L1_Word</group>
      <groupName>字词问题</groupName>
      <ability>L2_Typo</ability>
      <abilityName>字词错误</abilityName>
      <candidateList>
        <item>法律法规</item>
      </candidateList>
      <explain/>
      <paraID>49F429E1</paraID>
      <start>14</start>
      <end>19</end>
      <status>unmodified</status>
      <modifiedWord/>
      <trackRevisions>false</trackRevisions>
    </reviewItem>
    <reviewItem>
      <errorID>32f80549-0c26-493d-8359-9f0254b0fd5e</errorID>
      <errorWord>[2014]68号</errorWord>
      <group>L1_Knowledge</group>
      <groupName>知识性问题</groupName>
      <ability>L2_Knowledge</ability>
      <abilityName>其他知识</abilityName>
      <candidateList>
        <item>〔2014〕68号</item>
      </candidateList>
      <explain>发文字号格式错误。</explain>
      <paraID> 96CAB89</paraID>
      <start>38</start>
      <end>47</end>
      <status>unmodified</status>
      <modifiedWord/>
      <trackRevisions>false</trackRevisions>
    </reviewItem>
    <reviewItem>
      <errorID>8b6aafe4-c6ae-45e9-b711-89b3837fbc1b</errorID>
      <errorWord>，，</errorWord>
      <group>L1_Punc</group>
      <groupName>标点问题</groupName>
      <ability>L2_Punc_CN</ability>
      <abilityName>标点符号问题</abilityName>
      <candidateList>
        <item>，</item>
      </candidateList>
      <explain/>
      <paraID>1D711A58</paraID>
      <start>62</start>
      <end>63</end>
      <status>modified</status>
      <modifiedWord>，</modifiedWord>
      <trackRevisions>false</trackRevisions>
    </reviewItem>
    <reviewItem>
      <errorID>f936415c-763d-47d6-be28-01dea0926e68</errorID>
      <errorWord>全额</errorWord>
      <group>L1_Word</group>
      <groupName>字词问题</groupName>
      <ability>L2_Typo</ability>
      <abilityName>字词错误</abilityName>
      <candidateList>
        <item>金额</item>
      </candidateList>
      <explain>存在字形相近字词的误用。</explain>
      <paraID>3AC1E80A</paraID>
      <start>25</start>
      <end>27</end>
      <status>unmodified</status>
      <modifiedWord/>
      <trackRevisions>false</trackRevisions>
    </reviewItem>
    <reviewItem>
      <errorID>c1902219-a6f1-4f6e-87cc-4e0c6d347cb9</errorID>
      <errorWord>;</errorWord>
      <group>L1_Format</group>
      <groupName>格式问题</groupName>
      <ability>L2_HalfPunc_CN</ability>
      <abilityName>全半角问题</abilityName>
      <candidateList>
        <item>；</item>
      </candidateList>
      <explain>文本全半角错误。</explain>
      <paraID>6D7F1CCA</paraID>
      <start>30</start>
      <end>31</end>
      <status>modified</status>
      <modifiedWord>；</modifiedWord>
      <trackRevisions>false</trackRevisions>
    </reviewItem>
    <reviewItem>
      <errorID>bfa04d17-2015-490e-85a2-e1647692cf00</errorID>
      <errorWord>(</errorWord>
      <group>L1_Format</group>
      <groupName>格式问题</groupName>
      <ability>L2_HalfPunc_CN</ability>
      <abilityName>全半角问题</abilityName>
      <candidateList>
        <item>（</item>
      </candidateList>
      <explain>文本全半角错误。</explain>
      <paraID>704A20D1</paraID>
      <start>33</start>
      <end>34</end>
      <status>modified</status>
      <modifiedWord>（</modifiedWord>
      <trackRevisions>false</trackRevisions>
    </reviewItem>
    <reviewItem>
      <errorID>8fb68dde-fd05-46ac-9b9d-8e2db1e446a0</errorID>
      <errorWord>)</errorWord>
      <group>L1_Format</group>
      <groupName>格式问题</groupName>
      <ability>L2_HalfPunc_CN</ability>
      <abilityName>全半角问题</abilityName>
      <candidateList>
        <item>）</item>
      </candidateList>
      <explain>文本全半角错误。</explain>
      <paraID>704A20D1</paraID>
      <start>36</start>
      <end>37</end>
      <status>modified</status>
      <modifiedWord>）</modifiedWord>
      <trackRevisions>false</trackRevisions>
    </reviewItem>
    <reviewItem>
      <errorID>ed51b291-333b-4bdd-b1ba-816e8741e756</errorID>
      <errorWord>;</errorWord>
      <group>L1_Format</group>
      <groupName>格式问题</groupName>
      <ability>L2_HalfPunc_CN</ability>
      <abilityName>全半角问题</abilityName>
      <candidateList>
        <item>；</item>
      </candidateList>
      <explain>文本全半角错误。</explain>
      <paraID>1729FB01</paraID>
      <start>52</start>
      <end>53</end>
      <status>modified</status>
      <modifiedWord>；</modifiedWord>
      <trackRevisions>false</trackRevisions>
    </reviewItem>
    <reviewItem>
      <errorID>675bed21-e7f2-4ffe-affd-95af67639798</errorID>
      <errorWord>,</errorWord>
      <group>L1_Format</group>
      <groupName>格式问题</groupName>
      <ability>L2_HalfPunc_CN</ability>
      <abilityName>全半角问题</abilityName>
      <candidateList>
        <item>，</item>
      </candidateList>
      <explain>文本全半角错误。</explain>
      <paraID>1729FB01</paraID>
      <start>65</start>
      <end>66</end>
      <status>modified</status>
      <modifiedWord>，</modifiedWord>
      <trackRevisions>false</trackRevisions>
    </reviewItem>
    <reviewItem>
      <errorID>3a5738dd-e8da-4bb7-a4b7-2de800396fd9</errorID>
      <errorWord>(</errorWord>
      <group>L1_Format</group>
      <groupName>格式问题</groupName>
      <ability>L2_HalfPunc_CN</ability>
      <abilityName>全半角问题</abilityName>
      <candidateList>
        <item>（</item>
      </candidateList>
      <explain>文本全半角错误。</explain>
      <paraID>1729FB01</paraID>
      <start>87</start>
      <end>88</end>
      <status>modified</status>
      <modifiedWord>（</modifiedWord>
      <trackRevisions>false</trackRevisions>
    </reviewItem>
    <reviewItem>
      <errorID>6e47cd3a-27ef-4057-88bb-8a05d6d45858</errorID>
      <errorWord>)</errorWord>
      <group>L1_Format</group>
      <groupName>格式问题</groupName>
      <ability>L2_HalfPunc_CN</ability>
      <abilityName>全半角问题</abilityName>
      <candidateList>
        <item>）</item>
      </candidateList>
      <explain>文本全半角错误。</explain>
      <paraID>1729FB01</paraID>
      <start>91</start>
      <end>92</end>
      <status>modified</status>
      <modifiedWord>）</modifiedWord>
      <trackRevisions>false</trackRevisions>
    </reviewItem>
    <reviewItem>
      <errorID>27f16b48-394d-41b3-b012-f3cb91735d6f</errorID>
      <errorWord>,</errorWord>
      <group>L1_Format</group>
      <groupName>格式问题</groupName>
      <ability>L2_HalfPunc_CN</ability>
      <abilityName>全半角问题</abilityName>
      <candidateList>
        <item>，</item>
      </candidateList>
      <explain>文本全半角错误。</explain>
      <paraID>1729FB01</paraID>
      <start>92</start>
      <end>93</end>
      <status>modified</status>
      <modifiedWord>，</modifiedWord>
      <trackRevisions>false</trackRevisions>
    </reviewItem>
    <reviewItem>
      <errorID>e8d358d3-8b3e-4212-89f9-675291f664f9</errorID>
      <errorWord>,</errorWord>
      <group>L1_Format</group>
      <groupName>格式问题</groupName>
      <ability>L2_HalfPunc_CN</ability>
      <abilityName>全半角问题</abilityName>
      <candidateList>
        <item>，</item>
      </candidateList>
      <explain>文本全半角错误。</explain>
      <paraID>1729FB01</paraID>
      <start>102</start>
      <end>103</end>
      <status>modified</status>
      <modifiedWord>，</modifiedWord>
      <trackRevisions>false</trackRevisions>
    </reviewItem>
    <reviewItem>
      <errorID>a7967492-24b8-433c-a982-67611cfca1d8</errorID>
      <errorWord>;</errorWord>
      <group>L1_Format</group>
      <groupName>格式问题</groupName>
      <ability>L2_HalfPunc_CN</ability>
      <abilityName>全半角问题</abilityName>
      <candidateList>
        <item>；</item>
      </candidateList>
      <explain>文本全半角错误。</explain>
      <paraID>1729FB01</paraID>
      <start>120</start>
      <end>121</end>
      <status>modified</status>
      <modifiedWord>；</modifiedWord>
      <trackRevisions>false</trackRevisions>
    </reviewItem>
    <reviewItem>
      <errorID>4431bb39-0404-458f-87d6-7fb7a6a4aafe</errorID>
      <errorWord>,</errorWord>
      <group>L1_Format</group>
      <groupName>格式问题</groupName>
      <ability>L2_HalfPunc_CN</ability>
      <abilityName>全半角问题</abilityName>
      <candidateList>
        <item>，</item>
      </candidateList>
      <explain>文本全半角错误。</explain>
      <paraID>1729FB01</paraID>
      <start>129</start>
      <end>130</end>
      <status>modified</status>
      <modifiedWord>，</modifiedWord>
      <trackRevisions>false</trackRevisions>
    </reviewItem>
    <reviewItem>
      <errorID>37d118cc-1457-4feb-8e61-f06187a8a36c</errorID>
      <errorWord>,</errorWord>
      <group>L1_Format</group>
      <groupName>格式问题</groupName>
      <ability>L2_HalfPunc_CN</ability>
      <abilityName>全半角问题</abilityName>
      <candidateList>
        <item>，</item>
      </candidateList>
      <explain>文本全半角错误。</explain>
      <paraID>5A30210A</paraID>
      <start>16</start>
      <end>17</end>
      <status>modified</status>
      <modifiedWord>，</modifiedWord>
      <trackRevisions>false</trackRevisions>
    </reviewItem>
    <reviewItem>
      <errorID>7990481f-5ec0-40d1-a4e6-e4686cc84dab</errorID>
      <errorWord>,</errorWord>
      <group>L1_Format</group>
      <groupName>格式问题</groupName>
      <ability>L2_HalfPunc_CN</ability>
      <abilityName>全半角问题</abilityName>
      <candidateList>
        <item>，</item>
      </candidateList>
      <explain>文本全半角错误。</explain>
      <paraID>5A30210A</paraID>
      <start>24</start>
      <end>25</end>
      <status>modified</status>
      <modifiedWord>，</modifiedWord>
      <trackRevisions>false</trackRevisions>
    </reviewItem>
    <reviewItem>
      <errorID>baa36d2e-8bcf-4d73-b606-89c00b4fb569</errorID>
      <errorWord>,</errorWord>
      <group>L1_Format</group>
      <groupName>格式问题</groupName>
      <ability>L2_HalfPunc_CN</ability>
      <abilityName>全半角问题</abilityName>
      <candidateList>
        <item>，</item>
      </candidateList>
      <explain>文本全半角错误。</explain>
      <paraID>5A30210A</paraID>
      <start>47</start>
      <end>48</end>
      <status>modified</status>
      <modifiedWord>，</modifiedWord>
      <trackRevisions>false</trackRevisions>
    </reviewItem>
    <reviewItem>
      <errorID>a26ee699-e1ee-43a6-9060-4d72acae5853</errorID>
      <errorWord>;</errorWord>
      <group>L1_Format</group>
      <groupName>格式问题</groupName>
      <ability>L2_HalfPunc_CN</ability>
      <abilityName>全半角问题</abilityName>
      <candidateList>
        <item>；</item>
      </candidateList>
      <explain>文本全半角错误。</explain>
      <paraID>5A30210A</paraID>
      <start>91</start>
      <end>92</end>
      <status>modified</status>
      <modifiedWord>；</modifiedWord>
      <trackRevisions>false</trackRevisions>
    </reviewItem>
    <reviewItem>
      <errorID>d7aeb4ae-801e-4f3a-9514-e775c78bd379</errorID>
      <errorWord>,</errorWord>
      <group>L1_Format</group>
      <groupName>格式问题</groupName>
      <ability>L2_HalfPunc_CN</ability>
      <abilityName>全半角问题</abilityName>
      <candidateList>
        <item>，</item>
      </candidateList>
      <explain>文本全半角错误。</explain>
      <paraID>5A30210A</paraID>
      <start>100</start>
      <end>101</end>
      <status>modified</status>
      <modifiedWord>，</modifiedWord>
      <trackRevisions>false</trackRevisions>
    </reviewItem>
    <reviewItem>
      <errorID>bad51dd7-cd49-41df-b9b2-7f0861653e9c</errorID>
      <errorWord>,</errorWord>
      <group>L1_Format</group>
      <groupName>格式问题</groupName>
      <ability>L2_HalfPunc_CN</ability>
      <abilityName>全半角问题</abilityName>
      <candidateList>
        <item>，</item>
      </candidateList>
      <explain>文本全半角错误。</explain>
      <paraID>5A30210A</paraID>
      <start>120</start>
      <end>121</end>
      <status>modified</status>
      <modifiedWord>，</modifiedWord>
      <trackRevisions>false</trackRevisions>
    </reviewItem>
    <reviewItem>
      <errorID>80b1c3c2-97e8-4f11-a0f4-7b72ec97a0c0</errorID>
      <errorWord>;</errorWord>
      <group>L1_Format</group>
      <groupName>格式问题</groupName>
      <ability>L2_HalfPunc_CN</ability>
      <abilityName>全半角问题</abilityName>
      <candidateList>
        <item>；</item>
      </candidateList>
      <explain>文本全半角错误。</explain>
      <paraID>5A30210A</paraID>
      <start>131</start>
      <end>132</end>
      <status>modified</status>
      <modifiedWord>；</modifiedWord>
      <trackRevisions>false</trackRevisions>
    </reviewItem>
    <reviewItem>
      <errorID>bf698045-365e-4243-ad5f-d47aa4d26de1</errorID>
      <errorWord>,</errorWord>
      <group>L1_Format</group>
      <groupName>格式问题</groupName>
      <ability>L2_HalfPunc_CN</ability>
      <abilityName>全半角问题</abilityName>
      <candidateList>
        <item>，</item>
      </candidateList>
      <explain>文本全半角错误。</explain>
      <paraID>5A30210A</paraID>
      <start>140</start>
      <end>141</end>
      <status>modified</status>
      <modifiedWord>，</modifiedWord>
      <trackRevisions>false</trackRevisions>
    </reviewItem>
    <reviewItem>
      <errorID>0fbc03dc-e9f1-4d93-924d-9887f2545096</errorID>
      <errorWord>,</errorWord>
      <group>L1_Format</group>
      <groupName>格式问题</groupName>
      <ability>L2_HalfPunc_CN</ability>
      <abilityName>全半角问题</abilityName>
      <candidateList>
        <item>，</item>
      </candidateList>
      <explain>文本全半角错误。</explain>
      <paraID>5A30210A</paraID>
      <start>162</start>
      <end>163</end>
      <status>modified</status>
      <modifiedWord>，</modifiedWord>
      <trackRevisions>false</trackRevisions>
    </reviewItem>
    <reviewItem>
      <errorID>c47f2e1e-b100-4cc3-9f07-d49380c5693e</errorID>
      <errorWord>;</errorWord>
      <group>L1_Format</group>
      <groupName>格式问题</groupName>
      <ability>L2_HalfPunc_CN</ability>
      <abilityName>全半角问题</abilityName>
      <candidateList>
        <item>；</item>
      </candidateList>
      <explain>文本全半角错误。</explain>
      <paraID>3C9C1734</paraID>
      <start>58</start>
      <end>59</end>
      <status>modified</status>
      <modifiedWord>；</modifiedWord>
      <trackRevisions>false</trackRevisions>
    </reviewItem>
    <reviewItem>
      <errorID>594f7233-89f2-4493-b2c7-df5199568299</errorID>
      <errorWord>;</errorWord>
      <group>L1_Format</group>
      <groupName>格式问题</groupName>
      <ability>L2_HalfPunc_CN</ability>
      <abilityName>全半角问题</abilityName>
      <candidateList>
        <item>；</item>
      </candidateList>
      <explain>文本全半角错误。</explain>
      <paraID>630161CB</paraID>
      <start>66</start>
      <end>67</end>
      <status>modified</status>
      <modifiedWord>；</modifiedWord>
      <trackRevisions>false</trackRevisions>
    </reviewItem>
    <reviewItem>
      <errorID>ebd92a57-5575-4fd3-b704-509eacfd9368</errorID>
      <errorWord>;</errorWord>
      <group>L1_Format</group>
      <groupName>格式问题</groupName>
      <ability>L2_HalfPunc_CN</ability>
      <abilityName>全半角问题</abilityName>
      <candidateList>
        <item>；</item>
      </candidateList>
      <explain>文本全半角错误。</explain>
      <paraID>3A979F7C</paraID>
      <start>60</start>
      <end>61</end>
      <status>modified</status>
      <modifiedWord>；</modifiedWord>
      <trackRevisions>false</trackRevisions>
    </reviewItem>
    <reviewItem>
      <errorID>3ec7caea-b40b-497d-86fd-9f5cb4af5fc5</errorID>
      <errorWord>,</errorWord>
      <group>L1_Format</group>
      <groupName>格式问题</groupName>
      <ability>L2_HalfPunc_CN</ability>
      <abilityName>全半角问题</abilityName>
      <candidateList>
        <item>，</item>
      </candidateList>
      <explain>文本全半角错误。</explain>
      <paraID>555DFFB2</paraID>
      <start>53</start>
      <end>54</end>
      <status>modified</status>
      <modifiedWord>，</modifiedWord>
      <trackRevisions>false</trackRevisions>
    </reviewItem>
    <reviewItem>
      <errorID>545c5abb-8dc0-458a-839f-8c3cb32af710</errorID>
      <errorWord>,</errorWord>
      <group>L1_Format</group>
      <groupName>格式问题</groupName>
      <ability>L2_HalfPunc_CN</ability>
      <abilityName>全半角问题</abilityName>
      <candidateList>
        <item>，</item>
      </candidateList>
      <explain>文本全半角错误。</explain>
      <paraID>555DFFB2</paraID>
      <start>67</start>
      <end>68</end>
      <status>modified</status>
      <modifiedWord>，</modifiedWord>
      <trackRevisions>false</trackRevisions>
    </reviewItem>
    <reviewItem>
      <errorID>5bf6bf72-170e-4f57-905b-fd36e118dcd0</errorID>
      <errorWord>,</errorWord>
      <group>L1_Format</group>
      <groupName>格式问题</groupName>
      <ability>L2_HalfPunc_CN</ability>
      <abilityName>全半角问题</abilityName>
      <candidateList>
        <item>，</item>
      </candidateList>
      <explain>文本全半角错误。</explain>
      <paraID>555DFFB2</paraID>
      <start>85</start>
      <end>86</end>
      <status>modified</status>
      <modifiedWord>，</modifiedWord>
      <trackRevisions>false</trackRevisions>
    </reviewItem>
    <reviewItem>
      <errorID>5aa2088d-7db1-4c76-a6e3-aec1a4e157d5</errorID>
      <errorWord>,</errorWord>
      <group>L1_Format</group>
      <groupName>格式问题</groupName>
      <ability>L2_HalfPunc_CN</ability>
      <abilityName>全半角问题</abilityName>
      <candidateList>
        <item>，</item>
      </candidateList>
      <explain>文本全半角错误。</explain>
      <paraID> 9DBAEAC</paraID>
      <start>17</start>
      <end>18</end>
      <status>modified</status>
      <modifiedWord>，</modifiedWord>
      <trackRevisions>false</trackRevisions>
    </reviewItem>
    <reviewItem>
      <errorID>6c332cbe-c36b-4ed7-9a3b-6f541b0a6edb</errorID>
      <errorWord>,</errorWord>
      <group>L1_Format</group>
      <groupName>格式问题</groupName>
      <ability>L2_HalfPunc_CN</ability>
      <abilityName>全半角问题</abilityName>
      <candidateList>
        <item>，</item>
      </candidateList>
      <explain>文本全半角错误。</explain>
      <paraID> 9DBAEAC</paraID>
      <start>48</start>
      <end>49</end>
      <status>modified</status>
      <modifiedWord>，</modifiedWord>
      <trackRevisions>false</trackRevisions>
    </reviewItem>
    <reviewItem>
      <errorID>a7254890-e13e-486d-ab9e-b7cd77444c1f</errorID>
      <errorWord>,</errorWord>
      <group>L1_Format</group>
      <groupName>格式问题</groupName>
      <ability>L2_HalfPunc_CN</ability>
      <abilityName>全半角问题</abilityName>
      <candidateList>
        <item>，</item>
      </candidateList>
      <explain>文本全半角错误。</explain>
      <paraID> 9DBAEAC</paraID>
      <start>81</start>
      <end>82</end>
      <status>modified</status>
      <modifiedWord>，</modifiedWord>
      <trackRevisions>false</trackRevisions>
    </reviewItem>
    <reviewItem>
      <errorID>31a66c25-d79c-490b-9848-8bf5c33b66e8</errorID>
      <errorWord>支持支持</errorWord>
      <group>L1_Word</group>
      <groupName>字词问题</groupName>
      <ability>L2_Typo</ability>
      <abilityName>字词错误</abilityName>
      <candidateList>
        <item>支持</item>
      </candidateList>
      <explain/>
      <paraID>2AE45E61</paraID>
      <start>44</start>
      <end>46</end>
      <status>modified</status>
      <modifiedWord>支持</modifiedWord>
      <trackRevisions>false</trackRevisions>
    </reviewItem>
    <reviewItem>
      <errorID>5beb7339-e12e-40b4-9115-ecd1ae3c398c</errorID>
      <errorWord>,</errorWord>
      <group>L1_Format</group>
      <groupName>格式问题</groupName>
      <ability>L2_HalfPunc_CN</ability>
      <abilityName>全半角问题</abilityName>
      <candidateList>
        <item>，</item>
      </candidateList>
      <explain>文本全半角错误。</explain>
      <paraID>7F8A555B</paraID>
      <start>13</start>
      <end>14</end>
      <status>modified</status>
      <modifiedWord>，</modifiedWord>
      <trackRevisions>false</trackRevisions>
    </reviewItem>
    <reviewItem>
      <errorID>0c291694-ea38-493a-a1c7-0cf05801023f</errorID>
      <errorWord>,</errorWord>
      <group>L1_Format</group>
      <groupName>格式问题</groupName>
      <ability>L2_HalfPunc_CN</ability>
      <abilityName>全半角问题</abilityName>
      <candidateList>
        <item>，</item>
      </candidateList>
      <explain>文本全半角错误。</explain>
      <paraID>7F8A555B</paraID>
      <start>34</start>
      <end>35</end>
      <status>modified</status>
      <modifiedWord>，</modifiedWord>
      <trackRevisions>false</trackRevisions>
    </reviewItem>
    <reviewItem>
      <errorID>f4dd53d8-9a6c-426a-ba86-ff77e436643e</errorID>
      <errorWord>;</errorWord>
      <group>L1_Format</group>
      <groupName>格式问题</groupName>
      <ability>L2_HalfPunc_CN</ability>
      <abilityName>全半角问题</abilityName>
      <candidateList>
        <item>；</item>
      </candidateList>
      <explain>文本全半角错误。</explain>
      <paraID>224613EB</paraID>
      <start>66</start>
      <end>67</end>
      <status>modified</status>
      <modifiedWord>；</modifiedWord>
      <trackRevisions>false</trackRevisions>
    </reviewItem>
    <reviewItem>
      <errorID>d805d587-8df0-4367-9c2f-d97fff4aa1ee</errorID>
      <errorWord>,</errorWord>
      <group>L1_Format</group>
      <groupName>格式问题</groupName>
      <ability>L2_HalfPunc_CN</ability>
      <abilityName>全半角问题</abilityName>
      <candidateList>
        <item>，</item>
      </candidateList>
      <explain>文本全半角错误。</explain>
      <paraID>46A2AFDD</paraID>
      <start>50</start>
      <end>51</end>
      <status>modified</status>
      <modifiedWord>，</modifiedWord>
      <trackRevisions>false</trackRevisions>
    </reviewItem>
    <reviewItem>
      <errorID>04698b6c-65c9-4b81-b3c6-f4bb11e54f30</errorID>
      <errorWord>,</errorWord>
      <group>L1_Format</group>
      <groupName>格式问题</groupName>
      <ability>L2_HalfPunc_CN</ability>
      <abilityName>全半角问题</abilityName>
      <candidateList>
        <item>，</item>
      </candidateList>
      <explain>文本全半角错误。</explain>
      <paraID>46A2AFDD</paraID>
      <start>91</start>
      <end>92</end>
      <status>modified</status>
      <modifiedWord>，</modifiedWord>
      <trackRevisions>false</trackRevisions>
    </reviewItem>
    <reviewItem>
      <errorID>357e6d20-bd10-4108-b201-5eb1f471ae2b</errorID>
      <errorWord>,</errorWord>
      <group>L1_Format</group>
      <groupName>格式问题</groupName>
      <ability>L2_HalfPunc_CN</ability>
      <abilityName>全半角问题</abilityName>
      <candidateList>
        <item>，</item>
      </candidateList>
      <explain>文本全半角错误。</explain>
      <paraID>46A2AFDD</paraID>
      <start>121</start>
      <end>122</end>
      <status>modified</status>
      <modifiedWord>，</modifiedWord>
      <trackRevisions>false</trackRevisions>
    </reviewItem>
    <reviewItem>
      <errorID>92f9ba44-8b6c-4a9a-b54f-5554d039165d</errorID>
      <errorWord>,</errorWord>
      <group>L1_Format</group>
      <groupName>格式问题</groupName>
      <ability>L2_HalfPunc_CN</ability>
      <abilityName>全半角问题</abilityName>
      <candidateList>
        <item>，</item>
      </candidateList>
      <explain>文本全半角错误。</explain>
      <paraID>46A2AFDD</paraID>
      <start>136</start>
      <end>137</end>
      <status>modified</status>
      <modifiedWord>，</modifiedWord>
      <trackRevisions>false</trackRevisions>
    </reviewItem>
    <reviewItem>
      <errorID>0bce3b47-f64a-4f33-9469-cacaff5b6bb9</errorID>
      <errorWord>收到</errorWord>
      <group>L1_Word</group>
      <groupName>字词问题</groupName>
      <ability>L2_Typo</ability>
      <abilityName>字词错误</abilityName>
      <candidateList>
        <item>受到</item>
      </candidateList>
      <explain/>
      <paraID>46A2AFDD</paraID>
      <start>170</start>
      <end>172</end>
      <status>modified</status>
      <modifiedWord>受到</modifiedWord>
      <trackRevisions>false</trackRevisions>
    </reviewItem>
    <reviewItem>
      <errorID>c88a9011-e0b4-44d4-b39f-adfa28a630ba</errorID>
      <errorWord>;</errorWord>
      <group>L1_Format</group>
      <groupName>格式问题</groupName>
      <ability>L2_HalfPunc_CN</ability>
      <abilityName>全半角问题</abilityName>
      <candidateList>
        <item>；</item>
      </candidateList>
      <explain>文本全半角错误。</explain>
      <paraID>49DDEDE7</paraID>
      <start>66</start>
      <end>67</end>
      <status>modified</status>
      <modifiedWord>；</modifiedWord>
      <trackRevisions>false</trackRevisions>
    </reviewItem>
    <reviewItem>
      <errorID>33256f48-13ae-43b8-82de-52ab9360579f</errorID>
      <errorWord>;</errorWord>
      <group>L1_Format</group>
      <groupName>格式问题</groupName>
      <ability>L2_HalfPunc_CN</ability>
      <abilityName>全半角问题</abilityName>
      <candidateList>
        <item>；</item>
      </candidateList>
      <explain>文本全半角错误。</explain>
      <paraID>3126E024</paraID>
      <start>23</start>
      <end>24</end>
      <status>modified</status>
      <modifiedWord>；</modifiedWord>
      <trackRevisions>false</trackRevisions>
    </reviewItem>
    <reviewItem>
      <errorID>99bf18e0-8ce4-4767-8e88-f8f6422e5c26</errorID>
      <errorWord>,</errorWord>
      <group>L1_Format</group>
      <groupName>格式问题</groupName>
      <ability>L2_HalfPunc_CN</ability>
      <abilityName>全半角问题</abilityName>
      <candidateList>
        <item>，</item>
      </candidateList>
      <explain>文本全半角错误。</explain>
      <paraID>3126E024</paraID>
      <start>79</start>
      <end>80</end>
      <status>modified</status>
      <modifiedWord>，</modifiedWord>
      <trackRevisions>false</trackRevisions>
    </reviewItem>
    <reviewItem>
      <errorID>069956bc-03d4-4dd4-95a7-44fa956b0400</errorID>
      <errorWord>,</errorWord>
      <group>L1_Format</group>
      <groupName>格式问题</groupName>
      <ability>L2_HalfPunc_CN</ability>
      <abilityName>全半角问题</abilityName>
      <candidateList>
        <item>，</item>
      </candidateList>
      <explain>文本全半角错误。</explain>
      <paraID>3126E024</paraID>
      <start>89</start>
      <end>90</end>
      <status>modified</status>
      <modifiedWord>，</modifiedWord>
      <trackRevisions>false</trackRevisions>
    </reviewItem>
    <reviewItem>
      <errorID>016eb47a-139a-46ad-ae57-a66cd7e56bbf</errorID>
      <errorWord>,</errorWord>
      <group>L1_Format</group>
      <groupName>格式问题</groupName>
      <ability>L2_HalfPunc_CN</ability>
      <abilityName>全半角问题</abilityName>
      <candidateList>
        <item>，</item>
      </candidateList>
      <explain>文本全半角错误。</explain>
      <paraID>3B927141</paraID>
      <start>18</start>
      <end>19</end>
      <status>modified</status>
      <modifiedWord>，</modifiedWord>
      <trackRevisions>false</trackRevisions>
    </reviewItem>
    <reviewItem>
      <errorID>bd58dddd-cd2c-4871-9f93-9f354f085739</errorID>
      <errorWord>,</errorWord>
      <group>L1_Format</group>
      <groupName>格式问题</groupName>
      <ability>L2_HalfPunc_CN</ability>
      <abilityName>全半角问题</abilityName>
      <candidateList>
        <item>，</item>
      </candidateList>
      <explain>文本全半角错误。</explain>
      <paraID>3B927141</paraID>
      <start>44</start>
      <end>45</end>
      <status>modified</status>
      <modifiedWord>，</modifiedWord>
      <trackRevisions>false</trackRevisions>
    </reviewItem>
    <reviewItem>
      <errorID>86d34469-ac77-44c2-8471-a2549e337223</errorID>
      <errorWord>,</errorWord>
      <group>L1_Format</group>
      <groupName>格式问题</groupName>
      <ability>L2_HalfPunc_CN</ability>
      <abilityName>全半角问题</abilityName>
      <candidateList>
        <item>，</item>
      </candidateList>
      <explain>文本全半角错误。</explain>
      <paraID>3B927141</paraID>
      <start>61</start>
      <end>62</end>
      <status>modified</status>
      <modifiedWord>，</modifiedWord>
      <trackRevisions>false</trackRevisions>
    </reviewItem>
    <reviewItem>
      <errorID>b173a959-4dc0-4666-b0e5-b93f8b42f304</errorID>
      <errorWord>,</errorWord>
      <group>L1_Format</group>
      <groupName>格式问题</groupName>
      <ability>L2_HalfPunc_CN</ability>
      <abilityName>全半角问题</abilityName>
      <candidateList>
        <item>，</item>
      </candidateList>
      <explain>文本全半角错误。</explain>
      <paraID>3B927141</paraID>
      <start>85</start>
      <end>86</end>
      <status>modified</status>
      <modifiedWord>，</modifiedWord>
      <trackRevisions>false</trackRevisions>
    </reviewItem>
    <reviewItem>
      <errorID>461b839b-9ce7-4f18-858d-a48c56949e5c</errorID>
      <errorWord>,</errorWord>
      <group>L1_Format</group>
      <groupName>格式问题</groupName>
      <ability>L2_HalfPunc_CN</ability>
      <abilityName>全半角问题</abilityName>
      <candidateList>
        <item>，</item>
      </candidateList>
      <explain>文本全半角错误。</explain>
      <paraID>58BB573E</paraID>
      <start>39</start>
      <end>40</end>
      <status>modified</status>
      <modifiedWord>，</modifiedWord>
      <trackRevisions>false</trackRevisions>
    </reviewItem>
    <reviewItem>
      <errorID>2c08de9b-930b-43aa-899f-414bea679a15</errorID>
      <errorWord>,</errorWord>
      <group>L1_Format</group>
      <groupName>格式问题</groupName>
      <ability>L2_HalfPunc_CN</ability>
      <abilityName>全半角问题</abilityName>
      <candidateList>
        <item>，</item>
      </candidateList>
      <explain>文本全半角错误。</explain>
      <paraID>58BB573E</paraID>
      <start>58</start>
      <end>59</end>
      <status>modified</status>
      <modifiedWord>，</modifiedWord>
      <trackRevisions>false</trackRevisions>
    </reviewItem>
    <reviewItem>
      <errorID>74f6048e-edf6-4930-b409-d7a415e8511d</errorID>
      <errorWord>,</errorWord>
      <group>L1_Format</group>
      <groupName>格式问题</groupName>
      <ability>L2_HalfPunc_CN</ability>
      <abilityName>全半角问题</abilityName>
      <candidateList>
        <item>，</item>
      </candidateList>
      <explain>文本全半角错误。</explain>
      <paraID>58BB573E</paraID>
      <start>65</start>
      <end>66</end>
      <status>modified</status>
      <modifiedWord>，</modifiedWord>
      <trackRevisions>false</trackRevisions>
    </reviewItem>
    <reviewItem>
      <errorID>b5866aba-e26d-4773-ba45-719a824e9f61</errorID>
      <errorWord>;</errorWord>
      <group>L1_Format</group>
      <groupName>格式问题</groupName>
      <ability>L2_HalfPunc_CN</ability>
      <abilityName>全半角问题</abilityName>
      <candidateList>
        <item>；</item>
      </candidateList>
      <explain>文本全半角错误。</explain>
      <paraID>58BB573E</paraID>
      <start>75</start>
      <end>76</end>
      <status>modified</status>
      <modifiedWord>；</modifiedWord>
      <trackRevisions>false</trackRevisions>
    </reviewItem>
    <reviewItem>
      <errorID>462fad1b-e727-4f4c-91cf-87c5f7c84e21</errorID>
      <errorWord>,</errorWord>
      <group>L1_Format</group>
      <groupName>格式问题</groupName>
      <ability>L2_HalfPunc_CN</ability>
      <abilityName>全半角问题</abilityName>
      <candidateList>
        <item>，</item>
      </candidateList>
      <explain>文本全半角错误。</explain>
      <paraID>58BB573E</paraID>
      <start>86</start>
      <end>87</end>
      <status>modified</status>
      <modifiedWord>，</modifiedWord>
      <trackRevisions>false</trackRevisions>
    </reviewItem>
    <reviewItem>
      <errorID>402f84d1-5e7a-41c6-93e6-64bfb0a8b79c</errorID>
      <errorWord>,</errorWord>
      <group>L1_Format</group>
      <groupName>格式问题</groupName>
      <ability>L2_HalfPunc_CN</ability>
      <abilityName>全半角问题</abilityName>
      <candidateList>
        <item>，</item>
      </candidateList>
      <explain>文本全半角错误。</explain>
      <paraID>58BB573E</paraID>
      <start>102</start>
      <end>103</end>
      <status>modified</status>
      <modifiedWord>，</modifiedWord>
      <trackRevisions>false</trackRevisions>
    </reviewItem>
    <reviewItem>
      <errorID>cb53d39f-df2a-4d8f-8b9a-9074a3157bc7</errorID>
      <errorWord>,</errorWord>
      <group>L1_Format</group>
      <groupName>格式问题</groupName>
      <ability>L2_HalfPunc_CN</ability>
      <abilityName>全半角问题</abilityName>
      <candidateList>
        <item>，</item>
      </candidateList>
      <explain>文本全半角错误。</explain>
      <paraID>78276915</paraID>
      <start>23</start>
      <end>24</end>
      <status>modified</status>
      <modifiedWord>，</modifiedWord>
      <trackRevisions>false</trackRevisions>
    </reviewItem>
    <reviewItem>
      <errorID>ce4ff713-d805-4e9d-b1a6-b8eef67369bf</errorID>
      <errorWord>,</errorWord>
      <group>L1_Format</group>
      <groupName>格式问题</groupName>
      <ability>L2_HalfPunc_CN</ability>
      <abilityName>全半角问题</abilityName>
      <candidateList>
        <item>，</item>
      </candidateList>
      <explain>文本全半角错误。</explain>
      <paraID>78276915</paraID>
      <start>56</start>
      <end>57</end>
      <status>modified</status>
      <modifiedWord>，</modifiedWord>
      <trackRevisions>false</trackRevisions>
    </reviewItem>
    <reviewItem>
      <errorID>582a927e-6552-438b-ab1f-8bf19757ed8b</errorID>
      <errorWord>,</errorWord>
      <group>L1_Format</group>
      <groupName>格式问题</groupName>
      <ability>L2_HalfPunc_CN</ability>
      <abilityName>全半角问题</abilityName>
      <candidateList>
        <item>，</item>
      </candidateList>
      <explain>文本全半角错误。</explain>
      <paraID>78276915</paraID>
      <start>98</start>
      <end>99</end>
      <status>modified</status>
      <modifiedWord>，</modifiedWord>
      <trackRevisions>false</trackRevisions>
    </reviewItem>
    <reviewItem>
      <errorID>ca31b508-d268-49ac-af34-990b48f96cae</errorID>
      <errorWord>,</errorWord>
      <group>L1_Format</group>
      <groupName>格式问题</groupName>
      <ability>L2_HalfPunc_CN</ability>
      <abilityName>全半角问题</abilityName>
      <candidateList>
        <item>，</item>
      </candidateList>
      <explain>文本全半角错误。</explain>
      <paraID>78276915</paraID>
      <start>109</start>
      <end>110</end>
      <status>modified</status>
      <modifiedWord>，</modifiedWord>
      <trackRevisions>false</trackRevisions>
    </reviewItem>
    <reviewItem>
      <errorID>6221eeed-3617-4b95-851e-0c70b5eea6ac</errorID>
      <errorWord>,</errorWord>
      <group>L1_Format</group>
      <groupName>格式问题</groupName>
      <ability>L2_HalfPunc_CN</ability>
      <abilityName>全半角问题</abilityName>
      <candidateList>
        <item>，</item>
      </candidateList>
      <explain>文本全半角错误。</explain>
      <paraID>78276915</paraID>
      <start>127</start>
      <end>128</end>
      <status>modified</status>
      <modifiedWord>，</modifiedWord>
      <trackRevisions>false</trackRevisions>
    </reviewItem>
    <reviewItem>
      <errorID>2b83e7b2-9204-482c-9982-3f1ba4e54e9b</errorID>
      <errorWord>:</errorWord>
      <group>L1_Format</group>
      <groupName>格式问题</groupName>
      <ability>L2_HalfPunc_CN</ability>
      <abilityName>全半角问题</abilityName>
      <candidateList>
        <item>：</item>
      </candidateList>
      <explain>文本全半角错误。</explain>
      <paraID>4B16112A</paraID>
      <start>28</start>
      <end>29</end>
      <status>modified</status>
      <modifiedWord>：</modifiedWord>
      <trackRevisions>false</trackRevisions>
    </reviewItem>
    <reviewItem>
      <errorID>948c8905-2289-41e6-915b-9fd29e3ecc8a</errorID>
      <errorWord>:</errorWord>
      <group>L1_Format</group>
      <groupName>格式问题</groupName>
      <ability>L2_HalfPunc_CN</ability>
      <abilityName>全半角问题</abilityName>
      <candidateList>
        <item>：</item>
      </candidateList>
      <explain>文本全半角错误。</explain>
      <paraID>4B16112A</paraID>
      <start>35</start>
      <end>36</end>
      <status>modified</status>
      <modifiedWord>：</modifiedWord>
      <trackRevisions>false</trackRevisions>
    </reviewItem>
    <reviewItem>
      <errorID>45881675-d9ab-49ec-b3bb-f2a6d5acedc0</errorID>
      <errorWord>:</errorWord>
      <group>L1_Format</group>
      <groupName>格式问题</groupName>
      <ability>L2_HalfPunc_CN</ability>
      <abilityName>全半角问题</abilityName>
      <candidateList>
        <item>：</item>
      </candidateList>
      <explain>文本全半角错误。</explain>
      <paraID>4B16112A</paraID>
      <start>50</start>
      <end>51</end>
      <status>modified</status>
      <modifiedWord>：</modifiedWord>
      <trackRevisions>false</trackRevisions>
    </reviewItem>
    <reviewItem>
      <errorID>f1495056-3fed-4dac-95fa-eda81f7f2f29</errorID>
      <errorWord>:</errorWord>
      <group>L1_Format</group>
      <groupName>格式问题</groupName>
      <ability>L2_HalfPunc_CN</ability>
      <abilityName>全半角问题</abilityName>
      <candidateList>
        <item>：</item>
      </candidateList>
      <explain>文本全半角错误。</explain>
      <paraID>4B16112A</paraID>
      <start>64</start>
      <end>65</end>
      <status>modified</status>
      <modifiedWord>：</modifiedWord>
      <trackRevisions>false</trackRevisions>
    </reviewItem>
    <reviewItem>
      <errorID>653587e7-4948-40dd-a460-c08010fe5923</errorID>
      <errorWord>:</errorWord>
      <group>L1_Format</group>
      <groupName>格式问题</groupName>
      <ability>L2_HalfPunc_CN</ability>
      <abilityName>全半角问题</abilityName>
      <candidateList>
        <item>：</item>
      </candidateList>
      <explain>文本全半角错误。</explain>
      <paraID>4B16112A</paraID>
      <start>71</start>
      <end>72</end>
      <status>modified</status>
      <modifiedWord>：</modifiedWord>
      <trackRevisions>false</trackRevisions>
    </reviewItem>
    <reviewItem>
      <errorID>287c3668-f2f3-4a3f-94c6-8515ab932010</errorID>
      <errorWord>;</errorWord>
      <group>L1_Format</group>
      <groupName>格式问题</groupName>
      <ability>L2_HalfPunc_CN</ability>
      <abilityName>全半角问题</abilityName>
      <candidateList>
        <item>；</item>
      </candidateList>
      <explain>文本全半角错误。</explain>
      <paraID>1E26E875</paraID>
      <start>66</start>
      <end>67</end>
      <status>modified</status>
      <modifiedWord>；</modifiedWord>
      <trackRevisions>false</trackRevisions>
    </reviewItem>
    <reviewItem>
      <errorID>bd54cd78-5dd8-438b-90d0-96f7d587160e</errorID>
      <errorWord>;</errorWord>
      <group>L1_Format</group>
      <groupName>格式问题</groupName>
      <ability>L2_HalfPunc_CN</ability>
      <abilityName>全半角问题</abilityName>
      <candidateList>
        <item>；</item>
      </candidateList>
      <explain>文本全半角错误。</explain>
      <paraID>406CBED7</paraID>
      <start>60</start>
      <end>61</end>
      <status>modified</status>
      <modifiedWord>；</modifiedWord>
      <trackRevisions>false</trackRevisions>
    </reviewItem>
    <reviewItem>
      <errorID>9fa6fac4-6b7c-49fa-8e12-8888b9b1ef68</errorID>
      <errorWord>~</errorWord>
      <group>L1_Format</group>
      <groupName>格式问题</groupName>
      <ability>L2_HalfPunc_CN</ability>
      <abilityName>全半角问题</abilityName>
      <candidateList>
        <item>～</item>
      </candidateList>
      <explain>文本全半角错误。</explain>
      <paraID>36BC2B68</paraID>
      <start>53</start>
      <end>54</end>
      <status>modified</status>
      <modifiedWord>～</modifiedWord>
      <trackRevisions>false</trackRevisions>
    </reviewItem>
    <reviewItem>
      <errorID>54f62467-6023-497b-a66d-94f74f6f18f0</errorID>
      <errorWord>;</errorWord>
      <group>L1_Format</group>
      <groupName>格式问题</groupName>
      <ability>L2_HalfPunc_CN</ability>
      <abilityName>全半角问题</abilityName>
      <candidateList>
        <item>；</item>
      </candidateList>
      <explain>文本全半角错误。</explain>
      <paraID>7223E9FE</paraID>
      <start>37</start>
      <end>38</end>
      <status>modified</status>
      <modifiedWord>；</modifiedWord>
      <trackRevisions>false</trackRevisions>
    </reviewItem>
    <reviewItem>
      <errorID>4411e547-8868-4414-be98-4057d3b6231a</errorID>
      <errorWord>,</errorWord>
      <group>L1_Format</group>
      <groupName>格式问题</groupName>
      <ability>L2_HalfPunc_CN</ability>
      <abilityName>全半角问题</abilityName>
      <candidateList>
        <item>，</item>
      </candidateList>
      <explain>文本全半角错误。</explain>
      <paraID>7223E9FE</paraID>
      <start>60</start>
      <end>61</end>
      <status>modified</status>
      <modifiedWord>，</modifiedWord>
      <trackRevisions>false</trackRevisions>
    </reviewItem>
    <reviewItem>
      <errorID>0c6dcebd-0a56-48e9-aead-fd2c51d0f663</errorID>
      <errorWord>,</errorWord>
      <group>L1_Format</group>
      <groupName>格式问题</groupName>
      <ability>L2_HalfPunc_CN</ability>
      <abilityName>全半角问题</abilityName>
      <candidateList>
        <item>，</item>
      </candidateList>
      <explain>文本全半角错误。</explain>
      <paraID>7223E9FE</paraID>
      <start>67</start>
      <end>68</end>
      <status>modified</status>
      <modifiedWord>，</modifiedWord>
      <trackRevisions>false</trackRevisions>
    </reviewItem>
    <reviewItem>
      <errorID>a22b84ac-3e24-4913-9e95-9c795f07af13</errorID>
      <errorWord>,</errorWord>
      <group>L1_Format</group>
      <groupName>格式问题</groupName>
      <ability>L2_HalfPunc_CN</ability>
      <abilityName>全半角问题</abilityName>
      <candidateList>
        <item>，</item>
      </candidateList>
      <explain>文本全半角错误。</explain>
      <paraID>7223E9FE</paraID>
      <start>102</start>
      <end>103</end>
      <status>modified</status>
      <modifiedWord>，</modifiedWord>
      <trackRevisions>false</trackRevisions>
    </reviewItem>
    <reviewItem>
      <errorID>6b51d3e3-50b2-4be8-85df-6aa139bdcefc</errorID>
      <errorWord>(</errorWord>
      <group>L1_Format</group>
      <groupName>格式问题</groupName>
      <ability>L2_HalfPunc_CN</ability>
      <abilityName>全半角问题</abilityName>
      <candidateList>
        <item>（</item>
      </candidateList>
      <explain>文本全半角错误。</explain>
      <paraID>7223E9FE</paraID>
      <start>118</start>
      <end>119</end>
      <status>modified</status>
      <modifiedWord>（</modifiedWord>
      <trackRevisions>false</trackRevisions>
    </reviewItem>
    <reviewItem>
      <errorID>55ce1de2-a333-45af-8c56-c9972629e54c</errorID>
      <errorWord>)</errorWord>
      <group>L1_Format</group>
      <groupName>格式问题</groupName>
      <ability>L2_HalfPunc_CN</ability>
      <abilityName>全半角问题</abilityName>
      <candidateList>
        <item>）</item>
      </candidateList>
      <explain>文本全半角错误。</explain>
      <paraID>7223E9FE</paraID>
      <start>121</start>
      <end>122</end>
      <status>modified</status>
      <modifiedWord>）</modifiedWord>
      <trackRevisions>false</trackRevisions>
    </reviewItem>
    <reviewItem>
      <errorID>06eda5c7-592f-45f7-821b-39e4625c5a54</errorID>
      <errorWord>,</errorWord>
      <group>L1_Format</group>
      <groupName>格式问题</groupName>
      <ability>L2_HalfPunc_CN</ability>
      <abilityName>全半角问题</abilityName>
      <candidateList>
        <item>，</item>
      </candidateList>
      <explain>文本全半角错误。</explain>
      <paraID>7223E9FE</paraID>
      <start>130</start>
      <end>131</end>
      <status>modified</status>
      <modifiedWord>，</modifiedWord>
      <trackRevisions>false</trackRevisions>
    </reviewItem>
    <reviewItem>
      <errorID>b4a2f803-4686-4d8e-9c4f-c229b666cd68</errorID>
      <errorWord>,</errorWord>
      <group>L1_Format</group>
      <groupName>格式问题</groupName>
      <ability>L2_HalfPunc_CN</ability>
      <abilityName>全半角问题</abilityName>
      <candidateList>
        <item>，</item>
      </candidateList>
      <explain>文本全半角错误。</explain>
      <paraID>7223E9FE</paraID>
      <start>152</start>
      <end>153</end>
      <status>modified</status>
      <modifiedWord>，</modifiedWord>
      <trackRevisions>false</trackRevisions>
    </reviewItem>
    <reviewItem>
      <errorID>b089e604-f343-42e3-b6dc-aba635665ee7</errorID>
      <errorWord>,</errorWord>
      <group>L1_Format</group>
      <groupName>格式问题</groupName>
      <ability>L2_HalfPunc_CN</ability>
      <abilityName>全半角问题</abilityName>
      <candidateList>
        <item>，</item>
      </candidateList>
      <explain>文本全半角错误。</explain>
      <paraID>7223E9FE</paraID>
      <start>169</start>
      <end>170</end>
      <status>modified</status>
      <modifiedWord>，</modifiedWord>
      <trackRevisions>false</trackRevisions>
    </reviewItem>
    <reviewItem>
      <errorID>9bc5fd57-e3e7-4572-be88-22212ed4c343</errorID>
      <errorWord>,</errorWord>
      <group>L1_Format</group>
      <groupName>格式问题</groupName>
      <ability>L2_HalfPunc_CN</ability>
      <abilityName>全半角问题</abilityName>
      <candidateList>
        <item>，</item>
      </candidateList>
      <explain>文本全半角错误。</explain>
      <paraID>7223E9FE</paraID>
      <start>178</start>
      <end>179</end>
      <status>modified</status>
      <modifiedWord>，</modifiedWord>
      <trackRevisions>false</trackRevisions>
    </reviewItem>
    <reviewItem>
      <errorID>82fcb78e-0076-4242-a291-8b676cdacdfe</errorID>
      <errorWord>,</errorWord>
      <group>L1_Format</group>
      <groupName>格式问题</groupName>
      <ability>L2_HalfPunc_CN</ability>
      <abilityName>全半角问题</abilityName>
      <candidateList>
        <item>，</item>
      </candidateList>
      <explain>文本全半角错误。</explain>
      <paraID>7223E9FE</paraID>
      <start>187</start>
      <end>188</end>
      <status>modified</status>
      <modifiedWord>，</modifiedWord>
      <trackRevisions>false</trackRevisions>
    </reviewItem>
    <reviewItem>
      <errorID>40a3a437-57aa-4030-b7d3-a265828467d6</errorID>
      <errorWord>,</errorWord>
      <group>L1_Format</group>
      <groupName>格式问题</groupName>
      <ability>L2_HalfPunc_CN</ability>
      <abilityName>全半角问题</abilityName>
      <candidateList>
        <item>，</item>
      </candidateList>
      <explain>文本全半角错误。</explain>
      <paraID>7223E9FE</paraID>
      <start>197</start>
      <end>198</end>
      <status>modified</status>
      <modifiedWord>，</modifiedWord>
      <trackRevisions>false</trackRevisions>
    </reviewItem>
    <reviewItem>
      <errorID>89ae4b53-0ff9-4578-a28b-c1f17bd0d9f8</errorID>
      <errorWord>,</errorWord>
      <group>L1_Format</group>
      <groupName>格式问题</groupName>
      <ability>L2_HalfPunc_CN</ability>
      <abilityName>全半角问题</abilityName>
      <candidateList>
        <item>，</item>
      </candidateList>
      <explain>文本全半角错误。</explain>
      <paraID>21A527CC</paraID>
      <start>14</start>
      <end>15</end>
      <status>modified</status>
      <modifiedWord>，</modifiedWord>
      <trackRevisions>false</trackRevisions>
    </reviewItem>
    <reviewItem>
      <errorID>aacb54c0-b060-40fe-9e57-e2202a5a60c7</errorID>
      <errorWord>(</errorWord>
      <group>L1_Format</group>
      <groupName>格式问题</groupName>
      <ability>L2_HalfPunc_CN</ability>
      <abilityName>全半角问题</abilityName>
      <candidateList>
        <item>（</item>
      </candidateList>
      <explain>文本全半角错误。</explain>
      <paraID>21A527CC</paraID>
      <start>56</start>
      <end>57</end>
      <status>modified</status>
      <modifiedWord>（</modifiedWord>
      <trackRevisions>false</trackRevisions>
    </reviewItem>
    <reviewItem>
      <errorID>bf9ed59d-0a1b-4e85-a153-4513a4083813</errorID>
      <errorWord>)</errorWord>
      <group>L1_Format</group>
      <groupName>格式问题</groupName>
      <ability>L2_HalfPunc_CN</ability>
      <abilityName>全半角问题</abilityName>
      <candidateList>
        <item>）</item>
      </candidateList>
      <explain>文本全半角错误。</explain>
      <paraID>21A527CC</paraID>
      <start>59</start>
      <end>60</end>
      <status>modified</status>
      <modifiedWord>）</modifiedWord>
      <trackRevisions>false</trackRevisions>
    </reviewItem>
    <reviewItem>
      <errorID>90332711-e092-4e6f-81d9-1e65e6fcc598</errorID>
      <errorWord>,</errorWord>
      <group>L1_Format</group>
      <groupName>格式问题</groupName>
      <ability>L2_HalfPunc_CN</ability>
      <abilityName>全半角问题</abilityName>
      <candidateList>
        <item>，</item>
      </candidateList>
      <explain>文本全半角错误。</explain>
      <paraID>21A527CC</paraID>
      <start>88</start>
      <end>89</end>
      <status>modified</status>
      <modifiedWord>，</modifiedWord>
      <trackRevisions>false</trackRevisions>
    </reviewItem>
    <reviewItem>
      <errorID>8cdc035b-5422-491d-b231-7af6cb565b52</errorID>
      <errorWord>,</errorWord>
      <group>L1_Format</group>
      <groupName>格式问题</groupName>
      <ability>L2_HalfPunc_CN</ability>
      <abilityName>全半角问题</abilityName>
      <candidateList>
        <item>，</item>
      </candidateList>
      <explain>文本全半角错误。</explain>
      <paraID>21A527CC</paraID>
      <start>110</start>
      <end>111</end>
      <status>modified</status>
      <modifiedWord>，</modifiedWord>
      <trackRevisions>false</trackRevisions>
    </reviewItem>
    <reviewItem>
      <errorID>ddbd8beb-d4b4-4f21-b1fe-9d91f0e89d76</errorID>
      <errorWord>,</errorWord>
      <group>L1_Format</group>
      <groupName>格式问题</groupName>
      <ability>L2_HalfPunc_CN</ability>
      <abilityName>全半角问题</abilityName>
      <candidateList>
        <item>，</item>
      </candidateList>
      <explain>文本全半角错误。</explain>
      <paraID>21A527CC</paraID>
      <start>143</start>
      <end>144</end>
      <status>modified</status>
      <modifiedWord>，</modifiedWord>
      <trackRevisions>false</trackRevisions>
    </reviewItem>
    <reviewItem>
      <errorID>91bdb952-279f-4ef4-bade-236cb9f166b8</errorID>
      <errorWord>,</errorWord>
      <group>L1_Format</group>
      <groupName>格式问题</groupName>
      <ability>L2_HalfPunc_CN</ability>
      <abilityName>全半角问题</abilityName>
      <candidateList>
        <item>，</item>
      </candidateList>
      <explain>文本全半角错误。</explain>
      <paraID>21A527CC</paraID>
      <start>163</start>
      <end>164</end>
      <status>modified</status>
      <modifiedWord>，</modifiedWord>
      <trackRevisions>false</trackRevisions>
    </reviewItem>
    <reviewItem>
      <errorID>0cae2fd0-4985-4c0c-969c-c90b3f7cefe6</errorID>
      <errorWord>;</errorWord>
      <group>L1_Format</group>
      <groupName>格式问题</groupName>
      <ability>L2_HalfPunc_CN</ability>
      <abilityName>全半角问题</abilityName>
      <candidateList>
        <item>；</item>
      </candidateList>
      <explain>文本全半角错误。</explain>
      <paraID>34434F97</paraID>
      <start>66</start>
      <end>67</end>
      <status>modified</status>
      <modifiedWord>；</modifiedWord>
      <trackRevisions>false</trackRevisions>
    </reviewItem>
    <reviewItem>
      <errorID>98295d02-1271-4650-9383-4b35c58855f9</errorID>
      <errorWord>(</errorWord>
      <group>L1_Format</group>
      <groupName>格式问题</groupName>
      <ability>L2_HalfPunc_CN</ability>
      <abilityName>全半角问题</abilityName>
      <candidateList>
        <item>（</item>
      </candidateList>
      <explain>文本全半角错误。</explain>
      <paraID>3682FD9A</paraID>
      <start>25</start>
      <end>26</end>
      <status>modified</status>
      <modifiedWord>（</modifiedWord>
      <trackRevisions>false</trackRevisions>
    </reviewItem>
    <reviewItem>
      <errorID>c2e271ff-7f4c-42f2-a8b7-783acb54d3b5</errorID>
      <errorWord>)</errorWord>
      <group>L1_Format</group>
      <groupName>格式问题</groupName>
      <ability>L2_HalfPunc_CN</ability>
      <abilityName>全半角问题</abilityName>
      <candidateList>
        <item>）</item>
      </candidateList>
      <explain>文本全半角错误。</explain>
      <paraID>3682FD9A</paraID>
      <start>34</start>
      <end>35</end>
      <status>modified</status>
      <modifiedWord>）</modifiedWord>
      <trackRevisions>false</trackRevisions>
    </reviewItem>
    <reviewItem>
      <errorID>e59985bf-59e5-4c25-83cf-1575796d40e9</errorID>
      <errorWord>(</errorWord>
      <group>L1_Format</group>
      <groupName>格式问题</groupName>
      <ability>L2_HalfPunc_CN</ability>
      <abilityName>全半角问题</abilityName>
      <candidateList>
        <item>（</item>
      </candidateList>
      <explain>文本全半角错误。</explain>
      <paraID>3682FD9A</paraID>
      <start>87</start>
      <end>88</end>
      <status>modified</status>
      <modifiedWord>（</modifiedWord>
      <trackRevisions>false</trackRevisions>
    </reviewItem>
    <reviewItem>
      <errorID>bc1129b9-47cd-4b8e-9d05-532e6b510215</errorID>
      <errorWord>)</errorWord>
      <group>L1_Format</group>
      <groupName>格式问题</groupName>
      <ability>L2_HalfPunc_CN</ability>
      <abilityName>全半角问题</abilityName>
      <candidateList>
        <item>）</item>
      </candidateList>
      <explain>文本全半角错误。</explain>
      <paraID>3682FD9A</paraID>
      <start>97</start>
      <end>98</end>
      <status>modified</status>
      <modifiedWord>）</modifiedWord>
      <trackRevisions>false</trackRevisions>
    </reviewItem>
    <reviewItem>
      <errorID>4dc3e2e6-7eba-45f0-823e-67a690db83e2</errorID>
      <errorWord>(</errorWord>
      <group>L1_Format</group>
      <groupName>格式问题</groupName>
      <ability>L2_HalfPunc_CN</ability>
      <abilityName>全半角问题</abilityName>
      <candidateList>
        <item>（</item>
      </candidateList>
      <explain>文本全半角错误。</explain>
      <paraID>722DDA35</paraID>
      <start>41</start>
      <end>42</end>
      <status>modified</status>
      <modifiedWord>（</modifiedWord>
      <trackRevisions>false</trackRevisions>
    </reviewItem>
    <reviewItem>
      <errorID>8cbb473e-a89d-4aa7-a775-41e52bd4d321</errorID>
      <errorWord>)</errorWord>
      <group>L1_Format</group>
      <groupName>格式问题</groupName>
      <ability>L2_HalfPunc_CN</ability>
      <abilityName>全半角问题</abilityName>
      <candidateList>
        <item>）</item>
      </candidateList>
      <explain>文本全半角错误。</explain>
      <paraID>722DDA35</paraID>
      <start>52</start>
      <end>53</end>
      <status>modified</status>
      <modifiedWord>）</modifiedWord>
      <trackRevisions>false</trackRevisions>
    </reviewItem>
    <reviewItem>
      <errorID>d056ce4e-04f5-4d25-9c85-e6b5798c3909</errorID>
      <errorWord>,</errorWord>
      <group>L1_Format</group>
      <groupName>格式问题</groupName>
      <ability>L2_HalfPunc_CN</ability>
      <abilityName>全半角问题</abilityName>
      <candidateList>
        <item>，</item>
      </candidateList>
      <explain>文本全半角错误。</explain>
      <paraID>705266B5</paraID>
      <start>21</start>
      <end>22</end>
      <status>modified</status>
      <modifiedWord>，</modifiedWord>
      <trackRevisions>false</trackRevisions>
    </reviewItem>
    <reviewItem>
      <errorID>728b9fdc-2f02-4eb5-9c55-0f870c73365f</errorID>
      <errorWord>西河区</errorWord>
      <group>L1_Knowledge</group>
      <groupName>知识性问题</groupName>
      <ability>L2_Location</ability>
      <abilityName>地名检查</abilityName>
      <candidateList>
        <item>细河区</item>
      </candidateList>
      <explain>地名表述错误</explain>
      <paraID>17B760DB</paraID>
      <start>2</start>
      <end>5</end>
      <status>unmodified</status>
      <modifiedWord/>
      <trackRevisions>false</trackRevisions>
    </reviewItem>
    <reviewItem>
      <errorID>fd318d1d-7c5d-4681-a944-26559aee2007</errorID>
      <errorWord>桥新</errorWord>
      <group>L1_Word</group>
      <groupName>字词问题</groupName>
      <ability>L2_Typo</ability>
      <abilityName>字词错误</abilityName>
      <candidateList>
        <item>新桥</item>
      </candidateList>
      <explain/>
      <paraID>58D40823</paraID>
      <start>2</start>
      <end>4</end>
      <status>unmodified</status>
      <modifiedWord/>
      <trackRevisions>false</trackRevisions>
    </reviewItem>
    <reviewItem>
      <errorID>eeee1d04-0a8d-4ef8-b529-b340758187a9</errorID>
      <errorWord>城乡地域发展</errorWord>
      <group>L1_Political</group>
      <groupName>政治性问题</groupName>
      <ability>L2_Keyword</ability>
      <abilityName>固定表述</abilityName>
      <candidateList>
        <item>城乡区域发展</item>
      </candidateList>
      <explain>词汇“城乡区域发展”在特定场景下为固定表述形式，请确认此处的“城乡地域发展”是否存在不当。</explain>
      <paraID>784DCF32</paraID>
      <start>17</start>
      <end>23</end>
      <status>unmodified</status>
      <modifiedWord/>
      <trackRevisions>false</trackRevisions>
    </reviewItem>
    <reviewItem>
      <errorID>16e1aa06-636a-49bf-a68b-1b71652832b6</errorID>
      <errorWord>沙浆</errorWord>
      <group>L1_Word</group>
      <groupName>字词问题</groupName>
      <ability>L2_Alias</ability>
      <abilityName>也作/曾用词</abilityName>
      <candidateList>
        <item>砂浆</item>
      </candidateList>
      <explain>词汇[沙浆]为不规范表述或旧称，其规范书面表述为[砂浆]。</explain>
      <paraID>516E6EFA</paraID>
      <start>31</start>
      <end>33</end>
      <status>modified</status>
      <modifiedWord>砂浆</modifiedWord>
      <trackRevisions>false</trackRevisions>
    </reviewItem>
    <reviewItem>
      <errorID>f21ac70f-b6df-406e-a6d1-9ed64dffcd5a</errorID>
      <errorWord>余泥</errorWord>
      <group>L1_Word</group>
      <groupName>字词问题</groupName>
      <ability>L2_Typo</ability>
      <abilityName>字词错误</abilityName>
      <candidateList>
        <item>淤泥</item>
      </candidateList>
      <explain/>
      <paraID>57C115B2</paraID>
      <start>117</start>
      <end>119</end>
      <status>unmodified</status>
      <modifiedWord/>
      <trackRevisions>false</trackRevisions>
    </reviewItem>
    <reviewItem>
      <errorID>4fc7ce09-fb50-4c13-b795-2e5f2ba76cd3</errorID>
      <errorWord>圆型</errorWord>
      <group>L1_Word</group>
      <groupName>字词问题</groupName>
      <ability>L2_Typo</ability>
      <abilityName>字词错误</abilityName>
      <candidateList>
        <item>圆形</item>
      </candidateList>
      <explain>存在发音相同字词的误用。</explain>
      <paraID>1E0A2C74</paraID>
      <start>117</start>
      <end>119</end>
      <status>modified</status>
      <modifiedWord>圆形</modifiedWord>
      <trackRevisions>false</trackRevisions>
    </reviewItem>
    <reviewItem>
      <errorID>347d3aed-400f-4761-82ae-9d575c0068c4</errorID>
      <errorWord>[2022]146号</errorWord>
      <group>L1_Knowledge</group>
      <groupName>知识性问题</groupName>
      <ability>L2_Knowledge</ability>
      <abilityName>其他知识</abilityName>
      <candidateList>
        <item>〔2022〕146号</item>
      </candidateList>
      <explain>发文字号格式错误。</explain>
      <paraID>59E5D690</paraID>
      <start>62</start>
      <end>72</end>
      <status>unmodified</status>
      <modifiedWord/>
      <trackRevisions>false</trackRevisions>
    </reviewItem>
    <reviewItem>
      <errorID>6376a51e-77ea-41f1-a518-9671c5f85322</errorID>
      <errorWord>通讯商</errorWord>
      <group>L1_Word</group>
      <groupName>字词问题</groupName>
      <ability>L2_Typo</ability>
      <abilityName>字词错误</abilityName>
      <candidateList>
        <item>通信商</item>
      </candidateList>
      <explain/>
      <paraID>7D5F71E2</paraID>
      <start>42</start>
      <end>45</end>
      <status>unmodified</status>
      <modifiedWord/>
      <trackRevisions>false</trackRevisions>
    </reviewItem>
    <reviewItem>
      <errorID>707eaff9-e4a1-4e4c-a324-6fd97fb4091b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4D1EFA2D</paraID>
      <start>27</start>
      <end>30</end>
      <status>unmodified</status>
      <modifiedWord/>
      <trackRevisions>false</trackRevisions>
    </reviewItem>
    <reviewItem>
      <errorID>1511ca81-00af-424a-9f2a-a5737651390b</errorID>
      <errorWord>法律、法规</errorWord>
      <group>L1_Word</group>
      <groupName>字词问题</groupName>
      <ability>L2_Typo</ability>
      <abilityName>字词错误</abilityName>
      <candidateList>
        <item>法律法规</item>
      </candidateList>
      <explain/>
      <paraID>163C964E</paraID>
      <start>81</start>
      <end>86</end>
      <status>unmodified</status>
      <modifiedWord/>
      <trackRevisions>false</trackRevisions>
    </reviewItem>
    <reviewItem>
      <errorID>ce24227a-63a8-4812-8da2-17a4e026c564</errorID>
      <errorWord>以</errorWord>
      <group>L1_Word</group>
      <groupName>字词问题</groupName>
      <ability>L2_Typo</ability>
      <abilityName>字词错误</abilityName>
      <candidateList>
        <item>以在</item>
      </candidateList>
      <explain/>
      <paraID>6238BB3A</paraID>
      <start>6</start>
      <end>7</end>
      <status>unmodified</status>
      <modifiedWord/>
      <trackRevisions>false</trackRevisions>
    </reviewItem>
    <reviewItem>
      <errorID>01d4ab01-2ddc-4b8b-89cd-d2dacd124c03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582AF4C1</paraID>
      <start>181</start>
      <end>184</end>
      <status>unmodified</status>
      <modifiedWord/>
      <trackRevisions>false</trackRevisions>
    </reviewItem>
    <reviewItem>
      <errorID>28526bfa-3a53-4cec-a2e6-9a801471bc5e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7F22A8C5</paraID>
      <start>94</start>
      <end>97</end>
      <status>unmodified</status>
      <modifiedWord/>
      <trackRevisions>false</trackRevisions>
    </reviewItem>
    <reviewItem>
      <errorID>e0bd442b-03f0-4190-a1d2-4efd50fceec9</errorID>
      <errorWord>法律、法规</errorWord>
      <group>L1_Word</group>
      <groupName>字词问题</groupName>
      <ability>L2_Typo</ability>
      <abilityName>字词错误</abilityName>
      <candidateList>
        <item>法律法规</item>
      </candidateList>
      <explain/>
      <paraID>7F22A8C5</paraID>
      <start>113</start>
      <end>118</end>
      <status>unmodified</status>
      <modifiedWord/>
      <trackRevisions>false</trackRevisions>
    </reviewItem>
    <reviewItem>
      <errorID>19e3f1fe-b02b-4fd7-9ab2-f24899a47a68</errorID>
      <errorWord>全</errorWord>
      <group>L1_Word</group>
      <groupName>字词问题</groupName>
      <ability>L2_Typo</ability>
      <abilityName>字词错误</abilityName>
      <candidateList>
        <item>全过</item>
      </candidateList>
      <explain/>
      <paraID>15D1BF18</paraID>
      <start>44</start>
      <end>45</end>
      <status>unmodified</status>
      <modifiedWord/>
      <trackRevisions>false</trackRevisions>
    </reviewItem>
    <reviewItem>
      <errorID>1c3de6be-ab11-476e-8cdb-6b5953a531e4</errorID>
      <errorWord>其它</errorWord>
      <group>L1_Word</group>
      <groupName>字词问题</groupName>
      <ability>L2_Alias</ability>
      <abilityName>也作/曾用词</abilityName>
      <candidateList>
        <item>其他</item>
      </candidateList>
      <explain>词汇[其它]为不规范表述或旧称，其规范书面表述为[其他]。</explain>
      <paraID>15D1BF18</paraID>
      <start>125</start>
      <end>127</end>
      <status>unmodified</status>
      <modifiedWord/>
      <trackRevisions>false</trackRevisions>
    </reviewItem>
    <reviewItem>
      <errorID>7136e63f-ebd6-4e21-915f-fe31c8ea3488</errorID>
      <errorWord>二个</errorWord>
      <group>L1_Word</group>
      <groupName>字词问题</groupName>
      <ability>L2_Typo</ability>
      <abilityName>字词错误</abilityName>
      <candidateList>
        <item>两个</item>
      </candidateList>
      <explain/>
      <paraID> 3157FA0</paraID>
      <start>64</start>
      <end>66</end>
      <status>unmodified</status>
      <modifiedWord/>
      <trackRevisions>false</trackRevisions>
    </reviewItem>
    <reviewItem>
      <errorID>2503f7c0-d4d9-4cc3-b6ca-d4048012a9a0</errorID>
      <errorWord>二个</errorWord>
      <group>L1_Word</group>
      <groupName>字词问题</groupName>
      <ability>L2_Typo</ability>
      <abilityName>字词错误</abilityName>
      <candidateList>
        <item>两个</item>
      </candidateList>
      <explain/>
      <paraID>47522F2A</paraID>
      <start>94</start>
      <end>96</end>
      <status>unmodified</status>
      <modifiedWord/>
      <trackRevisions>false</trackRevisions>
    </reviewItem>
    <reviewItem>
      <errorID>3cf4d01a-db11-4e2b-870d-ed7d22aa8c3f</errorID>
      <errorWord>，有</errorWord>
      <group>L1_Word</group>
      <groupName>字词问题</groupName>
      <ability>L2_Typo</ability>
      <abilityName>字词错误</abilityName>
      <candidateList>
        <item>，</item>
      </candidateList>
      <explain/>
      <paraID>55051142</paraID>
      <start>295</start>
      <end>297</end>
      <status>unmodified</status>
      <modifiedWord/>
      <trackRevisions>false</trackRevisions>
    </reviewItem>
    <reviewItem>
      <errorID>2f44ad89-c39e-4c7d-91a8-898c5f35f58a</errorID>
      <errorWord>对发现问题</errorWord>
      <group>L1_Word</group>
      <groupName>字词问题</groupName>
      <ability>L2_Typo</ability>
      <abilityName>字词错误</abilityName>
      <candidateList>
        <item>对发现的问题</item>
      </candidateList>
      <explain/>
      <paraID>3262C811</paraID>
      <start>35</start>
      <end>41</end>
      <status>modified</status>
      <modifiedWord>对发现的问题</modifiedWord>
      <trackRevisions>false</trackRevisions>
    </reviewItem>
    <reviewItem>
      <errorID>723bb9f2-f178-4720-b457-8379304c96c6</errorID>
      <errorWord>的</errorWord>
      <group>L1_Word</group>
      <groupName>字词问题</groupName>
      <ability>L2_DDD</ability>
      <abilityName>的地得用法</abilityName>
      <candidateList>
        <item>地</item>
      </candidateList>
      <explain/>
      <paraID>2E0D05F5</paraID>
      <start>26</start>
      <end>27</end>
      <status>modified</status>
      <modifiedWord>地</modifiedWord>
      <trackRevisions>false</trackRevisions>
    </reviewItem>
    <reviewItem>
      <errorID>320c3d04-328e-4997-bcd6-59e8b74b0a8d</errorID>
      <errorWord>,</errorWord>
      <group>L1_Format</group>
      <groupName>格式问题</groupName>
      <ability>L2_HalfPunc_CN</ability>
      <abilityName>全半角问题</abilityName>
      <candidateList>
        <item>，</item>
      </candidateList>
      <explain>文本全半角错误。</explain>
      <paraID>2E0D05F5</paraID>
      <start>40</start>
      <end>41</end>
      <status>modified</status>
      <modifiedWord>，</modifiedWord>
      <trackRevisions>false</trackRevisions>
    </reviewItem>
    <reviewItem>
      <errorID>e2f80627-c7e9-47aa-b9d6-e2a46b5b5535</errorID>
      <errorWord>管理帐号</errorWord>
      <group>L1_Word</group>
      <groupName>字词问题</groupName>
      <ability>L2_Alias</ability>
      <abilityName>也作/曾用词</abilityName>
      <candidateList>
        <item>管理账号</item>
      </candidateList>
      <explain>词汇[管理帐号]为不规范表述或旧称，其规范书面表述为[管理账号]。</explain>
      <paraID>757543E4</paraID>
      <start>53</start>
      <end>57</end>
      <status>unmodified</status>
      <modifiedWord/>
      <trackRevisions>false</trackRevisions>
    </reviewItem>
    <reviewItem>
      <errorID>68d1ddf0-70ec-4adc-9fb0-9e6903f71e15</errorID>
      <errorWord>20号</errorWord>
      <group>L1_Knowledge</group>
      <groupName>知识性问题</groupName>
      <ability>L2_Time</ability>
      <abilityName>日期时间</abilityName>
      <candidateList>
        <item>20日</item>
      </candidateList>
      <explain>日期表达规范为x月x日。</explain>
      <paraID>72ABBF17</paraID>
      <start>8</start>
      <end>11</end>
      <status>unmodified</status>
      <modifiedWord/>
      <trackRevisions>false</trackRevisions>
    </reviewItem>
    <reviewItem>
      <errorID>56d6a248-bc74-48dc-93aa-9f368484c272</errorID>
      <errorWord>20号</errorWord>
      <group>L1_Knowledge</group>
      <groupName>知识性问题</groupName>
      <ability>L2_Time</ability>
      <abilityName>日期时间</abilityName>
      <candidateList>
        <item>20日</item>
      </candidateList>
      <explain>日期表达规范为x月x日。</explain>
      <paraID>72ABBF17</paraID>
      <start>21</start>
      <end>24</end>
      <status>unmodified</status>
      <modifiedWord/>
      <trackRevisions>false</trackRevisions>
    </reviewItem>
    <reviewItem>
      <errorID>10b35ee5-bc2e-4b4d-9c31-36f56a7892f1</errorID>
      <errorWord>月1日实行</errorWord>
      <group>L1_Word</group>
      <groupName>字词问题</groupName>
      <ability>L2_Typo</ability>
      <abilityName>字词错误</abilityName>
      <candidateList>
        <item>月1日起施行</item>
      </candidateList>
      <explain/>
      <paraID>7048D3AE</paraID>
      <start>10</start>
      <end>15</end>
      <status>unmodified</status>
      <modifiedWord/>
      <trackRevisions>false</trackRevisions>
    </reviewItem>
    <reviewItem>
      <errorID>b58aea7f-1df8-44a9-b0f6-f5f056583f6a</errorID>
      <errorWord>*</errorWord>
      <group>L1_Punc</group>
      <groupName>标点问题</groupName>
      <ability>L2_Punc_CN</ability>
      <abilityName>标点符号问题</abilityName>
      <candidateList/>
      <explain/>
      <paraID>14D30AFB</paraID>
      <start>0</start>
      <end>1</end>
      <status>unmodified</status>
      <modifiedWord/>
      <trackRevisions>false</trackRevisions>
    </reviewItem>
    <reviewItem>
      <errorID>85ae8a4a-f6e4-43b2-8a13-26faf7ce7189</errorID>
      <errorWord>*</errorWord>
      <group>L1_Punc</group>
      <groupName>标点问题</groupName>
      <ability>L2_Punc_CN</ability>
      <abilityName>标点符号问题</abilityName>
      <candidateList/>
      <explain/>
      <paraID>5CB9A3EB</paraID>
      <start>0</start>
      <end>1</end>
      <status>unmodified</status>
      <modifiedWord/>
      <trackRevisions>false</trackRevisions>
    </reviewItem>
    <reviewItem>
      <errorID>20919de3-91d0-4d57-a9ed-e3d255df4adf</errorID>
      <errorWord>*</errorWord>
      <group>L1_Punc</group>
      <groupName>标点问题</groupName>
      <ability>L2_Punc_CN</ability>
      <abilityName>标点符号问题</abilityName>
      <candidateList/>
      <explain/>
      <paraID>349C6A44</paraID>
      <start>0</start>
      <end>1</end>
      <status>unmodified</status>
      <modifiedWord/>
      <trackRevisions>false</trackRevisions>
    </reviewItem>
    <reviewItem>
      <errorID>9b6a79c9-9df4-4a9e-b19e-17356927fd05</errorID>
      <errorWord>*</errorWord>
      <group>L1_Punc</group>
      <groupName>标点问题</groupName>
      <ability>L2_Punc_CN</ability>
      <abilityName>标点符号问题</abilityName>
      <candidateList/>
      <explain/>
      <paraID>6E7CDA64</paraID>
      <start>0</start>
      <end>1</end>
      <status>unmodified</status>
      <modifiedWord/>
      <trackRevisions>false</trackRevisions>
    </reviewItem>
    <reviewItem>
      <errorID>3454251c-13b3-41a5-85b5-f447995ee752</errorID>
      <errorWord>*</errorWord>
      <group>L1_Punc</group>
      <groupName>标点问题</groupName>
      <ability>L2_Punc_CN</ability>
      <abilityName>标点符号问题</abilityName>
      <candidateList/>
      <explain/>
      <paraID>11BB0A06</paraID>
      <start>0</start>
      <end>1</end>
      <status>unmodified</status>
      <modifiedWord/>
      <trackRevisions>false</trackRevisions>
    </reviewItem>
    <reviewItem>
      <errorID>b3039b86-b31e-4d0e-b732-2271566494e0</errorID>
      <errorWord>;</errorWord>
      <group>L1_Format</group>
      <groupName>格式问题</groupName>
      <ability>L2_HalfPunc_CN</ability>
      <abilityName>全半角问题</abilityName>
      <candidateList>
        <item>；</item>
      </candidateList>
      <explain>文本全半角错误。</explain>
      <paraID>2C9C2027</paraID>
      <start>60</start>
      <end>61</end>
      <status>modified</status>
      <modifiedWord>；</modifiedWord>
      <trackRevisions>false</trackRevisions>
    </reviewItem>
    <reviewItem>
      <errorID>04f490c4-38e3-4f80-aac8-d6f3330025a8</errorID>
      <errorWord>,</errorWord>
      <group>L1_Format</group>
      <groupName>格式问题</groupName>
      <ability>L2_HalfPunc_CN</ability>
      <abilityName>全半角问题</abilityName>
      <candidateList>
        <item>，</item>
      </candidateList>
      <explain>文本全半角错误。</explain>
      <paraID>2C76DEB3</paraID>
      <start>53</start>
      <end>54</end>
      <status>modified</status>
      <modifiedWord>，</modifiedWord>
      <trackRevisions>false</trackRevisions>
    </reviewItem>
    <reviewItem>
      <errorID>2c705b83-b556-4147-a003-fab4de4548f2</errorID>
      <errorWord>,</errorWord>
      <group>L1_Format</group>
      <groupName>格式问题</groupName>
      <ability>L2_HalfPunc_CN</ability>
      <abilityName>全半角问题</abilityName>
      <candidateList>
        <item>，</item>
      </candidateList>
      <explain>文本全半角错误。</explain>
      <paraID>2C76DEB3</paraID>
      <start>67</start>
      <end>68</end>
      <status>modified</status>
      <modifiedWord>，</modifiedWord>
      <trackRevisions>false</trackRevisions>
    </reviewItem>
    <reviewItem>
      <errorID>f6353b70-ba39-4afe-9f0f-add1a932ae57</errorID>
      <errorWord>,</errorWord>
      <group>L1_Format</group>
      <groupName>格式问题</groupName>
      <ability>L2_HalfPunc_CN</ability>
      <abilityName>全半角问题</abilityName>
      <candidateList>
        <item>，</item>
      </candidateList>
      <explain>文本全半角错误。</explain>
      <paraID>2C76DEB3</paraID>
      <start>85</start>
      <end>86</end>
      <status>modified</status>
      <modifiedWord>，</modifiedWord>
      <trackRevisions>false</trackRevisions>
    </reviewItem>
    <reviewItem>
      <errorID>755495a3-8160-4e8d-a568-8388535f8263</errorID>
      <errorWord>,</errorWord>
      <group>L1_Format</group>
      <groupName>格式问题</groupName>
      <ability>L2_HalfPunc_CN</ability>
      <abilityName>全半角问题</abilityName>
      <candidateList>
        <item>，</item>
      </candidateList>
      <explain>文本全半角错误。</explain>
      <paraID>5450B686</paraID>
      <start>17</start>
      <end>18</end>
      <status>modified</status>
      <modifiedWord>，</modifiedWord>
      <trackRevisions>false</trackRevisions>
    </reviewItem>
    <reviewItem>
      <errorID>fd884003-5b5f-4547-8414-17fee790b763</errorID>
      <errorWord>,</errorWord>
      <group>L1_Format</group>
      <groupName>格式问题</groupName>
      <ability>L2_HalfPunc_CN</ability>
      <abilityName>全半角问题</abilityName>
      <candidateList>
        <item>，</item>
      </candidateList>
      <explain>文本全半角错误。</explain>
      <paraID>5450B686</paraID>
      <start>48</start>
      <end>49</end>
      <status>modified</status>
      <modifiedWord>，</modifiedWord>
      <trackRevisions>false</trackRevisions>
    </reviewItem>
    <reviewItem>
      <errorID>ea44f92b-1825-4b74-b1d5-2c4177d830f0</errorID>
      <errorWord>,</errorWord>
      <group>L1_Format</group>
      <groupName>格式问题</groupName>
      <ability>L2_HalfPunc_CN</ability>
      <abilityName>全半角问题</abilityName>
      <candidateList>
        <item>，</item>
      </candidateList>
      <explain>文本全半角错误。</explain>
      <paraID>5450B686</paraID>
      <start>81</start>
      <end>82</end>
      <status>modified</status>
      <modifiedWord>，</modifiedWord>
      <trackRevisions>false</trackRevisions>
    </reviewItem>
    <reviewItem>
      <errorID>0243b4d8-7cbd-4489-b8fa-4a0f15ca4de7</errorID>
      <errorWord>支持支持</errorWord>
      <group>L1_Word</group>
      <groupName>字词问题</groupName>
      <ability>L2_Typo</ability>
      <abilityName>字词错误</abilityName>
      <candidateList>
        <item>支持</item>
      </candidateList>
      <explain/>
      <paraID> 406891A</paraID>
      <start>44</start>
      <end>46</end>
      <status>modified</status>
      <modifiedWord>支持</modifiedWord>
      <trackRevisions>false</trackRevisions>
    </reviewItem>
    <reviewItem>
      <errorID>4a87219d-5838-41f8-b315-4e593d8f02c8</errorID>
      <errorWord>,</errorWord>
      <group>L1_Format</group>
      <groupName>格式问题</groupName>
      <ability>L2_HalfPunc_CN</ability>
      <abilityName>全半角问题</abilityName>
      <candidateList>
        <item>，</item>
      </candidateList>
      <explain>文本全半角错误。</explain>
      <paraID>6B4430B8</paraID>
      <start>13</start>
      <end>14</end>
      <status>modified</status>
      <modifiedWord>，</modifiedWord>
      <trackRevisions>false</trackRevisions>
    </reviewItem>
    <reviewItem>
      <errorID>c4e8bd86-e461-4c19-b365-77d6809185b9</errorID>
      <errorWord>,</errorWord>
      <group>L1_Format</group>
      <groupName>格式问题</groupName>
      <ability>L2_HalfPunc_CN</ability>
      <abilityName>全半角问题</abilityName>
      <candidateList>
        <item>，</item>
      </candidateList>
      <explain>文本全半角错误。</explain>
      <paraID>6B4430B8</paraID>
      <start>34</start>
      <end>35</end>
      <status>modified</status>
      <modifiedWord>，</modifiedWord>
      <trackRevisions>false</trackRevisions>
    </reviewItem>
    <reviewItem>
      <errorID>e5e237a7-d422-4979-b783-891001584441</errorID>
      <errorWord>;</errorWord>
      <group>L1_Format</group>
      <groupName>格式问题</groupName>
      <ability>L2_HalfPunc_CN</ability>
      <abilityName>全半角问题</abilityName>
      <candidateList>
        <item>；</item>
      </candidateList>
      <explain>文本全半角错误。</explain>
      <paraID>54DF605A</paraID>
      <start>66</start>
      <end>67</end>
      <status>modified</status>
      <modifiedWord>；</modifiedWord>
      <trackRevisions>false</trackRevisions>
    </reviewItem>
    <reviewItem>
      <errorID>0d40fe80-1f20-4e9f-9c3f-e0cfe772e771</errorID>
      <errorWord>,</errorWord>
      <group>L1_Format</group>
      <groupName>格式问题</groupName>
      <ability>L2_HalfPunc_CN</ability>
      <abilityName>全半角问题</abilityName>
      <candidateList>
        <item>，</item>
      </candidateList>
      <explain>文本全半角错误。</explain>
      <paraID>749FE7F6</paraID>
      <start>135</start>
      <end>136</end>
      <status>modified</status>
      <modifiedWord>，</modifiedWord>
      <trackRevisions>false</trackRevisions>
    </reviewItem>
    <reviewItem>
      <errorID>d834f752-259e-4b5d-9ab0-7fcd5cf79b05</errorID>
      <errorWord>;</errorWord>
      <group>L1_Format</group>
      <groupName>格式问题</groupName>
      <ability>L2_HalfPunc_CN</ability>
      <abilityName>全半角问题</abilityName>
      <candidateList>
        <item>；</item>
      </candidateList>
      <explain>文本全半角错误。</explain>
      <paraID>2B026AE1</paraID>
      <start>23</start>
      <end>24</end>
      <status>modified</status>
      <modifiedWord>；</modifiedWord>
      <trackRevisions>false</trackRevisions>
    </reviewItem>
    <reviewItem>
      <errorID>fe570cdc-b08e-4a1d-8072-aadd8eb775d0</errorID>
      <errorWord>,</errorWord>
      <group>L1_Format</group>
      <groupName>格式问题</groupName>
      <ability>L2_HalfPunc_CN</ability>
      <abilityName>全半角问题</abilityName>
      <candidateList>
        <item>，</item>
      </candidateList>
      <explain>文本全半角错误。</explain>
      <paraID>2B026AE1</paraID>
      <start>79</start>
      <end>80</end>
      <status>modified</status>
      <modifiedWord>，</modifiedWord>
      <trackRevisions>false</trackRevisions>
    </reviewItem>
    <reviewItem>
      <errorID>52880bb8-939c-4851-ae4f-c92318a9389c</errorID>
      <errorWord>,</errorWord>
      <group>L1_Format</group>
      <groupName>格式问题</groupName>
      <ability>L2_HalfPunc_CN</ability>
      <abilityName>全半角问题</abilityName>
      <candidateList>
        <item>，</item>
      </candidateList>
      <explain>文本全半角错误。</explain>
      <paraID>2B026AE1</paraID>
      <start>89</start>
      <end>90</end>
      <status>modified</status>
      <modifiedWord>，</modifiedWord>
      <trackRevisions>false</trackRevisions>
    </reviewItem>
    <reviewItem>
      <errorID>c967b6d6-b213-4bd0-8ebe-661bb4b428a3</errorID>
      <errorWord>,</errorWord>
      <group>L1_Format</group>
      <groupName>格式问题</groupName>
      <ability>L2_HalfPunc_CN</ability>
      <abilityName>全半角问题</abilityName>
      <candidateList>
        <item>，</item>
      </candidateList>
      <explain>文本全半角错误。</explain>
      <paraID> 293F1F6</paraID>
      <start>18</start>
      <end>19</end>
      <status>modified</status>
      <modifiedWord>，</modifiedWord>
      <trackRevisions>false</trackRevisions>
    </reviewItem>
    <reviewItem>
      <errorID>89d8e703-25d1-418d-9853-aa624facb18e</errorID>
      <errorWord>,</errorWord>
      <group>L1_Format</group>
      <groupName>格式问题</groupName>
      <ability>L2_HalfPunc_CN</ability>
      <abilityName>全半角问题</abilityName>
      <candidateList>
        <item>，</item>
      </candidateList>
      <explain>文本全半角错误。</explain>
      <paraID> 293F1F6</paraID>
      <start>44</start>
      <end>45</end>
      <status>modified</status>
      <modifiedWord>，</modifiedWord>
      <trackRevisions>false</trackRevisions>
    </reviewItem>
    <reviewItem>
      <errorID>18f24548-2038-46c5-955e-3c279ebc0b4e</errorID>
      <errorWord>,</errorWord>
      <group>L1_Format</group>
      <groupName>格式问题</groupName>
      <ability>L2_HalfPunc_CN</ability>
      <abilityName>全半角问题</abilityName>
      <candidateList>
        <item>，</item>
      </candidateList>
      <explain>文本全半角错误。</explain>
      <paraID> 293F1F6</paraID>
      <start>61</start>
      <end>62</end>
      <status>modified</status>
      <modifiedWord>，</modifiedWord>
      <trackRevisions>false</trackRevisions>
    </reviewItem>
    <reviewItem>
      <errorID>685e9d90-c7f4-4d59-aaea-9fda22c957d7</errorID>
      <errorWord>,</errorWord>
      <group>L1_Format</group>
      <groupName>格式问题</groupName>
      <ability>L2_HalfPunc_CN</ability>
      <abilityName>全半角问题</abilityName>
      <candidateList>
        <item>，</item>
      </candidateList>
      <explain>文本全半角错误。</explain>
      <paraID> 293F1F6</paraID>
      <start>85</start>
      <end>86</end>
      <status>modified</status>
      <modifiedWord>，</modifiedWord>
      <trackRevisions>false</trackRevisions>
    </reviewItem>
    <reviewItem>
      <errorID>fff06deb-57ed-466b-bddf-59e49d152677</errorID>
      <errorWord>,</errorWord>
      <group>L1_Format</group>
      <groupName>格式问题</groupName>
      <ability>L2_HalfPunc_CN</ability>
      <abilityName>全半角问题</abilityName>
      <candidateList>
        <item>，</item>
      </candidateList>
      <explain>文本全半角错误。</explain>
      <paraID>2EE16B9A</paraID>
      <start>39</start>
      <end>40</end>
      <status>modified</status>
      <modifiedWord>，</modifiedWord>
      <trackRevisions>false</trackRevisions>
    </reviewItem>
    <reviewItem>
      <errorID>a0a9c262-2a25-4090-a0f3-866e33c27e74</errorID>
      <errorWord>,</errorWord>
      <group>L1_Format</group>
      <groupName>格式问题</groupName>
      <ability>L2_HalfPunc_CN</ability>
      <abilityName>全半角问题</abilityName>
      <candidateList>
        <item>，</item>
      </candidateList>
      <explain>文本全半角错误。</explain>
      <paraID>2EE16B9A</paraID>
      <start>58</start>
      <end>59</end>
      <status>modified</status>
      <modifiedWord>，</modifiedWord>
      <trackRevisions>false</trackRevisions>
    </reviewItem>
    <reviewItem>
      <errorID>73fd30c3-f127-443b-a61e-224e9ab65e7e</errorID>
      <errorWord>,</errorWord>
      <group>L1_Format</group>
      <groupName>格式问题</groupName>
      <ability>L2_HalfPunc_CN</ability>
      <abilityName>全半角问题</abilityName>
      <candidateList>
        <item>，</item>
      </candidateList>
      <explain>文本全半角错误。</explain>
      <paraID>2EE16B9A</paraID>
      <start>65</start>
      <end>66</end>
      <status>modified</status>
      <modifiedWord>，</modifiedWord>
      <trackRevisions>false</trackRevisions>
    </reviewItem>
    <reviewItem>
      <errorID>8e98385c-603e-4d67-a992-e897e109c091</errorID>
      <errorWord>;</errorWord>
      <group>L1_Format</group>
      <groupName>格式问题</groupName>
      <ability>L2_HalfPunc_CN</ability>
      <abilityName>全半角问题</abilityName>
      <candidateList>
        <item>；</item>
      </candidateList>
      <explain>文本全半角错误。</explain>
      <paraID>2EE16B9A</paraID>
      <start>75</start>
      <end>76</end>
      <status>modified</status>
      <modifiedWord>；</modifiedWord>
      <trackRevisions>false</trackRevisions>
    </reviewItem>
    <reviewItem>
      <errorID>3e319715-5906-4a67-903d-448ef14baf32</errorID>
      <errorWord>,</errorWord>
      <group>L1_Format</group>
      <groupName>格式问题</groupName>
      <ability>L2_HalfPunc_CN</ability>
      <abilityName>全半角问题</abilityName>
      <candidateList>
        <item>，</item>
      </candidateList>
      <explain>文本全半角错误。</explain>
      <paraID>2EE16B9A</paraID>
      <start>86</start>
      <end>87</end>
      <status>modified</status>
      <modifiedWord>，</modifiedWord>
      <trackRevisions>false</trackRevisions>
    </reviewItem>
    <reviewItem>
      <errorID>792dde4c-c943-4280-a833-80245f1b7df9</errorID>
      <errorWord>,</errorWord>
      <group>L1_Format</group>
      <groupName>格式问题</groupName>
      <ability>L2_HalfPunc_CN</ability>
      <abilityName>全半角问题</abilityName>
      <candidateList>
        <item>，</item>
      </candidateList>
      <explain>文本全半角错误。</explain>
      <paraID>2EE16B9A</paraID>
      <start>102</start>
      <end>103</end>
      <status>modified</status>
      <modifiedWord>，</modifiedWord>
      <trackRevisions>false</trackRevisions>
    </reviewItem>
    <reviewItem>
      <errorID>16616a18-234a-4826-8820-56aa08de8d86</errorID>
      <errorWord>,</errorWord>
      <group>L1_Format</group>
      <groupName>格式问题</groupName>
      <ability>L2_HalfPunc_CN</ability>
      <abilityName>全半角问题</abilityName>
      <candidateList>
        <item>，</item>
      </candidateList>
      <explain>文本全半角错误。</explain>
      <paraID>2B8B5C02</paraID>
      <start>23</start>
      <end>24</end>
      <status>modified</status>
      <modifiedWord>，</modifiedWord>
      <trackRevisions>false</trackRevisions>
    </reviewItem>
    <reviewItem>
      <errorID>6b844a43-817c-4740-a13f-c804b5c480fc</errorID>
      <errorWord>,</errorWord>
      <group>L1_Format</group>
      <groupName>格式问题</groupName>
      <ability>L2_HalfPunc_CN</ability>
      <abilityName>全半角问题</abilityName>
      <candidateList>
        <item>，</item>
      </candidateList>
      <explain>文本全半角错误。</explain>
      <paraID>2B8B5C02</paraID>
      <start>56</start>
      <end>57</end>
      <status>modified</status>
      <modifiedWord>，</modifiedWord>
      <trackRevisions>false</trackRevisions>
    </reviewItem>
    <reviewItem>
      <errorID>a30fe902-6bcc-44ae-b1fa-8b70cac2040a</errorID>
      <errorWord>,</errorWord>
      <group>L1_Format</group>
      <groupName>格式问题</groupName>
      <ability>L2_HalfPunc_CN</ability>
      <abilityName>全半角问题</abilityName>
      <candidateList>
        <item>，</item>
      </candidateList>
      <explain>文本全半角错误。</explain>
      <paraID>2B8B5C02</paraID>
      <start>98</start>
      <end>99</end>
      <status>modified</status>
      <modifiedWord>，</modifiedWord>
      <trackRevisions>false</trackRevisions>
    </reviewItem>
    <reviewItem>
      <errorID>66617779-4594-4256-953f-eafd8600c7f5</errorID>
      <errorWord>,</errorWord>
      <group>L1_Format</group>
      <groupName>格式问题</groupName>
      <ability>L2_HalfPunc_CN</ability>
      <abilityName>全半角问题</abilityName>
      <candidateList>
        <item>，</item>
      </candidateList>
      <explain>文本全半角错误。</explain>
      <paraID>2B8B5C02</paraID>
      <start>109</start>
      <end>110</end>
      <status>modified</status>
      <modifiedWord>，</modifiedWord>
      <trackRevisions>false</trackRevisions>
    </reviewItem>
    <reviewItem>
      <errorID>aedb2924-02f5-430f-9155-481c6a96e9d0</errorID>
      <errorWord>,</errorWord>
      <group>L1_Format</group>
      <groupName>格式问题</groupName>
      <ability>L2_HalfPunc_CN</ability>
      <abilityName>全半角问题</abilityName>
      <candidateList>
        <item>，</item>
      </candidateList>
      <explain>文本全半角错误。</explain>
      <paraID>2B8B5C02</paraID>
      <start>127</start>
      <end>128</end>
      <status>modified</status>
      <modifiedWord>，</modifiedWord>
      <trackRevisions>false</trackRevisions>
    </reviewItem>
    <reviewItem>
      <errorID>4266828d-e558-4106-b67c-a8d831e871f4</errorID>
      <errorWord>:</errorWord>
      <group>L1_Format</group>
      <groupName>格式问题</groupName>
      <ability>L2_HalfPunc_CN</ability>
      <abilityName>全半角问题</abilityName>
      <candidateList>
        <item>：</item>
      </candidateList>
      <explain>文本全半角错误。</explain>
      <paraID>28F3DF65</paraID>
      <start>28</start>
      <end>29</end>
      <status>modified</status>
      <modifiedWord>：</modifiedWord>
      <trackRevisions>false</trackRevisions>
    </reviewItem>
    <reviewItem>
      <errorID>f9be9dcf-0af1-484e-9d25-b9545d619f33</errorID>
      <errorWord>:</errorWord>
      <group>L1_Format</group>
      <groupName>格式问题</groupName>
      <ability>L2_HalfPunc_CN</ability>
      <abilityName>全半角问题</abilityName>
      <candidateList>
        <item>：</item>
      </candidateList>
      <explain>文本全半角错误。</explain>
      <paraID>28F3DF65</paraID>
      <start>35</start>
      <end>36</end>
      <status>modified</status>
      <modifiedWord>：</modifiedWord>
      <trackRevisions>false</trackRevisions>
    </reviewItem>
    <reviewItem>
      <errorID>b23140e8-18ee-4e23-9c18-84d9af5fb920</errorID>
      <errorWord>:</errorWord>
      <group>L1_Format</group>
      <groupName>格式问题</groupName>
      <ability>L2_HalfPunc_CN</ability>
      <abilityName>全半角问题</abilityName>
      <candidateList>
        <item>：</item>
      </candidateList>
      <explain>文本全半角错误。</explain>
      <paraID>28F3DF65</paraID>
      <start>50</start>
      <end>51</end>
      <status>modified</status>
      <modifiedWord>：</modifiedWord>
      <trackRevisions>false</trackRevisions>
    </reviewItem>
    <reviewItem>
      <errorID>f831ffd2-1f97-4ec3-8c41-a19a5cba7c12</errorID>
      <errorWord>:</errorWord>
      <group>L1_Format</group>
      <groupName>格式问题</groupName>
      <ability>L2_HalfPunc_CN</ability>
      <abilityName>全半角问题</abilityName>
      <candidateList>
        <item>：</item>
      </candidateList>
      <explain>文本全半角错误。</explain>
      <paraID>28F3DF65</paraID>
      <start>64</start>
      <end>65</end>
      <status>modified</status>
      <modifiedWord>：</modifiedWord>
      <trackRevisions>false</trackRevisions>
    </reviewItem>
    <reviewItem>
      <errorID>a3a21c4c-0991-4fdb-87d4-7711a9cb112f</errorID>
      <errorWord>:</errorWord>
      <group>L1_Format</group>
      <groupName>格式问题</groupName>
      <ability>L2_HalfPunc_CN</ability>
      <abilityName>全半角问题</abilityName>
      <candidateList>
        <item>：</item>
      </candidateList>
      <explain>文本全半角错误。</explain>
      <paraID>28F3DF65</paraID>
      <start>71</start>
      <end>72</end>
      <status>modified</status>
      <modifiedWord>：</modifiedWord>
      <trackRevisions>false</trackRevisions>
    </reviewItem>
    <reviewItem>
      <errorID>f446ed61-655a-4f41-a054-21e9f92a9f25</errorID>
      <errorWord>;</errorWord>
      <group>L1_Format</group>
      <groupName>格式问题</groupName>
      <ability>L2_HalfPunc_CN</ability>
      <abilityName>全半角问题</abilityName>
      <candidateList>
        <item>；</item>
      </candidateList>
      <explain>文本全半角错误。</explain>
      <paraID>437376DB</paraID>
      <start>66</start>
      <end>67</end>
      <status>modified</status>
      <modifiedWord>；</modifiedWord>
      <trackRevisions>false</trackRevisions>
    </reviewItem>
    <reviewItem>
      <errorID>6a9274ef-2090-4e09-9ccd-648a10901ce9</errorID>
      <errorWord>;</errorWord>
      <group>L1_Format</group>
      <groupName>格式问题</groupName>
      <ability>L2_HalfPunc_CN</ability>
      <abilityName>全半角问题</abilityName>
      <candidateList>
        <item>；</item>
      </candidateList>
      <explain>文本全半角错误。</explain>
      <paraID>13ED9E3E</paraID>
      <start>60</start>
      <end>61</end>
      <status>modified</status>
      <modifiedWord>；</modifiedWord>
      <trackRevisions>false</trackRevisions>
    </reviewItem>
    <reviewItem>
      <errorID>421c122a-ad0f-4ef6-a275-b1bb138bd858</errorID>
      <errorWord>~</errorWord>
      <group>L1_Format</group>
      <groupName>格式问题</groupName>
      <ability>L2_HalfPunc_CN</ability>
      <abilityName>全半角问题</abilityName>
      <candidateList>
        <item>～</item>
      </candidateList>
      <explain>文本全半角错误。</explain>
      <paraID>24D8F86C</paraID>
      <start>53</start>
      <end>54</end>
      <status>modified</status>
      <modifiedWord>～</modifiedWord>
      <trackRevisions>false</trackRevisions>
    </reviewItem>
    <reviewItem>
      <errorID>5c517dad-dc31-4d09-a448-1decd5058210</errorID>
      <errorWord>;</errorWord>
      <group>L1_Format</group>
      <groupName>格式问题</groupName>
      <ability>L2_HalfPunc_CN</ability>
      <abilityName>全半角问题</abilityName>
      <candidateList>
        <item>；</item>
      </candidateList>
      <explain>文本全半角错误。</explain>
      <paraID>648242C4</paraID>
      <start>37</start>
      <end>38</end>
      <status>modified</status>
      <modifiedWord>；</modifiedWord>
      <trackRevisions>false</trackRevisions>
    </reviewItem>
    <reviewItem>
      <errorID>1b709ef0-e453-4e44-b5f2-0085f6905317</errorID>
      <errorWord>,</errorWord>
      <group>L1_Format</group>
      <groupName>格式问题</groupName>
      <ability>L2_HalfPunc_CN</ability>
      <abilityName>全半角问题</abilityName>
      <candidateList>
        <item>，</item>
      </candidateList>
      <explain>文本全半角错误。</explain>
      <paraID>648242C4</paraID>
      <start>60</start>
      <end>61</end>
      <status>modified</status>
      <modifiedWord>，</modifiedWord>
      <trackRevisions>false</trackRevisions>
    </reviewItem>
    <reviewItem>
      <errorID>d5786b3a-8c3b-436b-8b5d-86eed1193117</errorID>
      <errorWord>,</errorWord>
      <group>L1_Format</group>
      <groupName>格式问题</groupName>
      <ability>L2_HalfPunc_CN</ability>
      <abilityName>全半角问题</abilityName>
      <candidateList>
        <item>，</item>
      </candidateList>
      <explain>文本全半角错误。</explain>
      <paraID>648242C4</paraID>
      <start>67</start>
      <end>68</end>
      <status>modified</status>
      <modifiedWord>，</modifiedWord>
      <trackRevisions>false</trackRevisions>
    </reviewItem>
    <reviewItem>
      <errorID>61c45667-a533-483d-81b0-69c7f30d4d3c</errorID>
      <errorWord>,</errorWord>
      <group>L1_Format</group>
      <groupName>格式问题</groupName>
      <ability>L2_HalfPunc_CN</ability>
      <abilityName>全半角问题</abilityName>
      <candidateList>
        <item>，</item>
      </candidateList>
      <explain>文本全半角错误。</explain>
      <paraID>648242C4</paraID>
      <start>102</start>
      <end>103</end>
      <status>modified</status>
      <modifiedWord>，</modifiedWord>
      <trackRevisions>false</trackRevisions>
    </reviewItem>
    <reviewItem>
      <errorID>093c84c4-e35b-481a-b764-a5504c3dbb9f</errorID>
      <errorWord>(</errorWord>
      <group>L1_Format</group>
      <groupName>格式问题</groupName>
      <ability>L2_HalfPunc_CN</ability>
      <abilityName>全半角问题</abilityName>
      <candidateList>
        <item>（</item>
      </candidateList>
      <explain>文本全半角错误。</explain>
      <paraID>648242C4</paraID>
      <start>118</start>
      <end>119</end>
      <status>modified</status>
      <modifiedWord>（</modifiedWord>
      <trackRevisions>false</trackRevisions>
    </reviewItem>
    <reviewItem>
      <errorID>c1547830-c02b-4ec5-8b27-4344783775d3</errorID>
      <errorWord>)</errorWord>
      <group>L1_Format</group>
      <groupName>格式问题</groupName>
      <ability>L2_HalfPunc_CN</ability>
      <abilityName>全半角问题</abilityName>
      <candidateList>
        <item>）</item>
      </candidateList>
      <explain>文本全半角错误。</explain>
      <paraID>648242C4</paraID>
      <start>121</start>
      <end>122</end>
      <status>modified</status>
      <modifiedWord>）</modifiedWord>
      <trackRevisions>false</trackRevisions>
    </reviewItem>
    <reviewItem>
      <errorID>26eba4ef-f1ea-47ac-8f51-c23acd3f8a9d</errorID>
      <errorWord>,</errorWord>
      <group>L1_Format</group>
      <groupName>格式问题</groupName>
      <ability>L2_HalfPunc_CN</ability>
      <abilityName>全半角问题</abilityName>
      <candidateList>
        <item>，</item>
      </candidateList>
      <explain>文本全半角错误。</explain>
      <paraID>648242C4</paraID>
      <start>130</start>
      <end>131</end>
      <status>modified</status>
      <modifiedWord>，</modifiedWord>
      <trackRevisions>false</trackRevisions>
    </reviewItem>
    <reviewItem>
      <errorID>f69e21de-df28-4c54-ac3c-3bc51ea6ce46</errorID>
      <errorWord>,</errorWord>
      <group>L1_Format</group>
      <groupName>格式问题</groupName>
      <ability>L2_HalfPunc_CN</ability>
      <abilityName>全半角问题</abilityName>
      <candidateList>
        <item>，</item>
      </candidateList>
      <explain>文本全半角错误。</explain>
      <paraID>648242C4</paraID>
      <start>152</start>
      <end>153</end>
      <status>modified</status>
      <modifiedWord>，</modifiedWord>
      <trackRevisions>false</trackRevisions>
    </reviewItem>
    <reviewItem>
      <errorID>0e9b65df-2ea3-436c-b697-d9952e5181be</errorID>
      <errorWord>,</errorWord>
      <group>L1_Format</group>
      <groupName>格式问题</groupName>
      <ability>L2_HalfPunc_CN</ability>
      <abilityName>全半角问题</abilityName>
      <candidateList>
        <item>，</item>
      </candidateList>
      <explain>文本全半角错误。</explain>
      <paraID>648242C4</paraID>
      <start>169</start>
      <end>170</end>
      <status>modified</status>
      <modifiedWord>，</modifiedWord>
      <trackRevisions>false</trackRevisions>
    </reviewItem>
    <reviewItem>
      <errorID>2b23bd41-a6fc-45fe-8d3f-5f51cccb199a</errorID>
      <errorWord>,</errorWord>
      <group>L1_Format</group>
      <groupName>格式问题</groupName>
      <ability>L2_HalfPunc_CN</ability>
      <abilityName>全半角问题</abilityName>
      <candidateList>
        <item>，</item>
      </candidateList>
      <explain>文本全半角错误。</explain>
      <paraID>648242C4</paraID>
      <start>178</start>
      <end>179</end>
      <status>modified</status>
      <modifiedWord>，</modifiedWord>
      <trackRevisions>false</trackRevisions>
    </reviewItem>
    <reviewItem>
      <errorID>def9f1c1-140d-42b8-852e-f9fda6116f9d</errorID>
      <errorWord>,</errorWord>
      <group>L1_Format</group>
      <groupName>格式问题</groupName>
      <ability>L2_HalfPunc_CN</ability>
      <abilityName>全半角问题</abilityName>
      <candidateList>
        <item>，</item>
      </candidateList>
      <explain>文本全半角错误。</explain>
      <paraID>648242C4</paraID>
      <start>187</start>
      <end>188</end>
      <status>modified</status>
      <modifiedWord>，</modifiedWord>
      <trackRevisions>false</trackRevisions>
    </reviewItem>
    <reviewItem>
      <errorID>e03bbf3e-fe86-4798-929b-00b8cb10c32f</errorID>
      <errorWord>,</errorWord>
      <group>L1_Format</group>
      <groupName>格式问题</groupName>
      <ability>L2_HalfPunc_CN</ability>
      <abilityName>全半角问题</abilityName>
      <candidateList>
        <item>，</item>
      </candidateList>
      <explain>文本全半角错误。</explain>
      <paraID>648242C4</paraID>
      <start>197</start>
      <end>198</end>
      <status>modified</status>
      <modifiedWord>，</modifiedWord>
      <trackRevisions>false</trackRevisions>
    </reviewItem>
    <reviewItem>
      <errorID>480e8056-5823-4bb8-8590-789546cde76a</errorID>
      <errorWord>,</errorWord>
      <group>L1_Format</group>
      <groupName>格式问题</groupName>
      <ability>L2_HalfPunc_CN</ability>
      <abilityName>全半角问题</abilityName>
      <candidateList>
        <item>，</item>
      </candidateList>
      <explain>文本全半角错误。</explain>
      <paraID>1C1385C8</paraID>
      <start>14</start>
      <end>15</end>
      <status>modified</status>
      <modifiedWord>，</modifiedWord>
      <trackRevisions>false</trackRevisions>
    </reviewItem>
    <reviewItem>
      <errorID>9facd19c-6175-41fc-8529-ef97c99f9da9</errorID>
      <errorWord>(</errorWord>
      <group>L1_Format</group>
      <groupName>格式问题</groupName>
      <ability>L2_HalfPunc_CN</ability>
      <abilityName>全半角问题</abilityName>
      <candidateList>
        <item>（</item>
      </candidateList>
      <explain>文本全半角错误。</explain>
      <paraID>1C1385C8</paraID>
      <start>56</start>
      <end>57</end>
      <status>modified</status>
      <modifiedWord>（</modifiedWord>
      <trackRevisions>false</trackRevisions>
    </reviewItem>
    <reviewItem>
      <errorID>2d7dc739-45c7-43d7-b481-f3ad9b396de9</errorID>
      <errorWord>)</errorWord>
      <group>L1_Format</group>
      <groupName>格式问题</groupName>
      <ability>L2_HalfPunc_CN</ability>
      <abilityName>全半角问题</abilityName>
      <candidateList>
        <item>）</item>
      </candidateList>
      <explain>文本全半角错误。</explain>
      <paraID>1C1385C8</paraID>
      <start>59</start>
      <end>60</end>
      <status>modified</status>
      <modifiedWord>）</modifiedWord>
      <trackRevisions>false</trackRevisions>
    </reviewItem>
    <reviewItem>
      <errorID>33c0ad1d-2cd8-466a-a6b8-b2df93608156</errorID>
      <errorWord>,</errorWord>
      <group>L1_Format</group>
      <groupName>格式问题</groupName>
      <ability>L2_HalfPunc_CN</ability>
      <abilityName>全半角问题</abilityName>
      <candidateList>
        <item>，</item>
      </candidateList>
      <explain>文本全半角错误。</explain>
      <paraID>1C1385C8</paraID>
      <start>88</start>
      <end>89</end>
      <status>modified</status>
      <modifiedWord>，</modifiedWord>
      <trackRevisions>false</trackRevisions>
    </reviewItem>
    <reviewItem>
      <errorID>b526bff1-e55f-4fd9-90b4-0d3a329208d8</errorID>
      <errorWord>,</errorWord>
      <group>L1_Format</group>
      <groupName>格式问题</groupName>
      <ability>L2_HalfPunc_CN</ability>
      <abilityName>全半角问题</abilityName>
      <candidateList>
        <item>，</item>
      </candidateList>
      <explain>文本全半角错误。</explain>
      <paraID>1C1385C8</paraID>
      <start>110</start>
      <end>111</end>
      <status>modified</status>
      <modifiedWord>，</modifiedWord>
      <trackRevisions>false</trackRevisions>
    </reviewItem>
    <reviewItem>
      <errorID>f20f179b-6a7f-4e05-b4b6-3076ad9f6103</errorID>
      <errorWord>,</errorWord>
      <group>L1_Format</group>
      <groupName>格式问题</groupName>
      <ability>L2_HalfPunc_CN</ability>
      <abilityName>全半角问题</abilityName>
      <candidateList>
        <item>，</item>
      </candidateList>
      <explain>文本全半角错误。</explain>
      <paraID>1C1385C8</paraID>
      <start>143</start>
      <end>144</end>
      <status>modified</status>
      <modifiedWord>，</modifiedWord>
      <trackRevisions>false</trackRevisions>
    </reviewItem>
    <reviewItem>
      <errorID>7fbe03cb-1c02-4bc0-b8a4-79c5e9354c98</errorID>
      <errorWord>,</errorWord>
      <group>L1_Format</group>
      <groupName>格式问题</groupName>
      <ability>L2_HalfPunc_CN</ability>
      <abilityName>全半角问题</abilityName>
      <candidateList>
        <item>，</item>
      </candidateList>
      <explain>文本全半角错误。</explain>
      <paraID>1C1385C8</paraID>
      <start>163</start>
      <end>164</end>
      <status>modified</status>
      <modifiedWord>，</modifiedWord>
      <trackRevisions>false</trackRevisions>
    </reviewItem>
    <reviewItem>
      <errorID>8e318ff5-a235-422b-9f22-31047fbaf501</errorID>
      <errorWord>;</errorWord>
      <group>L1_Format</group>
      <groupName>格式问题</groupName>
      <ability>L2_HalfPunc_CN</ability>
      <abilityName>全半角问题</abilityName>
      <candidateList>
        <item>；</item>
      </candidateList>
      <explain>文本全半角错误。</explain>
      <paraID>6070A5ED</paraID>
      <start>66</start>
      <end>67</end>
      <status>modified</status>
      <modifiedWord>；</modifiedWord>
      <trackRevisions>false</trackRevisions>
    </reviewItem>
    <reviewItem>
      <errorID>170c6e32-a1d1-49a8-8897-6fbae72d4134</errorID>
      <errorWord>(</errorWord>
      <group>L1_Format</group>
      <groupName>格式问题</groupName>
      <ability>L2_HalfPunc_CN</ability>
      <abilityName>全半角问题</abilityName>
      <candidateList>
        <item>（</item>
      </candidateList>
      <explain>文本全半角错误。</explain>
      <paraID>5BBAFC0B</paraID>
      <start>25</start>
      <end>26</end>
      <status>modified</status>
      <modifiedWord>（</modifiedWord>
      <trackRevisions>false</trackRevisions>
    </reviewItem>
    <reviewItem>
      <errorID>2ffac350-9afd-4198-8da6-289d56f0d4b4</errorID>
      <errorWord>)</errorWord>
      <group>L1_Format</group>
      <groupName>格式问题</groupName>
      <ability>L2_HalfPunc_CN</ability>
      <abilityName>全半角问题</abilityName>
      <candidateList>
        <item>）</item>
      </candidateList>
      <explain>文本全半角错误。</explain>
      <paraID>5BBAFC0B</paraID>
      <start>34</start>
      <end>35</end>
      <status>modified</status>
      <modifiedWord>）</modifiedWord>
      <trackRevisions>false</trackRevisions>
    </reviewItem>
    <reviewItem>
      <errorID>59f3b222-4ad1-426b-aa57-48ad7c6d8066</errorID>
      <errorWord>(</errorWord>
      <group>L1_Format</group>
      <groupName>格式问题</groupName>
      <ability>L2_HalfPunc_CN</ability>
      <abilityName>全半角问题</abilityName>
      <candidateList>
        <item>（</item>
      </candidateList>
      <explain>文本全半角错误。</explain>
      <paraID>5BBAFC0B</paraID>
      <start>87</start>
      <end>88</end>
      <status>modified</status>
      <modifiedWord>（</modifiedWord>
      <trackRevisions>false</trackRevisions>
    </reviewItem>
    <reviewItem>
      <errorID>8b8b9e07-896e-425d-9469-bd49b75d5731</errorID>
      <errorWord>)</errorWord>
      <group>L1_Format</group>
      <groupName>格式问题</groupName>
      <ability>L2_HalfPunc_CN</ability>
      <abilityName>全半角问题</abilityName>
      <candidateList>
        <item>）</item>
      </candidateList>
      <explain>文本全半角错误。</explain>
      <paraID>5BBAFC0B</paraID>
      <start>97</start>
      <end>98</end>
      <status>modified</status>
      <modifiedWord>）</modifiedWord>
      <trackRevisions>false</trackRevisions>
    </reviewItem>
    <reviewItem>
      <errorID>12d6e990-3637-4cfa-8e28-9d46bfa24a62</errorID>
      <errorWord>(</errorWord>
      <group>L1_Format</group>
      <groupName>格式问题</groupName>
      <ability>L2_HalfPunc_CN</ability>
      <abilityName>全半角问题</abilityName>
      <candidateList>
        <item>（</item>
      </candidateList>
      <explain>文本全半角错误。</explain>
      <paraID>5A4E52FA</paraID>
      <start>41</start>
      <end>42</end>
      <status>modified</status>
      <modifiedWord>（</modifiedWord>
      <trackRevisions>false</trackRevisions>
    </reviewItem>
    <reviewItem>
      <errorID>8a2dd28a-c4de-4f63-b72e-e58d984e6815</errorID>
      <errorWord>)</errorWord>
      <group>L1_Format</group>
      <groupName>格式问题</groupName>
      <ability>L2_HalfPunc_CN</ability>
      <abilityName>全半角问题</abilityName>
      <candidateList>
        <item>）</item>
      </candidateList>
      <explain>文本全半角错误。</explain>
      <paraID>5A4E52FA</paraID>
      <start>52</start>
      <end>53</end>
      <status>modified</status>
      <modifiedWord>）</modifiedWord>
      <trackRevisions>false</trackRevisions>
    </reviewItem>
    <reviewItem>
      <errorID>b711b625-75d1-4629-b879-173bef753ed3</errorID>
      <errorWord>,</errorWord>
      <group>L1_Format</group>
      <groupName>格式问题</groupName>
      <ability>L2_HalfPunc_CN</ability>
      <abilityName>全半角问题</abilityName>
      <candidateList>
        <item>，</item>
      </candidateList>
      <explain>文本全半角错误。</explain>
      <paraID>3C85FD84</paraID>
      <start>21</start>
      <end>22</end>
      <status>modified</status>
      <modifiedWord>，</modifiedWord>
      <trackRevisions>false</trackRevisions>
    </reviewItem>
    <reviewItem>
      <errorID>77d26611-6b7f-4609-9414-e162bde5bcd9</errorID>
      <errorWord>【2020】46号</errorWord>
      <group>L1_Knowledge</group>
      <groupName>知识性问题</groupName>
      <ability>L2_Knowledge</ability>
      <abilityName>其他知识</abilityName>
      <candidateList>
        <item>〔2020〕46号</item>
      </candidateList>
      <explain>发文字号格式错误。</explain>
      <paraID>773395CF</paraID>
      <start>36</start>
      <end>45</end>
      <status>unmodified</status>
      <modifiedWord/>
      <trackRevisions>false</trackRevisions>
    </reviewItem>
    <reviewItem>
      <errorID>c66c02d1-7c4f-40ff-b6e1-915c4d7535a4</errorID>
      <errorWord>[2011]300号</errorWord>
      <group>L1_Knowledge</group>
      <groupName>知识性问题</groupName>
      <ability>L2_Knowledge</ability>
      <abilityName>其他知识</abilityName>
      <candidateList>
        <item>〔2011〕300号</item>
      </candidateList>
      <explain>发文字号格式错误。</explain>
      <paraID>2061CA97</paraID>
      <start>21</start>
      <end>31</end>
      <status>unmodified</status>
      <modifiedWord/>
      <trackRevisions>false</trackRevisions>
    </reviewItem>
    <reviewItem>
      <errorID>fe09a479-d505-4f2c-8bd9-77d8663731f7</errorID>
      <errorWord>【2020】46号</errorWord>
      <group>L1_Knowledge</group>
      <groupName>知识性问题</groupName>
      <ability>L2_Knowledge</ability>
      <abilityName>其他知识</abilityName>
      <candidateList>
        <item>〔2020〕46号</item>
      </candidateList>
      <explain>发文字号格式错误。</explain>
      <paraID>7633285F</paraID>
      <start>36</start>
      <end>45</end>
      <status>unmodified</status>
      <modifiedWord/>
      <trackRevisions>false</trackRevisions>
    </reviewItem>
    <reviewItem>
      <errorID>70f0dda1-cd03-4aa8-aef3-795567d1346c</errorID>
      <errorWord>[2011]300号</errorWord>
      <group>L1_Knowledge</group>
      <groupName>知识性问题</groupName>
      <ability>L2_Knowledge</ability>
      <abilityName>其他知识</abilityName>
      <candidateList>
        <item>〔2011〕300号</item>
      </candidateList>
      <explain>发文字号格式错误。</explain>
      <paraID> 827FA61</paraID>
      <start>21</start>
      <end>31</end>
      <status>unmodified</status>
      <modifiedWord/>
      <trackRevisions>false</trackRevisions>
    </reviewItem>
    <reviewItem>
      <errorID>dcb60c98-c7d2-453f-8024-2491460fbd79</errorID>
      <errorWord>〔2017〕 141号</errorWord>
      <group>L1_Knowledge</group>
      <groupName>知识性问题</groupName>
      <ability>L2_Knowledge</ability>
      <abilityName>其他知识</abilityName>
      <candidateList>
        <item>〔2017〕141号</item>
      </candidateList>
      <explain>发文字号格式错误。</explain>
      <paraID>32BA1034</paraID>
      <start>49</start>
      <end>60</end>
      <status>unmodified</status>
      <modifiedWord/>
      <trackRevisions>false</trackRevisions>
    </reviewItem>
    <reviewItem>
      <errorID>8015bd40-472c-4fa0-b7cb-c646ba2bd6d4</errorID>
      <errorWord>法律、法规</errorWord>
      <group>L1_Word</group>
      <groupName>字词问题</groupName>
      <ability>L2_Typo</ability>
      <abilityName>字词错误</abilityName>
      <candidateList>
        <item>法律法规</item>
      </candidateList>
      <explain/>
      <paraID>4BC47C3A</paraID>
      <start>8</start>
      <end>13</end>
      <status>unmodified</status>
      <modifiedWord/>
      <trackRevisions>false</trackRevisions>
    </reviewItem>
    <reviewItem>
      <errorID>abaede22-2b9c-4396-aaec-864ab205328b</errorID>
      <errorWord>虚假成份</errorWord>
      <group>L1_Word</group>
      <groupName>字词问题</groupName>
      <ability>L2_Variant</ability>
      <abilityName>异形词</abilityName>
      <candidateList>
        <item>虚假成分</item>
      </candidateList>
      <explain>词汇[虚假成份]的规范词形写作[虚假成分]。</explain>
      <paraID>17173379</paraID>
      <start>67</start>
      <end>71</end>
      <status>unmodified</status>
      <modifiedWord/>
      <trackRevisions>false</trackRevisions>
    </reviewItem>
    <reviewItem>
      <errorID>4fadd931-5b0f-46cf-8564-b152dd02e3af</errorID>
      <errorWord>间</errorWord>
      <group>L1_Word</group>
      <groupName>字词问题</groupName>
      <ability>L2_Typo</ability>
      <abilityName>字词错误</abilityName>
      <candidateList>
        <item>间内</item>
      </candidateList>
      <explain/>
      <paraID>40A982F6</paraID>
      <start>47</start>
      <end>49</end>
      <status>modified</status>
      <modifiedWord>间内</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20DFECB-08D3-42C7-B63C-2E1C6B4B3B2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周工</cp:lastModifiedBy>
  <cp:revision>1</cp:revision>
  <dcterms:created xsi:type="dcterms:W3CDTF">2021-08-20T01:26:00Z</dcterms:created>
  <dcterms:modified xsi:type="dcterms:W3CDTF">2026-09-23T00:38:28Z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3B43442DF94A4502A31ED40CA287102E</vt:lpwstr>
  </property>
  <property fmtid="{D5CDD505-2E9C-101B-9397-08002B2CF9AE}" pid="4" name="KSOTemplateDocerSaveRecord">
    <vt:lpwstr>eyJoZGlkIjoiM2M2ZTAyNmViYjczMzI0ZmEzOTQ0MzZhZTJjYmI3YzQiLCJ1c2VySWQiOiIxMjA2MDYzOTIxIn0=</vt:lpwstr>
  </property>
</Properties>
</file>