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56"/>
        <w:ind w:firstLine="880"/>
        <w:rPr>
          <w:rFonts w:ascii="黑体" w:hAnsi="宋体" w:eastAsia="黑体"/>
          <w:color w:val="auto"/>
          <w:sz w:val="44"/>
          <w:highlight w:val="none"/>
        </w:rPr>
      </w:pPr>
      <w:r>
        <w:rPr>
          <w:rFonts w:ascii="黑体" w:hAnsi="宋体" w:eastAsia="黑体"/>
          <w:color w:val="auto"/>
          <w:sz w:val="44"/>
          <w:highlight w:val="none"/>
        </w:rPr>
      </w:r>
      <w:r/>
    </w:p>
    <w:p>
      <w:pPr>
        <w:pStyle w:val="956"/>
        <w:ind w:firstLine="880"/>
        <w:rPr>
          <w:rFonts w:ascii="黑体" w:hAnsi="宋体" w:eastAsia="黑体"/>
          <w:color w:val="auto"/>
          <w:sz w:val="44"/>
          <w:highlight w:val="none"/>
        </w:rPr>
      </w:pPr>
      <w:r>
        <w:rPr>
          <w:rFonts w:ascii="黑体" w:hAnsi="宋体" w:eastAsia="黑体"/>
          <w:color w:val="auto"/>
          <w:sz w:val="44"/>
          <w:highlight w:val="none"/>
        </w:rPr>
      </w:r>
      <w:r/>
    </w:p>
    <w:tbl>
      <w:tblPr>
        <w:tblStyle w:val="895"/>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eastAsia="zh-CN"/>
              </w:rPr>
              <w:t xml:space="preserve">JSZC-320000-SMDG-G2026-0103</w:t>
            </w:r>
            <w:r/>
          </w:p>
          <w:p>
            <w:pPr>
              <w:ind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2200"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eastAsia="zh-CN"/>
              </w:rPr>
              <w:t xml:space="preserve">南京博物院保安外包服务项目</w:t>
            </w:r>
            <w:r/>
          </w:p>
        </w:tc>
      </w:tr>
    </w:tbl>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spacing w:line="288" w:lineRule="auto"/>
        <w:rPr>
          <w:rFonts w:ascii="黑体" w:hAnsi="宋体" w:eastAsia="黑体"/>
          <w:color w:val="auto"/>
          <w:sz w:val="44"/>
          <w:szCs w:val="44"/>
          <w:highlight w:val="none"/>
        </w:rPr>
      </w:pPr>
      <w:r>
        <w:rPr>
          <w:rFonts w:ascii="黑体" w:hAnsi="宋体" w:eastAsia="黑体"/>
          <w:color w:val="auto"/>
          <w:sz w:val="44"/>
          <w:szCs w:val="44"/>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十</w:t>
      </w:r>
      <w:r>
        <w:rPr>
          <w:rFonts w:hint="eastAsia" w:ascii="黑体" w:hAnsi="宋体" w:eastAsia="黑体"/>
          <w:color w:val="auto"/>
          <w:sz w:val="44"/>
          <w:highlight w:val="none"/>
        </w:rPr>
        <w:t xml:space="preserve">月</w:t>
      </w:r>
      <w:r/>
    </w:p>
    <w:p>
      <w:pPr>
        <w:ind w:firstLine="425"/>
        <w:jc w:val="center"/>
        <w:spacing w:line="288" w:lineRule="auto"/>
        <w:rPr>
          <w:rFonts w:ascii="黑体" w:hAnsi="宋体" w:eastAsia="黑体"/>
          <w:color w:val="auto"/>
          <w:sz w:val="44"/>
          <w:highlight w:val="none"/>
        </w:rPr>
        <w:sectPr>
          <w:headerReference w:type="even" r:id="rId9"/>
          <w:footerReference w:type="default" r:id="rId11"/>
          <w:footerReference w:type="even" r:id="rId12"/>
          <w:footerReference w:type="first" r:id="rId13"/>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firstLine="425"/>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spacing w:line="288" w:lineRule="auto"/>
        <w:rPr>
          <w:rFonts w:ascii="宋体" w:hAnsi="宋体"/>
          <w:color w:val="auto"/>
          <w:szCs w:val="21"/>
          <w:highlight w:val="none"/>
        </w:rPr>
      </w:pPr>
      <w:r>
        <w:rPr>
          <w:rFonts w:ascii="宋体" w:hAnsi="宋体"/>
          <w:color w:val="auto"/>
          <w:szCs w:val="21"/>
          <w:highlight w:val="none"/>
        </w:rPr>
      </w:r>
      <w:r/>
    </w:p>
    <w:p>
      <w:pPr>
        <w:pStyle w:val="1325"/>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pStyle w:val="1325"/>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南京博物院保安外包服务项目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文件，并于202</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10月30日09:30</w:t>
      </w:r>
      <w:r>
        <w:rPr>
          <w:rFonts w:hint="eastAsia" w:ascii="宋体" w:hAnsi="宋体" w:eastAsia="宋体"/>
          <w:color w:val="auto"/>
          <w:sz w:val="21"/>
          <w:szCs w:val="21"/>
          <w:highlight w:val="none"/>
        </w:rPr>
        <w:t xml:space="preserve">（北京时间）前提交</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w:t>
      </w:r>
      <w:r/>
    </w:p>
    <w:p>
      <w:pPr>
        <w:ind w:firstLine="422"/>
        <w:spacing w:line="360" w:lineRule="auto"/>
        <w:rPr>
          <w:rFonts w:ascii="宋体" w:hAnsi="宋体" w:eastAsia="宋体"/>
          <w:b/>
          <w:bCs/>
          <w:color w:val="auto"/>
          <w:sz w:val="21"/>
          <w:szCs w:val="21"/>
          <w:highlight w:val="none"/>
        </w:rPr>
      </w:pPr>
      <w:r/>
      <w:bookmarkStart w:id="0" w:name="_Toc35393790"/>
      <w:r/>
      <w:bookmarkStart w:id="1" w:name="_Toc35393621"/>
      <w:r/>
      <w:bookmarkStart w:id="2" w:name="_Toc28359079"/>
      <w:r/>
      <w:bookmarkStart w:id="3" w:name="_Toc28359002"/>
      <w:r>
        <w:rPr>
          <w:rFonts w:hint="eastAsia" w:ascii="宋体" w:hAnsi="宋体" w:eastAsia="宋体"/>
          <w:b/>
          <w:bCs/>
          <w:color w:val="auto"/>
          <w:sz w:val="21"/>
          <w:szCs w:val="21"/>
          <w:highlight w:val="none"/>
        </w:rPr>
        <w:t xml:space="preserve">一、项目基本情况</w:t>
      </w:r>
      <w:bookmarkEnd w:id="0"/>
      <w:r/>
      <w:bookmarkEnd w:id="1"/>
      <w:r/>
      <w:bookmarkEnd w:id="2"/>
      <w:r/>
      <w:bookmarkEnd w:id="3"/>
      <w:r/>
      <w:r/>
    </w:p>
    <w:p>
      <w:pPr>
        <w:ind w:firstLine="422"/>
        <w:spacing w:line="360" w:lineRule="auto"/>
        <w:rPr>
          <w:rFonts w:hint="eastAsia" w:ascii="宋体" w:hAnsi="宋体" w:eastAsia="宋体"/>
          <w:b w:val="0"/>
          <w:bCs w:val="0"/>
          <w:color w:val="auto"/>
          <w:sz w:val="21"/>
          <w:szCs w:val="21"/>
          <w:highlight w:val="none"/>
          <w:lang w:eastAsia="zh-CN"/>
        </w:rPr>
      </w:pPr>
      <w:r>
        <w:rPr>
          <w:rFonts w:hint="eastAsia" w:ascii="宋体" w:hAnsi="宋体" w:eastAsia="宋体"/>
          <w:b/>
          <w:bCs/>
          <w:color w:val="auto"/>
          <w:sz w:val="21"/>
          <w:szCs w:val="21"/>
          <w:highlight w:val="none"/>
        </w:rPr>
        <w:t xml:space="preserve">项目编号：</w:t>
      </w:r>
      <w:r>
        <w:rPr>
          <w:rFonts w:hint="eastAsia" w:ascii="宋体" w:hAnsi="宋体" w:eastAsia="宋体"/>
          <w:b w:val="0"/>
          <w:bCs w:val="0"/>
          <w:color w:val="auto"/>
          <w:sz w:val="21"/>
          <w:szCs w:val="21"/>
          <w:highlight w:val="none"/>
          <w:lang w:eastAsia="zh-CN"/>
        </w:rPr>
        <w:t xml:space="preserve">JSZC-320000-SMDG-G2026-0103</w:t>
      </w:r>
      <w:r/>
    </w:p>
    <w:p>
      <w:pPr>
        <w:ind w:firstLine="422"/>
        <w:spacing w:line="360" w:lineRule="auto"/>
        <w:rPr>
          <w:rFonts w:hint="eastAsia" w:ascii="宋体" w:hAnsi="宋体" w:eastAsia="宋体"/>
          <w:color w:val="auto"/>
          <w:sz w:val="21"/>
          <w:szCs w:val="21"/>
          <w:highlight w:val="none"/>
          <w:lang w:eastAsia="zh-CN"/>
        </w:rPr>
      </w:pPr>
      <w:r>
        <w:rPr>
          <w:rFonts w:hint="eastAsia" w:ascii="宋体" w:hAnsi="宋体" w:eastAsia="宋体"/>
          <w:b/>
          <w:bCs/>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南京博物院保安外包服务项目</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采购预算：</w:t>
      </w:r>
      <w:r>
        <w:rPr>
          <w:rFonts w:hint="eastAsia" w:ascii="宋体" w:hAnsi="宋体" w:eastAsia="宋体"/>
          <w:color w:val="auto"/>
          <w:sz w:val="21"/>
          <w:szCs w:val="21"/>
          <w:highlight w:val="none"/>
          <w:lang w:val="en-US" w:eastAsia="zh-CN"/>
        </w:rPr>
        <w:t xml:space="preserve">388</w:t>
      </w:r>
      <w:r>
        <w:rPr>
          <w:rFonts w:hint="eastAsia" w:ascii="宋体" w:hAnsi="宋体" w:eastAsia="宋体"/>
          <w:color w:val="auto"/>
          <w:sz w:val="21"/>
          <w:szCs w:val="21"/>
          <w:highlight w:val="none"/>
        </w:rPr>
        <w:t xml:space="preserve">万元</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其中</w:t>
      </w:r>
      <w:r>
        <w:rPr>
          <w:rFonts w:hint="eastAsia" w:ascii="宋体" w:hAnsi="宋体" w:eastAsia="宋体" w:cs="宋体"/>
          <w:color w:val="auto"/>
          <w:szCs w:val="21"/>
          <w:highlight w:val="none"/>
        </w:rPr>
        <w:t xml:space="preserve">常规部分最高限价</w:t>
      </w:r>
      <w:r>
        <w:rPr>
          <w:rFonts w:hint="eastAsia" w:ascii="宋体" w:hAnsi="宋体" w:eastAsia="宋体" w:cs="宋体"/>
          <w:color w:val="auto"/>
          <w:szCs w:val="21"/>
          <w:highlight w:val="none"/>
          <w:lang w:val="en-US" w:eastAsia="zh-CN"/>
        </w:rPr>
        <w:t xml:space="preserve">356</w:t>
      </w:r>
      <w:r>
        <w:rPr>
          <w:rFonts w:hint="eastAsia" w:ascii="宋体" w:hAnsi="宋体" w:eastAsia="宋体" w:cs="宋体"/>
          <w:color w:val="auto"/>
          <w:szCs w:val="21"/>
          <w:highlight w:val="none"/>
        </w:rPr>
        <w:t xml:space="preserve">万元</w:t>
      </w:r>
      <w:r>
        <w:rPr>
          <w:rFonts w:hint="eastAsia" w:eastAsia="宋体"/>
          <w:color w:val="auto"/>
          <w:highlight w:val="none"/>
          <w:lang w:eastAsia="zh-CN"/>
        </w:rPr>
        <w:t xml:space="preserve">；</w:t>
      </w:r>
      <w:r>
        <w:rPr>
          <w:rFonts w:hint="eastAsia" w:eastAsia="宋体"/>
          <w:color w:val="auto"/>
          <w:highlight w:val="none"/>
          <w:lang w:val="en-US" w:eastAsia="zh-CN"/>
        </w:rPr>
        <w:t xml:space="preserve">浮动费用</w:t>
      </w:r>
      <w:r>
        <w:rPr>
          <w:rFonts w:hint="eastAsia" w:ascii="宋体" w:hAnsi="宋体" w:eastAsia="宋体" w:cs="宋体"/>
          <w:color w:val="auto"/>
          <w:sz w:val="21"/>
          <w:szCs w:val="21"/>
          <w:highlight w:val="none"/>
          <w:lang w:val="en-US" w:eastAsia="zh-CN"/>
        </w:rPr>
        <w:t xml:space="preserve">（加班费）32万元，</w:t>
      </w:r>
      <w:r>
        <w:rPr>
          <w:rFonts w:hint="eastAsia"/>
          <w:color w:val="auto"/>
          <w:highlight w:val="none"/>
          <w:lang w:val="en-US" w:eastAsia="zh-CN"/>
        </w:rPr>
        <w:t xml:space="preserve">浮动费用参照南京市当年最低工资标准作为基数，按采购人要求实际加班时长核算。</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最高限价：</w:t>
      </w:r>
      <w:r>
        <w:rPr>
          <w:rFonts w:hint="eastAsia" w:ascii="宋体" w:hAnsi="宋体" w:eastAsia="宋体"/>
          <w:color w:val="auto"/>
          <w:sz w:val="21"/>
          <w:szCs w:val="21"/>
          <w:highlight w:val="none"/>
          <w:lang w:val="en-US" w:eastAsia="zh-CN"/>
        </w:rPr>
        <w:t xml:space="preserve">388</w:t>
      </w:r>
      <w:r>
        <w:rPr>
          <w:rFonts w:hint="eastAsia" w:ascii="宋体" w:hAnsi="宋体" w:eastAsia="宋体"/>
          <w:color w:val="auto"/>
          <w:sz w:val="21"/>
          <w:szCs w:val="21"/>
          <w:highlight w:val="none"/>
        </w:rPr>
        <w:t xml:space="preserve">万元</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其中</w:t>
      </w:r>
      <w:r>
        <w:rPr>
          <w:rFonts w:hint="eastAsia" w:ascii="宋体" w:hAnsi="宋体" w:eastAsia="宋体" w:cs="宋体"/>
          <w:color w:val="auto"/>
          <w:szCs w:val="21"/>
          <w:highlight w:val="none"/>
        </w:rPr>
        <w:t xml:space="preserve">常规部分最高限价</w:t>
      </w:r>
      <w:r>
        <w:rPr>
          <w:rFonts w:hint="eastAsia" w:ascii="宋体" w:hAnsi="宋体" w:eastAsia="宋体" w:cs="宋体"/>
          <w:color w:val="auto"/>
          <w:szCs w:val="21"/>
          <w:highlight w:val="none"/>
          <w:lang w:val="en-US" w:eastAsia="zh-CN"/>
        </w:rPr>
        <w:t xml:space="preserve">356</w:t>
      </w:r>
      <w:r>
        <w:rPr>
          <w:rFonts w:hint="eastAsia" w:ascii="宋体" w:hAnsi="宋体" w:eastAsia="宋体" w:cs="宋体"/>
          <w:color w:val="auto"/>
          <w:szCs w:val="21"/>
          <w:highlight w:val="none"/>
        </w:rPr>
        <w:t xml:space="preserve">万元</w:t>
      </w:r>
      <w:r>
        <w:rPr>
          <w:rFonts w:hint="eastAsia" w:eastAsia="宋体"/>
          <w:color w:val="auto"/>
          <w:highlight w:val="none"/>
          <w:lang w:eastAsia="zh-CN"/>
        </w:rPr>
        <w:t xml:space="preserve">；</w:t>
      </w:r>
      <w:r>
        <w:rPr>
          <w:rFonts w:hint="eastAsia" w:eastAsia="宋体"/>
          <w:color w:val="auto"/>
          <w:highlight w:val="none"/>
          <w:lang w:val="en-US" w:eastAsia="zh-CN"/>
        </w:rPr>
        <w:t xml:space="preserve">浮动费用</w:t>
      </w:r>
      <w:r>
        <w:rPr>
          <w:rFonts w:hint="eastAsia" w:ascii="宋体" w:hAnsi="宋体" w:eastAsia="宋体" w:cs="宋体"/>
          <w:color w:val="auto"/>
          <w:sz w:val="21"/>
          <w:szCs w:val="21"/>
          <w:highlight w:val="none"/>
          <w:lang w:val="en-US" w:eastAsia="zh-CN"/>
        </w:rPr>
        <w:t xml:space="preserve">（加班费）32万元，</w:t>
      </w:r>
      <w:r>
        <w:rPr>
          <w:rFonts w:hint="eastAsia"/>
          <w:color w:val="auto"/>
          <w:highlight w:val="none"/>
          <w:lang w:val="en-US" w:eastAsia="zh-CN"/>
        </w:rPr>
        <w:t xml:space="preserve">浮动费用参照南京市当年最低工资标准作为基数，按采购人要求实际加班时长核算。</w:t>
      </w:r>
      <w:r>
        <w:rPr>
          <w:rFonts w:hint="eastAsia" w:asciiTheme="minorEastAsia" w:hAnsiTheme="minorEastAsia" w:eastAsiaTheme="minorEastAsia" w:cstheme="minorEastAsia"/>
          <w:bCs/>
          <w:color w:val="auto"/>
          <w:sz w:val="21"/>
          <w:szCs w:val="21"/>
          <w:highlight w:val="none"/>
          <w:lang w:val="en-US"/>
        </w:rPr>
        <w:t xml:space="preserve">供应商的投标报价不得高于最高限价，否则作无效投标处理。</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采购需求简介：</w:t>
      </w:r>
      <w:r>
        <w:rPr>
          <w:rFonts w:hint="eastAsia" w:ascii="宋体" w:hAnsi="宋体" w:eastAsia="宋体"/>
          <w:color w:val="auto"/>
          <w:sz w:val="21"/>
          <w:szCs w:val="21"/>
          <w:highlight w:val="none"/>
          <w:lang w:val="en-US" w:eastAsia="zh-CN"/>
        </w:rPr>
        <w:t xml:space="preserve">南京博物院保安外包服务项目，</w:t>
      </w:r>
      <w:r>
        <w:rPr>
          <w:rFonts w:hint="eastAsia" w:ascii="宋体" w:hAnsi="宋体" w:eastAsia="宋体" w:cs="宋体"/>
          <w:color w:val="auto"/>
          <w:szCs w:val="21"/>
          <w:highlight w:val="none"/>
        </w:rPr>
        <w:t xml:space="preserve">工作日加班费：</w:t>
      </w:r>
      <w:r>
        <w:rPr>
          <w:rFonts w:hint="eastAsia" w:ascii="宋体" w:hAnsi="宋体" w:eastAsia="宋体" w:cs="宋体"/>
          <w:color w:val="auto"/>
          <w:szCs w:val="21"/>
          <w:highlight w:val="none"/>
          <w:lang w:val="en-US" w:eastAsia="zh-CN"/>
        </w:rPr>
        <w:t xml:space="preserve">浮动费用基数</w:t>
      </w:r>
      <w:r>
        <w:rPr>
          <w:rFonts w:hint="eastAsia" w:ascii="宋体" w:hAnsi="宋体" w:eastAsia="宋体" w:cs="宋体"/>
          <w:color w:val="auto"/>
          <w:szCs w:val="21"/>
          <w:highlight w:val="none"/>
        </w:rPr>
        <w:t xml:space="preserve">*1.5、休息日加班费：</w:t>
      </w:r>
      <w:r>
        <w:rPr>
          <w:rFonts w:hint="eastAsia" w:ascii="宋体" w:hAnsi="宋体" w:eastAsia="宋体" w:cs="宋体"/>
          <w:color w:val="auto"/>
          <w:szCs w:val="21"/>
          <w:highlight w:val="none"/>
          <w:lang w:val="en-US" w:eastAsia="zh-CN"/>
        </w:rPr>
        <w:t xml:space="preserve">浮动费用基数</w:t>
      </w:r>
      <w:r>
        <w:rPr>
          <w:rFonts w:hint="eastAsia" w:ascii="宋体" w:hAnsi="宋体" w:eastAsia="宋体" w:cs="宋体"/>
          <w:color w:val="auto"/>
          <w:szCs w:val="21"/>
          <w:highlight w:val="none"/>
        </w:rPr>
        <w:t xml:space="preserve">*2、法定休假日加班费：</w:t>
      </w:r>
      <w:r>
        <w:rPr>
          <w:rFonts w:hint="eastAsia" w:ascii="宋体" w:hAnsi="宋体" w:eastAsia="宋体" w:cs="宋体"/>
          <w:color w:val="auto"/>
          <w:szCs w:val="21"/>
          <w:highlight w:val="none"/>
          <w:lang w:val="en-US" w:eastAsia="zh-CN"/>
        </w:rPr>
        <w:t xml:space="preserve">浮动费用基数</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olor w:val="auto"/>
          <w:sz w:val="21"/>
          <w:szCs w:val="21"/>
          <w:highlight w:val="none"/>
          <w:lang w:val="en-US"/>
        </w:rPr>
        <w:t xml:space="preserve">具体要求</w:t>
      </w:r>
      <w:r>
        <w:rPr>
          <w:rFonts w:hint="eastAsia" w:ascii="宋体" w:hAnsi="宋体" w:eastAsia="宋体"/>
          <w:color w:val="auto"/>
          <w:sz w:val="21"/>
          <w:szCs w:val="21"/>
          <w:highlight w:val="none"/>
        </w:rPr>
        <w:t xml:space="preserve">详见第四章。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合同履行期限：</w:t>
      </w:r>
      <w:r>
        <w:rPr>
          <w:rFonts w:hint="eastAsia" w:ascii="宋体" w:hAnsi="宋体" w:eastAsia="宋体"/>
          <w:b w:val="0"/>
          <w:bCs w:val="0"/>
          <w:color w:val="auto"/>
          <w:sz w:val="21"/>
          <w:szCs w:val="21"/>
          <w:highlight w:val="none"/>
          <w:lang w:val="en-US" w:eastAsia="zh-CN"/>
        </w:rPr>
        <w:t xml:space="preserve">20</w:t>
      </w:r>
      <w:r>
        <w:rPr>
          <w:rFonts w:hint="eastAsia" w:ascii="宋体" w:hAnsi="宋体" w:eastAsia="宋体"/>
          <w:b w:val="0"/>
          <w:bCs w:val="0"/>
          <w:color w:val="auto"/>
          <w:sz w:val="21"/>
          <w:szCs w:val="21"/>
          <w:highlight w:val="none"/>
        </w:rPr>
        <w:t xml:space="preserve">26年12月到</w:t>
      </w:r>
      <w:r>
        <w:rPr>
          <w:rFonts w:hint="eastAsia" w:ascii="宋体" w:hAnsi="宋体" w:eastAsia="宋体"/>
          <w:b w:val="0"/>
          <w:bCs w:val="0"/>
          <w:color w:val="auto"/>
          <w:sz w:val="21"/>
          <w:szCs w:val="21"/>
          <w:highlight w:val="none"/>
          <w:lang w:val="en-US" w:eastAsia="zh-CN"/>
        </w:rPr>
        <w:t xml:space="preserve">20</w:t>
      </w:r>
      <w:r>
        <w:rPr>
          <w:rFonts w:hint="eastAsia" w:ascii="宋体" w:hAnsi="宋体" w:eastAsia="宋体"/>
          <w:b w:val="0"/>
          <w:bCs w:val="0"/>
          <w:color w:val="auto"/>
          <w:sz w:val="21"/>
          <w:szCs w:val="21"/>
          <w:highlight w:val="none"/>
        </w:rPr>
        <w:t xml:space="preserve">27年11月</w:t>
      </w:r>
      <w:r>
        <w:rPr>
          <w:rFonts w:hint="eastAsia" w:ascii="宋体" w:hAnsi="宋体" w:eastAsia="宋体"/>
          <w:b w:val="0"/>
          <w:bCs w:val="0"/>
          <w:color w:val="auto"/>
          <w:sz w:val="21"/>
          <w:szCs w:val="21"/>
          <w:highlight w:val="none"/>
          <w:lang w:val="en-US" w:eastAsia="zh-CN"/>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联合体投标。</w:t>
      </w:r>
      <w:r/>
    </w:p>
    <w:p>
      <w:pPr>
        <w:pStyle w:val="1326"/>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本项目中标后</w:t>
      </w:r>
      <w:r>
        <w:rPr>
          <w:rFonts w:hint="eastAsia" w:ascii="宋体" w:hAnsi="宋体" w:eastAsia="宋体"/>
          <w:b/>
          <w:bCs/>
          <w:color w:val="auto"/>
          <w:sz w:val="21"/>
          <w:szCs w:val="21"/>
          <w:highlight w:val="none"/>
        </w:rPr>
        <w:t xml:space="preserve">不允许</w:t>
      </w:r>
      <w:r>
        <w:rPr>
          <w:rFonts w:hint="eastAsia" w:ascii="宋体" w:hAnsi="宋体" w:eastAsia="宋体"/>
          <w:color w:val="auto"/>
          <w:sz w:val="21"/>
          <w:szCs w:val="21"/>
          <w:highlight w:val="none"/>
        </w:rPr>
        <w:t xml:space="preserve">转包、分包。</w:t>
      </w:r>
      <w:r/>
    </w:p>
    <w:p>
      <w:pPr>
        <w:numPr>
          <w:ilvl w:val="0"/>
          <w:numId w:val="6"/>
        </w:num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申请人的资格要求：</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2.1满足《中华人民共和国政府采购法》第二十二条规定：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）具有良好的商业信誉和健全的财务会计制度，提供</w:t>
      </w:r>
      <w:r>
        <w:rPr>
          <w:rFonts w:hint="eastAsia" w:ascii="宋体" w:hAnsi="宋体" w:eastAsia="宋体"/>
          <w:b/>
          <w:color w:val="auto"/>
          <w:sz w:val="21"/>
          <w:szCs w:val="21"/>
          <w:highlight w:val="none"/>
          <w:lang w:eastAsia="zh-CN"/>
        </w:rPr>
        <w:t xml:space="preserve">2026年5月-2026年10月</w:t>
      </w:r>
      <w:r>
        <w:rPr>
          <w:rFonts w:hint="eastAsia" w:ascii="宋体" w:hAnsi="宋体" w:eastAsia="宋体"/>
          <w:color w:val="auto"/>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 xml:space="preserve">2026年5月-2026年10月</w:t>
      </w:r>
      <w:r>
        <w:rPr>
          <w:rFonts w:hint="eastAsia" w:ascii="宋体" w:hAnsi="宋体" w:eastAsia="宋体"/>
          <w:color w:val="auto"/>
          <w:sz w:val="21"/>
          <w:szCs w:val="21"/>
          <w:highlight w:val="none"/>
        </w:rPr>
        <w:t xml:space="preserve">内），或</w:t>
      </w:r>
      <w:r>
        <w:rPr>
          <w:rFonts w:hint="eastAsia" w:ascii="宋体" w:hAnsi="宋体" w:eastAsia="宋体"/>
          <w:color w:val="auto"/>
          <w:sz w:val="21"/>
          <w:szCs w:val="21"/>
          <w:highlight w:val="none"/>
          <w:lang w:val="en-US"/>
        </w:rPr>
        <w:t xml:space="preserve">2025</w:t>
      </w:r>
      <w:r>
        <w:rPr>
          <w:rFonts w:hint="eastAsia" w:ascii="宋体" w:hAnsi="宋体" w:eastAsia="宋体"/>
          <w:color w:val="auto"/>
          <w:sz w:val="21"/>
          <w:szCs w:val="21"/>
          <w:highlight w:val="none"/>
        </w:rPr>
        <w:t xml:space="preserve">年度经审计的财务报告复印件加盖公章；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）有依法缴纳税收的良好记录，提供</w:t>
      </w:r>
      <w:r>
        <w:rPr>
          <w:rFonts w:hint="eastAsia" w:ascii="宋体" w:hAnsi="宋体" w:eastAsia="宋体"/>
          <w:b/>
          <w:color w:val="auto"/>
          <w:sz w:val="21"/>
          <w:szCs w:val="21"/>
          <w:highlight w:val="none"/>
          <w:lang w:eastAsia="zh-CN"/>
        </w:rPr>
        <w:t xml:space="preserve">2026年5月-2026年10月</w:t>
      </w:r>
      <w:r>
        <w:rPr>
          <w:rFonts w:hint="eastAsia" w:ascii="宋体" w:hAnsi="宋体" w:eastAsia="宋体"/>
          <w:color w:val="auto"/>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）有依法缴纳社会保障资金的良好记录，提供</w:t>
      </w:r>
      <w:r>
        <w:rPr>
          <w:rFonts w:hint="eastAsia" w:ascii="宋体" w:hAnsi="宋体" w:eastAsia="宋体"/>
          <w:b/>
          <w:color w:val="auto"/>
          <w:sz w:val="21"/>
          <w:szCs w:val="21"/>
          <w:highlight w:val="none"/>
          <w:lang w:eastAsia="zh-CN"/>
        </w:rPr>
        <w:t xml:space="preserve">2026年5月-2026年10月</w:t>
      </w:r>
      <w:r>
        <w:rPr>
          <w:rFonts w:hint="eastAsia" w:ascii="宋体" w:hAnsi="宋体" w:eastAsia="宋体"/>
          <w:color w:val="auto"/>
          <w:sz w:val="21"/>
          <w:szCs w:val="21"/>
          <w:highlight w:val="none"/>
        </w:rPr>
        <w:t xml:space="preserve">内任意一月份的依法缴纳社会保障资金的凭据复印件加盖公章；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2.2落实政府采购政策需满足的资格要求：</w:t>
      </w:r>
      <w:r>
        <w:rPr>
          <w:rFonts w:hint="eastAsia" w:ascii="宋体" w:hAnsi="宋体" w:eastAsia="宋体"/>
          <w:color w:val="auto"/>
          <w:sz w:val="21"/>
          <w:szCs w:val="21"/>
          <w:highlight w:val="none"/>
          <w:lang w:val="en-US"/>
        </w:rPr>
        <w:t xml:space="preserve">本项目属于专门面向中型、小型、微型企业采购的项目，如属于专门面向中小企业采购的包，供应商必须是中型或小型或微型企业或监狱企业或残疾人福利性单位的《中小企业声明函》或《残疾人福利性单位声明函》或《监狱企业证明材料》，否则属于无效投标</w:t>
      </w:r>
      <w:r>
        <w:rPr>
          <w:rFonts w:hint="eastAsia" w:ascii="宋体" w:hAnsi="宋体" w:eastAsia="宋体"/>
          <w:color w:val="auto"/>
          <w:sz w:val="21"/>
          <w:szCs w:val="21"/>
          <w:highlight w:val="none"/>
        </w:rPr>
        <w:t xml:space="preserve">。</w:t>
      </w:r>
      <w:r/>
    </w:p>
    <w:p>
      <w:pPr>
        <w:ind w:firstLine="422"/>
        <w:spacing w:line="360" w:lineRule="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2.3本项目的特定资格要求：</w:t>
      </w:r>
      <w:r/>
    </w:p>
    <w:p>
      <w:pPr>
        <w:ind w:firstLine="420"/>
        <w:spacing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lang w:val="en-US" w:eastAsia="zh-CN"/>
        </w:rPr>
        <w:t xml:space="preserve">供应商</w:t>
      </w:r>
      <w:r>
        <w:rPr>
          <w:rFonts w:hint="eastAsia" w:ascii="宋体" w:hAnsi="宋体" w:eastAsia="宋体"/>
          <w:b w:val="0"/>
          <w:bCs w:val="0"/>
          <w:color w:val="auto"/>
          <w:sz w:val="21"/>
          <w:szCs w:val="21"/>
          <w:highlight w:val="none"/>
        </w:rPr>
        <w:t xml:space="preserve">具有省、自治区、直辖市人民政府公安机关核发的有效的《保安服务许可证》（提供证书复印件并加盖公章）。</w:t>
      </w:r>
      <w:r/>
    </w:p>
    <w:p>
      <w:pPr>
        <w:ind w:firstLine="420"/>
        <w:spacing w:line="360" w:lineRule="auto"/>
        <w:rPr>
          <w:rFonts w:ascii="宋体" w:hAnsi="宋体" w:eastAsia="宋体"/>
          <w:b w:val="0"/>
          <w:bCs w:val="0"/>
          <w:color w:val="auto"/>
          <w:sz w:val="21"/>
          <w:szCs w:val="21"/>
          <w:highlight w:val="none"/>
          <w:lang w:val="en-US"/>
        </w:rPr>
      </w:pPr>
      <w:r>
        <w:rPr>
          <w:rFonts w:hint="eastAsia" w:ascii="宋体" w:hAnsi="宋体" w:eastAsia="宋体"/>
          <w:b w:val="0"/>
          <w:bCs w:val="0"/>
          <w:color w:val="auto"/>
          <w:sz w:val="21"/>
          <w:szCs w:val="21"/>
          <w:highlight w:val="none"/>
        </w:rPr>
        <w:t xml:space="preserve">（2）如省外其他省、自治区、直辖市公安机关核发的《保安服务许可证》参与本项目投标的，还须承诺</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如中标本项目，在开始提供保安服务之前取得服务所在地设区的市级(或以上)公安机关的备案回执</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承诺书格式自拟并加盖公章，如提供的承诺书内容表述不清或存在评审歧义的，视为未提供</w:t>
      </w:r>
      <w:r>
        <w:rPr>
          <w:rFonts w:hint="eastAsia" w:ascii="宋体" w:hAnsi="宋体" w:eastAsia="宋体"/>
          <w:b w:val="0"/>
          <w:bCs w:val="0"/>
          <w:color w:val="auto"/>
          <w:sz w:val="21"/>
          <w:szCs w:val="21"/>
          <w:highlight w:val="none"/>
          <w:lang w:eastAsia="zh-CN"/>
        </w:rPr>
        <w:t xml:space="preserve">。）</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2.4</w:t>
      </w:r>
      <w:r>
        <w:rPr>
          <w:rFonts w:hint="eastAsia" w:ascii="宋体" w:hAnsi="宋体" w:eastAsia="宋体"/>
          <w:b/>
          <w:bCs/>
          <w:color w:val="auto"/>
          <w:sz w:val="21"/>
          <w:szCs w:val="21"/>
          <w:highlight w:val="none"/>
        </w:rPr>
        <w:t xml:space="preserve">供应商存在下列情形的不得参加本次招标活动：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59"/>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三、获取招标文件</w:t>
      </w:r>
      <w:r>
        <w:rPr>
          <w:rFonts w:hint="eastAsia" w:ascii="宋体" w:hAnsi="宋体" w:cs="宋体"/>
          <w:bCs/>
          <w:color w:val="auto"/>
          <w:szCs w:val="21"/>
          <w:highlight w:val="none"/>
        </w:rPr>
        <w:t xml:space="preserve"> </w:t>
      </w:r>
      <w:r/>
    </w:p>
    <w:p>
      <w:pPr>
        <w:pStyle w:val="1327"/>
        <w:rPr>
          <w:rFonts w:ascii="宋体" w:hAnsi="宋体" w:eastAsia="宋体"/>
          <w:color w:val="auto"/>
          <w:sz w:val="21"/>
          <w:highlight w:val="none"/>
        </w:rPr>
      </w:pPr>
      <w:r/>
      <w:bookmarkStart w:id="4" w:name="_Toc28359005"/>
      <w:r/>
      <w:bookmarkStart w:id="5" w:name="_Toc28359082"/>
      <w:r/>
      <w:bookmarkStart w:id="6" w:name="_Toc35393793"/>
      <w:r/>
      <w:bookmarkStart w:id="7" w:name="_Toc35393624"/>
      <w:r>
        <w:rPr>
          <w:rFonts w:hint="eastAsia" w:ascii="宋体" w:hAnsi="宋体" w:eastAsia="宋体"/>
          <w:color w:val="auto"/>
          <w:sz w:val="21"/>
          <w:highlight w:val="none"/>
        </w:rPr>
        <w:t xml:space="preserve">1.获取时间：自招标公告发布之日起5个工作日 </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27"/>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pStyle w:val="1327"/>
        <w:rPr>
          <w:rFonts w:ascii="宋体" w:hAnsi="宋体" w:eastAsia="宋体"/>
          <w:b/>
          <w:bCs/>
          <w:color w:val="auto"/>
          <w:sz w:val="21"/>
          <w:highlight w:val="none"/>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pStyle w:val="1327"/>
        <w:rPr>
          <w:rFonts w:hint="eastAsia" w:ascii="宋体" w:hAnsi="宋体" w:eastAsia="宋体"/>
          <w:color w:val="auto"/>
          <w:sz w:val="21"/>
          <w:highlight w:val="none"/>
        </w:rPr>
      </w:pPr>
      <w:r>
        <w:rPr>
          <w:rFonts w:hint="eastAsia" w:ascii="宋体" w:hAnsi="宋体" w:eastAsia="宋体"/>
          <w:b/>
          <w:bCs/>
          <w:color w:val="auto"/>
          <w:sz w:val="21"/>
          <w:szCs w:val="21"/>
          <w:highlight w:val="none"/>
        </w:rPr>
        <w:t xml:space="preserve">四、投标</w:t>
      </w:r>
      <w:bookmarkEnd w:id="4"/>
      <w:r/>
      <w:bookmarkEnd w:id="5"/>
      <w:r>
        <w:rPr>
          <w:rFonts w:hint="eastAsia" w:ascii="宋体" w:hAnsi="宋体" w:eastAsia="宋体"/>
          <w:b/>
          <w:bCs/>
          <w:color w:val="auto"/>
          <w:sz w:val="21"/>
          <w:szCs w:val="21"/>
          <w:highlight w:val="none"/>
        </w:rPr>
        <w:t xml:space="preserve">截止时间、开标时间和地点</w:t>
      </w:r>
      <w:bookmarkEnd w:id="6"/>
      <w:r/>
      <w:bookmarkEnd w:id="7"/>
      <w:r/>
      <w:r/>
    </w:p>
    <w:p>
      <w:pPr>
        <w:pStyle w:val="1327"/>
        <w:rPr>
          <w:rFonts w:ascii="宋体" w:hAnsi="宋体" w:eastAsia="宋体"/>
          <w:color w:val="auto"/>
          <w:sz w:val="21"/>
          <w:highlight w:val="none"/>
        </w:rPr>
      </w:pPr>
      <w:r/>
      <w:bookmarkStart w:id="170" w:name="_GoBack"/>
      <w:r/>
      <w:bookmarkEnd w:id="170"/>
      <w:r>
        <w:rPr>
          <w:rFonts w:hint="eastAsia" w:ascii="宋体" w:hAnsi="宋体" w:eastAsia="宋体"/>
          <w:color w:val="auto"/>
          <w:sz w:val="21"/>
          <w:highlight w:val="none"/>
        </w:rPr>
        <w:t xml:space="preserve">1.投标截止时间：202</w:t>
      </w:r>
      <w:r>
        <w:rPr>
          <w:rFonts w:hint="eastAsia" w:ascii="宋体" w:hAnsi="宋体" w:eastAsia="宋体"/>
          <w:color w:val="auto"/>
          <w:sz w:val="21"/>
          <w:highlight w:val="none"/>
          <w:lang w:val="en-US"/>
        </w:rPr>
        <w:t xml:space="preserve">6</w:t>
      </w:r>
      <w:r>
        <w:rPr>
          <w:rFonts w:hint="eastAsia" w:ascii="宋体" w:hAnsi="宋体" w:eastAsia="宋体"/>
          <w:color w:val="auto"/>
          <w:sz w:val="21"/>
          <w:highlight w:val="none"/>
        </w:rPr>
        <w:t xml:space="preserve">年</w:t>
      </w:r>
      <w:r>
        <w:rPr>
          <w:rFonts w:hint="eastAsia" w:ascii="宋体" w:hAnsi="宋体" w:eastAsia="宋体"/>
          <w:color w:val="auto"/>
          <w:sz w:val="21"/>
          <w:highlight w:val="none"/>
          <w:lang w:val="en-US" w:eastAsia="zh-CN"/>
        </w:rPr>
        <w:t xml:space="preserve">10月30日09:30</w:t>
      </w:r>
      <w:r>
        <w:rPr>
          <w:rFonts w:hint="eastAsia" w:ascii="宋体" w:hAnsi="宋体" w:eastAsia="宋体"/>
          <w:color w:val="auto"/>
          <w:sz w:val="21"/>
          <w:highlight w:val="none"/>
        </w:rPr>
        <w:t xml:space="preserve">（北京时间）</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2.开标时间：202</w:t>
      </w:r>
      <w:r>
        <w:rPr>
          <w:rFonts w:hint="eastAsia" w:ascii="宋体" w:hAnsi="宋体" w:eastAsia="宋体"/>
          <w:color w:val="auto"/>
          <w:sz w:val="21"/>
          <w:highlight w:val="none"/>
          <w:lang w:val="en-US"/>
        </w:rPr>
        <w:t xml:space="preserve">6</w:t>
      </w:r>
      <w:r>
        <w:rPr>
          <w:rFonts w:hint="eastAsia" w:ascii="宋体" w:hAnsi="宋体" w:eastAsia="宋体"/>
          <w:color w:val="auto"/>
          <w:sz w:val="21"/>
          <w:highlight w:val="none"/>
        </w:rPr>
        <w:t xml:space="preserve">年</w:t>
      </w:r>
      <w:r>
        <w:rPr>
          <w:rFonts w:hint="eastAsia" w:ascii="宋体" w:hAnsi="宋体" w:eastAsia="宋体"/>
          <w:color w:val="auto"/>
          <w:sz w:val="21"/>
          <w:highlight w:val="none"/>
          <w:lang w:val="en-US" w:eastAsia="zh-CN"/>
        </w:rPr>
        <w:t xml:space="preserve">10月30日09:30</w:t>
      </w:r>
      <w:r>
        <w:rPr>
          <w:rFonts w:hint="eastAsia" w:ascii="宋体" w:hAnsi="宋体" w:eastAsia="宋体"/>
          <w:color w:val="auto"/>
          <w:sz w:val="21"/>
          <w:highlight w:val="none"/>
        </w:rPr>
        <w:t xml:space="preserve">（北京时间） </w:t>
      </w:r>
      <w:r/>
    </w:p>
    <w:p>
      <w:pPr>
        <w:pStyle w:val="1327"/>
        <w:rPr>
          <w:rFonts w:ascii="宋体" w:hAnsi="宋体" w:eastAsia="宋体"/>
          <w:color w:val="auto"/>
          <w:sz w:val="21"/>
          <w:highlight w:val="none"/>
        </w:rPr>
      </w:pPr>
      <w:r>
        <w:rPr>
          <w:rFonts w:hint="eastAsia" w:ascii="宋体" w:hAnsi="宋体" w:eastAsia="宋体"/>
          <w:color w:val="auto"/>
          <w:sz w:val="21"/>
          <w:highlight w:val="none"/>
        </w:rPr>
        <w:t xml:space="preserve">3.开标地点：“苏采云”系统（网址： http://jszfcg.jsczt.cn/）“开标大厅”，点击“苏采云”进入系统“开标大厅”。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五、公告期限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个工作日。</w:t>
      </w:r>
      <w:r/>
    </w:p>
    <w:p>
      <w:pPr>
        <w:numPr>
          <w:ilvl w:val="0"/>
          <w:numId w:val="7"/>
        </w:numPr>
        <w:ind w:firstLine="422"/>
        <w:spacing w:line="360" w:lineRule="auto"/>
        <w:rPr>
          <w:rFonts w:ascii="宋体" w:hAnsi="宋体" w:eastAsia="宋体"/>
          <w:b/>
          <w:bCs/>
          <w:color w:val="auto"/>
          <w:sz w:val="21"/>
          <w:szCs w:val="21"/>
          <w:highlight w:val="none"/>
        </w:rPr>
      </w:pPr>
      <w:r/>
      <w:bookmarkStart w:id="8" w:name="_Toc35393795"/>
      <w:r/>
      <w:bookmarkStart w:id="9" w:name="_Toc35393626"/>
      <w:r>
        <w:rPr>
          <w:rFonts w:hint="eastAsia" w:ascii="宋体" w:hAnsi="宋体" w:eastAsia="宋体"/>
          <w:b/>
          <w:bCs/>
          <w:color w:val="auto"/>
          <w:sz w:val="21"/>
          <w:szCs w:val="21"/>
          <w:highlight w:val="none"/>
        </w:rPr>
        <w:t xml:space="preserve">其他补充事宜</w:t>
      </w:r>
      <w:bookmarkEnd w:id="8"/>
      <w:r/>
      <w:bookmarkEnd w:id="9"/>
      <w:r/>
      <w:r/>
    </w:p>
    <w:p>
      <w:pPr>
        <w:pStyle w:val="10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1.本项目公告媒体：江苏政府采购网（http://www.ccgp-jiangsu.gov.cn/）</w:t>
      </w:r>
      <w:r/>
    </w:p>
    <w:p>
      <w:pPr>
        <w:pStyle w:val="10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http://www.ccgp-jiangsu.gov.cn/jiangsu/zlxz/ee/ee3a4bc5a3454aa2b0d9312230633ce9.html。</w:t>
      </w:r>
      <w:r/>
    </w:p>
    <w:p>
      <w:pPr>
        <w:pStyle w:val="105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CA和办理电子签章（请至南京市建邺区汉中门大街145号省公共资源交易中心三楼开标区受理台1号窗口办理，联系电话：025-83668701或南京市建邺区江东中路265号南京市公共资源交易中心北门外1255室（一楼）办理，联系电话：025-68505941)</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4.有关本次招标的事项若存在变动或修改，敬请及时关注在“江苏政府采购网”发布的更正公告。</w:t>
      </w:r>
      <w:r/>
    </w:p>
    <w:p>
      <w:pPr>
        <w:ind w:firstLine="422"/>
        <w:spacing w:line="360" w:lineRule="auto"/>
        <w:rPr>
          <w:rFonts w:ascii="宋体" w:hAnsi="宋体" w:eastAsia="宋体"/>
          <w:b/>
          <w:bCs/>
          <w:color w:val="auto"/>
          <w:sz w:val="21"/>
          <w:szCs w:val="21"/>
          <w:highlight w:val="none"/>
        </w:rPr>
      </w:pPr>
      <w:r/>
      <w:bookmarkStart w:id="10" w:name="_Toc28359085"/>
      <w:r/>
      <w:bookmarkStart w:id="11" w:name="_Toc28359008"/>
      <w:r/>
      <w:bookmarkStart w:id="12" w:name="_Toc35393796"/>
      <w:r/>
      <w:bookmarkStart w:id="13" w:name="_Toc35393627"/>
      <w:r>
        <w:rPr>
          <w:rFonts w:hint="eastAsia" w:ascii="宋体" w:hAnsi="宋体" w:eastAsia="宋体"/>
          <w:b/>
          <w:bCs/>
          <w:color w:val="auto"/>
          <w:sz w:val="21"/>
          <w:szCs w:val="21"/>
          <w:highlight w:val="none"/>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名    称：</w:t>
      </w:r>
      <w:r>
        <w:rPr>
          <w:rFonts w:hint="eastAsia" w:ascii="宋体" w:hAnsi="宋体" w:eastAsia="宋体"/>
          <w:color w:val="auto"/>
          <w:sz w:val="21"/>
          <w:szCs w:val="21"/>
          <w:highlight w:val="none"/>
          <w:lang w:eastAsia="zh-CN"/>
        </w:rPr>
        <w:t xml:space="preserve">南京博物院</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地    址：</w:t>
      </w:r>
      <w:r>
        <w:rPr>
          <w:rFonts w:hint="eastAsia" w:ascii="宋体" w:hAnsi="宋体" w:eastAsia="宋体"/>
          <w:color w:val="auto"/>
          <w:sz w:val="21"/>
          <w:szCs w:val="21"/>
          <w:highlight w:val="none"/>
          <w:lang w:eastAsia="zh-CN"/>
        </w:rPr>
        <w:t xml:space="preserve">南京市中山东路321号</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杨斌</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val="en-US" w:eastAsia="zh-CN"/>
        </w:rPr>
        <w:t xml:space="preserve">025-84838633</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            </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址：南京市长江路198号苏美达大厦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联系方式：025-</w:t>
      </w:r>
      <w:r>
        <w:rPr>
          <w:rFonts w:hint="eastAsia" w:ascii="宋体" w:hAnsi="宋体" w:eastAsia="宋体"/>
          <w:color w:val="auto"/>
          <w:sz w:val="21"/>
          <w:szCs w:val="21"/>
          <w:highlight w:val="none"/>
          <w:lang w:eastAsia="zh-CN"/>
        </w:rPr>
        <w:t xml:space="preserve">84531056</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周翠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lang w:val="en-US" w:eastAsia="zh-CN"/>
        </w:rPr>
        <w:t xml:space="preserve">张静雯、</w:t>
      </w:r>
      <w:r>
        <w:rPr>
          <w:rFonts w:hint="eastAsia" w:ascii="宋体" w:hAnsi="宋体" w:eastAsia="宋体"/>
          <w:color w:val="auto"/>
          <w:sz w:val="21"/>
          <w:szCs w:val="21"/>
          <w:highlight w:val="none"/>
          <w:lang w:val="en-US"/>
        </w:rPr>
        <w:t xml:space="preserve">杨扬</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话：025-</w:t>
      </w:r>
      <w:r>
        <w:rPr>
          <w:rFonts w:hint="eastAsia" w:ascii="宋体" w:hAnsi="宋体" w:eastAsia="宋体"/>
          <w:color w:val="auto"/>
          <w:sz w:val="21"/>
          <w:szCs w:val="21"/>
          <w:highlight w:val="none"/>
          <w:lang w:eastAsia="zh-CN"/>
        </w:rPr>
        <w:t xml:space="preserve">84531056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025-84532455</w:t>
      </w:r>
      <w:r>
        <w:rPr>
          <w:rFonts w:hint="eastAsia" w:ascii="宋体" w:hAnsi="宋体" w:eastAsia="宋体"/>
          <w:color w:val="auto"/>
          <w:sz w:val="21"/>
          <w:szCs w:val="21"/>
          <w:highlight w:val="none"/>
          <w:lang w:val="en-US"/>
        </w:rPr>
        <w:t xml:space="preserve">  </w:t>
      </w:r>
      <w:r/>
    </w:p>
    <w:p>
      <w:pPr>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投标人须知前附表</w:t>
      </w:r>
      <w:r/>
    </w:p>
    <w:tbl>
      <w:tblPr>
        <w:tblStyle w:val="8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8928"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rPr>
              <w:t xml:space="preserve">采 购 人</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南京博物院</w:t>
            </w:r>
            <w:r/>
          </w:p>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地    址：</w:t>
            </w:r>
            <w:r>
              <w:rPr>
                <w:rFonts w:hint="eastAsia" w:ascii="宋体" w:hAnsi="宋体" w:eastAsia="宋体"/>
                <w:color w:val="auto"/>
                <w:sz w:val="21"/>
                <w:szCs w:val="21"/>
                <w:highlight w:val="none"/>
                <w:lang w:eastAsia="zh-CN"/>
              </w:rPr>
              <w:t xml:space="preserve">南京市中山东路321号</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项目联系人：</w:t>
            </w:r>
            <w:r>
              <w:rPr>
                <w:rFonts w:hint="eastAsia" w:ascii="宋体" w:hAnsi="宋体" w:eastAsia="宋体"/>
                <w:color w:val="auto"/>
                <w:sz w:val="21"/>
                <w:szCs w:val="21"/>
                <w:highlight w:val="none"/>
                <w:lang w:val="en-US" w:eastAsia="zh-CN"/>
              </w:rPr>
              <w:t xml:space="preserve">杨斌</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    话：</w:t>
            </w:r>
            <w:r>
              <w:rPr>
                <w:rFonts w:hint="eastAsia" w:ascii="宋体" w:hAnsi="宋体" w:eastAsia="宋体"/>
                <w:color w:val="auto"/>
                <w:sz w:val="21"/>
                <w:szCs w:val="21"/>
                <w:highlight w:val="none"/>
                <w:lang w:val="en-US" w:eastAsia="zh-CN"/>
              </w:rPr>
              <w:t xml:space="preserve">025-84838633</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采购代理机构：苏美达国际技术贸易有限公司</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 系 人：</w:t>
            </w:r>
            <w:r>
              <w:rPr>
                <w:rFonts w:hint="eastAsia" w:ascii="宋体" w:hAnsi="宋体" w:eastAsia="宋体"/>
                <w:color w:val="auto"/>
                <w:sz w:val="21"/>
                <w:szCs w:val="21"/>
                <w:highlight w:val="none"/>
                <w:lang w:val="en-US" w:eastAsia="zh-CN"/>
              </w:rPr>
              <w:t xml:space="preserve">周翠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lang w:val="en-US" w:eastAsia="zh-CN"/>
              </w:rPr>
              <w:t xml:space="preserve">张静雯、</w:t>
            </w:r>
            <w:r>
              <w:rPr>
                <w:rFonts w:hint="eastAsia" w:ascii="宋体" w:hAnsi="宋体" w:eastAsia="宋体"/>
                <w:color w:val="auto"/>
                <w:sz w:val="21"/>
                <w:szCs w:val="21"/>
                <w:highlight w:val="none"/>
                <w:lang w:val="en-US"/>
              </w:rPr>
              <w:t xml:space="preserve">杨扬</w:t>
            </w:r>
            <w:r>
              <w:rPr>
                <w:rFonts w:hint="eastAsia" w:ascii="宋体" w:hAnsi="宋体" w:eastAsia="宋体"/>
                <w:color w:val="auto"/>
                <w:sz w:val="21"/>
                <w:szCs w:val="21"/>
                <w:highlight w:val="none"/>
              </w:rPr>
              <w:t xml:space="preserve">   </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联系电话：025-</w:t>
            </w:r>
            <w:r>
              <w:rPr>
                <w:rFonts w:hint="eastAsia" w:ascii="宋体" w:hAnsi="宋体" w:eastAsia="宋体"/>
                <w:color w:val="auto"/>
                <w:sz w:val="21"/>
                <w:szCs w:val="21"/>
                <w:highlight w:val="none"/>
                <w:lang w:eastAsia="zh-CN"/>
              </w:rPr>
              <w:t xml:space="preserve">84531056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025-84532455</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联系地址：南京市长江路198号苏美达大厦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南京博物院保安外包服务项目</w:t>
            </w:r>
            <w:r/>
          </w:p>
          <w:p>
            <w:pPr>
              <w:spacing w:line="360" w:lineRule="auto"/>
              <w:shd w:val="clear" w:color="auto" w:fill="ffffff"/>
              <w:widowControl/>
              <w:rPr>
                <w:rFonts w:hint="eastAsia" w:ascii="宋体" w:hAnsi="宋体" w:eastAsia="宋体"/>
                <w:b/>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JSZC-320000-SMDG-G2026-0103</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w:t>
            </w:r>
            <w:r>
              <w:rPr>
                <w:rFonts w:hint="eastAsia" w:ascii="宋体" w:hAnsi="宋体" w:eastAsia="宋体"/>
                <w:b/>
                <w:bCs/>
                <w:color w:val="auto"/>
                <w:sz w:val="21"/>
                <w:szCs w:val="21"/>
                <w:highlight w:val="none"/>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投标有效期</w:t>
            </w:r>
            <w:r>
              <w:rPr>
                <w:rFonts w:hint="eastAsia" w:ascii="宋体" w:hAnsi="宋体" w:eastAsia="宋体"/>
                <w:color w:val="auto"/>
                <w:sz w:val="21"/>
                <w:szCs w:val="21"/>
                <w:highlight w:val="none"/>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7</w:t>
            </w:r>
            <w:r/>
          </w:p>
        </w:tc>
        <w:tc>
          <w:tcPr>
            <w:tcW w:w="8928" w:type="dxa"/>
            <w:vAlign w:val="center"/>
            <w:textDirection w:val="lrTb"/>
            <w:noWrap/>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递交投标文件开始时间：详见招标公告</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递交投标文件截止时间、开标时间：详见招标公告</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地点：详见招标公告</w:t>
            </w:r>
            <w:r/>
          </w:p>
        </w:tc>
      </w:tr>
      <w:tr>
        <w:trPr>
          <w:trHeight w:val="39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8</w:t>
            </w:r>
            <w:r/>
          </w:p>
        </w:tc>
        <w:tc>
          <w:tcPr>
            <w:tcW w:w="8928" w:type="dxa"/>
            <w:vAlign w:val="center"/>
            <w:textDirection w:val="lrTb"/>
            <w:noWrap/>
          </w:tcPr>
          <w:p>
            <w:pP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投标报价：</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所有投标响应均以人民币报价。供应商的投标报价应遵守“中华人民共和国价格法”。该报价为应包括全部服务的价格及相关税费、培训(如有)、服务等其他有关的所有费用。报价时应充分考虑所有可能影响到报价的因素，一旦评审结束最终成交，如发生漏、缺、少项，都将被认为是中标供应商的报价让利行为，损失自负。</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2.除非采购文件有特别说明，采购人不接受备选的投标方案或有选择的报价。</w:t>
            </w:r>
            <w:r/>
          </w:p>
        </w:tc>
      </w:tr>
      <w:tr>
        <w:trPr>
          <w:trHeight w:val="390"/>
        </w:trPr>
        <w:tc>
          <w:tcPr>
            <w:tcW w:w="819" w:type="dxa"/>
            <w:vAlign w:val="center"/>
            <w:textDirection w:val="lrTb"/>
            <w:noWrap/>
          </w:tcPr>
          <w:p>
            <w:pPr>
              <w:jc w:val="cente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9</w:t>
            </w:r>
            <w:r/>
          </w:p>
        </w:tc>
        <w:tc>
          <w:tcPr>
            <w:tcW w:w="8928" w:type="dxa"/>
            <w:vAlign w:val="center"/>
            <w:textDirection w:val="lrTb"/>
            <w:noWrap/>
          </w:tcPr>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采购标的对应中小企业划分标准所属行业：租赁和商务服务业</w:t>
            </w:r>
            <w:r/>
          </w:p>
        </w:tc>
      </w:tr>
      <w:tr>
        <w:trPr>
          <w:trHeight w:val="540"/>
        </w:trPr>
        <w:tc>
          <w:tcPr>
            <w:tcW w:w="819" w:type="dxa"/>
            <w:vAlign w:val="center"/>
            <w:textDirection w:val="lrTb"/>
            <w:noWrap/>
          </w:tcPr>
          <w:p>
            <w:pPr>
              <w:jc w:val="center"/>
              <w:spacing w:line="360" w:lineRule="auto"/>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10</w:t>
            </w:r>
            <w:r/>
          </w:p>
        </w:tc>
        <w:tc>
          <w:tcPr>
            <w:tcW w:w="8928" w:type="dxa"/>
            <w:vAlign w:val="center"/>
            <w:textDirection w:val="lrTb"/>
            <w:noWrap/>
          </w:tcPr>
          <w:p>
            <w:pPr>
              <w:ind w:firstLine="15"/>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现场勘查要求：</w:t>
            </w:r>
            <w:r/>
          </w:p>
          <w:p>
            <w:pPr>
              <w:ind w:firstLine="15"/>
              <w:spacing w:line="360" w:lineRule="auto"/>
              <w:rPr>
                <w:rFonts w:ascii="宋体" w:hAnsi="宋体" w:eastAsia="宋体"/>
                <w:bCs/>
                <w:color w:val="auto"/>
                <w:sz w:val="21"/>
                <w:szCs w:val="21"/>
                <w:highlight w:val="none"/>
              </w:rPr>
            </w:pPr>
            <w:r>
              <w:rPr>
                <w:rFonts w:hint="eastAsia" w:ascii="宋体" w:hAnsi="宋体" w:eastAsia="宋体" w:cs="宋体"/>
                <w:color w:val="auto"/>
                <w:sz w:val="21"/>
                <w:szCs w:val="21"/>
                <w:highlight w:val="none"/>
              </w:rPr>
              <w:t xml:space="preserve">不统一组织，投标人可自行联系采购人。未考察现场或考察工作不详细的投标人中标后不得以不完全了解现场情况为理由而向采购人提出任何索赔或其他要求，对此采购人不承担任何责任并将不作任何答复。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863"/>
        </w:trPr>
        <w:tc>
          <w:tcPr>
            <w:tcW w:w="819" w:type="dxa"/>
            <w:vAlign w:val="center"/>
            <w:textDirection w:val="lrTb"/>
            <w:noWrap/>
          </w:tcPr>
          <w:p>
            <w:pPr>
              <w:jc w:val="center"/>
              <w:spacing w:line="360" w:lineRule="auto"/>
              <w:shd w:val="clear" w:color="auto" w:fill="ffffff"/>
              <w:widowControl/>
              <w:rPr>
                <w:rFonts w:hint="default" w:ascii="宋体" w:hAnsi="宋体" w:eastAsia="宋体"/>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11</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auto"/>
          <w:sz w:val="21"/>
          <w:szCs w:val="21"/>
          <w:highlight w:val="none"/>
        </w:rPr>
        <w:outlineLvl w:val="1"/>
      </w:pPr>
      <w:r/>
      <w:bookmarkStart w:id="14" w:name="_Toc8539"/>
      <w:r/>
      <w:bookmarkStart w:id="15" w:name="_Toc19726"/>
      <w:r>
        <w:rPr>
          <w:rFonts w:hint="eastAsia" w:ascii="宋体" w:hAnsi="宋体" w:eastAsia="宋体"/>
          <w:b/>
          <w:bCs/>
          <w:color w:val="auto"/>
          <w:sz w:val="21"/>
          <w:szCs w:val="21"/>
          <w:highlight w:val="none"/>
        </w:rPr>
        <w:t xml:space="preserve">一、总 则</w:t>
      </w:r>
      <w:bookmarkEnd w:id="14"/>
      <w:r/>
      <w:bookmarkEnd w:id="15"/>
      <w:r/>
      <w:r/>
    </w:p>
    <w:p>
      <w:pPr>
        <w:ind w:firstLine="422"/>
        <w:spacing w:line="360" w:lineRule="auto"/>
        <w:rPr>
          <w:rFonts w:ascii="宋体" w:hAnsi="宋体" w:eastAsia="宋体"/>
          <w:b/>
          <w:color w:val="auto"/>
          <w:sz w:val="21"/>
          <w:szCs w:val="21"/>
          <w:highlight w:val="none"/>
        </w:rPr>
      </w:pPr>
      <w:r/>
      <w:bookmarkStart w:id="16" w:name="_Toc30044"/>
      <w:r/>
      <w:bookmarkStart w:id="17" w:name="_Toc3951"/>
      <w:r/>
      <w:bookmarkStart w:id="18" w:name="_Toc458694821"/>
      <w:r/>
      <w:bookmarkStart w:id="19" w:name="_Toc20823276"/>
      <w:r/>
      <w:bookmarkStart w:id="20" w:name="_Toc513029204"/>
      <w:r/>
      <w:bookmarkStart w:id="21" w:name="_Toc16938520"/>
      <w:r/>
      <w:bookmarkStart w:id="22" w:name="_Toc24947"/>
      <w:r>
        <w:rPr>
          <w:rFonts w:hint="eastAsia" w:ascii="宋体" w:hAnsi="宋体" w:eastAsia="宋体"/>
          <w:b/>
          <w:bCs/>
          <w:color w:val="auto"/>
          <w:sz w:val="21"/>
          <w:szCs w:val="21"/>
          <w:highlight w:val="none"/>
        </w:rPr>
        <w:t xml:space="preserve">1.</w:t>
      </w:r>
      <w:r>
        <w:rPr>
          <w:rFonts w:hint="eastAsia" w:ascii="宋体" w:hAnsi="宋体" w:eastAsia="宋体"/>
          <w:b/>
          <w:color w:val="auto"/>
          <w:sz w:val="21"/>
          <w:szCs w:val="21"/>
          <w:highlight w:val="none"/>
        </w:rPr>
        <w:t xml:space="preserve">适用法律</w:t>
      </w:r>
      <w:bookmarkEnd w:id="16"/>
      <w:r/>
      <w:bookmarkEnd w:id="17"/>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《中华人民共和国招标投标法》《中华人民共和国政府采购法》《中华人民共和国政府采购法实施条例》《政府采购货物和服务招标投标管理办法》等有关法律、规章和规定等。</w:t>
      </w:r>
      <w:bookmarkStart w:id="23" w:name="_Toc17176"/>
      <w:r/>
      <w:bookmarkStart w:id="24" w:name="_Toc10994"/>
      <w:r/>
      <w:r/>
    </w:p>
    <w:p>
      <w:pPr>
        <w:ind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2.</w:t>
      </w:r>
      <w:r>
        <w:rPr>
          <w:rFonts w:hint="eastAsia" w:ascii="宋体" w:hAnsi="宋体" w:eastAsia="宋体"/>
          <w:b/>
          <w:color w:val="auto"/>
          <w:sz w:val="21"/>
          <w:szCs w:val="21"/>
          <w:highlight w:val="none"/>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本文件</w:t>
      </w:r>
      <w:r>
        <w:rPr>
          <w:rFonts w:hint="eastAsia" w:ascii="宋体" w:hAnsi="宋体" w:eastAsia="宋体"/>
          <w:bCs/>
          <w:color w:val="auto"/>
          <w:sz w:val="21"/>
          <w:szCs w:val="21"/>
          <w:highlight w:val="none"/>
        </w:rPr>
        <w:t xml:space="preserve">中采购代理机构为</w:t>
      </w:r>
      <w:r>
        <w:rPr>
          <w:rFonts w:hint="eastAsia" w:ascii="宋体" w:hAnsi="宋体" w:eastAsia="宋体"/>
          <w:b/>
          <w:color w:val="auto"/>
          <w:sz w:val="21"/>
          <w:szCs w:val="21"/>
          <w:highlight w:val="none"/>
          <w:u w:val="single"/>
        </w:rPr>
        <w:t xml:space="preserve">苏美达国际技术贸易有限公司</w:t>
      </w:r>
      <w:r>
        <w:rPr>
          <w:rFonts w:hint="eastAsia" w:ascii="宋体" w:hAnsi="宋体" w:eastAsia="宋体"/>
          <w:bCs/>
          <w:color w:val="auto"/>
          <w:sz w:val="21"/>
          <w:szCs w:val="21"/>
          <w:highlight w:val="none"/>
        </w:rPr>
        <w:t xml:space="preserve">；采购人为</w:t>
      </w:r>
      <w:r>
        <w:rPr>
          <w:rFonts w:hint="eastAsia" w:ascii="宋体" w:hAnsi="宋体" w:eastAsia="宋体"/>
          <w:b/>
          <w:color w:val="auto"/>
          <w:sz w:val="21"/>
          <w:szCs w:val="21"/>
          <w:highlight w:val="none"/>
          <w:u w:val="single"/>
          <w:lang w:eastAsia="zh-CN"/>
        </w:rPr>
        <w:t xml:space="preserve">南京博物院</w:t>
      </w:r>
      <w:r>
        <w:rPr>
          <w:rFonts w:hint="eastAsia" w:ascii="宋体" w:hAnsi="宋体" w:eastAsia="宋体"/>
          <w:bCs/>
          <w:color w:val="auto"/>
          <w:sz w:val="21"/>
          <w:szCs w:val="21"/>
          <w:highlight w:val="none"/>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“货物和服务”指本文件中所述产品及相关货物和服务。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“用户或使用单位”指使用</w:t>
      </w:r>
      <w:r>
        <w:rPr>
          <w:rFonts w:hint="eastAsia" w:ascii="宋体" w:hAnsi="宋体" w:eastAsia="宋体"/>
          <w:color w:val="auto"/>
          <w:sz w:val="21"/>
          <w:szCs w:val="21"/>
          <w:highlight w:val="none"/>
        </w:rPr>
        <w:t xml:space="preserve">货物、服务的</w:t>
      </w:r>
      <w:r>
        <w:rPr>
          <w:rFonts w:hint="eastAsia" w:ascii="宋体" w:hAnsi="宋体" w:eastAsia="宋体"/>
          <w:bCs/>
          <w:color w:val="auto"/>
          <w:sz w:val="21"/>
          <w:szCs w:val="21"/>
          <w:highlight w:val="none"/>
        </w:rPr>
        <w:t xml:space="preserve">单位。</w:t>
      </w:r>
      <w:r/>
    </w:p>
    <w:p>
      <w:pPr>
        <w:ind w:firstLine="422"/>
        <w:spacing w:line="360" w:lineRule="auto"/>
        <w:rPr>
          <w:rFonts w:ascii="宋体" w:hAnsi="宋体" w:eastAsia="宋体"/>
          <w:b/>
          <w:color w:val="auto"/>
          <w:sz w:val="21"/>
          <w:szCs w:val="21"/>
          <w:highlight w:val="none"/>
        </w:rPr>
      </w:pPr>
      <w:r/>
      <w:bookmarkStart w:id="25" w:name="_Toc25880"/>
      <w:r/>
      <w:bookmarkStart w:id="26" w:name="_Toc18001"/>
      <w:r>
        <w:rPr>
          <w:rFonts w:hint="eastAsia" w:ascii="宋体" w:hAnsi="宋体" w:eastAsia="宋体"/>
          <w:b/>
          <w:color w:val="auto"/>
          <w:sz w:val="21"/>
          <w:szCs w:val="21"/>
          <w:highlight w:val="none"/>
        </w:rPr>
        <w:t xml:space="preserve">3.政策功能</w:t>
      </w:r>
      <w:bookmarkEnd w:id="25"/>
      <w:r/>
      <w:bookmarkEnd w:id="26"/>
      <w:r/>
      <w:r/>
    </w:p>
    <w:p>
      <w:pPr>
        <w:ind w:firstLine="422"/>
        <w:spacing w:line="360" w:lineRule="auto"/>
        <w:rPr>
          <w:rFonts w:ascii="宋体" w:hAnsi="宋体" w:eastAsia="宋体"/>
          <w:bCs/>
          <w:color w:val="auto"/>
          <w:sz w:val="21"/>
          <w:szCs w:val="21"/>
          <w:highlight w:val="none"/>
        </w:rPr>
      </w:pPr>
      <w:r>
        <w:rPr>
          <w:rFonts w:hint="eastAsia" w:ascii="宋体" w:hAnsi="宋体" w:eastAsia="宋体"/>
          <w:b/>
          <w:color w:val="auto"/>
          <w:sz w:val="21"/>
          <w:szCs w:val="21"/>
          <w:highlight w:val="none"/>
          <w:lang w:val="en-US"/>
        </w:rPr>
        <w:t xml:space="preserve"> </w:t>
      </w:r>
      <w:r>
        <w:rPr>
          <w:rFonts w:hint="eastAsia" w:ascii="宋体" w:hAnsi="宋体" w:eastAsia="宋体"/>
          <w:bCs/>
          <w:color w:val="auto"/>
          <w:sz w:val="21"/>
          <w:szCs w:val="21"/>
          <w:highlight w:val="none"/>
        </w:rPr>
        <w:t xml:space="preserve">3.1 促进中小企业发展政策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（1）促进小微企业发展政策：根据《政府采购促进中小企业发展管理办法》规定，对小、微型企业产品的价格给予10%的扣除，用扣除后的价格参与评审。</w:t>
      </w:r>
      <w:r>
        <w:rPr>
          <w:rFonts w:hint="eastAsia" w:ascii="宋体" w:hAnsi="宋体" w:eastAsia="宋体"/>
          <w:b/>
          <w:bCs w:val="0"/>
          <w:color w:val="auto"/>
          <w:sz w:val="21"/>
          <w:szCs w:val="21"/>
          <w:highlight w:val="none"/>
          <w:lang w:eastAsia="zh-CN"/>
        </w:rPr>
        <w:t xml:space="preserve">（</w:t>
      </w:r>
      <w:r>
        <w:rPr>
          <w:rFonts w:hint="eastAsia" w:ascii="宋体" w:hAnsi="宋体" w:eastAsia="宋体"/>
          <w:b/>
          <w:bCs w:val="0"/>
          <w:color w:val="auto"/>
          <w:sz w:val="21"/>
          <w:szCs w:val="21"/>
          <w:highlight w:val="none"/>
        </w:rPr>
        <w:t xml:space="preserve">专门面向中小企业采购或预留份额的情况不适用</w:t>
      </w:r>
      <w:r>
        <w:rPr>
          <w:rFonts w:hint="eastAsia" w:ascii="宋体" w:hAnsi="宋体" w:eastAsia="宋体"/>
          <w:b/>
          <w:bCs w:val="0"/>
          <w:color w:val="auto"/>
          <w:sz w:val="21"/>
          <w:szCs w:val="21"/>
          <w:highlight w:val="none"/>
          <w:lang w:eastAsia="zh-CN"/>
        </w:rPr>
        <w:t xml:space="preserve">）</w:t>
      </w:r>
      <w:r>
        <w:rPr>
          <w:rFonts w:hint="eastAsia" w:ascii="宋体" w:hAnsi="宋体" w:eastAsia="宋体"/>
          <w:bCs/>
          <w:color w:val="auto"/>
          <w:sz w:val="21"/>
          <w:szCs w:val="21"/>
          <w:highlight w:val="none"/>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auto"/>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3.2 节能产品、环境标志产品政策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（1）政府采购节能产品、环境标志产品实施品目清单管理。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（2）拟采购产品属于节能产品、环境标志产品品目清单规定必须强制采购的，实行强制采购。</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3.3 </w:t>
      </w:r>
      <w:r>
        <w:rPr>
          <w:rFonts w:hint="eastAsia" w:ascii="宋体" w:hAnsi="宋体" w:eastAsia="宋体"/>
          <w:color w:val="auto"/>
          <w:sz w:val="21"/>
          <w:szCs w:val="21"/>
          <w:highlight w:val="none"/>
        </w:rPr>
        <w:t xml:space="preserve">采购本国产品的支持政策</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具体内容如下：</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5</w:t>
      </w:r>
      <w:r>
        <w:rPr>
          <w:rFonts w:hint="eastAsia" w:ascii="宋体" w:hAnsi="宋体" w:eastAsia="宋体"/>
          <w:bCs/>
          <w:color w:val="auto"/>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6</w:t>
      </w:r>
      <w:r>
        <w:rPr>
          <w:rFonts w:hint="eastAsia" w:ascii="宋体" w:hAnsi="宋体" w:eastAsia="宋体"/>
          <w:bCs/>
          <w:color w:val="auto"/>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7</w:t>
      </w:r>
      <w:r>
        <w:rPr>
          <w:rFonts w:hint="eastAsia" w:ascii="宋体" w:hAnsi="宋体" w:eastAsia="宋体"/>
          <w:bCs/>
          <w:color w:val="auto"/>
          <w:sz w:val="21"/>
          <w:szCs w:val="21"/>
          <w:highlight w:val="none"/>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color w:val="auto"/>
          <w:sz w:val="21"/>
          <w:szCs w:val="21"/>
          <w:highlight w:val="none"/>
          <w:lang w:val="en-US"/>
        </w:rPr>
      </w:pPr>
      <w:r>
        <w:rPr>
          <w:rFonts w:hint="eastAsia" w:ascii="宋体" w:hAnsi="宋体" w:eastAsia="宋体"/>
          <w:bCs/>
          <w:color w:val="auto"/>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color w:val="auto"/>
          <w:sz w:val="21"/>
          <w:szCs w:val="21"/>
          <w:highlight w:val="none"/>
        </w:rPr>
      </w:pPr>
      <w:r/>
      <w:bookmarkStart w:id="27" w:name="_Toc462564067"/>
      <w:r/>
      <w:bookmarkStart w:id="28" w:name="_Toc4759"/>
      <w:r/>
      <w:bookmarkStart w:id="29" w:name="_Toc513029207"/>
      <w:r/>
      <w:bookmarkStart w:id="30" w:name="_Toc17711"/>
      <w:r/>
      <w:bookmarkStart w:id="31" w:name="_Toc16938523"/>
      <w:r/>
      <w:bookmarkStart w:id="32" w:name="_Toc25651"/>
      <w:r/>
      <w:bookmarkStart w:id="33" w:name="_Toc20823279"/>
      <w:r>
        <w:rPr>
          <w:rFonts w:hint="eastAsia" w:ascii="宋体" w:hAnsi="宋体" w:eastAsia="宋体"/>
          <w:b/>
          <w:bCs/>
          <w:color w:val="auto"/>
          <w:sz w:val="21"/>
          <w:szCs w:val="21"/>
          <w:highlight w:val="none"/>
        </w:rPr>
        <w:t xml:space="preserve">4.</w:t>
      </w:r>
      <w:r>
        <w:rPr>
          <w:rFonts w:hint="eastAsia" w:ascii="宋体" w:hAnsi="宋体" w:eastAsia="宋体"/>
          <w:b/>
          <w:color w:val="auto"/>
          <w:sz w:val="21"/>
          <w:szCs w:val="21"/>
          <w:highlight w:val="none"/>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color w:val="auto"/>
          <w:sz w:val="21"/>
          <w:szCs w:val="21"/>
          <w:highlight w:val="none"/>
        </w:rPr>
      </w:pPr>
      <w:r/>
      <w:bookmarkStart w:id="34" w:name="_Toc344"/>
      <w:r/>
      <w:bookmarkStart w:id="35" w:name="_Toc25474"/>
      <w:r>
        <w:rPr>
          <w:rFonts w:hint="eastAsia" w:ascii="宋体" w:hAnsi="宋体" w:eastAsia="宋体"/>
          <w:b/>
          <w:bCs/>
          <w:color w:val="auto"/>
          <w:sz w:val="21"/>
          <w:szCs w:val="21"/>
          <w:highlight w:val="none"/>
        </w:rPr>
        <w:t xml:space="preserve">5.</w:t>
      </w:r>
      <w:r>
        <w:rPr>
          <w:rFonts w:hint="eastAsia" w:ascii="宋体" w:hAnsi="宋体" w:eastAsia="宋体"/>
          <w:b/>
          <w:color w:val="auto"/>
          <w:sz w:val="21"/>
          <w:szCs w:val="21"/>
          <w:highlight w:val="none"/>
        </w:rPr>
        <w:t xml:space="preserve">招标文件的约束力</w:t>
      </w:r>
      <w:bookmarkEnd w:id="34"/>
      <w:r/>
      <w:bookmarkEnd w:id="35"/>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36" w:name="_Toc120614215"/>
      <w:r/>
      <w:bookmarkStart w:id="37" w:name="_Toc15035"/>
      <w:r/>
      <w:bookmarkStart w:id="38" w:name="_Toc16938525"/>
      <w:r/>
      <w:bookmarkStart w:id="39" w:name="_Toc20823281"/>
      <w:r/>
      <w:bookmarkStart w:id="40" w:name="_Toc513029209"/>
      <w:r/>
      <w:bookmarkStart w:id="41" w:name="_Toc11232"/>
      <w:r>
        <w:rPr>
          <w:rFonts w:hint="eastAsia" w:ascii="宋体" w:hAnsi="宋体" w:eastAsia="宋体"/>
          <w:b/>
          <w:bCs/>
          <w:color w:val="auto"/>
          <w:sz w:val="21"/>
          <w:szCs w:val="21"/>
          <w:highlight w:val="none"/>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color w:val="auto"/>
          <w:sz w:val="21"/>
          <w:szCs w:val="21"/>
          <w:highlight w:val="none"/>
        </w:rPr>
      </w:pPr>
      <w:r/>
      <w:bookmarkStart w:id="42" w:name="_Toc513029210"/>
      <w:r/>
      <w:bookmarkStart w:id="43" w:name="_Toc16938526"/>
      <w:r/>
      <w:bookmarkStart w:id="44" w:name="_Toc20823282"/>
      <w:r/>
      <w:bookmarkStart w:id="45" w:name="_Toc2899"/>
      <w:r/>
      <w:bookmarkStart w:id="46" w:name="_Toc31631"/>
      <w:r>
        <w:rPr>
          <w:rFonts w:hint="eastAsia" w:ascii="宋体" w:hAnsi="宋体" w:eastAsia="宋体"/>
          <w:b/>
          <w:bCs/>
          <w:color w:val="auto"/>
          <w:sz w:val="21"/>
          <w:szCs w:val="21"/>
          <w:highlight w:val="none"/>
        </w:rPr>
        <w:t xml:space="preserve">6.</w:t>
      </w:r>
      <w:r>
        <w:rPr>
          <w:rFonts w:hint="eastAsia" w:ascii="宋体" w:hAnsi="宋体" w:eastAsia="宋体"/>
          <w:b/>
          <w:color w:val="auto"/>
          <w:sz w:val="21"/>
          <w:szCs w:val="21"/>
          <w:highlight w:val="none"/>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招标文件由以下部分组成：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第一章  招标公告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第二章  投标人须知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第三章  评标标准</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第四章  </w:t>
      </w:r>
      <w:r>
        <w:rPr>
          <w:rFonts w:hint="eastAsia" w:ascii="宋体" w:hAnsi="宋体" w:eastAsia="宋体"/>
          <w:color w:val="auto"/>
          <w:sz w:val="21"/>
          <w:szCs w:val="21"/>
          <w:highlight w:val="none"/>
          <w:lang w:val="en-US"/>
        </w:rPr>
        <w:t xml:space="preserve">服务要求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第五章  合同</w:t>
      </w:r>
      <w:r>
        <w:rPr>
          <w:rFonts w:hint="eastAsia" w:ascii="宋体" w:hAnsi="宋体" w:eastAsia="宋体"/>
          <w:color w:val="auto"/>
          <w:sz w:val="21"/>
          <w:szCs w:val="21"/>
          <w:highlight w:val="none"/>
          <w:lang w:val="en-US"/>
        </w:rPr>
        <w:t xml:space="preserve">草案</w:t>
      </w:r>
      <w:r>
        <w:rPr>
          <w:rFonts w:hint="eastAsia" w:ascii="宋体" w:hAnsi="宋体" w:eastAsia="宋体"/>
          <w:color w:val="auto"/>
          <w:sz w:val="21"/>
          <w:szCs w:val="21"/>
          <w:highlight w:val="none"/>
        </w:rPr>
        <w:t xml:space="preserve">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第六章  投标文件格式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w:t>
      </w:r>
      <w:r>
        <w:rPr>
          <w:rFonts w:hint="eastAsia" w:ascii="宋体" w:hAnsi="宋体" w:eastAsia="宋体"/>
          <w:color w:val="auto"/>
          <w:sz w:val="21"/>
          <w:szCs w:val="21"/>
          <w:highlight w:val="none"/>
          <w:lang w:val="en-US"/>
        </w:rPr>
        <w:t xml:space="preserve"> </w:t>
      </w:r>
      <w:r>
        <w:rPr>
          <w:rFonts w:hint="eastAsia" w:ascii="宋体" w:hAnsi="宋体" w:eastAsia="宋体"/>
          <w:b/>
          <w:bCs/>
          <w:color w:val="auto"/>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供应商被视为充分熟悉本招标项目的各种情况以及与履行合同有关的一切其他情况。</w:t>
      </w:r>
      <w:r/>
    </w:p>
    <w:p>
      <w:pPr>
        <w:pStyle w:val="1330"/>
        <w:ind w:left="0" w:firstLine="422"/>
        <w:jc w:val="both"/>
        <w:spacing w:line="360" w:lineRule="auto"/>
        <w:rPr>
          <w:rFonts w:ascii="宋体" w:hAnsi="宋体" w:eastAsia="宋体"/>
          <w:b/>
          <w:bCs/>
          <w:color w:val="auto"/>
          <w:sz w:val="21"/>
          <w:szCs w:val="21"/>
          <w:highlight w:val="none"/>
        </w:rPr>
        <w:outlineLvl w:val="9"/>
      </w:pPr>
      <w:r/>
      <w:bookmarkStart w:id="47" w:name="_Toc24838"/>
      <w:r/>
      <w:bookmarkStart w:id="48" w:name="_Toc14415"/>
      <w:r>
        <w:rPr>
          <w:rFonts w:hint="eastAsia" w:ascii="宋体" w:hAnsi="宋体" w:eastAsia="宋体"/>
          <w:b/>
          <w:bCs/>
          <w:color w:val="auto"/>
          <w:sz w:val="21"/>
          <w:szCs w:val="21"/>
          <w:highlight w:val="none"/>
        </w:rPr>
        <w:t xml:space="preserve">7.招标文件的澄清、补充或修改</w:t>
      </w:r>
      <w:bookmarkEnd w:id="47"/>
      <w:r/>
      <w:bookmarkEnd w:id="48"/>
      <w:r/>
      <w:r/>
    </w:p>
    <w:p>
      <w:pPr>
        <w:ind w:firstLine="420"/>
        <w:spacing w:line="360" w:lineRule="auto"/>
        <w:rPr>
          <w:rFonts w:ascii="宋体" w:hAnsi="宋体" w:eastAsia="宋体"/>
          <w:color w:val="auto"/>
          <w:sz w:val="21"/>
          <w:szCs w:val="21"/>
          <w:highlight w:val="none"/>
        </w:rPr>
      </w:pPr>
      <w:r/>
      <w:bookmarkStart w:id="49" w:name="_Toc29128"/>
      <w:r>
        <w:rPr>
          <w:rFonts w:hint="eastAsia" w:ascii="宋体" w:hAnsi="宋体" w:eastAsia="宋体"/>
          <w:color w:val="auto"/>
          <w:sz w:val="21"/>
          <w:szCs w:val="21"/>
          <w:highlight w:val="none"/>
        </w:rPr>
        <w:t xml:space="preserve">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7.3 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7.4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7.5 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50" w:name="_Toc27318"/>
      <w:r>
        <w:rPr>
          <w:rFonts w:hint="eastAsia" w:ascii="宋体" w:hAnsi="宋体" w:eastAsia="宋体"/>
          <w:b/>
          <w:bCs/>
          <w:color w:val="auto"/>
          <w:sz w:val="21"/>
          <w:szCs w:val="21"/>
          <w:highlight w:val="none"/>
        </w:rPr>
        <w:t xml:space="preserve">三、投标文件的编制</w:t>
      </w:r>
      <w:bookmarkEnd w:id="49"/>
      <w:r/>
      <w:bookmarkEnd w:id="50"/>
      <w:r/>
      <w:r/>
    </w:p>
    <w:p>
      <w:pPr>
        <w:pStyle w:val="1330"/>
        <w:ind w:left="0" w:firstLine="422"/>
        <w:jc w:val="both"/>
        <w:spacing w:line="360" w:lineRule="auto"/>
        <w:rPr>
          <w:rFonts w:ascii="宋体" w:hAnsi="宋体" w:eastAsia="宋体"/>
          <w:b/>
          <w:bCs/>
          <w:color w:val="auto"/>
          <w:sz w:val="21"/>
          <w:szCs w:val="21"/>
          <w:highlight w:val="none"/>
        </w:rPr>
        <w:outlineLvl w:val="9"/>
      </w:pPr>
      <w:r/>
      <w:bookmarkStart w:id="51" w:name="_Toc28127"/>
      <w:r/>
      <w:bookmarkStart w:id="52" w:name="_Toc14460"/>
      <w:r>
        <w:rPr>
          <w:rFonts w:hint="eastAsia" w:ascii="宋体" w:hAnsi="宋体" w:eastAsia="宋体"/>
          <w:b/>
          <w:bCs/>
          <w:color w:val="auto"/>
          <w:sz w:val="21"/>
          <w:szCs w:val="21"/>
          <w:highlight w:val="none"/>
        </w:rPr>
        <w:t xml:space="preserve">8.</w:t>
      </w:r>
      <w:bookmarkEnd w:id="51"/>
      <w:r>
        <w:rPr>
          <w:rFonts w:hint="eastAsia" w:ascii="宋体" w:hAnsi="宋体" w:eastAsia="宋体"/>
          <w:b/>
          <w:bCs/>
          <w:color w:val="auto"/>
          <w:sz w:val="21"/>
          <w:szCs w:val="21"/>
          <w:highlight w:val="none"/>
        </w:rPr>
        <w:t xml:space="preserve">投标文件的语言、计量单位、货币</w:t>
      </w:r>
      <w:bookmarkEnd w:id="52"/>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color w:val="auto"/>
          <w:sz w:val="21"/>
          <w:szCs w:val="21"/>
          <w:highlight w:val="none"/>
        </w:rPr>
      </w:pPr>
      <w:r/>
      <w:bookmarkStart w:id="53" w:name="_Toc19298"/>
      <w:r>
        <w:rPr>
          <w:rFonts w:hint="eastAsia" w:ascii="宋体" w:hAnsi="宋体" w:eastAsia="宋体"/>
          <w:color w:val="auto"/>
          <w:sz w:val="21"/>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8.4 本招标文件所表述的时间均为北京时间。</w:t>
      </w:r>
      <w:r/>
    </w:p>
    <w:p>
      <w:pPr>
        <w:pStyle w:val="1330"/>
        <w:ind w:left="0" w:firstLine="420"/>
        <w:jc w:val="both"/>
        <w:spacing w:line="360" w:lineRule="auto"/>
        <w:rPr>
          <w:rFonts w:ascii="宋体" w:hAnsi="宋体" w:eastAsia="宋体"/>
          <w:color w:val="auto"/>
          <w:sz w:val="21"/>
          <w:szCs w:val="21"/>
          <w:highlight w:val="none"/>
        </w:rPr>
        <w:outlineLvl w:val="9"/>
      </w:pPr>
      <w:r>
        <w:rPr>
          <w:rFonts w:hint="eastAsia" w:ascii="宋体" w:hAnsi="宋体" w:eastAsia="宋体"/>
          <w:color w:val="auto"/>
          <w:sz w:val="21"/>
          <w:szCs w:val="21"/>
          <w:highlight w:val="none"/>
        </w:rPr>
        <w:t xml:space="preserve">8.5 所有投标响应报价具体详见投标人须知前附表。</w:t>
      </w:r>
      <w:r/>
    </w:p>
    <w:p>
      <w:pPr>
        <w:pStyle w:val="1330"/>
        <w:ind w:left="0" w:firstLine="422"/>
        <w:jc w:val="both"/>
        <w:spacing w:line="360" w:lineRule="auto"/>
        <w:rPr>
          <w:rFonts w:ascii="宋体" w:hAnsi="宋体" w:eastAsia="宋体"/>
          <w:color w:val="auto"/>
          <w:sz w:val="21"/>
          <w:szCs w:val="21"/>
          <w:highlight w:val="none"/>
        </w:rPr>
        <w:outlineLvl w:val="9"/>
      </w:pPr>
      <w:r/>
      <w:bookmarkStart w:id="54" w:name="_Toc11547"/>
      <w:r/>
      <w:bookmarkStart w:id="55" w:name="_Toc30894"/>
      <w:r>
        <w:rPr>
          <w:rFonts w:hint="eastAsia" w:ascii="宋体" w:hAnsi="宋体" w:eastAsia="宋体"/>
          <w:b/>
          <w:bCs/>
          <w:color w:val="auto"/>
          <w:sz w:val="21"/>
          <w:szCs w:val="21"/>
          <w:highlight w:val="none"/>
        </w:rPr>
        <w:t xml:space="preserve">9.联合体（本项目不接受联合体投标）</w:t>
      </w:r>
      <w:bookmarkEnd w:id="54"/>
      <w:r/>
      <w:bookmarkEnd w:id="55"/>
      <w:r/>
      <w:bookmarkEnd w:id="53"/>
      <w:r/>
    </w:p>
    <w:p>
      <w:pPr>
        <w:ind w:firstLine="422"/>
        <w:spacing w:line="360" w:lineRule="auto"/>
        <w:shd w:val="clear" w:color="auto" w:fill="ffffff"/>
        <w:widowControl/>
        <w:rPr>
          <w:rFonts w:ascii="宋体" w:hAnsi="宋体" w:eastAsia="宋体"/>
          <w:b/>
          <w:bCs/>
          <w:color w:val="auto"/>
          <w:sz w:val="21"/>
          <w:szCs w:val="21"/>
          <w:highlight w:val="none"/>
        </w:rPr>
      </w:pPr>
      <w:r/>
      <w:bookmarkStart w:id="56" w:name="_Toc22790"/>
      <w:r/>
      <w:bookmarkStart w:id="57" w:name="_Toc6681"/>
      <w:r>
        <w:rPr>
          <w:rFonts w:hint="eastAsia" w:ascii="宋体" w:hAnsi="宋体" w:eastAsia="宋体"/>
          <w:b/>
          <w:bCs/>
          <w:color w:val="auto"/>
          <w:sz w:val="21"/>
          <w:szCs w:val="21"/>
          <w:highlight w:val="none"/>
        </w:rPr>
        <w:t xml:space="preserve">10.投标文件的</w:t>
      </w:r>
      <w:bookmarkEnd w:id="56"/>
      <w:r>
        <w:rPr>
          <w:rFonts w:hint="eastAsia" w:ascii="宋体" w:hAnsi="宋体" w:eastAsia="宋体"/>
          <w:b/>
          <w:bCs/>
          <w:color w:val="auto"/>
          <w:sz w:val="21"/>
          <w:szCs w:val="21"/>
          <w:highlight w:val="none"/>
        </w:rPr>
        <w:t xml:space="preserve">组成</w:t>
      </w:r>
      <w:bookmarkEnd w:id="57"/>
      <w:r>
        <w:rPr>
          <w:rFonts w:hint="eastAsia" w:ascii="宋体" w:hAnsi="宋体" w:eastAsia="宋体"/>
          <w:b/>
          <w:bCs/>
          <w:color w:val="auto"/>
          <w:sz w:val="21"/>
          <w:szCs w:val="21"/>
          <w:highlight w:val="none"/>
        </w:rPr>
        <w:t xml:space="preserve">（相应内容上传至投标客户端，并签电子公章）：</w:t>
      </w:r>
      <w:r/>
    </w:p>
    <w:p>
      <w:pPr>
        <w:ind w:firstLine="420"/>
        <w:spacing w:line="360" w:lineRule="auto"/>
        <w:shd w:val="clear" w:color="auto" w:fill="ffffff"/>
        <w:widowControl/>
        <w:rPr>
          <w:rFonts w:ascii="宋体" w:hAnsi="宋体" w:eastAsia="宋体"/>
          <w:color w:val="auto"/>
          <w:sz w:val="21"/>
          <w:szCs w:val="21"/>
          <w:highlight w:val="none"/>
        </w:rPr>
      </w:pPr>
      <w:r/>
      <w:bookmarkStart w:id="58" w:name="_Hlk6917373"/>
      <w:r/>
      <w:bookmarkStart w:id="59" w:name="_Hlk525992732"/>
      <w:r/>
      <w:bookmarkStart w:id="60" w:name="_Hlk529436144"/>
      <w:r>
        <w:rPr>
          <w:rFonts w:hint="eastAsia" w:ascii="宋体" w:hAnsi="宋体" w:eastAsia="宋体"/>
          <w:color w:val="auto"/>
          <w:sz w:val="21"/>
          <w:szCs w:val="21"/>
          <w:highlight w:val="none"/>
        </w:rPr>
        <w:t xml:space="preserve">10.1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投标函（格式见附件）；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资格证明文件（</w:t>
      </w:r>
      <w:r>
        <w:rPr>
          <w:rFonts w:hint="eastAsia" w:ascii="宋体" w:hAnsi="宋体" w:eastAsia="宋体"/>
          <w:color w:val="auto"/>
          <w:sz w:val="21"/>
          <w:szCs w:val="21"/>
          <w:highlight w:val="none"/>
          <w:lang w:val="en-US"/>
        </w:rPr>
        <w:t xml:space="preserve">详见</w:t>
      </w:r>
      <w:r>
        <w:rPr>
          <w:rFonts w:hint="eastAsia" w:ascii="宋体" w:hAnsi="宋体" w:eastAsia="宋体"/>
          <w:color w:val="auto"/>
          <w:sz w:val="21"/>
          <w:szCs w:val="21"/>
          <w:highlight w:val="none"/>
        </w:rPr>
        <w:t xml:space="preserve">第一章招标</w:t>
      </w:r>
      <w:r>
        <w:rPr>
          <w:rFonts w:hint="eastAsia" w:ascii="宋体" w:hAnsi="宋体" w:eastAsia="宋体"/>
          <w:color w:val="auto"/>
          <w:sz w:val="21"/>
          <w:szCs w:val="21"/>
          <w:highlight w:val="none"/>
          <w:lang w:val="en-US"/>
        </w:rPr>
        <w:t xml:space="preserve">公告“申请人的资格要求”）；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10.3</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法人代表授权书及法定代表人、授权代表身份证复印件及</w:t>
      </w:r>
      <w:r>
        <w:rPr>
          <w:rFonts w:hint="eastAsia" w:ascii="宋体" w:hAnsi="宋体" w:eastAsia="宋体"/>
          <w:color w:val="auto"/>
          <w:sz w:val="21"/>
          <w:szCs w:val="21"/>
          <w:highlight w:val="none"/>
          <w:lang w:eastAsia="zh-CN"/>
        </w:rPr>
        <w:t xml:space="preserve">2026年5月-2026年10月</w:t>
      </w:r>
      <w:r>
        <w:rPr>
          <w:rFonts w:hint="eastAsia" w:ascii="宋体" w:hAnsi="宋体" w:eastAsia="宋体"/>
          <w:color w:val="auto"/>
          <w:sz w:val="21"/>
          <w:szCs w:val="21"/>
          <w:highlight w:val="none"/>
        </w:rPr>
        <w:t xml:space="preserve">内任意一月投标单位为其缴纳的社保证明（如果是法定代表人直接参与投标的可以不提供授权书）；</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开标一览表（</w:t>
      </w:r>
      <w:r>
        <w:rPr>
          <w:rFonts w:hint="eastAsia" w:ascii="宋体" w:hAnsi="宋体" w:eastAsia="宋体"/>
          <w:color w:val="auto"/>
          <w:sz w:val="21"/>
          <w:szCs w:val="21"/>
          <w:highlight w:val="none"/>
        </w:rPr>
        <w:t xml:space="preserve">系统</w:t>
      </w:r>
      <w:r>
        <w:rPr>
          <w:rFonts w:hint="eastAsia" w:ascii="宋体" w:hAnsi="宋体" w:eastAsia="宋体"/>
          <w:color w:val="auto"/>
          <w:sz w:val="21"/>
          <w:szCs w:val="21"/>
          <w:highlight w:val="none"/>
        </w:rPr>
        <w:t xml:space="preserve">自动</w:t>
      </w:r>
      <w:r>
        <w:rPr>
          <w:rFonts w:hint="eastAsia" w:ascii="宋体" w:hAnsi="宋体" w:eastAsia="宋体"/>
          <w:color w:val="auto"/>
          <w:sz w:val="21"/>
          <w:szCs w:val="21"/>
          <w:highlight w:val="none"/>
        </w:rPr>
        <w:t xml:space="preserve">生成</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分项报价表（格式见附件）；</w:t>
      </w:r>
      <w:bookmarkEnd w:id="58"/>
      <w:bookmarkEnd w:id="59"/>
      <w:bookmarkEnd w:id="60"/>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en-US"/>
        </w:rPr>
        <w:t xml:space="preserve"> 商务/</w:t>
      </w:r>
      <w:r>
        <w:rPr>
          <w:rFonts w:hint="eastAsia" w:ascii="宋体" w:hAnsi="宋体" w:eastAsia="宋体"/>
          <w:color w:val="auto"/>
          <w:sz w:val="21"/>
          <w:szCs w:val="21"/>
          <w:highlight w:val="none"/>
        </w:rPr>
        <w:t xml:space="preserve">技术</w:t>
      </w:r>
      <w:r>
        <w:rPr>
          <w:rFonts w:hint="eastAsia" w:ascii="宋体" w:hAnsi="宋体" w:eastAsia="宋体"/>
          <w:color w:val="auto"/>
          <w:sz w:val="21"/>
          <w:szCs w:val="21"/>
          <w:highlight w:val="none"/>
          <w:lang w:val="en-US"/>
        </w:rPr>
        <w:t xml:space="preserve">条款</w:t>
      </w:r>
      <w:r>
        <w:rPr>
          <w:rFonts w:hint="eastAsia" w:ascii="宋体" w:hAnsi="宋体" w:eastAsia="宋体"/>
          <w:color w:val="auto"/>
          <w:sz w:val="21"/>
          <w:szCs w:val="21"/>
          <w:highlight w:val="none"/>
        </w:rPr>
        <w:t xml:space="preserve">偏离表（格式见附件）；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售后服务实施方案等；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评分标准中对应的所需证明材料（如有自行添加）；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要求采购人提供的配合（如有自拟并自行添加）；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lang w:val="en-US"/>
        </w:rPr>
        <w:t xml:space="preserve"> 其他</w:t>
      </w:r>
      <w:r>
        <w:rPr>
          <w:rFonts w:hint="eastAsia" w:ascii="宋体" w:hAnsi="宋体" w:eastAsia="宋体"/>
          <w:color w:val="auto"/>
          <w:sz w:val="21"/>
          <w:szCs w:val="21"/>
          <w:highlight w:val="none"/>
        </w:rPr>
        <w:t xml:space="preserve">（投标人认为有必要提供的声明和文件，如有自拟并自行添加）；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（1）投标供应商简介和经营情况说明；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（2）如是小微企业的，提供《中小企业声明函》；</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（3）残疾人福利性单位声明函（供应商为残疾人福利性单位的提供）；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（4）由省级以上监狱管理局、戒毒管理局出具的属于监狱企业的证明文件（如适用）；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上述10.1-10.</w:t>
      </w:r>
      <w:r>
        <w:rPr>
          <w:rFonts w:hint="eastAsia" w:ascii="宋体" w:hAnsi="宋体" w:eastAsia="宋体"/>
          <w:b/>
          <w:bCs/>
          <w:color w:val="auto"/>
          <w:sz w:val="21"/>
          <w:szCs w:val="21"/>
          <w:highlight w:val="none"/>
          <w:lang w:val="en-US" w:eastAsia="zh-CN"/>
        </w:rPr>
        <w:t xml:space="preserve">6</w:t>
      </w:r>
      <w:r>
        <w:rPr>
          <w:rFonts w:hint="eastAsia" w:ascii="宋体" w:hAnsi="宋体" w:eastAsia="宋体"/>
          <w:b/>
          <w:bCs/>
          <w:color w:val="auto"/>
          <w:sz w:val="21"/>
          <w:szCs w:val="21"/>
          <w:highlight w:val="none"/>
        </w:rPr>
        <w:t xml:space="preserve">项必须全部提供，否则投标文件无效。</w:t>
      </w:r>
      <w:r>
        <w:rPr>
          <w:rFonts w:hint="eastAsia" w:ascii="宋体" w:hAnsi="宋体" w:eastAsia="宋体"/>
          <w:color w:val="auto"/>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其他部分由供应商根据编制投标文件需要提供的其他相关文件。</w:t>
      </w:r>
      <w:r/>
    </w:p>
    <w:p>
      <w:pPr>
        <w:pStyle w:val="1330"/>
        <w:ind w:left="0" w:firstLine="422"/>
        <w:jc w:val="both"/>
        <w:spacing w:line="360" w:lineRule="auto"/>
        <w:rPr>
          <w:rFonts w:ascii="宋体" w:hAnsi="宋体" w:eastAsia="宋体"/>
          <w:b/>
          <w:bCs/>
          <w:color w:val="auto"/>
          <w:sz w:val="21"/>
          <w:szCs w:val="21"/>
          <w:highlight w:val="none"/>
        </w:rPr>
        <w:outlineLvl w:val="9"/>
      </w:pPr>
      <w:r/>
      <w:bookmarkStart w:id="61" w:name="_Toc31206"/>
      <w:r/>
      <w:bookmarkStart w:id="62" w:name="_Toc15215"/>
      <w:r>
        <w:rPr>
          <w:rFonts w:hint="eastAsia" w:ascii="宋体" w:hAnsi="宋体" w:eastAsia="宋体"/>
          <w:b/>
          <w:bCs/>
          <w:color w:val="auto"/>
          <w:sz w:val="21"/>
          <w:szCs w:val="21"/>
          <w:highlight w:val="none"/>
        </w:rPr>
        <w:t xml:space="preserve">11.投标文件的有效期</w:t>
      </w:r>
      <w:bookmarkEnd w:id="61"/>
      <w:r/>
      <w:bookmarkEnd w:id="62"/>
      <w:r/>
      <w:r/>
    </w:p>
    <w:p>
      <w:pPr>
        <w:ind w:firstLine="420"/>
        <w:jc w:val="left"/>
        <w:spacing w:line="360" w:lineRule="auto"/>
        <w:rPr>
          <w:rFonts w:ascii="宋体" w:hAnsi="宋体" w:eastAsia="宋体"/>
          <w:bCs/>
          <w:color w:val="auto"/>
          <w:sz w:val="21"/>
          <w:szCs w:val="21"/>
          <w:highlight w:val="none"/>
        </w:rPr>
      </w:pPr>
      <w:r/>
      <w:bookmarkStart w:id="63" w:name="_Toc6811"/>
      <w:r>
        <w:rPr>
          <w:rFonts w:hint="eastAsia" w:ascii="宋体" w:hAnsi="宋体" w:eastAsia="宋体"/>
          <w:bCs/>
          <w:color w:val="auto"/>
          <w:sz w:val="21"/>
          <w:szCs w:val="21"/>
          <w:highlight w:val="none"/>
        </w:rPr>
        <w:t xml:space="preserve">11.1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自开标之日起90天内，投标文件应保持有效，有效期短于此规定的投标文件将视为无效。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11.2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330"/>
        <w:ind w:left="0" w:firstLine="422"/>
        <w:jc w:val="both"/>
        <w:spacing w:line="360" w:lineRule="auto"/>
        <w:rPr>
          <w:rFonts w:ascii="宋体" w:hAnsi="宋体" w:eastAsia="宋体"/>
          <w:b/>
          <w:bCs/>
          <w:color w:val="auto"/>
          <w:sz w:val="21"/>
          <w:szCs w:val="21"/>
          <w:highlight w:val="none"/>
        </w:rPr>
        <w:outlineLvl w:val="9"/>
      </w:pPr>
      <w:r/>
      <w:bookmarkStart w:id="64" w:name="_Toc21944"/>
      <w:r>
        <w:rPr>
          <w:rFonts w:hint="eastAsia" w:ascii="宋体" w:hAnsi="宋体" w:eastAsia="宋体"/>
          <w:b/>
          <w:bCs/>
          <w:color w:val="auto"/>
          <w:sz w:val="21"/>
          <w:szCs w:val="21"/>
          <w:highlight w:val="none"/>
        </w:rPr>
        <w:t xml:space="preserve">12.</w:t>
      </w:r>
      <w:bookmarkEnd w:id="63"/>
      <w:r/>
      <w:bookmarkEnd w:id="64"/>
      <w:r>
        <w:rPr>
          <w:rFonts w:hint="eastAsia" w:ascii="宋体" w:hAnsi="宋体" w:eastAsia="宋体"/>
          <w:b/>
          <w:bCs/>
          <w:color w:val="auto"/>
          <w:sz w:val="21"/>
          <w:szCs w:val="21"/>
          <w:highlight w:val="none"/>
        </w:rPr>
        <w:t xml:space="preserve">投标文件的编制要求和签署要求</w:t>
      </w:r>
      <w:r/>
    </w:p>
    <w:p>
      <w:pPr>
        <w:ind w:firstLine="420"/>
        <w:spacing w:line="360" w:lineRule="auto"/>
        <w:rPr>
          <w:rFonts w:ascii="宋体" w:hAnsi="宋体" w:eastAsia="宋体"/>
          <w:bCs/>
          <w:color w:val="auto"/>
          <w:sz w:val="21"/>
          <w:szCs w:val="21"/>
          <w:highlight w:val="none"/>
        </w:rPr>
      </w:pPr>
      <w:r/>
      <w:bookmarkStart w:id="65" w:name="_Toc27455"/>
      <w:r>
        <w:rPr>
          <w:rFonts w:hint="eastAsia" w:ascii="宋体" w:hAnsi="宋体" w:eastAsia="宋体"/>
          <w:bCs/>
          <w:color w:val="auto"/>
          <w:sz w:val="21"/>
          <w:szCs w:val="21"/>
          <w:highlight w:val="none"/>
        </w:rPr>
        <w:t xml:space="preserve">12.1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 CA 证书妥善保管，如被他人盗用投标，因此带来的结果均由投标人自行承担。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投标人应当对招标文件提出的要求和条件作出实质性响应，并在电子投标系统逐条应答。</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66" w:name="_Toc9506"/>
      <w:r>
        <w:rPr>
          <w:rFonts w:hint="eastAsia" w:ascii="宋体" w:hAnsi="宋体" w:eastAsia="宋体"/>
          <w:b/>
          <w:bCs/>
          <w:color w:val="auto"/>
          <w:sz w:val="21"/>
          <w:szCs w:val="21"/>
          <w:highlight w:val="none"/>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auto"/>
          <w:sz w:val="21"/>
          <w:szCs w:val="21"/>
          <w:highlight w:val="none"/>
        </w:rPr>
      </w:pPr>
      <w:r/>
      <w:bookmarkStart w:id="67" w:name="_Toc462564084"/>
      <w:r/>
      <w:bookmarkStart w:id="68" w:name="_Toc513029225"/>
      <w:r/>
      <w:bookmarkStart w:id="69" w:name="_Toc16938541"/>
      <w:r/>
      <w:bookmarkStart w:id="70" w:name="_Toc20823297"/>
      <w:r>
        <w:rPr>
          <w:rFonts w:hint="eastAsia" w:ascii="宋体" w:hAnsi="宋体" w:eastAsia="宋体"/>
          <w:b/>
          <w:bCs/>
          <w:color w:val="auto"/>
          <w:sz w:val="21"/>
          <w:szCs w:val="21"/>
          <w:highlight w:val="none"/>
        </w:rPr>
        <w:t xml:space="preserve">13.电子投标文件</w:t>
      </w:r>
      <w:bookmarkEnd w:id="67"/>
      <w:r/>
      <w:bookmarkEnd w:id="68"/>
      <w:r/>
      <w:bookmarkEnd w:id="69"/>
      <w:r/>
      <w:bookmarkEnd w:id="70"/>
      <w:r>
        <w:rPr>
          <w:rFonts w:hint="eastAsia" w:ascii="宋体" w:hAnsi="宋体" w:eastAsia="宋体"/>
          <w:b/>
          <w:bCs/>
          <w:color w:val="auto"/>
          <w:sz w:val="21"/>
          <w:szCs w:val="21"/>
          <w:highlight w:val="none"/>
        </w:rPr>
        <w:t xml:space="preserve">的递交</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14.投标截止日期</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auto"/>
          <w:sz w:val="21"/>
          <w:szCs w:val="21"/>
          <w:highlight w:val="none"/>
        </w:rPr>
      </w:pPr>
      <w:r/>
      <w:bookmarkStart w:id="73" w:name="_Toc20823299"/>
      <w:r/>
      <w:bookmarkStart w:id="74" w:name="_Toc513029227"/>
      <w:r/>
      <w:bookmarkStart w:id="75" w:name="_Toc16938543"/>
      <w:r>
        <w:rPr>
          <w:rFonts w:hint="eastAsia" w:ascii="宋体" w:hAnsi="宋体" w:eastAsia="宋体"/>
          <w:b/>
          <w:bCs/>
          <w:color w:val="auto"/>
          <w:sz w:val="21"/>
          <w:szCs w:val="21"/>
          <w:highlight w:val="none"/>
        </w:rPr>
        <w:t xml:space="preserve">15.投标文件</w:t>
      </w:r>
      <w:bookmarkEnd w:id="73"/>
      <w:r/>
      <w:bookmarkEnd w:id="74"/>
      <w:r/>
      <w:bookmarkEnd w:id="75"/>
      <w:r>
        <w:rPr>
          <w:rFonts w:hint="eastAsia" w:ascii="宋体" w:hAnsi="宋体" w:eastAsia="宋体"/>
          <w:b/>
          <w:bCs/>
          <w:color w:val="auto"/>
          <w:sz w:val="21"/>
          <w:szCs w:val="21"/>
          <w:highlight w:val="none"/>
        </w:rPr>
        <w:t xml:space="preserve">的拒收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auto"/>
          <w:sz w:val="21"/>
          <w:szCs w:val="21"/>
          <w:highlight w:val="none"/>
        </w:rPr>
      </w:pPr>
      <w:r/>
      <w:bookmarkStart w:id="76" w:name="_Toc16938544"/>
      <w:r/>
      <w:bookmarkStart w:id="77" w:name="_Toc20823300"/>
      <w:r/>
      <w:bookmarkStart w:id="78" w:name="_Toc513029228"/>
      <w:r>
        <w:rPr>
          <w:rFonts w:hint="eastAsia" w:ascii="宋体" w:hAnsi="宋体" w:eastAsia="宋体"/>
          <w:b/>
          <w:bCs/>
          <w:color w:val="auto"/>
          <w:sz w:val="21"/>
          <w:szCs w:val="21"/>
          <w:highlight w:val="none"/>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 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16.1.1 电子投标文件的撤回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 投标文件的修改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五、开标与评标</w:t>
      </w:r>
      <w:r/>
    </w:p>
    <w:p>
      <w:pPr>
        <w:pStyle w:val="1330"/>
        <w:ind w:left="0" w:firstLine="422"/>
        <w:jc w:val="both"/>
        <w:spacing w:line="360" w:lineRule="auto"/>
        <w:rPr>
          <w:rFonts w:ascii="宋体" w:hAnsi="宋体" w:eastAsia="宋体"/>
          <w:b/>
          <w:bCs/>
          <w:color w:val="auto"/>
          <w:sz w:val="21"/>
          <w:szCs w:val="21"/>
          <w:highlight w:val="none"/>
        </w:rPr>
        <w:outlineLvl w:val="9"/>
      </w:pPr>
      <w:r/>
      <w:bookmarkStart w:id="79" w:name="_Toc15345"/>
      <w:r/>
      <w:bookmarkStart w:id="80" w:name="_Toc3679"/>
      <w:r/>
      <w:bookmarkStart w:id="81" w:name="_Toc20683"/>
      <w:r/>
      <w:bookmarkStart w:id="82" w:name="_Toc13829"/>
      <w:r/>
      <w:bookmarkStart w:id="83" w:name="OLE_LINK3"/>
      <w:r/>
      <w:bookmarkStart w:id="84" w:name="_Toc6944"/>
      <w:r>
        <w:rPr>
          <w:rFonts w:hint="eastAsia" w:ascii="宋体" w:hAnsi="宋体" w:eastAsia="宋体"/>
          <w:b/>
          <w:bCs/>
          <w:color w:val="auto"/>
          <w:sz w:val="21"/>
          <w:szCs w:val="21"/>
          <w:highlight w:val="none"/>
        </w:rPr>
        <w:t xml:space="preserve">17.开标</w:t>
      </w:r>
      <w:bookmarkEnd w:id="79"/>
      <w:r/>
      <w:bookmarkEnd w:id="80"/>
      <w:r/>
      <w:bookmarkEnd w:id="81"/>
      <w:r/>
      <w:bookmarkEnd w:id="82"/>
      <w:r/>
      <w:bookmarkEnd w:id="83"/>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由电子招标投标交易平台主持，邀请投标人参加。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18.资格性审查</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信用信息查询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18.3</w:t>
      </w:r>
      <w:bookmarkEnd w:id="84"/>
      <w:r/>
      <w:bookmarkStart w:id="85" w:name="_Toc30296"/>
      <w:r/>
      <w:bookmarkStart w:id="86" w:name="_Toc29284"/>
      <w:r/>
      <w:bookmarkStart w:id="87" w:name="_Toc513029231"/>
      <w:r/>
      <w:bookmarkStart w:id="88" w:name="_Toc20823303"/>
      <w:r/>
      <w:bookmarkStart w:id="89" w:name="_Toc16938547"/>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通过资格性审查合格的投标人不足3家的，不得评标。</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19.评标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评标组织</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（3）对投标文件进行比较和评价；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（5）向采购人、采购代理机构或者有关部门报告评标中发现的违法行为。</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color w:val="auto"/>
          <w:sz w:val="21"/>
          <w:szCs w:val="21"/>
          <w:highlight w:val="none"/>
        </w:rPr>
      </w:pPr>
      <w:r/>
      <w:bookmarkStart w:id="90" w:name="_Toc16288"/>
      <w:r>
        <w:rPr>
          <w:rFonts w:hint="eastAsia" w:ascii="宋体" w:hAnsi="宋体" w:eastAsia="宋体"/>
          <w:bCs/>
          <w:color w:val="auto"/>
          <w:sz w:val="21"/>
          <w:szCs w:val="21"/>
          <w:highlight w:val="none"/>
        </w:rPr>
        <w:t xml:space="preserve">19.3 对投标文件的符合性审查</w:t>
      </w:r>
      <w:bookmarkEnd w:id="90"/>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符合性检查：依据招标文件的规定，从投标文件的有效性（签署情况等）、内容等完整性和对招标文件的响应程度（是否存在重大负偏离等）进行审查，以确定是否对招标文件的实质性要求作出响应。</w:t>
      </w:r>
      <w:r>
        <w:rPr>
          <w:rFonts w:hint="eastAsia" w:ascii="宋体" w:hAnsi="宋体" w:eastAsia="宋体"/>
          <w:b/>
          <w:color w:val="auto"/>
          <w:sz w:val="21"/>
          <w:szCs w:val="21"/>
          <w:highlight w:val="none"/>
        </w:rPr>
        <w:t xml:space="preserve">实质性要求是指本招标文件中用带星号（“★”）的商务和技术要求（如有）。</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评审时，投标文件出现不一致情形的，按下列规定执行：</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投标文件正本与副本不符的，以正本为准。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投标文件报价出现前后不一致的，按照下列规定修正：</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（2）大写金额和小写金额不一致的，以大写金额为准；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
          <w:color w:val="auto"/>
          <w:sz w:val="21"/>
          <w:szCs w:val="21"/>
          <w:highlight w:val="none"/>
        </w:rPr>
        <w:t xml:space="preserve">19.3.4</w:t>
      </w:r>
      <w:r>
        <w:rPr>
          <w:rFonts w:hint="eastAsia" w:ascii="宋体" w:hAnsi="宋体" w:eastAsia="宋体"/>
          <w:b/>
          <w:color w:val="auto"/>
          <w:sz w:val="21"/>
          <w:szCs w:val="21"/>
          <w:highlight w:val="none"/>
          <w:lang w:val="en-US"/>
        </w:rPr>
        <w:t xml:space="preserve"> </w:t>
      </w:r>
      <w:r>
        <w:rPr>
          <w:rFonts w:hint="eastAsia" w:ascii="宋体" w:hAnsi="宋体" w:eastAsia="宋体"/>
          <w:b/>
          <w:color w:val="auto"/>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color w:val="auto"/>
          <w:sz w:val="21"/>
          <w:szCs w:val="21"/>
          <w:highlight w:val="none"/>
          <w:lang w:val="en-US"/>
        </w:rPr>
      </w:pPr>
      <w:r>
        <w:rPr>
          <w:rFonts w:hint="eastAsia" w:ascii="宋体" w:hAnsi="宋体" w:eastAsia="宋体"/>
          <w:b/>
          <w:color w:val="auto"/>
          <w:sz w:val="21"/>
          <w:szCs w:val="21"/>
          <w:highlight w:val="none"/>
          <w:lang w:val="en-US" w:eastAsia="zh-CN"/>
        </w:rPr>
        <w:t xml:space="preserve">根据各投标人投标总</w:t>
      </w:r>
      <w:r>
        <w:rPr>
          <w:rFonts w:hint="eastAsia" w:ascii="宋体" w:hAnsi="宋体" w:eastAsia="宋体"/>
          <w:b/>
          <w:color w:val="auto"/>
          <w:sz w:val="21"/>
          <w:szCs w:val="21"/>
          <w:highlight w:val="none"/>
          <w:lang w:val="en-US"/>
        </w:rPr>
        <w:t xml:space="preserve">报价</w:t>
      </w:r>
      <w:r>
        <w:rPr>
          <w:rFonts w:hint="eastAsia" w:ascii="宋体" w:hAnsi="宋体" w:eastAsia="宋体"/>
          <w:b/>
          <w:color w:val="auto"/>
          <w:sz w:val="21"/>
          <w:szCs w:val="21"/>
          <w:highlight w:val="none"/>
          <w:lang w:val="en-US" w:eastAsia="zh-CN"/>
        </w:rPr>
        <w:t xml:space="preserve">金额，</w:t>
      </w:r>
      <w:r>
        <w:rPr>
          <w:rFonts w:hint="eastAsia" w:ascii="宋体" w:hAnsi="宋体" w:eastAsia="宋体"/>
          <w:b/>
          <w:color w:val="auto"/>
          <w:sz w:val="21"/>
          <w:szCs w:val="21"/>
          <w:highlight w:val="none"/>
          <w:lang w:val="en-US"/>
        </w:rPr>
        <w:t xml:space="preserve">评标过程中出现下列情形之一的，评标委员会应当启动异常低价投标（响应）审查程序：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③投标（响应）报价低于采购项目最高限价</w:t>
      </w:r>
      <w:r>
        <w:rPr>
          <w:rFonts w:hint="eastAsia" w:ascii="宋体" w:hAnsi="宋体" w:eastAsia="宋体"/>
          <w:bCs/>
          <w:color w:val="auto"/>
          <w:sz w:val="21"/>
          <w:szCs w:val="21"/>
          <w:highlight w:val="none"/>
          <w:lang w:val="en-US" w:eastAsia="zh-CN"/>
        </w:rPr>
        <w:t xml:space="preserve">6</w:t>
      </w:r>
      <w:r>
        <w:rPr>
          <w:rFonts w:hint="eastAsia" w:ascii="宋体" w:hAnsi="宋体" w:eastAsia="宋体"/>
          <w:bCs/>
          <w:color w:val="auto"/>
          <w:sz w:val="21"/>
          <w:szCs w:val="21"/>
          <w:highlight w:val="none"/>
          <w:lang w:val="en-US"/>
        </w:rPr>
        <w:t xml:space="preserve">5%的，即投标（响应）报价〈采购项目最高限价×</w:t>
      </w:r>
      <w:r>
        <w:rPr>
          <w:rFonts w:hint="eastAsia" w:ascii="宋体" w:hAnsi="宋体" w:eastAsia="宋体"/>
          <w:bCs/>
          <w:color w:val="auto"/>
          <w:sz w:val="21"/>
          <w:szCs w:val="21"/>
          <w:highlight w:val="none"/>
          <w:lang w:val="en-US" w:eastAsia="zh-CN"/>
        </w:rPr>
        <w:t xml:space="preserve">6</w:t>
      </w:r>
      <w:r>
        <w:rPr>
          <w:rFonts w:hint="eastAsia" w:ascii="宋体" w:hAnsi="宋体" w:eastAsia="宋体"/>
          <w:bCs/>
          <w:color w:val="auto"/>
          <w:sz w:val="21"/>
          <w:szCs w:val="21"/>
          <w:highlight w:val="none"/>
          <w:lang w:val="en-US"/>
        </w:rPr>
        <w:t xml:space="preserve">5%；</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19.3.5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330"/>
        <w:ind w:left="0" w:firstLine="420"/>
        <w:jc w:val="both"/>
        <w:spacing w:line="360" w:lineRule="auto"/>
        <w:rPr>
          <w:rFonts w:ascii="宋体" w:hAnsi="宋体" w:eastAsia="宋体"/>
          <w:color w:val="auto"/>
          <w:sz w:val="21"/>
          <w:szCs w:val="21"/>
          <w:highlight w:val="none"/>
        </w:rPr>
        <w:outlineLvl w:val="9"/>
      </w:pPr>
      <w:r/>
      <w:bookmarkStart w:id="91" w:name="_Toc26857"/>
      <w:r/>
      <w:bookmarkStart w:id="92" w:name="_Toc13685"/>
      <w:r>
        <w:rPr>
          <w:rFonts w:hint="eastAsia" w:ascii="宋体" w:hAnsi="宋体" w:eastAsia="宋体"/>
          <w:color w:val="auto"/>
          <w:sz w:val="21"/>
          <w:szCs w:val="21"/>
          <w:highlight w:val="none"/>
        </w:rPr>
        <w:t xml:space="preserve">19.4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投标文件的澄清</w:t>
      </w:r>
      <w:bookmarkEnd w:id="91"/>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p>
    <w:p>
      <w:pPr>
        <w:ind w:firstLine="420"/>
        <w:spacing w:line="360" w:lineRule="auto"/>
        <w:tabs>
          <w:tab w:val="left" w:pos="1365"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19.5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比较与评价</w:t>
      </w:r>
      <w:r/>
    </w:p>
    <w:p>
      <w:pPr>
        <w:ind w:firstLine="420"/>
        <w:spacing w:line="360" w:lineRule="auto"/>
        <w:tabs>
          <w:tab w:val="left" w:pos="1365"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olor w:val="auto"/>
          <w:sz w:val="21"/>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评审因素包括投标报价、技术或服务水平、履约能力、售后服务等。</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评标方法和评标标准详见文件第三章。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19.6</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w:t>
      </w:r>
      <w:r>
        <w:rPr>
          <w:rFonts w:hint="eastAsia" w:ascii="宋体" w:hAnsi="宋体" w:eastAsia="宋体"/>
          <w:color w:val="auto"/>
          <w:sz w:val="21"/>
          <w:szCs w:val="21"/>
          <w:highlight w:val="none"/>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（3）供应商不具备招标文件中规定资格要求的</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（4）供应商在报价时采用选择性报价；</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5</w:t>
      </w:r>
      <w:r>
        <w:rPr>
          <w:rFonts w:hint="eastAsia" w:ascii="宋体" w:hAnsi="宋体" w:eastAsia="宋体"/>
          <w:color w:val="auto"/>
          <w:sz w:val="21"/>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7</w:t>
      </w:r>
      <w:r>
        <w:rPr>
          <w:rFonts w:hint="eastAsia" w:ascii="宋体" w:hAnsi="宋体" w:eastAsia="宋体"/>
          <w:color w:val="auto"/>
          <w:sz w:val="21"/>
          <w:szCs w:val="21"/>
          <w:highlight w:val="none"/>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（11）不同供应商的投标文件相互混装；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（12）不同供应商的负责人为同一人或者存在控股、管理关系的；</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14</w:t>
      </w:r>
      <w:r>
        <w:rPr>
          <w:rFonts w:hint="eastAsia" w:ascii="宋体" w:hAnsi="宋体" w:eastAsia="宋体"/>
          <w:color w:val="auto"/>
          <w:sz w:val="21"/>
          <w:szCs w:val="21"/>
          <w:highlight w:val="none"/>
        </w:rPr>
        <w:t xml:space="preserve">）提供虚假材料的（包括工商营业执照、财务报表、资格证明文件等）；</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（15）未通过符合性检查的；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17</w:t>
      </w:r>
      <w:r>
        <w:rPr>
          <w:rFonts w:hint="eastAsia" w:ascii="宋体" w:hAnsi="宋体" w:eastAsia="宋体"/>
          <w:color w:val="auto"/>
          <w:sz w:val="21"/>
          <w:szCs w:val="21"/>
          <w:highlight w:val="none"/>
        </w:rPr>
        <w:t xml:space="preserve">）不符合招标文件中规定的其他实质性要求的；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18</w:t>
      </w:r>
      <w:r>
        <w:rPr>
          <w:rFonts w:hint="eastAsia" w:ascii="宋体" w:hAnsi="宋体" w:eastAsia="宋体"/>
          <w:color w:val="auto"/>
          <w:sz w:val="21"/>
          <w:szCs w:val="21"/>
          <w:highlight w:val="none"/>
        </w:rPr>
        <w:t xml:space="preserve">）法律法规和招标文件规定的其他无效情形。</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19.7</w:t>
      </w:r>
      <w:r>
        <w:rPr>
          <w:rFonts w:hint="eastAsia" w:ascii="宋体" w:hAnsi="宋体" w:eastAsia="宋体"/>
          <w:b/>
          <w:bCs/>
          <w:color w:val="auto"/>
          <w:sz w:val="21"/>
          <w:szCs w:val="21"/>
          <w:highlight w:val="none"/>
          <w:lang w:val="en-US"/>
        </w:rPr>
        <w:t xml:space="preserve"> </w:t>
      </w:r>
      <w:r>
        <w:rPr>
          <w:rFonts w:hint="eastAsia" w:ascii="宋体" w:hAnsi="宋体" w:eastAsia="宋体"/>
          <w:b/>
          <w:color w:val="auto"/>
          <w:sz w:val="21"/>
          <w:szCs w:val="21"/>
          <w:highlight w:val="none"/>
        </w:rPr>
        <w:t xml:space="preserve">出现下列情形之一的，应予废标：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（3）因重大变故，采购任务取消的；</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在评标期间，通过资格审查或符合性审查的投标人不足3家情形的，比照</w:t>
      </w:r>
      <w:r>
        <w:rPr>
          <w:rFonts w:hint="eastAsia" w:ascii="宋体" w:hAnsi="宋体" w:eastAsia="宋体"/>
          <w:b/>
          <w:bCs/>
          <w:color w:val="auto"/>
          <w:sz w:val="21"/>
          <w:szCs w:val="21"/>
          <w:highlight w:val="none"/>
        </w:rPr>
        <w:t xml:space="preserve">19.3.5</w:t>
      </w:r>
      <w:r>
        <w:rPr>
          <w:rFonts w:hint="eastAsia" w:ascii="宋体" w:hAnsi="宋体" w:eastAsia="宋体"/>
          <w:color w:val="auto"/>
          <w:sz w:val="21"/>
          <w:szCs w:val="21"/>
          <w:highlight w:val="none"/>
        </w:rPr>
        <w:t xml:space="preserve">款执行。</w:t>
      </w:r>
      <w:bookmarkEnd w:id="86"/>
      <w:bookmarkEnd w:id="87"/>
      <w:bookmarkEnd w:id="88"/>
      <w:bookmarkEnd w:id="89"/>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93" w:name="_Toc12294"/>
      <w:r/>
      <w:bookmarkStart w:id="94" w:name="_Toc18327"/>
      <w:r>
        <w:rPr>
          <w:rFonts w:hint="eastAsia" w:ascii="宋体" w:hAnsi="宋体" w:eastAsia="宋体"/>
          <w:b/>
          <w:bCs/>
          <w:color w:val="auto"/>
          <w:sz w:val="21"/>
          <w:szCs w:val="21"/>
          <w:highlight w:val="none"/>
        </w:rPr>
        <w:t xml:space="preserve">六、授标</w:t>
      </w:r>
      <w:bookmarkEnd w:id="93"/>
      <w:r/>
      <w:bookmarkEnd w:id="94"/>
      <w:r/>
      <w:r/>
    </w:p>
    <w:p>
      <w:pPr>
        <w:pStyle w:val="1330"/>
        <w:ind w:left="0" w:firstLine="422"/>
        <w:jc w:val="both"/>
        <w:spacing w:line="360" w:lineRule="auto"/>
        <w:rPr>
          <w:rFonts w:ascii="宋体" w:hAnsi="宋体" w:eastAsia="宋体"/>
          <w:b/>
          <w:bCs/>
          <w:color w:val="auto"/>
          <w:sz w:val="21"/>
          <w:szCs w:val="21"/>
          <w:highlight w:val="none"/>
        </w:rPr>
        <w:outlineLvl w:val="9"/>
      </w:pPr>
      <w:r/>
      <w:bookmarkStart w:id="95" w:name="_Toc28693"/>
      <w:r/>
      <w:bookmarkStart w:id="96" w:name="_Toc27522"/>
      <w:r>
        <w:rPr>
          <w:rFonts w:hint="eastAsia" w:ascii="宋体" w:hAnsi="宋体" w:eastAsia="宋体"/>
          <w:b/>
          <w:bCs/>
          <w:color w:val="auto"/>
          <w:sz w:val="21"/>
          <w:szCs w:val="21"/>
          <w:highlight w:val="none"/>
        </w:rPr>
        <w:t xml:space="preserve">20.确定中标</w:t>
      </w:r>
      <w:bookmarkEnd w:id="95"/>
      <w:r>
        <w:rPr>
          <w:rFonts w:hint="eastAsia" w:ascii="宋体" w:hAnsi="宋体" w:eastAsia="宋体"/>
          <w:b/>
          <w:bCs/>
          <w:color w:val="auto"/>
          <w:sz w:val="21"/>
          <w:szCs w:val="21"/>
          <w:highlight w:val="none"/>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20.1</w:t>
      </w:r>
      <w:r>
        <w:rPr>
          <w:rFonts w:hint="eastAsia" w:ascii="宋体" w:hAnsi="宋体" w:eastAsia="宋体"/>
          <w:color w:val="auto"/>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olor w:val="auto"/>
          <w:sz w:val="21"/>
          <w:szCs w:val="21"/>
          <w:highlight w:val="none"/>
        </w:rPr>
        <w:t xml:space="preserve">本项目推荐3名中标候选人。</w:t>
      </w:r>
      <w:r>
        <w:rPr>
          <w:rFonts w:hint="eastAsia" w:ascii="宋体" w:hAnsi="宋体" w:eastAsia="宋体"/>
          <w:color w:val="auto"/>
          <w:sz w:val="21"/>
          <w:szCs w:val="21"/>
          <w:highlight w:val="none"/>
          <w:lang w:val="en-US"/>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olor w:val="auto"/>
          <w:sz w:val="21"/>
          <w:szCs w:val="21"/>
          <w:highlight w:val="none"/>
        </w:rPr>
        <w:t xml:space="preserve">最低投标价等任何单项因素的最优不是中标的必要条件。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21.评标过程的保密性</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22.签订合同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22.6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采购人与中标人应当根据合同的约定依法履行合同义务。</w:t>
      </w:r>
      <w:bookmarkEnd w:id="97"/>
      <w:r/>
      <w:bookmarkStart w:id="98" w:name="_Toc415"/>
      <w:r/>
      <w:bookmarkStart w:id="99" w:name="_Toc15509"/>
      <w:r/>
      <w:r/>
    </w:p>
    <w:p>
      <w:pPr>
        <w:pStyle w:val="1330"/>
        <w:ind w:left="0" w:firstLine="422"/>
        <w:jc w:val="both"/>
        <w:spacing w:line="360" w:lineRule="auto"/>
        <w:rPr>
          <w:rFonts w:hAnsi="宋体" w:eastAsia="宋体"/>
          <w:color w:val="auto"/>
          <w:sz w:val="21"/>
          <w:szCs w:val="21"/>
          <w:highlight w:val="none"/>
        </w:rPr>
        <w:outlineLvl w:val="9"/>
      </w:pPr>
      <w:r>
        <w:rPr>
          <w:rFonts w:hint="eastAsia" w:ascii="宋体" w:hAnsi="宋体" w:eastAsia="宋体"/>
          <w:b/>
          <w:bCs/>
          <w:color w:val="auto"/>
          <w:sz w:val="21"/>
          <w:szCs w:val="21"/>
          <w:highlight w:val="none"/>
        </w:rPr>
        <w:t xml:space="preserve">23.招标代理服务费</w:t>
      </w:r>
      <w:bookmarkEnd w:id="98"/>
      <w:r/>
      <w:bookmarkEnd w:id="99"/>
      <w:r/>
      <w:r/>
    </w:p>
    <w:p>
      <w:pPr>
        <w:pStyle w:val="1332"/>
        <w:ind w:firstLine="420"/>
        <w:spacing w:line="360" w:lineRule="auto"/>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rPr>
        <w:t xml:space="preserve">中标</w:t>
      </w:r>
      <w:r>
        <w:rPr>
          <w:rFonts w:hint="eastAsia" w:hAnsi="宋体" w:eastAsia="宋体"/>
          <w:color w:val="auto"/>
          <w:sz w:val="21"/>
          <w:szCs w:val="21"/>
          <w:highlight w:val="none"/>
        </w:rPr>
        <w:t xml:space="preserve">金额100万元（含）以上的项目，代理服务费=</w:t>
      </w:r>
      <w:r>
        <w:rPr>
          <w:rFonts w:hint="eastAsia" w:hAnsi="宋体" w:eastAsia="宋体"/>
          <w:color w:val="auto"/>
          <w:sz w:val="21"/>
          <w:szCs w:val="21"/>
          <w:highlight w:val="none"/>
          <w:lang w:val="en-US"/>
        </w:rPr>
        <w:t xml:space="preserve">中标</w:t>
      </w:r>
      <w:r>
        <w:rPr>
          <w:rFonts w:hint="eastAsia" w:hAnsi="宋体" w:eastAsia="宋体"/>
          <w:color w:val="auto"/>
          <w:sz w:val="21"/>
          <w:szCs w:val="21"/>
          <w:highlight w:val="none"/>
        </w:rPr>
        <w:t xml:space="preserve">金额*0.5%</w:t>
      </w:r>
      <w:r>
        <w:rPr>
          <w:rFonts w:hint="eastAsia" w:hAnsi="宋体" w:eastAsia="宋体"/>
          <w:color w:val="auto"/>
          <w:sz w:val="21"/>
          <w:szCs w:val="21"/>
          <w:highlight w:val="none"/>
          <w:lang w:val="en-US" w:eastAsia="zh-CN"/>
        </w:rPr>
        <w:t xml:space="preserve">扣除专家评审费，</w:t>
      </w:r>
      <w:r>
        <w:rPr>
          <w:rFonts w:hint="eastAsia" w:hAnsi="宋体" w:eastAsia="宋体"/>
          <w:color w:val="auto"/>
          <w:sz w:val="21"/>
          <w:szCs w:val="21"/>
          <w:highlight w:val="none"/>
        </w:rPr>
        <w:t xml:space="preserve">代理服务费</w:t>
      </w:r>
      <w:r>
        <w:rPr>
          <w:rFonts w:hint="eastAsia" w:hAnsi="宋体" w:eastAsia="宋体"/>
          <w:color w:val="auto"/>
          <w:sz w:val="21"/>
          <w:szCs w:val="21"/>
          <w:highlight w:val="none"/>
          <w:lang w:val="en-US" w:eastAsia="zh-CN"/>
        </w:rPr>
        <w:t xml:space="preserve">由采购人支付。</w:t>
      </w:r>
      <w:r/>
    </w:p>
    <w:p>
      <w:pPr>
        <w:pStyle w:val="1332"/>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收款信息：</w:t>
      </w:r>
      <w:r/>
    </w:p>
    <w:p>
      <w:pPr>
        <w:pStyle w:val="1332"/>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单位名称：苏美达国际技术贸易有限公司</w:t>
      </w:r>
      <w:r/>
    </w:p>
    <w:p>
      <w:pPr>
        <w:pStyle w:val="1332"/>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开户银行：中信南京分行营业部</w:t>
      </w:r>
      <w:r/>
    </w:p>
    <w:p>
      <w:pPr>
        <w:pStyle w:val="1332"/>
        <w:ind w:firstLine="420"/>
        <w:spacing w:line="360" w:lineRule="auto"/>
        <w:rPr>
          <w:rFonts w:hAnsi="宋体" w:eastAsia="宋体"/>
          <w:color w:val="auto"/>
          <w:sz w:val="21"/>
          <w:highlight w:val="none"/>
        </w:rPr>
      </w:pPr>
      <w:r>
        <w:rPr>
          <w:rFonts w:hint="eastAsia" w:hAnsi="宋体" w:eastAsia="宋体"/>
          <w:color w:val="auto"/>
          <w:sz w:val="21"/>
          <w:szCs w:val="21"/>
          <w:highlight w:val="none"/>
        </w:rPr>
        <w:t xml:space="preserve">账    号：7321010182300013675</w:t>
      </w:r>
      <w:r>
        <w:rPr>
          <w:rFonts w:hint="eastAsia" w:hAnsi="宋体" w:eastAsia="宋体"/>
          <w:color w:val="auto"/>
          <w:sz w:val="21"/>
          <w:highlight w:val="none"/>
        </w:rPr>
        <w:t xml:space="preserve">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100" w:name="_Toc5784"/>
      <w:r>
        <w:rPr>
          <w:rFonts w:hint="eastAsia" w:ascii="宋体" w:hAnsi="宋体" w:eastAsia="宋体"/>
          <w:b/>
          <w:bCs/>
          <w:color w:val="auto"/>
          <w:sz w:val="21"/>
          <w:szCs w:val="21"/>
          <w:highlight w:val="none"/>
        </w:rPr>
        <w:t xml:space="preserve">七、质疑</w:t>
      </w:r>
      <w:bookmarkEnd w:id="100"/>
      <w:r>
        <w:rPr>
          <w:rFonts w:hint="eastAsia" w:ascii="宋体" w:hAnsi="宋体" w:eastAsia="宋体"/>
          <w:b/>
          <w:bCs/>
          <w:color w:val="auto"/>
          <w:sz w:val="21"/>
          <w:szCs w:val="21"/>
          <w:highlight w:val="none"/>
        </w:rPr>
        <w:t xml:space="preserve">和投诉</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24.质疑</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b/>
          <w:bCs/>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供应商应知其权益受到损害之日，是指：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（2）具体的质疑事项及法律依据（具体条款）；</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auto"/>
          <w:sz w:val="21"/>
          <w:szCs w:val="21"/>
          <w:highlight w:val="none"/>
        </w:rPr>
        <w:t xml:space="preserve">修改理由</w:t>
      </w:r>
      <w:r>
        <w:rPr>
          <w:rFonts w:hint="eastAsia" w:ascii="宋体" w:hAnsi="宋体" w:eastAsia="宋体"/>
          <w:color w:val="auto"/>
          <w:sz w:val="21"/>
          <w:szCs w:val="21"/>
          <w:highlight w:val="none"/>
        </w:rPr>
        <w:t xml:space="preserve">和</w:t>
      </w:r>
      <w:r>
        <w:rPr>
          <w:rFonts w:hint="eastAsia" w:ascii="宋体" w:hAnsi="宋体" w:eastAsia="宋体"/>
          <w:b/>
          <w:bCs/>
          <w:color w:val="auto"/>
          <w:sz w:val="21"/>
          <w:szCs w:val="21"/>
          <w:highlight w:val="none"/>
        </w:rPr>
        <w:t xml:space="preserve">修改建议</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采购代理机构在收到投标商的书面质疑后将及时组织调查核实，在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25.投诉</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向采购人同级财政部门投诉。</w:t>
      </w:r>
      <w:r/>
    </w:p>
    <w:p>
      <w:pPr>
        <w:jc w:val="center"/>
        <w:spacing w:line="288"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pStyle w:val="913"/>
        <w:ind w:firstLine="420"/>
        <w:spacing w:line="360" w:lineRule="auto"/>
        <w:tabs>
          <w:tab w:val="left" w:pos="567" w:leader="none"/>
          <w:tab w:val="left" w:pos="965" w:leader="none"/>
        </w:tabs>
        <w:rPr>
          <w:rFonts w:hAnsi="宋体" w:cs="宋体"/>
          <w:color w:val="auto"/>
          <w:szCs w:val="21"/>
          <w:highlight w:val="none"/>
        </w:rPr>
      </w:pPr>
      <w:r>
        <w:rPr>
          <w:rFonts w:hint="eastAsia" w:hAnsi="宋体" w:cs="宋体"/>
          <w:color w:val="auto"/>
          <w:szCs w:val="21"/>
          <w:highlight w:val="none"/>
        </w:rPr>
        <w:t xml:space="preserve">本项目采用综合评分法。对投标报价、技术和商务等情况进行综合评审，满分100分，将全部评委评分直接进行算术平均，小数点后保留2位。</w:t>
      </w:r>
      <w:r/>
    </w:p>
    <w:p>
      <w:pPr>
        <w:pStyle w:val="913"/>
        <w:ind w:firstLine="420"/>
        <w:spacing w:line="360" w:lineRule="auto"/>
        <w:tabs>
          <w:tab w:val="left" w:pos="567" w:leader="none"/>
          <w:tab w:val="left" w:pos="965" w:leader="none"/>
        </w:tabs>
        <w:rPr>
          <w:rFonts w:hAnsi="宋体" w:cs="宋体"/>
          <w:color w:val="auto"/>
          <w:szCs w:val="21"/>
          <w:highlight w:val="none"/>
        </w:rPr>
      </w:pPr>
      <w:r>
        <w:rPr>
          <w:rFonts w:hint="eastAsia" w:hAnsi="宋体" w:cs="宋体"/>
          <w:color w:val="auto"/>
          <w:szCs w:val="21"/>
          <w:highlight w:val="none"/>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p>
    <w:p>
      <w:pPr>
        <w:pStyle w:val="913"/>
        <w:ind w:firstLine="420"/>
        <w:spacing w:line="360" w:lineRule="auto"/>
        <w:tabs>
          <w:tab w:val="left" w:pos="567" w:leader="none"/>
          <w:tab w:val="left" w:pos="965" w:leader="none"/>
        </w:tabs>
        <w:rPr>
          <w:rFonts w:hAnsi="宋体" w:cs="宋体"/>
          <w:color w:val="auto"/>
          <w:szCs w:val="21"/>
          <w:highlight w:val="none"/>
        </w:rPr>
      </w:pPr>
      <w:r>
        <w:rPr>
          <w:rFonts w:hint="eastAsia" w:hAnsi="宋体" w:cs="宋体"/>
          <w:color w:val="auto"/>
          <w:szCs w:val="21"/>
          <w:highlight w:val="none"/>
        </w:rPr>
        <w:t xml:space="preserve">在满足招标文件要求的条件下，评标委员会根据评分细则进行评审，按得分由高到低的顺序推荐中标候选人。如果得分相同，按投标报价由低到高顺序排列；得分、报价均相同的情况下，按服务方案得分由高到低的顺序排列；如以上均相同，抽签确定中标候选人。最低</w:t>
      </w:r>
      <w:r>
        <w:rPr>
          <w:rFonts w:hint="eastAsia" w:hAnsi="宋体" w:cs="宋体"/>
          <w:color w:val="auto"/>
          <w:szCs w:val="21"/>
          <w:highlight w:val="none"/>
          <w:lang w:val="en-US" w:eastAsia="zh-CN"/>
        </w:rPr>
        <w:t xml:space="preserve">投标报</w:t>
      </w:r>
      <w:r>
        <w:rPr>
          <w:rFonts w:hint="eastAsia" w:hAnsi="宋体" w:cs="宋体"/>
          <w:color w:val="auto"/>
          <w:szCs w:val="21"/>
          <w:highlight w:val="none"/>
        </w:rPr>
        <w:t xml:space="preserve">价等任何单项因素的最优不是</w:t>
      </w:r>
      <w:r>
        <w:rPr>
          <w:rFonts w:hint="eastAsia" w:hAnsi="宋体" w:cs="宋体"/>
          <w:color w:val="auto"/>
          <w:szCs w:val="21"/>
          <w:highlight w:val="none"/>
          <w:lang w:val="en-US" w:eastAsia="zh-CN"/>
        </w:rPr>
        <w:t xml:space="preserve">中标</w:t>
      </w:r>
      <w:r>
        <w:rPr>
          <w:rFonts w:hint="eastAsia" w:hAnsi="宋体" w:cs="宋体"/>
          <w:color w:val="auto"/>
          <w:szCs w:val="21"/>
          <w:highlight w:val="none"/>
        </w:rPr>
        <w:t xml:space="preserve">的必要条件。</w:t>
      </w:r>
      <w:r/>
    </w:p>
    <w:tbl>
      <w:tblPr>
        <w:tblStyle w:val="895"/>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360"/>
        <w:gridCol w:w="6759"/>
        <w:gridCol w:w="1002"/>
      </w:tblGrid>
      <w:tr>
        <w:trPr>
          <w:trHeight w:val="57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408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trHeight w:val="55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2"/>
            <w:tcBorders>
              <w:top w:val="single" w:color="auto" w:sz="4" w:space="0"/>
              <w:left w:val="none" w:color="000000" w:sz="4" w:space="0"/>
              <w:bottom w:val="single" w:color="auto" w:sz="4" w:space="0"/>
              <w:right w:val="single" w:color="auto" w:sz="4" w:space="0"/>
            </w:tcBorders>
            <w:tcW w:w="408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报价评审</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10分</w:t>
            </w:r>
            <w:r/>
          </w:p>
        </w:tc>
      </w:tr>
      <w:tr>
        <w:trPr>
          <w:trHeight w:val="108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4083" w:type="pct"/>
            <w:vAlign w:val="center"/>
            <w:textDirection w:val="lrTb"/>
            <w:noWrap w:val="false"/>
          </w:tcPr>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采用低价优先法计算，即满足招标文件要求且</w:t>
            </w:r>
            <w:r>
              <w:rPr>
                <w:rFonts w:hint="eastAsia" w:ascii="宋体" w:hAnsi="宋体" w:eastAsia="宋体" w:cs="宋体"/>
                <w:color w:val="auto"/>
                <w:sz w:val="21"/>
                <w:szCs w:val="21"/>
                <w:highlight w:val="none"/>
                <w:lang w:val="en-US" w:eastAsia="zh-CN"/>
              </w:rPr>
              <w:t xml:space="preserve">投标总</w:t>
            </w:r>
            <w:r>
              <w:rPr>
                <w:rFonts w:hint="eastAsia" w:ascii="宋体" w:hAnsi="宋体" w:eastAsia="宋体" w:cs="宋体"/>
                <w:color w:val="auto"/>
                <w:sz w:val="21"/>
                <w:szCs w:val="21"/>
                <w:highlight w:val="none"/>
              </w:rPr>
              <w:t xml:space="preserve">报价价格最低的报价为评审基准价，其价格分为满分。其他投标人的价格分统一按照下列公式计算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报价得分=(评审基准价/</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（小数点保留两位）</w:t>
            </w:r>
            <w:r>
              <w:rPr>
                <w:rFonts w:hint="eastAsia" w:ascii="宋体" w:hAnsi="宋体" w:eastAsia="宋体" w:cs="宋体"/>
                <w:color w:val="auto"/>
                <w:sz w:val="21"/>
                <w:szCs w:val="21"/>
                <w:highlight w:val="none"/>
                <w:lang w:eastAsia="zh-CN"/>
              </w:rPr>
              <w:t xml:space="preserve">。</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有效投标人是指实质上响应招标文件要求并通过实质性审核未被废标的所有投标人。</w:t>
            </w:r>
            <w:r>
              <w:rPr>
                <w:rFonts w:hint="eastAsia" w:ascii="宋体" w:hAnsi="宋体" w:eastAsia="宋体" w:cs="宋体"/>
                <w:color w:val="auto"/>
                <w:sz w:val="21"/>
                <w:szCs w:val="21"/>
                <w:highlight w:val="none"/>
                <w:lang w:val="en-US" w:eastAsia="zh-CN"/>
              </w:rPr>
              <w:t xml:space="preserve">投标总报价=常规部分+浮动费用（加班费），其中浮动费用（加班费）须按照固定值320000元报价，否则作无效投标处理，最终履约按实结算。</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trHeight w:val="56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gridSpan w:val="2"/>
            <w:tcBorders>
              <w:top w:val="single" w:color="auto" w:sz="4" w:space="0"/>
              <w:left w:val="none" w:color="000000" w:sz="4" w:space="0"/>
              <w:bottom w:val="single" w:color="auto" w:sz="4" w:space="0"/>
              <w:right w:val="single" w:color="auto" w:sz="4" w:space="0"/>
            </w:tcBorders>
            <w:tcW w:w="408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商务评审</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28</w:t>
            </w:r>
            <w:r>
              <w:rPr>
                <w:rFonts w:hint="eastAsia" w:ascii="宋体" w:hAnsi="宋体" w:eastAsia="宋体" w:cs="宋体"/>
                <w:b/>
                <w:color w:val="auto"/>
                <w:sz w:val="21"/>
                <w:szCs w:val="21"/>
                <w:highlight w:val="none"/>
              </w:rPr>
              <w:t xml:space="preserve">分</w:t>
            </w:r>
            <w:r/>
          </w:p>
        </w:tc>
      </w:tr>
      <w:tr>
        <w:trPr>
          <w:trHeight w:val="1150"/>
        </w:trPr>
        <w:tc>
          <w:tcPr>
            <w:shd w:val="clear" w:color="auto" w:fill="auto"/>
            <w:tcBorders>
              <w:top w:val="single" w:color="auto" w:sz="4" w:space="0"/>
              <w:left w:val="single" w:color="auto" w:sz="4" w:space="0"/>
              <w:right w:val="single" w:color="auto" w:sz="4" w:space="0"/>
            </w:tcBorders>
            <w:tcW w:w="412"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shd w:val="clear" w:color="auto" w:fill="auto"/>
            <w:tcBorders>
              <w:top w:val="single" w:color="auto" w:sz="4" w:space="0"/>
              <w:left w:val="none" w:color="000000" w:sz="4" w:space="0"/>
              <w:right w:val="single" w:color="auto" w:sz="4" w:space="0"/>
            </w:tcBorders>
            <w:tcW w:w="684"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w:t>
            </w:r>
            <w:r/>
          </w:p>
        </w:tc>
        <w:tc>
          <w:tcPr>
            <w:shd w:val="clear" w:color="auto" w:fill="ffffff"/>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为本项目</w:t>
            </w:r>
            <w:r>
              <w:rPr>
                <w:rFonts w:hint="eastAsia" w:ascii="宋体" w:hAnsi="宋体" w:eastAsia="宋体" w:cs="宋体"/>
                <w:color w:val="auto"/>
                <w:sz w:val="21"/>
                <w:szCs w:val="21"/>
                <w:highlight w:val="none"/>
              </w:rPr>
              <w:t xml:space="preserve">拟派驻保安队长</w:t>
            </w:r>
            <w:r>
              <w:rPr>
                <w:rFonts w:hint="eastAsia" w:ascii="宋体" w:hAnsi="宋体" w:eastAsia="宋体" w:cs="宋体"/>
                <w:color w:val="auto"/>
                <w:sz w:val="21"/>
                <w:szCs w:val="21"/>
                <w:highlight w:val="none"/>
              </w:rPr>
              <w:t xml:space="preserve">（年龄45岁以下）</w:t>
            </w:r>
            <w:r>
              <w:rPr>
                <w:rFonts w:hint="eastAsia" w:ascii="宋体" w:hAnsi="宋体" w:eastAsia="宋体" w:cs="宋体"/>
                <w:color w:val="auto"/>
                <w:sz w:val="21"/>
                <w:szCs w:val="21"/>
                <w:highlight w:val="none"/>
              </w:rPr>
              <w:t xml:space="preserve">具有人力资源社会保障部门备案的社会培训评价组织颁发的保安员职业技能等级三级（高级工）及以上证书的得1分</w:t>
            </w:r>
            <w:r>
              <w:rPr>
                <w:rFonts w:hint="eastAsia" w:ascii="宋体" w:hAnsi="宋体" w:eastAsia="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具有高中/中专及以上学历证书的，得1分；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具有有效的</w:t>
            </w:r>
            <w:r>
              <w:rPr>
                <w:rFonts w:hint="eastAsia" w:ascii="宋体" w:hAnsi="宋体" w:eastAsia="宋体" w:cs="宋体"/>
                <w:color w:val="auto"/>
                <w:sz w:val="21"/>
                <w:szCs w:val="21"/>
                <w:highlight w:val="none"/>
              </w:rPr>
              <w:t xml:space="preserve">红十字救护员证的，得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具有消防设施操作员</w:t>
            </w:r>
            <w:r>
              <w:rPr>
                <w:rFonts w:hint="eastAsia" w:ascii="宋体" w:hAnsi="宋体" w:eastAsia="宋体" w:cs="宋体"/>
                <w:color w:val="auto"/>
                <w:sz w:val="21"/>
                <w:szCs w:val="21"/>
                <w:highlight w:val="none"/>
                <w:lang w:eastAsia="zh-CN"/>
              </w:rPr>
              <w:t xml:space="preserve">（原建（构）筑物消防员）</w:t>
            </w:r>
            <w:r>
              <w:rPr>
                <w:rFonts w:hint="eastAsia" w:ascii="宋体" w:hAnsi="宋体" w:eastAsia="宋体" w:cs="宋体"/>
                <w:color w:val="auto"/>
                <w:sz w:val="21"/>
                <w:szCs w:val="21"/>
                <w:highlight w:val="none"/>
              </w:rPr>
              <w:t xml:space="preserve">职业技能等级四级</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以上/中级工及以上证书的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937"/>
              <w:spacing w:line="360" w:lineRule="auto"/>
              <w:rPr>
                <w:rFonts w:hint="eastAsia" w:eastAsia="宋体"/>
                <w:color w:val="auto"/>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拟派驻保安队长</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类似</w:t>
            </w:r>
            <w:r>
              <w:rPr>
                <w:rFonts w:hint="eastAsia" w:ascii="宋体" w:hAnsi="宋体" w:eastAsia="宋体" w:cs="宋体"/>
                <w:color w:val="auto"/>
                <w:sz w:val="21"/>
                <w:szCs w:val="21"/>
                <w:highlight w:val="none"/>
              </w:rPr>
              <w:t xml:space="preserve">公建场馆类</w:t>
            </w:r>
            <w:r>
              <w:rPr>
                <w:rFonts w:hint="eastAsia" w:ascii="宋体" w:hAnsi="宋体" w:eastAsia="宋体" w:cs="宋体"/>
                <w:color w:val="auto"/>
                <w:sz w:val="21"/>
                <w:szCs w:val="21"/>
                <w:highlight w:val="none"/>
                <w:lang w:eastAsia="zh-CN"/>
              </w:rPr>
              <w:t xml:space="preserve">（指主要用于公众集会、体育赛事、文艺演出、展览展示、科普文化</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活动的公共场馆）</w:t>
            </w:r>
            <w:r>
              <w:rPr>
                <w:rFonts w:hint="eastAsia" w:ascii="宋体" w:hAnsi="宋体" w:eastAsia="宋体" w:cs="宋体"/>
                <w:color w:val="auto"/>
                <w:sz w:val="21"/>
                <w:szCs w:val="21"/>
                <w:highlight w:val="none"/>
                <w:lang w:val="en-US" w:eastAsia="zh-CN"/>
              </w:rPr>
              <w:t xml:space="preserve">保安</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rPr>
              <w:t xml:space="preserve">项目岗位经验，</w:t>
            </w:r>
            <w:r>
              <w:rPr>
                <w:rFonts w:hint="eastAsia" w:ascii="宋体" w:hAnsi="宋体" w:eastAsia="宋体" w:cs="宋体"/>
                <w:color w:val="auto"/>
                <w:sz w:val="21"/>
                <w:szCs w:val="21"/>
                <w:highlight w:val="none"/>
                <w:lang w:val="en-US" w:eastAsia="zh-CN"/>
              </w:rPr>
              <w:t xml:space="preserve">每提供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上述</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val="en-US" w:eastAsia="zh-CN"/>
              </w:rPr>
              <w:t xml:space="preserve">得1分，本项最高得3分。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提供合同复印件并加盖公章，</w:t>
            </w:r>
            <w:r>
              <w:rPr>
                <w:rFonts w:hint="eastAsia" w:ascii="宋体" w:hAnsi="宋体" w:eastAsia="宋体" w:cs="宋体"/>
                <w:color w:val="auto"/>
                <w:sz w:val="21"/>
                <w:szCs w:val="21"/>
                <w:highlight w:val="none"/>
                <w:lang w:val="en-US" w:eastAsia="zh-CN"/>
              </w:rPr>
              <w:t xml:space="preserve">合同名称或服务内容须包含“保安”或“安保”关键词且非临时性保安/安保服务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合同中须能体现对应人员姓名（如无法体现，须同时提供服务单位为其出具的证明材料并加盖服务单位印章）、</w:t>
            </w:r>
            <w:r>
              <w:rPr>
                <w:rFonts w:hint="eastAsia" w:ascii="宋体" w:hAnsi="宋体" w:eastAsia="宋体" w:cs="宋体"/>
                <w:color w:val="auto"/>
                <w:sz w:val="21"/>
                <w:szCs w:val="21"/>
                <w:highlight w:val="none"/>
              </w:rPr>
              <w:t xml:space="preserve">服务内容、业主单位名称、签订合同日期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不提供或信息不全的不得分，原件备查</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spacing w:line="360" w:lineRule="auto"/>
              <w:rPr>
                <w:rFonts w:hint="eastAsia"/>
                <w:color w:val="auto"/>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提供人员证书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证明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eastAsia="zh-CN"/>
              </w:rPr>
              <w:t xml:space="preserve">2026年5月至今</w:t>
            </w:r>
            <w:r>
              <w:rPr>
                <w:rFonts w:hint="eastAsia" w:ascii="宋体" w:hAnsi="宋体" w:eastAsia="宋体" w:cs="宋体"/>
                <w:color w:val="auto"/>
                <w:sz w:val="21"/>
                <w:szCs w:val="21"/>
                <w:highlight w:val="none"/>
              </w:rPr>
              <w:t xml:space="preserve">任一个月投标人为其缴纳的</w:t>
            </w:r>
            <w:r>
              <w:rPr>
                <w:rFonts w:hint="eastAsia" w:ascii="宋体" w:hAnsi="宋体" w:eastAsia="宋体" w:cs="宋体"/>
                <w:color w:val="auto"/>
                <w:sz w:val="21"/>
                <w:szCs w:val="21"/>
                <w:highlight w:val="none"/>
              </w:rPr>
              <w:t xml:space="preserve">社保证明材料，加盖</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r>
      <w:tr>
        <w:trPr>
          <w:trHeight w:val="1150"/>
        </w:trPr>
        <w:tc>
          <w:tcPr>
            <w:shd w:val="clear" w:color="auto" w:fill="auto"/>
            <w:tcBorders>
              <w:left w:val="single" w:color="auto" w:sz="4" w:space="0"/>
              <w:right w:val="single" w:color="auto" w:sz="4" w:space="0"/>
            </w:tcBorders>
            <w:tcW w:w="412"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shd w:val="clear" w:color="auto" w:fill="auto"/>
            <w:tcBorders>
              <w:left w:val="none" w:color="000000" w:sz="4" w:space="0"/>
              <w:right w:val="single" w:color="auto" w:sz="4" w:space="0"/>
            </w:tcBorders>
            <w:tcW w:w="684" w:type="pct"/>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除保安队长外，其余</w:t>
            </w:r>
            <w:r>
              <w:rPr>
                <w:rFonts w:hint="eastAsia" w:ascii="宋体" w:hAnsi="宋体" w:eastAsia="宋体" w:cs="宋体"/>
                <w:color w:val="auto"/>
                <w:sz w:val="21"/>
                <w:szCs w:val="21"/>
                <w:highlight w:val="none"/>
                <w:lang w:val="en-US" w:eastAsia="zh-CN"/>
              </w:rPr>
              <w:t xml:space="preserve">派驻</w:t>
            </w:r>
            <w:r>
              <w:rPr>
                <w:rFonts w:hint="eastAsia" w:ascii="宋体" w:hAnsi="宋体" w:eastAsia="宋体" w:cs="宋体"/>
                <w:color w:val="auto"/>
                <w:sz w:val="21"/>
                <w:szCs w:val="21"/>
                <w:highlight w:val="none"/>
              </w:rPr>
              <w:t xml:space="preserve">人员中具有人力资源社会保障部门备案的社会培训评价组织颁发的保安员职业技能等级三级（高级工）及以上证书的，每有1人得1分，满分2分。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其余人员中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具有有效的</w:t>
            </w:r>
            <w:r>
              <w:rPr>
                <w:rFonts w:hint="eastAsia" w:ascii="宋体" w:hAnsi="宋体" w:eastAsia="宋体" w:cs="宋体"/>
                <w:color w:val="auto"/>
                <w:sz w:val="21"/>
                <w:szCs w:val="21"/>
                <w:highlight w:val="none"/>
              </w:rPr>
              <w:t xml:space="preserve">红十字救护员证</w:t>
            </w:r>
            <w:r>
              <w:rPr>
                <w:rFonts w:hint="eastAsia" w:ascii="宋体" w:hAnsi="宋体" w:eastAsia="宋体" w:cs="宋体"/>
                <w:color w:val="auto"/>
                <w:sz w:val="21"/>
                <w:szCs w:val="21"/>
                <w:highlight w:val="none"/>
              </w:rPr>
              <w:t xml:space="preserve">的，每有1人得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）具有消防设施操作员（原建（构）筑物消防员）职业技能等级四级</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以上/中级工</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以上证书的，每有1人得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eastAsia="zh-CN"/>
              </w:rPr>
              <w:t xml:space="preserve">分，满分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提供人员证书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证明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eastAsia="zh-CN"/>
              </w:rPr>
              <w:t xml:space="preserve">2026年5月至今</w:t>
            </w:r>
            <w:r>
              <w:rPr>
                <w:rFonts w:hint="eastAsia" w:ascii="宋体" w:hAnsi="宋体" w:eastAsia="宋体" w:cs="宋体"/>
                <w:color w:val="auto"/>
                <w:sz w:val="21"/>
                <w:szCs w:val="21"/>
                <w:highlight w:val="none"/>
              </w:rPr>
              <w:t xml:space="preserve">任一个月投标人为其缴纳的</w:t>
            </w:r>
            <w:r>
              <w:rPr>
                <w:rFonts w:hint="eastAsia" w:ascii="宋体" w:hAnsi="宋体" w:eastAsia="宋体" w:cs="宋体"/>
                <w:color w:val="auto"/>
                <w:sz w:val="21"/>
                <w:szCs w:val="21"/>
                <w:highlight w:val="none"/>
              </w:rPr>
              <w:t xml:space="preserve">社保证明材料</w:t>
            </w:r>
            <w:r>
              <w:rPr>
                <w:rFonts w:hint="eastAsia" w:ascii="宋体" w:hAnsi="宋体" w:eastAsia="宋体" w:cs="宋体"/>
                <w:color w:val="auto"/>
                <w:sz w:val="21"/>
                <w:szCs w:val="21"/>
                <w:highlight w:val="none"/>
              </w:rPr>
              <w:t xml:space="preserve">，加盖</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rPr>
              <w:t xml:space="preserve">，同一人员不可重复计分。</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r>
      <w:tr>
        <w:trPr>
          <w:trHeight w:val="7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lang w:val="en-US" w:eastAsia="zh-CN"/>
              </w:rPr>
              <w:t xml:space="preserve">2</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月1日以来（以合同签订时间为准）具有类似公建场馆类</w:t>
            </w:r>
            <w:r>
              <w:rPr>
                <w:rFonts w:hint="eastAsia" w:ascii="宋体" w:hAnsi="宋体" w:eastAsia="宋体" w:cs="宋体"/>
                <w:color w:val="auto"/>
                <w:sz w:val="21"/>
                <w:szCs w:val="21"/>
                <w:highlight w:val="none"/>
                <w:lang w:eastAsia="zh-CN"/>
              </w:rPr>
              <w:t xml:space="preserve">（指主要用于公众集会、体育赛事、文艺演出、展览展示、科普文化</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活动的公共场馆）</w:t>
            </w:r>
            <w:r>
              <w:rPr>
                <w:rFonts w:hint="eastAsia" w:ascii="宋体" w:hAnsi="宋体" w:eastAsia="宋体" w:cs="宋体"/>
                <w:color w:val="auto"/>
                <w:sz w:val="21"/>
                <w:szCs w:val="21"/>
                <w:highlight w:val="none"/>
                <w:lang w:val="en-US" w:eastAsia="zh-CN"/>
              </w:rPr>
              <w:t xml:space="preserve">保安</w:t>
            </w:r>
            <w:r>
              <w:rPr>
                <w:rFonts w:hint="eastAsia" w:ascii="宋体" w:hAnsi="宋体" w:eastAsia="宋体" w:cs="宋体"/>
                <w:color w:val="auto"/>
                <w:sz w:val="21"/>
                <w:szCs w:val="21"/>
                <w:highlight w:val="none"/>
              </w:rPr>
              <w:t xml:space="preserve">服务项目业绩的，每有一个</w:t>
            </w:r>
            <w:r>
              <w:rPr>
                <w:rFonts w:hint="eastAsia" w:ascii="宋体" w:hAnsi="宋体" w:eastAsia="宋体" w:cs="宋体"/>
                <w:color w:val="auto"/>
                <w:sz w:val="21"/>
                <w:szCs w:val="21"/>
                <w:highlight w:val="none"/>
                <w:lang w:val="en-US" w:eastAsia="zh-CN"/>
              </w:rPr>
              <w:t xml:space="preserve">上述</w:t>
            </w:r>
            <w:r>
              <w:rPr>
                <w:rFonts w:hint="eastAsia" w:ascii="宋体" w:hAnsi="宋体" w:eastAsia="宋体" w:cs="宋体"/>
                <w:color w:val="auto"/>
                <w:sz w:val="21"/>
                <w:szCs w:val="21"/>
                <w:highlight w:val="none"/>
              </w:rPr>
              <w:t xml:space="preserve">业绩得4分，最高得12分。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注：1）须提供</w:t>
            </w:r>
            <w:r>
              <w:rPr>
                <w:rFonts w:hint="eastAsia" w:ascii="宋体" w:hAnsi="宋体" w:eastAsia="宋体" w:cs="宋体"/>
                <w:color w:val="auto"/>
                <w:sz w:val="21"/>
                <w:szCs w:val="21"/>
                <w:highlight w:val="none"/>
                <w:lang w:val="en-US" w:eastAsia="zh-CN"/>
              </w:rPr>
              <w:t xml:space="preserve">保安</w:t>
            </w:r>
            <w:r>
              <w:rPr>
                <w:rFonts w:hint="eastAsia" w:ascii="宋体" w:hAnsi="宋体" w:eastAsia="宋体" w:cs="宋体"/>
                <w:color w:val="auto"/>
                <w:sz w:val="21"/>
                <w:szCs w:val="21"/>
                <w:highlight w:val="none"/>
              </w:rPr>
              <w:t xml:space="preserve">合同复印件加盖</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合同名称或服务内容须包含“保安”或“安保”关键词且非临时性保安/安保服务</w:t>
            </w:r>
            <w:r>
              <w:rPr>
                <w:rFonts w:hint="eastAsia" w:ascii="宋体" w:hAnsi="宋体" w:eastAsia="宋体" w:cs="宋体"/>
                <w:color w:val="auto"/>
                <w:sz w:val="21"/>
                <w:szCs w:val="21"/>
                <w:highlight w:val="none"/>
              </w:rPr>
              <w:t xml:space="preserve">，合同须清晰可见服务内容、业主单位名称、签订合同日期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不提供或信息不全的不得分，原件备查。</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）同一用户不重复计。</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7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lang w:val="en-US" w:eastAsia="zh-CN"/>
              </w:rPr>
              <w:t xml:space="preserve">3</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满意度评价</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月1日以来具有既往用户（为评标标准第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条：“类似业绩”证明材料的业主）提供的满意</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以上的评价，每提供一个满意</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以上评价得1分，最多得3分。需提供满意度评价证明资料复印件</w:t>
            </w:r>
            <w:r>
              <w:rPr>
                <w:rFonts w:hint="eastAsia" w:ascii="宋体" w:hAnsi="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加盖</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lang w:val="en-US" w:eastAsia="zh-CN"/>
              </w:rPr>
              <w:t xml:space="preserve">用户</w:t>
            </w:r>
            <w:r>
              <w:rPr>
                <w:rFonts w:hint="eastAsia" w:ascii="宋体" w:hAnsi="宋体" w:eastAsia="宋体" w:cs="宋体"/>
                <w:color w:val="auto"/>
                <w:sz w:val="21"/>
                <w:szCs w:val="21"/>
                <w:highlight w:val="none"/>
              </w:rPr>
              <w:t xml:space="preserve">单位盖章不予计分，同一用户不重复计</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trHeight w:val="597"/>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三</w:t>
            </w:r>
            <w:r/>
          </w:p>
        </w:tc>
        <w:tc>
          <w:tcPr>
            <w:gridSpan w:val="2"/>
            <w:tcBorders>
              <w:top w:val="single" w:color="auto" w:sz="4" w:space="0"/>
              <w:left w:val="none" w:color="000000" w:sz="4" w:space="0"/>
              <w:bottom w:val="single" w:color="auto" w:sz="4" w:space="0"/>
              <w:right w:val="single" w:color="auto" w:sz="4" w:space="0"/>
            </w:tcBorders>
            <w:tcW w:w="4083" w:type="pct"/>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技术评审</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t xml:space="preserve">62</w:t>
            </w:r>
            <w:r>
              <w:rPr>
                <w:rFonts w:hint="eastAsia" w:ascii="宋体" w:hAnsi="宋体" w:eastAsia="宋体" w:cs="宋体"/>
                <w:b/>
                <w:color w:val="auto"/>
                <w:sz w:val="21"/>
                <w:szCs w:val="21"/>
                <w:highlight w:val="none"/>
                <w:shd w:val="clear" w:color="auto" w:fill="ffffff"/>
              </w:rPr>
              <w:t xml:space="preserve">分</w:t>
            </w:r>
            <w:r/>
          </w:p>
        </w:tc>
      </w:tr>
      <w:tr>
        <w:trPr>
          <w:trHeight w:val="14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供应商需针对第四章“一、岗位汇总”中要求</w:t>
            </w:r>
            <w:r>
              <w:rPr>
                <w:rFonts w:hint="eastAsia" w:ascii="宋体" w:hAnsi="宋体" w:eastAsia="宋体" w:cs="宋体"/>
                <w:color w:val="auto"/>
                <w:sz w:val="21"/>
                <w:szCs w:val="21"/>
                <w:highlight w:val="none"/>
              </w:rPr>
              <w:t xml:space="preserve">逐条响应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完全满足该项要求的得16分，每负偏离一项扣1分，扣完为止，缺项漏项视为负偏离。</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p>
        </w:tc>
      </w:tr>
      <w:tr>
        <w:trPr>
          <w:trHeight w:val="14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项目需求分析（针对南京博物院岗位设置、大客流、文物安保、夜间值守特点）；②总体服务目标；③排班方案；④大客流、重大活动安保实施措施；⑤文物安全防护相关安保措施；⑥本项目重难点分析及对应对策】</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分：6项基础要素全部完整提供，每一项均结合南京博物院本项目实际场景展开详细落地措施，不直接套用通用模板；</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分：6项基础要素齐全，有对应阐述，但部分内容为通用性描述，对博物院项目特点针对性不足；</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4分：基础要素缺失1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2项，或方案框架完整但落地措施简略；</w:t>
            </w:r>
            <w:r/>
          </w:p>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1分：基础要素缺失3项，或方案框架不完整且落地措施简略；</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0分：未提供方案，或缺失</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项及以上基础要素，或无针对本项目需求分析。</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r>
      <w:tr>
        <w:trPr>
          <w:trHeight w:val="14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【核查基础要素清单：①匹配招标文件逐月人员数量要求；②</w:t>
            </w:r>
            <w:r>
              <w:rPr>
                <w:rFonts w:hint="eastAsia" w:ascii="宋体" w:hAnsi="宋体" w:eastAsia="宋体" w:cs="宋体"/>
                <w:color w:val="auto"/>
                <w:sz w:val="21"/>
                <w:szCs w:val="21"/>
                <w:highlight w:val="none"/>
                <w:lang w:val="en-US" w:eastAsia="zh-CN"/>
              </w:rPr>
              <w:t xml:space="preserve">文化水平</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en-US" w:eastAsia="zh-CN"/>
              </w:rPr>
              <w:t xml:space="preserve">年龄结构</w:t>
            </w:r>
            <w:r>
              <w:rPr>
                <w:rFonts w:hint="eastAsia" w:ascii="宋体" w:hAnsi="宋体" w:eastAsia="宋体" w:cs="宋体"/>
                <w:color w:val="auto"/>
                <w:sz w:val="21"/>
                <w:szCs w:val="21"/>
                <w:highlight w:val="none"/>
              </w:rPr>
              <w:t xml:space="preserve">】</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项要素全部齐全，各项标准明确，整改闭环机制完整，全部结合本博物院项目场景细化；</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项要素齐全，措施基本可行，部分内容为通用模板，缺少项目针对性细化；</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2项要素，保障措施简单笼统；</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0分：未提供方案或缺失3项及以上要素。</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14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服务保证</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各岗位服务标准；②质量日常监督检查机制；③人员管理、仪容仪表、交接班管理；④投诉受理及闭环处置流程；⑤服务不达标问题发现、整改、复查机制；⑥质量考核及人员调换保障措施】</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分：6项要素全部齐全，各项标准明确，整改闭环机制完整，全部结合本博物院项目场景细化；</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分：6项要素齐全，措施基本可行，部分内容为通用模板，缺少项目针对性细化；</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2项要素，保障措施简单笼统；</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0分：未提供方案或缺失3项及以上要素。</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8</w:t>
            </w:r>
            <w:r/>
          </w:p>
        </w:tc>
      </w:tr>
      <w:tr>
        <w:trPr>
          <w:trHeight w:val="7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架构</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体系</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【核查基础要素清单：①项目管理组织架构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包括但不限于服务团队人员综合素质及纪律性、身体健康状况等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；②项目经理、现场主管岗位职责；③各岗位权责分工；④内部巡检机制；⑤与南京博物院保卫部门常态化对接沟通</w:t>
            </w:r>
            <w:r>
              <w:rPr>
                <w:rFonts w:hint="eastAsia" w:ascii="宋体" w:hAnsi="宋体" w:eastAsia="宋体" w:cs="宋体"/>
                <w:color w:val="auto"/>
                <w:sz w:val="21"/>
                <w:szCs w:val="21"/>
                <w:highlight w:val="none"/>
                <w:lang w:val="en-US" w:eastAsia="zh-CN"/>
              </w:rPr>
              <w:t xml:space="preserve">及应急处置</w:t>
            </w:r>
            <w:r>
              <w:rPr>
                <w:rFonts w:hint="eastAsia" w:ascii="宋体" w:hAnsi="宋体" w:eastAsia="宋体" w:cs="宋体"/>
                <w:color w:val="auto"/>
                <w:sz w:val="21"/>
                <w:szCs w:val="21"/>
                <w:highlight w:val="none"/>
              </w:rPr>
              <w:t xml:space="preserve">机制；⑥项目文档台账管理措施】</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分：6项要素全部齐全，架构清晰，岗位职责明确，对接、巡检、台账均有具体落地流程；</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5分：6项要素齐全，满足项目基本需要，但针对性细化不足；</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2项要素，架构描述简略；</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0分：未提供组织架构方案或缺失3项及以上要素。</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lang w:val="en-US" w:eastAsia="zh-CN"/>
              </w:rPr>
              <w:t xml:space="preserve">8</w:t>
            </w:r>
            <w:r/>
          </w:p>
        </w:tc>
      </w:tr>
      <w:tr>
        <w:trPr>
          <w:trHeight w:val="7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firstLine="210"/>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339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【核查基础要素清单：①岗前培训内容（博物馆安保、文物保护、大客流处置、消防、急救、仪容礼仪）；②在岗定期培训频次；③专项应急演练计划；④培训师资说明；⑤培训考核、不合格人员处置机制】</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7分：5项要素全部齐全，明确培训频次、培训内容、考核方式，适配博物馆安保岗位特点，可直接落地；</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5分：5项要素齐全，方案具备可实施性，但针对性内容较少；</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2项要素，计划简单，操作性不足；</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0分：未提供培训方案。</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lang w:val="en-US" w:eastAsia="zh-CN"/>
              </w:rPr>
              <w:t xml:space="preserve">7</w:t>
            </w:r>
            <w:r/>
          </w:p>
        </w:tc>
      </w:tr>
      <w:tr>
        <w:trPr>
          <w:trHeight w:val="7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7</w:t>
            </w:r>
            <w:r/>
          </w:p>
        </w:tc>
        <w:tc>
          <w:tcPr>
            <w:tcBorders>
              <w:top w:val="single" w:color="auto" w:sz="4" w:space="0"/>
              <w:left w:val="none" w:color="000000" w:sz="4" w:space="0"/>
              <w:bottom w:val="single" w:color="auto" w:sz="4" w:space="0"/>
              <w:right w:val="single" w:color="auto" w:sz="4" w:space="0"/>
            </w:tcBorders>
            <w:tcW w:w="68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进、离场</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查基础要素清单：①进场人员分批到位计划；②进场交接（岗位、台账、物资对接）流程；③服务期内人员异动替换流程；④合同到期/解除后的人员撤离时限；⑤档案台账、物资资料完整移交流程；⑥交接问题的争议处置机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7分：6项要素全部齐全，时间节点、交接内容清晰完整，针对性强，可行性强；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5分：6项要素齐全，方案切实可行，但细节不足；</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2分：缺失1</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2项要素，方案简单，针对性不足；</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0分：未提供进离场方案。</w:t>
            </w:r>
            <w:r/>
          </w:p>
        </w:tc>
        <w:tc>
          <w:tcPr>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r>
      <w:tr>
        <w:trPr>
          <w:trHeight w:val="36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合计</w:t>
            </w:r>
            <w:r/>
          </w:p>
        </w:tc>
        <w:tc>
          <w:tcPr>
            <w:gridSpan w:val="3"/>
            <w:tcBorders>
              <w:top w:val="single" w:color="auto" w:sz="4" w:space="0"/>
              <w:left w:val="none" w:color="000000" w:sz="4" w:space="0"/>
              <w:bottom w:val="single" w:color="auto" w:sz="4" w:space="0"/>
              <w:right w:val="single" w:color="auto" w:sz="4" w:space="0"/>
            </w:tcBorders>
            <w:tcW w:w="4587" w:type="pct"/>
            <w:vAlign w:val="center"/>
            <w:textDirection w:val="lrTb"/>
            <w:noWrap w:val="false"/>
          </w:tcPr>
          <w:p>
            <w:pPr>
              <w:ind w:firstLine="567"/>
              <w:jc w:val="center"/>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100分</w:t>
            </w:r>
            <w:r/>
          </w:p>
        </w:tc>
      </w:tr>
    </w:tbl>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评分办法中所涉及的相关各种资格、资质、证书、证明、业绩合同等材料在投标文件中提供复印</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扫描</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件（加盖</w:t>
      </w:r>
      <w:r>
        <w:rPr>
          <w:rFonts w:hint="eastAsia" w:ascii="宋体" w:hAnsi="宋体" w:eastAsia="宋体"/>
          <w:color w:val="auto"/>
          <w:sz w:val="21"/>
          <w:szCs w:val="21"/>
          <w:highlight w:val="none"/>
          <w:lang w:val="en-US" w:eastAsia="zh-CN"/>
        </w:rPr>
        <w:t xml:space="preserve">投标人</w:t>
      </w:r>
      <w:r>
        <w:rPr>
          <w:rFonts w:hint="eastAsia" w:ascii="宋体" w:hAnsi="宋体" w:eastAsia="宋体"/>
          <w:color w:val="auto"/>
          <w:sz w:val="21"/>
          <w:szCs w:val="21"/>
          <w:highlight w:val="none"/>
        </w:rPr>
        <w:t xml:space="preserve">公章），复印</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扫描</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件不清晰时提供原件备查，以供评标委员会评标核实。</w:t>
      </w:r>
      <w:r/>
    </w:p>
    <w:p>
      <w:pPr>
        <w:ind w:firstLine="420"/>
        <w:spacing w:line="360" w:lineRule="auto"/>
        <w:rPr>
          <w:rFonts w:hint="eastAsia" w:ascii="宋体" w:hAnsi="宋体" w:eastAsia="宋体"/>
          <w:color w:val="auto"/>
          <w:sz w:val="21"/>
          <w:szCs w:val="21"/>
          <w:highlight w:val="none"/>
        </w:rPr>
        <w:sectPr>
          <w:headerReference w:type="default" r:id="rId10"/>
          <w:footerReference w:type="default" r:id="rId14"/>
          <w:footerReference w:type="first" r:id="rId15"/>
          <w:footnotePr/>
          <w:endnotePr/>
          <w:type w:val="nextPage"/>
          <w:pgSz w:w="11906" w:h="16838" w:orient="portrait"/>
          <w:pgMar w:top="1440" w:right="1080" w:bottom="1440" w:left="1080" w:header="851" w:footer="680" w:gutter="0"/>
          <w:cols w:num="1" w:sep="0" w:space="720" w:equalWidth="1"/>
          <w:docGrid w:linePitch="360"/>
          <w:titlePg/>
        </w:sectPr>
      </w:pPr>
      <w:r>
        <w:rPr>
          <w:rFonts w:hint="eastAsia" w:ascii="宋体" w:hAnsi="宋体" w:eastAsia="宋体"/>
          <w:color w:val="auto"/>
          <w:sz w:val="21"/>
          <w:szCs w:val="21"/>
          <w:highlight w:val="none"/>
        </w:rPr>
        <w:t xml:space="preserve">2.为便于评分，请投标</w:t>
      </w:r>
      <w:r>
        <w:rPr>
          <w:rFonts w:hint="eastAsia" w:ascii="宋体" w:hAnsi="宋体" w:eastAsia="宋体"/>
          <w:color w:val="auto"/>
          <w:sz w:val="21"/>
          <w:szCs w:val="21"/>
          <w:highlight w:val="none"/>
          <w:lang w:val="en-US" w:eastAsia="zh-CN"/>
        </w:rPr>
        <w:t xml:space="preserve">人</w:t>
      </w:r>
      <w:r>
        <w:rPr>
          <w:rFonts w:hint="eastAsia" w:ascii="宋体" w:hAnsi="宋体" w:eastAsia="宋体"/>
          <w:color w:val="auto"/>
          <w:sz w:val="21"/>
          <w:szCs w:val="21"/>
          <w:highlight w:val="none"/>
        </w:rPr>
        <w:t xml:space="preserve">按评分表样式，逐条列出证明材料所在页码，格式自定。</w:t>
      </w:r>
      <w:r/>
    </w:p>
    <w:p>
      <w:pPr>
        <w:jc w:val="center"/>
        <w:spacing w:line="288" w:lineRule="auto"/>
        <w:rPr>
          <w:color w:val="auto"/>
          <w:highlight w:val="none"/>
          <w:lang w:val="en-US"/>
        </w:rPr>
        <w:outlineLvl w:val="0"/>
      </w:pPr>
      <w:r>
        <w:rPr>
          <w:rFonts w:hint="eastAsia" w:ascii="黑体" w:hAnsi="宋体" w:eastAsia="黑体"/>
          <w:color w:val="auto"/>
          <w:spacing w:val="-10"/>
          <w:sz w:val="36"/>
          <w:szCs w:val="36"/>
          <w:highlight w:val="none"/>
        </w:rPr>
        <w:t xml:space="preserve">第四章 </w:t>
      </w:r>
      <w:bookmarkStart w:id="101" w:name="_Toc150538845"/>
      <w:r>
        <w:rPr>
          <w:rFonts w:hint="eastAsia" w:ascii="黑体" w:hAnsi="宋体" w:eastAsia="黑体"/>
          <w:color w:val="auto"/>
          <w:spacing w:val="-10"/>
          <w:sz w:val="36"/>
          <w:szCs w:val="36"/>
          <w:highlight w:val="none"/>
        </w:rPr>
        <w:t xml:space="preserve">服务要求</w:t>
      </w:r>
      <w:bookmarkEnd w:id="101"/>
      <w:r/>
      <w:r/>
    </w:p>
    <w:p>
      <w:pPr>
        <w:pStyle w:val="8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auto"/>
          <w:spacing w:val="0"/>
          <w:sz w:val="21"/>
          <w:szCs w:val="21"/>
          <w:highlight w:val="none"/>
        </w:rPr>
        <w:outlineLvl w:val="1"/>
        <w:suppressLineNumbers w:val="0"/>
      </w:pPr>
      <w:r>
        <w:rPr>
          <w:rFonts w:hint="eastAsia" w:ascii="宋体" w:hAnsi="宋体" w:eastAsia="宋体" w:cs="宋体"/>
          <w:b/>
          <w:bCs/>
          <w:caps w:val="0"/>
          <w:color w:val="auto"/>
          <w:spacing w:val="0"/>
          <w:sz w:val="21"/>
          <w:szCs w:val="21"/>
          <w:highlight w:val="none"/>
          <w:shd w:val="clear" w:color="auto" w:fill="ffffff"/>
        </w:rPr>
        <w:t xml:space="preserve">一、岗位汇总</w:t>
      </w:r>
      <w:r/>
    </w:p>
    <w:tbl>
      <w:tblPr>
        <w:tblStyle w:val="895"/>
        <w:tblW w:w="50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19"/>
        <w:gridCol w:w="1524"/>
        <w:gridCol w:w="1087"/>
        <w:gridCol w:w="3458"/>
        <w:gridCol w:w="2445"/>
        <w:gridCol w:w="5024"/>
      </w:tblGrid>
      <w:tr>
        <w:trPr>
          <w:tblHeade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岗位名称</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岗位数量</w:t>
            </w:r>
            <w:r/>
          </w:p>
        </w:tc>
        <w:tc>
          <w:tcPr>
            <w:shd w:val="clear" w:color="auto" w:fill="auto"/>
            <w:tcMar>
              <w:left w:w="240" w:type="dxa"/>
              <w:top w:w="150" w:type="dxa"/>
              <w:right w:w="240" w:type="dxa"/>
              <w:bottom w:w="150" w:type="dxa"/>
            </w:tcMar>
            <w:tcW w:w="121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岗位要求</w:t>
            </w:r>
            <w:r/>
          </w:p>
        </w:tc>
        <w:tc>
          <w:tcPr>
            <w:shd w:val="clear" w:color="auto" w:fill="auto"/>
            <w:tcMar>
              <w:left w:w="240" w:type="dxa"/>
              <w:top w:w="150" w:type="dxa"/>
              <w:right w:w="240" w:type="dxa"/>
              <w:bottom w:w="150" w:type="dxa"/>
            </w:tcMar>
            <w:tcW w:w="85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上岗时间</w:t>
            </w:r>
            <w:r/>
          </w:p>
        </w:tc>
        <w:tc>
          <w:tcPr>
            <w:shd w:val="clear" w:color="auto" w:fill="auto"/>
            <w:tcMar>
              <w:left w:w="240" w:type="dxa"/>
              <w:top w:w="150" w:type="dxa"/>
              <w:right w:w="240" w:type="dxa"/>
              <w:bottom w:w="150" w:type="dxa"/>
            </w:tcMar>
            <w:tcW w:w="176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岗位职责</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外围队长</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年龄45岁以下，身体健康，责任心强，工作上有较强的沟通协调能力，具备5年以上安保行业经验（其中包含2年团队管理经验），受过消防技能、应急事件处置、急救常识等培训，能适应倒班（夜班）及长时间站立、巡逻的户外工作。</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8"/>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每周组织一次例会，每月进行四次岗位培训及队列操练。</w:t>
            </w:r>
            <w:r/>
          </w:p>
          <w:p>
            <w:pPr>
              <w:numPr>
                <w:ilvl w:val="0"/>
                <w:numId w:val="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开馆期间巡查所有岗位每日不得少于4次、每日召开早晚班会（以照片形式上传工作群）。</w:t>
            </w:r>
            <w:r/>
          </w:p>
          <w:p>
            <w:pPr>
              <w:numPr>
                <w:ilvl w:val="0"/>
                <w:numId w:val="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负责监督和管理团队成员的日常工作，确保团队成员严格遵守工作要求和操作规范，对违规行为及时进行纠正和处理。</w:t>
            </w:r>
            <w:r/>
          </w:p>
          <w:p>
            <w:pPr>
              <w:numPr>
                <w:ilvl w:val="0"/>
                <w:numId w:val="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加强与院安全保卫部的现场负责人沟通协调，及时反馈工作进展和问题，积极落实各项工作要求。</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正大门</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（24小时）</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须通过公安机关背景审查、当年体检报告）；持有保安员证或接受过正规安保培训；身体健康，责任心强，工作上有较强的沟通能力，受过消防技能、应急事件处置、急救常识等培训，有较强的身体素质，能适应长时间户外区域不间断巡逻、站立、疏导人群维持秩序以及倒班（夜班）工作。</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9"/>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保障好接待任务，及时开关门，做好接待车辆的引导。做好车辆疏导，保证正大门游客的正常入馆参观秩序。</w:t>
            </w:r>
            <w:r/>
          </w:p>
          <w:p>
            <w:pPr>
              <w:numPr>
                <w:ilvl w:val="0"/>
                <w:numId w:val="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制止“商贩”、“野导”、“黄牛”等各种违规人员的行为。</w:t>
            </w:r>
            <w:r/>
          </w:p>
          <w:p>
            <w:pPr>
              <w:numPr>
                <w:ilvl w:val="0"/>
                <w:numId w:val="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制止其他车辆长时间停放（如：电动车、共享单车、外卖车、快递车、自行车等）。</w:t>
            </w:r>
            <w:r/>
          </w:p>
          <w:p>
            <w:pPr>
              <w:numPr>
                <w:ilvl w:val="0"/>
                <w:numId w:val="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西南门</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（维景门24小时）</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此门早晚为员工通道，核查进入人员证件，确保上下班员工和车辆正常通行。</w:t>
            </w:r>
            <w:r/>
          </w:p>
          <w:p>
            <w:pPr>
              <w:numPr>
                <w:ilvl w:val="0"/>
                <w:numId w:val="1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开馆期间此岗位人员做好游客去往南博停车场的指引，和车库当班人员有效协调进出车辆，避免道路拥堵。</w:t>
            </w:r>
            <w:r/>
          </w:p>
          <w:p>
            <w:pPr>
              <w:numPr>
                <w:ilvl w:val="0"/>
                <w:numId w:val="1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广场出口二道岗</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（24小时）</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1"/>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此为出口，只出不进。确保游客的正常出馆速度和周边秩序。</w:t>
            </w:r>
            <w:r/>
          </w:p>
          <w:p>
            <w:pPr>
              <w:numPr>
                <w:ilvl w:val="0"/>
                <w:numId w:val="11"/>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耐心热情地回答他人的一般性问题咨询，对于专业的问题和评论性问题应及时指引到相关接待部门咨询。</w:t>
            </w:r>
            <w:r/>
          </w:p>
          <w:p>
            <w:pPr>
              <w:numPr>
                <w:ilvl w:val="0"/>
                <w:numId w:val="11"/>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确保闭馆后广场无游客滞留，保证广场一切正常。</w:t>
            </w:r>
            <w:r/>
          </w:p>
          <w:p>
            <w:pPr>
              <w:numPr>
                <w:ilvl w:val="0"/>
                <w:numId w:val="11"/>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正门外车辆管理</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做好进入南博停车场车辆的道路指引，禁止出租车、网约车进入慢车道，保证入场道路通畅。</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立体车库</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2"/>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负责停车场开放期间（8:50—18：00）秩序维护，指引车辆有序停放，合理利用地面与立体车库的车位情况，避免出现拥堵。</w:t>
            </w:r>
            <w:r/>
          </w:p>
          <w:p>
            <w:pPr>
              <w:numPr>
                <w:ilvl w:val="0"/>
                <w:numId w:val="12"/>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杜绝闲杂人员在停车区域长时间逗留，做好游客参观路线指引。</w:t>
            </w:r>
            <w:r/>
          </w:p>
          <w:p>
            <w:pPr>
              <w:numPr>
                <w:ilvl w:val="0"/>
                <w:numId w:val="12"/>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落实停车场内各项防火、防盗安全规定，每日对车库内消防设施设备进行巡检打卡上传。</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服务中心出口秩序维护岗</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3"/>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负责观众排队区域秩序管控，及时制止插队，疏导拥堵，做好绿色通道指引服务工作。</w:t>
            </w:r>
            <w:r/>
          </w:p>
          <w:p>
            <w:pPr>
              <w:numPr>
                <w:ilvl w:val="0"/>
                <w:numId w:val="13"/>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及时制止“野导”、“黄牛”等各种违规行为。</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前广场区域巡逻岗</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4"/>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负责大门前广场治安巡逻，维护周边秩序，保护观众人身财产安全。</w:t>
            </w:r>
            <w:r/>
          </w:p>
          <w:p>
            <w:pPr>
              <w:numPr>
                <w:ilvl w:val="0"/>
                <w:numId w:val="14"/>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及时制止“野导”、“黄牛”等各种违规行为，劝阻商贩、外卖等进入院区。</w:t>
            </w:r>
            <w:r/>
          </w:p>
          <w:p>
            <w:pPr>
              <w:numPr>
                <w:ilvl w:val="0"/>
                <w:numId w:val="1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做好观众指引服务。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9</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1.2号通道入口岗</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指引游客有序进馆，当游客排队过长时，需按照院方要求进行分流疏导。</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10</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3.4号通道入口岗</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（含绿通）</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p>
            <w:pPr>
              <w:numPr>
                <w:ilvl w:val="0"/>
                <w:numId w:val="1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做好优待观众指引和服务工作，为残障人士提供必要的协助。</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11</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小剧场后门，车库出口岗亭</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6"/>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做好进入人员识别审核，确保无关人员及游客进入办公区域。</w:t>
            </w:r>
            <w:r/>
          </w:p>
          <w:p>
            <w:pPr>
              <w:numPr>
                <w:ilvl w:val="0"/>
                <w:numId w:val="1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正确指引出场车辆从出口驶离。</w:t>
            </w:r>
            <w:r/>
          </w:p>
          <w:p>
            <w:pPr>
              <w:numPr>
                <w:ilvl w:val="0"/>
                <w:numId w:val="1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文渊广场过街通道</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1、此通道直通馆外，只出不进，禁止任何人由此进入。</w:t>
            </w:r>
            <w:r/>
          </w:p>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2、劝阻“商贩”聚集，避免堵塞出口。</w:t>
            </w:r>
            <w:r/>
          </w:p>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3、做好观众指引服务。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13</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老大殿下东侧岗亭</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7"/>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做好进出人员识别审核，确保游客不会从此处进入非参观区。</w:t>
            </w:r>
            <w:r/>
          </w:p>
          <w:p>
            <w:pPr>
              <w:numPr>
                <w:ilvl w:val="0"/>
                <w:numId w:val="17"/>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保障该入口周边环境秩序正常，做好观众指引服务。</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展馆内部展厅公共区域巡逻</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身体健康，责任心强，工作上有较强的沟通能力，能妥善受理馆内游客咨询和解决现场纠纷的能力，能掌握基本消防技能、处理应急事件、能适应长时间站立工作。</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8"/>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公共区域巡查，保证游客安全。</w:t>
            </w:r>
            <w:r/>
          </w:p>
          <w:p>
            <w:pPr>
              <w:numPr>
                <w:ilvl w:val="0"/>
                <w:numId w:val="1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遇到游客过多时能及时指引、分流游客。</w:t>
            </w:r>
            <w:r/>
          </w:p>
          <w:p>
            <w:pPr>
              <w:numPr>
                <w:ilvl w:val="0"/>
                <w:numId w:val="1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遇到拉客野导，及时制止并劝离。</w:t>
            </w:r>
            <w:r/>
          </w:p>
          <w:p>
            <w:pPr>
              <w:numPr>
                <w:ilvl w:val="0"/>
                <w:numId w:val="1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发生突发情况及时汇报并会进行应急处置。</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15</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民国馆巡查员</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19"/>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民国馆、老茶馆文物安全看护，展柜及其他设施安全检查。</w:t>
            </w:r>
            <w:r/>
          </w:p>
          <w:p>
            <w:pPr>
              <w:numPr>
                <w:ilvl w:val="0"/>
                <w:numId w:val="1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展馆巡查，秩序维护，积极疏导人流，保证场馆游客秩序。</w:t>
            </w:r>
            <w:r/>
          </w:p>
          <w:p>
            <w:pPr>
              <w:numPr>
                <w:ilvl w:val="0"/>
                <w:numId w:val="1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发生突发情况及时汇报并会进行应急处置。</w:t>
            </w:r>
            <w:r/>
          </w:p>
        </w:tc>
      </w:tr>
      <w:tr>
        <w:trPr/>
        <w:tc>
          <w:tcPr>
            <w:shd w:val="clear" w:color="auto" w:fill="auto"/>
            <w:tcMar>
              <w:left w:w="0" w:type="dxa"/>
              <w:top w:w="150" w:type="dxa"/>
              <w:right w:w="240" w:type="dxa"/>
              <w:bottom w:w="150" w:type="dxa"/>
            </w:tcMar>
            <w:tcW w:w="252"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16</w:t>
            </w:r>
            <w:r/>
          </w:p>
        </w:tc>
        <w:tc>
          <w:tcPr>
            <w:shd w:val="clear" w:color="auto" w:fill="auto"/>
            <w:tcMar>
              <w:left w:w="240" w:type="dxa"/>
              <w:top w:w="150" w:type="dxa"/>
              <w:right w:w="240" w:type="dxa"/>
              <w:bottom w:w="150" w:type="dxa"/>
            </w:tcMar>
            <w:tcW w:w="53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特勤（全院范围应急处突、文物押运、警犬饲养）</w:t>
            </w:r>
            <w:r/>
          </w:p>
        </w:tc>
        <w:tc>
          <w:tcPr>
            <w:shd w:val="clear" w:color="auto" w:fill="auto"/>
            <w:tcMar>
              <w:left w:w="240" w:type="dxa"/>
              <w:top w:w="150" w:type="dxa"/>
              <w:right w:w="240" w:type="dxa"/>
              <w:bottom w:w="150" w:type="dxa"/>
            </w:tcMar>
            <w:tcW w:w="38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212"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有较强的身体素质，能通过常规体能测试要求，责任心强，遇事冷静，具备敏锐的观察力，熟练掌握消防设施设备使用，受过消防技能、应急事件处置、急救常识等培训，能适应倒班及24小时随时待命的应急工作。</w:t>
            </w:r>
            <w:r/>
          </w:p>
        </w:tc>
        <w:tc>
          <w:tcPr>
            <w:shd w:val="clear" w:color="auto" w:fill="auto"/>
            <w:tcMar>
              <w:left w:w="240" w:type="dxa"/>
              <w:top w:w="150" w:type="dxa"/>
              <w:right w:w="240" w:type="dxa"/>
              <w:bottom w:w="150" w:type="dxa"/>
            </w:tcMar>
            <w:tcW w:w="857"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761" w:type="pct"/>
            <w:vAlign w:val="center"/>
            <w:textDirection w:val="lrTb"/>
            <w:noWrap w:val="false"/>
          </w:tcPr>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承担本院突发事件的应急处置；</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承担院内抢险救灾任务；</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承担本院专职消防队职能，具备较专业消防灭火能力；</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负责院内文物、财务专职押运工作；</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负责本院公共区域治安巡逻、防恐、反扒等工作；</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负责每日警犬驯养、夜间携犬巡逻及犬舍卫生清理工作；</w:t>
            </w:r>
            <w:r/>
          </w:p>
          <w:p>
            <w:pPr>
              <w:numPr>
                <w:ilvl w:val="0"/>
                <w:numId w:val="2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重要接待外围警戒、重大活动现场警卫工作。</w:t>
            </w:r>
            <w:r/>
          </w:p>
        </w:tc>
      </w:tr>
    </w:tbl>
    <w:p>
      <w:pPr>
        <w:pStyle w:val="938"/>
        <w:ind w:left="0" w:right="0" w:firstLine="0"/>
        <w:keepLines w:val="0"/>
        <w:keepNext w:val="0"/>
        <w:spacing w:before="240" w:beforeAutospacing="0" w:after="240" w:afterAutospacing="0" w:line="360" w:lineRule="auto"/>
        <w:shd w:val="clear" w:color="auto" w:fill="ffffff"/>
        <w:widowControl/>
        <w:rPr>
          <w:rFonts w:hint="default" w:ascii="Segoe UI" w:hAnsi="Segoe UI" w:eastAsia="Segoe UI" w:cs="Segoe UI"/>
          <w:b/>
          <w:bCs/>
          <w:i w:val="0"/>
          <w:iCs w:val="0"/>
          <w:caps w:val="0"/>
          <w:color w:val="auto"/>
          <w:spacing w:val="0"/>
          <w:sz w:val="24"/>
          <w:szCs w:val="24"/>
          <w:highlight w:val="none"/>
        </w:rPr>
        <w:suppressLineNumbers w:val="0"/>
      </w:pPr>
      <w:r>
        <w:rPr>
          <w:rFonts w:hint="eastAsia" w:ascii="宋体" w:hAnsi="宋体" w:eastAsia="宋体" w:cs="宋体"/>
          <w:b/>
          <w:bCs/>
          <w:i w:val="0"/>
          <w:iCs w:val="0"/>
          <w:caps w:val="0"/>
          <w:color w:val="auto"/>
          <w:spacing w:val="0"/>
          <w:sz w:val="21"/>
          <w:szCs w:val="21"/>
          <w:highlight w:val="none"/>
          <w:shd w:val="clear" w:color="auto" w:fill="ffffff"/>
        </w:rPr>
        <w:t xml:space="preserve">总计说明：外围广场白班10个岗17人，4个24小时岗16人，一名队长共34人；馆内白班10个岗，结合人员月度退休动态测算，人员上限为18人；特勤4人；2027年项目服务期内外包人员上限56人</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p>
    <w:p>
      <w:pPr>
        <w:pStyle w:val="886"/>
        <w:ind w:left="0" w:right="0" w:firstLine="422"/>
        <w:keepLines w:val="0"/>
        <w:keepNext w:val="0"/>
        <w:pageBreakBefore w:val="0"/>
        <w:spacing w:before="291" w:beforeAutospacing="0" w:after="0" w:afterAutospacing="0" w:line="360" w:lineRule="auto"/>
        <w:shd w:val="clear" w:color="auto" w:fill="ffffff"/>
        <w:widowControl/>
        <w:rPr>
          <w:rFonts w:hint="eastAsia" w:ascii="Segoe UI" w:hAnsi="Segoe UI" w:eastAsia="宋体" w:cs="Segoe UI"/>
          <w:b/>
          <w:bCs/>
          <w:caps w:val="0"/>
          <w:color w:val="auto"/>
          <w:spacing w:val="0"/>
          <w:sz w:val="24"/>
          <w:szCs w:val="24"/>
          <w:highlight w:val="none"/>
          <w:lang w:eastAsia="zh-CN"/>
        </w:rPr>
        <w:outlineLvl w:val="1"/>
        <w:suppressLineNumbers w:val="0"/>
      </w:pPr>
      <w:r>
        <w:rPr>
          <w:rFonts w:hint="eastAsia" w:ascii="宋体" w:hAnsi="宋体" w:eastAsia="宋体" w:cs="宋体"/>
          <w:b/>
          <w:bCs/>
          <w:caps w:val="0"/>
          <w:color w:val="auto"/>
          <w:spacing w:val="0"/>
          <w:sz w:val="21"/>
          <w:szCs w:val="21"/>
          <w:highlight w:val="none"/>
          <w:shd w:val="clear" w:color="auto" w:fill="ffffff"/>
        </w:rPr>
        <w:t xml:space="preserve">★二、人员数量清单（2026年12月—2027年11月）</w:t>
      </w:r>
      <w:r>
        <w:rPr>
          <w:rFonts w:hint="eastAsia" w:cs="宋体"/>
          <w:b/>
          <w:bCs/>
          <w:caps w:val="0"/>
          <w:color w:val="auto"/>
          <w:spacing w:val="0"/>
          <w:sz w:val="21"/>
          <w:szCs w:val="21"/>
          <w:highlight w:val="none"/>
          <w:shd w:val="clear" w:color="auto" w:fill="ffffff"/>
          <w:lang w:eastAsia="zh-CN"/>
        </w:rPr>
        <w:t xml:space="preserve">（</w:t>
      </w:r>
      <w:r>
        <w:rPr>
          <w:rFonts w:hint="eastAsia" w:cs="宋体"/>
          <w:b/>
          <w:bCs/>
          <w:caps w:val="0"/>
          <w:color w:val="auto"/>
          <w:spacing w:val="0"/>
          <w:sz w:val="21"/>
          <w:szCs w:val="21"/>
          <w:highlight w:val="none"/>
          <w:shd w:val="clear" w:color="auto" w:fill="ffffff"/>
          <w:lang w:val="en-US" w:eastAsia="zh-CN"/>
        </w:rPr>
        <w:t xml:space="preserve">投标人须完全响应下列人员数量清单表格中要求，提供承诺函（格式自拟）并加盖公章，否则作无效投标处理</w:t>
      </w:r>
      <w:r>
        <w:rPr>
          <w:rFonts w:hint="eastAsia" w:cs="宋体"/>
          <w:b/>
          <w:bCs/>
          <w:caps w:val="0"/>
          <w:color w:val="auto"/>
          <w:spacing w:val="0"/>
          <w:sz w:val="21"/>
          <w:szCs w:val="21"/>
          <w:highlight w:val="none"/>
          <w:shd w:val="clear" w:color="auto" w:fill="ffffff"/>
          <w:lang w:eastAsia="zh-CN"/>
        </w:rPr>
        <w:t xml:space="preserve">）</w:t>
      </w:r>
      <w:r/>
    </w:p>
    <w:tbl>
      <w:tblPr>
        <w:tblStyle w:val="8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758"/>
        <w:gridCol w:w="2600"/>
        <w:gridCol w:w="3730"/>
        <w:gridCol w:w="2259"/>
        <w:gridCol w:w="1733"/>
        <w:gridCol w:w="2117"/>
      </w:tblGrid>
      <w:tr>
        <w:trPr>
          <w:tblHeade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序号</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月份</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外围人数（含队长）</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特勤</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馆内</w:t>
            </w:r>
            <w:r/>
          </w:p>
        </w:tc>
        <w:tc>
          <w:tcPr>
            <w:shd w:val="clear" w:color="auto" w:fill="auto"/>
            <w:tcMar>
              <w:left w:w="240" w:type="dxa"/>
              <w:top w:w="150" w:type="dxa"/>
              <w:right w:w="24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总计</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2026.12</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9</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47</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2027.01</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11</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49</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2027.02</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11</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49</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2027.03</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50</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2027.04</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13</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51</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2027.05</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52</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2027.06</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52</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2027.07</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52</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9</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2027.08</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52</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10</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2027.09</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52</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11</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2027.10</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17</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55</w:t>
            </w:r>
            <w:r/>
          </w:p>
        </w:tc>
      </w:tr>
      <w:tr>
        <w:trPr/>
        <w:tc>
          <w:tcPr>
            <w:shd w:val="clear" w:color="auto" w:fill="auto"/>
            <w:tcMar>
              <w:left w:w="0" w:type="dxa"/>
              <w:top w:w="150" w:type="dxa"/>
              <w:right w:w="240" w:type="dxa"/>
              <w:bottom w:w="150" w:type="dxa"/>
            </w:tcMar>
            <w:tcW w:w="619"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w:t>
            </w:r>
            <w:r/>
          </w:p>
        </w:tc>
        <w:tc>
          <w:tcPr>
            <w:shd w:val="clear" w:color="auto" w:fill="auto"/>
            <w:tcMar>
              <w:left w:w="240" w:type="dxa"/>
              <w:top w:w="150" w:type="dxa"/>
              <w:right w:w="240" w:type="dxa"/>
              <w:bottom w:w="150" w:type="dxa"/>
            </w:tcMar>
            <w:tcW w:w="91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2027.11</w:t>
            </w:r>
            <w:r/>
          </w:p>
        </w:tc>
        <w:tc>
          <w:tcPr>
            <w:shd w:val="clear" w:color="auto" w:fill="auto"/>
            <w:tcMar>
              <w:left w:w="240" w:type="dxa"/>
              <w:top w:w="150" w:type="dxa"/>
              <w:right w:w="240" w:type="dxa"/>
              <w:bottom w:w="150" w:type="dxa"/>
            </w:tcMar>
            <w:tcW w:w="1313"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34</w:t>
            </w:r>
            <w:r/>
          </w:p>
        </w:tc>
        <w:tc>
          <w:tcPr>
            <w:shd w:val="clear" w:color="auto" w:fill="auto"/>
            <w:tcMar>
              <w:left w:w="240" w:type="dxa"/>
              <w:top w:w="150" w:type="dxa"/>
              <w:right w:w="240" w:type="dxa"/>
              <w:bottom w:w="150" w:type="dxa"/>
            </w:tcMar>
            <w:tcW w:w="79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610"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18</w:t>
            </w:r>
            <w:r/>
          </w:p>
        </w:tc>
        <w:tc>
          <w:tcPr>
            <w:shd w:val="clear" w:color="auto" w:fill="auto"/>
            <w:tcMar>
              <w:left w:w="240" w:type="dxa"/>
              <w:top w:w="150" w:type="dxa"/>
              <w:right w:w="0" w:type="dxa"/>
              <w:bottom w:w="150" w:type="dxa"/>
            </w:tcMar>
            <w:tcW w:w="74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56</w:t>
            </w:r>
            <w:r/>
          </w:p>
        </w:tc>
      </w:tr>
    </w:tbl>
    <w:p>
      <w:pPr>
        <w:ind w:firstLine="400"/>
        <w:keepLines w:val="0"/>
        <w:keepNext w:val="0"/>
        <w:pageBreakBefore w:val="0"/>
        <w:spacing w:before="291" w:line="360" w:lineRule="auto"/>
        <w:widowControl w:val="off"/>
        <w:rPr>
          <w:rFonts w:hint="eastAsia" w:ascii="宋体" w:hAnsi="宋体" w:eastAsia="宋体" w:cs="宋体"/>
          <w:color w:val="auto"/>
          <w:szCs w:val="21"/>
          <w:highlight w:val="none"/>
        </w:rPr>
        <w:outlineLvl w:val="1"/>
      </w:pPr>
      <w:r/>
      <w:bookmarkStart w:id="102" w:name="_Toc25175"/>
      <w:r/>
      <w:bookmarkStart w:id="103" w:name="_Toc6823"/>
      <w:r/>
      <w:bookmarkStart w:id="104" w:name="_Toc4950"/>
      <w:r>
        <w:rPr>
          <w:rFonts w:hint="eastAsia" w:ascii="宋体" w:hAnsi="宋体" w:cs="宋体"/>
          <w:b/>
          <w:bCs/>
          <w:color w:val="auto"/>
          <w:szCs w:val="21"/>
          <w:highlight w:val="none"/>
        </w:rPr>
        <w:t xml:space="preserve">三、考核要求</w:t>
      </w:r>
      <w:bookmarkEnd w:id="102"/>
      <w:r/>
      <w:bookmarkEnd w:id="103"/>
      <w:r/>
      <w:bookmarkEnd w:id="104"/>
      <w:r>
        <w:rPr>
          <w:rFonts w:hint="eastAsia" w:ascii="宋体" w:hAnsi="宋体" w:eastAsia="宋体" w:cs="宋体"/>
          <w:color w:val="auto"/>
          <w:szCs w:val="21"/>
          <w:highlight w:val="none"/>
        </w:rPr>
        <w:t xml:space="preserve">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、对违规服务人员采取对投标人处罚形式，相同及类似事件采用首次违规警告，二次违规</w:t>
      </w:r>
      <w:r>
        <w:rPr>
          <w:rFonts w:hint="eastAsia" w:ascii="宋体" w:hAnsi="宋体" w:eastAsia="宋体" w:cs="宋体"/>
          <w:color w:val="auto"/>
          <w:szCs w:val="21"/>
          <w:highlight w:val="none"/>
          <w:lang w:val="en-US" w:eastAsia="zh-CN"/>
        </w:rPr>
        <w:t xml:space="preserve">扣除相应服务费</w:t>
      </w:r>
      <w:r>
        <w:rPr>
          <w:rFonts w:hint="eastAsia" w:ascii="宋体" w:hAnsi="宋体" w:eastAsia="宋体" w:cs="宋体"/>
          <w:color w:val="auto"/>
          <w:szCs w:val="21"/>
          <w:highlight w:val="none"/>
        </w:rPr>
        <w:t xml:space="preserve">，每次</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将以书面形式告知投标人，违规人员和保安队长签字确认，拒不签字的，招标人有权责成投标人立即辞退相关人员，并对投标人二次</w:t>
      </w:r>
      <w:r>
        <w:rPr>
          <w:rFonts w:hint="eastAsia" w:ascii="宋体" w:hAnsi="宋体" w:eastAsia="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金额从</w:t>
      </w:r>
      <w:r>
        <w:rPr>
          <w:rFonts w:hint="eastAsia" w:ascii="宋体" w:hAnsi="宋体" w:cs="宋体"/>
          <w:color w:val="auto"/>
          <w:szCs w:val="21"/>
          <w:highlight w:val="none"/>
          <w:lang w:val="en-US" w:eastAsia="zh-CN"/>
        </w:rPr>
        <w:t xml:space="preserve">服务费</w:t>
      </w:r>
      <w:r>
        <w:rPr>
          <w:rFonts w:hint="eastAsia" w:ascii="宋体" w:hAnsi="宋体" w:eastAsia="宋体" w:cs="宋体"/>
          <w:color w:val="auto"/>
          <w:szCs w:val="21"/>
          <w:highlight w:val="none"/>
        </w:rPr>
        <w:t xml:space="preserve">中扣除。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、保安公司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.1如不履行合同或降低合同（包括投标文件）要求，经招标人口头及书面整改警示后仍未达标，招标人将视情节扣除</w:t>
      </w:r>
      <w:r>
        <w:rPr>
          <w:rFonts w:hint="eastAsia" w:ascii="宋体" w:hAnsi="宋体" w:cs="宋体"/>
          <w:color w:val="auto"/>
          <w:szCs w:val="21"/>
          <w:highlight w:val="none"/>
          <w:lang w:val="en-US" w:eastAsia="zh-CN"/>
        </w:rPr>
        <w:t xml:space="preserve">服务费</w:t>
      </w:r>
      <w:r>
        <w:rPr>
          <w:rFonts w:hint="eastAsia" w:ascii="宋体" w:hAnsi="宋体" w:eastAsia="宋体" w:cs="宋体"/>
          <w:color w:val="auto"/>
          <w:szCs w:val="21"/>
          <w:highlight w:val="none"/>
        </w:rPr>
        <w:t xml:space="preserve">。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.2不执行招标人制定的管理制度致发生意外事故，造成馆方损失的，招标人将视情节要求投标人赔偿损失并</w:t>
      </w:r>
      <w:r>
        <w:rPr>
          <w:rFonts w:hint="eastAsia" w:ascii="宋体" w:hAnsi="宋体" w:eastAsia="宋体" w:cs="宋体"/>
          <w:color w:val="auto"/>
          <w:szCs w:val="21"/>
          <w:highlight w:val="none"/>
          <w:lang w:val="en-US" w:eastAsia="zh-CN"/>
        </w:rPr>
        <w:t xml:space="preserve">扣除相应服务费</w:t>
      </w:r>
      <w:r>
        <w:rPr>
          <w:rFonts w:hint="eastAsia" w:ascii="宋体" w:hAnsi="宋体" w:eastAsia="宋体" w:cs="宋体"/>
          <w:color w:val="auto"/>
          <w:szCs w:val="21"/>
          <w:highlight w:val="none"/>
        </w:rPr>
        <w:t xml:space="preserve">至解除合同，并依法追究中标投标人的法律责任。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招标文件中要求的岗位数及人员数，为最低需求。投标人必须在投标文件中同时明确岗位数及人员数设置，不得低于上列规定的岗位及人数要求。如中标后在实际运行中，岗位数及人员数低于响应时的数量，每少一人扣除1000元/天，连续三个日历日以上每缺一岗或一人扣除合同总价1%，连续十五个日历日以上缺岗或缺人视同违约并追责，招标人有权解除合同。中标投标人在签订合同时应提供派遣服务人员花名册。人员缺岗需向招标人报备并及时补足。</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.4服务团队政治意识薄弱，政治立场摇摆，出现违法、违规、违纪问题，出现“四风”问题</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.5服务团队意识形态管理出现漏洞，出现重大舆情及泄密事故，对馆方造成影响，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.6因服务团队未能及时发现及提报，发生安全生产相关事故，未能及时解决或报备，对馆方造成影响，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.7因服务团队未能及时发现及提报，招标人在外单位检查中被处罚扣分，对招标人造成影响，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5000元以上/次，根据严重程度有权解约。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.8安保工作人员未按照招标文件配备有资质对人员，员工培训不到位， </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2000元以上/次并限期整改。</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.9全年针对安保服务的有效投诉在60单以上，</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20000元以上/年。</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.10对招标人合理要求响应不及时，落实不到位，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2000元以上/次并限期整改。</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.11因个人服务态度收到观众投诉反馈，</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2000元以上/次并对个人提出处理意见。</w:t>
      </w:r>
      <w:r>
        <w:rPr>
          <w:rFonts w:hint="eastAsia" w:ascii="宋体" w:hAnsi="宋体" w:eastAsia="宋体" w:cs="宋体"/>
          <w:color w:val="auto"/>
          <w:sz w:val="20"/>
          <w:szCs w:val="21"/>
          <w:highlight w:val="none"/>
          <w:lang w:val="en-US" w:eastAsia="zh-CN" w:bidi="ar-SA"/>
        </w:rPr>
        <w:t xml:space="preserve">引发经查证属实的参观者投诉、主管部门通报或媒体曝光的，纳入服务质量考核，按考核办法相应扣减服务费用。经采购人书面催告后逾期未整改，或情节严重造成重大影响的，采购人有权解除合同，并由中标人承担由此产生的全部损失及维权合理费用。</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.12未能保障节假日期间或大客流期间场馆有序运行，</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罚10000元以上/次。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.13未保障重大活动顺利推进并发挥重要作用，</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.14重大活动期间招标文件内服务内容响应不及时，落实不到位，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eastAsia="zh-Hans"/>
        </w:rPr>
        <w:t xml:space="preserve">拖欠工资造成上访</w:t>
      </w:r>
      <w:r>
        <w:rPr>
          <w:rFonts w:hint="eastAsia" w:ascii="宋体" w:hAnsi="宋体" w:eastAsia="宋体" w:cs="宋体"/>
          <w:color w:val="auto"/>
          <w:szCs w:val="21"/>
          <w:highlight w:val="none"/>
        </w:rPr>
        <w:t xml:space="preserve">、舆情等对场馆的不利影响的，</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firstLine="402"/>
        <w:keepLines w:val="0"/>
        <w:keepNext w:val="0"/>
        <w:pageBreakBefore w:val="0"/>
        <w:spacing w:before="291" w:line="360" w:lineRule="auto"/>
        <w:widowControl w:val="off"/>
        <w:tabs>
          <w:tab w:val="left" w:pos="240" w:leader="none"/>
        </w:tabs>
        <w:rPr>
          <w:rFonts w:hint="eastAsia" w:ascii="宋体" w:hAnsi="宋体" w:cs="宋体"/>
          <w:color w:val="auto"/>
          <w:szCs w:val="21"/>
          <w:highlight w:val="none"/>
        </w:rPr>
        <w:outlineLvl w:val="1"/>
      </w:pPr>
      <w:r/>
      <w:bookmarkStart w:id="105" w:name="_Toc31093"/>
      <w:r/>
      <w:bookmarkStart w:id="106" w:name="_Toc23683"/>
      <w:r/>
      <w:bookmarkStart w:id="107" w:name="_Toc29211"/>
      <w:r>
        <w:rPr>
          <w:rFonts w:hint="eastAsia" w:ascii="宋体" w:hAnsi="宋体" w:eastAsia="宋体" w:cs="宋体"/>
          <w:b/>
          <w:bCs/>
          <w:color w:val="auto"/>
          <w:szCs w:val="21"/>
          <w:highlight w:val="none"/>
        </w:rPr>
        <w:t xml:space="preserve">四、保安公司人员（参照南京博物院合同制职工考核记分标准）</w:t>
      </w:r>
      <w:bookmarkEnd w:id="105"/>
      <w:r/>
      <w:bookmarkEnd w:id="106"/>
      <w:r/>
      <w:bookmarkEnd w:id="107"/>
      <w:r/>
      <w:r/>
    </w:p>
    <w:p>
      <w:pPr>
        <w:ind w:firstLine="400"/>
        <w:jc w:val="center"/>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val="0"/>
          <w:bCs/>
          <w:color w:val="auto"/>
          <w:szCs w:val="21"/>
          <w:highlight w:val="none"/>
        </w:rPr>
        <w:t xml:space="preserve">南京博物院合同制职工考核记分标准（修订）</w:t>
      </w:r>
      <w:r/>
    </w:p>
    <w:p>
      <w:pPr>
        <w:numPr>
          <w:ilvl w:val="0"/>
          <w:numId w:val="21"/>
        </w:numPr>
        <w:ind w:left="0" w:firstLine="40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出现下列情形的每次扣1分</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病假1至3天。</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迟到、早退1小时，不足一小时按一小时计算，超过1小时按事假记。</w:t>
      </w:r>
      <w:r/>
    </w:p>
    <w:p>
      <w:pPr>
        <w:numPr>
          <w:ilvl w:val="0"/>
          <w:numId w:val="23"/>
        </w:numPr>
        <w:ind w:left="0" w:firstLine="402"/>
        <w:keepLines w:val="0"/>
        <w:keepNext w:val="0"/>
        <w:pageBreakBefore w:val="0"/>
        <w:spacing w:line="360" w:lineRule="auto"/>
        <w:widowControl w:val="off"/>
        <w:tabs>
          <w:tab w:val="left" w:pos="540" w:leader="none"/>
          <w:tab w:val="clear"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出现下列情形的每次扣2分</w:t>
      </w:r>
      <w:r/>
    </w:p>
    <w:p>
      <w:pPr>
        <w:numPr>
          <w:ilvl w:val="0"/>
          <w:numId w:val="22"/>
        </w:numPr>
        <w:ind w:left="0" w:firstLine="400"/>
        <w:keepLines w:val="0"/>
        <w:keepNext w:val="0"/>
        <w:pageBreakBefore w:val="0"/>
        <w:spacing w:line="360" w:lineRule="auto"/>
        <w:widowControl w:val="off"/>
        <w:tabs>
          <w:tab w:val="clear" w:pos="4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病假3天以上每天扣2分。</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仪容、仪貌不整洁（男同志留长发、蓄长胡须、不佩带工号牌、佩带其它装饰性饰品的）。</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在岗期间未按规定在规定位置、规定姿势站位或巡视的以及未按时交接班的</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上下班不走员工通道，或在展馆内和观众争道，导致观众参观受到影响的。</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在院区及展馆内随意丢弃果皮、纸屑或其它杂物。</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执勤装备没有携带的，或者装备工作状态不正常且持有人未报告的。</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值班记录书写潦草含糊不清。</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不按时清洁责任区域内卫生导致工作环境脏乱差的。</w:t>
      </w:r>
      <w:r/>
    </w:p>
    <w:p>
      <w:pPr>
        <w:numPr>
          <w:ilvl w:val="0"/>
          <w:numId w:val="22"/>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不爱护工作装备或设备，野蛮操作、不按规定程序开关或不按规定保养的。</w:t>
      </w:r>
      <w:r/>
    </w:p>
    <w:p>
      <w:pPr>
        <w:numPr>
          <w:ilvl w:val="0"/>
          <w:numId w:val="24"/>
        </w:numPr>
        <w:ind w:left="0" w:firstLine="40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出现下列情形的每次扣5分</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事假1天。</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未经上级批准私自换班的双方当事人。</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交接班程序存在漏项或未按规定进行检查交接的。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未能掌握应有技能或应了解的情况不了解，如设备、装备操作不熟练，不能熟练使用灭火器材，不清楚和掌握责任区内文物数量、消防安防设施位置、出入口通道分布等。</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值班记录未填写的。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无故不参加单位或部门要求召开的会议、培训及其他活动的。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工作期间私自串岗或休岗期间擅自离院外出未在指定区域待命的。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未严格执行相关规章制度对进出车辆、人员进行询问、登记、核实出入凭证，或因检查不力导致无关人员进入不应进入的区域的。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未严格执行操作规程要求的内容，存在漏操作、延时操作、违规操作等情况。</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在岗或执勤期间有闲聊、打闹、吃东西、抽烟、接打电话等行为，或做工作无关的事情。</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根据规定要求定时对指定责任区域进行指定内容的巡视，存在漏巡、不巡、缓巡等情况。</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当班期间责任区域内出现异常或应当报告未及时报告，或出现漏报、不报、缓报等现象。</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未按规定流程或规定时间报告工作情况的。</w:t>
      </w:r>
      <w:r/>
    </w:p>
    <w:p>
      <w:pPr>
        <w:numPr>
          <w:ilvl w:val="0"/>
          <w:numId w:val="25"/>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擅自回答观众提出的与文物有关的专业性问题的。</w:t>
      </w:r>
      <w:r/>
    </w:p>
    <w:p>
      <w:pPr>
        <w:numPr>
          <w:ilvl w:val="0"/>
          <w:numId w:val="26"/>
        </w:numPr>
        <w:ind w:left="0" w:firstLine="402"/>
        <w:keepLines w:val="0"/>
        <w:keepNext w:val="0"/>
        <w:pageBreakBefore w:val="0"/>
        <w:spacing w:line="360" w:lineRule="auto"/>
        <w:widowControl w:val="off"/>
        <w:tabs>
          <w:tab w:val="center" w:pos="4153"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出现下列情形的每次扣10分</w:t>
      </w:r>
      <w:r>
        <w:rPr>
          <w:rFonts w:hint="eastAsia" w:ascii="宋体" w:hAnsi="宋体" w:eastAsia="宋体" w:cs="宋体"/>
          <w:b/>
          <w:bCs/>
          <w:color w:val="auto"/>
          <w:szCs w:val="21"/>
          <w:highlight w:val="none"/>
        </w:rPr>
        <w:tab/>
      </w:r>
      <w:r/>
    </w:p>
    <w:p>
      <w:pPr>
        <w:numPr>
          <w:ilvl w:val="0"/>
          <w:numId w:val="27"/>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上班在岗期间睡觉或酒后上岗的。</w:t>
      </w:r>
      <w:r/>
    </w:p>
    <w:p>
      <w:pPr>
        <w:numPr>
          <w:ilvl w:val="0"/>
          <w:numId w:val="27"/>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本人消极懈怠导致上级安排的工作未能按要求完成的。</w:t>
      </w:r>
      <w:r/>
    </w:p>
    <w:p>
      <w:pPr>
        <w:numPr>
          <w:ilvl w:val="0"/>
          <w:numId w:val="27"/>
        </w:numPr>
        <w:ind w:left="0" w:firstLine="40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由于个人工作疏忽导致本责任区域内存在应被发现而未能发现的问题。</w:t>
      </w:r>
      <w:r/>
    </w:p>
    <w:p>
      <w:pPr>
        <w:numPr>
          <w:ilvl w:val="0"/>
          <w:numId w:val="27"/>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由于处置不及时或消极懈怠导致责任区域内车辆拥堵或秩序混乱的。</w:t>
      </w:r>
      <w:r/>
    </w:p>
    <w:p>
      <w:pPr>
        <w:numPr>
          <w:ilvl w:val="0"/>
          <w:numId w:val="27"/>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由于疏忽或消极懈怠放任各种危及文物、财务、人身安全的行为但未造成严重后果的。</w:t>
      </w:r>
      <w:r/>
    </w:p>
    <w:p>
      <w:pPr>
        <w:numPr>
          <w:ilvl w:val="0"/>
          <w:numId w:val="26"/>
        </w:numPr>
        <w:ind w:left="0" w:firstLine="402"/>
        <w:keepLines w:val="0"/>
        <w:keepNext w:val="0"/>
        <w:pageBreakBefore w:val="0"/>
        <w:spacing w:line="360" w:lineRule="auto"/>
        <w:widowControl w:val="off"/>
        <w:tabs>
          <w:tab w:val="center" w:pos="4153"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出现下列情形的每次扣15分 </w:t>
      </w:r>
      <w:r/>
    </w:p>
    <w:p>
      <w:pPr>
        <w:numPr>
          <w:ilvl w:val="0"/>
          <w:numId w:val="28"/>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不按照组织程序反应问题或表达意见，发生越级上告并造成恶劣影响者。</w:t>
      </w:r>
      <w:r/>
    </w:p>
    <w:p>
      <w:pPr>
        <w:numPr>
          <w:ilvl w:val="0"/>
          <w:numId w:val="28"/>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上班期间饮酒或醉酒后上岗的。</w:t>
      </w:r>
      <w:r/>
    </w:p>
    <w:p>
      <w:pPr>
        <w:numPr>
          <w:ilvl w:val="0"/>
          <w:numId w:val="28"/>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弄虚作假故意隐瞒工作情况但未造成严重后果的。</w:t>
      </w:r>
      <w:r/>
    </w:p>
    <w:p>
      <w:pPr>
        <w:numPr>
          <w:ilvl w:val="0"/>
          <w:numId w:val="28"/>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因工作疏忽没有及时汇报和处理而造成一定后果的。</w:t>
      </w:r>
      <w:r/>
    </w:p>
    <w:p>
      <w:pPr>
        <w:numPr>
          <w:ilvl w:val="0"/>
          <w:numId w:val="28"/>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故意损坏公私财物、装备、设备及其它公用设施的。</w:t>
      </w:r>
      <w:r/>
    </w:p>
    <w:p>
      <w:pPr>
        <w:numPr>
          <w:ilvl w:val="1"/>
          <w:numId w:val="29"/>
        </w:numPr>
        <w:ind w:left="0" w:firstLine="402"/>
        <w:keepLines w:val="0"/>
        <w:keepNext w:val="0"/>
        <w:pageBreakBefore w:val="0"/>
        <w:spacing w:line="360" w:lineRule="auto"/>
        <w:widowControl w:val="off"/>
        <w:tabs>
          <w:tab w:val="left" w:pos="540" w:leader="none"/>
          <w:tab w:val="clear" w:pos="11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出现下列情形的每次扣20分</w:t>
      </w:r>
      <w:r/>
    </w:p>
    <w:p>
      <w:pPr>
        <w:numPr>
          <w:ilvl w:val="0"/>
          <w:numId w:val="30"/>
        </w:numPr>
        <w:ind w:left="0" w:firstLine="400"/>
        <w:keepLines w:val="0"/>
        <w:keepNext w:val="0"/>
        <w:pageBreakBefore w:val="0"/>
        <w:spacing w:line="360" w:lineRule="auto"/>
        <w:widowControl w:val="off"/>
        <w:tabs>
          <w:tab w:val="left" w:pos="34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旷工1天。</w:t>
      </w:r>
      <w:r/>
    </w:p>
    <w:p>
      <w:pPr>
        <w:numPr>
          <w:ilvl w:val="0"/>
          <w:numId w:val="30"/>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上班期间无故脱岗的。</w:t>
      </w:r>
      <w:r/>
    </w:p>
    <w:p>
      <w:pPr>
        <w:numPr>
          <w:ilvl w:val="0"/>
          <w:numId w:val="30"/>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同志之间不团结、无中生有、搬弄是非、制造矛盾、引起争吵和斗殴的相关当事人。</w:t>
      </w:r>
      <w:r/>
    </w:p>
    <w:p>
      <w:pPr>
        <w:numPr>
          <w:ilvl w:val="0"/>
          <w:numId w:val="30"/>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对待观众态度野蛮、粗暴，与观众发生争吵、冲突。</w:t>
      </w:r>
      <w:r/>
    </w:p>
    <w:p>
      <w:pPr>
        <w:numPr>
          <w:ilvl w:val="0"/>
          <w:numId w:val="30"/>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擅自散布有关单位的机密或不当言论造成影响的。</w:t>
      </w:r>
      <w:r/>
    </w:p>
    <w:p>
      <w:pPr>
        <w:numPr>
          <w:ilvl w:val="1"/>
          <w:numId w:val="29"/>
        </w:numPr>
        <w:ind w:left="0" w:firstLine="402"/>
        <w:keepLines w:val="0"/>
        <w:keepNext w:val="0"/>
        <w:pageBreakBefore w:val="0"/>
        <w:spacing w:line="360" w:lineRule="auto"/>
        <w:widowControl w:val="off"/>
        <w:tabs>
          <w:tab w:val="left" w:pos="540" w:leader="none"/>
          <w:tab w:val="clear" w:pos="11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出现下列情形的每次扣30分</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本年度旷工累计达到3天。</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不服从上级指挥、工作安排、岗位调动，或不接受管理人员检查、督导和处理意见的。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在公共场合内与人斗殴的。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发现重大安全隐患，没有及时采取措施和报告造成严重后果的。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因人为疏忽、不按程序、规程要求或处置不及时造成文物、财务、人身安全受到严重损害的。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突发情况没有及时采取措施或畏缩不前、擅自离开岗位的。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弄虚作假故意隐瞒实际工作情况造成严重后果的。</w:t>
      </w:r>
      <w:r/>
    </w:p>
    <w:p>
      <w:pPr>
        <w:numPr>
          <w:ilvl w:val="0"/>
          <w:numId w:val="31"/>
        </w:numPr>
        <w:ind w:left="0" w:firstLine="4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不遵守职业操守，向观众索要小费或其它物品，或私自占有他人的物品的。</w:t>
      </w:r>
      <w:r/>
    </w:p>
    <w:p>
      <w:pPr>
        <w:numPr>
          <w:ilvl w:val="1"/>
          <w:numId w:val="29"/>
        </w:numPr>
        <w:ind w:left="0" w:firstLine="402"/>
        <w:keepLines w:val="0"/>
        <w:keepNext w:val="0"/>
        <w:pageBreakBefore w:val="0"/>
        <w:spacing w:line="360" w:lineRule="auto"/>
        <w:widowControl w:val="off"/>
        <w:tabs>
          <w:tab w:val="left" w:pos="540" w:leader="none"/>
          <w:tab w:val="clear" w:pos="11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处分办法</w:t>
      </w:r>
      <w:r/>
    </w:p>
    <w:p>
      <w:pPr>
        <w:numPr>
          <w:ilvl w:val="0"/>
          <w:numId w:val="32"/>
        </w:numPr>
        <w:ind w:left="0" w:firstLine="400"/>
        <w:keepLines w:val="0"/>
        <w:keepNext w:val="0"/>
        <w:pageBreakBefore w:val="0"/>
        <w:spacing w:line="360" w:lineRule="auto"/>
        <w:widowControl w:val="off"/>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当月累计扣分达到15分以上的应对当事人进行通报批评。</w:t>
      </w:r>
      <w:r/>
    </w:p>
    <w:p>
      <w:pPr>
        <w:numPr>
          <w:ilvl w:val="0"/>
          <w:numId w:val="32"/>
        </w:numPr>
        <w:ind w:left="0" w:firstLine="400"/>
        <w:keepLines w:val="0"/>
        <w:keepNext w:val="0"/>
        <w:pageBreakBefore w:val="0"/>
        <w:spacing w:line="360" w:lineRule="auto"/>
        <w:widowControl w:val="off"/>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个月内有2次及以上违规记录或连续2个月有违规记录保安公司管理层应对当事人进行约谈以示警告，约谈后3个月内又出现违规记录的应给予当事人通报批评并扣除当月全部绩效奖金，其后本年度内若再有违规记录则被考核人被视为不能胜任保卫工作应予以辞退。</w:t>
      </w:r>
      <w:r/>
    </w:p>
    <w:p>
      <w:pPr>
        <w:numPr>
          <w:ilvl w:val="0"/>
          <w:numId w:val="32"/>
        </w:numPr>
        <w:ind w:left="0" w:firstLine="400"/>
        <w:keepLines w:val="0"/>
        <w:keepNext w:val="0"/>
        <w:pageBreakBefore w:val="0"/>
        <w:spacing w:line="360" w:lineRule="auto"/>
        <w:widowControl w:val="off"/>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本年度违规扣分累计达到60分以上或单次扣分达到30分的将给予辞退的处理。</w:t>
      </w:r>
      <w:r/>
    </w:p>
    <w:p>
      <w:pPr>
        <w:numPr>
          <w:ilvl w:val="0"/>
          <w:numId w:val="32"/>
        </w:numPr>
        <w:ind w:left="0" w:firstLine="400"/>
        <w:keepLines w:val="0"/>
        <w:keepNext w:val="0"/>
        <w:pageBreakBefore w:val="0"/>
        <w:spacing w:line="360" w:lineRule="auto"/>
        <w:widowControl w:val="off"/>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扣分扣钱标准（1分等于10元；超过10分，按双倍计算）。</w:t>
      </w:r>
      <w:r/>
    </w:p>
    <w:p>
      <w:pPr>
        <w:numPr>
          <w:ilvl w:val="0"/>
          <w:numId w:val="0"/>
        </w:numPr>
        <w:ind w:firstLine="434"/>
        <w:keepLines w:val="0"/>
        <w:keepNext w:val="0"/>
        <w:pageBreakBefore w:val="0"/>
        <w:spacing w:before="291" w:line="360" w:lineRule="auto"/>
        <w:widowControl w:val="off"/>
        <w:tabs>
          <w:tab w:val="left" w:pos="240" w:leader="none"/>
        </w:tabs>
        <w:rPr>
          <w:rFonts w:hint="eastAsia" w:ascii="宋体" w:hAnsi="宋体" w:eastAsia="宋体" w:cs="宋体"/>
          <w:color w:val="auto"/>
          <w:spacing w:val="8"/>
          <w:szCs w:val="21"/>
          <w:highlight w:val="none"/>
        </w:rPr>
        <w:outlineLvl w:val="1"/>
      </w:pPr>
      <w:r/>
      <w:bookmarkStart w:id="108" w:name="_Toc11255"/>
      <w:r/>
      <w:bookmarkStart w:id="109" w:name="_Toc539"/>
      <w:r/>
      <w:bookmarkStart w:id="110" w:name="_Toc4186"/>
      <w:r>
        <w:rPr>
          <w:rFonts w:hint="eastAsia" w:ascii="宋体" w:hAnsi="宋体" w:eastAsia="宋体" w:cs="宋体"/>
          <w:b/>
          <w:bCs/>
          <w:color w:val="auto"/>
          <w:spacing w:val="8"/>
          <w:szCs w:val="21"/>
          <w:highlight w:val="none"/>
          <w:lang w:val="en-US" w:eastAsia="zh-CN"/>
        </w:rPr>
        <w:t xml:space="preserve">五、</w:t>
      </w:r>
      <w:r>
        <w:rPr>
          <w:rFonts w:hint="eastAsia" w:ascii="宋体" w:hAnsi="宋体" w:eastAsia="宋体" w:cs="宋体"/>
          <w:b/>
          <w:bCs/>
          <w:color w:val="auto"/>
          <w:spacing w:val="8"/>
          <w:szCs w:val="21"/>
          <w:highlight w:val="none"/>
        </w:rPr>
        <w:t xml:space="preserve">其他要求</w:t>
      </w:r>
      <w:bookmarkEnd w:id="108"/>
      <w:r/>
      <w:bookmarkEnd w:id="109"/>
      <w:r/>
      <w:bookmarkEnd w:id="110"/>
      <w:r/>
      <w:r/>
    </w:p>
    <w:p>
      <w:pPr>
        <w:pStyle w:val="1334"/>
        <w:numPr>
          <w:ilvl w:val="0"/>
          <w:numId w:val="0"/>
        </w:numPr>
        <w:ind w:left="0" w:firstLine="400"/>
        <w:jc w:val="left"/>
        <w:keepLines w:val="0"/>
        <w:keepNext w:val="0"/>
        <w:pageBreakBefore w:val="0"/>
        <w:spacing w:line="360" w:lineRule="auto"/>
        <w:widowControl w:val="off"/>
        <w:rPr>
          <w:rFonts w:hint="eastAsia" w:ascii="Times New Roman" w:hAnsi="Times New Roman"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当按照《中华人民共和国劳动法》《中华人民共和国劳动</w:t>
      </w: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lang w:val="zh-CN"/>
        </w:rPr>
        <w:t xml:space="preserve">法》及其他相关的法律法规和所有服务人员建立劳动合同关系，及时支付服务人员的劳动报酬，并向</w:t>
      </w:r>
      <w:r>
        <w:rPr>
          <w:rFonts w:hint="eastAsia" w:ascii="宋体" w:hAnsi="宋体" w:eastAsia="宋体" w:cs="宋体"/>
          <w:color w:val="auto"/>
          <w:szCs w:val="21"/>
          <w:highlight w:val="none"/>
        </w:rPr>
        <w:t xml:space="preserve">招标人</w:t>
      </w:r>
      <w:r>
        <w:rPr>
          <w:rFonts w:hint="eastAsia" w:ascii="宋体" w:hAnsi="宋体" w:eastAsia="宋体" w:cs="宋体"/>
          <w:color w:val="auto"/>
          <w:szCs w:val="21"/>
          <w:highlight w:val="none"/>
          <w:lang w:val="zh-CN"/>
        </w:rPr>
        <w:t xml:space="preserve">提供服务人员基本信息。如服务人员遇疾病、伤残、死亡等事故，由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承担全部责任。</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服务人员出现劳动争议而导致索赔的，由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全权处理并承担全部责任，与</w:t>
      </w:r>
      <w:r>
        <w:rPr>
          <w:rFonts w:hint="eastAsia" w:ascii="宋体" w:hAnsi="宋体" w:eastAsia="宋体" w:cs="宋体"/>
          <w:color w:val="auto"/>
          <w:szCs w:val="21"/>
          <w:highlight w:val="none"/>
        </w:rPr>
        <w:t xml:space="preserve">招标人</w:t>
      </w:r>
      <w:r>
        <w:rPr>
          <w:rFonts w:hint="eastAsia" w:ascii="宋体" w:hAnsi="宋体" w:eastAsia="宋体" w:cs="宋体"/>
          <w:color w:val="auto"/>
          <w:szCs w:val="21"/>
          <w:highlight w:val="none"/>
          <w:lang w:val="zh-CN"/>
        </w:rPr>
        <w:t xml:space="preserve">无关。如</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员工违规操作、非正常性操作以及其他乙方自身原因给甲方带来经济损失的，由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承担全部赔偿责任。</w:t>
      </w:r>
      <w:r/>
    </w:p>
    <w:p>
      <w:pPr>
        <w:pStyle w:val="1334"/>
        <w:numPr>
          <w:ilvl w:val="0"/>
          <w:numId w:val="0"/>
        </w:numPr>
        <w:ind w:left="0" w:firstLine="40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2.付款方式：</w:t>
      </w:r>
      <w:r/>
    </w:p>
    <w:p>
      <w:pPr>
        <w:pStyle w:val="1334"/>
        <w:numPr>
          <w:ilvl w:val="0"/>
          <w:numId w:val="0"/>
        </w:numPr>
        <w:ind w:left="0" w:firstLine="40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.1季度付费，每季度期满后根据上季度考核结果支付上季度的费用。</w:t>
      </w:r>
      <w:r>
        <w:rPr>
          <w:rFonts w:hint="eastAsia"/>
          <w:color w:val="auto"/>
          <w:highlight w:val="none"/>
        </w:rPr>
        <w:t xml:space="preserve">如因财政资金拨付等原因，双方可协商延迟付款，</w:t>
      </w:r>
      <w:r>
        <w:rPr>
          <w:rFonts w:hint="eastAsia"/>
          <w:color w:val="auto"/>
          <w:highlight w:val="none"/>
          <w:lang w:val="en-US" w:eastAsia="zh-CN"/>
        </w:rPr>
        <w:t xml:space="preserve">采购人</w:t>
      </w:r>
      <w:r>
        <w:rPr>
          <w:rFonts w:hint="eastAsia"/>
          <w:color w:val="auto"/>
          <w:highlight w:val="none"/>
        </w:rPr>
        <w:t xml:space="preserve">不承担违约责任</w:t>
      </w:r>
      <w:r>
        <w:rPr>
          <w:rFonts w:hint="eastAsia"/>
          <w:color w:val="auto"/>
          <w:highlight w:val="none"/>
          <w:lang w:eastAsia="zh-CN"/>
        </w:rPr>
        <w:t xml:space="preserve">。</w:t>
      </w:r>
      <w:r/>
    </w:p>
    <w:p>
      <w:pPr>
        <w:ind w:firstLine="40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.2乙方应当按照国家有关规定，向甲方提供相关正式合法发票。</w:t>
      </w:r>
      <w:r/>
    </w:p>
    <w:p>
      <w:pPr>
        <w:ind w:firstLine="40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3.其他说明：工作日加班费：浮动费用基数*1.5、休息日加班费：浮动费用基数*2、法定休假日加班费：浮动费用基数*3。</w:t>
      </w:r>
      <w:r/>
    </w:p>
    <w:p>
      <w:pPr>
        <w:ind w:firstLine="400"/>
        <w:jc w:val="left"/>
        <w:keepLines w:val="0"/>
        <w:keepNext w:val="0"/>
        <w:spacing w:line="360" w:lineRule="auto"/>
        <w:widowControl/>
        <w:rPr>
          <w:rFonts w:hint="default" w:ascii="宋体" w:hAnsi="宋体" w:eastAsia="宋体" w:cs="宋体"/>
          <w:color w:val="auto"/>
          <w:sz w:val="20"/>
          <w:szCs w:val="21"/>
          <w:highlight w:val="none"/>
          <w:lang w:val="en-US" w:eastAsia="zh-CN" w:bidi="ar-SA"/>
        </w:rPr>
        <w:suppressLineNumbers w:val="0"/>
      </w:pPr>
      <w:r>
        <w:rPr>
          <w:rFonts w:hint="eastAsia" w:ascii="宋体" w:hAnsi="宋体" w:eastAsia="宋体" w:cs="宋体"/>
          <w:color w:val="auto"/>
          <w:sz w:val="20"/>
          <w:szCs w:val="21"/>
          <w:highlight w:val="none"/>
          <w:lang w:val="en-US" w:eastAsia="zh-CN" w:bidi="ar-SA"/>
        </w:rPr>
        <w:t xml:space="preserve">4.核心人员一致性违约条款：</w:t>
      </w:r>
      <w:r>
        <w:rPr>
          <w:rFonts w:ascii="宋体" w:hAnsi="宋体" w:eastAsia="宋体" w:cs="宋体"/>
          <w:color w:val="auto"/>
          <w:sz w:val="20"/>
          <w:szCs w:val="20"/>
          <w:highlight w:val="none"/>
          <w:lang w:val="en-US" w:eastAsia="zh-CN" w:bidi="ar"/>
        </w:rPr>
        <w:t xml:space="preserve">核心人员</w:t>
      </w:r>
      <w:r>
        <w:rPr>
          <w:rFonts w:hint="eastAsia" w:ascii="宋体" w:hAnsi="宋体" w:eastAsia="宋体" w:cs="宋体"/>
          <w:color w:val="auto"/>
          <w:sz w:val="20"/>
          <w:szCs w:val="20"/>
          <w:highlight w:val="none"/>
          <w:lang w:val="en-US" w:eastAsia="zh-CN" w:bidi="ar"/>
        </w:rPr>
        <w:t xml:space="preserve">指</w:t>
      </w:r>
      <w:r>
        <w:rPr>
          <w:rFonts w:ascii="宋体" w:hAnsi="宋体" w:eastAsia="宋体" w:cs="宋体"/>
          <w:color w:val="auto"/>
          <w:sz w:val="20"/>
          <w:szCs w:val="20"/>
          <w:highlight w:val="none"/>
          <w:lang w:val="en-US" w:eastAsia="zh-CN" w:bidi="ar"/>
        </w:rPr>
        <w:t xml:space="preserve">投标文件中用于评审加分的持证</w:t>
      </w:r>
      <w:r>
        <w:rPr>
          <w:rFonts w:hint="eastAsia" w:ascii="宋体" w:hAnsi="宋体" w:eastAsia="宋体" w:cs="宋体"/>
          <w:color w:val="auto"/>
          <w:sz w:val="20"/>
          <w:szCs w:val="20"/>
          <w:highlight w:val="none"/>
          <w:lang w:val="en-US" w:eastAsia="zh-CN" w:bidi="ar"/>
        </w:rPr>
        <w:t xml:space="preserve">派驻</w:t>
      </w:r>
      <w:r>
        <w:rPr>
          <w:rFonts w:ascii="宋体" w:hAnsi="宋体" w:eastAsia="宋体" w:cs="宋体"/>
          <w:color w:val="auto"/>
          <w:sz w:val="20"/>
          <w:szCs w:val="20"/>
          <w:highlight w:val="none"/>
          <w:lang w:val="en-US" w:eastAsia="zh-CN" w:bidi="ar"/>
        </w:rPr>
        <w:t xml:space="preserve">人员</w:t>
      </w:r>
      <w:r>
        <w:rPr>
          <w:rFonts w:hint="eastAsia" w:ascii="宋体" w:hAnsi="宋体" w:eastAsia="宋体" w:cs="宋体"/>
          <w:color w:val="auto"/>
          <w:sz w:val="20"/>
          <w:szCs w:val="20"/>
          <w:highlight w:val="none"/>
          <w:lang w:val="en-US" w:eastAsia="zh-CN" w:bidi="ar"/>
        </w:rPr>
        <w:t xml:space="preserve">和</w:t>
      </w:r>
      <w:r>
        <w:rPr>
          <w:rFonts w:ascii="宋体" w:hAnsi="宋体" w:eastAsia="宋体" w:cs="宋体"/>
          <w:color w:val="auto"/>
          <w:sz w:val="20"/>
          <w:szCs w:val="20"/>
          <w:highlight w:val="none"/>
          <w:lang w:val="en-US" w:eastAsia="zh-CN" w:bidi="ar"/>
        </w:rPr>
        <w:t xml:space="preserve">承诺派驻现场人员。中标人派驻现场核心人员须与投标承诺名单一致，未经采购人书面同意不得擅自更换；确因离职、伤病等原因需更换的，替换人员资质不得低于原人员标准。人员不一致造成采购人损失的，</w:t>
      </w:r>
      <w:r>
        <w:rPr>
          <w:rFonts w:hint="eastAsia" w:ascii="宋体" w:hAnsi="宋体" w:eastAsia="宋体" w:cs="宋体"/>
          <w:color w:val="auto"/>
          <w:sz w:val="20"/>
          <w:szCs w:val="20"/>
          <w:highlight w:val="none"/>
          <w:lang w:val="en-US" w:eastAsia="zh-CN" w:bidi="ar"/>
        </w:rPr>
        <w:t xml:space="preserve">采购人有权终止合同，一切损失</w:t>
      </w:r>
      <w:r>
        <w:rPr>
          <w:rFonts w:ascii="宋体" w:hAnsi="宋体" w:eastAsia="宋体" w:cs="宋体"/>
          <w:color w:val="auto"/>
          <w:sz w:val="20"/>
          <w:szCs w:val="20"/>
          <w:highlight w:val="none"/>
          <w:lang w:val="en-US" w:eastAsia="zh-CN" w:bidi="ar"/>
        </w:rPr>
        <w:t xml:space="preserve">由中标人全额赔偿</w:t>
      </w:r>
      <w:r>
        <w:rPr>
          <w:rFonts w:ascii="宋体" w:hAnsi="宋体" w:eastAsia="宋体" w:cs="宋体"/>
          <w:color w:val="auto"/>
          <w:sz w:val="24"/>
          <w:szCs w:val="24"/>
          <w:highlight w:val="none"/>
          <w:lang w:val="en-US" w:eastAsia="zh-CN" w:bidi="ar"/>
        </w:rPr>
        <w:t xml:space="preserve">。</w:t>
      </w:r>
      <w:r/>
    </w:p>
    <w:p>
      <w:pPr>
        <w:pStyle w:val="937"/>
        <w:ind w:firstLine="400"/>
        <w:spacing w:line="360" w:lineRule="auto"/>
        <w:rPr>
          <w:rFonts w:hint="eastAsia" w:ascii="宋体" w:hAnsi="宋体" w:eastAsia="宋体" w:cs="宋体"/>
          <w:color w:val="auto"/>
          <w:sz w:val="20"/>
          <w:szCs w:val="21"/>
          <w:highlight w:val="none"/>
          <w:lang w:val="en-US" w:eastAsia="zh-CN" w:bidi="ar-SA"/>
        </w:rPr>
      </w:pPr>
      <w:r>
        <w:rPr>
          <w:rFonts w:hint="eastAsia" w:ascii="宋体" w:hAnsi="宋体" w:eastAsia="宋体" w:cs="宋体"/>
          <w:color w:val="auto"/>
          <w:sz w:val="20"/>
          <w:szCs w:val="21"/>
          <w:highlight w:val="none"/>
          <w:lang w:val="en-US" w:eastAsia="zh-CN" w:bidi="ar-SA"/>
        </w:rPr>
        <w:t xml:space="preserve">5.工作餐：工作时间内按上岗人数供应工作餐一份；因采购人举办活动、节假日开放延时或其他原因导致闭馆时间延迟的，当日另行供应工作餐一份。</w:t>
      </w:r>
      <w:r/>
    </w:p>
    <w:p>
      <w:pPr>
        <w:pStyle w:val="937"/>
        <w:ind w:firstLine="400"/>
        <w:spacing w:line="360" w:lineRule="auto"/>
        <w:rPr>
          <w:color w:val="auto"/>
          <w:highlight w:val="none"/>
        </w:rPr>
      </w:pPr>
      <w:r>
        <w:rPr>
          <w:rFonts w:hint="eastAsia" w:ascii="宋体" w:hAnsi="宋体" w:eastAsia="宋体" w:cs="宋体"/>
          <w:color w:val="auto"/>
          <w:sz w:val="20"/>
          <w:szCs w:val="21"/>
          <w:highlight w:val="none"/>
          <w:lang w:val="en-US" w:eastAsia="zh-CN" w:bidi="ar-SA"/>
        </w:rPr>
        <w:t xml:space="preserve">6.员工培训要求：</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6.1</w:t>
      </w:r>
      <w:r>
        <w:rPr>
          <w:rStyle w:val="945"/>
          <w:rFonts w:hint="eastAsia" w:ascii="宋体" w:hAnsi="宋体" w:eastAsia="宋体" w:cs="宋体"/>
          <w:b w:val="0"/>
          <w:bCs w:val="0"/>
          <w:color w:val="auto"/>
          <w:sz w:val="21"/>
          <w:szCs w:val="21"/>
          <w:highlight w:val="none"/>
        </w:rPr>
        <w:t xml:space="preserve">消防技能</w:t>
      </w:r>
      <w:r>
        <w:rPr>
          <w:rFonts w:hint="eastAsia" w:ascii="宋体" w:hAnsi="宋体" w:eastAsia="宋体" w:cs="宋体"/>
          <w:b w:val="0"/>
          <w:bCs w:val="0"/>
          <w:color w:val="auto"/>
          <w:sz w:val="21"/>
          <w:szCs w:val="21"/>
          <w:highlight w:val="none"/>
        </w:rPr>
        <w:t xml:space="preserve">：掌握消防基础常识，熟练操作灭火器、消火栓，会开展疏散引导、重点部位初期火灾处置，具备初起火灾扑救能力。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6.2</w:t>
      </w:r>
      <w:r>
        <w:rPr>
          <w:rStyle w:val="945"/>
          <w:rFonts w:hint="eastAsia" w:ascii="宋体" w:hAnsi="宋体" w:eastAsia="宋体" w:cs="宋体"/>
          <w:b w:val="0"/>
          <w:bCs w:val="0"/>
          <w:color w:val="auto"/>
          <w:sz w:val="21"/>
          <w:szCs w:val="21"/>
          <w:highlight w:val="none"/>
        </w:rPr>
        <w:t xml:space="preserve">应急处置</w:t>
      </w:r>
      <w:r>
        <w:rPr>
          <w:rFonts w:hint="eastAsia" w:ascii="宋体" w:hAnsi="宋体" w:eastAsia="宋体" w:cs="宋体"/>
          <w:b w:val="0"/>
          <w:bCs w:val="0"/>
          <w:color w:val="auto"/>
          <w:sz w:val="21"/>
          <w:szCs w:val="21"/>
          <w:highlight w:val="none"/>
        </w:rPr>
        <w:t xml:space="preserve">：开展反恐、盗抢、突发事件处置专项培训，具备突发事件现场处置能力。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6.3</w:t>
      </w:r>
      <w:r>
        <w:rPr>
          <w:rStyle w:val="945"/>
          <w:rFonts w:hint="eastAsia" w:ascii="宋体" w:hAnsi="宋体" w:eastAsia="宋体" w:cs="宋体"/>
          <w:b w:val="0"/>
          <w:bCs w:val="0"/>
          <w:color w:val="auto"/>
          <w:sz w:val="21"/>
          <w:szCs w:val="21"/>
          <w:highlight w:val="none"/>
        </w:rPr>
        <w:t xml:space="preserve">大客流处置</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结合南京博物院现场情况，</w:t>
      </w:r>
      <w:r>
        <w:rPr>
          <w:rFonts w:hint="eastAsia" w:ascii="宋体" w:hAnsi="宋体" w:eastAsia="宋体" w:cs="宋体"/>
          <w:b w:val="0"/>
          <w:bCs w:val="0"/>
          <w:color w:val="auto"/>
          <w:sz w:val="21"/>
          <w:szCs w:val="21"/>
          <w:highlight w:val="none"/>
        </w:rPr>
        <w:t xml:space="preserve">完成观众出入场分流管控、通道管控、防踩踏实操演练，落实大客流现场管控能力。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6.4</w:t>
      </w:r>
      <w:r>
        <w:rPr>
          <w:rStyle w:val="945"/>
          <w:rFonts w:hint="eastAsia" w:ascii="宋体" w:hAnsi="宋体" w:eastAsia="宋体" w:cs="宋体"/>
          <w:b w:val="0"/>
          <w:bCs w:val="0"/>
          <w:color w:val="auto"/>
          <w:sz w:val="21"/>
          <w:szCs w:val="21"/>
          <w:highlight w:val="none"/>
        </w:rPr>
        <w:t xml:space="preserve">急救常识</w:t>
      </w:r>
      <w:r>
        <w:rPr>
          <w:rFonts w:hint="eastAsia" w:ascii="宋体" w:hAnsi="宋体" w:eastAsia="宋体" w:cs="宋体"/>
          <w:b w:val="0"/>
          <w:bCs w:val="0"/>
          <w:color w:val="auto"/>
          <w:sz w:val="21"/>
          <w:szCs w:val="21"/>
          <w:highlight w:val="none"/>
        </w:rPr>
        <w:t xml:space="preserve">：掌握心肺复苏、止血包扎操作，熟悉游客身体突发不适的处置流程。</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6.5</w:t>
      </w:r>
      <w:r>
        <w:rPr>
          <w:rStyle w:val="945"/>
          <w:rFonts w:hint="eastAsia" w:ascii="宋体" w:hAnsi="宋体" w:eastAsia="宋体" w:cs="宋体"/>
          <w:b w:val="0"/>
          <w:bCs w:val="0"/>
          <w:color w:val="auto"/>
          <w:sz w:val="21"/>
          <w:szCs w:val="21"/>
          <w:highlight w:val="none"/>
        </w:rPr>
        <w:t xml:space="preserve">培训考核</w:t>
      </w:r>
      <w:r>
        <w:rPr>
          <w:rFonts w:hint="eastAsia" w:ascii="宋体" w:hAnsi="宋体" w:eastAsia="宋体" w:cs="宋体"/>
          <w:b w:val="0"/>
          <w:bCs w:val="0"/>
          <w:color w:val="auto"/>
          <w:sz w:val="21"/>
          <w:szCs w:val="21"/>
          <w:highlight w:val="none"/>
        </w:rPr>
        <w:t xml:space="preserve">：每月培训不少于4次，月底统一组织考核；考核不合格人员，予以更换</w:t>
      </w:r>
      <w:r>
        <w:rPr>
          <w:rFonts w:hint="eastAsia" w:ascii="宋体" w:hAnsi="宋体" w:eastAsia="宋体" w:cs="宋体"/>
          <w:b w:val="0"/>
          <w:bCs w:val="0"/>
          <w:color w:val="auto"/>
          <w:sz w:val="21"/>
          <w:szCs w:val="21"/>
          <w:highlight w:val="none"/>
          <w:lang w:eastAsia="zh-CN"/>
        </w:rPr>
        <w:t xml:space="preserve">。</w:t>
      </w:r>
      <w:r/>
    </w:p>
    <w:p>
      <w:pPr>
        <w:pStyle w:val="937"/>
        <w:ind w:firstLine="400"/>
        <w:spacing w:line="360" w:lineRule="auto"/>
        <w:rPr>
          <w:rFonts w:hint="default" w:ascii="宋体" w:hAnsi="宋体" w:eastAsia="宋体" w:cs="宋体"/>
          <w:color w:val="auto"/>
          <w:sz w:val="20"/>
          <w:szCs w:val="21"/>
          <w:highlight w:val="none"/>
          <w:lang w:val="en-US" w:eastAsia="zh-CN" w:bidi="ar-SA"/>
        </w:rPr>
      </w:pPr>
      <w:r>
        <w:rPr>
          <w:rFonts w:hint="eastAsia" w:ascii="宋体" w:hAnsi="宋体" w:eastAsia="宋体" w:cs="宋体"/>
          <w:color w:val="auto"/>
          <w:sz w:val="20"/>
          <w:szCs w:val="21"/>
          <w:highlight w:val="none"/>
          <w:lang w:val="en-US" w:eastAsia="zh-CN" w:bidi="ar-SA"/>
        </w:rPr>
        <w:t xml:space="preserve">7.进、离场要求：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7.1提</w:t>
      </w:r>
      <w:r>
        <w:rPr>
          <w:rFonts w:hint="eastAsia" w:ascii="宋体" w:hAnsi="宋体" w:eastAsia="宋体" w:cs="宋体"/>
          <w:color w:val="auto"/>
          <w:sz w:val="21"/>
          <w:szCs w:val="21"/>
          <w:highlight w:val="none"/>
        </w:rPr>
        <w:t xml:space="preserve">前一周提交完整人员名单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人员进场熟悉岗位，明确岗位职责。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物品交接清单</w:t>
      </w:r>
      <w:r/>
    </w:p>
    <w:tbl>
      <w:tblPr>
        <w:tblStyle w:val="9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27"/>
        <w:gridCol w:w="6869"/>
        <w:gridCol w:w="1483"/>
        <w:gridCol w:w="1483"/>
        <w:gridCol w:w="1406"/>
      </w:tblGrid>
      <w:tr>
        <w:trPr>
          <w:trHeight w:val="457"/>
        </w:trPr>
        <w:tc>
          <w:tcPr>
            <w:tcW w:w="103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p>
        </w:tc>
        <w:tc>
          <w:tcPr>
            <w:tcW w:w="242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物品及数量</w:t>
            </w:r>
            <w:r/>
          </w:p>
        </w:tc>
        <w:tc>
          <w:tcPr>
            <w:tcW w:w="52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交接人</w:t>
            </w:r>
            <w:r/>
          </w:p>
        </w:tc>
        <w:tc>
          <w:tcPr>
            <w:tcW w:w="52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接收人</w:t>
            </w:r>
            <w:r/>
          </w:p>
        </w:tc>
        <w:tc>
          <w:tcPr>
            <w:tcW w:w="496"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正大门广场</w:t>
            </w:r>
            <w:r/>
          </w:p>
        </w:tc>
        <w:tc>
          <w:tcPr>
            <w:tcW w:w="24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大门巡更棒×1 电动门遥控器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电动桩钥匙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空调遥控器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遮阳伞</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下沉广场步梯钥匙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下沉广场单向闸钥匙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二道岗岗亭钥匙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1二道岗电动门遥控器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二道岗巡更棒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二道岗空调遥控器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1二道岗门钥匙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喇叭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 警戒带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 警用伞</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2大风扇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对讲机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16</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日常巡逻记录本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车辆出入记录本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维景门</w:t>
            </w:r>
            <w:r/>
          </w:p>
        </w:tc>
        <w:tc>
          <w:tcPr>
            <w:tcW w:w="24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1电动门钥匙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道闸遥控器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空调遥控器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平安守护马甲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1大风扇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1日常巡逻记录本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1车辆出入记录本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车库及出口岗亭</w:t>
            </w:r>
            <w:r/>
          </w:p>
        </w:tc>
        <w:tc>
          <w:tcPr>
            <w:tcW w:w="24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点钞机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计算器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空调及遥控器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3大风扇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1出口岗亭钥匙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1电动门遥控器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2道闸遥控器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过街通道</w:t>
            </w:r>
            <w:r/>
          </w:p>
        </w:tc>
        <w:tc>
          <w:tcPr>
            <w:tcW w:w="24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电动卷帘钥匙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休息室钥匙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 小风扇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60" w:lineRule="auto"/>
        <w:widowControl w:val="off"/>
        <w:rPr>
          <w:rFonts w:hint="eastAsia"/>
          <w:color w:val="auto"/>
          <w:sz w:val="21"/>
          <w:szCs w:val="21"/>
          <w:highlight w:val="none"/>
        </w:rPr>
      </w:pPr>
      <w:r>
        <w:rPr>
          <w:rFonts w:hint="eastAsia" w:ascii="宋体" w:hAnsi="宋体" w:eastAsia="宋体" w:cs="宋体"/>
          <w:color w:val="auto"/>
          <w:sz w:val="21"/>
          <w:szCs w:val="21"/>
          <w:highlight w:val="none"/>
        </w:rPr>
        <w:t xml:space="preserve">以上物品物资在进场前完成交接，核对无误后双方签字确认。</w:t>
      </w:r>
      <w:r/>
    </w:p>
    <w:p>
      <w:pPr>
        <w:pStyle w:val="937"/>
        <w:ind w:firstLine="400"/>
        <w:spacing w:line="360" w:lineRule="auto"/>
        <w:rPr>
          <w:rFonts w:hint="default" w:ascii="宋体" w:hAnsi="宋体" w:eastAsia="宋体" w:cs="宋体"/>
          <w:color w:val="auto"/>
          <w:sz w:val="20"/>
          <w:szCs w:val="21"/>
          <w:highlight w:val="none"/>
          <w:lang w:val="en-US" w:eastAsia="zh-CN" w:bidi="ar-SA"/>
        </w:rPr>
        <w:sectPr>
          <w:footnotePr/>
          <w:endnotePr/>
          <w:type w:val="nextPage"/>
          <w:pgSz w:w="16838" w:h="11906" w:orient="landscape"/>
          <w:pgMar w:top="1080" w:right="1440" w:bottom="1080" w:left="1440" w:header="851" w:footer="680" w:gutter="0"/>
          <w:cols w:num="1" w:sep="0" w:space="720" w:equalWidth="1"/>
          <w:docGrid w:linePitch="360"/>
          <w:titlePg/>
        </w:sectPr>
      </w:pPr>
      <w:r>
        <w:rPr>
          <w:rFonts w:hint="default" w:ascii="宋体" w:hAnsi="宋体" w:eastAsia="宋体" w:cs="宋体"/>
          <w:color w:val="auto"/>
          <w:sz w:val="20"/>
          <w:szCs w:val="21"/>
          <w:highlight w:val="none"/>
          <w:lang w:val="en-US" w:eastAsia="zh-CN" w:bidi="ar-SA"/>
        </w:rPr>
      </w:r>
      <w:r/>
    </w:p>
    <w:p>
      <w:pPr>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 合同草案条款</w:t>
      </w:r>
      <w:r/>
    </w:p>
    <w:p>
      <w:pPr>
        <w:jc w:val="center"/>
        <w:spacing w:line="500" w:lineRule="exact"/>
        <w:rPr>
          <w:rFonts w:ascii="宋体" w:hAnsi="宋体" w:eastAsia="宋体"/>
          <w:color w:val="auto"/>
          <w:sz w:val="24"/>
          <w:szCs w:val="24"/>
          <w:highlight w:val="none"/>
        </w:rPr>
      </w:pPr>
      <w:r/>
      <w:bookmarkStart w:id="111" w:name="_Toc6085"/>
      <w:r/>
      <w:bookmarkStart w:id="112" w:name="_Toc16938559"/>
      <w:r/>
      <w:bookmarkStart w:id="113" w:name="_Toc20823315"/>
      <w:r/>
      <w:bookmarkStart w:id="114" w:name="_Toc513029243"/>
      <w:r>
        <w:rPr>
          <w:rFonts w:hint="eastAsia" w:ascii="宋体" w:hAnsi="宋体" w:eastAsia="宋体"/>
          <w:b/>
          <w:color w:val="auto"/>
          <w:sz w:val="24"/>
          <w:szCs w:val="24"/>
          <w:highlight w:val="none"/>
        </w:rPr>
        <w:t xml:space="preserve">（参考格式，本合同内容条款在正式签署前可具体补充细化，仅作参考，最终合同以采购人审查通过的版本为准）</w:t>
      </w:r>
      <w:bookmarkEnd w:id="111"/>
      <w:r/>
      <w:bookmarkEnd w:id="112"/>
      <w:bookmarkEnd w:id="113"/>
      <w:bookmarkEnd w:id="114"/>
      <w:r/>
    </w:p>
    <w:p>
      <w:pPr>
        <w:jc w:val="center"/>
        <w:spacing w:before="280" w:line="224" w:lineRule="auto"/>
        <w:rPr>
          <w:rFonts w:hint="eastAsia" w:ascii="宋体" w:hAnsi="宋体" w:cs="宋体"/>
          <w:color w:val="auto"/>
          <w:sz w:val="31"/>
          <w:szCs w:val="31"/>
          <w:highlight w:val="none"/>
        </w:rPr>
      </w:pPr>
      <w:r/>
      <w:bookmarkStart w:id="115" w:name="_Toc489275683"/>
      <w:r/>
      <w:bookmarkStart w:id="116" w:name="_Toc479684885"/>
      <w:r/>
      <w:bookmarkStart w:id="117" w:name="_Toc476063953"/>
      <w:r/>
      <w:bookmarkStart w:id="118" w:name="_Toc489275682"/>
      <w:r/>
      <w:bookmarkStart w:id="119" w:name="_Toc489655320"/>
      <w:r/>
      <w:bookmarkStart w:id="120" w:name="_Toc476063952"/>
      <w:r/>
      <w:bookmarkStart w:id="121" w:name="_Toc479684884"/>
      <w:r>
        <w:rPr>
          <w:rFonts w:hint="eastAsia" w:ascii="宋体" w:hAnsi="宋体" w:cs="宋体"/>
          <w:b/>
          <w:bCs/>
          <w:color w:val="auto"/>
          <w:spacing w:val="5"/>
          <w:sz w:val="31"/>
          <w:szCs w:val="31"/>
          <w:highlight w:val="none"/>
        </w:rPr>
        <w:t xml:space="preserve">南京博物院保安服务项目</w:t>
      </w:r>
      <w:r>
        <w:rPr>
          <w:rFonts w:ascii="宋体" w:hAnsi="宋体" w:cs="宋体"/>
          <w:b/>
          <w:bCs/>
          <w:color w:val="auto"/>
          <w:spacing w:val="5"/>
          <w:sz w:val="31"/>
          <w:szCs w:val="31"/>
          <w:highlight w:val="none"/>
        </w:rPr>
        <w:t xml:space="preserve">合同</w:t>
      </w:r>
      <w:r/>
    </w:p>
    <w:p>
      <w:pPr>
        <w:pStyle w:val="913"/>
        <w:ind w:firstLine="407"/>
        <w:spacing w:line="360" w:lineRule="auto"/>
        <w:rPr>
          <w:rFonts w:cs="宋体"/>
          <w:bCs/>
          <w:color w:val="auto"/>
          <w:highlight w:val="none"/>
        </w:rPr>
      </w:pPr>
      <w:r>
        <w:rPr>
          <w:rFonts w:cs="宋体"/>
          <w:bCs/>
          <w:color w:val="auto"/>
          <w:highlight w:val="none"/>
        </w:rPr>
      </w:r>
      <w:r/>
    </w:p>
    <w:p>
      <w:pPr>
        <w:pStyle w:val="913"/>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w:t>
      </w:r>
      <w:r>
        <w:rPr>
          <w:rFonts w:hint="eastAsia" w:hAnsi="宋体" w:cs="宋体"/>
          <w:bCs/>
          <w:color w:val="auto"/>
          <w:sz w:val="21"/>
          <w:szCs w:val="21"/>
          <w:highlight w:val="none"/>
          <w:lang w:val="en-US" w:eastAsia="zh-CN"/>
        </w:rPr>
        <w:t xml:space="preserve">南京博物院</w:t>
      </w:r>
      <w:r>
        <w:rPr>
          <w:rFonts w:hint="eastAsia" w:ascii="宋体" w:hAnsi="宋体" w:eastAsia="宋体" w:cs="宋体"/>
          <w:bCs/>
          <w:color w:val="auto"/>
          <w:sz w:val="21"/>
          <w:szCs w:val="21"/>
          <w:highlight w:val="none"/>
        </w:rPr>
        <w:t xml:space="preserve"> </w:t>
      </w:r>
      <w:r/>
    </w:p>
    <w:p>
      <w:pPr>
        <w:pStyle w:val="913"/>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                                         </w:t>
      </w:r>
      <w:r/>
    </w:p>
    <w:p>
      <w:pPr>
        <w:pStyle w:val="1335"/>
        <w:ind w:firstLine="420"/>
        <w:keepLines w:val="0"/>
        <w:keepNext w:val="0"/>
        <w:pageBreakBefore w:val="0"/>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甲、乙双方根据本次</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pacing w:val="15"/>
          <w:sz w:val="21"/>
          <w:szCs w:val="21"/>
          <w:highlight w:val="none"/>
        </w:rPr>
        <w:t xml:space="preserve">项目</w:t>
      </w:r>
      <w:r>
        <w:rPr>
          <w:rFonts w:hint="eastAsia" w:ascii="宋体" w:hAnsi="宋体" w:eastAsia="宋体" w:cs="宋体"/>
          <w:bCs/>
          <w:color w:val="auto"/>
          <w:sz w:val="21"/>
          <w:szCs w:val="21"/>
          <w:highlight w:val="none"/>
        </w:rPr>
        <w:t xml:space="preserve">采购的结果，签署本合同。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1.1项目定义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本合同中的下列术语应解释为：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“合同”系指甲方、乙方共同签署的，合同格式中载明的甲方、乙方所达成的协议，包括所有的附件、附录和构成合同的所有文件。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“合同价”系指根据合同规定，乙方在正确地完全履行合同义务后甲方应支付给乙方的价格。</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“服务”系指根据合同规定乙方须承担与项目有关的所有服务。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“甲方”系指接受服务的业主及其使用单位。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“乙方”系指提供合同货物和服务的中标人。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1.2合同范围和条件：本合同的范围和条件与招标文件内容相一致。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组成本合同的有关文件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招标文件、投标文件、中标通知书和有关附件是本合同不可分割的组成部分，与本合同具有同等法律效力。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2.保安服务委托时间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2.1根据保安服务招标文件、投标文件和中标通知书，签订合同。合同服务时间：一年，服务时间自</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日至</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ind w:firstLine="420"/>
        <w:keepLines w:val="0"/>
        <w:keepNext w:val="0"/>
        <w:pageBreakBefore w:val="0"/>
        <w:spacing w:line="360"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2.2乙方在报价时应充分考虑所有可能影响到报价的价格因素，总价将包定，除本合同或者双方另有约定以外，合同期内一般不予调整。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2.3日常工作时间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员工每周工作时间不超过40小时，如需加班，</w:t>
      </w:r>
      <w:r>
        <w:rPr>
          <w:rFonts w:hint="eastAsia" w:ascii="宋体" w:hAnsi="宋体" w:eastAsia="宋体" w:cs="宋体"/>
          <w:color w:val="auto"/>
          <w:sz w:val="21"/>
          <w:szCs w:val="21"/>
          <w:highlight w:val="none"/>
          <w:lang w:eastAsia="zh-CN"/>
        </w:rPr>
        <w:t xml:space="preserve">据时</w:t>
      </w:r>
      <w:r>
        <w:rPr>
          <w:rFonts w:hint="eastAsia" w:ascii="宋体" w:hAnsi="宋体" w:eastAsia="宋体" w:cs="宋体"/>
          <w:color w:val="auto"/>
          <w:sz w:val="21"/>
          <w:szCs w:val="21"/>
          <w:highlight w:val="none"/>
        </w:rPr>
        <w:t xml:space="preserve">结算</w:t>
      </w:r>
      <w:r>
        <w:rPr>
          <w:rFonts w:hint="eastAsia" w:ascii="宋体" w:hAnsi="宋体" w:eastAsia="宋体" w:cs="宋体"/>
          <w:color w:val="auto"/>
          <w:sz w:val="21"/>
          <w:szCs w:val="21"/>
          <w:highlight w:val="none"/>
          <w:lang w:eastAsia="zh-CN"/>
        </w:rPr>
        <w:t xml:space="preserve">，结算周期参照</w:t>
      </w:r>
      <w:r>
        <w:rPr>
          <w:rFonts w:hint="eastAsia" w:ascii="宋体" w:hAnsi="宋体" w:eastAsia="宋体" w:cs="宋体"/>
          <w:color w:val="auto"/>
          <w:sz w:val="21"/>
          <w:szCs w:val="21"/>
          <w:highlight w:val="none"/>
          <w:lang w:val="en-US" w:eastAsia="zh-CN"/>
        </w:rPr>
        <w:t xml:space="preserve">3.1条款执行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3.付款方式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3.1季度付费，</w:t>
      </w:r>
      <w:r>
        <w:rPr>
          <w:rFonts w:hint="eastAsia" w:ascii="宋体" w:hAnsi="宋体" w:eastAsia="宋体" w:cs="宋体"/>
          <w:color w:val="auto"/>
          <w:sz w:val="21"/>
          <w:szCs w:val="21"/>
          <w:highlight w:val="none"/>
          <w:lang w:val="en-US" w:eastAsia="zh-CN"/>
        </w:rPr>
        <w:t xml:space="preserve">每季度期满后根据上季度考核结果支付上季度的费用</w:t>
      </w:r>
      <w:r>
        <w:rPr>
          <w:rFonts w:hint="eastAsia" w:ascii="宋体" w:hAnsi="宋体" w:eastAsia="宋体" w:cs="宋体"/>
          <w:color w:val="auto"/>
          <w:sz w:val="21"/>
          <w:szCs w:val="21"/>
          <w:highlight w:val="none"/>
        </w:rPr>
        <w:t xml:space="preserve">。如因财政资金拨付等原因，双方可协商延迟付款，</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不承担违约责任</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3.2甲方每次付款前，乙方应当按照国家有关规定，向甲方提供相关正式合法发票。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4.合同内容：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具体以本合同约定、</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val="en-US" w:eastAsia="zh-CN"/>
        </w:rPr>
        <w:t xml:space="preserve">及有关附件</w:t>
      </w:r>
      <w:r>
        <w:rPr>
          <w:rFonts w:hint="eastAsia" w:ascii="宋体" w:hAnsi="宋体" w:eastAsia="宋体" w:cs="宋体"/>
          <w:color w:val="auto"/>
          <w:sz w:val="21"/>
          <w:szCs w:val="21"/>
          <w:highlight w:val="none"/>
        </w:rPr>
        <w:t xml:space="preserve">中标准高者（严格者）为准。</w:t>
      </w:r>
      <w:r/>
    </w:p>
    <w:p>
      <w:pPr>
        <w:numPr>
          <w:ilvl w:val="0"/>
          <w:numId w:val="33"/>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5.1本合同常规部分包括但不仅限于人员费用（工资、福利、培训、体检、社会保险）、服务所用设备工具购置、服务所用材料消耗费用、管理费用、利润、税金等本项目所有费用，合计人民币（大写）：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元整。除本合同或者双方另有约定以外，甲方无需就本合同项下服务向乙方或第三方支付任何其他费用。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5.2本合同浮动费用</w:t>
      </w:r>
      <w:r>
        <w:rPr>
          <w:rFonts w:hint="eastAsia" w:ascii="宋体" w:hAnsi="宋体" w:eastAsia="宋体" w:cs="宋体"/>
          <w:color w:val="auto"/>
          <w:sz w:val="21"/>
          <w:szCs w:val="21"/>
          <w:highlight w:val="none"/>
          <w:lang w:val="en-US" w:eastAsia="zh-CN"/>
        </w:rPr>
        <w:t xml:space="preserve">参照南京市当年最低工资标准作为基数，按甲方要求实际加班时长核算。</w:t>
      </w:r>
      <w:r>
        <w:rPr>
          <w:rFonts w:hint="eastAsia" w:ascii="宋体" w:hAnsi="宋体" w:eastAsia="宋体" w:cs="宋体"/>
          <w:color w:val="auto"/>
          <w:sz w:val="21"/>
          <w:szCs w:val="21"/>
          <w:highlight w:val="none"/>
        </w:rPr>
        <w:t xml:space="preserve">工作日加班费：浮动费用基数*1.5、休息日加班费：浮动费用基数*2、法定休假日加班费：浮动费用基数*3。</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6.保安工作内容要求见招标文件及投标文件有关内容。乙方合同签订后根据甲方要求派员进场工作，并以积极稳妥的工作完成过渡交接工作。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所需人数：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w:t>
      </w:r>
      <w:r/>
    </w:p>
    <w:p>
      <w:pPr>
        <w:pStyle w:val="937"/>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工作餐：工作时间内</w:t>
      </w:r>
      <w:r>
        <w:rPr>
          <w:rFonts w:hint="eastAsia" w:ascii="宋体" w:hAnsi="宋体" w:eastAsia="宋体" w:cs="宋体"/>
          <w:color w:val="auto"/>
          <w:sz w:val="21"/>
          <w:szCs w:val="21"/>
          <w:highlight w:val="none"/>
          <w:lang w:val="en-US" w:eastAsia="zh-CN"/>
        </w:rPr>
        <w:t xml:space="preserve">按上岗人数</w:t>
      </w:r>
      <w:r>
        <w:rPr>
          <w:rFonts w:hint="eastAsia" w:ascii="宋体" w:hAnsi="宋体" w:eastAsia="宋体" w:cs="宋体"/>
          <w:color w:val="auto"/>
          <w:sz w:val="21"/>
          <w:szCs w:val="21"/>
          <w:highlight w:val="none"/>
        </w:rPr>
        <w:t xml:space="preserve">供应工作餐一份；因</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举办活动、节假日开放延时或其他原因导致闭馆时间延迟的，当日另行供应工作餐一份。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7.检查</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方有关服务工种的人员，必须按国家规定具备相关工种上岗证条件，并符合国家相关部门的要求。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8.甲乙双方的权利与义务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甲方权利、义务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8.1.1南京博物院安全保卫部，负责保安服务工作的监督和管理。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8.1.2</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人员</w:t>
      </w:r>
      <w:r>
        <w:rPr>
          <w:rFonts w:hint="eastAsia" w:ascii="宋体" w:hAnsi="宋体" w:eastAsia="宋体" w:cs="宋体"/>
          <w:color w:val="auto"/>
          <w:sz w:val="21"/>
          <w:szCs w:val="21"/>
          <w:highlight w:val="none"/>
        </w:rPr>
        <w:t xml:space="preserve">是</w:t>
      </w:r>
      <w:r>
        <w:rPr>
          <w:rFonts w:hint="eastAsia" w:ascii="宋体" w:hAnsi="宋体" w:eastAsia="宋体" w:cs="宋体"/>
          <w:color w:val="auto"/>
          <w:sz w:val="21"/>
          <w:szCs w:val="21"/>
          <w:highlight w:val="none"/>
          <w:lang w:val="zh-CN"/>
        </w:rPr>
        <w:t xml:space="preserve">乙方员工，其工资、薪酬、福利、社保、安全等均由乙方负责，乙方须按《中华人民共和国</w:t>
      </w:r>
      <w:r>
        <w:rPr>
          <w:rFonts w:hint="eastAsia" w:ascii="宋体" w:hAnsi="宋体" w:eastAsia="宋体" w:cs="宋体"/>
          <w:color w:val="auto"/>
          <w:sz w:val="21"/>
          <w:szCs w:val="21"/>
          <w:highlight w:val="none"/>
        </w:rPr>
        <w:t xml:space="preserve">劳动法</w:t>
      </w:r>
      <w:r>
        <w:rPr>
          <w:rFonts w:hint="eastAsia" w:ascii="宋体" w:hAnsi="宋体" w:eastAsia="宋体" w:cs="宋体"/>
          <w:color w:val="auto"/>
          <w:sz w:val="21"/>
          <w:szCs w:val="21"/>
          <w:highlight w:val="none"/>
          <w:lang w:val="zh-CN"/>
        </w:rPr>
        <w:t xml:space="preserve">》《中华人民共和国劳动合同法》</w:t>
      </w:r>
      <w:r>
        <w:rPr>
          <w:rFonts w:hint="eastAsia" w:ascii="宋体" w:hAnsi="宋体" w:eastAsia="宋体" w:cs="宋体"/>
          <w:color w:val="auto"/>
          <w:sz w:val="21"/>
          <w:szCs w:val="21"/>
          <w:highlight w:val="none"/>
          <w:lang w:val="en-US" w:eastAsia="zh-CN"/>
        </w:rPr>
        <w:t xml:space="preserve">及相关法律法规规章的</w:t>
      </w:r>
      <w:r>
        <w:rPr>
          <w:rFonts w:hint="eastAsia" w:ascii="宋体" w:hAnsi="宋体" w:eastAsia="宋体" w:cs="宋体"/>
          <w:color w:val="auto"/>
          <w:sz w:val="21"/>
          <w:szCs w:val="21"/>
          <w:highlight w:val="none"/>
          <w:lang w:val="zh-CN"/>
        </w:rPr>
        <w:t xml:space="preserve">规定为全体服务人员缴纳所有相关的社会保险及其他相关费用，乙方对此全权负责。上述人员与甲方不存在任何劳动、劳务或用工等关系。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8.1.3</w:t>
      </w:r>
      <w:r>
        <w:rPr>
          <w:rFonts w:hint="eastAsia" w:ascii="宋体" w:hAnsi="宋体" w:eastAsia="宋体" w:cs="宋体"/>
          <w:color w:val="auto"/>
          <w:sz w:val="21"/>
          <w:szCs w:val="21"/>
          <w:highlight w:val="none"/>
          <w:lang w:val="zh-CN"/>
        </w:rPr>
        <w:t xml:space="preserve">乙方应当按照《中华人民共和国</w:t>
      </w:r>
      <w:r>
        <w:rPr>
          <w:rFonts w:hint="eastAsia" w:ascii="宋体" w:hAnsi="宋体" w:eastAsia="宋体" w:cs="宋体"/>
          <w:color w:val="auto"/>
          <w:sz w:val="21"/>
          <w:szCs w:val="21"/>
          <w:highlight w:val="none"/>
        </w:rPr>
        <w:t xml:space="preserve">劳动法</w:t>
      </w:r>
      <w:r>
        <w:rPr>
          <w:rFonts w:hint="eastAsia" w:ascii="宋体" w:hAnsi="宋体" w:eastAsia="宋体" w:cs="宋体"/>
          <w:color w:val="auto"/>
          <w:sz w:val="21"/>
          <w:szCs w:val="21"/>
          <w:highlight w:val="none"/>
          <w:lang w:val="zh-CN"/>
        </w:rPr>
        <w:t xml:space="preserve">》《中华人民共和国劳动合同法》及其他相关的法律法规和所有服务人员建立劳动合同关系或按照《中华人民共和国民法典》与已退休人员（或已享受退休待遇人员）建立劳务关系，及时支付服务人员的劳动报酬，并向甲方提供服务人员基本信息。如服务人员遇疾病、伤残、死亡等事故，由乙方承担全部责任。乙方服务人员出现劳动争议而导致索赔的，由乙方全权处理并承担全部责任，与甲方无关。如乙方员工违规操作、非正常性操作以及其他乙方自身原因给甲方带来经济损失的，由乙方承担全部赔偿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8.1.4监督乙方用工的合法性和规范性，保持主要服务人员的相对稳定。有权要求乙方更换不符合要求及责任心不强的员工。有权对乙方新招聘人员把关，对条件不符人员，有权不录用。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8.1.5有权巡视和监督检查乙方员工的出勤及工作情况等，乙方在加班等任何情况下需增加或更换人员时，应向甲方提出书面申请，报甲方批准，否则甲方不承担相关费用。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8.1.6有权依据服务合同，对乙方服务质量进行例行检查和定期（每季度）考核。对乙方不符合合同规定的</w:t>
      </w:r>
      <w:r>
        <w:rPr>
          <w:rFonts w:hint="eastAsia" w:ascii="宋体" w:hAnsi="宋体" w:eastAsia="宋体" w:cs="宋体"/>
          <w:color w:val="auto"/>
          <w:sz w:val="21"/>
          <w:szCs w:val="21"/>
          <w:highlight w:val="none"/>
          <w:u w:val="single"/>
        </w:rPr>
        <w:t xml:space="preserve"> 安保 </w:t>
      </w:r>
      <w:r>
        <w:rPr>
          <w:rFonts w:hint="eastAsia" w:ascii="宋体" w:hAnsi="宋体" w:eastAsia="宋体" w:cs="宋体"/>
          <w:color w:val="auto"/>
          <w:sz w:val="21"/>
          <w:szCs w:val="21"/>
          <w:highlight w:val="none"/>
        </w:rPr>
        <w:t xml:space="preserve">工作提出整改意见，依据检查考核情况对乙方的服务与质量给予相应奖惩</w:t>
      </w:r>
      <w:r>
        <w:rPr>
          <w:rStyle w:val="953"/>
          <w:rFonts w:hint="eastAsia" w:ascii="宋体" w:hAnsi="宋体" w:eastAsia="宋体" w:cs="宋体"/>
          <w:color w:val="auto"/>
          <w:sz w:val="21"/>
          <w:szCs w:val="21"/>
          <w:highlight w:val="none"/>
          <w:lang w:val="en-US" w:eastAsia="zh-CN"/>
        </w:rPr>
        <w:t xml:space="preserve">(相关制度详见合同附件）</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8.1.6审议乙方服务项目的年度计划、工作安排和保障措施。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8.1.7协助乙方做好主要服务项目的宣传、教育、培训和观摩。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8.1.8协助乙方处理服务过程中的矛盾和问题。</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8.1.9监督乙方收集、整理、上交服务管理资料。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8.1.10 履行对乙方服务质量的追偿权力。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8.1.11根据服务合同和考核结果，按时支付给乙方保安服务费。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8.1.12为乙方提供规定的办公场所和宿舍及服务必需的水、电设施。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8.1.13根据乙方要求可向乙方提供进行安保服务所需的其他相关物件及信息资料，同时乙方应根据安保实际情况，梳理安保人员岗位职责、岗位值班流程、安全管理制度、考核办法、各类应急预案并实施演习。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乙方权利、义务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8.2.1有权制定员工的聘用、辞退及薪金发放考核办法与标准。依据保安服务规范、规程、规章，高标准、高质量实施管理、抓好服务，实现管理目标，提高服务满意度。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有权依据保安服务需要，配备服务所需设备设施。严格遵守甲方管理规定，爱护公共设施和场所，未经甲方同意，不得擅自改变其功能。在服务过程中，出于工作需要，经甲方书面同意，可有偿使用甲方能源及通讯资源（支付方式另行约定），但应遵守甲方规章制度并节约使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有权建议甲方员工共同爱护环境卫生和秩序。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有权要求甲方根据考核结果获取相应的保安服务费。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经甲方授权，乙方在项目地点范围内发现人员违反甲方管理制度或其他违法行为进行制止和处理，包括规劝、批评、警告、制止。发现问题及时与甲方相关责任部门沟通汇报，涉及违法犯罪的必要时报警。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科学设置管理机构和人员、切实加强对保安服务人员的考核（职业道德教育、安全保密）培训（岗前、技能）和使用管理。按照投标文件的承诺，各岗位人员配备到岗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依据招标文件规定的服务范围、内容和标准，制定年度计划和保障措施，制定规则制度和工作规范，并报甲方批准备案后组织实施，提高服务质量。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应严格按照提供给甲方的相关服务方案配置人员和为员工配置必需的劳动安全防护物资。并确保所有派遣至甲方工作人员皆属乙方员工，无犯罪记录，无纹身，无不良嗜好，员工入职上岗前，需去三甲医院体检，岗前培训，入职考核合格后，着装统一，方可上岗。在岗人员（含负责人）着装应统一规范，发型不得理青皮或光头，怪异发型、仪容仪表保持干净，整洁、利索、不留长发、不留胡须、不留指甲、着深色袜子。各班组接班或下班应列队讲评，统一带队，步伐一致，接岗后，各岗位依次向班长汇报接岗后的当班交接情况。所有安保人员的电话应24小时保持开机状态。</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接受并自觉服从甲方的管理监督和检查考核， 建立保安服务档案并负责及时记载有关变更情况，每月初向甲方提供上个月与托管保安有关的书面管理资料，积极配合甲方开展相关活动，及时整改保安服务中的问题，提高服务质量。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遵守甲方所制定的安全保密等相关管理制度，服从甲方的统一领导。</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不污染、不破坏甲方的设施，若造成损失，由乙方赔偿。合同解除或合同到期不能续签，除正常磨损和易耗物品外，乙方应在合理的期限内返还甲方移交的各类档案资料和提供使用的物品。</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委托期满后，如甲方不续签合同，乙方无条件移交保安服务权，撤出甲方单位，并协助甲方做好保安服务的交接和善后工作，移交或配合甲方移交管理用房和保安服务的全部档案资料（包括甲方提供的资料）。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乙方为其员工的工资、奖金、各项劳动、工伤、医疗保险费用、个人所得税和其他福利等全面负责。严格按照提供给甲方的员工薪酬标准，按时支付员工薪酬，不得无故</w:t>
      </w:r>
      <w:r>
        <w:rPr>
          <w:rFonts w:hint="eastAsia" w:ascii="宋体" w:hAnsi="宋体" w:eastAsia="宋体" w:cs="宋体"/>
          <w:color w:val="auto"/>
          <w:sz w:val="21"/>
          <w:szCs w:val="21"/>
          <w:highlight w:val="none"/>
          <w:lang w:eastAsia="zh-CN"/>
        </w:rPr>
        <w:t xml:space="preserve">克扣</w:t>
      </w:r>
      <w:r>
        <w:rPr>
          <w:rFonts w:hint="eastAsia" w:ascii="宋体" w:hAnsi="宋体" w:eastAsia="宋体" w:cs="宋体"/>
          <w:color w:val="auto"/>
          <w:sz w:val="21"/>
          <w:szCs w:val="21"/>
          <w:highlight w:val="none"/>
        </w:rPr>
        <w:t xml:space="preserve">员工薪酬。</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保安服务中的债权债务、财产损失、人身伤害、劳动纠纷等一切问题，均由乙方承担责任，甲方不承担责任。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乙方派出的保安人员因违反法律法规、甲方规章制度或因失职等责任给甲方造成名誉、经济损失的，由甲方负责赔偿。</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9.2如乙方拒绝提供服务的，甲方有权单方解除合同，乙方还应向甲方支付合同总金额30%的违约金。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乙方逾期提供本合同项下任一子项服务内容的，每逾期1日，乙方向甲方支付合同总金额0.05%的违约金；乙方逾期提供多项任务要求的，逾期时间及逾期责任累计计算。如乙方累计逾期提供服务达10日，甲方有权解除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eastAsia="宋体" w:cs="宋体"/>
          <w:color w:val="auto"/>
          <w:sz w:val="21"/>
          <w:szCs w:val="21"/>
          <w:highlight w:val="none"/>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9.7乙方在承担上述一项或多项违约责任后，仍应继续履行合同规定的义务（甲方解除合同的除外）。甲方未能及时追究乙方的任何一项违约责任并不表明甲方放弃追究乙方该项或其他违约责任。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9.8乙方响应属虚假承诺，或经权威部门检测提供的服务不能满足采购文件要求，或是由于乙方的过错造成合同无法继续履行的，乙方履约保证金（如有）不予退还外，还应向甲方支付合同总金额30%的违约金。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9.</w:t>
      </w:r>
      <w:r>
        <w:rPr>
          <w:rFonts w:hint="eastAsia" w:ascii="宋体" w:hAnsi="宋体" w:eastAsia="宋体" w:cs="宋体"/>
          <w:color w:val="auto"/>
          <w:sz w:val="21"/>
          <w:szCs w:val="21"/>
          <w:highlight w:val="none"/>
          <w:u w:val="none"/>
          <w:lang w:val="en-US" w:eastAsia="zh-CN"/>
        </w:rPr>
        <w:t xml:space="preserve">10</w:t>
      </w:r>
      <w:r>
        <w:rPr>
          <w:rFonts w:hint="eastAsia" w:ascii="宋体" w:hAnsi="宋体" w:eastAsia="宋体" w:cs="宋体"/>
          <w:color w:val="auto"/>
          <w:sz w:val="21"/>
          <w:szCs w:val="21"/>
          <w:highlight w:val="none"/>
          <w:u w:val="none"/>
        </w:rPr>
        <w:t xml:space="preserve">核心人员一致性违约条款：核心人员指投标文件中用于评审加分的持证派驻人员和承诺派驻现场人员。</w:t>
      </w:r>
      <w:r>
        <w:rPr>
          <w:rFonts w:hint="eastAsia" w:ascii="宋体" w:hAnsi="宋体" w:eastAsia="宋体" w:cs="宋体"/>
          <w:color w:val="auto"/>
          <w:sz w:val="21"/>
          <w:szCs w:val="21"/>
          <w:highlight w:val="none"/>
          <w:u w:val="none"/>
          <w:lang w:val="en-US" w:eastAsia="zh-CN"/>
        </w:rPr>
        <w:t xml:space="preserve">乙方</w:t>
      </w:r>
      <w:r>
        <w:rPr>
          <w:rFonts w:hint="eastAsia" w:ascii="宋体" w:hAnsi="宋体" w:eastAsia="宋体" w:cs="宋体"/>
          <w:color w:val="auto"/>
          <w:sz w:val="21"/>
          <w:szCs w:val="21"/>
          <w:highlight w:val="none"/>
          <w:u w:val="none"/>
        </w:rPr>
        <w:t xml:space="preserve">派驻现场核心人员须与投标承诺名单一致，未经</w:t>
      </w:r>
      <w:r>
        <w:rPr>
          <w:rFonts w:hint="eastAsia" w:ascii="宋体" w:hAnsi="宋体" w:eastAsia="宋体" w:cs="宋体"/>
          <w:color w:val="auto"/>
          <w:sz w:val="21"/>
          <w:szCs w:val="21"/>
          <w:highlight w:val="none"/>
          <w:u w:val="none"/>
          <w:lang w:val="en-US" w:eastAsia="zh-CN"/>
        </w:rPr>
        <w:t xml:space="preserve">甲方</w:t>
      </w:r>
      <w:r>
        <w:rPr>
          <w:rFonts w:hint="eastAsia" w:ascii="宋体" w:hAnsi="宋体" w:eastAsia="宋体" w:cs="宋体"/>
          <w:color w:val="auto"/>
          <w:sz w:val="21"/>
          <w:szCs w:val="21"/>
          <w:highlight w:val="none"/>
          <w:u w:val="none"/>
        </w:rPr>
        <w:t xml:space="preserve">书面同意不得擅自更换；确因离职、伤病等原因需更换的，替换人员资质不得低于原人员标准。人员不一致造成</w:t>
      </w:r>
      <w:r>
        <w:rPr>
          <w:rFonts w:hint="eastAsia" w:ascii="宋体" w:hAnsi="宋体" w:eastAsia="宋体" w:cs="宋体"/>
          <w:color w:val="auto"/>
          <w:sz w:val="21"/>
          <w:szCs w:val="21"/>
          <w:highlight w:val="none"/>
          <w:u w:val="none"/>
          <w:lang w:eastAsia="zh-CN"/>
        </w:rPr>
        <w:t xml:space="preserve">甲方</w:t>
      </w:r>
      <w:r>
        <w:rPr>
          <w:rFonts w:hint="eastAsia" w:ascii="宋体" w:hAnsi="宋体" w:eastAsia="宋体" w:cs="宋体"/>
          <w:color w:val="auto"/>
          <w:sz w:val="21"/>
          <w:szCs w:val="21"/>
          <w:highlight w:val="none"/>
          <w:u w:val="none"/>
        </w:rPr>
        <w:t xml:space="preserve">损失的，</w:t>
      </w:r>
      <w:r>
        <w:rPr>
          <w:rFonts w:hint="eastAsia" w:ascii="宋体" w:hAnsi="宋体" w:eastAsia="宋体" w:cs="宋体"/>
          <w:color w:val="auto"/>
          <w:sz w:val="21"/>
          <w:szCs w:val="21"/>
          <w:highlight w:val="none"/>
          <w:u w:val="none"/>
          <w:lang w:val="en-US" w:eastAsia="zh-CN"/>
        </w:rPr>
        <w:t xml:space="preserve">甲方有权终止合同，一切损失</w:t>
      </w:r>
      <w:r>
        <w:rPr>
          <w:rFonts w:hint="eastAsia" w:ascii="宋体" w:hAnsi="宋体" w:eastAsia="宋体" w:cs="宋体"/>
          <w:color w:val="auto"/>
          <w:sz w:val="21"/>
          <w:szCs w:val="21"/>
          <w:highlight w:val="none"/>
          <w:u w:val="none"/>
        </w:rPr>
        <w:t xml:space="preserve">由</w:t>
      </w:r>
      <w:r>
        <w:rPr>
          <w:rFonts w:hint="eastAsia" w:ascii="宋体" w:hAnsi="宋体" w:eastAsia="宋体" w:cs="宋体"/>
          <w:color w:val="auto"/>
          <w:sz w:val="21"/>
          <w:szCs w:val="21"/>
          <w:highlight w:val="none"/>
          <w:u w:val="none"/>
          <w:lang w:val="en-US" w:eastAsia="zh-CN"/>
        </w:rPr>
        <w:t xml:space="preserve">乙方</w:t>
      </w:r>
      <w:r>
        <w:rPr>
          <w:rFonts w:hint="eastAsia" w:ascii="宋体" w:hAnsi="宋体" w:eastAsia="宋体" w:cs="宋体"/>
          <w:color w:val="auto"/>
          <w:sz w:val="21"/>
          <w:szCs w:val="21"/>
          <w:highlight w:val="none"/>
          <w:u w:val="none"/>
        </w:rPr>
        <w:t xml:space="preserve">全额赔偿。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10.合同的变更、解除或终止</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10.1在本</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"http://www.86exp.com/hetong/"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有效期内，经甲、乙双方协商一致，可变更本</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"http://www.86exp.com/hetong/"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10.2在本</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"http://www.86exp.com/hetong/"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有效期内，如无法律或者合同依据，甲方提出解除</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"http://www.86exp.com/hetong/"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的，应按照本合同约定向乙方支付违约金。如无法律或者合同依据，乙方提出解除</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"http://www.86exp.com/hetong/"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，应按照本合同向甲方支付违约金，同时还应全额退还甲方提前支付的资金。因不可抗拒因素而无法履行合同的除外。</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rPr>
          <w:rFonts w:hint="eastAsia" w:ascii="宋体" w:hAnsi="宋体" w:eastAsia="宋体" w:cs="宋体"/>
          <w:color w:val="auto"/>
          <w:sz w:val="21"/>
          <w:szCs w:val="21"/>
          <w:highlight w:val="none"/>
        </w:rPr>
        <w:t xml:space="preserve">下列情况终止合同：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10.3.1季度考核不合格的；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10.3.2因管理不善，发生重大事故和火灾的；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10.3.3保安服务人员殴打业主的；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10.3.4乙方分包</w:t>
      </w:r>
      <w:r>
        <w:rPr>
          <w:rFonts w:hint="eastAsia" w:ascii="宋体" w:hAnsi="宋体" w:eastAsia="宋体" w:cs="宋体"/>
          <w:color w:val="auto"/>
          <w:sz w:val="21"/>
          <w:szCs w:val="21"/>
          <w:highlight w:val="none"/>
          <w:lang w:val="en-US" w:eastAsia="zh-CN"/>
        </w:rPr>
        <w:t xml:space="preserve">或转包本</w:t>
      </w:r>
      <w:r>
        <w:rPr>
          <w:rFonts w:hint="eastAsia" w:ascii="宋体" w:hAnsi="宋体" w:eastAsia="宋体" w:cs="宋体"/>
          <w:color w:val="auto"/>
          <w:sz w:val="21"/>
          <w:szCs w:val="21"/>
          <w:highlight w:val="none"/>
        </w:rPr>
        <w:t xml:space="preserve">项目的；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10.3.5乙方擅自更换保安负责人的；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10.3.6乙方未按投标文件配备人员及到岗的，经甲方督促仍未履行的；</w:t>
      </w:r>
      <w:r/>
    </w:p>
    <w:p>
      <w:pPr>
        <w:ind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10.3.7</w:t>
      </w:r>
      <w:r>
        <w:rPr>
          <w:rFonts w:hint="eastAsia" w:ascii="宋体" w:hAnsi="宋体" w:eastAsia="宋体" w:cs="宋体"/>
          <w:bCs/>
          <w:color w:val="auto"/>
          <w:sz w:val="21"/>
          <w:szCs w:val="21"/>
          <w:highlight w:val="none"/>
        </w:rPr>
        <w:t xml:space="preserve">对服务质量差的保安人员不及时调换，且多次达不到甲方保卫处要求的；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10.3.8如果乙方破产或无清偿能力，甲方可在任何时候以书面形式通知乙方终止合同而不给乙方补偿。该终止合同将不损害或影响甲方已经采取或将要采取的任何行动或补救措施的权力。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10.4合同项下服务期限终止前一个月，乙方应保持派出保安人员总数95%及以上的稳定性，并配合下一任安保服务单位（如有的话）作好相关服务交接工作，否则甲方有权不予支付剩余尾款。</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11.不可抗力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如果乙方因不可抗力而导致合同实施延误或不能履行合同义务的，不应该被没收履约保证金，也不应该承担误期赔偿或终止合同的责任。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本条所述的“不可抗力”系指那些乙方无法控制、不可预见的事件，但不包括乙方的违约或疏忽。这些事件包括：战争、严重火灾、洪水、台风、地震(不包括社会因素)以及其它甲方、乙方商定的事件。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在不可抗力事件发生后，乙方应尽快以书面形式将不可抗力的情况和原因通知甲方，并出具事件发生地政府权威部门的证明。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12.税费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中国政府根据现行税法规定对甲方征收的、与本合同有关的一切税费，均由甲方负担，招标文件另有规定的除外。</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中国政府根据现行税法规定对乙方征收的、与本合同有关的一切税费，均由乙方负担。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13.履约保证金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13.1乙方在签订合同时，应按照合同规定向甲方提交金额为人民币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整的履约保证金到达甲方指定账户。如不能完成投标文件中的保安服务目标，则履约保证金不予返还；如完成报价中的承诺保安服务目标，且未发生任何扣履约保证金的行为，则在合同期满后二十天内全额返还履约保证金（不计利息）。履约保证金的有效期至合同履约期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乙方提供的履约保证金，应按投标文件所附的格式提供或为银行本票、汇票或支票；与此有关的费用均由乙方负担。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如乙方未能履行合同规定的义务，甲方有权从履约保证金中取得补偿。</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14.合同纠纷的解决</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甲乙双方在履行合同的过程中发生争议, 双方应本着诚实信用原则，通过友好协商解决。协商不成,可以向甲方所在地人民法院提请诉讼。在争议解决期间，合同中未涉及争议部分的条款仍须履行。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b/>
          <w:color w:val="auto"/>
          <w:sz w:val="21"/>
          <w:szCs w:val="21"/>
          <w:highlight w:val="none"/>
        </w:rPr>
        <w:t xml:space="preserve">保密条款</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15.1双方有义务就合同条款内容对外保密，未经对方允许不得将合同内容告知第三方。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15.2若有一方违反保密条款，将合同内容披露给第三方，守约方有权解除该合同，且违约方应赔偿守约方的直接经济损失并支付守约方</w:t>
      </w:r>
      <w:r>
        <w:rPr>
          <w:rFonts w:hint="eastAsia" w:ascii="宋体" w:hAnsi="宋体" w:eastAsia="宋体" w:cs="宋体"/>
          <w:color w:val="auto"/>
          <w:sz w:val="21"/>
          <w:szCs w:val="21"/>
          <w:highlight w:val="none"/>
          <w:u w:val="single"/>
        </w:rPr>
        <w:t xml:space="preserve">伍万元</w:t>
      </w:r>
      <w:r>
        <w:rPr>
          <w:rFonts w:hint="eastAsia" w:ascii="宋体" w:hAnsi="宋体" w:eastAsia="宋体" w:cs="宋体"/>
          <w:color w:val="auto"/>
          <w:sz w:val="21"/>
          <w:szCs w:val="21"/>
          <w:highlight w:val="none"/>
        </w:rPr>
        <w:t xml:space="preserve">违约金。如情节严重，守约方有权保留采取法律途径，要求违约方赔偿经济损失并追究其法律责任的权利。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16.合同生效及其它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合同应在甲方、乙方代表签字并加盖公章后生效。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16.2本合同一式柒份，中文书写。甲方执五份，乙方执二份。具备同等法律效力。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16.3合同履行过程中产生的除不可抗力以外的各种风险，由乙方承担。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如需修改或补充合同内容，应经甲方、乙方协商，共同签署书面修改或补充协议。该协议将作为本合同不可分割的一部分。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16.5本合同未尽事宜由甲、乙双方友好协商解决，经双方协商可签订补充协议，所签订的补充协议与本合同具有同等的法律效力。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16.6本合同应按照中华人民共和国的现行法律进行解释。</w:t>
      </w:r>
      <w:r/>
    </w:p>
    <w:tbl>
      <w:tblPr>
        <w:tblStyle w:val="895"/>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849"/>
        <w:gridCol w:w="3530"/>
        <w:gridCol w:w="2963"/>
        <w:gridCol w:w="4829"/>
      </w:tblGrid>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甲 方：</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乙 方：</w:t>
            </w:r>
            <w:r/>
          </w:p>
        </w:tc>
        <w:tc>
          <w:tcPr>
            <w:tcW w:w="1703" w:type="pct"/>
            <w:vAlign w:val="center"/>
            <w:textDirection w:val="lrTb"/>
            <w:noWrap w:val="false"/>
          </w:tcPr>
          <w:p>
            <w:pPr>
              <w:spacing w:line="360" w:lineRule="auto"/>
              <w:rPr>
                <w:rFonts w:ascii="隶书" w:eastAsia="隶书"/>
                <w:color w:val="auto"/>
                <w:szCs w:val="21"/>
                <w:highlight w:val="none"/>
              </w:rPr>
            </w:pPr>
            <w:r>
              <w:rPr>
                <w:rFonts w:ascii="宋体" w:hAnsi="宋体"/>
                <w:color w:val="auto"/>
                <w:szCs w:val="21"/>
                <w:highlight w:val="none"/>
              </w:rPr>
              <w:t xml:space="preserve">（公章）</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住 所：</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住 所：</w:t>
            </w:r>
            <w:r/>
          </w:p>
        </w:tc>
        <w:tc>
          <w:tcPr>
            <w:tcW w:w="1703"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法定代表人：</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法定代表人：</w:t>
            </w:r>
            <w:r/>
          </w:p>
        </w:tc>
        <w:tc>
          <w:tcPr>
            <w:tcW w:w="1703"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联系人：</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委托代理人：</w:t>
            </w:r>
            <w:r/>
          </w:p>
        </w:tc>
        <w:tc>
          <w:tcPr>
            <w:tcW w:w="1703"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使用部门联系人：</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联系人：</w:t>
            </w:r>
            <w:r/>
          </w:p>
        </w:tc>
        <w:tc>
          <w:tcPr>
            <w:tcW w:w="1703"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电 话/传真：</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电 话/传真</w:t>
            </w:r>
            <w:r/>
          </w:p>
        </w:tc>
        <w:tc>
          <w:tcPr>
            <w:tcW w:w="1703"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开户银行：</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开户银行：</w:t>
            </w:r>
            <w:r/>
          </w:p>
        </w:tc>
        <w:tc>
          <w:tcPr>
            <w:tcW w:w="1703" w:type="pct"/>
            <w:vAlign w:val="center"/>
            <w:textDirection w:val="lrTb"/>
            <w:noWrap w:val="false"/>
          </w:tcPr>
          <w:p>
            <w:pPr>
              <w:rPr>
                <w:rFonts w:hint="eastAsia" w:ascii="仿宋" w:hAnsi="仿宋" w:eastAsia="仿宋"/>
                <w:color w:val="auto"/>
                <w:szCs w:val="21"/>
                <w:highlight w:val="none"/>
              </w:rPr>
            </w:pPr>
            <w:r>
              <w:rPr>
                <w:rFonts w:ascii="宋体" w:hAns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账 号：</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账 号：</w:t>
            </w:r>
            <w:r/>
          </w:p>
        </w:tc>
        <w:tc>
          <w:tcPr>
            <w:tcW w:w="1703" w:type="pct"/>
            <w:vAlign w:val="center"/>
            <w:textDirection w:val="lrTb"/>
            <w:noWrap w:val="false"/>
          </w:tcPr>
          <w:p>
            <w:pPr>
              <w:rPr>
                <w:rFonts w:hint="eastAsia" w:ascii="仿宋" w:hAnsi="仿宋" w:eastAsia="仿宋"/>
                <w:color w:val="auto"/>
                <w:szCs w:val="21"/>
                <w:highlight w:val="none"/>
              </w:rPr>
            </w:pPr>
            <w:r>
              <w:rPr>
                <w:rFonts w:ascii="宋体" w:hAnsi="宋体"/>
                <w:color w:val="auto"/>
                <w:szCs w:val="21"/>
                <w:highlight w:val="none"/>
              </w:rPr>
              <w:t xml:space="preserve"> </w:t>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邮 编：</w:t>
            </w:r>
            <w:r/>
          </w:p>
        </w:tc>
        <w:tc>
          <w:tcPr>
            <w:tcW w:w="1245" w:type="pct"/>
            <w:vAlign w:val="center"/>
            <w:textDirection w:val="lrTb"/>
            <w:noWrap w:val="false"/>
          </w:tcPr>
          <w:p>
            <w:pPr>
              <w:spacing w:line="360" w:lineRule="auto"/>
              <w:rPr>
                <w:rFonts w:ascii="宋体"/>
                <w:color w:val="auto"/>
                <w:szCs w:val="21"/>
                <w:highlight w:val="none"/>
              </w:rPr>
            </w:pPr>
            <w:r>
              <w:rPr>
                <w:rFonts w:ascii="宋体"/>
                <w:color w:val="auto"/>
                <w:szCs w:val="21"/>
                <w:highlight w:val="none"/>
              </w:rPr>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邮 编：</w:t>
            </w:r>
            <w:r/>
          </w:p>
        </w:tc>
        <w:tc>
          <w:tcPr>
            <w:tcW w:w="1703" w:type="pct"/>
            <w:vAlign w:val="center"/>
            <w:textDirection w:val="lrTb"/>
            <w:noWrap w:val="false"/>
          </w:tcPr>
          <w:p>
            <w:pPr>
              <w:rPr>
                <w:rFonts w:hint="eastAsia" w:ascii="仿宋" w:hAnsi="仿宋" w:eastAsia="仿宋"/>
                <w:color w:val="auto"/>
                <w:szCs w:val="21"/>
                <w:highlight w:val="none"/>
              </w:rPr>
            </w:pPr>
            <w:r>
              <w:rPr>
                <w:rFonts w:hint="eastAsia" w:ascii="仿宋" w:hAnsi="仿宋" w:eastAsia="仿宋"/>
                <w:color w:val="auto"/>
                <w:szCs w:val="21"/>
                <w:highlight w:val="none"/>
              </w:rPr>
            </w:r>
            <w:r/>
          </w:p>
        </w:tc>
      </w:tr>
      <w:tr>
        <w:trPr>
          <w:jc w:val="center"/>
          <w:trHeight w:val="340"/>
        </w:trPr>
        <w:tc>
          <w:tcPr>
            <w:tcW w:w="100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签订日期</w:t>
            </w:r>
            <w:r/>
          </w:p>
        </w:tc>
        <w:tc>
          <w:tcPr>
            <w:tcW w:w="1245" w:type="pct"/>
            <w:vAlign w:val="center"/>
            <w:textDirection w:val="lrTb"/>
            <w:noWrap w:val="false"/>
          </w:tcPr>
          <w:p>
            <w:pPr>
              <w:ind w:firstLine="200"/>
              <w:spacing w:line="360" w:lineRule="auto"/>
              <w:rPr>
                <w:rFonts w:ascii="宋体"/>
                <w:color w:val="auto"/>
                <w:szCs w:val="21"/>
                <w:highlight w:val="none"/>
              </w:rPr>
            </w:pPr>
            <w:r>
              <w:rPr>
                <w:rFonts w:ascii="宋体" w:hAnsi="宋体"/>
                <w:color w:val="auto"/>
                <w:szCs w:val="21"/>
                <w:highlight w:val="none"/>
              </w:rPr>
              <w:t xml:space="preserve">年   月  日</w:t>
            </w:r>
            <w:r/>
          </w:p>
        </w:tc>
        <w:tc>
          <w:tcPr>
            <w:tcW w:w="1045" w:type="pct"/>
            <w:vAlign w:val="center"/>
            <w:textDirection w:val="lrTb"/>
            <w:noWrap w:val="false"/>
          </w:tcPr>
          <w:p>
            <w:pPr>
              <w:spacing w:line="360" w:lineRule="auto"/>
              <w:rPr>
                <w:rFonts w:ascii="宋体"/>
                <w:color w:val="auto"/>
                <w:szCs w:val="21"/>
                <w:highlight w:val="none"/>
              </w:rPr>
            </w:pPr>
            <w:r>
              <w:rPr>
                <w:rFonts w:ascii="宋体" w:hAnsi="宋体"/>
                <w:color w:val="auto"/>
                <w:szCs w:val="21"/>
                <w:highlight w:val="none"/>
              </w:rPr>
              <w:t xml:space="preserve">签订日期</w:t>
            </w:r>
            <w:r/>
          </w:p>
        </w:tc>
        <w:tc>
          <w:tcPr>
            <w:tcW w:w="1703" w:type="pct"/>
            <w:vAlign w:val="center"/>
            <w:textDirection w:val="lrTb"/>
            <w:noWrap w:val="false"/>
          </w:tcPr>
          <w:p>
            <w:pPr>
              <w:ind w:firstLine="400"/>
              <w:spacing w:line="360" w:lineRule="auto"/>
              <w:rPr>
                <w:rFonts w:ascii="宋体"/>
                <w:color w:val="auto"/>
                <w:szCs w:val="21"/>
                <w:highlight w:val="none"/>
              </w:rPr>
            </w:pPr>
            <w:r>
              <w:rPr>
                <w:rFonts w:ascii="宋体" w:hAnsi="宋体"/>
                <w:color w:val="auto"/>
                <w:szCs w:val="21"/>
                <w:highlight w:val="none"/>
              </w:rPr>
              <w:t xml:space="preserve">年   月  日</w:t>
            </w:r>
            <w:r/>
          </w:p>
        </w:tc>
      </w:tr>
    </w:tbl>
    <w:p>
      <w:pPr>
        <w:rPr>
          <w:rFonts w:ascii="Times New Roman"/>
          <w:color w:val="auto"/>
          <w:sz w:val="44"/>
          <w:szCs w:val="44"/>
          <w:highlight w:val="none"/>
        </w:rPr>
      </w:pPr>
      <w:r>
        <w:rPr>
          <w:rFonts w:ascii="Times New Roman"/>
          <w:color w:val="auto"/>
          <w:sz w:val="44"/>
          <w:szCs w:val="44"/>
          <w:highlight w:val="none"/>
        </w:rPr>
        <w:br w:type="page" w:clear="all"/>
      </w:r>
      <w:r/>
    </w:p>
    <w:p>
      <w:pPr>
        <w:rPr>
          <w:rFonts w:hint="eastAsia" w:ascii="Times New Roman" w:eastAsia="宋体"/>
          <w:b/>
          <w:bCs/>
          <w:color w:val="auto"/>
          <w:sz w:val="21"/>
          <w:szCs w:val="21"/>
          <w:highlight w:val="none"/>
          <w:lang w:val="en-US" w:eastAsia="zh-CN"/>
        </w:rPr>
      </w:pPr>
      <w:r>
        <w:rPr>
          <w:rFonts w:hint="eastAsia" w:ascii="Times New Roman" w:eastAsia="宋体"/>
          <w:b/>
          <w:bCs/>
          <w:color w:val="auto"/>
          <w:sz w:val="21"/>
          <w:szCs w:val="21"/>
          <w:highlight w:val="none"/>
          <w:lang w:val="en-US" w:eastAsia="zh-CN"/>
        </w:rPr>
        <w:t xml:space="preserve">附件</w:t>
      </w:r>
      <w:r/>
    </w:p>
    <w:p>
      <w:pPr>
        <w:ind w:firstLine="422"/>
        <w:rPr>
          <w:rFonts w:hint="eastAsia" w:ascii="Times New Roman" w:eastAsia="宋体"/>
          <w:color w:val="auto"/>
          <w:sz w:val="21"/>
          <w:szCs w:val="21"/>
          <w:highlight w:val="none"/>
          <w:lang w:val="en-US" w:eastAsia="zh-CN"/>
        </w:rPr>
      </w:pPr>
      <w:r>
        <w:rPr>
          <w:rFonts w:hint="eastAsia" w:ascii="Times New Roman" w:eastAsia="宋体"/>
          <w:b/>
          <w:bCs/>
          <w:color w:val="auto"/>
          <w:sz w:val="21"/>
          <w:szCs w:val="21"/>
          <w:highlight w:val="none"/>
          <w:lang w:val="en-US" w:eastAsia="zh-CN"/>
        </w:rPr>
        <w:t xml:space="preserve">一、岗位职责和考核标准</w:t>
      </w:r>
      <w:r/>
    </w:p>
    <w:tbl>
      <w:tblPr>
        <w:tblStyle w:val="895"/>
        <w:tblW w:w="50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30"/>
        <w:gridCol w:w="2088"/>
        <w:gridCol w:w="1433"/>
        <w:gridCol w:w="3253"/>
        <w:gridCol w:w="2849"/>
        <w:gridCol w:w="3952"/>
      </w:tblGrid>
      <w:tr>
        <w:trPr>
          <w:tblHeade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岗位名称</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岗位数量</w:t>
            </w:r>
            <w:r/>
          </w:p>
        </w:tc>
        <w:tc>
          <w:tcPr>
            <w:shd w:val="clear" w:color="auto" w:fill="auto"/>
            <w:tcMar>
              <w:left w:w="240" w:type="dxa"/>
              <w:top w:w="150" w:type="dxa"/>
              <w:right w:w="240" w:type="dxa"/>
              <w:bottom w:w="150" w:type="dxa"/>
            </w:tcMar>
            <w:tcW w:w="112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岗位要求</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上岗时间</w:t>
            </w:r>
            <w:r/>
          </w:p>
        </w:tc>
        <w:tc>
          <w:tcPr>
            <w:shd w:val="clear" w:color="auto" w:fill="auto"/>
            <w:tcMar>
              <w:left w:w="240" w:type="dxa"/>
              <w:top w:w="150" w:type="dxa"/>
              <w:right w:w="240" w:type="dxa"/>
              <w:bottom w:w="150" w:type="dxa"/>
            </w:tcMar>
            <w:tcW w:w="1371"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岗位职责</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外围队长</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年龄45岁以下，身体健康，责任心强，工作上有较强的沟通协调能力，具备5年以上安保行业经验（其中包含2年团队管理经验），受过消防技能、应急事件处置、急救常识等培训，能适应倒班（夜班）及长时间站立、巡逻的户外工作。</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4"/>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每周组织一次例会，每月进行四次岗位培训及队列操练。</w:t>
            </w:r>
            <w:r/>
          </w:p>
          <w:p>
            <w:pPr>
              <w:numPr>
                <w:ilvl w:val="0"/>
                <w:numId w:val="3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开馆期间巡查所有岗位每日不得少于4次、每日召开早晚班会（以照片形式上传工作群）。</w:t>
            </w:r>
            <w:r/>
          </w:p>
          <w:p>
            <w:pPr>
              <w:numPr>
                <w:ilvl w:val="0"/>
                <w:numId w:val="3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负责监督和管理团队成员的日常工作，确保团队成员严格遵守工作要求和操作规范，对违规行为及时进行纠正和处理。</w:t>
            </w:r>
            <w:r/>
          </w:p>
          <w:p>
            <w:pPr>
              <w:numPr>
                <w:ilvl w:val="0"/>
                <w:numId w:val="3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加强与院安全保卫部的现场负责人沟通协调，及时反馈工作进展和问题，积极落实各项工作要求。</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正大门</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（24小时）</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须通过公安机关背景审查、当年体检报告）；持有保安员证或接受过正规安保培训；身体健康，责任心强，工作上有较强的沟通能力，受过消防技能、应急事件处置、急救常识等培训，有较强的身体素质，能适应长时间户外区域不间断巡逻、站立、疏导人群维持秩序以及倒班（夜班）工作。</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5"/>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保障好接待任务，及时开关门，做好接待车辆的引导。做好车辆疏导，保证正大门游客的正常入馆参观秩序。</w:t>
            </w:r>
            <w:r/>
          </w:p>
          <w:p>
            <w:pPr>
              <w:numPr>
                <w:ilvl w:val="0"/>
                <w:numId w:val="3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制止“商贩”、“野导”、“黄牛”等各种违规人员的行为。</w:t>
            </w:r>
            <w:r/>
          </w:p>
          <w:p>
            <w:pPr>
              <w:numPr>
                <w:ilvl w:val="0"/>
                <w:numId w:val="3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制止其他车辆长时间停放（如：电动车、共享单车、外卖车、快递车、自行车等）。</w:t>
            </w:r>
            <w:r/>
          </w:p>
          <w:p>
            <w:pPr>
              <w:numPr>
                <w:ilvl w:val="0"/>
                <w:numId w:val="3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西南门</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（维景门24小时）</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6"/>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此门早晚为员工通道，核查进入人员证件，确保上下班员工和车辆正常通行。</w:t>
            </w:r>
            <w:r/>
          </w:p>
          <w:p>
            <w:pPr>
              <w:numPr>
                <w:ilvl w:val="0"/>
                <w:numId w:val="3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开馆期间此岗位人员做好游客去往南博停车场的指引，和车库当班人员有效协调进出车辆，避免道路拥堵。</w:t>
            </w:r>
            <w:r/>
          </w:p>
          <w:p>
            <w:pPr>
              <w:numPr>
                <w:ilvl w:val="0"/>
                <w:numId w:val="3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广场出口二道岗</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（24小时）</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7"/>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此为出口，只出不进。确保游客的正常出馆速度和周边秩序。</w:t>
            </w:r>
            <w:r/>
          </w:p>
          <w:p>
            <w:pPr>
              <w:numPr>
                <w:ilvl w:val="0"/>
                <w:numId w:val="37"/>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耐心热情地回答他人的一般性问题咨询，对于专业的问题和评论性问题应及时指引到相关接待部门咨询。</w:t>
            </w:r>
            <w:r/>
          </w:p>
          <w:p>
            <w:pPr>
              <w:numPr>
                <w:ilvl w:val="0"/>
                <w:numId w:val="37"/>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确保闭馆后广场无游客滞留，保证广场一切正常。</w:t>
            </w:r>
            <w:r/>
          </w:p>
          <w:p>
            <w:pPr>
              <w:numPr>
                <w:ilvl w:val="0"/>
                <w:numId w:val="37"/>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正门外车辆管理</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做好进入南博停车场车辆的道路指引，禁止出租车、网约车进入慢车道，保证入场道路通畅。</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立体车库</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8"/>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负责停车场开放期间（8:50—18：00）秩序维护，指引车辆有序停放，合理利用地面与立体车库的车位情况，避免出现拥堵。</w:t>
            </w:r>
            <w:r/>
          </w:p>
          <w:p>
            <w:pPr>
              <w:numPr>
                <w:ilvl w:val="0"/>
                <w:numId w:val="3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杜绝闲杂人员在停车区域长时间逗留，做好游客参观路线指引。</w:t>
            </w:r>
            <w:r/>
          </w:p>
          <w:p>
            <w:pPr>
              <w:numPr>
                <w:ilvl w:val="0"/>
                <w:numId w:val="38"/>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落实停车场内各项防火、防盗安全规定，每日对车库内消防设施设备进行巡检打卡上传。</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服务中心出口秩序维护岗</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39"/>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负责观众排队区域秩序管控，及时制止插队，疏导拥堵，做好绿色通道指引服务工作。</w:t>
            </w:r>
            <w:r/>
          </w:p>
          <w:p>
            <w:pPr>
              <w:numPr>
                <w:ilvl w:val="0"/>
                <w:numId w:val="39"/>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及时制止“野导”、“黄牛”等各种违规行为。</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前广场区域巡逻岗</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负责大门前广场治安巡逻，维护周边秩序，保护观众人身财产安全。</w:t>
            </w:r>
            <w:r/>
          </w:p>
          <w:p>
            <w:pPr>
              <w:numPr>
                <w:ilvl w:val="0"/>
                <w:numId w:val="4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及时制止“野导”、“黄牛”等各种违规行为，劝阻商贩、外卖等进入院区。</w:t>
            </w:r>
            <w:r/>
          </w:p>
          <w:p>
            <w:pPr>
              <w:numPr>
                <w:ilvl w:val="0"/>
                <w:numId w:val="40"/>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做好观众指引服务。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9</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1.2号通道入口岗</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指引游客有序进馆，当游客排队过长时，需按照院方要求进行分流疏导。</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10</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3.4号通道入口岗</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（含绿通）</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1"/>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p>
            <w:pPr>
              <w:numPr>
                <w:ilvl w:val="0"/>
                <w:numId w:val="41"/>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做好优待观众指引和服务工作，为残障人士提供必要的协助。</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11</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小剧场后门，车库出口岗亭</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2"/>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做好进入人员识别审核，确保无关人员及游客进入办公区域。</w:t>
            </w:r>
            <w:r/>
          </w:p>
          <w:p>
            <w:pPr>
              <w:numPr>
                <w:ilvl w:val="0"/>
                <w:numId w:val="42"/>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正确指引出场车辆从出口驶离。</w:t>
            </w:r>
            <w:r/>
          </w:p>
          <w:p>
            <w:pPr>
              <w:numPr>
                <w:ilvl w:val="0"/>
                <w:numId w:val="42"/>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夜班期间，不得睡觉，每小时按照要求巡逻打卡。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12</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文渊广场过街通道</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1、此通道直通馆外，只出不进，禁止任何人由此进入。</w:t>
            </w:r>
            <w:r/>
          </w:p>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2、劝阻“商贩”聚集，避免堵塞出口。</w:t>
            </w:r>
            <w:r/>
          </w:p>
          <w:p>
            <w:pPr>
              <w:numPr>
                <w:ilvl w:val="0"/>
                <w:numId w:val="0"/>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3、做好观众指引服务。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13</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老大殿下东侧岗亭</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3"/>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做好进出人员识别审核，确保游客不会从此处进入非参观区。</w:t>
            </w:r>
            <w:r/>
          </w:p>
          <w:p>
            <w:pPr>
              <w:numPr>
                <w:ilvl w:val="0"/>
                <w:numId w:val="43"/>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保障该入口周边环境秩序正常，做好观众指引服务。</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14</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展馆内部展厅公共区域巡逻</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身体健康，责任心强，工作上有较强的沟通能力，能妥善受理馆内游客咨询和解决现场纠纷的能力，能掌握基本消防技能、处理应急事件、能适应长时间站立工作。</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4"/>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公共区域巡查，保证游客安全。</w:t>
            </w:r>
            <w:r/>
          </w:p>
          <w:p>
            <w:pPr>
              <w:numPr>
                <w:ilvl w:val="0"/>
                <w:numId w:val="4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遇到游客过多时能及时指引、分流游客。</w:t>
            </w:r>
            <w:r/>
          </w:p>
          <w:p>
            <w:pPr>
              <w:numPr>
                <w:ilvl w:val="0"/>
                <w:numId w:val="4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遇到拉客野导，及时制止并劝离。</w:t>
            </w:r>
            <w:r/>
          </w:p>
          <w:p>
            <w:pPr>
              <w:numPr>
                <w:ilvl w:val="0"/>
                <w:numId w:val="44"/>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发生突发情况及时汇报并会进行应急处置。</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15</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民国馆巡查员</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同上</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5"/>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民国馆、老茶馆文物安全看护，展柜及其他设施安全检查。</w:t>
            </w:r>
            <w:r/>
          </w:p>
          <w:p>
            <w:pPr>
              <w:numPr>
                <w:ilvl w:val="0"/>
                <w:numId w:val="4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展馆巡查，秩序维护，积极疏导人流，保证场馆游客秩序。</w:t>
            </w:r>
            <w:r/>
          </w:p>
          <w:p>
            <w:pPr>
              <w:numPr>
                <w:ilvl w:val="0"/>
                <w:numId w:val="45"/>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发生突发情况及时汇报并会进行应急处置。</w:t>
            </w:r>
            <w:r/>
          </w:p>
        </w:tc>
      </w:tr>
      <w:tr>
        <w:trPr/>
        <w:tc>
          <w:tcPr>
            <w:shd w:val="clear" w:color="auto" w:fill="auto"/>
            <w:tcMar>
              <w:left w:w="0" w:type="dxa"/>
              <w:top w:w="150" w:type="dxa"/>
              <w:right w:w="240" w:type="dxa"/>
              <w:bottom w:w="150" w:type="dxa"/>
            </w:tcMar>
            <w:tcW w:w="2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16</w:t>
            </w:r>
            <w:r/>
          </w:p>
        </w:tc>
        <w:tc>
          <w:tcPr>
            <w:shd w:val="clear" w:color="auto" w:fill="auto"/>
            <w:tcMar>
              <w:left w:w="240" w:type="dxa"/>
              <w:top w:w="150" w:type="dxa"/>
              <w:right w:w="240" w:type="dxa"/>
              <w:bottom w:w="150" w:type="dxa"/>
            </w:tcMar>
            <w:tcW w:w="724"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特勤（全院范围应急处突、文物押运、警犬饲养）</w:t>
            </w:r>
            <w:r/>
          </w:p>
        </w:tc>
        <w:tc>
          <w:tcPr>
            <w:shd w:val="clear" w:color="auto" w:fill="auto"/>
            <w:tcMar>
              <w:left w:w="240" w:type="dxa"/>
              <w:top w:w="150" w:type="dxa"/>
              <w:right w:w="240" w:type="dxa"/>
              <w:bottom w:w="150" w:type="dxa"/>
            </w:tcMar>
            <w:tcW w:w="497"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1白班</w:t>
            </w:r>
            <w:r/>
          </w:p>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2夜班</w:t>
            </w:r>
            <w:r/>
          </w:p>
        </w:tc>
        <w:tc>
          <w:tcPr>
            <w:shd w:val="clear" w:color="auto" w:fill="auto"/>
            <w:tcMar>
              <w:left w:w="240" w:type="dxa"/>
              <w:top w:w="150" w:type="dxa"/>
              <w:right w:w="240" w:type="dxa"/>
              <w:bottom w:w="150" w:type="dxa"/>
            </w:tcMar>
            <w:tcW w:w="1128" w:type="pct"/>
            <w:vAlign w:val="center"/>
            <w:textDirection w:val="lrTb"/>
            <w:noWrap w:val="false"/>
          </w:tcPr>
          <w:p>
            <w:p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无违法犯罪记录（项目履约前须通过公安机关背景审查、当年体检报告）；持有保安员证或接受过正规安保培训；有较强的身体素质，能通过常规体能测试要求，责任心强，遇事冷静，具备敏锐的观察力，熟练掌握消防设施设备使用，受过消防技能、应急事件处置、急救常识等培训，能适应倒班及24小时随时待命的应急工作。</w:t>
            </w:r>
            <w:r/>
          </w:p>
        </w:tc>
        <w:tc>
          <w:tcPr>
            <w:shd w:val="clear" w:color="auto" w:fill="auto"/>
            <w:tcMar>
              <w:left w:w="240" w:type="dxa"/>
              <w:top w:w="150" w:type="dxa"/>
              <w:right w:w="240" w:type="dxa"/>
              <w:bottom w:w="150" w:type="dxa"/>
            </w:tcMar>
            <w:tcW w:w="988" w:type="pct"/>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白班（8:30-17:30）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小夜（17:30-12:30）</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大夜班（12:30-8:30）</w:t>
            </w:r>
            <w:r/>
          </w:p>
        </w:tc>
        <w:tc>
          <w:tcPr>
            <w:shd w:val="clear" w:color="auto" w:fill="auto"/>
            <w:tcMar>
              <w:left w:w="240" w:type="dxa"/>
              <w:top w:w="150" w:type="dxa"/>
              <w:right w:w="0" w:type="dxa"/>
              <w:bottom w:w="150" w:type="dxa"/>
            </w:tcMar>
            <w:tcW w:w="1371" w:type="pct"/>
            <w:vAlign w:val="center"/>
            <w:textDirection w:val="lrTb"/>
            <w:noWrap w:val="false"/>
          </w:tcPr>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承担本院突发事件的应急处置；</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承担院内抢险救灾任务；</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承担本院专职消防队职能，具备较专业消防灭火能力；</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负责院内文物、财务专职押运工作；</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负责本院公共区域治安巡逻、防恐、反扒等工作；</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负责每日警犬驯养、夜间携犬巡逻及犬舍卫生清理工作；</w:t>
            </w:r>
            <w:r/>
          </w:p>
          <w:p>
            <w:pPr>
              <w:numPr>
                <w:ilvl w:val="0"/>
                <w:numId w:val="46"/>
              </w:numPr>
              <w:jc w:val="left"/>
              <w:keepLines w:val="0"/>
              <w:keepNext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重要接待外围警戒、重大活动现场警卫工作。</w:t>
            </w:r>
            <w:r/>
          </w:p>
        </w:tc>
      </w:tr>
    </w:tbl>
    <w:p>
      <w:pP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、考核要求</w:t>
      </w:r>
      <w:r>
        <w:rPr>
          <w:rFonts w:hint="eastAsia" w:ascii="宋体" w:hAnsi="宋体" w:eastAsia="宋体" w:cs="宋体"/>
          <w:b w:val="0"/>
          <w:bCs w:val="0"/>
          <w:color w:val="auto"/>
          <w:sz w:val="21"/>
          <w:szCs w:val="21"/>
          <w:highlight w:val="none"/>
        </w:rPr>
        <w:t xml:space="preserve">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、对违规服务人员采取对投标人处罚形式，相同及类似事件采用首次违规警告，二次违规</w:t>
      </w:r>
      <w:r>
        <w:rPr>
          <w:rFonts w:hint="eastAsia" w:ascii="宋体" w:hAnsi="宋体" w:eastAsia="宋体" w:cs="宋体"/>
          <w:color w:val="auto"/>
          <w:szCs w:val="21"/>
          <w:highlight w:val="none"/>
          <w:lang w:val="en-US" w:eastAsia="zh-CN"/>
        </w:rPr>
        <w:t xml:space="preserve">扣除相应服务费</w:t>
      </w:r>
      <w:r>
        <w:rPr>
          <w:rFonts w:hint="eastAsia" w:ascii="宋体" w:hAnsi="宋体" w:eastAsia="宋体" w:cs="宋体"/>
          <w:color w:val="auto"/>
          <w:szCs w:val="21"/>
          <w:highlight w:val="none"/>
        </w:rPr>
        <w:t xml:space="preserve">，每次</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将以书面形式告知投标人，违规人员和保安队长签字确认，拒不签字的，招标人有权责成投标人立即辞退相关人员，并对投标人二次</w:t>
      </w:r>
      <w:r>
        <w:rPr>
          <w:rFonts w:hint="eastAsia" w:ascii="宋体" w:hAnsi="宋体" w:eastAsia="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金额从</w:t>
      </w:r>
      <w:r>
        <w:rPr>
          <w:rFonts w:hint="eastAsia" w:ascii="宋体" w:hAnsi="宋体" w:cs="宋体"/>
          <w:color w:val="auto"/>
          <w:szCs w:val="21"/>
          <w:highlight w:val="none"/>
          <w:lang w:val="en-US" w:eastAsia="zh-CN"/>
        </w:rPr>
        <w:t xml:space="preserve">服务费</w:t>
      </w:r>
      <w:r>
        <w:rPr>
          <w:rFonts w:hint="eastAsia" w:ascii="宋体" w:hAnsi="宋体" w:eastAsia="宋体" w:cs="宋体"/>
          <w:color w:val="auto"/>
          <w:szCs w:val="21"/>
          <w:highlight w:val="none"/>
        </w:rPr>
        <w:t xml:space="preserve">中扣除。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、保安公司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.1如不履行合同或降低合同（包括投标文件）要求，经招标人口头及书面整改警示后仍未达标，招标人将视情节扣除</w:t>
      </w:r>
      <w:r>
        <w:rPr>
          <w:rFonts w:hint="eastAsia" w:ascii="宋体" w:hAnsi="宋体" w:cs="宋体"/>
          <w:color w:val="auto"/>
          <w:szCs w:val="21"/>
          <w:highlight w:val="none"/>
          <w:lang w:val="en-US" w:eastAsia="zh-CN"/>
        </w:rPr>
        <w:t xml:space="preserve">服务费</w:t>
      </w:r>
      <w:r>
        <w:rPr>
          <w:rFonts w:hint="eastAsia" w:ascii="宋体" w:hAnsi="宋体" w:eastAsia="宋体" w:cs="宋体"/>
          <w:color w:val="auto"/>
          <w:szCs w:val="21"/>
          <w:highlight w:val="none"/>
        </w:rPr>
        <w:t xml:space="preserve">。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.2不执行招标人制定的管理制度致发生意外事故，造成馆方损失的，招标人将视情节要求投标人赔偿损失并</w:t>
      </w:r>
      <w:r>
        <w:rPr>
          <w:rFonts w:hint="eastAsia" w:ascii="宋体" w:hAnsi="宋体" w:eastAsia="宋体" w:cs="宋体"/>
          <w:color w:val="auto"/>
          <w:szCs w:val="21"/>
          <w:highlight w:val="none"/>
          <w:lang w:val="en-US" w:eastAsia="zh-CN"/>
        </w:rPr>
        <w:t xml:space="preserve">扣除相应服务费</w:t>
      </w:r>
      <w:r>
        <w:rPr>
          <w:rFonts w:hint="eastAsia" w:ascii="宋体" w:hAnsi="宋体" w:eastAsia="宋体" w:cs="宋体"/>
          <w:color w:val="auto"/>
          <w:szCs w:val="21"/>
          <w:highlight w:val="none"/>
        </w:rPr>
        <w:t xml:space="preserve">至解除合同，并依法追究中标投标人的法律责任。 </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招标文件中要求的岗位数及人员数，为最低需求。投标人必须在投标文件中同时明确岗位数及人员数设置，不得低于上列规定的岗位及人数要求。如中标后在实际运行中，岗位数及人员数低于响应时的数量，每少一人扣除1000元/天，连续三个日历日以上每缺一岗或一人扣除合同总价1%，连续十五个日历日以上缺岗或缺人视同违约并追责，招标人有权解除合同。中标投标人在签订合同时应提供派遣服务人员花名册。人员缺岗需向招标人报备并及时补足。</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.4服务团队政治意识薄弱，政治立场摇摆，出现违法、违规、违纪问题，出现“四风”问题</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.5服务团队意识形态管理出现漏洞，出现重大舆情及泄密事故，对馆方造成影响，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.6因服务团队未能及时发现及提报，发生安全生产相关事故，未能及时解决或报备，对馆方造成影响，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20000元以上/次，根据严重程度有权追究法律责任及解约。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.7因服务团队未能及时发现及提报，招标人在外单位检查中被处罚扣分，对招标人造成影响，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5000元以上/次，根据严重程度有权解约。</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.8安保工作人员未按照招标文件配备有资质对人员，员工培训不到位， </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2000元以上/次并限期整改。</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.9全年针对安保服务的有效投诉在60单以上，</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20000元以上/年。</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.10对招标人合理要求响应不及时，落实不到位，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2000元以上/次并限期整改。</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.11因个人服务态度收到观众投诉反馈，</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2000元以上/次并对个人提出处理意见。</w:t>
      </w:r>
      <w:r>
        <w:rPr>
          <w:rFonts w:hint="eastAsia" w:ascii="宋体" w:hAnsi="宋体" w:eastAsia="宋体" w:cs="宋体"/>
          <w:color w:val="auto"/>
          <w:sz w:val="20"/>
          <w:szCs w:val="21"/>
          <w:highlight w:val="none"/>
          <w:lang w:val="en-US" w:eastAsia="zh-CN" w:bidi="ar-SA"/>
        </w:rPr>
        <w:t xml:space="preserve">引发经查证属实的参观者投诉、主管部门通报或媒体曝光的，纳入服务质量考核，按考核办法相应扣减服务费用。经采购人书面催告后逾期未整改，或情节严重造成重大影响的，采购人有权解除合同，并由中标人承担由此产生的全部损失及维权合理费用。</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.12未能保障节假日期间或大客流期间场馆有序运行，</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罚10000元以上/次。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.13未保障重大活动顺利推进并发挥重要作用，</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.14重大活动期间招标文件内服务内容响应不及时，落实不到位，</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firstLine="400"/>
        <w:keepLines w:val="0"/>
        <w:keepNext w:val="0"/>
        <w:pageBreakBefore w:val="0"/>
        <w:spacing w:line="360" w:lineRule="auto"/>
        <w:widowControl w:val="off"/>
        <w:tabs>
          <w:tab w:val="left" w:pos="24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eastAsia="zh-Hans"/>
        </w:rPr>
        <w:t xml:space="preserve">拖欠工资造成上访</w:t>
      </w:r>
      <w:r>
        <w:rPr>
          <w:rFonts w:hint="eastAsia" w:ascii="宋体" w:hAnsi="宋体" w:eastAsia="宋体" w:cs="宋体"/>
          <w:color w:val="auto"/>
          <w:szCs w:val="21"/>
          <w:highlight w:val="none"/>
        </w:rPr>
        <w:t xml:space="preserve">、舆情等对场馆的不利影响的，</w:t>
      </w:r>
      <w:r>
        <w:rPr>
          <w:rFonts w:hint="eastAsia" w:ascii="宋体" w:hAnsi="宋体" w:eastAsia="宋体" w:cs="宋体"/>
          <w:color w:val="auto"/>
          <w:szCs w:val="21"/>
          <w:highlight w:val="none"/>
          <w:lang w:val="en-US" w:eastAsia="zh-CN"/>
        </w:rPr>
        <w:t xml:space="preserve">扣除服务费</w:t>
      </w:r>
      <w:r>
        <w:rPr>
          <w:rFonts w:hint="eastAsia" w:ascii="宋体" w:hAnsi="宋体" w:eastAsia="宋体" w:cs="宋体"/>
          <w:color w:val="auto"/>
          <w:szCs w:val="21"/>
          <w:highlight w:val="none"/>
        </w:rPr>
        <w:t xml:space="preserve">10000元以上/次。</w:t>
      </w:r>
      <w:r/>
    </w:p>
    <w:p>
      <w:pPr>
        <w:ind w:left="416" w:firstLine="0"/>
        <w:keepLines w:val="0"/>
        <w:keepNext w:val="0"/>
        <w:pageBreakBefore w:val="0"/>
        <w:spacing w:line="360" w:lineRule="auto"/>
        <w:widowControl w:val="off"/>
        <w:tabs>
          <w:tab w:val="left" w:pos="240" w:leader="none"/>
        </w:tabs>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val="en-US" w:eastAsia="zh-CN"/>
        </w:rPr>
        <w:br/>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、保安公司人员（参照南京博物院合同制职工考核记分标准）</w:t>
      </w:r>
      <w:r/>
    </w:p>
    <w:p>
      <w:pPr>
        <w:ind w:firstLine="42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 xml:space="preserve">南京博物院合同制职工考核记分标准（修订）</w:t>
      </w:r>
      <w:r/>
    </w:p>
    <w:p>
      <w:pPr>
        <w:numPr>
          <w:ilvl w:val="0"/>
          <w:numId w:val="47"/>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出现下列情形的每次扣1分</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病假1至3天。</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迟到、早退1小时，不足一小时按一小时计算，超过1小时按事假记。</w:t>
      </w:r>
      <w:r/>
    </w:p>
    <w:p>
      <w:pPr>
        <w:numPr>
          <w:ilvl w:val="0"/>
          <w:numId w:val="0"/>
        </w:numPr>
        <w:keepLines w:val="0"/>
        <w:keepNext w:val="0"/>
        <w:pageBreakBefore w:val="0"/>
        <w:spacing w:line="360" w:lineRule="auto"/>
        <w:widowControl w:val="off"/>
        <w:tabs>
          <w:tab w:val="left" w:pos="5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出现下列情形的每次扣2分</w:t>
      </w:r>
      <w:r/>
    </w:p>
    <w:p>
      <w:pPr>
        <w:numPr>
          <w:ilvl w:val="0"/>
          <w:numId w:val="48"/>
        </w:numPr>
        <w:ind w:left="0" w:firstLine="420"/>
        <w:keepLines w:val="0"/>
        <w:keepNext w:val="0"/>
        <w:pageBreakBefore w:val="0"/>
        <w:spacing w:line="360" w:lineRule="auto"/>
        <w:widowControl w:val="off"/>
        <w:tabs>
          <w:tab w:val="clear" w:pos="4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病假3天以上每天扣2分。</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仪容、仪貌不整洁（男同志留长发、蓄长胡须、不佩带工号牌、佩带其它装饰性饰品的）。</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在岗期间未按规定在规定位置、规定姿势站位或巡视的以及未按时交接班的</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上下班不走员工通道，或在展馆内和观众争道，导致观众参观受到影响的。</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在院区及展馆内随意丢弃果皮、纸屑或其它杂物。</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执勤装备没有携带的，或者装备工作状态不正常且持有人未报告的。</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值班记录书写潦草含糊不清。</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不按时清洁责任区域内卫生导致工作环境脏乱差的。</w:t>
      </w:r>
      <w:r/>
    </w:p>
    <w:p>
      <w:pPr>
        <w:numPr>
          <w:ilvl w:val="0"/>
          <w:numId w:val="48"/>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不爱护工作装备或设备，野蛮操作、不按规定程序开关或不按规定保养的。</w:t>
      </w:r>
      <w:r/>
    </w:p>
    <w:p>
      <w:pPr>
        <w:numPr>
          <w:ilvl w:val="0"/>
          <w:numId w:val="49"/>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出现下列情形的每次扣5分</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事假1天。</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未经上级批准私自换班的双方当事人。</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交接班程序存在漏项或未按规定进行检查交接的。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未能掌握应有技能或应了解的情况不了解，如设备、装备操作不熟练，不能熟练使用灭火器材，不清楚和掌握责任区内文物数量、消防安防设施位置、出入口通道分布等。</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值班记录未填写的。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无故不参加单位或部门要求召开的会议、培训及其他活动的。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工作期间私自串岗或休岗期间擅自离院外出未在指定区域待命的。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未严格执行相关规章制度对进出车辆、人员进行询问、登记、核实出入凭证，或因检查不力导致无关人员进入不应进入的区域的。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未严格执行操作规程要求的内容，存在漏操作、延时操作、违规操作等情况。</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在岗或执勤期间有闲聊、打闹、吃东西、抽烟、接打电话等行为，或做工作无关的事情。</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根据规定要求定时对指定责任区域进行指定内容的巡视，存在漏巡、不巡、缓巡等情况。</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当班期间责任区域内出现异常或应当报告未及时报告，或出现漏报、不报、缓报等现象。</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未按规定流程或规定时间报告工作情况的。</w:t>
      </w:r>
      <w:r/>
    </w:p>
    <w:p>
      <w:pPr>
        <w:numPr>
          <w:ilvl w:val="0"/>
          <w:numId w:val="5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擅自回答观众提出的与文物有关的专业性问题的。</w:t>
      </w:r>
      <w:r/>
    </w:p>
    <w:p>
      <w:pPr>
        <w:numPr>
          <w:ilvl w:val="0"/>
          <w:numId w:val="51"/>
        </w:numPr>
        <w:ind w:left="0" w:firstLine="422"/>
        <w:keepLines w:val="0"/>
        <w:keepNext w:val="0"/>
        <w:pageBreakBefore w:val="0"/>
        <w:spacing w:line="360" w:lineRule="auto"/>
        <w:widowControl w:val="off"/>
        <w:tabs>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出现下列情形的每次扣10分</w:t>
      </w:r>
      <w:r>
        <w:rPr>
          <w:rFonts w:hint="eastAsia" w:ascii="宋体" w:hAnsi="宋体" w:eastAsia="宋体" w:cs="宋体"/>
          <w:b/>
          <w:bCs/>
          <w:color w:val="auto"/>
          <w:sz w:val="21"/>
          <w:szCs w:val="21"/>
          <w:highlight w:val="none"/>
        </w:rPr>
        <w:tab/>
      </w:r>
      <w:r/>
    </w:p>
    <w:p>
      <w:pPr>
        <w:numPr>
          <w:ilvl w:val="0"/>
          <w:numId w:val="52"/>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上班在岗期间睡觉或酒后上岗的。</w:t>
      </w:r>
      <w:r/>
    </w:p>
    <w:p>
      <w:pPr>
        <w:numPr>
          <w:ilvl w:val="0"/>
          <w:numId w:val="52"/>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本人消极懈怠导致上级安排的工作未能按要求完成的。</w:t>
      </w:r>
      <w:r/>
    </w:p>
    <w:p>
      <w:pPr>
        <w:numPr>
          <w:ilvl w:val="0"/>
          <w:numId w:val="52"/>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由于个人工作疏忽导致本责任区域内存在应被发现而未能发现的问题。</w:t>
      </w:r>
      <w:r/>
    </w:p>
    <w:p>
      <w:pPr>
        <w:numPr>
          <w:ilvl w:val="0"/>
          <w:numId w:val="52"/>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由于处置不及时或消极懈怠导致责任区域内车辆拥堵或秩序混乱的。</w:t>
      </w:r>
      <w:r/>
    </w:p>
    <w:p>
      <w:pPr>
        <w:numPr>
          <w:ilvl w:val="0"/>
          <w:numId w:val="52"/>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由于疏忽或消极懈怠放任各种危及文物、财务、人身安全的行为但未造成严重后果的。</w:t>
      </w:r>
      <w:r/>
    </w:p>
    <w:p>
      <w:pPr>
        <w:numPr>
          <w:ilvl w:val="0"/>
          <w:numId w:val="51"/>
        </w:numPr>
        <w:ind w:left="0" w:firstLine="422"/>
        <w:keepLines w:val="0"/>
        <w:keepNext w:val="0"/>
        <w:pageBreakBefore w:val="0"/>
        <w:spacing w:line="360" w:lineRule="auto"/>
        <w:widowControl w:val="off"/>
        <w:tabs>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出现下列情形的每次扣15分 </w:t>
      </w:r>
      <w:r/>
    </w:p>
    <w:p>
      <w:pPr>
        <w:numPr>
          <w:ilvl w:val="0"/>
          <w:numId w:val="5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不按照组织程序反应问题或表达意见，发生越级上告并造成恶劣影响者。</w:t>
      </w:r>
      <w:r/>
    </w:p>
    <w:p>
      <w:pPr>
        <w:numPr>
          <w:ilvl w:val="0"/>
          <w:numId w:val="5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上班期间饮酒或醉酒后上岗的。</w:t>
      </w:r>
      <w:r/>
    </w:p>
    <w:p>
      <w:pPr>
        <w:numPr>
          <w:ilvl w:val="0"/>
          <w:numId w:val="5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弄虚作假故意隐瞒工作情况但未造成严重后果的。</w:t>
      </w:r>
      <w:r/>
    </w:p>
    <w:p>
      <w:pPr>
        <w:numPr>
          <w:ilvl w:val="0"/>
          <w:numId w:val="5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因工作疏忽没有及时汇报和处理而造成一定后果的。</w:t>
      </w:r>
      <w:r/>
    </w:p>
    <w:p>
      <w:pPr>
        <w:numPr>
          <w:ilvl w:val="0"/>
          <w:numId w:val="5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故意损坏公私财物、装备、设备及其它公用设施的。</w:t>
      </w:r>
      <w:r/>
    </w:p>
    <w:p>
      <w:pPr>
        <w:numPr>
          <w:ilvl w:val="0"/>
          <w:numId w:val="0"/>
        </w:numPr>
        <w:keepLines w:val="0"/>
        <w:keepNext w:val="0"/>
        <w:pageBreakBefore w:val="0"/>
        <w:spacing w:line="360" w:lineRule="auto"/>
        <w:widowControl w:val="off"/>
        <w:tabs>
          <w:tab w:val="left" w:pos="5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出现下列情形的每次扣20分</w:t>
      </w:r>
      <w:r/>
    </w:p>
    <w:p>
      <w:pPr>
        <w:numPr>
          <w:ilvl w:val="0"/>
          <w:numId w:val="54"/>
        </w:numPr>
        <w:ind w:left="0" w:firstLine="420"/>
        <w:keepLines w:val="0"/>
        <w:keepNext w:val="0"/>
        <w:pageBreakBefore w:val="0"/>
        <w:spacing w:line="360" w:lineRule="auto"/>
        <w:widowControl w:val="off"/>
        <w:tabs>
          <w:tab w:val="left" w:pos="34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旷工1天。</w:t>
      </w:r>
      <w:r/>
    </w:p>
    <w:p>
      <w:pPr>
        <w:numPr>
          <w:ilvl w:val="0"/>
          <w:numId w:val="54"/>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上班期间无故脱岗的。</w:t>
      </w:r>
      <w:r/>
    </w:p>
    <w:p>
      <w:pPr>
        <w:numPr>
          <w:ilvl w:val="0"/>
          <w:numId w:val="54"/>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同志之间不团结、无中生有、搬弄是非、制造矛盾、引起争吵和斗殴的相关当事人。</w:t>
      </w:r>
      <w:r/>
    </w:p>
    <w:p>
      <w:pPr>
        <w:numPr>
          <w:ilvl w:val="0"/>
          <w:numId w:val="54"/>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对待观众态度野蛮、粗暴，与观众发生争吵、冲突。</w:t>
      </w:r>
      <w:r/>
    </w:p>
    <w:p>
      <w:pPr>
        <w:numPr>
          <w:ilvl w:val="0"/>
          <w:numId w:val="54"/>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擅自散布有关单位的机密或不当言论造成影响的。</w:t>
      </w:r>
      <w:r/>
    </w:p>
    <w:p>
      <w:pPr>
        <w:numPr>
          <w:ilvl w:val="0"/>
          <w:numId w:val="0"/>
        </w:numPr>
        <w:keepLines w:val="0"/>
        <w:keepNext w:val="0"/>
        <w:pageBreakBefore w:val="0"/>
        <w:spacing w:line="360" w:lineRule="auto"/>
        <w:widowControl w:val="off"/>
        <w:tabs>
          <w:tab w:val="left" w:pos="5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出现下列情形的每次扣30分</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本年度旷工累计达到3天。</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不服从上级指挥、工作安排、岗位调动，或不接受管理人员检查、督导和处理意见的。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在公共场合内与人斗殴的。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发现重大安全隐患，没有及时采取措施和报告造成严重后果的。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因人为疏忽、不按程序、规程要求或处置不及时造成文物、财务、人身安全受到严重损害的。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突发情况没有及时采取措施或畏缩不前、擅自离开岗位的。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弄虚作假故意隐瞒实际工作情况造成严重后果的。</w:t>
      </w:r>
      <w:r/>
    </w:p>
    <w:p>
      <w:pPr>
        <w:numPr>
          <w:ilvl w:val="0"/>
          <w:numId w:val="5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不遵守职业操守，向观众索要小费或其它物品，或私自占有他人的物品的。</w:t>
      </w:r>
      <w:r/>
    </w:p>
    <w:p>
      <w:pPr>
        <w:numPr>
          <w:ilvl w:val="0"/>
          <w:numId w:val="0"/>
        </w:numPr>
        <w:keepLines w:val="0"/>
        <w:keepNext w:val="0"/>
        <w:pageBreakBefore w:val="0"/>
        <w:spacing w:line="360" w:lineRule="auto"/>
        <w:widowControl w:val="off"/>
        <w:tabs>
          <w:tab w:val="left" w:pos="5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处分办法</w:t>
      </w:r>
      <w:r/>
    </w:p>
    <w:p>
      <w:pPr>
        <w:numPr>
          <w:ilvl w:val="0"/>
          <w:numId w:val="56"/>
        </w:num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当月累计扣分达到15分以上的应对当事人进行通报批评。</w:t>
      </w:r>
      <w:r/>
    </w:p>
    <w:p>
      <w:pPr>
        <w:numPr>
          <w:ilvl w:val="0"/>
          <w:numId w:val="56"/>
        </w:num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个月内有2次及以上违规记录或连续2个月有违规记录保安公司管理层应对当事人进行约谈以示警告，约谈后3个月内又出现违规记录的应给予当事人通报批评并扣除当月全部绩效奖金，其后本年度内若再有违规记录则被考核人被视为不能胜任保卫工作应予以辞退。</w:t>
      </w:r>
      <w:r/>
    </w:p>
    <w:p>
      <w:pPr>
        <w:numPr>
          <w:ilvl w:val="0"/>
          <w:numId w:val="56"/>
        </w:num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本年度违规扣分累计达到60分以上或单次扣分达到30分的将给予辞退的处理。</w:t>
      </w:r>
      <w:r/>
    </w:p>
    <w:p>
      <w:pPr>
        <w:numPr>
          <w:ilvl w:val="0"/>
          <w:numId w:val="5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扣分扣钱标准（1分等于10元；超过10分，按双倍计算）。</w:t>
      </w:r>
      <w:r/>
    </w:p>
    <w:p>
      <w:pPr>
        <w:numPr>
          <w:ilvl w:val="0"/>
          <w:numId w:val="0"/>
        </w:numPr>
        <w:ind w:firstLine="434"/>
        <w:keepLines w:val="0"/>
        <w:keepNext w:val="0"/>
        <w:pageBreakBefore w:val="0"/>
        <w:spacing w:before="291" w:line="360" w:lineRule="auto"/>
        <w:widowControl w:val="off"/>
        <w:tabs>
          <w:tab w:val="left" w:pos="240" w:leader="none"/>
        </w:tabs>
        <w:rPr>
          <w:rFonts w:hint="eastAsia" w:ascii="宋体" w:hAnsi="宋体" w:eastAsia="宋体" w:cs="宋体"/>
          <w:color w:val="auto"/>
          <w:spacing w:val="8"/>
          <w:szCs w:val="21"/>
          <w:highlight w:val="none"/>
        </w:rPr>
        <w:outlineLvl w:val="9"/>
      </w:pPr>
      <w:r>
        <w:rPr>
          <w:rFonts w:hint="eastAsia" w:ascii="宋体" w:hAnsi="宋体" w:eastAsia="宋体" w:cs="宋体"/>
          <w:b/>
          <w:bCs/>
          <w:color w:val="auto"/>
          <w:spacing w:val="8"/>
          <w:szCs w:val="21"/>
          <w:highlight w:val="none"/>
          <w:lang w:val="en-US" w:eastAsia="zh-CN"/>
        </w:rPr>
        <w:t xml:space="preserve">四、</w:t>
      </w:r>
      <w:r>
        <w:rPr>
          <w:rFonts w:hint="eastAsia" w:ascii="宋体" w:hAnsi="宋体" w:eastAsia="宋体" w:cs="宋体"/>
          <w:b/>
          <w:bCs/>
          <w:color w:val="auto"/>
          <w:spacing w:val="8"/>
          <w:szCs w:val="21"/>
          <w:highlight w:val="none"/>
        </w:rPr>
        <w:t xml:space="preserve">其他要求</w:t>
      </w:r>
      <w:r/>
    </w:p>
    <w:p>
      <w:pPr>
        <w:pStyle w:val="1334"/>
        <w:numPr>
          <w:ilvl w:val="0"/>
          <w:numId w:val="0"/>
        </w:numPr>
        <w:ind w:left="0" w:firstLine="400"/>
        <w:jc w:val="left"/>
        <w:keepLines w:val="0"/>
        <w:keepNext w:val="0"/>
        <w:pageBreakBefore w:val="0"/>
        <w:spacing w:line="360" w:lineRule="auto"/>
        <w:widowControl w:val="off"/>
        <w:rPr>
          <w:rFonts w:hint="eastAsia" w:ascii="Times New Roman" w:hAnsi="Times New Roman"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当按照《中华人民共和国劳动法》《中华人民共和国劳动</w:t>
      </w:r>
      <w:r>
        <w:rPr>
          <w:rFonts w:hint="eastAsia" w:ascii="宋体" w:hAnsi="宋体" w:eastAsia="宋体" w:cs="宋体"/>
          <w:color w:val="auto"/>
          <w:szCs w:val="21"/>
          <w:highlight w:val="none"/>
          <w:lang w:val="zh-CN" w:eastAsia="zh-CN"/>
        </w:rPr>
        <w:t xml:space="preserve">合同</w:t>
      </w:r>
      <w:r>
        <w:rPr>
          <w:rFonts w:hint="eastAsia" w:ascii="宋体" w:hAnsi="宋体" w:eastAsia="宋体" w:cs="宋体"/>
          <w:color w:val="auto"/>
          <w:szCs w:val="21"/>
          <w:highlight w:val="none"/>
          <w:lang w:val="zh-CN"/>
        </w:rPr>
        <w:t xml:space="preserve">法》及其他相关的法律法规和所有服务人员建立劳动合同关系，及时支付服务人员的劳动报酬，并向</w:t>
      </w:r>
      <w:r>
        <w:rPr>
          <w:rFonts w:hint="eastAsia" w:ascii="宋体" w:hAnsi="宋体" w:eastAsia="宋体" w:cs="宋体"/>
          <w:color w:val="auto"/>
          <w:szCs w:val="21"/>
          <w:highlight w:val="none"/>
        </w:rPr>
        <w:t xml:space="preserve">招标人</w:t>
      </w:r>
      <w:r>
        <w:rPr>
          <w:rFonts w:hint="eastAsia" w:ascii="宋体" w:hAnsi="宋体" w:eastAsia="宋体" w:cs="宋体"/>
          <w:color w:val="auto"/>
          <w:szCs w:val="21"/>
          <w:highlight w:val="none"/>
          <w:lang w:val="zh-CN"/>
        </w:rPr>
        <w:t xml:space="preserve">提供服务人员基本信息。如服务人员遇疾病、伤残、死亡等事故，由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承担全部责任。</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服务人员出现劳动争议而导致索赔的，由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全权处理并承担全部责任，与</w:t>
      </w:r>
      <w:r>
        <w:rPr>
          <w:rFonts w:hint="eastAsia" w:ascii="宋体" w:hAnsi="宋体" w:eastAsia="宋体" w:cs="宋体"/>
          <w:color w:val="auto"/>
          <w:szCs w:val="21"/>
          <w:highlight w:val="none"/>
        </w:rPr>
        <w:t xml:space="preserve">招标人</w:t>
      </w:r>
      <w:r>
        <w:rPr>
          <w:rFonts w:hint="eastAsia" w:ascii="宋体" w:hAnsi="宋体" w:eastAsia="宋体" w:cs="宋体"/>
          <w:color w:val="auto"/>
          <w:szCs w:val="21"/>
          <w:highlight w:val="none"/>
          <w:lang w:val="zh-CN"/>
        </w:rPr>
        <w:t xml:space="preserve">无关。如</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员工违规操作、非正常性操作以及其他乙方自身原因给甲方带来经济损失的，由</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承担全部赔偿责任。</w:t>
      </w:r>
      <w:r/>
    </w:p>
    <w:p>
      <w:pPr>
        <w:pStyle w:val="1334"/>
        <w:numPr>
          <w:ilvl w:val="0"/>
          <w:numId w:val="0"/>
        </w:numPr>
        <w:ind w:left="0" w:firstLine="40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2.付款方式：</w:t>
      </w:r>
      <w:r/>
    </w:p>
    <w:p>
      <w:pPr>
        <w:pStyle w:val="1334"/>
        <w:numPr>
          <w:ilvl w:val="0"/>
          <w:numId w:val="0"/>
        </w:numPr>
        <w:ind w:left="0" w:firstLine="40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.1季度付费，每季度期满后根据上季度考核结果支付上季度的费用。</w:t>
      </w:r>
      <w:r>
        <w:rPr>
          <w:rFonts w:hint="eastAsia"/>
          <w:color w:val="auto"/>
          <w:highlight w:val="none"/>
        </w:rPr>
        <w:t xml:space="preserve">如因财政资金拨付等原因，双方可协商延迟付款，</w:t>
      </w:r>
      <w:r>
        <w:rPr>
          <w:rFonts w:hint="eastAsia"/>
          <w:color w:val="auto"/>
          <w:highlight w:val="none"/>
          <w:lang w:val="en-US" w:eastAsia="zh-CN"/>
        </w:rPr>
        <w:t xml:space="preserve">采购人</w:t>
      </w:r>
      <w:r>
        <w:rPr>
          <w:rFonts w:hint="eastAsia"/>
          <w:color w:val="auto"/>
          <w:highlight w:val="none"/>
        </w:rPr>
        <w:t xml:space="preserve">不承担违约责任</w:t>
      </w:r>
      <w:r>
        <w:rPr>
          <w:rFonts w:hint="eastAsia"/>
          <w:color w:val="auto"/>
          <w:highlight w:val="none"/>
          <w:lang w:eastAsia="zh-CN"/>
        </w:rPr>
        <w:t xml:space="preserve">。</w:t>
      </w:r>
      <w:r/>
    </w:p>
    <w:p>
      <w:pPr>
        <w:ind w:firstLine="40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.2乙方应当按照国家有关规定，向甲方提供相关正式合法发票。</w:t>
      </w:r>
      <w:r/>
    </w:p>
    <w:p>
      <w:pPr>
        <w:ind w:firstLine="40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3.其他说明：工作日加班费：浮动费用基数*1.5、休息日加班费：浮动费用基数*2、法定休假日加班费：浮动费用基数*3。</w:t>
      </w:r>
      <w:r/>
    </w:p>
    <w:p>
      <w:pPr>
        <w:ind w:firstLine="400"/>
        <w:jc w:val="left"/>
        <w:keepLines w:val="0"/>
        <w:keepNext w:val="0"/>
        <w:spacing w:line="360" w:lineRule="auto"/>
        <w:widowControl/>
        <w:rPr>
          <w:rFonts w:hint="default" w:ascii="宋体" w:hAnsi="宋体" w:eastAsia="宋体" w:cs="宋体"/>
          <w:color w:val="auto"/>
          <w:sz w:val="20"/>
          <w:szCs w:val="21"/>
          <w:highlight w:val="none"/>
          <w:lang w:val="en-US" w:eastAsia="zh-CN" w:bidi="ar-SA"/>
        </w:rPr>
        <w:suppressLineNumbers w:val="0"/>
      </w:pPr>
      <w:r>
        <w:rPr>
          <w:rFonts w:hint="eastAsia" w:ascii="宋体" w:hAnsi="宋体" w:eastAsia="宋体" w:cs="宋体"/>
          <w:color w:val="auto"/>
          <w:sz w:val="20"/>
          <w:szCs w:val="21"/>
          <w:highlight w:val="none"/>
          <w:lang w:val="en-US" w:eastAsia="zh-CN" w:bidi="ar-SA"/>
        </w:rPr>
        <w:t xml:space="preserve">4.核心人员一致性违约条款：</w:t>
      </w:r>
      <w:r>
        <w:rPr>
          <w:rFonts w:ascii="宋体" w:hAnsi="宋体" w:eastAsia="宋体" w:cs="宋体"/>
          <w:color w:val="auto"/>
          <w:sz w:val="20"/>
          <w:szCs w:val="20"/>
          <w:highlight w:val="none"/>
          <w:lang w:val="en-US" w:eastAsia="zh-CN" w:bidi="ar"/>
        </w:rPr>
        <w:t xml:space="preserve">核心人员</w:t>
      </w:r>
      <w:r>
        <w:rPr>
          <w:rFonts w:hint="eastAsia" w:ascii="宋体" w:hAnsi="宋体" w:eastAsia="宋体" w:cs="宋体"/>
          <w:color w:val="auto"/>
          <w:sz w:val="20"/>
          <w:szCs w:val="20"/>
          <w:highlight w:val="none"/>
          <w:lang w:val="en-US" w:eastAsia="zh-CN" w:bidi="ar"/>
        </w:rPr>
        <w:t xml:space="preserve">指</w:t>
      </w:r>
      <w:r>
        <w:rPr>
          <w:rFonts w:ascii="宋体" w:hAnsi="宋体" w:eastAsia="宋体" w:cs="宋体"/>
          <w:color w:val="auto"/>
          <w:sz w:val="20"/>
          <w:szCs w:val="20"/>
          <w:highlight w:val="none"/>
          <w:lang w:val="en-US" w:eastAsia="zh-CN" w:bidi="ar"/>
        </w:rPr>
        <w:t xml:space="preserve">投标文件中用于评审加分的持证</w:t>
      </w:r>
      <w:r>
        <w:rPr>
          <w:rFonts w:hint="eastAsia" w:ascii="宋体" w:hAnsi="宋体" w:eastAsia="宋体" w:cs="宋体"/>
          <w:color w:val="auto"/>
          <w:sz w:val="20"/>
          <w:szCs w:val="20"/>
          <w:highlight w:val="none"/>
          <w:lang w:val="en-US" w:eastAsia="zh-CN" w:bidi="ar"/>
        </w:rPr>
        <w:t xml:space="preserve">派驻</w:t>
      </w:r>
      <w:r>
        <w:rPr>
          <w:rFonts w:ascii="宋体" w:hAnsi="宋体" w:eastAsia="宋体" w:cs="宋体"/>
          <w:color w:val="auto"/>
          <w:sz w:val="20"/>
          <w:szCs w:val="20"/>
          <w:highlight w:val="none"/>
          <w:lang w:val="en-US" w:eastAsia="zh-CN" w:bidi="ar"/>
        </w:rPr>
        <w:t xml:space="preserve">人员</w:t>
      </w:r>
      <w:r>
        <w:rPr>
          <w:rFonts w:hint="eastAsia" w:ascii="宋体" w:hAnsi="宋体" w:eastAsia="宋体" w:cs="宋体"/>
          <w:color w:val="auto"/>
          <w:sz w:val="20"/>
          <w:szCs w:val="20"/>
          <w:highlight w:val="none"/>
          <w:lang w:val="en-US" w:eastAsia="zh-CN" w:bidi="ar"/>
        </w:rPr>
        <w:t xml:space="preserve">和</w:t>
      </w:r>
      <w:r>
        <w:rPr>
          <w:rFonts w:ascii="宋体" w:hAnsi="宋体" w:eastAsia="宋体" w:cs="宋体"/>
          <w:color w:val="auto"/>
          <w:sz w:val="20"/>
          <w:szCs w:val="20"/>
          <w:highlight w:val="none"/>
          <w:lang w:val="en-US" w:eastAsia="zh-CN" w:bidi="ar"/>
        </w:rPr>
        <w:t xml:space="preserve">承诺派驻现场人员。中标人派驻现场核心人员须与投标承诺名单一致，未经采购人书面同意不得擅自更换；确因离职、伤病等原因需更换的，替换人员资质不得低于原人员标准。人员不一致造成采购人损失的，</w:t>
      </w:r>
      <w:r>
        <w:rPr>
          <w:rFonts w:hint="eastAsia" w:ascii="宋体" w:hAnsi="宋体" w:eastAsia="宋体" w:cs="宋体"/>
          <w:color w:val="auto"/>
          <w:sz w:val="20"/>
          <w:szCs w:val="20"/>
          <w:highlight w:val="none"/>
          <w:lang w:val="en-US" w:eastAsia="zh-CN" w:bidi="ar"/>
        </w:rPr>
        <w:t xml:space="preserve">采购人有权终止合同，一切损失</w:t>
      </w:r>
      <w:r>
        <w:rPr>
          <w:rFonts w:ascii="宋体" w:hAnsi="宋体" w:eastAsia="宋体" w:cs="宋体"/>
          <w:color w:val="auto"/>
          <w:sz w:val="20"/>
          <w:szCs w:val="20"/>
          <w:highlight w:val="none"/>
          <w:lang w:val="en-US" w:eastAsia="zh-CN" w:bidi="ar"/>
        </w:rPr>
        <w:t xml:space="preserve">由中标人全额赔偿</w:t>
      </w:r>
      <w:r>
        <w:rPr>
          <w:rFonts w:ascii="宋体" w:hAnsi="宋体" w:eastAsia="宋体" w:cs="宋体"/>
          <w:color w:val="auto"/>
          <w:sz w:val="24"/>
          <w:szCs w:val="24"/>
          <w:highlight w:val="none"/>
          <w:lang w:val="en-US" w:eastAsia="zh-CN" w:bidi="ar"/>
        </w:rPr>
        <w:t xml:space="preserve">。</w:t>
      </w:r>
      <w:r/>
    </w:p>
    <w:p>
      <w:pPr>
        <w:pStyle w:val="937"/>
        <w:ind w:firstLine="400"/>
        <w:spacing w:line="360" w:lineRule="auto"/>
        <w:rPr>
          <w:rFonts w:hint="eastAsia" w:ascii="宋体" w:hAnsi="宋体" w:eastAsia="宋体" w:cs="宋体"/>
          <w:color w:val="auto"/>
          <w:sz w:val="20"/>
          <w:szCs w:val="21"/>
          <w:highlight w:val="none"/>
          <w:lang w:val="en-US" w:eastAsia="zh-CN" w:bidi="ar-SA"/>
        </w:rPr>
      </w:pPr>
      <w:r>
        <w:rPr>
          <w:rFonts w:hint="eastAsia" w:ascii="宋体" w:hAnsi="宋体" w:eastAsia="宋体" w:cs="宋体"/>
          <w:color w:val="auto"/>
          <w:sz w:val="20"/>
          <w:szCs w:val="21"/>
          <w:highlight w:val="none"/>
          <w:lang w:val="en-US" w:eastAsia="zh-CN" w:bidi="ar-SA"/>
        </w:rPr>
        <w:t xml:space="preserve">5.工作餐：工作时间内按上岗人数供应工作餐一份；因采购人举办活动、节假日开放延时或其他原因导致闭馆时间延迟的，当日另行供应工作餐一份。</w:t>
      </w:r>
      <w:r/>
    </w:p>
    <w:p>
      <w:pPr>
        <w:pStyle w:val="937"/>
        <w:ind w:firstLine="400"/>
        <w:spacing w:line="360" w:lineRule="auto"/>
        <w:rPr>
          <w:color w:val="auto"/>
          <w:highlight w:val="none"/>
        </w:rPr>
      </w:pPr>
      <w:r>
        <w:rPr>
          <w:rFonts w:hint="eastAsia" w:ascii="宋体" w:hAnsi="宋体" w:eastAsia="宋体" w:cs="宋体"/>
          <w:color w:val="auto"/>
          <w:sz w:val="20"/>
          <w:szCs w:val="21"/>
          <w:highlight w:val="none"/>
          <w:lang w:val="en-US" w:eastAsia="zh-CN" w:bidi="ar-SA"/>
        </w:rPr>
        <w:t xml:space="preserve">6.员工培训要求：</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6.1</w:t>
      </w:r>
      <w:r>
        <w:rPr>
          <w:rStyle w:val="945"/>
          <w:rFonts w:hint="eastAsia" w:ascii="宋体" w:hAnsi="宋体" w:eastAsia="宋体" w:cs="宋体"/>
          <w:b w:val="0"/>
          <w:bCs w:val="0"/>
          <w:color w:val="auto"/>
          <w:sz w:val="21"/>
          <w:szCs w:val="21"/>
          <w:highlight w:val="none"/>
        </w:rPr>
        <w:t xml:space="preserve">消防技能</w:t>
      </w:r>
      <w:r>
        <w:rPr>
          <w:rFonts w:hint="eastAsia" w:ascii="宋体" w:hAnsi="宋体" w:eastAsia="宋体" w:cs="宋体"/>
          <w:b w:val="0"/>
          <w:bCs w:val="0"/>
          <w:color w:val="auto"/>
          <w:sz w:val="21"/>
          <w:szCs w:val="21"/>
          <w:highlight w:val="none"/>
        </w:rPr>
        <w:t xml:space="preserve">：掌握消防基础常识，熟练操作灭火器、消火栓，会开展疏散引导、重点部位初期火灾处置，具备初起火灾扑救能力。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6.2</w:t>
      </w:r>
      <w:r>
        <w:rPr>
          <w:rStyle w:val="945"/>
          <w:rFonts w:hint="eastAsia" w:ascii="宋体" w:hAnsi="宋体" w:eastAsia="宋体" w:cs="宋体"/>
          <w:b w:val="0"/>
          <w:bCs w:val="0"/>
          <w:color w:val="auto"/>
          <w:sz w:val="21"/>
          <w:szCs w:val="21"/>
          <w:highlight w:val="none"/>
        </w:rPr>
        <w:t xml:space="preserve">应急处置</w:t>
      </w:r>
      <w:r>
        <w:rPr>
          <w:rFonts w:hint="eastAsia" w:ascii="宋体" w:hAnsi="宋体" w:eastAsia="宋体" w:cs="宋体"/>
          <w:b w:val="0"/>
          <w:bCs w:val="0"/>
          <w:color w:val="auto"/>
          <w:sz w:val="21"/>
          <w:szCs w:val="21"/>
          <w:highlight w:val="none"/>
        </w:rPr>
        <w:t xml:space="preserve">：开展反恐、盗抢、突发事件处置专项培训，具备突发事件现场处置能力。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6.3</w:t>
      </w:r>
      <w:r>
        <w:rPr>
          <w:rStyle w:val="945"/>
          <w:rFonts w:hint="eastAsia" w:ascii="宋体" w:hAnsi="宋体" w:eastAsia="宋体" w:cs="宋体"/>
          <w:b w:val="0"/>
          <w:bCs w:val="0"/>
          <w:color w:val="auto"/>
          <w:sz w:val="21"/>
          <w:szCs w:val="21"/>
          <w:highlight w:val="none"/>
        </w:rPr>
        <w:t xml:space="preserve">大客流处置</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结合南京博物院现场情况，</w:t>
      </w:r>
      <w:r>
        <w:rPr>
          <w:rFonts w:hint="eastAsia" w:ascii="宋体" w:hAnsi="宋体" w:eastAsia="宋体" w:cs="宋体"/>
          <w:b w:val="0"/>
          <w:bCs w:val="0"/>
          <w:color w:val="auto"/>
          <w:sz w:val="21"/>
          <w:szCs w:val="21"/>
          <w:highlight w:val="none"/>
        </w:rPr>
        <w:t xml:space="preserve">完成观众出入场分流管控、通道管控、防踩踏实操演练，落实大客流现场管控能力。</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6.4</w:t>
      </w:r>
      <w:r>
        <w:rPr>
          <w:rStyle w:val="945"/>
          <w:rFonts w:hint="eastAsia" w:ascii="宋体" w:hAnsi="宋体" w:eastAsia="宋体" w:cs="宋体"/>
          <w:b w:val="0"/>
          <w:bCs w:val="0"/>
          <w:color w:val="auto"/>
          <w:sz w:val="21"/>
          <w:szCs w:val="21"/>
          <w:highlight w:val="none"/>
        </w:rPr>
        <w:t xml:space="preserve">急救常识</w:t>
      </w:r>
      <w:r>
        <w:rPr>
          <w:rFonts w:hint="eastAsia" w:ascii="宋体" w:hAnsi="宋体" w:eastAsia="宋体" w:cs="宋体"/>
          <w:b w:val="0"/>
          <w:bCs w:val="0"/>
          <w:color w:val="auto"/>
          <w:sz w:val="21"/>
          <w:szCs w:val="21"/>
          <w:highlight w:val="none"/>
        </w:rPr>
        <w:t xml:space="preserve">：掌握心肺复苏、止血包扎操作，熟悉游客身体突发不适的处置流程。</w:t>
      </w:r>
      <w:r/>
    </w:p>
    <w:p>
      <w:pPr>
        <w:numPr>
          <w:ilvl w:val="0"/>
          <w:numId w:val="0"/>
        </w:numP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suppressLineNumbers w:val="0"/>
      </w:pPr>
      <w:r>
        <w:rPr>
          <w:rStyle w:val="945"/>
          <w:rFonts w:hint="eastAsia" w:ascii="宋体" w:hAnsi="宋体" w:eastAsia="宋体" w:cs="宋体"/>
          <w:b w:val="0"/>
          <w:bCs w:val="0"/>
          <w:color w:val="auto"/>
          <w:sz w:val="21"/>
          <w:szCs w:val="21"/>
          <w:highlight w:val="none"/>
          <w:lang w:val="en-US" w:eastAsia="zh-CN"/>
        </w:rPr>
        <w:t xml:space="preserve">6.5</w:t>
      </w:r>
      <w:r>
        <w:rPr>
          <w:rStyle w:val="945"/>
          <w:rFonts w:hint="eastAsia" w:ascii="宋体" w:hAnsi="宋体" w:eastAsia="宋体" w:cs="宋体"/>
          <w:b w:val="0"/>
          <w:bCs w:val="0"/>
          <w:color w:val="auto"/>
          <w:sz w:val="21"/>
          <w:szCs w:val="21"/>
          <w:highlight w:val="none"/>
        </w:rPr>
        <w:t xml:space="preserve">培训考核</w:t>
      </w:r>
      <w:r>
        <w:rPr>
          <w:rFonts w:hint="eastAsia" w:ascii="宋体" w:hAnsi="宋体" w:eastAsia="宋体" w:cs="宋体"/>
          <w:b w:val="0"/>
          <w:bCs w:val="0"/>
          <w:color w:val="auto"/>
          <w:sz w:val="21"/>
          <w:szCs w:val="21"/>
          <w:highlight w:val="none"/>
        </w:rPr>
        <w:t xml:space="preserve">：每月培训不少于4次，月底统一组织考核；考核不合格人员，予以更换</w:t>
      </w:r>
      <w:r>
        <w:rPr>
          <w:rFonts w:hint="eastAsia" w:ascii="宋体" w:hAnsi="宋体" w:eastAsia="宋体" w:cs="宋体"/>
          <w:b w:val="0"/>
          <w:bCs w:val="0"/>
          <w:color w:val="auto"/>
          <w:sz w:val="21"/>
          <w:szCs w:val="21"/>
          <w:highlight w:val="none"/>
          <w:lang w:eastAsia="zh-CN"/>
        </w:rPr>
        <w:t xml:space="preserve">。</w:t>
      </w:r>
      <w:r/>
    </w:p>
    <w:p>
      <w:pPr>
        <w:pStyle w:val="937"/>
        <w:ind w:firstLine="400"/>
        <w:spacing w:line="360" w:lineRule="auto"/>
        <w:rPr>
          <w:rFonts w:hint="default" w:ascii="宋体" w:hAnsi="宋体" w:eastAsia="宋体" w:cs="宋体"/>
          <w:color w:val="auto"/>
          <w:sz w:val="20"/>
          <w:szCs w:val="21"/>
          <w:highlight w:val="none"/>
          <w:lang w:val="en-US" w:eastAsia="zh-CN" w:bidi="ar-SA"/>
        </w:rPr>
      </w:pPr>
      <w:r>
        <w:rPr>
          <w:rFonts w:hint="eastAsia" w:ascii="宋体" w:hAnsi="宋体" w:eastAsia="宋体" w:cs="宋体"/>
          <w:color w:val="auto"/>
          <w:sz w:val="20"/>
          <w:szCs w:val="21"/>
          <w:highlight w:val="none"/>
          <w:lang w:val="en-US" w:eastAsia="zh-CN" w:bidi="ar-SA"/>
        </w:rPr>
        <w:t xml:space="preserve">7.进、离场要求：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7.1提</w:t>
      </w:r>
      <w:r>
        <w:rPr>
          <w:rFonts w:hint="eastAsia" w:ascii="宋体" w:hAnsi="宋体" w:eastAsia="宋体" w:cs="宋体"/>
          <w:color w:val="auto"/>
          <w:sz w:val="21"/>
          <w:szCs w:val="21"/>
          <w:highlight w:val="none"/>
        </w:rPr>
        <w:t xml:space="preserve">前一周提交完整人员名单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人员进场熟悉岗位，明确岗位职责。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物品交接清单</w:t>
      </w:r>
      <w:r/>
    </w:p>
    <w:tbl>
      <w:tblPr>
        <w:tblStyle w:val="9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29"/>
        <w:gridCol w:w="6869"/>
        <w:gridCol w:w="1483"/>
        <w:gridCol w:w="1483"/>
        <w:gridCol w:w="1407"/>
      </w:tblGrid>
      <w:tr>
        <w:trPr>
          <w:trHeight w:val="457"/>
        </w:trPr>
        <w:tc>
          <w:tcPr>
            <w:tcW w:w="103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p>
        </w:tc>
        <w:tc>
          <w:tcPr>
            <w:tcW w:w="2422"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物品及数量</w:t>
            </w:r>
            <w:r/>
          </w:p>
        </w:tc>
        <w:tc>
          <w:tcPr>
            <w:tcW w:w="52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交接人</w:t>
            </w:r>
            <w:r/>
          </w:p>
        </w:tc>
        <w:tc>
          <w:tcPr>
            <w:tcW w:w="523"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接收人</w:t>
            </w:r>
            <w:r/>
          </w:p>
        </w:tc>
        <w:tc>
          <w:tcPr>
            <w:tcW w:w="496" w:type="pct"/>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正大门广场</w:t>
            </w:r>
            <w:r/>
          </w:p>
        </w:tc>
        <w:tc>
          <w:tcPr>
            <w:tcW w:w="2422"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大门巡更棒X1 电动门遥控器x2 电动桩钥匙x2 空调遥控器x2 遮阳伞x2 下沉广场步梯钥匙x1 下沉广场单向闸钥匙x1 二道岗岗亭钥匙x1二道岗电动门遥控器x2 二道岗巡更棒x1 二道岗空调遥控器x1二道岗门钥匙x1 喇叭x10 警戒带x8 警用伞x2大风扇x1 对讲机x16</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日常巡逻记录本x2</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车辆出入记录本x1</w:t>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维景门</w:t>
            </w:r>
            <w:r/>
          </w:p>
        </w:tc>
        <w:tc>
          <w:tcPr>
            <w:tcW w:w="2422"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巡更棒x1电动门钥匙x2 道闸遥控器x2 空调遥控器x1 平安守护马甲x1大风扇x1日常巡逻记录本x1车辆出入记录本x1</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车库及出口岗亭</w:t>
            </w:r>
            <w:r/>
          </w:p>
        </w:tc>
        <w:tc>
          <w:tcPr>
            <w:tcW w:w="2422"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点钞机x1 计算器x1 空调及遥控器x3大风扇x1出口岗亭钥匙x1电动门遥控器x2道闸遥控器x2</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3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过街通道</w:t>
            </w:r>
            <w:r/>
          </w:p>
        </w:tc>
        <w:tc>
          <w:tcPr>
            <w:tcW w:w="2422"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电动卷帘钥匙x1 休息室钥匙x1 小风扇x1</w:t>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37"/>
        <w:ind w:firstLine="420"/>
        <w:spacing w:line="360" w:lineRule="auto"/>
        <w:rPr>
          <w:rFonts w:hint="default" w:ascii="宋体" w:hAnsi="宋体" w:eastAsia="宋体" w:cs="宋体"/>
          <w:color w:val="auto"/>
          <w:sz w:val="20"/>
          <w:szCs w:val="21"/>
          <w:highlight w:val="none"/>
          <w:lang w:val="en-US" w:eastAsia="zh-CN" w:bidi="ar-SA"/>
        </w:rPr>
        <w:sectPr>
          <w:footnotePr/>
          <w:endnotePr/>
          <w:type w:val="nextPage"/>
          <w:pgSz w:w="16838" w:h="11906" w:orient="landscape"/>
          <w:pgMar w:top="1080" w:right="1440" w:bottom="1080" w:left="1440" w:header="851" w:footer="680" w:gutter="0"/>
          <w:cols w:num="1" w:sep="0" w:space="720" w:equalWidth="1"/>
          <w:docGrid w:linePitch="360"/>
          <w:titlePg/>
        </w:sectPr>
      </w:pPr>
      <w:r>
        <w:rPr>
          <w:rFonts w:hint="eastAsia" w:ascii="宋体" w:hAnsi="宋体" w:eastAsia="宋体" w:cs="宋体"/>
          <w:color w:val="auto"/>
          <w:sz w:val="21"/>
          <w:szCs w:val="21"/>
          <w:highlight w:val="none"/>
        </w:rPr>
        <w:t xml:space="preserve">以上物品物资在进场前完成交接，核对无误后双方签字确认。</w:t>
      </w:r>
      <w:r/>
    </w:p>
    <w:p>
      <w:pPr>
        <w:pStyle w:val="885"/>
        <w:ind w:firstLine="0"/>
        <w:jc w:val="center"/>
        <w:spacing w:before="290" w:after="290"/>
        <w:rPr>
          <w:color w:val="auto"/>
          <w:sz w:val="44"/>
          <w:szCs w:val="44"/>
          <w:highlight w:val="none"/>
        </w:rPr>
      </w:pPr>
      <w:r>
        <w:rPr>
          <w:rFonts w:ascii="Times New Roman"/>
          <w:color w:val="auto"/>
          <w:sz w:val="44"/>
          <w:szCs w:val="44"/>
          <w:highlight w:val="none"/>
          <w:lang w:val="zh-CN"/>
        </w:rPr>
        <w:t xml:space="preserve">第六章</w:t>
      </w:r>
      <w:r>
        <w:rPr>
          <w:rFonts w:hint="eastAsia" w:ascii="Times New Roman"/>
          <w:color w:val="auto"/>
          <w:sz w:val="44"/>
          <w:szCs w:val="44"/>
          <w:highlight w:val="none"/>
        </w:rPr>
        <w:t xml:space="preserve"> </w:t>
      </w:r>
      <w:r>
        <w:rPr>
          <w:rFonts w:hint="eastAsia"/>
          <w:color w:val="auto"/>
          <w:sz w:val="44"/>
          <w:szCs w:val="44"/>
          <w:highlight w:val="none"/>
        </w:rPr>
        <w:t xml:space="preserve">投标文件格式</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9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1934"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9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3"/>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4"/>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5"/>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2"/>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bl>
    <w:p>
      <w:pPr>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43"/>
        <w:rPr>
          <w:rFonts w:ascii="黑体" w:eastAsia="黑体"/>
          <w:b/>
          <w:bCs/>
          <w:color w:val="auto"/>
          <w:sz w:val="32"/>
          <w:szCs w:val="32"/>
          <w:highlight w:val="none"/>
        </w:rPr>
      </w:pPr>
      <w:r>
        <w:rPr>
          <w:rFonts w:ascii="黑体" w:eastAsia="黑体"/>
          <w:b/>
          <w:bCs/>
          <w:color w:val="auto"/>
          <w:sz w:val="32"/>
          <w:szCs w:val="32"/>
          <w:highlight w:val="none"/>
        </w:rPr>
      </w:r>
      <w:r/>
    </w:p>
    <w:p>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r/>
    </w:p>
    <w:p>
      <w:pPr>
        <w:pStyle w:val="886"/>
        <w:keepLines w:val="0"/>
        <w:keepNext w:val="0"/>
        <w:spacing w:line="400" w:lineRule="exact"/>
        <w:rPr>
          <w:rFonts w:cs="宋体"/>
          <w:color w:val="auto"/>
          <w:szCs w:val="21"/>
          <w:highlight w:val="none"/>
          <w:u w:val="single"/>
        </w:rPr>
      </w:pPr>
      <w:r/>
      <w:bookmarkStart w:id="122" w:name="_Toc289873233"/>
      <w:r/>
      <w:bookmarkStart w:id="123" w:name="_Toc401840461"/>
      <w:r/>
      <w:bookmarkStart w:id="124" w:name="_Toc450570279"/>
      <w:r>
        <w:rPr>
          <w:rFonts w:hint="eastAsia" w:cs="宋体"/>
          <w:color w:val="auto"/>
          <w:szCs w:val="21"/>
          <w:highlight w:val="none"/>
        </w:rPr>
        <w:t xml:space="preserve">一、投标函、投标报价及项目相关文件</w:t>
      </w:r>
      <w:r/>
    </w:p>
    <w:p>
      <w:pPr>
        <w:pStyle w:val="887"/>
        <w:jc w:val="center"/>
        <w:keepLines w:val="0"/>
        <w:keepNext w:val="0"/>
        <w:spacing w:line="400" w:lineRule="exact"/>
        <w:rPr>
          <w:rFonts w:cs="宋体"/>
          <w:color w:val="auto"/>
          <w:highlight w:val="none"/>
        </w:rPr>
      </w:pPr>
      <w:r>
        <w:rPr>
          <w:rFonts w:hint="eastAsia" w:cs="宋体"/>
          <w:color w:val="auto"/>
          <w:highlight w:val="none"/>
        </w:rPr>
        <w:t xml:space="preserve">1.投标函</w:t>
      </w:r>
      <w:r/>
    </w:p>
    <w:p>
      <w:pPr>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苏美达国际技术贸易有限公司：</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贵单位招标文件（包括更正通知，如果有的话）收悉，我们经详细审阅和研究，现决定参加投标。</w:t>
      </w:r>
      <w:r/>
    </w:p>
    <w:p>
      <w:pPr>
        <w:ind w:firstLine="420"/>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2.我们接受招标文件的所有条款和规定。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3.我们同意按照招标文件第</w:t>
      </w:r>
      <w:r>
        <w:rPr>
          <w:rFonts w:hint="eastAsia" w:ascii="宋体" w:hAnsi="宋体" w:eastAsia="宋体"/>
          <w:color w:val="auto"/>
          <w:sz w:val="21"/>
          <w:szCs w:val="21"/>
          <w:highlight w:val="none"/>
          <w:lang w:val="en-US"/>
        </w:rPr>
        <w:t xml:space="preserve">二</w:t>
      </w:r>
      <w:r>
        <w:rPr>
          <w:rFonts w:hint="eastAsia" w:ascii="宋体" w:hAnsi="宋体" w:eastAsia="宋体"/>
          <w:color w:val="auto"/>
          <w:sz w:val="21"/>
          <w:szCs w:val="21"/>
          <w:highlight w:val="none"/>
        </w:rPr>
        <w:t xml:space="preserve">章“</w:t>
      </w:r>
      <w:r>
        <w:rPr>
          <w:rFonts w:hint="eastAsia" w:ascii="宋体" w:hAnsi="宋体" w:eastAsia="宋体"/>
          <w:color w:val="auto"/>
          <w:sz w:val="21"/>
          <w:szCs w:val="21"/>
          <w:highlight w:val="none"/>
          <w:lang w:val="en-US"/>
        </w:rPr>
        <w:t xml:space="preserve">投标人</w:t>
      </w:r>
      <w:r>
        <w:rPr>
          <w:rFonts w:hint="eastAsia" w:ascii="宋体" w:hAnsi="宋体" w:eastAsia="宋体"/>
          <w:color w:val="auto"/>
          <w:sz w:val="21"/>
          <w:szCs w:val="21"/>
          <w:highlight w:val="none"/>
        </w:rPr>
        <w:t xml:space="preserve">须知”第</w:t>
      </w:r>
      <w:r>
        <w:rPr>
          <w:rFonts w:hint="eastAsia"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4.我们同意提供采购人要求的有关本次招标的所有资料。</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color w:val="auto"/>
          <w:sz w:val="21"/>
          <w:szCs w:val="21"/>
          <w:highlight w:val="none"/>
          <w:lang w:val="en-US"/>
        </w:rPr>
        <w:t xml:space="preserve">投标人须知</w:t>
      </w:r>
      <w:r>
        <w:rPr>
          <w:rFonts w:hint="eastAsia" w:ascii="宋体" w:hAnsi="宋体" w:eastAsia="宋体"/>
          <w:color w:val="auto"/>
          <w:sz w:val="21"/>
          <w:szCs w:val="21"/>
          <w:highlight w:val="none"/>
        </w:rPr>
        <w:t xml:space="preserve">有关要求提供必要的履约保证。</w:t>
      </w:r>
      <w:r/>
    </w:p>
    <w:p>
      <w:pPr>
        <w:ind w:firstLine="420"/>
        <w:spacing w:line="400" w:lineRule="exact"/>
        <w:rPr>
          <w:rFonts w:hAnsi="宋体"/>
          <w:color w:val="auto"/>
          <w:sz w:val="21"/>
          <w:szCs w:val="21"/>
          <w:highlight w:val="none"/>
        </w:rPr>
      </w:pPr>
      <w:r>
        <w:rPr>
          <w:rFonts w:hAnsi="宋体"/>
          <w:color w:val="auto"/>
          <w:sz w:val="21"/>
          <w:szCs w:val="21"/>
          <w:highlight w:val="none"/>
        </w:rPr>
      </w:r>
      <w:r/>
    </w:p>
    <w:p>
      <w:pPr>
        <w:ind w:firstLine="420"/>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                        供应商名称：</w:t>
      </w:r>
      <w:r>
        <w:rPr>
          <w:rFonts w:hint="eastAsia" w:hAnsi="宋体"/>
          <w:color w:val="auto"/>
          <w:sz w:val="21"/>
          <w:szCs w:val="21"/>
          <w:highlight w:val="none"/>
          <w:u w:val="single"/>
        </w:rPr>
        <w:t xml:space="preserve">              （公章）</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地址：邮编：</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电话：传真：</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授权代表签字：</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职务：</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日期：</w:t>
      </w:r>
      <w:r/>
    </w:p>
    <w:p>
      <w:pPr>
        <w:spacing w:before="4" w:line="400" w:lineRule="exact"/>
        <w:rPr>
          <w:rFonts w:hAnsi="宋体"/>
          <w:color w:val="auto"/>
          <w:sz w:val="21"/>
          <w:szCs w:val="21"/>
          <w:highlight w:val="none"/>
        </w:rPr>
      </w:pPr>
      <w:r>
        <w:rPr>
          <w:rFonts w:hint="eastAsia" w:hAnsi="宋体"/>
          <w:color w:val="auto"/>
          <w:sz w:val="21"/>
          <w:szCs w:val="21"/>
          <w:highlight w:val="none"/>
        </w:rPr>
        <w:br w:type="page" w:clear="all"/>
      </w:r>
      <w:r/>
    </w:p>
    <w:p>
      <w:pPr>
        <w:pStyle w:val="887"/>
        <w:jc w:val="center"/>
        <w:keepLines w:val="0"/>
        <w:keepNext w:val="0"/>
        <w:spacing w:line="400" w:lineRule="exact"/>
        <w:rPr>
          <w:rStyle w:val="1318"/>
          <w:rFonts w:ascii="宋体" w:hAnsi="宋体" w:eastAsia="宋体" w:cs="宋体"/>
          <w:b/>
          <w:color w:val="auto"/>
          <w:sz w:val="21"/>
          <w:szCs w:val="21"/>
          <w:highlight w:val="none"/>
        </w:rPr>
      </w:pPr>
      <w:r>
        <w:rPr>
          <w:rFonts w:hint="eastAsia" w:cs="宋体"/>
          <w:color w:val="auto"/>
          <w:highlight w:val="none"/>
        </w:rPr>
        <w:t xml:space="preserve">2.开标一览表</w:t>
      </w:r>
      <w:r/>
    </w:p>
    <w:tbl>
      <w:tblPr>
        <w:tblStyle w:val="895"/>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9"/>
        <w:gridCol w:w="5104"/>
      </w:tblGrid>
      <w:tr>
        <w:trPr>
          <w:cantSplit/>
          <w:trHeight w:val="560"/>
        </w:trPr>
        <w:tc>
          <w:tcPr>
            <w:tcW w:w="4279" w:type="dxa"/>
            <w:vAlign w:val="center"/>
            <w:textDirection w:val="lrTb"/>
            <w:noWrap w:val="false"/>
          </w:tcPr>
          <w:p>
            <w:pPr>
              <w:jc w:val="center"/>
              <w:spacing w:line="480" w:lineRule="exact"/>
              <w:rPr>
                <w:color w:val="auto"/>
                <w:szCs w:val="21"/>
                <w:highlight w:val="none"/>
              </w:rPr>
            </w:pPr>
            <w:r>
              <w:rPr>
                <w:color w:val="auto"/>
                <w:szCs w:val="21"/>
                <w:highlight w:val="none"/>
              </w:rPr>
              <w:t xml:space="preserve">项目名称</w:t>
            </w:r>
            <w:r/>
          </w:p>
        </w:tc>
        <w:tc>
          <w:tcPr>
            <w:tcW w:w="5104" w:type="dxa"/>
            <w:vAlign w:val="center"/>
            <w:textDirection w:val="lrTb"/>
            <w:noWrap w:val="false"/>
          </w:tcPr>
          <w:p>
            <w:pPr>
              <w:ind w:firstLine="105"/>
              <w:spacing w:line="480" w:lineRule="exact"/>
              <w:rPr>
                <w:color w:val="auto"/>
                <w:szCs w:val="21"/>
                <w:highlight w:val="none"/>
              </w:rPr>
            </w:pPr>
            <w:r>
              <w:rPr>
                <w:color w:val="auto"/>
                <w:szCs w:val="21"/>
                <w:highlight w:val="none"/>
              </w:rPr>
            </w:r>
            <w:r/>
          </w:p>
        </w:tc>
      </w:tr>
      <w:tr>
        <w:trPr>
          <w:cantSplit/>
          <w:trHeight w:val="560"/>
        </w:trPr>
        <w:tc>
          <w:tcPr>
            <w:tcW w:w="4279" w:type="dxa"/>
            <w:vAlign w:val="center"/>
            <w:textDirection w:val="lrTb"/>
            <w:noWrap w:val="false"/>
          </w:tcPr>
          <w:p>
            <w:pPr>
              <w:jc w:val="center"/>
              <w:spacing w:line="480" w:lineRule="exact"/>
              <w:rPr>
                <w:color w:val="auto"/>
                <w:szCs w:val="21"/>
                <w:highlight w:val="none"/>
              </w:rPr>
            </w:pPr>
            <w:r>
              <w:rPr>
                <w:color w:val="auto"/>
                <w:szCs w:val="21"/>
                <w:highlight w:val="none"/>
              </w:rPr>
              <w:t xml:space="preserve">项目编号</w:t>
            </w:r>
            <w:r/>
          </w:p>
        </w:tc>
        <w:tc>
          <w:tcPr>
            <w:tcW w:w="5104" w:type="dxa"/>
            <w:vAlign w:val="center"/>
            <w:textDirection w:val="lrTb"/>
            <w:noWrap w:val="false"/>
          </w:tcPr>
          <w:p>
            <w:pPr>
              <w:ind w:firstLine="105"/>
              <w:spacing w:line="480" w:lineRule="exact"/>
              <w:rPr>
                <w:color w:val="auto"/>
                <w:szCs w:val="21"/>
                <w:highlight w:val="none"/>
              </w:rPr>
            </w:pPr>
            <w:r>
              <w:rPr>
                <w:color w:val="auto"/>
                <w:szCs w:val="21"/>
                <w:highlight w:val="none"/>
              </w:rPr>
            </w:r>
            <w:r/>
          </w:p>
        </w:tc>
      </w:tr>
      <w:tr>
        <w:trPr>
          <w:cantSplit/>
          <w:trHeight w:val="1280"/>
        </w:trPr>
        <w:tc>
          <w:tcPr>
            <w:tcW w:w="4279" w:type="dxa"/>
            <w:vAlign w:val="center"/>
            <w:textDirection w:val="lrTb"/>
            <w:noWrap w:val="false"/>
          </w:tcPr>
          <w:p>
            <w:pPr>
              <w:jc w:val="center"/>
              <w:spacing w:line="48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投标总</w:t>
            </w:r>
            <w:r>
              <w:rPr>
                <w:rFonts w:hint="eastAsia" w:ascii="宋体" w:hAnsi="宋体" w:eastAsia="宋体" w:cs="宋体"/>
                <w:b/>
                <w:bCs/>
                <w:color w:val="auto"/>
                <w:sz w:val="21"/>
                <w:szCs w:val="21"/>
                <w:highlight w:val="none"/>
              </w:rPr>
              <w:t xml:space="preserve">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元</w:t>
            </w:r>
            <w:r>
              <w:rPr>
                <w:rFonts w:hint="eastAsia" w:ascii="宋体" w:hAnsi="宋体" w:eastAsia="宋体" w:cs="宋体"/>
                <w:b/>
                <w:bCs/>
                <w:color w:val="auto"/>
                <w:sz w:val="21"/>
                <w:szCs w:val="21"/>
                <w:highlight w:val="none"/>
                <w:lang w:eastAsia="zh-CN"/>
              </w:rPr>
              <w:t xml:space="preserve">）</w:t>
            </w:r>
            <w:r/>
          </w:p>
          <w:p>
            <w:pPr>
              <w:pStyle w:val="937"/>
              <w:rPr>
                <w:rFonts w:hint="eastAsia"/>
                <w:color w:val="auto"/>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常规部分+浮动费用（加班费）320000元</w:t>
            </w:r>
            <w:r>
              <w:rPr>
                <w:rFonts w:hint="eastAsia" w:ascii="宋体" w:hAnsi="宋体" w:eastAsia="宋体" w:cs="宋体"/>
                <w:b/>
                <w:bCs/>
                <w:color w:val="auto"/>
                <w:szCs w:val="21"/>
                <w:highlight w:val="none"/>
                <w:lang w:eastAsia="zh-CN"/>
              </w:rPr>
              <w:t xml:space="preserve">）</w:t>
            </w:r>
            <w:r/>
          </w:p>
        </w:tc>
        <w:tc>
          <w:tcPr>
            <w:tcW w:w="5104" w:type="dxa"/>
            <w:vAlign w:val="center"/>
            <w:textDirection w:val="lrTb"/>
            <w:noWrap w:val="false"/>
          </w:tcPr>
          <w:p>
            <w:pPr>
              <w:spacing w:line="480" w:lineRule="exact"/>
              <w:rPr>
                <w:color w:val="auto"/>
                <w:szCs w:val="21"/>
                <w:highlight w:val="none"/>
                <w:u w:val="single"/>
              </w:rPr>
            </w:pPr>
            <w:r>
              <w:rPr>
                <w:color w:val="auto"/>
                <w:szCs w:val="21"/>
                <w:highlight w:val="none"/>
              </w:rPr>
              <w:t xml:space="preserve">人民币：</w:t>
            </w:r>
            <w:r>
              <w:rPr>
                <w:color w:val="auto"/>
                <w:szCs w:val="21"/>
                <w:highlight w:val="none"/>
                <w:u w:val="single"/>
              </w:rPr>
              <w:t xml:space="preserve">           </w:t>
            </w:r>
            <w:r/>
          </w:p>
          <w:p>
            <w:pPr>
              <w:spacing w:line="480" w:lineRule="exact"/>
              <w:rPr>
                <w:rFonts w:hint="default" w:ascii="宋体" w:hAnsi="宋体" w:eastAsia="宋体" w:cs="宋体"/>
                <w:color w:val="auto"/>
                <w:szCs w:val="21"/>
                <w:highlight w:val="none"/>
                <w:lang w:val="en-US"/>
              </w:rPr>
            </w:pPr>
            <w:r>
              <w:rPr>
                <w:color w:val="auto"/>
                <w:szCs w:val="21"/>
                <w:highlight w:val="none"/>
              </w:rPr>
              <w:t xml:space="preserve">（大写）：</w:t>
            </w:r>
            <w:r>
              <w:rPr>
                <w:color w:val="auto"/>
                <w:szCs w:val="21"/>
                <w:highlight w:val="none"/>
                <w:u w:val="single"/>
              </w:rPr>
              <w:t xml:space="preserve">         </w:t>
            </w:r>
            <w:r/>
          </w:p>
        </w:tc>
      </w:tr>
      <w:tr>
        <w:trPr>
          <w:cantSplit/>
          <w:trHeight w:val="389"/>
        </w:trPr>
        <w:tc>
          <w:tcPr>
            <w:tcW w:w="4279" w:type="dxa"/>
            <w:vAlign w:val="center"/>
            <w:textDirection w:val="lrTb"/>
            <w:noWrap w:val="false"/>
          </w:tcPr>
          <w:p>
            <w:pPr>
              <w:jc w:val="center"/>
              <w:spacing w:line="480" w:lineRule="exact"/>
              <w:rPr>
                <w:color w:val="auto"/>
                <w:szCs w:val="21"/>
                <w:highlight w:val="none"/>
              </w:rPr>
            </w:pPr>
            <w:r>
              <w:rPr>
                <w:color w:val="auto"/>
                <w:szCs w:val="21"/>
                <w:highlight w:val="none"/>
              </w:rPr>
              <w:t xml:space="preserve">合同履行期限</w:t>
            </w:r>
            <w:r/>
          </w:p>
        </w:tc>
        <w:tc>
          <w:tcPr>
            <w:tcW w:w="5104" w:type="dxa"/>
            <w:vAlign w:val="center"/>
            <w:textDirection w:val="lrTb"/>
            <w:noWrap w:val="false"/>
          </w:tcPr>
          <w:p>
            <w:pPr>
              <w:ind w:firstLine="105"/>
              <w:spacing w:line="480" w:lineRule="exact"/>
              <w:rPr>
                <w:color w:val="auto"/>
                <w:szCs w:val="21"/>
                <w:highlight w:val="none"/>
              </w:rPr>
            </w:pPr>
            <w:r>
              <w:rPr>
                <w:color w:val="auto"/>
                <w:szCs w:val="21"/>
                <w:highlight w:val="none"/>
              </w:rPr>
            </w:r>
            <w:r/>
          </w:p>
        </w:tc>
      </w:tr>
      <w:tr>
        <w:trPr>
          <w:cantSplit/>
          <w:trHeight w:val="389"/>
        </w:trPr>
        <w:tc>
          <w:tcPr>
            <w:tcW w:w="4279" w:type="dxa"/>
            <w:vAlign w:val="top"/>
            <w:textDirection w:val="lrTb"/>
            <w:noWrap w:val="false"/>
          </w:tcPr>
          <w:p>
            <w:pPr>
              <w:jc w:val="center"/>
              <w:spacing w:line="480" w:lineRule="exact"/>
              <w:rPr>
                <w:color w:val="auto"/>
                <w:highlight w:val="none"/>
              </w:rPr>
            </w:pPr>
            <w:r>
              <w:rPr>
                <w:color w:val="auto"/>
                <w:highlight w:val="none"/>
              </w:rPr>
              <w:t xml:space="preserve">是否属于小微型企业</w:t>
            </w:r>
            <w:r/>
          </w:p>
        </w:tc>
        <w:tc>
          <w:tcPr>
            <w:tcW w:w="5104" w:type="dxa"/>
            <w:vAlign w:val="top"/>
            <w:textDirection w:val="lrTb"/>
            <w:noWrap w:val="false"/>
          </w:tcPr>
          <w:p>
            <w:pPr>
              <w:pStyle w:val="1336"/>
              <w:ind w:firstLine="210"/>
              <w:jc w:val="left"/>
              <w:spacing w:line="440" w:lineRule="exact"/>
              <w:rPr>
                <w:color w:val="auto"/>
                <w:szCs w:val="21"/>
                <w:highlight w:val="none"/>
              </w:rPr>
            </w:pPr>
            <w:r>
              <w:rPr>
                <w:rFonts w:hint="eastAsia" w:eastAsia="宋体"/>
                <w:b w:val="0"/>
                <w:color w:val="auto"/>
                <w:sz w:val="21"/>
                <w:szCs w:val="21"/>
                <w:highlight w:val="none"/>
                <w:lang w:val="en-US" w:eastAsia="zh-CN"/>
              </w:rPr>
              <w:t xml:space="preserve">□</w:t>
            </w:r>
            <w:r>
              <w:rPr>
                <w:b w:val="0"/>
                <w:color w:val="auto"/>
                <w:sz w:val="21"/>
                <w:szCs w:val="21"/>
                <w:highlight w:val="none"/>
              </w:rPr>
              <w:t xml:space="preserve">是              </w:t>
            </w:r>
            <w:r>
              <w:rPr>
                <w:rFonts w:hint="eastAsia" w:eastAsia="宋体"/>
                <w:b w:val="0"/>
                <w:color w:val="auto"/>
                <w:sz w:val="21"/>
                <w:szCs w:val="21"/>
                <w:highlight w:val="none"/>
                <w:lang w:val="en-US" w:eastAsia="zh-CN"/>
              </w:rPr>
              <w:t xml:space="preserve">□</w:t>
            </w:r>
            <w:r>
              <w:rPr>
                <w:b w:val="0"/>
                <w:color w:val="auto"/>
                <w:sz w:val="21"/>
                <w:szCs w:val="21"/>
                <w:highlight w:val="none"/>
              </w:rPr>
              <w:t xml:space="preserve">否</w:t>
            </w:r>
            <w:r/>
          </w:p>
        </w:tc>
      </w:tr>
      <w:tr>
        <w:trPr>
          <w:cantSplit/>
          <w:trHeight w:val="389"/>
        </w:trPr>
        <w:tc>
          <w:tcPr>
            <w:gridSpan w:val="2"/>
            <w:tcW w:w="9383" w:type="dxa"/>
            <w:vAlign w:val="top"/>
            <w:textDirection w:val="lrTb"/>
            <w:noWrap w:val="false"/>
          </w:tcPr>
          <w:p>
            <w:pPr>
              <w:ind w:firstLine="105"/>
              <w:spacing w:line="480" w:lineRule="exact"/>
              <w:rPr>
                <w:color w:val="auto"/>
                <w:szCs w:val="21"/>
                <w:highlight w:val="none"/>
              </w:rPr>
            </w:pPr>
            <w:r>
              <w:rPr>
                <w:b/>
                <w:color w:val="auto"/>
                <w:szCs w:val="21"/>
                <w:highlight w:val="none"/>
              </w:rPr>
              <w:t xml:space="preserve">“是否属于小微型企业</w:t>
            </w:r>
            <w:r>
              <w:rPr>
                <w:b/>
                <w:color w:val="auto"/>
                <w:szCs w:val="21"/>
                <w:highlight w:val="none"/>
                <w:lang w:val="zh-CN"/>
              </w:rPr>
              <w:t xml:space="preserve">”栏内</w:t>
            </w:r>
            <w:r>
              <w:rPr>
                <w:b/>
                <w:color w:val="auto"/>
                <w:szCs w:val="21"/>
                <w:highlight w:val="none"/>
              </w:rPr>
              <w:t xml:space="preserve">请勾选</w:t>
            </w:r>
            <w:r>
              <w:rPr>
                <w:b/>
                <w:color w:val="auto"/>
                <w:szCs w:val="21"/>
                <w:highlight w:val="none"/>
                <w:lang w:val="zh-CN"/>
              </w:rPr>
              <w:t xml:space="preserve">“是”或“否”。如</w:t>
            </w:r>
            <w:r>
              <w:rPr>
                <w:b/>
                <w:color w:val="auto"/>
                <w:szCs w:val="21"/>
                <w:highlight w:val="none"/>
              </w:rPr>
              <w:t xml:space="preserve">勾选</w:t>
            </w:r>
            <w:r>
              <w:rPr>
                <w:b/>
                <w:color w:val="auto"/>
                <w:szCs w:val="21"/>
                <w:highlight w:val="none"/>
                <w:lang w:val="zh-CN"/>
              </w:rPr>
              <w:t xml:space="preserve">“是”，</w:t>
            </w:r>
            <w:r>
              <w:rPr>
                <w:b/>
                <w:color w:val="auto"/>
                <w:szCs w:val="21"/>
                <w:highlight w:val="none"/>
              </w:rPr>
              <w:t xml:space="preserve">投标人需同时提供附件</w:t>
            </w:r>
            <w:r>
              <w:rPr>
                <w:rFonts w:hint="eastAsia" w:eastAsia="宋体"/>
                <w:b/>
                <w:color w:val="auto"/>
                <w:szCs w:val="21"/>
                <w:highlight w:val="none"/>
                <w:lang w:val="en-US" w:eastAsia="zh-CN"/>
              </w:rPr>
              <w:t xml:space="preserve">五</w:t>
            </w:r>
            <w:r>
              <w:rPr>
                <w:b/>
                <w:color w:val="auto"/>
                <w:szCs w:val="21"/>
                <w:highlight w:val="none"/>
              </w:rPr>
              <w:t xml:space="preserve">所要求的对应文件。</w:t>
            </w:r>
            <w:r/>
          </w:p>
        </w:tc>
      </w:tr>
    </w:tbl>
    <w:p>
      <w:pPr>
        <w:spacing w:line="400" w:lineRule="exact"/>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spacing w:line="400" w:lineRule="exact"/>
        <w:rPr>
          <w:rFonts w:hint="default" w:hAnsi="宋体" w:eastAsia="宋体"/>
          <w:color w:val="auto"/>
          <w:sz w:val="21"/>
          <w:szCs w:val="21"/>
          <w:highlight w:val="none"/>
          <w:lang w:val="en-US" w:eastAsia="zh-CN"/>
        </w:rPr>
      </w:pPr>
      <w:r>
        <w:rPr>
          <w:rFonts w:hint="eastAsia" w:hAnsi="宋体" w:eastAsia="宋体"/>
          <w:b/>
          <w:bCs/>
          <w:color w:val="auto"/>
          <w:sz w:val="21"/>
          <w:szCs w:val="21"/>
          <w:highlight w:val="none"/>
          <w:lang w:val="en-US" w:eastAsia="zh-CN"/>
        </w:rPr>
        <w:t xml:space="preserve">注：投标总报价=常规部分+浮动费用（加班费），其中浮动费用（加班费）须按照固定值320000元报价，否则作无效投标处理，最终履约按实结算。</w:t>
      </w:r>
      <w:r/>
    </w:p>
    <w:p>
      <w:pPr>
        <w:spacing w:line="400" w:lineRule="exact"/>
        <w:rPr>
          <w:rFonts w:hint="eastAsia" w:hAnsi="宋体"/>
          <w:color w:val="auto"/>
          <w:sz w:val="21"/>
          <w:szCs w:val="21"/>
          <w:highlight w:val="none"/>
        </w:rPr>
      </w:pPr>
      <w:r>
        <w:rPr>
          <w:rFonts w:hint="eastAsia"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rPr>
          <w:rFonts w:hint="eastAsia" w:hAnsi="宋体" w:eastAsia="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授权代表</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签字</w:t>
      </w:r>
      <w:r>
        <w:rPr>
          <w:rFonts w:hint="eastAsia" w:hAnsi="宋体" w:eastAsia="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日期：</w:t>
      </w:r>
      <w:bookmarkStart w:id="125" w:name="_Toc450570282"/>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3.分项报价表</w:t>
      </w:r>
      <w:r/>
    </w:p>
    <w:p>
      <w:pPr>
        <w:jc w:val="center"/>
        <w:rPr>
          <w:rFonts w:hint="eastAsia" w:ascii="宋体" w:hAnsi="宋体" w:eastAsia="宋体"/>
          <w:b/>
          <w:color w:val="auto"/>
          <w:sz w:val="21"/>
          <w:szCs w:val="21"/>
          <w:highlight w:val="none"/>
          <w:lang w:eastAsia="zh-CN"/>
        </w:rPr>
        <w:outlineLvl w:val="2"/>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分项报价表</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仅参考</w:t>
      </w:r>
      <w:r>
        <w:rPr>
          <w:rFonts w:hint="eastAsia" w:ascii="宋体" w:hAnsi="宋体" w:eastAsia="宋体"/>
          <w:b/>
          <w:color w:val="auto"/>
          <w:sz w:val="21"/>
          <w:szCs w:val="21"/>
          <w:highlight w:val="none"/>
          <w:lang w:eastAsia="zh-CN"/>
        </w:rPr>
        <w:t xml:space="preserve">）</w:t>
      </w:r>
      <w:bookmarkEnd w:id="125"/>
      <w:r/>
    </w:p>
    <w:p>
      <w:pPr>
        <w:rPr>
          <w:rFonts w:hAnsi="宋体"/>
          <w:color w:val="auto"/>
          <w:spacing w:val="20"/>
          <w:sz w:val="21"/>
          <w:szCs w:val="21"/>
          <w:highlight w:val="none"/>
        </w:rPr>
      </w:pPr>
      <w:r>
        <w:rPr>
          <w:rFonts w:hAnsi="宋体"/>
          <w:color w:val="auto"/>
          <w:spacing w:val="20"/>
          <w:sz w:val="21"/>
          <w:szCs w:val="21"/>
          <w:highlight w:val="none"/>
        </w:rPr>
      </w:r>
      <w:r/>
    </w:p>
    <w:p>
      <w:pPr>
        <w:spacing w:line="360" w:lineRule="auto"/>
        <w:tabs>
          <w:tab w:val="left" w:pos="687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项目名称：</w:t>
      </w:r>
      <w:r/>
    </w:p>
    <w:tbl>
      <w:tblPr>
        <w:tblStyle w:val="895"/>
        <w:tblW w:w="4970"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574"/>
        <w:gridCol w:w="1058"/>
        <w:gridCol w:w="1130"/>
        <w:gridCol w:w="1701"/>
        <w:gridCol w:w="1845"/>
        <w:gridCol w:w="1893"/>
      </w:tblGrid>
      <w:tr>
        <w:trPr>
          <w:jc w:val="center"/>
          <w:trHeight w:val="60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w:t>
            </w:r>
            <w:r/>
          </w:p>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w:t>
            </w:r>
            <w:r/>
          </w:p>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常规部分</w:t>
            </w:r>
            <w:r/>
          </w:p>
          <w:p>
            <w:pPr>
              <w:jc w:val="center"/>
              <w:widowControl/>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 xml:space="preserve">（具体自拟）</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浮动费用</w:t>
            </w:r>
            <w:r/>
          </w:p>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（加班费）</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320000元</w:t>
            </w:r>
            <w:r/>
          </w:p>
          <w:p>
            <w:pPr>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（最终按实结算）</w:t>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jc w:val="center"/>
          <w:trHeight w:val="270"/>
        </w:trPr>
        <w:tc>
          <w:tcPr>
            <w:shd w:val="clear" w:color="auto" w:fill="a4a4a4"/>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shd w:val="clear" w:color="auto" w:fill="a4a4a4"/>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总计</w:t>
            </w:r>
            <w:r/>
          </w:p>
        </w:tc>
        <w:tc>
          <w:tcPr>
            <w:shd w:val="clear" w:color="auto" w:fill="a4a4a4"/>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shd w:val="clear" w:color="auto" w:fill="a4a4a4"/>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shd w:val="clear" w:color="auto" w:fill="a4a4a4"/>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shd w:val="clear" w:color="auto" w:fill="a4a4a4"/>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shd w:val="clear" w:color="auto" w:fill="a4a4a4"/>
            <w:tcBorders>
              <w:top w:val="single" w:color="000000" w:sz="4" w:space="0"/>
              <w:left w:val="single" w:color="000000" w:sz="4" w:space="0"/>
              <w:bottom w:val="single" w:color="000000" w:sz="4" w:space="0"/>
              <w:right w:val="single" w:color="000000" w:sz="4" w:space="0"/>
            </w:tcBorders>
            <w:tcW w:w="955" w:type="pct"/>
            <w:vAlign w:val="center"/>
            <w:textDirection w:val="lrTb"/>
            <w:noWrap w:val="false"/>
          </w:tcPr>
          <w:p>
            <w:pPr>
              <w:jc w:val="cente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bl>
    <w:p>
      <w:pPr>
        <w:ind w:firstLine="420"/>
        <w:spacing w:line="360" w:lineRule="auto"/>
        <w:rPr>
          <w:rFonts w:hAnsi="宋体"/>
          <w:b/>
          <w:color w:val="auto"/>
          <w:sz w:val="21"/>
          <w:szCs w:val="21"/>
          <w:highlight w:val="none"/>
        </w:rPr>
      </w:pPr>
      <w:r>
        <w:rPr>
          <w:rFonts w:hAnsi="宋体"/>
          <w:b/>
          <w:color w:val="auto"/>
          <w:sz w:val="21"/>
          <w:szCs w:val="21"/>
          <w:highlight w:val="none"/>
        </w:rPr>
      </w:r>
      <w:r/>
    </w:p>
    <w:p>
      <w:pPr>
        <w:spacing w:line="400" w:lineRule="exact"/>
        <w:rPr>
          <w:rFonts w:hAnsi="宋体"/>
          <w:b/>
          <w:color w:val="auto"/>
          <w:sz w:val="21"/>
          <w:szCs w:val="21"/>
          <w:highlight w:val="none"/>
        </w:rPr>
      </w:pPr>
      <w:r>
        <w:rPr>
          <w:rFonts w:hAnsi="宋体"/>
          <w:b/>
          <w:color w:val="auto"/>
          <w:sz w:val="21"/>
          <w:szCs w:val="21"/>
          <w:highlight w:val="none"/>
        </w:rPr>
      </w:r>
      <w:r/>
    </w:p>
    <w:p>
      <w:pPr>
        <w:spacing w:line="400" w:lineRule="exact"/>
        <w:rPr>
          <w:rFonts w:hAnsi="宋体"/>
          <w:b/>
          <w:color w:val="auto"/>
          <w:sz w:val="21"/>
          <w:szCs w:val="21"/>
          <w:highlight w:val="none"/>
          <w:u w:val="single"/>
        </w:rPr>
      </w:pPr>
      <w:r>
        <w:rPr>
          <w:rFonts w:hint="eastAsia" w:hAnsi="宋体"/>
          <w:b/>
          <w:color w:val="auto"/>
          <w:sz w:val="21"/>
          <w:szCs w:val="21"/>
          <w:highlight w:val="none"/>
        </w:rPr>
        <w:t xml:space="preserve">供应商名称（公章）：</w:t>
      </w:r>
      <w:r/>
    </w:p>
    <w:p>
      <w:pPr>
        <w:spacing w:line="400" w:lineRule="exact"/>
        <w:rPr>
          <w:rFonts w:hAnsi="宋体"/>
          <w:color w:val="auto"/>
          <w:sz w:val="21"/>
          <w:szCs w:val="21"/>
          <w:highlight w:val="none"/>
        </w:rPr>
      </w:pPr>
      <w:r>
        <w:rPr>
          <w:rFonts w:hint="eastAsia" w:hAnsi="宋体"/>
          <w:b/>
          <w:color w:val="auto"/>
          <w:sz w:val="21"/>
          <w:szCs w:val="21"/>
          <w:highlight w:val="none"/>
        </w:rPr>
        <w:t xml:space="preserve">供应商代表签字：</w:t>
      </w:r>
      <w:r/>
    </w:p>
    <w:p>
      <w:pPr>
        <w:pStyle w:val="887"/>
        <w:jc w:val="center"/>
        <w:keepLines w:val="0"/>
        <w:keepNext w:val="0"/>
        <w:spacing w:line="400" w:lineRule="exact"/>
        <w:rPr>
          <w:color w:val="auto"/>
          <w:highlight w:val="none"/>
          <w:u w:val="single"/>
        </w:rPr>
      </w:pPr>
      <w:r>
        <w:rPr>
          <w:rFonts w:hint="eastAsia" w:cs="宋体"/>
          <w:color w:val="auto"/>
          <w:highlight w:val="none"/>
        </w:rPr>
        <w:br w:type="page" w:clear="all"/>
      </w:r>
      <w:bookmarkStart w:id="126" w:name="_Toc168282804"/>
      <w:r/>
      <w:bookmarkStart w:id="127" w:name="_Toc450570284"/>
      <w:r/>
      <w:bookmarkStart w:id="128" w:name="_Toc289873237"/>
      <w:r/>
      <w:bookmarkStart w:id="129" w:name="_Toc401840465"/>
      <w:r>
        <w:rPr>
          <w:rFonts w:hint="eastAsia" w:cs="宋体"/>
          <w:color w:val="auto"/>
          <w:highlight w:val="none"/>
        </w:rPr>
        <w:t xml:space="preserve">4.</w:t>
      </w:r>
      <w:bookmarkEnd w:id="126"/>
      <w:r>
        <w:rPr>
          <w:rFonts w:hint="eastAsia" w:cs="宋体"/>
          <w:color w:val="auto"/>
          <w:highlight w:val="none"/>
        </w:rPr>
        <w:t xml:space="preserve">商务条款偏离表</w:t>
      </w:r>
      <w:bookmarkEnd w:id="127"/>
      <w:r/>
      <w:bookmarkEnd w:id="128"/>
      <w:r/>
      <w:bookmarkEnd w:id="129"/>
      <w:r/>
      <w:r/>
    </w:p>
    <w:tbl>
      <w:tblPr>
        <w:tblStyle w:val="895"/>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序号</w:t>
            </w:r>
            <w:r/>
          </w:p>
        </w:tc>
        <w:tc>
          <w:tcPr>
            <w:tcW w:w="1126"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说明</w:t>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合同履行期限</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 xml:space="preserve">……</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bl>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供应商名称（公章）：</w:t>
      </w:r>
      <w:r/>
    </w:p>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供应商代表签字：</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注：1. 如供应商无任何偏离，也需在响应表中注明并在投标文件中递交此表。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bookmarkStart w:id="130" w:name="_Toc289873238"/>
      <w:r/>
      <w:bookmarkStart w:id="131" w:name="_Toc161767432"/>
      <w:r/>
      <w:bookmarkStart w:id="132" w:name="_Toc135999011"/>
      <w:r/>
      <w:bookmarkStart w:id="133" w:name="_Toc401840466"/>
      <w:r/>
      <w:bookmarkStart w:id="134" w:name="_Toc450570285"/>
      <w:r/>
      <w:bookmarkEnd w:id="130"/>
      <w:bookmarkEnd w:id="131"/>
      <w:bookmarkEnd w:id="132"/>
      <w:bookmarkEnd w:id="133"/>
      <w:bookmarkEnd w:id="134"/>
      <w:r/>
    </w:p>
    <w:p>
      <w:pPr>
        <w:rPr>
          <w:color w:val="auto"/>
          <w:sz w:val="24"/>
          <w:szCs w:val="24"/>
          <w:highlight w:val="none"/>
        </w:rPr>
      </w:pPr>
      <w:r/>
      <w:bookmarkStart w:id="135" w:name="_Toc298404172"/>
      <w:r/>
      <w:bookmarkStart w:id="136" w:name="_Toc372563823"/>
      <w:r/>
      <w:bookmarkStart w:id="137" w:name="_Toc389553595"/>
      <w:r/>
      <w:bookmarkStart w:id="138" w:name="_Toc416784903"/>
      <w:r/>
      <w:bookmarkStart w:id="139" w:name="_Toc285637908"/>
      <w:r/>
      <w:bookmarkStart w:id="140" w:name="_Toc401840467"/>
      <w:r/>
      <w:bookmarkStart w:id="141" w:name="_Toc289873239"/>
      <w:r>
        <w:rPr>
          <w:rFonts w:hint="eastAsia"/>
          <w:color w:val="auto"/>
          <w:sz w:val="24"/>
          <w:szCs w:val="24"/>
          <w:highlight w:val="none"/>
        </w:rPr>
        <w:br w:type="page" w:clear="all"/>
      </w:r>
      <w:r/>
    </w:p>
    <w:p>
      <w:pPr>
        <w:pStyle w:val="887"/>
        <w:jc w:val="center"/>
        <w:keepLines w:val="0"/>
        <w:keepNext w:val="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rPr>
        <w:t xml:space="preserve">.</w:t>
      </w:r>
      <w:r>
        <w:rPr>
          <w:rFonts w:hint="eastAsia" w:cs="宋体"/>
          <w:color w:val="auto"/>
          <w:highlight w:val="none"/>
        </w:rPr>
        <w:t xml:space="preserve">技术</w:t>
      </w:r>
      <w:r>
        <w:rPr>
          <w:rFonts w:hint="eastAsia" w:cs="宋体"/>
          <w:color w:val="auto"/>
          <w:highlight w:val="none"/>
          <w:lang w:val="en-US"/>
        </w:rPr>
        <w:t xml:space="preserve">条款</w:t>
      </w:r>
      <w:r>
        <w:rPr>
          <w:rFonts w:hint="eastAsia" w:cs="宋体"/>
          <w:color w:val="auto"/>
          <w:highlight w:val="none"/>
        </w:rPr>
        <w:t xml:space="preserve">偏离表</w:t>
      </w:r>
      <w:bookmarkEnd w:id="135"/>
      <w:r/>
      <w:bookmarkEnd w:id="136"/>
      <w:r/>
      <w:bookmarkEnd w:id="137"/>
      <w:r/>
      <w:bookmarkEnd w:id="138"/>
      <w:r/>
      <w:bookmarkEnd w:id="139"/>
      <w:r/>
      <w:r/>
    </w:p>
    <w:tbl>
      <w:tblPr>
        <w:tblStyle w:val="895"/>
        <w:tblW w:w="499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018"/>
        <w:gridCol w:w="1614"/>
        <w:gridCol w:w="1810"/>
        <w:gridCol w:w="760"/>
        <w:gridCol w:w="2685"/>
        <w:gridCol w:w="899"/>
      </w:tblGrid>
      <w:tr>
        <w:trPr>
          <w:trHeight w:val="567"/>
        </w:trPr>
        <w:tc>
          <w:tcPr>
            <w:tcBorders>
              <w:top w:val="single" w:color="000000" w:sz="6" w:space="0"/>
              <w:left w:val="single" w:color="000000" w:sz="6" w:space="0"/>
              <w:bottom w:val="single" w:color="000000" w:sz="6" w:space="0"/>
              <w:right w:val="single" w:color="000000" w:sz="6" w:space="0"/>
            </w:tcBorders>
            <w:tcW w:w="1031" w:type="pct"/>
            <w:vAlign w:val="center"/>
            <w:textDirection w:val="lrTb"/>
            <w:noWrap w:val="false"/>
          </w:tcPr>
          <w:p>
            <w:pPr>
              <w:pStyle w:val="1319"/>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824" w:type="pct"/>
            <w:vAlign w:val="center"/>
            <w:textDirection w:val="lrTb"/>
            <w:noWrap w:val="false"/>
          </w:tcPr>
          <w:p>
            <w:pPr>
              <w:pStyle w:val="1319"/>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pStyle w:val="1319"/>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924" w:type="pct"/>
            <w:vAlign w:val="center"/>
            <w:textDirection w:val="lrTb"/>
            <w:noWrap w:val="false"/>
          </w:tcPr>
          <w:p>
            <w:pPr>
              <w:pStyle w:val="1319"/>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投标文件</w:t>
            </w:r>
            <w:r/>
          </w:p>
          <w:p>
            <w:pPr>
              <w:pStyle w:val="1319"/>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388" w:type="pct"/>
            <w:vAlign w:val="center"/>
            <w:textDirection w:val="lrTb"/>
            <w:noWrap w:val="false"/>
          </w:tcPr>
          <w:p>
            <w:pPr>
              <w:pStyle w:val="1319"/>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1371" w:type="pct"/>
            <w:vAlign w:val="center"/>
            <w:textDirection w:val="lrTb"/>
            <w:noWrap w:val="false"/>
          </w:tcPr>
          <w:p>
            <w:pPr>
              <w:pStyle w:val="1319"/>
              <w:jc w:val="center"/>
              <w:spacing w:before="120" w:line="560" w:lineRule="exact"/>
              <w:rPr>
                <w:rFonts w:ascii="宋体" w:hAnsi="宋体" w:cs="宋体"/>
                <w:color w:val="auto"/>
                <w:szCs w:val="21"/>
                <w:highlight w:val="none"/>
              </w:rPr>
            </w:pPr>
            <w:r>
              <w:rPr>
                <w:color w:val="auto"/>
                <w:highlight w:val="none"/>
              </w:rPr>
              <w:t xml:space="preserve">标注“</w:t>
            </w:r>
            <w:r>
              <w:rPr>
                <w:rFonts w:ascii="Segoe UI Symbol" w:hAnsi="Segoe UI Symbol" w:cs="Segoe UI Symbol"/>
                <w:color w:val="auto"/>
                <w:highlight w:val="none"/>
              </w:rPr>
              <w:t xml:space="preserve">★</w:t>
            </w:r>
            <w:r>
              <w:rPr>
                <w:color w:val="auto"/>
                <w:highlight w:val="none"/>
              </w:rPr>
              <w:t xml:space="preserve">”“▲”技术内容的技术支持资料对应页码</w:t>
            </w:r>
            <w:r>
              <w:rPr>
                <w:rFonts w:hint="eastAsia"/>
                <w:color w:val="auto"/>
                <w:highlight w:val="none"/>
                <w:lang w:eastAsia="zh-CN"/>
              </w:rPr>
              <w:t xml:space="preserve">（</w:t>
            </w:r>
            <w:r>
              <w:rPr>
                <w:rFonts w:hint="eastAsia"/>
                <w:color w:val="auto"/>
                <w:highlight w:val="none"/>
                <w:lang w:val="en-US" w:eastAsia="zh-CN"/>
              </w:rPr>
              <w:t xml:space="preserve">如有</w:t>
            </w:r>
            <w:r>
              <w:rPr>
                <w:rFonts w:hint="eastAsia"/>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459" w:type="pct"/>
            <w:vAlign w:val="center"/>
            <w:textDirection w:val="lrTb"/>
            <w:noWrap w:val="false"/>
          </w:tcPr>
          <w:p>
            <w:pPr>
              <w:pStyle w:val="1319"/>
              <w:jc w:val="center"/>
              <w:spacing w:before="120"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31" w:type="pct"/>
            <w:textDirection w:val="lrTb"/>
            <w:noWrap w:val="false"/>
          </w:tcPr>
          <w:p>
            <w:pPr>
              <w:pStyle w:val="1319"/>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24" w:type="pct"/>
            <w:textDirection w:val="lrTb"/>
            <w:noWrap w:val="false"/>
          </w:tcPr>
          <w:p>
            <w:pPr>
              <w:pStyle w:val="1319"/>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24"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88"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71"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459" w:type="pct"/>
            <w:textDirection w:val="lrTb"/>
            <w:noWrap w:val="false"/>
          </w:tcPr>
          <w:p>
            <w:pPr>
              <w:pStyle w:val="1319"/>
              <w:spacing w:line="560" w:lineRule="exact"/>
              <w:rPr>
                <w:rFonts w:ascii="宋体" w:hAnsi="宋体" w:cs="宋体"/>
                <w:color w:val="auto"/>
                <w:szCs w:val="21"/>
                <w:highlight w:val="none"/>
              </w:rPr>
            </w:pPr>
            <w:r>
              <w:rPr>
                <w:rFonts w:ascii="宋体" w:hAnsi="宋体" w:cs="宋体"/>
                <w:color w:val="auto"/>
                <w:szCs w:val="21"/>
                <w:highlight w:val="none"/>
              </w:rPr>
            </w:r>
            <w:r/>
          </w:p>
        </w:tc>
      </w:tr>
    </w:tbl>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供应商名称（公章）：</w:t>
      </w:r>
      <w:r/>
    </w:p>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供应商代表签字：</w:t>
      </w:r>
      <w:r/>
    </w:p>
    <w:p>
      <w:pPr>
        <w:pStyle w:val="1319"/>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319"/>
        <w:spacing w:line="560" w:lineRule="exact"/>
        <w:rPr>
          <w:rFonts w:ascii="宋体" w:hAnsi="宋体" w:cs="宋体"/>
          <w:b/>
          <w:color w:val="auto"/>
          <w:szCs w:val="21"/>
          <w:highlight w:val="none"/>
        </w:rPr>
      </w:pPr>
      <w:r>
        <w:rPr>
          <w:rFonts w:hint="eastAsia" w:ascii="宋体" w:hAnsi="宋体" w:cs="宋体"/>
          <w:color w:val="auto"/>
          <w:sz w:val="24"/>
          <w:szCs w:val="24"/>
          <w:highlight w:val="none"/>
        </w:rPr>
        <w:t xml:space="preserve">注：</w:t>
      </w:r>
      <w:r>
        <w:rPr>
          <w:rFonts w:hint="eastAsia" w:ascii="宋体" w:hAnsi="宋体" w:cs="宋体"/>
          <w:color w:val="auto"/>
          <w:szCs w:val="21"/>
          <w:highlight w:val="none"/>
        </w:rPr>
        <w:t xml:space="preserve">1.按照招标文件中列明的技术性能、功能及配置或服务要求进行如实逐条应答。</w:t>
      </w:r>
      <w:r/>
    </w:p>
    <w:p>
      <w:pPr>
        <w:ind w:firstLine="43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42" w:name="_Toc450570287"/>
      <w:r/>
      <w:r/>
    </w:p>
    <w:p>
      <w:pPr>
        <w:rPr>
          <w:rFonts w:hAnsi="宋体"/>
          <w:color w:val="auto"/>
          <w:sz w:val="21"/>
          <w:szCs w:val="21"/>
          <w:highlight w:val="none"/>
        </w:rPr>
      </w:pPr>
      <w:r>
        <w:rPr>
          <w:rFonts w:hint="eastAsia" w:hAnsi="宋体"/>
          <w:color w:val="auto"/>
          <w:sz w:val="21"/>
          <w:szCs w:val="21"/>
          <w:highlight w:val="none"/>
        </w:rPr>
        <w:br w:type="page" w:clear="all"/>
      </w:r>
      <w:r/>
    </w:p>
    <w:p>
      <w:pPr>
        <w:spacing w:line="400" w:lineRule="exact"/>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二、资格证明文件</w:t>
      </w:r>
      <w:bookmarkEnd w:id="140"/>
      <w:r/>
      <w:bookmarkEnd w:id="141"/>
      <w:r/>
      <w:bookmarkEnd w:id="142"/>
      <w:r/>
      <w:r/>
    </w:p>
    <w:p>
      <w:pPr>
        <w:ind w:firstLine="420"/>
        <w:spacing w:line="360" w:lineRule="auto"/>
        <w:rPr>
          <w:rFonts w:hint="default" w:ascii="宋体" w:hAnsi="宋体" w:eastAsia="宋体"/>
          <w:color w:val="auto"/>
          <w:sz w:val="21"/>
          <w:szCs w:val="21"/>
          <w:highlight w:val="none"/>
          <w:lang w:val="en-US" w:eastAsia="zh-CN"/>
        </w:rPr>
      </w:pPr>
      <w:r/>
      <w:bookmarkStart w:id="143" w:name="_Toc445897737"/>
      <w:r/>
      <w:bookmarkStart w:id="144" w:name="_Toc401840469"/>
      <w:r/>
      <w:bookmarkStart w:id="145" w:name="_Toc289873241"/>
      <w:r>
        <w:rPr>
          <w:rFonts w:hint="eastAsia" w:ascii="宋体" w:hAnsi="宋体" w:eastAsia="宋体"/>
          <w:color w:val="auto"/>
          <w:sz w:val="21"/>
          <w:szCs w:val="21"/>
          <w:highlight w:val="none"/>
          <w:lang w:val="en-US" w:eastAsia="zh-CN"/>
        </w:rPr>
        <w:t xml:space="preserve">详见公开招标文件第一章 招标公告</w:t>
      </w:r>
      <w:bookmarkEnd w:id="143"/>
      <w:r/>
    </w:p>
    <w:tbl>
      <w:tblPr>
        <w:tblStyle w:val="895"/>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参加政府采购活动前 3 年内在经营活动中</w:t>
            </w:r>
            <w:r/>
          </w:p>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没有重大违法记录的书面声明（参考格式）</w:t>
            </w:r>
            <w:r/>
          </w:p>
          <w:p>
            <w:pPr>
              <w:ind w:firstLine="42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color w:val="auto"/>
                <w:sz w:val="21"/>
                <w:szCs w:val="21"/>
                <w:highlight w:val="none"/>
                <w:lang w:bidi="en-US"/>
              </w:rPr>
            </w:pPr>
            <w:r>
              <w:rPr>
                <w:rFonts w:ascii="宋体" w:hAnsi="宋体" w:eastAsia="宋体"/>
                <w:color w:val="auto"/>
                <w:sz w:val="21"/>
                <w:szCs w:val="21"/>
                <w:highlight w:val="none"/>
                <w:lang w:bidi="en-US"/>
              </w:rPr>
            </w:r>
            <w:r/>
          </w:p>
          <w:p>
            <w:pPr>
              <w:ind w:firstLine="357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供应商名称（公章）：</w:t>
            </w:r>
            <w:r/>
          </w:p>
          <w:p>
            <w:pPr>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授权代表签字： </w:t>
            </w:r>
            <w:r/>
          </w:p>
          <w:p>
            <w:pPr>
              <w:jc w:val="center"/>
              <w:spacing w:line="400" w:lineRule="exact"/>
              <w:rPr>
                <w:rFonts w:hAnsi="宋体"/>
                <w:color w:val="auto"/>
                <w:sz w:val="21"/>
                <w:szCs w:val="21"/>
                <w:highlight w:val="none"/>
                <w:lang w:bidi="en-US"/>
              </w:rPr>
            </w:pPr>
            <w:r>
              <w:rPr>
                <w:rFonts w:hint="eastAsia" w:ascii="宋体" w:hAnsi="宋体" w:eastAsia="宋体"/>
                <w:color w:val="auto"/>
                <w:sz w:val="21"/>
                <w:szCs w:val="21"/>
                <w:highlight w:val="none"/>
                <w:lang w:bidi="en-US"/>
              </w:rPr>
              <w:t xml:space="preserve">                                   日期：     年    月    日</w:t>
            </w:r>
            <w:r/>
          </w:p>
        </w:tc>
      </w:tr>
    </w:tbl>
    <w:p>
      <w:pPr>
        <w:pStyle w:val="886"/>
        <w:jc w:val="both"/>
        <w:keepLines w:val="0"/>
        <w:keepNext w:val="0"/>
        <w:spacing w:line="400" w:lineRule="exact"/>
        <w:rPr>
          <w:rFonts w:hint="eastAsia" w:ascii="宋体" w:hAnsi="宋体" w:eastAsia="宋体"/>
          <w:color w:val="auto"/>
          <w:sz w:val="21"/>
          <w:szCs w:val="21"/>
          <w:highlight w:val="none"/>
        </w:rPr>
      </w:pPr>
      <w:r/>
      <w:bookmarkStart w:id="146" w:name="_Toc450570288"/>
      <w:r>
        <w:rPr>
          <w:rFonts w:hint="eastAsia" w:ascii="宋体" w:hAnsi="宋体" w:eastAsia="宋体"/>
          <w:color w:val="auto"/>
          <w:sz w:val="21"/>
          <w:szCs w:val="21"/>
          <w:highlight w:val="none"/>
        </w:rPr>
        <w:br/>
      </w:r>
      <w:r>
        <w:rPr>
          <w:rFonts w:hint="eastAsia" w:ascii="宋体" w:hAnsi="宋体" w:eastAsia="宋体"/>
          <w:color w:val="auto"/>
          <w:sz w:val="21"/>
          <w:szCs w:val="21"/>
          <w:highlight w:val="none"/>
        </w:rPr>
        <w:br/>
      </w:r>
      <w:r>
        <w:rPr>
          <w:rFonts w:hint="eastAsia" w:ascii="宋体" w:hAnsi="宋体" w:eastAsia="宋体"/>
          <w:color w:val="auto"/>
          <w:sz w:val="21"/>
          <w:szCs w:val="21"/>
          <w:highlight w:val="none"/>
        </w:rPr>
        <w:br/>
      </w:r>
      <w:r/>
    </w:p>
    <w:p>
      <w:pPr>
        <w:pStyle w:val="886"/>
        <w:jc w:val="center"/>
        <w:keepLines w:val="0"/>
        <w:keepNext w:val="0"/>
        <w:spacing w:line="400" w:lineRule="exact"/>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具有履行合同所必需的设备和专业技术能力</w:t>
      </w:r>
      <w:r>
        <w:rPr>
          <w:rFonts w:hint="eastAsia"/>
          <w:color w:val="auto"/>
          <w:sz w:val="21"/>
          <w:szCs w:val="21"/>
          <w:highlight w:val="none"/>
          <w:lang w:val="en-US" w:eastAsia="zh-CN"/>
        </w:rPr>
        <w:t xml:space="preserve">承诺</w:t>
      </w:r>
      <w:r>
        <w:rPr>
          <w:rFonts w:hint="eastAsia" w:ascii="宋体" w:hAnsi="宋体" w:eastAsia="宋体"/>
          <w:b/>
          <w:color w:val="auto"/>
          <w:sz w:val="21"/>
          <w:szCs w:val="21"/>
          <w:highlight w:val="none"/>
          <w:lang w:bidi="en-US"/>
        </w:rPr>
        <w:t xml:space="preserve">（参考格式）</w:t>
      </w:r>
      <w:r/>
    </w:p>
    <w:p>
      <w:pPr>
        <w:pStyle w:val="886"/>
        <w:ind w:firstLine="420"/>
        <w:keepLines w:val="0"/>
        <w:keepNext w:val="0"/>
        <w:spacing w:line="400" w:lineRule="exact"/>
        <w:rPr>
          <w:rFonts w:hint="eastAsia"/>
          <w:color w:val="auto"/>
          <w:sz w:val="21"/>
          <w:szCs w:val="21"/>
          <w:highlight w:val="none"/>
          <w:lang w:eastAsia="zh-CN"/>
        </w:rPr>
      </w:pPr>
      <w:r>
        <w:rPr>
          <w:rFonts w:hint="eastAsia"/>
          <w:b w:val="0"/>
          <w:bCs/>
          <w:color w:val="auto"/>
          <w:sz w:val="21"/>
          <w:szCs w:val="21"/>
          <w:highlight w:val="none"/>
          <w:lang w:val="en-US" w:eastAsia="zh-CN"/>
        </w:rPr>
        <w:t xml:space="preserve">我公司承诺：</w:t>
      </w:r>
      <w:r>
        <w:rPr>
          <w:rFonts w:hint="eastAsia" w:ascii="宋体" w:hAnsi="宋体" w:eastAsia="宋体"/>
          <w:b w:val="0"/>
          <w:bCs/>
          <w:color w:val="auto"/>
          <w:sz w:val="21"/>
          <w:szCs w:val="21"/>
          <w:highlight w:val="none"/>
        </w:rPr>
        <w:t xml:space="preserve">具有履行合同所必需的设备和专业技术能力</w:t>
      </w:r>
      <w:r>
        <w:rPr>
          <w:rFonts w:hint="eastAsia"/>
          <w:b w:val="0"/>
          <w:bCs/>
          <w:color w:val="auto"/>
          <w:sz w:val="21"/>
          <w:szCs w:val="21"/>
          <w:highlight w:val="none"/>
          <w:lang w:val="en-US" w:eastAsia="zh-CN"/>
        </w:rPr>
        <w:t xml:space="preserve">，并已在投标文件中提供</w:t>
      </w:r>
      <w:r>
        <w:rPr>
          <w:rFonts w:hint="eastAsia" w:ascii="宋体" w:hAnsi="宋体" w:eastAsia="宋体"/>
          <w:b w:val="0"/>
          <w:bCs/>
          <w:color w:val="auto"/>
          <w:sz w:val="21"/>
          <w:szCs w:val="21"/>
          <w:highlight w:val="none"/>
        </w:rPr>
        <w:t xml:space="preserve">履行合同所必需的设备和专业技术能力的证明材料</w:t>
      </w:r>
      <w:r>
        <w:rPr>
          <w:rFonts w:hint="eastAsia"/>
          <w:b w:val="0"/>
          <w:bCs/>
          <w:color w:val="auto"/>
          <w:sz w:val="21"/>
          <w:szCs w:val="21"/>
          <w:highlight w:val="none"/>
          <w:lang w:eastAsia="zh-CN"/>
        </w:rPr>
        <w:t xml:space="preserve">。</w:t>
      </w:r>
      <w:r/>
    </w:p>
    <w:p>
      <w:pPr>
        <w:rPr>
          <w:rFonts w:hint="eastAsia"/>
          <w:color w:val="auto"/>
          <w:sz w:val="21"/>
          <w:szCs w:val="21"/>
          <w:highlight w:val="none"/>
          <w:lang w:eastAsia="zh-CN"/>
        </w:rPr>
      </w:pPr>
      <w:r>
        <w:rPr>
          <w:rFonts w:hint="eastAsia"/>
          <w:color w:val="auto"/>
          <w:sz w:val="21"/>
          <w:szCs w:val="21"/>
          <w:highlight w:val="none"/>
          <w:lang w:eastAsia="zh-CN"/>
        </w:rPr>
      </w:r>
      <w:r/>
    </w:p>
    <w:p>
      <w:pPr>
        <w:ind w:firstLine="3780"/>
        <w:spacing w:line="360" w:lineRule="auto"/>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供应商名称（公章）：</w:t>
      </w:r>
      <w:r/>
    </w:p>
    <w:p>
      <w:pPr>
        <w:spacing w:line="360" w:lineRule="auto"/>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w:t>
      </w:r>
      <w:r>
        <w:rPr>
          <w:rFonts w:hint="eastAsia" w:ascii="宋体" w:hAnsi="宋体" w:eastAsia="宋体"/>
          <w:color w:val="auto"/>
          <w:sz w:val="21"/>
          <w:szCs w:val="21"/>
          <w:highlight w:val="none"/>
          <w:lang w:val="en-US" w:eastAsia="zh-CN" w:bidi="en-US"/>
        </w:rPr>
        <w:t xml:space="preserve"> </w:t>
      </w:r>
      <w:r>
        <w:rPr>
          <w:rFonts w:hint="eastAsia" w:ascii="宋体" w:hAnsi="宋体" w:eastAsia="宋体"/>
          <w:color w:val="auto"/>
          <w:sz w:val="21"/>
          <w:szCs w:val="21"/>
          <w:highlight w:val="none"/>
          <w:lang w:bidi="en-US"/>
        </w:rPr>
        <w:t xml:space="preserve">授权代表签字： </w:t>
      </w:r>
      <w:r/>
    </w:p>
    <w:p>
      <w:pPr>
        <w:spacing w:line="360" w:lineRule="auto"/>
        <w:rPr>
          <w:rFonts w:hint="eastAsia"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w:t>
      </w:r>
      <w:r>
        <w:rPr>
          <w:rFonts w:hint="eastAsia" w:ascii="宋体" w:hAnsi="宋体" w:eastAsia="宋体"/>
          <w:color w:val="auto"/>
          <w:sz w:val="21"/>
          <w:szCs w:val="21"/>
          <w:highlight w:val="none"/>
          <w:lang w:val="en-US" w:eastAsia="zh-CN" w:bidi="en-US"/>
        </w:rPr>
        <w:t xml:space="preserve"> </w:t>
      </w:r>
      <w:r>
        <w:rPr>
          <w:rFonts w:hint="eastAsia" w:ascii="宋体" w:hAnsi="宋体" w:eastAsia="宋体"/>
          <w:color w:val="auto"/>
          <w:sz w:val="21"/>
          <w:szCs w:val="21"/>
          <w:highlight w:val="none"/>
          <w:lang w:bidi="en-US"/>
        </w:rPr>
        <w:t xml:space="preserve">日期：     年    月    日</w:t>
      </w:r>
      <w:r/>
    </w:p>
    <w:p>
      <w:pPr>
        <w:spacing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r>
      <w:r/>
    </w:p>
    <w:p>
      <w:pPr>
        <w:pStyle w:val="886"/>
        <w:keepLines w:val="0"/>
        <w:keepNext w:val="0"/>
        <w:spacing w:line="400" w:lineRule="exact"/>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rPr>
        <w:br/>
      </w:r>
      <w:r>
        <w:rPr>
          <w:rFonts w:hint="eastAsia" w:ascii="宋体" w:hAnsi="宋体" w:eastAsia="宋体"/>
          <w:b w:val="0"/>
          <w:bCs w:val="0"/>
          <w:color w:val="auto"/>
          <w:sz w:val="21"/>
          <w:szCs w:val="21"/>
          <w:highlight w:val="none"/>
        </w:rPr>
        <w:t xml:space="preserve">如省外其他省、自治区、直辖市公安机关核发的《保安服务许可证》参与本项目投标的，还须承诺</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color w:val="auto"/>
          <w:sz w:val="21"/>
          <w:szCs w:val="21"/>
          <w:highlight w:val="none"/>
          <w:lang w:bidi="en-US"/>
        </w:rPr>
        <w:t xml:space="preserve">（参考格式）</w:t>
      </w:r>
      <w:r/>
    </w:p>
    <w:p>
      <w:pPr>
        <w:pStyle w:val="886"/>
        <w:ind w:firstLine="420"/>
        <w:keepLines w:val="0"/>
        <w:keepNext w:val="0"/>
        <w:spacing w:line="400" w:lineRule="exact"/>
        <w:rPr>
          <w:rFonts w:hint="eastAsia"/>
          <w:color w:val="auto"/>
          <w:sz w:val="21"/>
          <w:szCs w:val="21"/>
          <w:highlight w:val="none"/>
          <w:lang w:eastAsia="zh-CN"/>
        </w:rPr>
      </w:pPr>
      <w:r>
        <w:rPr>
          <w:rFonts w:hint="eastAsia"/>
          <w:b w:val="0"/>
          <w:bCs/>
          <w:color w:val="auto"/>
          <w:sz w:val="21"/>
          <w:szCs w:val="21"/>
          <w:highlight w:val="none"/>
          <w:lang w:val="en-US" w:eastAsia="zh-CN"/>
        </w:rPr>
        <w:t xml:space="preserve">我公司承诺：</w:t>
      </w:r>
      <w:r>
        <w:rPr>
          <w:rFonts w:hint="eastAsia" w:ascii="宋体" w:hAnsi="宋体" w:eastAsia="宋体"/>
          <w:b w:val="0"/>
          <w:bCs/>
          <w:color w:val="auto"/>
          <w:sz w:val="21"/>
          <w:szCs w:val="21"/>
          <w:highlight w:val="none"/>
        </w:rPr>
        <w:t xml:space="preserve">如中标本项目，在开始提供保安服务之前取得服务所在地设区的市级(或以上)公安机关的备案回执</w:t>
      </w:r>
      <w:r>
        <w:rPr>
          <w:rFonts w:hint="eastAsia"/>
          <w:b w:val="0"/>
          <w:bCs/>
          <w:color w:val="auto"/>
          <w:sz w:val="21"/>
          <w:szCs w:val="21"/>
          <w:highlight w:val="none"/>
          <w:lang w:eastAsia="zh-CN"/>
        </w:rPr>
        <w:t xml:space="preserve">。</w:t>
      </w:r>
      <w:r/>
    </w:p>
    <w:p>
      <w:pPr>
        <w:rPr>
          <w:rFonts w:hint="eastAsia"/>
          <w:color w:val="auto"/>
          <w:sz w:val="21"/>
          <w:szCs w:val="21"/>
          <w:highlight w:val="none"/>
          <w:lang w:eastAsia="zh-CN"/>
        </w:rPr>
      </w:pPr>
      <w:r>
        <w:rPr>
          <w:rFonts w:hint="eastAsia"/>
          <w:color w:val="auto"/>
          <w:sz w:val="21"/>
          <w:szCs w:val="21"/>
          <w:highlight w:val="none"/>
          <w:lang w:eastAsia="zh-CN"/>
        </w:rPr>
      </w:r>
      <w:r/>
    </w:p>
    <w:p>
      <w:pPr>
        <w:ind w:firstLine="3780"/>
        <w:spacing w:line="360" w:lineRule="auto"/>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供应商名称（公章）：</w:t>
      </w:r>
      <w:r/>
    </w:p>
    <w:p>
      <w:pPr>
        <w:spacing w:line="360" w:lineRule="auto"/>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w:t>
      </w:r>
      <w:r>
        <w:rPr>
          <w:rFonts w:hint="eastAsia" w:ascii="宋体" w:hAnsi="宋体" w:eastAsia="宋体"/>
          <w:color w:val="auto"/>
          <w:sz w:val="21"/>
          <w:szCs w:val="21"/>
          <w:highlight w:val="none"/>
          <w:lang w:val="en-US" w:eastAsia="zh-CN" w:bidi="en-US"/>
        </w:rPr>
        <w:t xml:space="preserve"> </w:t>
      </w:r>
      <w:r>
        <w:rPr>
          <w:rFonts w:hint="eastAsia" w:ascii="宋体" w:hAnsi="宋体" w:eastAsia="宋体"/>
          <w:color w:val="auto"/>
          <w:sz w:val="21"/>
          <w:szCs w:val="21"/>
          <w:highlight w:val="none"/>
          <w:lang w:bidi="en-US"/>
        </w:rPr>
        <w:t xml:space="preserve">授权代表签字： </w:t>
      </w:r>
      <w:r/>
    </w:p>
    <w:p>
      <w:pPr>
        <w:spacing w:line="360" w:lineRule="auto"/>
        <w:rPr>
          <w:rFonts w:hint="eastAsia" w:ascii="宋体" w:hAnsi="宋体" w:eastAsia="宋体"/>
          <w:color w:val="auto"/>
          <w:sz w:val="21"/>
          <w:szCs w:val="21"/>
          <w:highlight w:val="none"/>
          <w:lang w:eastAsia="zh-CN" w:bidi="en-US"/>
        </w:rPr>
      </w:pPr>
      <w:r>
        <w:rPr>
          <w:rFonts w:hint="eastAsia" w:ascii="宋体" w:hAnsi="宋体" w:eastAsia="宋体"/>
          <w:color w:val="auto"/>
          <w:sz w:val="21"/>
          <w:szCs w:val="21"/>
          <w:highlight w:val="none"/>
          <w:lang w:bidi="en-US"/>
        </w:rPr>
        <w:t xml:space="preserve">                                   </w:t>
      </w:r>
      <w:r>
        <w:rPr>
          <w:rFonts w:hint="eastAsia" w:ascii="宋体" w:hAnsi="宋体" w:eastAsia="宋体"/>
          <w:color w:val="auto"/>
          <w:sz w:val="21"/>
          <w:szCs w:val="21"/>
          <w:highlight w:val="none"/>
          <w:lang w:val="en-US" w:eastAsia="zh-CN" w:bidi="en-US"/>
        </w:rPr>
        <w:t xml:space="preserve"> </w:t>
      </w:r>
      <w:r>
        <w:rPr>
          <w:rFonts w:hint="eastAsia" w:ascii="宋体" w:hAnsi="宋体" w:eastAsia="宋体"/>
          <w:color w:val="auto"/>
          <w:sz w:val="21"/>
          <w:szCs w:val="21"/>
          <w:highlight w:val="none"/>
          <w:lang w:bidi="en-US"/>
        </w:rPr>
        <w:t xml:space="preserve">日期：     年    月    日</w:t>
      </w:r>
      <w:r/>
    </w:p>
    <w:p>
      <w:pPr>
        <w:rPr>
          <w:rFonts w:hint="eastAsia" w:cs="宋体"/>
          <w:color w:val="auto"/>
          <w:szCs w:val="21"/>
          <w:highlight w:val="none"/>
        </w:rPr>
      </w:pPr>
      <w:r>
        <w:rPr>
          <w:rFonts w:hint="eastAsia" w:cs="宋体"/>
          <w:color w:val="auto"/>
          <w:szCs w:val="21"/>
          <w:highlight w:val="none"/>
        </w:rPr>
        <w:br w:type="page" w:clear="all"/>
      </w:r>
      <w:r/>
    </w:p>
    <w:p>
      <w:pPr>
        <w:pStyle w:val="886"/>
        <w:keepLines w:val="0"/>
        <w:keepNext w:val="0"/>
        <w:spacing w:line="400" w:lineRule="exact"/>
        <w:rPr>
          <w:rFonts w:cs="宋体"/>
          <w:color w:val="auto"/>
          <w:szCs w:val="21"/>
          <w:highlight w:val="none"/>
        </w:rPr>
      </w:pPr>
      <w:r>
        <w:rPr>
          <w:rFonts w:hint="eastAsia" w:cs="宋体"/>
          <w:color w:val="auto"/>
          <w:szCs w:val="21"/>
          <w:highlight w:val="none"/>
        </w:rPr>
        <w:t xml:space="preserve">三、其他相关文件</w:t>
      </w:r>
      <w:bookmarkEnd w:id="146"/>
      <w:r/>
      <w:r/>
    </w:p>
    <w:p>
      <w:pPr>
        <w:pStyle w:val="887"/>
        <w:keepLines w:val="0"/>
        <w:keepNext w:val="0"/>
        <w:spacing w:line="400" w:lineRule="exact"/>
        <w:rPr>
          <w:rFonts w:cs="宋体"/>
          <w:color w:val="auto"/>
          <w:highlight w:val="none"/>
        </w:rPr>
      </w:pPr>
      <w:r/>
      <w:bookmarkStart w:id="147" w:name="_Toc450570289"/>
      <w:r>
        <w:rPr>
          <w:rFonts w:hint="eastAsia" w:cs="宋体"/>
          <w:color w:val="auto"/>
          <w:highlight w:val="none"/>
        </w:rPr>
        <w:t xml:space="preserve">1.授权委托书</w:t>
      </w:r>
      <w:bookmarkEnd w:id="144"/>
      <w:r/>
      <w:bookmarkEnd w:id="145"/>
      <w:r/>
      <w:bookmarkEnd w:id="147"/>
      <w:r/>
      <w:r/>
    </w:p>
    <w:p>
      <w:pPr>
        <w:jc w:val="center"/>
        <w:spacing w:line="400" w:lineRule="exact"/>
        <w:rPr>
          <w:rFonts w:hAnsi="宋体"/>
          <w:b/>
          <w:color w:val="auto"/>
          <w:sz w:val="21"/>
          <w:szCs w:val="21"/>
          <w:highlight w:val="none"/>
        </w:rPr>
      </w:pPr>
      <w:r>
        <w:rPr>
          <w:rFonts w:hint="eastAsia" w:hAnsi="宋体"/>
          <w:b/>
          <w:color w:val="auto"/>
          <w:sz w:val="21"/>
          <w:szCs w:val="21"/>
          <w:highlight w:val="none"/>
        </w:rPr>
        <w:t xml:space="preserve">授权委托书</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致苏美达国际技术贸易有限公司：</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本授权书宣告：</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受托人：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性别：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出生日期：</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所在单位：</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职务：</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身份证</w:t>
      </w:r>
      <w:r>
        <w:rPr>
          <w:rFonts w:hint="eastAsia" w:ascii="宋体" w:hAnsi="宋体" w:eastAsia="宋体"/>
          <w:color w:val="auto"/>
          <w:sz w:val="21"/>
          <w:szCs w:val="21"/>
          <w:highlight w:val="none"/>
          <w:lang w:val="en-US"/>
        </w:rPr>
        <w:t xml:space="preserve">号</w:t>
      </w:r>
      <w:r>
        <w:rPr>
          <w:rFonts w:hint="eastAsia" w:ascii="宋体" w:hAnsi="宋体" w:eastAsia="宋体"/>
          <w:color w:val="auto"/>
          <w:sz w:val="21"/>
          <w:szCs w:val="21"/>
          <w:highlight w:val="none"/>
        </w:rPr>
        <w:t xml:space="preserve">：</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联系方式：</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委托期限：至上述事宜处理完毕止。</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3078"/>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委托单位   </w:t>
      </w:r>
      <w:r>
        <w:rPr>
          <w:rFonts w:hint="eastAsia" w:ascii="宋体" w:hAnsi="宋体" w:eastAsia="宋体"/>
          <w:color w:val="auto"/>
          <w:sz w:val="21"/>
          <w:szCs w:val="21"/>
          <w:highlight w:val="none"/>
          <w:u w:val="single"/>
        </w:rPr>
        <w:t xml:space="preserve"> （公章）          </w:t>
      </w:r>
      <w:r/>
    </w:p>
    <w:p>
      <w:pPr>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                             法定代表人 </w:t>
      </w:r>
      <w:r>
        <w:rPr>
          <w:rFonts w:hint="eastAsia" w:ascii="宋体" w:hAnsi="宋体" w:eastAsia="宋体"/>
          <w:color w:val="auto"/>
          <w:sz w:val="21"/>
          <w:szCs w:val="21"/>
          <w:highlight w:val="none"/>
          <w:u w:val="single"/>
        </w:rPr>
        <w:t xml:space="preserve"> （签名</w:t>
      </w:r>
      <w:r>
        <w:rPr>
          <w:rFonts w:hint="eastAsia" w:ascii="宋体" w:hAnsi="宋体" w:eastAsia="宋体"/>
          <w:color w:val="auto"/>
          <w:sz w:val="21"/>
          <w:szCs w:val="21"/>
          <w:highlight w:val="none"/>
          <w:u w:val="single"/>
          <w:lang w:val="en-US"/>
        </w:rPr>
        <w:t xml:space="preserve">或盖章</w:t>
      </w:r>
      <w:r>
        <w:rPr>
          <w:rFonts w:hint="eastAsia" w:ascii="宋体" w:hAnsi="宋体" w:eastAsia="宋体"/>
          <w:color w:val="auto"/>
          <w:sz w:val="21"/>
          <w:szCs w:val="21"/>
          <w:highlight w:val="none"/>
          <w:u w:val="single"/>
        </w:rPr>
        <w:t xml:space="preserve">）          </w:t>
      </w:r>
      <w:r/>
    </w:p>
    <w:p>
      <w:pPr>
        <w:ind w:firstLine="3885"/>
        <w:spacing w:line="400" w:lineRule="exact"/>
        <w:rPr>
          <w:rFonts w:hAnsi="宋体"/>
          <w:color w:val="auto"/>
          <w:sz w:val="21"/>
          <w:szCs w:val="21"/>
          <w:highlight w:val="none"/>
        </w:rPr>
      </w:pPr>
      <w:r>
        <w:rPr>
          <w:rFonts w:hint="eastAsia" w:ascii="宋体" w:hAnsi="宋体" w:eastAsia="宋体"/>
          <w:color w:val="auto"/>
          <w:sz w:val="21"/>
          <w:szCs w:val="21"/>
          <w:highlight w:val="none"/>
        </w:rPr>
        <w:t xml:space="preserve">年    月    日</w:t>
      </w:r>
      <w:r/>
    </w:p>
    <w:p>
      <w:pPr>
        <w:rPr>
          <w:color w:val="auto"/>
          <w:sz w:val="21"/>
          <w:szCs w:val="21"/>
          <w:highlight w:val="none"/>
        </w:rPr>
      </w:pPr>
      <w:r>
        <w:rPr>
          <w:color w:val="auto"/>
          <w:sz w:val="21"/>
          <w:szCs w:val="21"/>
          <w:highlight w:val="none"/>
        </w:rPr>
      </w:r>
      <w:r/>
    </w:p>
    <w:p>
      <w:pPr>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附：</w:t>
      </w:r>
      <w:bookmarkStart w:id="148" w:name="_Toc450570290"/>
      <w:r/>
      <w:bookmarkStart w:id="149" w:name="_Toc401840472"/>
      <w:r/>
      <w:bookmarkStart w:id="150" w:name="_Toc130781431"/>
      <w:r/>
      <w:bookmarkStart w:id="151" w:name="_Toc118780793"/>
      <w:r/>
      <w:bookmarkStart w:id="152" w:name="_Toc82330517"/>
      <w:r/>
      <w:bookmarkStart w:id="153" w:name="_Toc75518605"/>
      <w:r/>
      <w:bookmarkStart w:id="154" w:name="_Toc194220875"/>
      <w:r/>
      <w:bookmarkStart w:id="155" w:name="_Toc194205453"/>
      <w:r/>
      <w:bookmarkStart w:id="156" w:name="_Toc194284653"/>
      <w:r/>
      <w:bookmarkStart w:id="157" w:name="_Toc194725191"/>
      <w:r/>
      <w:bookmarkStart w:id="158" w:name="_Toc289873244"/>
      <w:r>
        <w:rPr>
          <w:rFonts w:hint="eastAsia" w:ascii="宋体" w:hAnsi="宋体" w:eastAsia="宋体"/>
          <w:b/>
          <w:bCs/>
          <w:color w:val="auto"/>
          <w:sz w:val="21"/>
          <w:szCs w:val="21"/>
          <w:highlight w:val="none"/>
        </w:rPr>
        <w:t xml:space="preserve">法定代表人、授权代表身份证复印件及</w:t>
      </w:r>
      <w:r>
        <w:rPr>
          <w:rFonts w:hint="eastAsia" w:ascii="宋体" w:hAnsi="宋体" w:eastAsia="宋体"/>
          <w:b/>
          <w:bCs/>
          <w:color w:val="auto"/>
          <w:sz w:val="21"/>
          <w:szCs w:val="21"/>
          <w:highlight w:val="none"/>
          <w:lang w:eastAsia="zh-CN"/>
        </w:rPr>
        <w:t xml:space="preserve">2026年5月-2026年10月</w:t>
      </w:r>
      <w:r>
        <w:rPr>
          <w:rFonts w:hint="eastAsia" w:ascii="宋体" w:hAnsi="宋体" w:eastAsia="宋体"/>
          <w:b/>
          <w:bCs/>
          <w:color w:val="auto"/>
          <w:sz w:val="21"/>
          <w:szCs w:val="21"/>
          <w:highlight w:val="none"/>
        </w:rPr>
        <w:t xml:space="preserve">内任意一月投标单位为其缴纳的社保证明（如果是法定代表人直接参与投标的可以不提供授权书）。</w:t>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2.相关资质、业绩证明文件</w:t>
      </w:r>
      <w:bookmarkEnd w:id="148"/>
      <w:r/>
      <w:bookmarkEnd w:id="149"/>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 </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b/>
          <w:bCs/>
          <w:color w:val="auto"/>
          <w:sz w:val="21"/>
          <w:szCs w:val="21"/>
          <w:highlight w:val="none"/>
        </w:rPr>
        <w:outlineLvl w:val="2"/>
      </w:pPr>
      <w:r/>
      <w:bookmarkStart w:id="159" w:name="_Toc450570291"/>
      <w:r/>
      <w:bookmarkStart w:id="160" w:name="_Toc401840473"/>
      <w:r>
        <w:rPr>
          <w:rFonts w:hint="eastAsia" w:ascii="宋体" w:hAnsi="宋体" w:eastAsia="宋体"/>
          <w:b/>
          <w:bCs/>
          <w:color w:val="auto"/>
          <w:sz w:val="21"/>
          <w:szCs w:val="21"/>
          <w:highlight w:val="none"/>
        </w:rPr>
        <w:t xml:space="preserve">3.供应商拟承担本项目主要专业技术人员一览表</w:t>
      </w:r>
      <w:bookmarkEnd w:id="150"/>
      <w:r/>
      <w:bookmarkEnd w:id="151"/>
      <w:r/>
      <w:bookmarkEnd w:id="152"/>
      <w:r/>
      <w:bookmarkEnd w:id="153"/>
      <w:r>
        <w:rPr>
          <w:rFonts w:hint="eastAsia" w:ascii="宋体" w:hAnsi="宋体" w:eastAsia="宋体"/>
          <w:b/>
          <w:bCs/>
          <w:color w:val="auto"/>
          <w:sz w:val="21"/>
          <w:szCs w:val="21"/>
          <w:highlight w:val="none"/>
        </w:rPr>
        <w:t xml:space="preserve">格式</w:t>
      </w:r>
      <w:bookmarkEnd w:id="154"/>
      <w:r/>
      <w:bookmarkEnd w:id="155"/>
      <w:r/>
      <w:bookmarkEnd w:id="156"/>
      <w:r/>
      <w:bookmarkEnd w:id="157"/>
      <w:r/>
      <w:bookmarkEnd w:id="159"/>
      <w:r/>
      <w:bookmarkEnd w:id="160"/>
      <w:r/>
      <w:r/>
    </w:p>
    <w:p>
      <w:pPr>
        <w:jc w:val="center"/>
        <w:spacing w:line="400" w:lineRule="exact"/>
        <w:rPr>
          <w:rStyle w:val="961"/>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eastAsia="宋体"/>
          <w:color w:val="auto"/>
          <w:sz w:val="21"/>
          <w:szCs w:val="21"/>
          <w:highlight w:val="none"/>
        </w:rPr>
      </w:pPr>
      <w:r>
        <w:rPr>
          <w:rStyle w:val="961"/>
          <w:rFonts w:hint="eastAsia" w:ascii="宋体" w:hAnsi="宋体" w:eastAsia="宋体"/>
          <w:color w:val="auto"/>
          <w:sz w:val="21"/>
          <w:szCs w:val="21"/>
          <w:highlight w:val="none"/>
        </w:rPr>
        <w:t xml:space="preserve">供应商拟承担本项目主要专业技术人员一览表（</w:t>
      </w:r>
      <w:r>
        <w:rPr>
          <w:rStyle w:val="961"/>
          <w:rFonts w:hint="eastAsia" w:ascii="宋体" w:hAnsi="宋体" w:eastAsia="宋体"/>
          <w:color w:val="auto"/>
          <w:sz w:val="21"/>
          <w:szCs w:val="21"/>
          <w:highlight w:val="none"/>
          <w:lang w:val="en-US" w:eastAsia="zh-CN"/>
        </w:rPr>
        <w:t xml:space="preserve">仅参考</w:t>
      </w:r>
      <w:r>
        <w:rPr>
          <w:rStyle w:val="961"/>
          <w:rFonts w:hint="eastAsia" w:ascii="宋体" w:hAnsi="宋体" w:eastAsia="宋体"/>
          <w:color w:val="auto"/>
          <w:sz w:val="21"/>
          <w:szCs w:val="21"/>
          <w:highlight w:val="none"/>
        </w:rPr>
        <w:t xml:space="preserve">）</w:t>
      </w:r>
      <w:r/>
    </w:p>
    <w:tbl>
      <w:tblPr>
        <w:tblStyle w:val="895"/>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167"/>
        <w:gridCol w:w="796"/>
        <w:gridCol w:w="1060"/>
        <w:gridCol w:w="1149"/>
        <w:gridCol w:w="1263"/>
        <w:gridCol w:w="1271"/>
        <w:gridCol w:w="2329"/>
      </w:tblGrid>
      <w:tr>
        <w:trPr>
          <w:jc w:val="center"/>
          <w:trHeight w:val="399"/>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姓名</w:t>
            </w:r>
            <w:r/>
          </w:p>
        </w:tc>
        <w:tc>
          <w:tcPr>
            <w:tcW w:w="588" w:type="pct"/>
            <w:vAlign w:val="center"/>
            <w:textDirection w:val="lrTb"/>
            <w:noWrap w:val="false"/>
          </w:tcPr>
          <w:p>
            <w:pPr>
              <w:jc w:val="center"/>
              <w:spacing w:after="145" w:line="400" w:lineRule="exact"/>
              <w:rPr>
                <w:rFonts w:hint="eastAsia" w:hAnsi="宋体"/>
                <w:color w:val="auto"/>
                <w:sz w:val="21"/>
                <w:szCs w:val="21"/>
                <w:highlight w:val="none"/>
              </w:rPr>
            </w:pPr>
            <w:r>
              <w:rPr>
                <w:rFonts w:hint="eastAsia" w:hAnsi="宋体"/>
                <w:color w:val="auto"/>
                <w:sz w:val="21"/>
                <w:szCs w:val="21"/>
                <w:highlight w:val="none"/>
              </w:rPr>
              <w:t xml:space="preserve">联系电话</w:t>
            </w:r>
            <w:r/>
          </w:p>
        </w:tc>
        <w:tc>
          <w:tcPr>
            <w:tcW w:w="401" w:type="pct"/>
            <w:vAlign w:val="center"/>
            <w:textDirection w:val="lrTb"/>
            <w:noWrap w:val="false"/>
          </w:tcPr>
          <w:p>
            <w:pPr>
              <w:jc w:val="center"/>
              <w:spacing w:after="145" w:line="400" w:lineRule="exact"/>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年龄</w:t>
            </w:r>
            <w:r/>
          </w:p>
        </w:tc>
        <w:tc>
          <w:tcPr>
            <w:tcW w:w="53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专业</w:t>
            </w:r>
            <w:r/>
          </w:p>
        </w:tc>
        <w:tc>
          <w:tcPr>
            <w:tcW w:w="579"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工作时间</w:t>
            </w:r>
            <w:r/>
          </w:p>
        </w:tc>
        <w:tc>
          <w:tcPr>
            <w:tcW w:w="636"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工作业绩</w:t>
            </w:r>
            <w:r/>
          </w:p>
        </w:tc>
        <w:tc>
          <w:tcPr>
            <w:tcW w:w="640"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在本项目中职责分工</w:t>
            </w:r>
            <w:r/>
          </w:p>
        </w:tc>
        <w:tc>
          <w:tcPr>
            <w:tcW w:w="1173" w:type="pct"/>
            <w:vAlign w:val="center"/>
            <w:textDirection w:val="lrTb"/>
            <w:noWrap w:val="false"/>
          </w:tcPr>
          <w:p>
            <w:pPr>
              <w:jc w:val="center"/>
              <w:spacing w:after="145" w:line="400" w:lineRule="exact"/>
              <w:rPr>
                <w:rFonts w:hint="eastAsia" w:hAnsi="宋体" w:eastAsia="宋体"/>
                <w:color w:val="auto"/>
                <w:sz w:val="21"/>
                <w:szCs w:val="21"/>
                <w:highlight w:val="none"/>
                <w:lang w:eastAsia="zh-CN"/>
              </w:rPr>
            </w:pPr>
            <w:r>
              <w:rPr>
                <w:rFonts w:hint="eastAsia" w:hAnsi="宋体" w:eastAsia="宋体"/>
                <w:color w:val="auto"/>
                <w:sz w:val="21"/>
                <w:szCs w:val="21"/>
                <w:highlight w:val="none"/>
                <w:lang w:val="en-US" w:eastAsia="zh-CN"/>
              </w:rPr>
              <w:t xml:space="preserve">根据评标标准提供的其他证明材料，可另附页。</w:t>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445"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588"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401"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3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579"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3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64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173"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bl>
    <w:p>
      <w:pPr>
        <w:ind w:left="420" w:hanging="420"/>
        <w:spacing w:after="145" w:line="400" w:lineRule="exact"/>
        <w:rPr>
          <w:rFonts w:hAnsi="宋体"/>
          <w:color w:val="auto"/>
          <w:sz w:val="21"/>
          <w:szCs w:val="21"/>
          <w:highlight w:val="none"/>
        </w:rPr>
      </w:pPr>
      <w:r>
        <w:rPr>
          <w:rFonts w:hAnsi="宋体"/>
          <w:color w:val="auto"/>
          <w:sz w:val="21"/>
          <w:szCs w:val="21"/>
          <w:highlight w:val="none"/>
        </w:rPr>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供应商单位公章：</w:t>
      </w:r>
      <w:r/>
    </w:p>
    <w:p>
      <w:pPr>
        <w:jc w:val="center"/>
        <w:spacing w:line="400" w:lineRule="exact"/>
        <w:rPr>
          <w:rFonts w:hAnsi="宋体"/>
          <w:color w:val="auto"/>
          <w:sz w:val="21"/>
          <w:szCs w:val="21"/>
          <w:highlight w:val="none"/>
        </w:rPr>
      </w:pPr>
      <w:r>
        <w:rPr>
          <w:rFonts w:hint="eastAsia" w:hAnsi="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int="eastAsia" w:hAnsi="宋体"/>
          <w:color w:val="auto"/>
          <w:sz w:val="21"/>
          <w:szCs w:val="21"/>
          <w:highlight w:val="none"/>
        </w:rPr>
        <w:t xml:space="preserve">供应商代表签字</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  </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年   月    日</w:t>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87"/>
        <w:keepLines w:val="0"/>
        <w:keepNext w:val="0"/>
        <w:spacing w:line="400" w:lineRule="exact"/>
        <w:rPr>
          <w:rFonts w:cs="宋体"/>
          <w:color w:val="auto"/>
          <w:highlight w:val="none"/>
        </w:rPr>
      </w:pPr>
      <w:r/>
      <w:bookmarkStart w:id="161" w:name="_Toc401840475"/>
      <w:r/>
      <w:bookmarkStart w:id="162" w:name="_Toc450570292"/>
      <w:r>
        <w:rPr>
          <w:rFonts w:hint="eastAsia" w:cs="宋体"/>
          <w:color w:val="auto"/>
          <w:highlight w:val="none"/>
        </w:rPr>
        <w:t xml:space="preserve">4</w:t>
      </w:r>
      <w:bookmarkEnd w:id="161"/>
      <w:r>
        <w:rPr>
          <w:rFonts w:hint="eastAsia" w:cs="宋体"/>
          <w:color w:val="auto"/>
          <w:highlight w:val="none"/>
        </w:rPr>
        <w:t xml:space="preserve">.服务承诺</w:t>
      </w:r>
      <w:bookmarkEnd w:id="162"/>
      <w:r/>
      <w:r/>
    </w:p>
    <w:p>
      <w:pPr>
        <w:spacing w:line="400" w:lineRule="exact"/>
        <w:rPr>
          <w:color w:val="auto"/>
          <w:highlight w:val="none"/>
        </w:rPr>
      </w:pPr>
      <w:r>
        <w:rPr>
          <w:rFonts w:hint="eastAsia" w:hAnsi="宋体"/>
          <w:color w:val="auto"/>
          <w:sz w:val="21"/>
          <w:szCs w:val="21"/>
          <w:highlight w:val="none"/>
        </w:rPr>
        <w:t xml:space="preserve">（结合评标办法）</w:t>
      </w:r>
      <w:bookmarkStart w:id="163" w:name="_Toc401840476"/>
      <w:r/>
      <w:bookmarkStart w:id="164" w:name="_Toc450570293"/>
      <w:r/>
      <w:r/>
    </w:p>
    <w:p>
      <w:pPr>
        <w:pStyle w:val="887"/>
        <w:keepLines w:val="0"/>
        <w:keepNext w:val="0"/>
        <w:spacing w:line="400" w:lineRule="exact"/>
        <w:rPr>
          <w:rFonts w:cs="宋体"/>
          <w:color w:val="auto"/>
          <w:highlight w:val="none"/>
        </w:rPr>
      </w:pPr>
      <w:r>
        <w:rPr>
          <w:rFonts w:hint="eastAsia" w:cs="宋体"/>
          <w:color w:val="auto"/>
          <w:highlight w:val="none"/>
        </w:rPr>
        <w:br/>
      </w:r>
      <w:r>
        <w:rPr>
          <w:rFonts w:hint="eastAsia" w:cs="宋体"/>
          <w:color w:val="auto"/>
          <w:highlight w:val="none"/>
        </w:rPr>
        <w:t xml:space="preserve">5.其他可以提供的关于投标的证明材料</w:t>
      </w:r>
      <w:bookmarkEnd w:id="163"/>
      <w:r/>
      <w:bookmarkEnd w:id="164"/>
      <w:r>
        <w:rPr>
          <w:rFonts w:hint="eastAsia" w:cs="宋体"/>
          <w:color w:val="auto"/>
          <w:highlight w:val="none"/>
        </w:rPr>
        <w:t xml:space="preserve">（样本、说明书或者检测报告等）</w:t>
      </w:r>
      <w:bookmarkEnd w:id="158"/>
      <w:r/>
      <w:bookmarkEnd w:id="122"/>
      <w:bookmarkEnd w:id="123"/>
      <w:bookmarkEnd w:id="124"/>
      <w:r/>
    </w:p>
    <w:p>
      <w:pPr>
        <w:pStyle w:val="886"/>
        <w:keepLines w:val="0"/>
        <w:keepNext w:val="0"/>
        <w:spacing w:line="400" w:lineRule="exact"/>
        <w:rPr>
          <w:rFonts w:cs="宋体"/>
          <w:color w:val="auto"/>
          <w:szCs w:val="21"/>
          <w:highlight w:val="none"/>
        </w:rPr>
      </w:pPr>
      <w:r>
        <w:rPr>
          <w:rFonts w:hint="eastAsia" w:cs="宋体"/>
          <w:color w:val="auto"/>
          <w:szCs w:val="21"/>
          <w:highlight w:val="none"/>
        </w:rPr>
        <w:t xml:space="preserve">四、服务方案及建议书</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供应商应根据招标文件中《</w:t>
      </w:r>
      <w:r>
        <w:rPr>
          <w:rFonts w:hint="eastAsia" w:hAnsi="宋体" w:eastAsia="宋体"/>
          <w:color w:val="auto"/>
          <w:sz w:val="21"/>
          <w:szCs w:val="21"/>
          <w:highlight w:val="none"/>
          <w:lang w:val="en-US"/>
        </w:rPr>
        <w:t xml:space="preserve">服务</w:t>
      </w:r>
      <w:r>
        <w:rPr>
          <w:rFonts w:hint="eastAsia" w:hAnsi="宋体"/>
          <w:color w:val="auto"/>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（结合评标办法）</w:t>
      </w:r>
      <w:r/>
    </w:p>
    <w:p>
      <w:pPr>
        <w:pStyle w:val="886"/>
        <w:keepLines w:val="0"/>
        <w:keepNext w:val="0"/>
        <w:spacing w:line="400" w:lineRule="exact"/>
        <w:rPr>
          <w:rFonts w:cs="宋体"/>
          <w:color w:val="auto"/>
          <w:szCs w:val="21"/>
          <w:highlight w:val="none"/>
        </w:rPr>
      </w:pPr>
      <w:r/>
      <w:bookmarkStart w:id="165" w:name="_Toc450220983"/>
      <w:r/>
      <w:bookmarkStart w:id="166" w:name="_Toc401840478"/>
      <w:r/>
      <w:bookmarkStart w:id="167" w:name="_Toc450570295"/>
      <w:r>
        <w:rPr>
          <w:rFonts w:hint="eastAsia" w:cs="宋体"/>
          <w:color w:val="auto"/>
          <w:szCs w:val="21"/>
          <w:highlight w:val="none"/>
        </w:rPr>
        <w:t xml:space="preserve">五、政府采购政策</w:t>
      </w:r>
      <w:bookmarkEnd w:id="165"/>
      <w:r/>
      <w:r/>
    </w:p>
    <w:p>
      <w:pPr>
        <w:spacing w:line="400" w:lineRule="exact"/>
        <w:rPr>
          <w:rFonts w:hAnsi="宋体"/>
          <w:bCs/>
          <w:color w:val="auto"/>
          <w:sz w:val="21"/>
          <w:szCs w:val="21"/>
          <w:highlight w:val="none"/>
        </w:rPr>
      </w:pPr>
      <w:r/>
      <w:bookmarkStart w:id="168" w:name="_Toc447021131"/>
      <w:r/>
      <w:bookmarkStart w:id="169" w:name="_Toc450220984"/>
      <w:r>
        <w:rPr>
          <w:rFonts w:hint="eastAsia" w:hAnsi="宋体"/>
          <w:bCs/>
          <w:color w:val="auto"/>
          <w:sz w:val="21"/>
          <w:szCs w:val="21"/>
          <w:highlight w:val="none"/>
        </w:rPr>
        <w:t xml:space="preserve">（一）政府采购促进中小企业发展政策</w:t>
      </w:r>
      <w:bookmarkEnd w:id="168"/>
      <w:r/>
      <w:bookmarkEnd w:id="169"/>
      <w:r/>
      <w:r/>
    </w:p>
    <w:p>
      <w:pPr>
        <w:ind w:firstLine="420"/>
        <w:spacing w:line="400" w:lineRule="exact"/>
        <w:rPr>
          <w:rFonts w:hAnsi="宋体"/>
          <w:b/>
          <w:color w:val="auto"/>
          <w:sz w:val="21"/>
          <w:szCs w:val="21"/>
          <w:highlight w:val="none"/>
        </w:rPr>
      </w:pPr>
      <w:r>
        <w:rPr>
          <w:rFonts w:hAnsi="宋体"/>
          <w:b/>
          <w:color w:val="auto"/>
          <w:sz w:val="21"/>
          <w:szCs w:val="21"/>
          <w:highlight w:val="none"/>
        </w:rPr>
      </w:r>
      <w:r/>
    </w:p>
    <w:p>
      <w:pPr>
        <w:ind w:firstLine="422"/>
        <w:spacing w:line="400" w:lineRule="exact"/>
        <w:rPr>
          <w:rFonts w:hAnsi="宋体"/>
          <w:b/>
          <w:color w:val="auto"/>
          <w:sz w:val="21"/>
          <w:szCs w:val="21"/>
          <w:highlight w:val="none"/>
        </w:rPr>
      </w:pP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rPr>
        <w:t xml:space="preserve">中小</w:t>
      </w:r>
      <w:r>
        <w:rPr>
          <w:rFonts w:hint="eastAsia" w:ascii="宋体" w:hAnsi="宋体" w:eastAsia="宋体"/>
          <w:b/>
          <w:color w:val="auto"/>
          <w:sz w:val="21"/>
          <w:szCs w:val="21"/>
          <w:highlight w:val="none"/>
        </w:rPr>
        <w:t xml:space="preserve">企业声明函</w:t>
      </w:r>
      <w:r>
        <w:rPr>
          <w:rFonts w:hint="eastAsia" w:hAnsi="宋体"/>
          <w:b/>
          <w:color w:val="auto"/>
          <w:sz w:val="21"/>
          <w:szCs w:val="21"/>
          <w:highlight w:val="none"/>
        </w:rPr>
        <w:t xml:space="preserve"> </w:t>
      </w:r>
      <w:r/>
    </w:p>
    <w:p>
      <w:pPr>
        <w:jc w:val="center"/>
        <w:spacing w:line="24" w:lineRule="atLeast"/>
        <w:rPr>
          <w:rFonts w:hAnsi="宋体"/>
          <w:b/>
          <w:bCs/>
          <w:color w:val="auto"/>
          <w:sz w:val="21"/>
          <w:szCs w:val="21"/>
          <w:highlight w:val="none"/>
        </w:rPr>
      </w:pPr>
      <w:r>
        <w:rPr>
          <w:rFonts w:hAnsi="宋体"/>
          <w:b/>
          <w:bCs/>
          <w:color w:val="auto"/>
          <w:sz w:val="21"/>
          <w:szCs w:val="21"/>
          <w:highlight w:val="none"/>
        </w:rPr>
        <w:t xml:space="preserve">中小企业声明函</w:t>
      </w:r>
      <w:r>
        <w:rPr>
          <w:rFonts w:hint="eastAsia" w:hAnsi="宋体"/>
          <w:b/>
          <w:bCs/>
          <w:color w:val="auto"/>
          <w:sz w:val="21"/>
          <w:szCs w:val="21"/>
          <w:highlight w:val="none"/>
        </w:rPr>
        <w:t xml:space="preserve">（</w:t>
      </w:r>
      <w:r>
        <w:rPr>
          <w:rFonts w:hAnsi="宋体"/>
          <w:b/>
          <w:bCs/>
          <w:color w:val="auto"/>
          <w:sz w:val="21"/>
          <w:szCs w:val="21"/>
          <w:highlight w:val="none"/>
        </w:rPr>
        <w:t xml:space="preserve">工程、服务</w:t>
      </w:r>
      <w:r>
        <w:rPr>
          <w:rFonts w:hint="eastAsia" w:hAnsi="宋体"/>
          <w:b/>
          <w:bCs/>
          <w:color w:val="auto"/>
          <w:sz w:val="21"/>
          <w:szCs w:val="21"/>
          <w:highlight w:val="none"/>
        </w:rPr>
        <w:t xml:space="preserve">）</w:t>
      </w:r>
      <w:r/>
    </w:p>
    <w:p>
      <w:pPr>
        <w:jc w:val="center"/>
        <w:spacing w:line="24" w:lineRule="atLeast"/>
        <w:rPr>
          <w:rFonts w:hAnsi="宋体"/>
          <w:b/>
          <w:bCs/>
          <w:color w:val="auto"/>
          <w:sz w:val="21"/>
          <w:szCs w:val="21"/>
          <w:highlight w:val="none"/>
        </w:rPr>
      </w:pPr>
      <w:r>
        <w:rPr>
          <w:rFonts w:hAnsi="宋体"/>
          <w:b/>
          <w:bCs/>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i/>
          <w:iCs/>
          <w:color w:val="auto"/>
          <w:sz w:val="21"/>
          <w:szCs w:val="21"/>
          <w:highlight w:val="none"/>
          <w:u w:val="single"/>
        </w:rPr>
        <w:t xml:space="preserve"> （单位名称）</w:t>
      </w:r>
      <w:r>
        <w:rPr>
          <w:rFonts w:hint="eastAsia" w:ascii="宋体" w:hAnsi="宋体" w:eastAsia="宋体"/>
          <w:color w:val="auto"/>
          <w:sz w:val="21"/>
          <w:szCs w:val="21"/>
          <w:highlight w:val="none"/>
        </w:rPr>
        <w:t xml:space="preserve">的（</w:t>
      </w:r>
      <w:r>
        <w:rPr>
          <w:rFonts w:hint="eastAsia" w:ascii="宋体" w:hAnsi="宋体" w:eastAsia="宋体"/>
          <w:i/>
          <w:iCs/>
          <w:color w:val="auto"/>
          <w:sz w:val="21"/>
          <w:szCs w:val="21"/>
          <w:highlight w:val="none"/>
          <w:u w:val="single"/>
        </w:rPr>
        <w:t xml:space="preserve">项目名称）</w:t>
      </w:r>
      <w:r>
        <w:rPr>
          <w:rFonts w:hint="eastAsia" w:ascii="宋体" w:hAnsi="宋体" w:eastAsia="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i/>
          <w:iCs/>
          <w:color w:val="auto"/>
          <w:sz w:val="21"/>
          <w:szCs w:val="21"/>
          <w:highlight w:val="none"/>
          <w:u w:val="single"/>
        </w:rPr>
        <w:t xml:space="preserve">（标的名称）</w:t>
      </w:r>
      <w:r>
        <w:rPr>
          <w:rFonts w:hint="eastAsia" w:ascii="宋体" w:hAnsi="宋体" w:eastAsia="宋体"/>
          <w:color w:val="auto"/>
          <w:sz w:val="21"/>
          <w:szCs w:val="21"/>
          <w:highlight w:val="none"/>
        </w:rPr>
        <w:t xml:space="preserve">，属于</w:t>
      </w:r>
      <w:r>
        <w:rPr>
          <w:rFonts w:hint="eastAsia" w:ascii="宋体" w:hAnsi="宋体" w:eastAsia="宋体"/>
          <w:i/>
          <w:iCs/>
          <w:color w:val="auto"/>
          <w:sz w:val="21"/>
          <w:szCs w:val="21"/>
          <w:highlight w:val="none"/>
          <w:u w:val="single"/>
        </w:rPr>
        <w:t xml:space="preserve">（采购文件中明确的所属行业）</w:t>
      </w:r>
      <w:r>
        <w:rPr>
          <w:rFonts w:hint="eastAsia" w:ascii="宋体" w:hAnsi="宋体" w:eastAsia="宋体"/>
          <w:color w:val="auto"/>
          <w:sz w:val="21"/>
          <w:szCs w:val="21"/>
          <w:highlight w:val="none"/>
        </w:rPr>
        <w:t xml:space="preserve">；承建（承接）企业为</w:t>
      </w:r>
      <w:r>
        <w:rPr>
          <w:rFonts w:hint="eastAsia" w:ascii="宋体" w:hAnsi="宋体" w:eastAsia="宋体"/>
          <w:i/>
          <w:iCs/>
          <w:color w:val="auto"/>
          <w:sz w:val="21"/>
          <w:szCs w:val="21"/>
          <w:highlight w:val="none"/>
          <w:u w:val="single"/>
        </w:rPr>
        <w:t xml:space="preserve">（企业名称）</w:t>
      </w:r>
      <w:r>
        <w:rPr>
          <w:rFonts w:hint="eastAsia" w:ascii="宋体" w:hAnsi="宋体" w:eastAsia="宋体"/>
          <w:color w:val="auto"/>
          <w:sz w:val="21"/>
          <w:szCs w:val="21"/>
          <w:highlight w:val="none"/>
        </w:rPr>
        <w:t xml:space="preserve">，从业人员人，营业收入为万元，资产总额为万元，属于</w:t>
      </w:r>
      <w:r>
        <w:rPr>
          <w:rFonts w:hint="eastAsia" w:ascii="宋体" w:hAnsi="宋体" w:eastAsia="宋体"/>
          <w:i/>
          <w:iCs/>
          <w:color w:val="auto"/>
          <w:sz w:val="21"/>
          <w:szCs w:val="21"/>
          <w:highlight w:val="none"/>
          <w:u w:val="single"/>
        </w:rPr>
        <w:t xml:space="preserve">（中型企业、小型企业、微型企业）</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i/>
          <w:iCs/>
          <w:color w:val="auto"/>
          <w:sz w:val="21"/>
          <w:szCs w:val="21"/>
          <w:highlight w:val="none"/>
          <w:u w:val="single"/>
        </w:rPr>
        <w:t xml:space="preserve">（标的名称） </w:t>
      </w:r>
      <w:r>
        <w:rPr>
          <w:rFonts w:hint="eastAsia" w:ascii="宋体" w:hAnsi="宋体" w:eastAsia="宋体"/>
          <w:color w:val="auto"/>
          <w:sz w:val="21"/>
          <w:szCs w:val="21"/>
          <w:highlight w:val="none"/>
        </w:rPr>
        <w:t xml:space="preserve">，属于</w:t>
      </w:r>
      <w:r>
        <w:rPr>
          <w:rFonts w:hint="eastAsia" w:ascii="宋体" w:hAnsi="宋体" w:eastAsia="宋体"/>
          <w:i/>
          <w:iCs/>
          <w:color w:val="auto"/>
          <w:sz w:val="21"/>
          <w:szCs w:val="21"/>
          <w:highlight w:val="none"/>
          <w:u w:val="single"/>
        </w:rPr>
        <w:t xml:space="preserve">（采购文件中明确的所属行业）</w:t>
      </w:r>
      <w:r>
        <w:rPr>
          <w:rFonts w:hint="eastAsia" w:ascii="宋体" w:hAnsi="宋体" w:eastAsia="宋体"/>
          <w:color w:val="auto"/>
          <w:sz w:val="21"/>
          <w:szCs w:val="21"/>
          <w:highlight w:val="none"/>
        </w:rPr>
        <w:t xml:space="preserve">；承建（承接）企业为（</w:t>
      </w:r>
      <w:r>
        <w:rPr>
          <w:rFonts w:hint="eastAsia" w:ascii="宋体" w:hAnsi="宋体" w:eastAsia="宋体"/>
          <w:i/>
          <w:iCs/>
          <w:color w:val="auto"/>
          <w:sz w:val="21"/>
          <w:szCs w:val="21"/>
          <w:highlight w:val="none"/>
          <w:u w:val="single"/>
        </w:rPr>
        <w:t xml:space="preserve">企业名称）</w:t>
      </w:r>
      <w:r>
        <w:rPr>
          <w:rFonts w:hint="eastAsia" w:ascii="宋体" w:hAnsi="宋体" w:eastAsia="宋体"/>
          <w:color w:val="auto"/>
          <w:sz w:val="21"/>
          <w:szCs w:val="21"/>
          <w:highlight w:val="none"/>
        </w:rPr>
        <w:t xml:space="preserve">，从业人员人，营业收入为万元，资产总额为万元，属于</w:t>
      </w:r>
      <w:r>
        <w:rPr>
          <w:rFonts w:hint="eastAsia" w:ascii="宋体" w:hAnsi="宋体" w:eastAsia="宋体"/>
          <w:i/>
          <w:iCs/>
          <w:color w:val="auto"/>
          <w:sz w:val="21"/>
          <w:szCs w:val="21"/>
          <w:highlight w:val="none"/>
          <w:u w:val="single"/>
        </w:rPr>
        <w:t xml:space="preserve">（中型企业、小型企业、微型企业）</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本企业对上述声明内容的真实性负责。如有虚假，将依法承担相应责任。</w:t>
      </w:r>
      <w:r/>
    </w:p>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企业名称（盖章）：</w:t>
      </w:r>
      <w:r/>
    </w:p>
    <w:p>
      <w:pPr>
        <w:jc w:val="center"/>
        <w:spacing w:line="360" w:lineRule="auto"/>
        <w:rPr>
          <w:rFonts w:hAnsi="宋体"/>
          <w:color w:val="auto"/>
          <w:sz w:val="21"/>
          <w:szCs w:val="21"/>
          <w:highlight w:val="none"/>
        </w:rPr>
      </w:pPr>
      <w:r>
        <w:rPr>
          <w:rFonts w:hint="eastAsia" w:ascii="宋体" w:hAnsi="宋体" w:eastAsia="宋体"/>
          <w:color w:val="auto"/>
          <w:sz w:val="21"/>
          <w:szCs w:val="21"/>
          <w:highlight w:val="none"/>
        </w:rPr>
        <w:t xml:space="preserve">日期：</w:t>
      </w:r>
      <w:r/>
    </w:p>
    <w:p>
      <w:pPr>
        <w:ind w:firstLine="420"/>
        <w:jc w:val="left"/>
        <w:spacing w:line="400" w:lineRule="exact"/>
        <w:rPr>
          <w:rFonts w:hAnsi="宋体"/>
          <w:color w:val="auto"/>
          <w:sz w:val="21"/>
          <w:szCs w:val="21"/>
          <w:highlight w:val="none"/>
        </w:rPr>
      </w:pPr>
      <w:r>
        <w:rPr>
          <w:rFonts w:hAnsi="宋体"/>
          <w:color w:val="auto"/>
          <w:sz w:val="21"/>
          <w:szCs w:val="21"/>
          <w:highlight w:val="none"/>
        </w:rPr>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86"/>
        <w:spacing w:line="400" w:lineRule="exact"/>
        <w:rPr>
          <w:rFonts w:ascii="方正小标宋简体" w:hAnsi="Arial" w:eastAsia="方正小标宋简体" w:cs="Arial"/>
          <w:color w:val="auto"/>
          <w:spacing w:val="9"/>
          <w:sz w:val="36"/>
          <w:szCs w:val="36"/>
          <w:highlight w:val="none"/>
        </w:rPr>
        <w:sectPr>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color w:val="auto"/>
          <w:szCs w:val="21"/>
          <w:highlight w:val="none"/>
        </w:rPr>
        <w:t xml:space="preserve">六、其他针对评标办法的其他相关文件</w:t>
      </w:r>
      <w:bookmarkEnd w:id="115"/>
      <w:r/>
      <w:bookmarkEnd w:id="116"/>
      <w:r/>
      <w:bookmarkEnd w:id="117"/>
      <w:r/>
      <w:bookmarkEnd w:id="118"/>
      <w:r/>
      <w:bookmarkEnd w:id="119"/>
      <w:r/>
      <w:bookmarkEnd w:id="120"/>
      <w:r/>
      <w:bookmarkEnd w:id="121"/>
      <w:r/>
      <w:bookmarkEnd w:id="166"/>
      <w:r/>
      <w:bookmarkEnd w:id="167"/>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PingFang SC Regular">
    <w:panose1 w:val="020B0503020202020204"/>
  </w:font>
  <w:font w:name="仿宋">
    <w:panose1 w:val="02010609060101010101"/>
  </w:font>
  <w:font w:name="Wingdings">
    <w:panose1 w:val="05000000000000000000"/>
  </w:font>
  <w:font w:name="华文楷体">
    <w:panose1 w:val="02010600040101010101"/>
  </w:font>
  <w:font w:name="汉仪大黑简">
    <w:panose1 w:val="020B0503020202020204"/>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隶书">
    <w:panose1 w:val="020105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0"/>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21</w:t>
                          </w:r>
                          <w:r>
                            <w:rPr>
                              <w:rFonts w:eastAsia="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21</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ascii="微软雅黑" w:hAnsi="微软雅黑" w:eastAsia="微软雅黑"/>
        <w:color w:val="595959"/>
      </w:rPr>
      <w:pBdr>
        <w:bottom w:val="single" w:color="auto" w:sz="4" w:space="0"/>
      </w:pBdr>
    </w:pPr>
    <w:r>
      <w:rPr>
        <w:rFonts w:hint="eastAsia" w:ascii="微软雅黑" w:hAnsi="微软雅黑" w:eastAsia="微软雅黑"/>
        <w:color w:val="595959"/>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6"/>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36"/>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6"/>
      <w:numFmt w:val="japaneseCounting"/>
      <w:isLgl w:val="false"/>
      <w:suff w:val="tab"/>
      <w:lvlText w:val="%2、"/>
      <w:lvlJc w:val="left"/>
      <w:pPr>
        <w:ind w:left="1140" w:hanging="720"/>
        <w:tabs>
          <w:tab w:val="left" w:pos="114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2"/>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pStyle w:val="99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5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8">
    <w:multiLevelType w:val="hybridMultilevel"/>
    <w:lvl w:ilvl="0">
      <w:start w:val="1"/>
      <w:numFmt w:val="decimal"/>
      <w:pStyle w:val="110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1">
    <w:multiLevelType w:val="hybridMultilevel"/>
    <w:lvl w:ilvl="0">
      <w:start w:val="1"/>
      <w:numFmt w:val="bullet"/>
      <w:pStyle w:val="128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2"/>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6"/>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3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36"/>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4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49"/>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pStyle w:val="1221"/>
      <w:isLgl w:val="false"/>
      <w:suff w:val="tab"/>
      <w:lvlText w:val="%1"/>
      <w:lvlJc w:val="left"/>
      <w:pPr>
        <w:ind w:left="567" w:hanging="567"/>
        <w:tabs>
          <w:tab w:val="left" w:pos="567" w:leader="none"/>
        </w:tabs>
      </w:pPr>
      <w:rPr>
        <w:rFonts w:hint="eastAsia"/>
      </w:rPr>
    </w:lvl>
    <w:lvl w:ilvl="1">
      <w:start w:val="1"/>
      <w:numFmt w:val="decimal"/>
      <w:pStyle w:val="1164"/>
      <w:isLgl w:val="false"/>
      <w:suff w:val="tab"/>
      <w:lvlText w:val="%1.%2"/>
      <w:lvlJc w:val="left"/>
      <w:pPr>
        <w:ind w:left="567" w:hanging="283"/>
        <w:tabs>
          <w:tab w:val="left" w:pos="1004" w:leader="none"/>
        </w:tabs>
      </w:pPr>
      <w:rPr>
        <w:rFonts w:hint="eastAsia"/>
      </w:rPr>
    </w:lvl>
    <w:lvl w:ilvl="2">
      <w:start w:val="1"/>
      <w:numFmt w:val="decimal"/>
      <w:pStyle w:val="116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49"/>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4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32"/>
  </w:num>
  <w:num w:numId="3">
    <w:abstractNumId w:val="38"/>
  </w:num>
  <w:num w:numId="4">
    <w:abstractNumId w:val="48"/>
  </w:num>
  <w:num w:numId="5">
    <w:abstractNumId w:val="41"/>
  </w:num>
  <w:num w:numId="6">
    <w:abstractNumId w:val="49"/>
  </w:num>
  <w:num w:numId="7">
    <w:abstractNumId w:val="9"/>
  </w:num>
  <w:num w:numId="8">
    <w:abstractNumId w:val="28"/>
  </w:num>
  <w:num w:numId="9">
    <w:abstractNumId w:val="53"/>
  </w:num>
  <w:num w:numId="10">
    <w:abstractNumId w:val="14"/>
  </w:num>
  <w:num w:numId="11">
    <w:abstractNumId w:val="7"/>
  </w:num>
  <w:num w:numId="12">
    <w:abstractNumId w:val="2"/>
  </w:num>
  <w:num w:numId="13">
    <w:abstractNumId w:val="18"/>
  </w:num>
  <w:num w:numId="14">
    <w:abstractNumId w:val="15"/>
  </w:num>
  <w:num w:numId="15">
    <w:abstractNumId w:val="1"/>
  </w:num>
  <w:num w:numId="16">
    <w:abstractNumId w:val="11"/>
  </w:num>
  <w:num w:numId="17">
    <w:abstractNumId w:val="19"/>
  </w:num>
  <w:num w:numId="18">
    <w:abstractNumId w:val="54"/>
  </w:num>
  <w:num w:numId="19">
    <w:abstractNumId w:val="6"/>
  </w:num>
  <w:num w:numId="20">
    <w:abstractNumId w:val="4"/>
  </w:num>
  <w:num w:numId="21">
    <w:abstractNumId w:val="25"/>
  </w:num>
  <w:num w:numId="22">
    <w:abstractNumId w:val="23"/>
  </w:num>
  <w:num w:numId="23">
    <w:abstractNumId w:val="40"/>
  </w:num>
  <w:num w:numId="24">
    <w:abstractNumId w:val="26"/>
  </w:num>
  <w:num w:numId="25">
    <w:abstractNumId w:val="42"/>
  </w:num>
  <w:num w:numId="26">
    <w:abstractNumId w:val="24"/>
  </w:num>
  <w:num w:numId="27">
    <w:abstractNumId w:val="43"/>
  </w:num>
  <w:num w:numId="28">
    <w:abstractNumId w:val="44"/>
  </w:num>
  <w:num w:numId="29">
    <w:abstractNumId w:val="30"/>
  </w:num>
  <w:num w:numId="30">
    <w:abstractNumId w:val="45"/>
  </w:num>
  <w:num w:numId="31">
    <w:abstractNumId w:val="46"/>
  </w:num>
  <w:num w:numId="32">
    <w:abstractNumId w:val="47"/>
  </w:num>
  <w:num w:numId="33">
    <w:abstractNumId w:val="12"/>
  </w:num>
  <w:num w:numId="34">
    <w:abstractNumId w:val="16"/>
  </w:num>
  <w:num w:numId="35">
    <w:abstractNumId w:val="33"/>
  </w:num>
  <w:num w:numId="36">
    <w:abstractNumId w:val="36"/>
  </w:num>
  <w:num w:numId="37">
    <w:abstractNumId w:val="21"/>
  </w:num>
  <w:num w:numId="38">
    <w:abstractNumId w:val="50"/>
  </w:num>
  <w:num w:numId="39">
    <w:abstractNumId w:val="34"/>
  </w:num>
  <w:num w:numId="40">
    <w:abstractNumId w:val="20"/>
  </w:num>
  <w:num w:numId="41">
    <w:abstractNumId w:val="35"/>
  </w:num>
  <w:num w:numId="42">
    <w:abstractNumId w:val="13"/>
  </w:num>
  <w:num w:numId="43">
    <w:abstractNumId w:val="22"/>
  </w:num>
  <w:num w:numId="44">
    <w:abstractNumId w:val="5"/>
  </w:num>
  <w:num w:numId="45">
    <w:abstractNumId w:val="52"/>
  </w:num>
  <w:num w:numId="46">
    <w:abstractNumId w:val="29"/>
  </w:num>
  <w:num w:numId="47">
    <w:abstractNumId w:val="39"/>
  </w:num>
  <w:num w:numId="48">
    <w:abstractNumId w:val="17"/>
  </w:num>
  <w:num w:numId="49">
    <w:abstractNumId w:val="27"/>
  </w:num>
  <w:num w:numId="50">
    <w:abstractNumId w:val="31"/>
  </w:num>
  <w:num w:numId="51">
    <w:abstractNumId w:val="3"/>
  </w:num>
  <w:num w:numId="52">
    <w:abstractNumId w:val="8"/>
  </w:num>
  <w:num w:numId="53">
    <w:abstractNumId w:val="0"/>
  </w:num>
  <w:num w:numId="54">
    <w:abstractNumId w:val="10"/>
  </w:num>
  <w:num w:numId="55">
    <w:abstractNumId w:val="55"/>
  </w:num>
  <w:num w:numId="5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4"/>
    <w:link w:val="885"/>
    <w:uiPriority w:val="9"/>
    <w:rPr>
      <w:rFonts w:ascii="Arial" w:hAnsi="Arial" w:eastAsia="Arial" w:cs="Arial"/>
      <w:sz w:val="40"/>
      <w:szCs w:val="40"/>
    </w:rPr>
  </w:style>
  <w:style w:type="character" w:styleId="15">
    <w:name w:val="Heading 2 Char"/>
    <w:basedOn w:val="894"/>
    <w:link w:val="886"/>
    <w:uiPriority w:val="9"/>
    <w:rPr>
      <w:rFonts w:ascii="Arial" w:hAnsi="Arial" w:eastAsia="Arial" w:cs="Arial"/>
      <w:sz w:val="34"/>
    </w:rPr>
  </w:style>
  <w:style w:type="character" w:styleId="17">
    <w:name w:val="Heading 3 Char"/>
    <w:basedOn w:val="894"/>
    <w:link w:val="887"/>
    <w:uiPriority w:val="9"/>
    <w:rPr>
      <w:rFonts w:ascii="Arial" w:hAnsi="Arial" w:eastAsia="Arial" w:cs="Arial"/>
      <w:sz w:val="30"/>
      <w:szCs w:val="30"/>
    </w:rPr>
  </w:style>
  <w:style w:type="character" w:styleId="19">
    <w:name w:val="Heading 4 Char"/>
    <w:basedOn w:val="894"/>
    <w:link w:val="888"/>
    <w:uiPriority w:val="9"/>
    <w:rPr>
      <w:rFonts w:ascii="Arial" w:hAnsi="Arial" w:eastAsia="Arial" w:cs="Arial"/>
      <w:b/>
      <w:bCs/>
      <w:sz w:val="26"/>
      <w:szCs w:val="26"/>
    </w:rPr>
  </w:style>
  <w:style w:type="character" w:styleId="21">
    <w:name w:val="Heading 5 Char"/>
    <w:basedOn w:val="894"/>
    <w:link w:val="889"/>
    <w:uiPriority w:val="9"/>
    <w:rPr>
      <w:rFonts w:ascii="Arial" w:hAnsi="Arial" w:eastAsia="Arial" w:cs="Arial"/>
      <w:b/>
      <w:bCs/>
      <w:sz w:val="24"/>
      <w:szCs w:val="24"/>
    </w:rPr>
  </w:style>
  <w:style w:type="character" w:styleId="23">
    <w:name w:val="Heading 6 Char"/>
    <w:basedOn w:val="894"/>
    <w:link w:val="890"/>
    <w:uiPriority w:val="9"/>
    <w:rPr>
      <w:rFonts w:ascii="Arial" w:hAnsi="Arial" w:eastAsia="Arial" w:cs="Arial"/>
      <w:b/>
      <w:bCs/>
      <w:sz w:val="22"/>
      <w:szCs w:val="22"/>
    </w:rPr>
  </w:style>
  <w:style w:type="character" w:styleId="25">
    <w:name w:val="Heading 7 Char"/>
    <w:basedOn w:val="894"/>
    <w:link w:val="891"/>
    <w:uiPriority w:val="9"/>
    <w:rPr>
      <w:rFonts w:ascii="Arial" w:hAnsi="Arial" w:eastAsia="Arial" w:cs="Arial"/>
      <w:b/>
      <w:bCs/>
      <w:i/>
      <w:iCs/>
      <w:sz w:val="22"/>
      <w:szCs w:val="22"/>
    </w:rPr>
  </w:style>
  <w:style w:type="character" w:styleId="27">
    <w:name w:val="Heading 8 Char"/>
    <w:basedOn w:val="894"/>
    <w:link w:val="892"/>
    <w:uiPriority w:val="9"/>
    <w:rPr>
      <w:rFonts w:ascii="Arial" w:hAnsi="Arial" w:eastAsia="Arial" w:cs="Arial"/>
      <w:i/>
      <w:iCs/>
      <w:sz w:val="22"/>
      <w:szCs w:val="22"/>
    </w:rPr>
  </w:style>
  <w:style w:type="character" w:styleId="29">
    <w:name w:val="Heading 9 Char"/>
    <w:basedOn w:val="894"/>
    <w:link w:val="893"/>
    <w:uiPriority w:val="9"/>
    <w:rPr>
      <w:rFonts w:ascii="Arial" w:hAnsi="Arial" w:eastAsia="Arial" w:cs="Arial"/>
      <w:i/>
      <w:iCs/>
      <w:sz w:val="21"/>
      <w:szCs w:val="21"/>
    </w:rPr>
  </w:style>
  <w:style w:type="character" w:styleId="34">
    <w:name w:val="Title Char"/>
    <w:basedOn w:val="894"/>
    <w:link w:val="940"/>
    <w:uiPriority w:val="10"/>
    <w:rPr>
      <w:sz w:val="48"/>
      <w:szCs w:val="48"/>
    </w:rPr>
  </w:style>
  <w:style w:type="character" w:styleId="36">
    <w:name w:val="Subtitle Char"/>
    <w:basedOn w:val="894"/>
    <w:link w:val="927"/>
    <w:uiPriority w:val="11"/>
    <w:rPr>
      <w:sz w:val="24"/>
      <w:szCs w:val="24"/>
    </w:rPr>
  </w:style>
  <w:style w:type="character" w:styleId="38">
    <w:name w:val="Quote Char"/>
    <w:link w:val="1016"/>
    <w:uiPriority w:val="29"/>
    <w:rPr>
      <w:i/>
    </w:rPr>
  </w:style>
  <w:style w:type="character" w:styleId="40">
    <w:name w:val="Intense Quote Char"/>
    <w:link w:val="1000"/>
    <w:uiPriority w:val="30"/>
    <w:rPr>
      <w:i/>
    </w:rPr>
  </w:style>
  <w:style w:type="character" w:styleId="42">
    <w:name w:val="Header Char"/>
    <w:basedOn w:val="894"/>
    <w:link w:val="921"/>
    <w:uiPriority w:val="99"/>
  </w:style>
  <w:style w:type="character" w:styleId="44">
    <w:name w:val="Footer Char"/>
    <w:basedOn w:val="894"/>
    <w:link w:val="920"/>
    <w:uiPriority w:val="99"/>
  </w:style>
  <w:style w:type="paragraph" w:styleId="45">
    <w:name w:val="Caption"/>
    <w:basedOn w:val="884"/>
    <w:next w:val="884"/>
    <w:uiPriority w:val="35"/>
    <w:semiHidden/>
    <w:unhideWhenUsed/>
    <w:qFormat/>
    <w:pPr>
      <w:spacing w:line="276" w:lineRule="auto"/>
    </w:pPr>
    <w:rPr>
      <w:b/>
      <w:bCs/>
      <w:color w:val="4f81bd" w:themeColor="accent1"/>
      <w:sz w:val="18"/>
      <w:szCs w:val="18"/>
    </w:rPr>
  </w:style>
  <w:style w:type="character" w:styleId="46">
    <w:name w:val="Caption Char"/>
    <w:basedOn w:val="45"/>
    <w:link w:val="920"/>
    <w:uiPriority w:val="99"/>
  </w:style>
  <w:style w:type="table" w:styleId="48">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8"/>
    <w:uiPriority w:val="99"/>
    <w:rPr>
      <w:sz w:val="18"/>
    </w:rPr>
  </w:style>
  <w:style w:type="character" w:styleId="178">
    <w:name w:val="Endnote Text Char"/>
    <w:link w:val="918"/>
    <w:uiPriority w:val="99"/>
    <w:rPr>
      <w:sz w:val="20"/>
    </w:rPr>
  </w:style>
  <w:style w:type="paragraph" w:styleId="189">
    <w:name w:val="TOC Heading"/>
    <w:uiPriority w:val="39"/>
    <w:unhideWhenUsed/>
  </w:style>
  <w:style w:type="paragraph" w:styleId="884" w:default="1">
    <w:name w:val="Normal"/>
    <w:uiPriority w:val="0"/>
    <w:qFormat/>
    <w:pPr>
      <w:jc w:val="both"/>
      <w:widowControl w:val="off"/>
    </w:pPr>
    <w:rPr>
      <w:rFonts w:ascii="Calibri" w:hAnsi="Calibri" w:eastAsia="Calibri" w:cs="宋体"/>
      <w:lang w:val="zh-CN" w:eastAsia="zh-CN" w:bidi="ar-SA"/>
    </w:rPr>
  </w:style>
  <w:style w:type="paragraph" w:styleId="885">
    <w:name w:val="Heading 1"/>
    <w:basedOn w:val="884"/>
    <w:next w:val="884"/>
    <w:link w:val="959"/>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86">
    <w:name w:val="Heading 2"/>
    <w:basedOn w:val="884"/>
    <w:next w:val="884"/>
    <w:link w:val="960"/>
    <w:uiPriority w:val="0"/>
    <w:qFormat/>
    <w:pPr>
      <w:jc w:val="left"/>
      <w:keepLines/>
      <w:keepNext/>
      <w:spacing w:before="120" w:after="120"/>
      <w:outlineLvl w:val="1"/>
    </w:pPr>
    <w:rPr>
      <w:rFonts w:ascii="宋体" w:hAnsi="宋体" w:eastAsia="宋体" w:cs="Times New Roman"/>
      <w:b/>
      <w:sz w:val="21"/>
      <w:szCs w:val="24"/>
      <w:lang w:val="en-US"/>
    </w:rPr>
  </w:style>
  <w:style w:type="paragraph" w:styleId="887">
    <w:name w:val="Heading 3"/>
    <w:basedOn w:val="884"/>
    <w:next w:val="884"/>
    <w:link w:val="1061"/>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88">
    <w:name w:val="Heading 4"/>
    <w:basedOn w:val="884"/>
    <w:next w:val="884"/>
    <w:link w:val="962"/>
    <w:uiPriority w:val="0"/>
    <w:qFormat/>
    <w:pPr>
      <w:keepLines/>
      <w:keepNext/>
      <w:spacing w:before="120" w:after="120"/>
      <w:outlineLvl w:val="3"/>
    </w:pPr>
    <w:rPr>
      <w:rFonts w:ascii="Arial" w:hAnsi="Arial" w:eastAsia="黑体" w:cs="Times New Roman"/>
      <w:b/>
      <w:sz w:val="28"/>
      <w:lang w:val="en-US"/>
    </w:rPr>
  </w:style>
  <w:style w:type="paragraph" w:styleId="889">
    <w:name w:val="Heading 5"/>
    <w:basedOn w:val="884"/>
    <w:next w:val="896"/>
    <w:link w:val="963"/>
    <w:uiPriority w:val="0"/>
    <w:qFormat/>
    <w:pPr>
      <w:keepNext/>
      <w:outlineLvl w:val="4"/>
    </w:pPr>
    <w:rPr>
      <w:rFonts w:ascii="黑体" w:eastAsia="黑体" w:cs="Times New Roman"/>
      <w:b/>
      <w:color w:val="000000"/>
      <w:sz w:val="28"/>
      <w:lang w:val="en-US"/>
    </w:rPr>
  </w:style>
  <w:style w:type="paragraph" w:styleId="890">
    <w:name w:val="Heading 6"/>
    <w:basedOn w:val="884"/>
    <w:next w:val="884"/>
    <w:link w:val="964"/>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91">
    <w:name w:val="Heading 7"/>
    <w:basedOn w:val="884"/>
    <w:next w:val="884"/>
    <w:link w:val="965"/>
    <w:uiPriority w:val="0"/>
    <w:qFormat/>
    <w:pPr>
      <w:keepLines/>
      <w:keepNext/>
      <w:spacing w:before="240" w:after="64" w:line="320" w:lineRule="auto"/>
      <w:outlineLvl w:val="6"/>
    </w:pPr>
    <w:rPr>
      <w:rFonts w:eastAsia="宋体" w:cs="Times New Roman"/>
      <w:b/>
      <w:bCs/>
      <w:sz w:val="24"/>
      <w:szCs w:val="24"/>
      <w:lang w:val="en-US"/>
    </w:rPr>
  </w:style>
  <w:style w:type="paragraph" w:styleId="892">
    <w:name w:val="Heading 8"/>
    <w:basedOn w:val="884"/>
    <w:next w:val="884"/>
    <w:link w:val="966"/>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93">
    <w:name w:val="Heading 9"/>
    <w:basedOn w:val="884"/>
    <w:next w:val="884"/>
    <w:link w:val="96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Normal Indent"/>
    <w:basedOn w:val="884"/>
    <w:uiPriority w:val="0"/>
    <w:qFormat/>
    <w:pPr>
      <w:ind w:firstLine="420"/>
    </w:pPr>
  </w:style>
  <w:style w:type="paragraph" w:styleId="897">
    <w:name w:val="List 3"/>
    <w:basedOn w:val="884"/>
    <w:uiPriority w:val="0"/>
    <w:qFormat/>
    <w:pPr>
      <w:ind w:left="1260" w:hanging="420"/>
    </w:pPr>
  </w:style>
  <w:style w:type="paragraph" w:styleId="898">
    <w:name w:val="toc 7"/>
    <w:basedOn w:val="884"/>
    <w:next w:val="884"/>
    <w:uiPriority w:val="0"/>
    <w:semiHidden/>
    <w:qFormat/>
    <w:pPr>
      <w:ind w:left="1260"/>
      <w:jc w:val="left"/>
    </w:pPr>
    <w:rPr>
      <w:sz w:val="18"/>
    </w:rPr>
  </w:style>
  <w:style w:type="paragraph" w:styleId="899">
    <w:name w:val="List Number 2"/>
    <w:basedOn w:val="884"/>
    <w:uiPriority w:val="0"/>
    <w:qFormat/>
    <w:pPr>
      <w:ind w:left="1440" w:hanging="1440"/>
      <w:spacing w:line="360" w:lineRule="auto"/>
      <w:tabs>
        <w:tab w:val="left" w:pos="1440" w:leader="none"/>
      </w:tabs>
    </w:pPr>
    <w:rPr>
      <w:sz w:val="24"/>
      <w:szCs w:val="24"/>
    </w:rPr>
  </w:style>
  <w:style w:type="paragraph" w:styleId="900">
    <w:name w:val="index 8"/>
    <w:basedOn w:val="884"/>
    <w:next w:val="884"/>
    <w:uiPriority w:val="0"/>
    <w:semiHidden/>
    <w:qFormat/>
    <w:pPr>
      <w:ind w:left="2940"/>
    </w:pPr>
  </w:style>
  <w:style w:type="paragraph" w:styleId="901">
    <w:name w:val="List Number"/>
    <w:basedOn w:val="884"/>
    <w:uiPriority w:val="0"/>
    <w:qFormat/>
    <w:pPr>
      <w:ind w:left="2952" w:hanging="432"/>
      <w:tabs>
        <w:tab w:val="left" w:pos="2952" w:leader="none"/>
      </w:tabs>
    </w:pPr>
    <w:rPr>
      <w:szCs w:val="24"/>
    </w:rPr>
  </w:style>
  <w:style w:type="paragraph" w:styleId="902">
    <w:name w:val="index 5"/>
    <w:basedOn w:val="884"/>
    <w:next w:val="884"/>
    <w:uiPriority w:val="0"/>
    <w:semiHidden/>
    <w:qFormat/>
    <w:pPr>
      <w:ind w:left="1680"/>
    </w:pPr>
  </w:style>
  <w:style w:type="paragraph" w:styleId="903">
    <w:name w:val="Document Map"/>
    <w:basedOn w:val="884"/>
    <w:link w:val="1006"/>
    <w:uiPriority w:val="0"/>
    <w:semiHidden/>
    <w:qFormat/>
    <w:pPr>
      <w:shd w:val="clear" w:color="auto" w:fill="000080"/>
    </w:pPr>
    <w:rPr>
      <w:rFonts w:eastAsia="宋体" w:asciiTheme="minorHAnsi" w:hAnsiTheme="minorHAnsi" w:cstheme="minorBidi"/>
      <w:sz w:val="21"/>
      <w:szCs w:val="22"/>
      <w:lang w:val="en-US"/>
    </w:rPr>
  </w:style>
  <w:style w:type="paragraph" w:styleId="904">
    <w:name w:val="annotation text"/>
    <w:basedOn w:val="884"/>
    <w:link w:val="1124"/>
    <w:uiPriority w:val="99"/>
    <w:unhideWhenUsed/>
    <w:qFormat/>
    <w:pPr>
      <w:jc w:val="left"/>
    </w:pPr>
  </w:style>
  <w:style w:type="paragraph" w:styleId="905">
    <w:name w:val="index 6"/>
    <w:basedOn w:val="884"/>
    <w:next w:val="884"/>
    <w:uiPriority w:val="0"/>
    <w:semiHidden/>
    <w:qFormat/>
    <w:pPr>
      <w:ind w:left="2100"/>
    </w:pPr>
  </w:style>
  <w:style w:type="paragraph" w:styleId="906">
    <w:name w:val="Salutation"/>
    <w:basedOn w:val="884"/>
    <w:next w:val="884"/>
    <w:link w:val="1166"/>
    <w:uiPriority w:val="0"/>
    <w:qFormat/>
    <w:rPr>
      <w:rFonts w:ascii="仿宋_GB2312" w:eastAsia="仿宋_GB2312"/>
      <w:sz w:val="28"/>
    </w:rPr>
  </w:style>
  <w:style w:type="paragraph" w:styleId="907">
    <w:name w:val="Body Text 3"/>
    <w:basedOn w:val="884"/>
    <w:link w:val="1156"/>
    <w:uiPriority w:val="0"/>
    <w:qFormat/>
    <w:rPr>
      <w:rFonts w:ascii="仿宋_GB2312" w:hAnsi="Arial" w:eastAsia="仿宋_GB2312"/>
      <w:sz w:val="32"/>
    </w:rPr>
  </w:style>
  <w:style w:type="paragraph" w:styleId="908">
    <w:name w:val="Body Text"/>
    <w:basedOn w:val="884"/>
    <w:link w:val="1108"/>
    <w:uiPriority w:val="0"/>
    <w:unhideWhenUsed/>
    <w:qFormat/>
    <w:pPr>
      <w:spacing w:after="120"/>
    </w:pPr>
  </w:style>
  <w:style w:type="paragraph" w:styleId="909">
    <w:name w:val="Body Text Indent"/>
    <w:basedOn w:val="884"/>
    <w:link w:val="1047"/>
    <w:uiPriority w:val="0"/>
    <w:qFormat/>
    <w:pPr>
      <w:ind w:firstLine="645"/>
    </w:pPr>
    <w:rPr>
      <w:rFonts w:ascii="楷体_GB2312" w:eastAsia="楷体_GB2312" w:hAnsiTheme="minorHAnsi" w:cstheme="minorBidi"/>
      <w:sz w:val="32"/>
      <w:szCs w:val="22"/>
      <w:lang w:val="en-US"/>
    </w:rPr>
  </w:style>
  <w:style w:type="paragraph" w:styleId="910">
    <w:name w:val="index 4"/>
    <w:basedOn w:val="884"/>
    <w:next w:val="884"/>
    <w:uiPriority w:val="0"/>
    <w:semiHidden/>
    <w:qFormat/>
    <w:pPr>
      <w:ind w:left="1260"/>
    </w:pPr>
  </w:style>
  <w:style w:type="paragraph" w:styleId="911">
    <w:name w:val="toc 5"/>
    <w:basedOn w:val="884"/>
    <w:next w:val="884"/>
    <w:uiPriority w:val="0"/>
    <w:semiHidden/>
    <w:qFormat/>
    <w:pPr>
      <w:ind w:left="840"/>
      <w:jc w:val="left"/>
    </w:pPr>
    <w:rPr>
      <w:sz w:val="18"/>
    </w:rPr>
  </w:style>
  <w:style w:type="paragraph" w:styleId="912">
    <w:name w:val="toc 3"/>
    <w:basedOn w:val="884"/>
    <w:next w:val="884"/>
    <w:uiPriority w:val="0"/>
    <w:semiHidden/>
    <w:qFormat/>
    <w:pPr>
      <w:ind w:left="420"/>
      <w:jc w:val="left"/>
    </w:pPr>
    <w:rPr>
      <w:i/>
    </w:rPr>
  </w:style>
  <w:style w:type="paragraph" w:styleId="913">
    <w:name w:val="Plain Text"/>
    <w:basedOn w:val="884"/>
    <w:link w:val="1034"/>
    <w:uiPriority w:val="0"/>
    <w:qFormat/>
    <w:rPr>
      <w:rFonts w:ascii="宋体" w:hAnsi="Courier New" w:eastAsia="宋体" w:cstheme="minorBidi"/>
      <w:sz w:val="21"/>
      <w:szCs w:val="22"/>
      <w:lang w:val="en-US"/>
    </w:rPr>
  </w:style>
  <w:style w:type="paragraph" w:styleId="914">
    <w:name w:val="toc 8"/>
    <w:basedOn w:val="884"/>
    <w:next w:val="884"/>
    <w:uiPriority w:val="0"/>
    <w:semiHidden/>
    <w:qFormat/>
    <w:pPr>
      <w:ind w:left="1470"/>
      <w:jc w:val="left"/>
    </w:pPr>
    <w:rPr>
      <w:sz w:val="18"/>
    </w:rPr>
  </w:style>
  <w:style w:type="paragraph" w:styleId="915">
    <w:name w:val="index 3"/>
    <w:basedOn w:val="884"/>
    <w:next w:val="884"/>
    <w:uiPriority w:val="0"/>
    <w:semiHidden/>
    <w:qFormat/>
    <w:pPr>
      <w:ind w:left="840"/>
    </w:pPr>
  </w:style>
  <w:style w:type="paragraph" w:styleId="916">
    <w:name w:val="Date"/>
    <w:basedOn w:val="884"/>
    <w:next w:val="884"/>
    <w:link w:val="1138"/>
    <w:uiPriority w:val="0"/>
    <w:qFormat/>
    <w:pPr>
      <w:ind w:left="100"/>
    </w:pPr>
    <w:rPr>
      <w:sz w:val="28"/>
    </w:rPr>
  </w:style>
  <w:style w:type="paragraph" w:styleId="917">
    <w:name w:val="Body Text Indent 2"/>
    <w:basedOn w:val="884"/>
    <w:link w:val="1003"/>
    <w:uiPriority w:val="0"/>
    <w:qFormat/>
    <w:pPr>
      <w:ind w:left="630" w:firstLine="645"/>
    </w:pPr>
    <w:rPr>
      <w:rFonts w:ascii="Arial" w:hAnsi="Arial" w:eastAsia="仿宋_GB2312" w:cstheme="minorBidi"/>
      <w:sz w:val="32"/>
      <w:szCs w:val="22"/>
      <w:lang w:val="en-US"/>
    </w:rPr>
  </w:style>
  <w:style w:type="paragraph" w:styleId="918">
    <w:name w:val="endnote text"/>
    <w:basedOn w:val="884"/>
    <w:link w:val="1161"/>
    <w:uiPriority w:val="0"/>
    <w:qFormat/>
    <w:pPr>
      <w:jc w:val="left"/>
    </w:pPr>
    <w:rPr>
      <w:szCs w:val="24"/>
    </w:rPr>
  </w:style>
  <w:style w:type="paragraph" w:styleId="919">
    <w:name w:val="Balloon Text"/>
    <w:basedOn w:val="884"/>
    <w:link w:val="1076"/>
    <w:uiPriority w:val="0"/>
    <w:semiHidden/>
    <w:qFormat/>
    <w:rPr>
      <w:sz w:val="18"/>
      <w:szCs w:val="18"/>
    </w:rPr>
  </w:style>
  <w:style w:type="paragraph" w:styleId="920">
    <w:name w:val="Footer"/>
    <w:basedOn w:val="884"/>
    <w:link w:val="1074"/>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921">
    <w:name w:val="Header"/>
    <w:basedOn w:val="884"/>
    <w:link w:val="1158"/>
    <w:uiPriority w:val="0"/>
    <w:qFormat/>
    <w:pPr>
      <w:jc w:val="center"/>
      <w:tabs>
        <w:tab w:val="center" w:pos="4153" w:leader="none"/>
        <w:tab w:val="right" w:pos="8306" w:leader="none"/>
      </w:tabs>
      <w:pBdr>
        <w:bottom w:val="single" w:color="auto" w:sz="6" w:space="1"/>
      </w:pBdr>
    </w:pPr>
    <w:rPr>
      <w:sz w:val="18"/>
    </w:rPr>
  </w:style>
  <w:style w:type="paragraph" w:styleId="922">
    <w:name w:val="Signature"/>
    <w:basedOn w:val="884"/>
    <w:link w:val="1142"/>
    <w:uiPriority w:val="0"/>
    <w:qFormat/>
    <w:pPr>
      <w:jc w:val="center"/>
      <w:spacing w:after="600" w:line="312" w:lineRule="atLeast"/>
    </w:pPr>
    <w:rPr>
      <w:rFonts w:eastAsia="仿宋_GB2312"/>
      <w:sz w:val="24"/>
    </w:rPr>
  </w:style>
  <w:style w:type="paragraph" w:styleId="923">
    <w:name w:val="toc 1"/>
    <w:basedOn w:val="884"/>
    <w:next w:val="884"/>
    <w:uiPriority w:val="0"/>
    <w:semiHidden/>
    <w:qFormat/>
    <w:pPr>
      <w:jc w:val="left"/>
      <w:spacing w:before="120" w:after="120"/>
    </w:pPr>
    <w:rPr>
      <w:b/>
      <w:caps/>
    </w:rPr>
  </w:style>
  <w:style w:type="paragraph" w:styleId="924">
    <w:name w:val="toc 4"/>
    <w:basedOn w:val="884"/>
    <w:next w:val="884"/>
    <w:uiPriority w:val="0"/>
    <w:semiHidden/>
    <w:qFormat/>
    <w:pPr>
      <w:ind w:left="630"/>
      <w:jc w:val="left"/>
    </w:pPr>
    <w:rPr>
      <w:sz w:val="18"/>
    </w:rPr>
  </w:style>
  <w:style w:type="paragraph" w:styleId="925">
    <w:name w:val="index heading"/>
    <w:basedOn w:val="884"/>
    <w:next w:val="926"/>
    <w:uiPriority w:val="0"/>
    <w:semiHidden/>
    <w:qFormat/>
  </w:style>
  <w:style w:type="paragraph" w:styleId="926">
    <w:name w:val="index 1"/>
    <w:basedOn w:val="884"/>
    <w:next w:val="884"/>
    <w:uiPriority w:val="0"/>
    <w:semiHidden/>
    <w:qFormat/>
    <w:rPr>
      <w:rFonts w:ascii="仿宋_GB2312" w:hAnsi="宋体" w:eastAsia="仿宋_GB2312"/>
      <w:sz w:val="30"/>
      <w:szCs w:val="24"/>
    </w:rPr>
  </w:style>
  <w:style w:type="paragraph" w:styleId="927">
    <w:name w:val="Subtitle"/>
    <w:basedOn w:val="884"/>
    <w:next w:val="884"/>
    <w:link w:val="1135"/>
    <w:uiPriority w:val="0"/>
    <w:qFormat/>
    <w:pPr>
      <w:jc w:val="left"/>
      <w:spacing w:after="600" w:line="276" w:lineRule="auto"/>
      <w:widowControl/>
    </w:pPr>
    <w:rPr>
      <w:rFonts w:ascii="Cambria" w:hAnsi="Cambria"/>
      <w:i/>
      <w:iCs/>
      <w:spacing w:val="13"/>
      <w:sz w:val="24"/>
      <w:szCs w:val="24"/>
      <w:lang w:eastAsia="en-US" w:bidi="en-US"/>
    </w:rPr>
  </w:style>
  <w:style w:type="paragraph" w:styleId="928">
    <w:name w:val="footnote text"/>
    <w:basedOn w:val="884"/>
    <w:link w:val="1093"/>
    <w:uiPriority w:val="0"/>
    <w:qFormat/>
    <w:pPr>
      <w:jc w:val="left"/>
    </w:pPr>
    <w:rPr>
      <w:sz w:val="18"/>
      <w:szCs w:val="18"/>
    </w:rPr>
  </w:style>
  <w:style w:type="paragraph" w:styleId="929">
    <w:name w:val="toc 6"/>
    <w:basedOn w:val="884"/>
    <w:next w:val="884"/>
    <w:uiPriority w:val="0"/>
    <w:semiHidden/>
    <w:qFormat/>
    <w:pPr>
      <w:ind w:left="1050"/>
      <w:jc w:val="left"/>
    </w:pPr>
    <w:rPr>
      <w:sz w:val="18"/>
    </w:rPr>
  </w:style>
  <w:style w:type="paragraph" w:styleId="930">
    <w:name w:val="Body Text Indent 3"/>
    <w:basedOn w:val="884"/>
    <w:link w:val="1045"/>
    <w:uiPriority w:val="0"/>
    <w:qFormat/>
    <w:pPr>
      <w:ind w:left="645" w:firstLine="645"/>
    </w:pPr>
    <w:rPr>
      <w:rFonts w:ascii="Arial" w:hAnsi="Arial" w:eastAsia="仿宋_GB2312" w:cstheme="minorBidi"/>
      <w:color w:val="ffff00"/>
      <w:sz w:val="32"/>
      <w:szCs w:val="22"/>
      <w:lang w:val="en-US"/>
    </w:rPr>
  </w:style>
  <w:style w:type="paragraph" w:styleId="931">
    <w:name w:val="index 7"/>
    <w:basedOn w:val="884"/>
    <w:next w:val="884"/>
    <w:uiPriority w:val="0"/>
    <w:semiHidden/>
    <w:qFormat/>
    <w:pPr>
      <w:ind w:left="2520"/>
    </w:pPr>
  </w:style>
  <w:style w:type="paragraph" w:styleId="932">
    <w:name w:val="index 9"/>
    <w:basedOn w:val="884"/>
    <w:next w:val="884"/>
    <w:uiPriority w:val="0"/>
    <w:semiHidden/>
    <w:qFormat/>
    <w:pPr>
      <w:ind w:left="3360"/>
    </w:pPr>
  </w:style>
  <w:style w:type="paragraph" w:styleId="933">
    <w:name w:val="table of figures"/>
    <w:basedOn w:val="884"/>
    <w:next w:val="884"/>
    <w:uiPriority w:val="0"/>
    <w:semiHidden/>
    <w:qFormat/>
    <w:pPr>
      <w:ind w:left="840" w:hanging="420"/>
    </w:pPr>
  </w:style>
  <w:style w:type="paragraph" w:styleId="934">
    <w:name w:val="toc 2"/>
    <w:basedOn w:val="884"/>
    <w:next w:val="884"/>
    <w:uiPriority w:val="0"/>
    <w:semiHidden/>
    <w:qFormat/>
    <w:pPr>
      <w:ind w:left="210"/>
      <w:jc w:val="left"/>
    </w:pPr>
    <w:rPr>
      <w:smallCaps/>
    </w:rPr>
  </w:style>
  <w:style w:type="paragraph" w:styleId="935">
    <w:name w:val="toc 9"/>
    <w:basedOn w:val="884"/>
    <w:next w:val="884"/>
    <w:uiPriority w:val="0"/>
    <w:semiHidden/>
    <w:qFormat/>
    <w:pPr>
      <w:ind w:left="1680"/>
      <w:jc w:val="left"/>
    </w:pPr>
    <w:rPr>
      <w:sz w:val="18"/>
    </w:rPr>
  </w:style>
  <w:style w:type="paragraph" w:styleId="936">
    <w:name w:val="Body Text 2"/>
    <w:basedOn w:val="884"/>
    <w:link w:val="1080"/>
    <w:uiPriority w:val="0"/>
    <w:qFormat/>
    <w:pPr>
      <w:jc w:val="center"/>
      <w:widowControl/>
    </w:pPr>
    <w:rPr>
      <w:rFonts w:ascii="楷体_GB2312" w:eastAsia="楷体_GB2312"/>
      <w:sz w:val="28"/>
    </w:rPr>
  </w:style>
  <w:style w:type="paragraph" w:styleId="937">
    <w:name w:val="HTML Preformatted"/>
    <w:basedOn w:val="884"/>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38">
    <w:name w:val="Normal (Web)"/>
    <w:basedOn w:val="884"/>
    <w:uiPriority w:val="0"/>
    <w:qFormat/>
    <w:pPr>
      <w:jc w:val="left"/>
      <w:spacing w:before="100" w:beforeAutospacing="1" w:after="100" w:afterAutospacing="1"/>
      <w:widowControl/>
    </w:pPr>
    <w:rPr>
      <w:rFonts w:ascii="Arial" w:hAnsi="Arial" w:eastAsia="Arial Unicode MS" w:cs="Arial"/>
      <w:sz w:val="24"/>
      <w:szCs w:val="24"/>
    </w:rPr>
  </w:style>
  <w:style w:type="paragraph" w:styleId="939">
    <w:name w:val="index 2"/>
    <w:basedOn w:val="884"/>
    <w:next w:val="884"/>
    <w:uiPriority w:val="0"/>
    <w:semiHidden/>
    <w:qFormat/>
    <w:pPr>
      <w:ind w:left="420"/>
    </w:pPr>
  </w:style>
  <w:style w:type="paragraph" w:styleId="940">
    <w:name w:val="Title"/>
    <w:basedOn w:val="884"/>
    <w:link w:val="982"/>
    <w:uiPriority w:val="0"/>
    <w:qFormat/>
    <w:pPr>
      <w:jc w:val="center"/>
      <w:spacing w:line="420" w:lineRule="exact"/>
      <w:widowControl/>
    </w:pPr>
    <w:rPr>
      <w:rFonts w:eastAsia="黑体" w:asciiTheme="minorHAnsi" w:hAnsiTheme="minorHAnsi" w:cstheme="minorBidi"/>
      <w:b/>
      <w:sz w:val="28"/>
      <w:szCs w:val="22"/>
      <w:lang w:val="en-GB"/>
    </w:rPr>
  </w:style>
  <w:style w:type="paragraph" w:styleId="941">
    <w:name w:val="annotation subject"/>
    <w:basedOn w:val="904"/>
    <w:next w:val="904"/>
    <w:link w:val="1038"/>
    <w:uiPriority w:val="0"/>
    <w:semiHidden/>
    <w:qFormat/>
    <w:rPr>
      <w:rFonts w:eastAsia="宋体" w:asciiTheme="minorHAnsi" w:hAnsiTheme="minorHAnsi" w:cstheme="minorBidi"/>
      <w:b/>
      <w:bCs/>
      <w:sz w:val="21"/>
      <w:szCs w:val="22"/>
      <w:lang w:val="en-US"/>
    </w:rPr>
  </w:style>
  <w:style w:type="paragraph" w:styleId="942">
    <w:name w:val="Body Text First Indent"/>
    <w:basedOn w:val="908"/>
    <w:link w:val="1109"/>
    <w:uiPriority w:val="0"/>
    <w:qFormat/>
    <w:pPr>
      <w:ind w:firstLine="420"/>
    </w:pPr>
    <w:rPr>
      <w:rFonts w:ascii="Times New Roman" w:hAnsi="Times New Roman" w:eastAsia="宋体"/>
      <w:sz w:val="21"/>
      <w:szCs w:val="24"/>
    </w:rPr>
  </w:style>
  <w:style w:type="paragraph" w:styleId="943">
    <w:name w:val="Body Text First Indent 2"/>
    <w:basedOn w:val="884"/>
    <w:next w:val="884"/>
    <w:uiPriority w:val="0"/>
    <w:qFormat/>
    <w:pPr>
      <w:ind w:firstLine="420"/>
    </w:pPr>
  </w:style>
  <w:style w:type="table" w:styleId="944">
    <w:name w:val="Table Grid"/>
    <w:basedOn w:val="8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uiPriority w:val="0"/>
    <w:qFormat/>
    <w:rPr>
      <w:b/>
      <w:bCs/>
    </w:rPr>
  </w:style>
  <w:style w:type="character" w:styleId="946">
    <w:name w:val="endnote reference"/>
    <w:uiPriority w:val="0"/>
    <w:qFormat/>
    <w:rPr>
      <w:vertAlign w:val="superscript"/>
    </w:rPr>
  </w:style>
  <w:style w:type="character" w:styleId="947">
    <w:name w:val="page number"/>
    <w:basedOn w:val="894"/>
    <w:uiPriority w:val="0"/>
    <w:qFormat/>
  </w:style>
  <w:style w:type="character" w:styleId="948">
    <w:name w:val="FollowedHyperlink"/>
    <w:uiPriority w:val="0"/>
    <w:qFormat/>
    <w:rPr>
      <w:color w:val="800080"/>
      <w:u w:val="single"/>
    </w:rPr>
  </w:style>
  <w:style w:type="character" w:styleId="949">
    <w:name w:val="Emphasis"/>
    <w:uiPriority w:val="0"/>
    <w:qFormat/>
    <w:rPr>
      <w:b/>
      <w:bCs/>
      <w:i/>
      <w:iCs/>
      <w:spacing w:val="10"/>
      <w:shd w:val="clear" w:color="auto" w:fill="auto"/>
    </w:rPr>
  </w:style>
  <w:style w:type="character" w:styleId="950">
    <w:name w:val="line number"/>
    <w:basedOn w:val="894"/>
    <w:uiPriority w:val="0"/>
    <w:qFormat/>
  </w:style>
  <w:style w:type="character" w:styleId="951">
    <w:name w:val="HTML Typewriter"/>
    <w:uiPriority w:val="0"/>
    <w:qFormat/>
    <w:rPr>
      <w:rFonts w:ascii="宋体" w:hAnsi="宋体" w:eastAsia="宋体" w:cs="宋体"/>
      <w:sz w:val="24"/>
      <w:szCs w:val="24"/>
    </w:rPr>
  </w:style>
  <w:style w:type="character" w:styleId="952">
    <w:name w:val="Hyperlink"/>
    <w:uiPriority w:val="0"/>
    <w:qFormat/>
    <w:rPr>
      <w:color w:val="0000ff"/>
      <w:u w:val="single"/>
    </w:rPr>
  </w:style>
  <w:style w:type="character" w:styleId="953">
    <w:name w:val="annotation reference"/>
    <w:basedOn w:val="894"/>
    <w:uiPriority w:val="0"/>
    <w:qFormat/>
    <w:rPr>
      <w:sz w:val="21"/>
    </w:rPr>
  </w:style>
  <w:style w:type="character" w:styleId="954">
    <w:name w:val="footnote reference"/>
    <w:uiPriority w:val="0"/>
    <w:qFormat/>
    <w:rPr>
      <w:vertAlign w:val="superscript"/>
    </w:rPr>
  </w:style>
  <w:style w:type="character" w:styleId="955">
    <w:name w:val="HTML Sample"/>
    <w:uiPriority w:val="0"/>
    <w:qFormat/>
    <w:rPr>
      <w:rFonts w:ascii="Courier New" w:hAnsi="宋体" w:eastAsia="宋体" w:cs="Courier New"/>
    </w:rPr>
  </w:style>
  <w:style w:type="paragraph" w:styleId="956">
    <w:name w:val="List Paragraph"/>
    <w:basedOn w:val="884"/>
    <w:uiPriority w:val="34"/>
    <w:qFormat/>
    <w:pPr>
      <w:ind w:firstLine="420"/>
    </w:pPr>
    <w:rPr>
      <w:szCs w:val="24"/>
    </w:rPr>
  </w:style>
  <w:style w:type="paragraph" w:styleId="957" w:customStyle="1">
    <w:name w:val="标题 5（有编号）（绿盟科技）"/>
    <w:basedOn w:val="884"/>
    <w:next w:val="95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58"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59" w:customStyle="1">
    <w:name w:val="标题 1 Char"/>
    <w:basedOn w:val="894"/>
    <w:link w:val="885"/>
    <w:uiPriority w:val="0"/>
    <w:qFormat/>
    <w:rPr>
      <w:rFonts w:ascii="黑体" w:hAnsi="Calibri" w:eastAsia="黑体" w:cs="Times New Roman"/>
      <w:b/>
      <w:sz w:val="24"/>
      <w:szCs w:val="28"/>
    </w:rPr>
  </w:style>
  <w:style w:type="character" w:styleId="960" w:customStyle="1">
    <w:name w:val="标题 2 Char"/>
    <w:basedOn w:val="894"/>
    <w:link w:val="886"/>
    <w:uiPriority w:val="0"/>
    <w:qFormat/>
    <w:rPr>
      <w:rFonts w:ascii="宋体" w:hAnsi="宋体" w:eastAsia="宋体" w:cs="Times New Roman"/>
      <w:b/>
      <w:szCs w:val="24"/>
    </w:rPr>
  </w:style>
  <w:style w:type="character" w:styleId="961" w:customStyle="1">
    <w:name w:val="标题 3 Char"/>
    <w:basedOn w:val="894"/>
    <w:uiPriority w:val="0"/>
    <w:qFormat/>
    <w:rPr>
      <w:rFonts w:ascii="Calibri" w:hAnsi="Calibri" w:eastAsia="Calibri" w:cs="宋体"/>
      <w:b/>
      <w:bCs/>
      <w:sz w:val="32"/>
      <w:szCs w:val="32"/>
      <w:lang w:val="zh-CN"/>
    </w:rPr>
  </w:style>
  <w:style w:type="character" w:styleId="962" w:customStyle="1">
    <w:name w:val="标题 4 Char"/>
    <w:basedOn w:val="894"/>
    <w:link w:val="888"/>
    <w:uiPriority w:val="0"/>
    <w:qFormat/>
    <w:rPr>
      <w:rFonts w:ascii="Arial" w:hAnsi="Arial" w:eastAsia="黑体" w:cs="Times New Roman"/>
      <w:b/>
      <w:sz w:val="28"/>
      <w:szCs w:val="20"/>
    </w:rPr>
  </w:style>
  <w:style w:type="character" w:styleId="963" w:customStyle="1">
    <w:name w:val="标题 5 Char"/>
    <w:basedOn w:val="894"/>
    <w:link w:val="889"/>
    <w:uiPriority w:val="0"/>
    <w:qFormat/>
    <w:rPr>
      <w:rFonts w:ascii="黑体" w:hAnsi="Calibri" w:eastAsia="黑体" w:cs="Times New Roman"/>
      <w:b/>
      <w:color w:val="000000"/>
      <w:sz w:val="28"/>
      <w:szCs w:val="20"/>
    </w:rPr>
  </w:style>
  <w:style w:type="character" w:styleId="964" w:customStyle="1">
    <w:name w:val="标题 6 Char"/>
    <w:basedOn w:val="894"/>
    <w:link w:val="890"/>
    <w:uiPriority w:val="0"/>
    <w:qFormat/>
    <w:rPr>
      <w:rFonts w:ascii="Arial" w:hAnsi="Arial" w:eastAsia="黑体" w:cs="Times New Roman"/>
      <w:b/>
      <w:bCs/>
      <w:sz w:val="24"/>
      <w:szCs w:val="24"/>
    </w:rPr>
  </w:style>
  <w:style w:type="character" w:styleId="965" w:customStyle="1">
    <w:name w:val="标题 7 Char"/>
    <w:basedOn w:val="894"/>
    <w:link w:val="891"/>
    <w:uiPriority w:val="0"/>
    <w:qFormat/>
    <w:rPr>
      <w:rFonts w:ascii="Calibri" w:hAnsi="Calibri" w:eastAsia="宋体" w:cs="Times New Roman"/>
      <w:b/>
      <w:bCs/>
      <w:sz w:val="24"/>
      <w:szCs w:val="24"/>
    </w:rPr>
  </w:style>
  <w:style w:type="character" w:styleId="966" w:customStyle="1">
    <w:name w:val="标题 8 Char"/>
    <w:basedOn w:val="894"/>
    <w:link w:val="892"/>
    <w:uiPriority w:val="0"/>
    <w:qFormat/>
    <w:rPr>
      <w:rFonts w:ascii="Arial" w:hAnsi="Arial" w:eastAsia="黑体" w:cs="Times New Roman"/>
      <w:sz w:val="24"/>
      <w:szCs w:val="24"/>
    </w:rPr>
  </w:style>
  <w:style w:type="character" w:styleId="967" w:customStyle="1">
    <w:name w:val="标题 9 Char"/>
    <w:basedOn w:val="894"/>
    <w:link w:val="893"/>
    <w:uiPriority w:val="0"/>
    <w:qFormat/>
    <w:rPr>
      <w:rFonts w:ascii="Arial" w:hAnsi="Arial" w:eastAsia="黑体" w:cs="Times New Roman"/>
      <w:szCs w:val="21"/>
    </w:rPr>
  </w:style>
  <w:style w:type="character" w:styleId="968" w:customStyle="1">
    <w:name w:val="Char Char17"/>
    <w:uiPriority w:val="0"/>
    <w:qFormat/>
    <w:rPr>
      <w:rFonts w:ascii="宋体" w:hAnsi="Courier New"/>
      <w:sz w:val="21"/>
      <w:szCs w:val="21"/>
    </w:rPr>
  </w:style>
  <w:style w:type="character" w:styleId="969" w:customStyle="1">
    <w:name w:val="18"/>
    <w:uiPriority w:val="0"/>
    <w:qFormat/>
    <w:rPr>
      <w:rFonts w:hint="eastAsia" w:ascii="宋体" w:hAnsi="宋体" w:eastAsia="宋体" w:cs="宋体"/>
      <w:color w:val="000000"/>
      <w:sz w:val="20"/>
      <w:szCs w:val="20"/>
    </w:rPr>
  </w:style>
  <w:style w:type="character" w:styleId="970" w:customStyle="1">
    <w:name w:val="小四 段落 宋体 Char Char Char1"/>
    <w:uiPriority w:val="0"/>
    <w:qFormat/>
    <w:rPr>
      <w:rFonts w:ascii="宋体" w:hAnsi="宋体" w:eastAsia="宋体"/>
      <w:sz w:val="24"/>
      <w:szCs w:val="24"/>
      <w:lang w:val="en-US" w:eastAsia="zh-CN" w:bidi="ar-SA"/>
    </w:rPr>
  </w:style>
  <w:style w:type="character" w:styleId="971" w:customStyle="1">
    <w:name w:val="param-value"/>
    <w:basedOn w:val="894"/>
    <w:uiPriority w:val="0"/>
    <w:qFormat/>
  </w:style>
  <w:style w:type="character" w:styleId="972" w:customStyle="1">
    <w:name w:val="3zw"/>
    <w:basedOn w:val="894"/>
    <w:uiPriority w:val="0"/>
    <w:qFormat/>
  </w:style>
  <w:style w:type="character" w:styleId="973" w:customStyle="1">
    <w:name w:val="15"/>
    <w:uiPriority w:val="0"/>
    <w:qFormat/>
    <w:rPr>
      <w:rFonts w:hint="eastAsia" w:ascii="宋体" w:hAnsi="宋体" w:eastAsia="宋体" w:cs="宋体"/>
      <w:b/>
      <w:color w:val="000000"/>
      <w:sz w:val="20"/>
      <w:szCs w:val="20"/>
    </w:rPr>
  </w:style>
  <w:style w:type="character" w:styleId="974" w:customStyle="1">
    <w:name w:val="16"/>
    <w:uiPriority w:val="0"/>
    <w:qFormat/>
    <w:rPr>
      <w:rFonts w:hint="eastAsia" w:ascii="宋体" w:hAnsi="宋体" w:eastAsia="宋体" w:cs="宋体"/>
      <w:b/>
      <w:color w:val="000000"/>
      <w:sz w:val="20"/>
      <w:szCs w:val="20"/>
    </w:rPr>
  </w:style>
  <w:style w:type="character" w:styleId="975" w:customStyle="1">
    <w:name w:val="style13"/>
    <w:uiPriority w:val="0"/>
    <w:qFormat/>
    <w:rPr>
      <w:sz w:val="18"/>
      <w:szCs w:val="18"/>
    </w:rPr>
  </w:style>
  <w:style w:type="character" w:styleId="976" w:customStyle="1">
    <w:name w:val="Char Char21"/>
    <w:uiPriority w:val="0"/>
    <w:qFormat/>
    <w:rPr>
      <w:rFonts w:ascii="Arial" w:hAnsi="Arial" w:eastAsia="黑体"/>
      <w:sz w:val="24"/>
      <w:szCs w:val="24"/>
    </w:rPr>
  </w:style>
  <w:style w:type="character" w:styleId="977" w:customStyle="1">
    <w:name w:val="新图表正文 Char Char"/>
    <w:link w:val="978"/>
    <w:uiPriority w:val="0"/>
    <w:qFormat/>
    <w:rPr>
      <w:rFonts w:ascii="宋体" w:hAnsi="宋体"/>
      <w:sz w:val="18"/>
      <w:szCs w:val="21"/>
    </w:rPr>
  </w:style>
  <w:style w:type="paragraph" w:styleId="978" w:customStyle="1">
    <w:name w:val="新图表正文"/>
    <w:link w:val="977"/>
    <w:uiPriority w:val="0"/>
    <w:qFormat/>
    <w:pPr>
      <w:jc w:val="both"/>
    </w:pPr>
    <w:rPr>
      <w:rFonts w:ascii="宋体" w:hAnsi="宋体" w:eastAsiaTheme="minorEastAsia" w:cstheme="minorBidi"/>
      <w:sz w:val="18"/>
      <w:szCs w:val="21"/>
      <w:lang w:val="en-US" w:eastAsia="zh-CN" w:bidi="ar-SA"/>
    </w:rPr>
  </w:style>
  <w:style w:type="character" w:styleId="979" w:customStyle="1">
    <w:name w:val="Char Char25"/>
    <w:uiPriority w:val="0"/>
    <w:qFormat/>
    <w:rPr>
      <w:rFonts w:ascii="Arial" w:hAnsi="Arial" w:eastAsia="黑体"/>
      <w:b/>
      <w:sz w:val="28"/>
    </w:rPr>
  </w:style>
  <w:style w:type="character" w:styleId="980" w:customStyle="1">
    <w:name w:val="不明显参考1"/>
    <w:uiPriority w:val="0"/>
    <w:qFormat/>
    <w:rPr>
      <w:smallCaps/>
    </w:rPr>
  </w:style>
  <w:style w:type="character" w:styleId="981" w:customStyle="1">
    <w:name w:val="小四 段落 宋体 Char Char Char Char Char Char"/>
    <w:uiPriority w:val="0"/>
    <w:qFormat/>
    <w:rPr>
      <w:rFonts w:eastAsia="宋体"/>
      <w:sz w:val="24"/>
      <w:szCs w:val="24"/>
      <w:lang w:val="en-US" w:eastAsia="zh-CN" w:bidi="ar-SA"/>
    </w:rPr>
  </w:style>
  <w:style w:type="character" w:styleId="982" w:customStyle="1">
    <w:name w:val="标题 Char"/>
    <w:link w:val="940"/>
    <w:uiPriority w:val="0"/>
    <w:qFormat/>
    <w:rPr>
      <w:rFonts w:eastAsia="黑体"/>
      <w:b/>
      <w:sz w:val="28"/>
      <w:lang w:val="en-GB"/>
    </w:rPr>
  </w:style>
  <w:style w:type="character" w:styleId="983" w:customStyle="1">
    <w:name w:val="2nd level Char"/>
    <w:uiPriority w:val="0"/>
    <w:qFormat/>
    <w:rPr>
      <w:rFonts w:ascii="Arial" w:hAnsi="Arial" w:eastAsia="黑体"/>
      <w:b/>
      <w:bCs/>
      <w:sz w:val="32"/>
      <w:szCs w:val="32"/>
      <w:lang w:val="en-US" w:eastAsia="zh-CN" w:bidi="ar-SA"/>
    </w:rPr>
  </w:style>
  <w:style w:type="character" w:styleId="984" w:customStyle="1">
    <w:name w:val="Char Char22"/>
    <w:uiPriority w:val="0"/>
    <w:qFormat/>
    <w:rPr>
      <w:b/>
      <w:bCs/>
      <w:sz w:val="24"/>
      <w:szCs w:val="24"/>
    </w:rPr>
  </w:style>
  <w:style w:type="character" w:styleId="985" w:customStyle="1">
    <w:name w:val="样式 宋体 小四"/>
    <w:uiPriority w:val="0"/>
    <w:qFormat/>
    <w:rPr>
      <w:rFonts w:ascii="宋体" w:hAnsi="宋体"/>
      <w:sz w:val="24"/>
    </w:rPr>
  </w:style>
  <w:style w:type="character" w:styleId="986" w:customStyle="1">
    <w:name w:val="t1"/>
    <w:uiPriority w:val="0"/>
    <w:qFormat/>
  </w:style>
  <w:style w:type="character" w:styleId="987" w:customStyle="1">
    <w:name w:val="Char Char28"/>
    <w:uiPriority w:val="0"/>
    <w:qFormat/>
    <w:rPr>
      <w:rFonts w:ascii="Arial" w:hAnsi="Arial" w:eastAsia="黑体" w:cs="Arial"/>
      <w:b/>
      <w:bCs/>
      <w:sz w:val="32"/>
      <w:szCs w:val="32"/>
    </w:rPr>
  </w:style>
  <w:style w:type="character" w:styleId="988" w:customStyle="1">
    <w:name w:val="标准文本 Char Char"/>
    <w:uiPriority w:val="0"/>
    <w:qFormat/>
    <w:rPr>
      <w:rFonts w:eastAsia="宋体" w:cs="宋体"/>
      <w:sz w:val="24"/>
      <w:szCs w:val="24"/>
      <w:lang w:val="en-US" w:eastAsia="zh-CN" w:bidi="ar-SA"/>
    </w:rPr>
  </w:style>
  <w:style w:type="character" w:styleId="989" w:customStyle="1">
    <w:name w:val="表格抬头 Char"/>
    <w:link w:val="990"/>
    <w:uiPriority w:val="0"/>
    <w:qFormat/>
    <w:rPr>
      <w:rFonts w:ascii="黑体" w:eastAsia="黑体"/>
      <w:b/>
    </w:rPr>
  </w:style>
  <w:style w:type="paragraph" w:styleId="990" w:customStyle="1">
    <w:name w:val="表格抬头"/>
    <w:basedOn w:val="884"/>
    <w:link w:val="989"/>
    <w:uiPriority w:val="0"/>
    <w:qFormat/>
    <w:pPr>
      <w:jc w:val="center"/>
    </w:pPr>
    <w:rPr>
      <w:rFonts w:ascii="黑体" w:eastAsia="黑体" w:hAnsiTheme="minorHAnsi" w:cstheme="minorBidi"/>
      <w:b/>
      <w:sz w:val="21"/>
      <w:szCs w:val="22"/>
      <w:lang w:val="en-US"/>
    </w:rPr>
  </w:style>
  <w:style w:type="character" w:styleId="991" w:customStyle="1">
    <w:name w:val="para_small"/>
    <w:basedOn w:val="894"/>
    <w:uiPriority w:val="0"/>
    <w:qFormat/>
  </w:style>
  <w:style w:type="character" w:styleId="992" w:customStyle="1">
    <w:name w:val="Title1 Char"/>
    <w:uiPriority w:val="0"/>
    <w:qFormat/>
    <w:rPr>
      <w:rFonts w:eastAsia="宋体"/>
      <w:b/>
      <w:bCs/>
      <w:sz w:val="44"/>
      <w:szCs w:val="44"/>
      <w:lang w:val="en-US" w:eastAsia="zh-CN" w:bidi="ar-SA"/>
    </w:rPr>
  </w:style>
  <w:style w:type="character" w:styleId="993" w:customStyle="1">
    <w:name w:val="h Char Char"/>
    <w:uiPriority w:val="0"/>
    <w:qFormat/>
    <w:rPr>
      <w:rFonts w:eastAsia="宋体"/>
      <w:sz w:val="18"/>
      <w:szCs w:val="18"/>
      <w:lang w:val="en-US" w:eastAsia="zh-CN" w:bidi="ar-SA"/>
    </w:rPr>
  </w:style>
  <w:style w:type="character" w:styleId="994" w:customStyle="1">
    <w:name w:val="Char Char23"/>
    <w:uiPriority w:val="0"/>
    <w:qFormat/>
    <w:rPr>
      <w:rFonts w:ascii="Arial" w:hAnsi="Arial" w:eastAsia="黑体"/>
      <w:b/>
      <w:bCs/>
      <w:sz w:val="24"/>
      <w:szCs w:val="24"/>
    </w:rPr>
  </w:style>
  <w:style w:type="character" w:styleId="995" w:customStyle="1">
    <w:name w:val="Char Char20"/>
    <w:uiPriority w:val="0"/>
    <w:qFormat/>
    <w:rPr>
      <w:rFonts w:ascii="Arial" w:hAnsi="Arial" w:eastAsia="黑体"/>
      <w:sz w:val="21"/>
      <w:szCs w:val="21"/>
    </w:rPr>
  </w:style>
  <w:style w:type="character" w:styleId="996" w:customStyle="1">
    <w:name w:val="A2"/>
    <w:uiPriority w:val="0"/>
    <w:qFormat/>
    <w:rPr>
      <w:rFonts w:cs="Helvetica"/>
      <w:color w:val="000000"/>
      <w:sz w:val="18"/>
      <w:szCs w:val="18"/>
    </w:rPr>
  </w:style>
  <w:style w:type="character" w:styleId="997" w:customStyle="1">
    <w:name w:val="编号，小四 Char"/>
    <w:link w:val="998"/>
    <w:uiPriority w:val="0"/>
    <w:qFormat/>
    <w:rPr>
      <w:rFonts w:ascii="Arial" w:hAnsi="Arial" w:cs="宋体"/>
      <w:sz w:val="24"/>
    </w:rPr>
  </w:style>
  <w:style w:type="paragraph" w:styleId="998" w:customStyle="1">
    <w:name w:val="编号，小四"/>
    <w:basedOn w:val="884"/>
    <w:link w:val="997"/>
    <w:uiPriority w:val="0"/>
    <w:qFormat/>
    <w:pPr>
      <w:numPr>
        <w:ilvl w:val="0"/>
        <w:numId w:val="2"/>
      </w:numPr>
      <w:spacing w:line="360" w:lineRule="auto"/>
    </w:pPr>
    <w:rPr>
      <w:rFonts w:ascii="Arial" w:hAnsi="Arial" w:eastAsiaTheme="minorEastAsia"/>
      <w:sz w:val="24"/>
      <w:szCs w:val="22"/>
      <w:lang w:val="en-US"/>
    </w:rPr>
  </w:style>
  <w:style w:type="character" w:styleId="999" w:customStyle="1">
    <w:name w:val="明显引用 Char"/>
    <w:link w:val="1000"/>
    <w:uiPriority w:val="0"/>
    <w:qFormat/>
    <w:rPr>
      <w:rFonts w:ascii="Calibri" w:hAnsi="Calibri" w:eastAsia="宋体"/>
      <w:b/>
      <w:bCs/>
      <w:i/>
      <w:iCs/>
      <w:sz w:val="22"/>
      <w:lang w:eastAsia="en-US" w:bidi="en-US"/>
    </w:rPr>
  </w:style>
  <w:style w:type="paragraph" w:styleId="1000">
    <w:name w:val="Intense Quote"/>
    <w:basedOn w:val="884"/>
    <w:next w:val="884"/>
    <w:link w:val="999"/>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001" w:customStyle="1">
    <w:name w:val="font01"/>
    <w:uiPriority w:val="0"/>
    <w:qFormat/>
    <w:rPr>
      <w:rFonts w:hint="eastAsia" w:ascii="宋体" w:hAnsi="宋体" w:eastAsia="宋体" w:cs="宋体"/>
      <w:b/>
      <w:color w:val="000000"/>
      <w:sz w:val="20"/>
      <w:szCs w:val="20"/>
      <w:u w:val="none"/>
    </w:rPr>
  </w:style>
  <w:style w:type="character" w:styleId="1002" w:customStyle="1">
    <w:name w:val="不明显强调1"/>
    <w:uiPriority w:val="0"/>
    <w:qFormat/>
    <w:rPr>
      <w:i/>
      <w:iCs/>
    </w:rPr>
  </w:style>
  <w:style w:type="character" w:styleId="1003" w:customStyle="1">
    <w:name w:val="正文文本缩进 2 Char"/>
    <w:link w:val="917"/>
    <w:uiPriority w:val="0"/>
    <w:qFormat/>
    <w:rPr>
      <w:rFonts w:ascii="Arial" w:hAnsi="Arial" w:eastAsia="仿宋_GB2312"/>
      <w:sz w:val="32"/>
    </w:rPr>
  </w:style>
  <w:style w:type="character" w:styleId="1004" w:customStyle="1">
    <w:name w:val="明显参考1"/>
    <w:uiPriority w:val="0"/>
    <w:qFormat/>
    <w:rPr>
      <w:smallCaps/>
      <w:spacing w:val="5"/>
      <w:u w:val="single"/>
    </w:rPr>
  </w:style>
  <w:style w:type="character" w:styleId="1005" w:customStyle="1">
    <w:name w:val="书籍标题1"/>
    <w:uiPriority w:val="0"/>
    <w:qFormat/>
    <w:rPr>
      <w:i/>
      <w:iCs/>
      <w:smallCaps/>
      <w:spacing w:val="5"/>
    </w:rPr>
  </w:style>
  <w:style w:type="character" w:styleId="1006" w:customStyle="1">
    <w:name w:val="文档结构图 Char"/>
    <w:link w:val="903"/>
    <w:uiPriority w:val="0"/>
    <w:semiHidden/>
    <w:qFormat/>
    <w:rPr>
      <w:rFonts w:eastAsia="宋体"/>
      <w:shd w:val="clear" w:color="auto" w:fill="000080"/>
    </w:rPr>
  </w:style>
  <w:style w:type="character" w:styleId="1007" w:customStyle="1">
    <w:name w:val="textcontents"/>
    <w:basedOn w:val="894"/>
    <w:uiPriority w:val="0"/>
    <w:qFormat/>
  </w:style>
  <w:style w:type="character" w:styleId="1008" w:customStyle="1">
    <w:name w:val="标准文本 Char"/>
    <w:uiPriority w:val="0"/>
    <w:qFormat/>
    <w:rPr>
      <w:rFonts w:eastAsia="宋体" w:cs="宋体"/>
      <w:sz w:val="24"/>
      <w:szCs w:val="24"/>
      <w:lang w:val="en-US" w:eastAsia="zh-CN" w:bidi="ar-SA"/>
    </w:rPr>
  </w:style>
  <w:style w:type="character" w:styleId="1009" w:customStyle="1">
    <w:name w:val="10"/>
    <w:uiPriority w:val="0"/>
    <w:qFormat/>
    <w:rPr>
      <w:rFonts w:hint="default" w:ascii="Times New Roman" w:hAnsi="Times New Roman" w:cs="Times New Roman"/>
    </w:rPr>
  </w:style>
  <w:style w:type="character" w:styleId="1010" w:customStyle="1">
    <w:name w:val="批注文字 Char"/>
    <w:uiPriority w:val="99"/>
    <w:qFormat/>
    <w:rPr>
      <w:rFonts w:eastAsia="宋体"/>
      <w:sz w:val="21"/>
      <w:lang w:val="en-US" w:eastAsia="zh-CN" w:bidi="ar-SA"/>
    </w:rPr>
  </w:style>
  <w:style w:type="character" w:styleId="1011" w:customStyle="1">
    <w:name w:val="纯文本 Char Char Char1"/>
    <w:uiPriority w:val="0"/>
    <w:qFormat/>
    <w:rPr>
      <w:rFonts w:ascii="宋体" w:hAnsi="Courier New" w:eastAsia="宋体"/>
      <w:sz w:val="21"/>
      <w:szCs w:val="21"/>
      <w:lang w:val="en-US" w:eastAsia="zh-CN" w:bidi="ar-SA"/>
    </w:rPr>
  </w:style>
  <w:style w:type="character" w:styleId="1012" w:customStyle="1">
    <w:name w:val="subtitle1"/>
    <w:uiPriority w:val="0"/>
    <w:qFormat/>
    <w:rPr>
      <w:rFonts w:hint="default" w:ascii="Georgia" w:hAnsi="Georgia"/>
      <w:b/>
      <w:bCs/>
      <w:color w:val="666666"/>
      <w:sz w:val="18"/>
      <w:szCs w:val="18"/>
    </w:rPr>
  </w:style>
  <w:style w:type="character" w:styleId="1013" w:customStyle="1">
    <w:name w:val="明显强调1"/>
    <w:uiPriority w:val="0"/>
    <w:qFormat/>
    <w:rPr>
      <w:b/>
      <w:bCs/>
    </w:rPr>
  </w:style>
  <w:style w:type="character" w:styleId="1014" w:customStyle="1">
    <w:name w:val="Char Char29"/>
    <w:uiPriority w:val="0"/>
    <w:qFormat/>
    <w:rPr>
      <w:rFonts w:ascii="Times New Roman" w:hAnsi="Times New Roman" w:eastAsia="宋体" w:cs="Times New Roman"/>
      <w:b/>
      <w:bCs/>
      <w:sz w:val="44"/>
      <w:szCs w:val="44"/>
    </w:rPr>
  </w:style>
  <w:style w:type="character" w:styleId="1015" w:customStyle="1">
    <w:name w:val="引用 Char"/>
    <w:link w:val="1016"/>
    <w:uiPriority w:val="0"/>
    <w:qFormat/>
    <w:rPr>
      <w:rFonts w:ascii="Calibri" w:hAnsi="Calibri" w:eastAsia="宋体"/>
      <w:i/>
      <w:iCs/>
      <w:sz w:val="22"/>
      <w:lang w:eastAsia="en-US" w:bidi="en-US"/>
    </w:rPr>
  </w:style>
  <w:style w:type="paragraph" w:styleId="1016">
    <w:name w:val="Quote"/>
    <w:basedOn w:val="884"/>
    <w:next w:val="884"/>
    <w:link w:val="1015"/>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017" w:customStyle="1">
    <w:name w:val="Char Char26"/>
    <w:uiPriority w:val="0"/>
    <w:qFormat/>
    <w:rPr>
      <w:b/>
      <w:bCs/>
      <w:sz w:val="32"/>
      <w:szCs w:val="32"/>
    </w:rPr>
  </w:style>
  <w:style w:type="character" w:styleId="1018" w:customStyle="1">
    <w:name w:val="apple-converted-space"/>
    <w:basedOn w:val="894"/>
    <w:uiPriority w:val="0"/>
    <w:qFormat/>
  </w:style>
  <w:style w:type="character" w:styleId="1019" w:customStyle="1">
    <w:name w:val="普通文字1 Char"/>
    <w:uiPriority w:val="0"/>
    <w:qFormat/>
    <w:rPr>
      <w:rFonts w:ascii="宋体" w:eastAsia="宋体"/>
      <w:sz w:val="21"/>
      <w:szCs w:val="21"/>
      <w:lang w:val="en-US" w:eastAsia="zh-CN" w:bidi="ar-SA"/>
    </w:rPr>
  </w:style>
  <w:style w:type="character" w:styleId="1020" w:customStyle="1">
    <w:name w:val="ih151"/>
    <w:uiPriority w:val="0"/>
    <w:qFormat/>
    <w:rPr>
      <w:color w:val="666666"/>
      <w:sz w:val="18"/>
      <w:szCs w:val="18"/>
      <w:u w:val="none"/>
    </w:rPr>
  </w:style>
  <w:style w:type="character" w:styleId="1021" w:customStyle="1">
    <w:name w:val="小四 段落 宋体 Char Char Char Char1"/>
    <w:uiPriority w:val="0"/>
    <w:qFormat/>
    <w:rPr>
      <w:rFonts w:eastAsia="宋体"/>
      <w:sz w:val="24"/>
      <w:szCs w:val="24"/>
      <w:lang w:val="en-US" w:eastAsia="zh-CN" w:bidi="ar-SA"/>
    </w:rPr>
  </w:style>
  <w:style w:type="character" w:styleId="1022" w:customStyle="1">
    <w:name w:val="纯文本 Char Char"/>
    <w:uiPriority w:val="0"/>
    <w:qFormat/>
    <w:rPr>
      <w:rFonts w:ascii="宋体" w:hAnsi="Courier New" w:eastAsia="宋体"/>
      <w:sz w:val="21"/>
      <w:szCs w:val="21"/>
      <w:lang w:val="en-US" w:eastAsia="zh-CN" w:bidi="ar-SA"/>
    </w:rPr>
  </w:style>
  <w:style w:type="character" w:styleId="1023" w:customStyle="1">
    <w:name w:val="正文 + 宋体 Char"/>
    <w:uiPriority w:val="0"/>
    <w:qFormat/>
    <w:rPr>
      <w:rFonts w:eastAsia="宋体"/>
      <w:sz w:val="21"/>
      <w:szCs w:val="24"/>
      <w:lang w:val="en-US" w:eastAsia="zh-CN" w:bidi="ar-SA"/>
    </w:rPr>
  </w:style>
  <w:style w:type="character" w:styleId="1024" w:customStyle="1">
    <w:name w:val="标题 Char1"/>
    <w:uiPriority w:val="0"/>
    <w:qFormat/>
    <w:rPr>
      <w:rFonts w:ascii="Cambria" w:eastAsia="宋体" w:cs="Times New Roman"/>
      <w:b/>
      <w:bCs/>
      <w:sz w:val="32"/>
      <w:szCs w:val="32"/>
    </w:rPr>
  </w:style>
  <w:style w:type="character" w:styleId="1025" w:customStyle="1">
    <w:name w:val="特点 Char1"/>
    <w:uiPriority w:val="0"/>
    <w:qFormat/>
    <w:rPr>
      <w:rFonts w:eastAsia="宋体"/>
      <w:sz w:val="21"/>
      <w:lang w:val="en-US" w:eastAsia="zh-CN" w:bidi="ar-SA"/>
    </w:rPr>
  </w:style>
  <w:style w:type="character" w:styleId="1026" w:customStyle="1">
    <w:name w:val="HTML 预设格式 Char"/>
    <w:link w:val="937"/>
    <w:uiPriority w:val="0"/>
    <w:qFormat/>
    <w:rPr>
      <w:rFonts w:ascii="黑体" w:hAnsi="Courier New" w:eastAsia="黑体" w:cs="Courier New"/>
    </w:rPr>
  </w:style>
  <w:style w:type="character" w:styleId="1027" w:customStyle="1">
    <w:name w:val="样式 非加粗"/>
    <w:uiPriority w:val="0"/>
    <w:qFormat/>
    <w:rPr>
      <w:rFonts w:eastAsia="宋体"/>
      <w:sz w:val="28"/>
    </w:rPr>
  </w:style>
  <w:style w:type="character" w:styleId="1028" w:customStyle="1">
    <w:name w:val="小四 段落 宋体 Char Char Char Char Char"/>
    <w:uiPriority w:val="0"/>
    <w:qFormat/>
    <w:rPr>
      <w:rFonts w:eastAsia="宋体"/>
      <w:sz w:val="24"/>
      <w:szCs w:val="24"/>
      <w:lang w:val="en-US" w:eastAsia="zh-CN" w:bidi="ar-SA"/>
    </w:rPr>
  </w:style>
  <w:style w:type="character" w:styleId="1029" w:customStyle="1">
    <w:name w:val="小四 段落 宋体 Char Char Char Char Char Char Char Char"/>
    <w:uiPriority w:val="0"/>
    <w:qFormat/>
    <w:rPr>
      <w:rFonts w:eastAsia="宋体"/>
      <w:sz w:val="24"/>
      <w:szCs w:val="24"/>
      <w:lang w:val="en-US" w:eastAsia="zh-CN" w:bidi="ar-SA"/>
    </w:rPr>
  </w:style>
  <w:style w:type="character" w:styleId="1030" w:customStyle="1">
    <w:name w:val="19"/>
    <w:uiPriority w:val="0"/>
    <w:qFormat/>
    <w:rPr>
      <w:rFonts w:hint="eastAsia" w:ascii="宋体" w:hAnsi="宋体" w:eastAsia="宋体" w:cs="宋体"/>
      <w:color w:val="000000"/>
      <w:sz w:val="20"/>
      <w:szCs w:val="20"/>
    </w:rPr>
  </w:style>
  <w:style w:type="character" w:styleId="1031" w:customStyle="1">
    <w:name w:val="无间隔 Char"/>
    <w:link w:val="1032"/>
    <w:uiPriority w:val="0"/>
    <w:qFormat/>
    <w:rPr>
      <w:rFonts w:eastAsia="微软雅黑"/>
      <w:sz w:val="24"/>
    </w:rPr>
  </w:style>
  <w:style w:type="paragraph" w:styleId="1032">
    <w:name w:val="No Spacing"/>
    <w:link w:val="1031"/>
    <w:uiPriority w:val="0"/>
    <w:qFormat/>
    <w:pPr>
      <w:jc w:val="both"/>
      <w:widowControl w:val="off"/>
    </w:pPr>
    <w:rPr>
      <w:rFonts w:eastAsia="微软雅黑" w:asciiTheme="minorHAnsi" w:hAnsiTheme="minorHAnsi" w:cstheme="minorBidi"/>
      <w:sz w:val="24"/>
      <w:szCs w:val="22"/>
      <w:lang w:val="en-US" w:eastAsia="zh-CN" w:bidi="ar-SA"/>
    </w:rPr>
  </w:style>
  <w:style w:type="character" w:styleId="1033" w:customStyle="1">
    <w:name w:val="title_emph1"/>
    <w:uiPriority w:val="0"/>
    <w:qFormat/>
    <w:rPr>
      <w:rFonts w:ascii="Arial" w:cs="Arial"/>
      <w:b/>
      <w:bCs/>
      <w:sz w:val="18"/>
      <w:szCs w:val="18"/>
    </w:rPr>
  </w:style>
  <w:style w:type="character" w:styleId="1034" w:customStyle="1">
    <w:name w:val="纯文本 Char"/>
    <w:link w:val="913"/>
    <w:uiPriority w:val="0"/>
    <w:qFormat/>
    <w:rPr>
      <w:rFonts w:ascii="宋体" w:hAnsi="Courier New" w:eastAsia="宋体"/>
    </w:rPr>
  </w:style>
  <w:style w:type="character" w:styleId="1035" w:customStyle="1">
    <w:name w:val="111111 Char"/>
    <w:link w:val="1036"/>
    <w:uiPriority w:val="0"/>
    <w:qFormat/>
    <w:rPr>
      <w:rFonts w:ascii="宋体" w:hAnsi="宋体" w:eastAsia="黑体" w:cs="宋体"/>
      <w:b/>
      <w:bCs/>
      <w:szCs w:val="21"/>
    </w:rPr>
  </w:style>
  <w:style w:type="paragraph" w:styleId="1036" w:customStyle="1">
    <w:name w:val="111111"/>
    <w:basedOn w:val="884"/>
    <w:link w:val="1035"/>
    <w:uiPriority w:val="0"/>
    <w:qFormat/>
    <w:pPr>
      <w:jc w:val="center"/>
      <w:spacing w:before="120" w:after="120"/>
    </w:pPr>
    <w:rPr>
      <w:rFonts w:ascii="宋体" w:hAnsi="宋体" w:eastAsia="黑体"/>
      <w:b/>
      <w:bCs/>
      <w:sz w:val="21"/>
      <w:szCs w:val="21"/>
      <w:lang w:val="en-US"/>
    </w:rPr>
  </w:style>
  <w:style w:type="character" w:styleId="1037" w:customStyle="1">
    <w:name w:val="font51"/>
    <w:uiPriority w:val="0"/>
    <w:qFormat/>
    <w:rPr>
      <w:rFonts w:hint="eastAsia" w:ascii="宋体" w:hAnsi="宋体" w:eastAsia="宋体" w:cs="宋体"/>
      <w:color w:val="000000"/>
      <w:sz w:val="20"/>
      <w:szCs w:val="20"/>
      <w:u w:val="none"/>
    </w:rPr>
  </w:style>
  <w:style w:type="character" w:styleId="1038" w:customStyle="1">
    <w:name w:val="批注主题 Char"/>
    <w:link w:val="941"/>
    <w:uiPriority w:val="0"/>
    <w:semiHidden/>
    <w:qFormat/>
    <w:rPr>
      <w:rFonts w:eastAsia="宋体"/>
      <w:b/>
      <w:bCs/>
    </w:rPr>
  </w:style>
  <w:style w:type="character" w:styleId="1039" w:customStyle="1">
    <w:name w:val="Char Char27"/>
    <w:uiPriority w:val="0"/>
    <w:qFormat/>
    <w:rPr>
      <w:b/>
      <w:bCs/>
      <w:sz w:val="44"/>
      <w:szCs w:val="44"/>
    </w:rPr>
  </w:style>
  <w:style w:type="character" w:styleId="1040" w:customStyle="1">
    <w:name w:val="case31"/>
    <w:uiPriority w:val="0"/>
    <w:qFormat/>
    <w:rPr>
      <w:sz w:val="21"/>
      <w:szCs w:val="21"/>
    </w:rPr>
  </w:style>
  <w:style w:type="character" w:styleId="1041" w:customStyle="1">
    <w:name w:val="concon"/>
    <w:uiPriority w:val="0"/>
    <w:qFormat/>
  </w:style>
  <w:style w:type="character" w:styleId="1042" w:customStyle="1">
    <w:name w:val="20"/>
    <w:uiPriority w:val="0"/>
    <w:qFormat/>
    <w:rPr>
      <w:rFonts w:hint="default" w:ascii="Times New Roman" w:hAnsi="Times New Roman" w:cs="Times New Roman"/>
    </w:rPr>
  </w:style>
  <w:style w:type="character" w:styleId="1043" w:customStyle="1">
    <w:name w:val="纯文本 Char1"/>
    <w:uiPriority w:val="0"/>
    <w:qFormat/>
    <w:rPr>
      <w:rFonts w:ascii="宋体" w:hAnsi="Courier New" w:cs="Courier New"/>
      <w:sz w:val="21"/>
      <w:szCs w:val="21"/>
    </w:rPr>
  </w:style>
  <w:style w:type="character" w:styleId="1044" w:customStyle="1">
    <w:name w:val="华宇段落1 Char Char Char"/>
    <w:uiPriority w:val="0"/>
    <w:qFormat/>
    <w:rPr>
      <w:rFonts w:eastAsia="宋体"/>
      <w:bCs/>
      <w:sz w:val="24"/>
      <w:szCs w:val="24"/>
      <w:lang w:val="en-US" w:eastAsia="zh-CN" w:bidi="ar-SA"/>
    </w:rPr>
  </w:style>
  <w:style w:type="character" w:styleId="1045" w:customStyle="1">
    <w:name w:val="正文文本缩进 3 Char"/>
    <w:link w:val="930"/>
    <w:uiPriority w:val="0"/>
    <w:qFormat/>
    <w:rPr>
      <w:rFonts w:ascii="Arial" w:hAnsi="Arial" w:eastAsia="仿宋_GB2312"/>
      <w:color w:val="ffff00"/>
      <w:sz w:val="32"/>
    </w:rPr>
  </w:style>
  <w:style w:type="character" w:styleId="1046" w:customStyle="1">
    <w:name w:val="style131"/>
    <w:uiPriority w:val="0"/>
    <w:qFormat/>
    <w:rPr>
      <w:rFonts w:cs="Times New Roman"/>
      <w:sz w:val="18"/>
      <w:szCs w:val="18"/>
    </w:rPr>
  </w:style>
  <w:style w:type="character" w:styleId="1047" w:customStyle="1">
    <w:name w:val="正文文本缩进 Char"/>
    <w:link w:val="909"/>
    <w:uiPriority w:val="0"/>
    <w:qFormat/>
    <w:rPr>
      <w:rFonts w:ascii="楷体_GB2312" w:eastAsia="楷体_GB2312"/>
      <w:sz w:val="32"/>
    </w:rPr>
  </w:style>
  <w:style w:type="character" w:styleId="1048" w:customStyle="1">
    <w:name w:val="纯文本 Char Char Char"/>
    <w:uiPriority w:val="0"/>
    <w:qFormat/>
    <w:rPr>
      <w:rFonts w:ascii="宋体" w:hAnsi="Courier New" w:eastAsia="宋体"/>
      <w:sz w:val="21"/>
      <w:szCs w:val="21"/>
      <w:lang w:val="en-US" w:eastAsia="zh-CN" w:bidi="ar-SA"/>
    </w:rPr>
  </w:style>
  <w:style w:type="character" w:styleId="1049" w:customStyle="1">
    <w:name w:val="font21"/>
    <w:basedOn w:val="894"/>
    <w:uiPriority w:val="0"/>
    <w:qFormat/>
    <w:rPr>
      <w:rFonts w:hint="eastAsia" w:ascii="宋体" w:hAnsi="宋体" w:eastAsia="宋体" w:cs="宋体"/>
      <w:color w:val="ff0000"/>
      <w:sz w:val="20"/>
      <w:szCs w:val="20"/>
      <w:u w:val="none"/>
    </w:rPr>
  </w:style>
  <w:style w:type="character" w:styleId="1050" w:customStyle="1">
    <w:name w:val="content"/>
    <w:basedOn w:val="894"/>
    <w:uiPriority w:val="0"/>
    <w:qFormat/>
  </w:style>
  <w:style w:type="character" w:styleId="1051" w:customStyle="1">
    <w:name w:val="font41"/>
    <w:uiPriority w:val="0"/>
    <w:qFormat/>
    <w:rPr>
      <w:rFonts w:hint="eastAsia" w:ascii="宋体" w:hAnsi="宋体" w:eastAsia="宋体" w:cs="宋体"/>
      <w:b/>
      <w:color w:val="000000"/>
      <w:sz w:val="20"/>
      <w:szCs w:val="20"/>
      <w:u w:val="none"/>
    </w:rPr>
  </w:style>
  <w:style w:type="character" w:styleId="1052" w:customStyle="1">
    <w:name w:val="listbenefit"/>
    <w:uiPriority w:val="0"/>
    <w:qFormat/>
  </w:style>
  <w:style w:type="character" w:styleId="1053" w:customStyle="1">
    <w:name w:val="Char Char2"/>
    <w:uiPriority w:val="0"/>
    <w:qFormat/>
    <w:rPr>
      <w:rFonts w:ascii="宋体" w:hAnsi="Courier New" w:eastAsia="宋体"/>
      <w:sz w:val="21"/>
      <w:szCs w:val="21"/>
      <w:lang w:val="en-US" w:eastAsia="zh-CN" w:bidi="ar-SA"/>
    </w:rPr>
  </w:style>
  <w:style w:type="character" w:styleId="1054" w:customStyle="1">
    <w:name w:val="已访问的超链接1"/>
    <w:uiPriority w:val="0"/>
    <w:qFormat/>
    <w:rPr>
      <w:color w:val="auto"/>
      <w:u w:val="none"/>
    </w:rPr>
  </w:style>
  <w:style w:type="character" w:styleId="1055" w:customStyle="1">
    <w:name w:val="标准小四 Char Char"/>
    <w:uiPriority w:val="0"/>
    <w:qFormat/>
    <w:rPr>
      <w:rFonts w:ascii="Arial" w:hAnsi="Arial" w:eastAsia="宋体"/>
      <w:sz w:val="24"/>
      <w:szCs w:val="21"/>
      <w:lang w:val="en-US" w:eastAsia="zh-CN" w:bidi="ar-SA"/>
    </w:rPr>
  </w:style>
  <w:style w:type="character" w:styleId="1056" w:customStyle="1">
    <w:name w:val="样式 首行缩进:  2 字符 Char"/>
    <w:uiPriority w:val="0"/>
    <w:qFormat/>
    <w:rPr>
      <w:rFonts w:eastAsia="宋体" w:cs="宋体"/>
      <w:sz w:val="24"/>
      <w:lang w:val="en-US" w:eastAsia="zh-CN" w:bidi="ar-SA"/>
    </w:rPr>
  </w:style>
  <w:style w:type="character" w:styleId="1057" w:customStyle="1">
    <w:name w:val="华宇段落1 Char Char"/>
    <w:uiPriority w:val="0"/>
    <w:qFormat/>
    <w:rPr>
      <w:rFonts w:eastAsia="宋体"/>
      <w:bCs/>
      <w:sz w:val="24"/>
      <w:szCs w:val="24"/>
      <w:lang w:val="en-US" w:eastAsia="zh-CN" w:bidi="ar-SA"/>
    </w:rPr>
  </w:style>
  <w:style w:type="character" w:styleId="1058" w:customStyle="1">
    <w:name w:val="正文缩进 Char1"/>
    <w:link w:val="1059"/>
    <w:uiPriority w:val="0"/>
    <w:qFormat/>
    <w:rPr>
      <w:rFonts w:eastAsia="宋体"/>
    </w:rPr>
  </w:style>
  <w:style w:type="paragraph" w:styleId="1059" w:customStyle="1">
    <w:name w:val="正文缩进1"/>
    <w:basedOn w:val="884"/>
    <w:link w:val="1058"/>
    <w:uiPriority w:val="0"/>
    <w:qFormat/>
    <w:pPr>
      <w:ind w:firstLine="420"/>
    </w:pPr>
    <w:rPr>
      <w:rFonts w:eastAsia="宋体" w:asciiTheme="minorHAnsi" w:hAnsiTheme="minorHAnsi" w:cstheme="minorBidi"/>
      <w:sz w:val="21"/>
      <w:szCs w:val="22"/>
      <w:lang w:val="en-US"/>
    </w:rPr>
  </w:style>
  <w:style w:type="character" w:styleId="1060" w:customStyle="1">
    <w:name w:val="小四 段落 宋体 Char1"/>
    <w:uiPriority w:val="0"/>
    <w:qFormat/>
    <w:rPr>
      <w:rFonts w:eastAsia="宋体"/>
      <w:sz w:val="24"/>
      <w:szCs w:val="24"/>
      <w:lang w:val="en-US" w:eastAsia="zh-CN" w:bidi="ar-SA"/>
    </w:rPr>
  </w:style>
  <w:style w:type="character" w:styleId="1061" w:customStyle="1">
    <w:name w:val="标题 3 Char1"/>
    <w:link w:val="887"/>
    <w:uiPriority w:val="0"/>
    <w:qFormat/>
    <w:rPr>
      <w:rFonts w:ascii="宋体" w:hAnsi="宋体" w:eastAsia="宋体" w:cs="Times New Roman"/>
      <w:b/>
      <w:szCs w:val="21"/>
      <w:shd w:val="clear" w:color="auto" w:fill="ffffff"/>
      <w:lang w:val="zh-CN"/>
    </w:rPr>
  </w:style>
  <w:style w:type="character" w:styleId="1062" w:customStyle="1">
    <w:name w:val="Char Char24"/>
    <w:uiPriority w:val="0"/>
    <w:qFormat/>
    <w:rPr>
      <w:b/>
      <w:bCs/>
      <w:sz w:val="28"/>
      <w:szCs w:val="28"/>
    </w:rPr>
  </w:style>
  <w:style w:type="character" w:styleId="1063" w:customStyle="1">
    <w:name w:val="样式 首行缩进:  2 字符 Char Char"/>
    <w:link w:val="1064"/>
    <w:uiPriority w:val="0"/>
    <w:qFormat/>
    <w:rPr>
      <w:rFonts w:eastAsia="宋体" w:cs="宋体"/>
      <w:sz w:val="24"/>
    </w:rPr>
  </w:style>
  <w:style w:type="paragraph" w:styleId="1064" w:customStyle="1">
    <w:name w:val="样式 首行缩进:  2 字符"/>
    <w:basedOn w:val="884"/>
    <w:link w:val="1063"/>
    <w:uiPriority w:val="0"/>
    <w:qFormat/>
    <w:pPr>
      <w:ind w:firstLine="480"/>
      <w:spacing w:line="360" w:lineRule="auto"/>
    </w:pPr>
    <w:rPr>
      <w:rFonts w:eastAsia="宋体" w:asciiTheme="minorHAnsi" w:hAnsiTheme="minorHAnsi"/>
      <w:sz w:val="24"/>
      <w:szCs w:val="22"/>
      <w:lang w:val="en-US"/>
    </w:rPr>
  </w:style>
  <w:style w:type="character" w:styleId="1065" w:customStyle="1">
    <w:name w:val="17"/>
    <w:uiPriority w:val="0"/>
    <w:qFormat/>
    <w:rPr>
      <w:rFonts w:hint="eastAsia" w:ascii="宋体" w:hAnsi="宋体" w:eastAsia="宋体" w:cs="宋体"/>
      <w:color w:val="ff0000"/>
      <w:sz w:val="20"/>
      <w:szCs w:val="20"/>
    </w:rPr>
  </w:style>
  <w:style w:type="character" w:styleId="10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7" w:customStyle="1">
    <w:name w:val="content_lineheight1"/>
    <w:basedOn w:val="894"/>
    <w:uiPriority w:val="0"/>
    <w:qFormat/>
  </w:style>
  <w:style w:type="character" w:styleId="1068" w:customStyle="1">
    <w:name w:val="标题 3 Char Char"/>
    <w:uiPriority w:val="0"/>
    <w:qFormat/>
    <w:rPr>
      <w:rFonts w:eastAsia="仿宋_GB2312"/>
      <w:b/>
      <w:bCs/>
      <w:sz w:val="28"/>
      <w:szCs w:val="32"/>
      <w:lang w:val="en-US" w:eastAsia="zh-CN" w:bidi="ar-SA"/>
    </w:rPr>
  </w:style>
  <w:style w:type="character" w:styleId="1069" w:customStyle="1">
    <w:name w:val="样式 首行缩进:  0 字符 Char"/>
    <w:link w:val="1070"/>
    <w:uiPriority w:val="0"/>
    <w:qFormat/>
    <w:rPr>
      <w:rFonts w:ascii="Verdana" w:hAnsi="Verdana" w:cs="宋体"/>
      <w:sz w:val="24"/>
    </w:rPr>
  </w:style>
  <w:style w:type="paragraph" w:styleId="1070" w:customStyle="1">
    <w:name w:val="样式 首行缩进:  0 字符"/>
    <w:basedOn w:val="884"/>
    <w:link w:val="1069"/>
    <w:uiPriority w:val="0"/>
    <w:qFormat/>
    <w:pPr>
      <w:ind w:firstLine="200"/>
      <w:jc w:val="left"/>
      <w:spacing w:line="360" w:lineRule="auto"/>
      <w:widowControl/>
    </w:pPr>
    <w:rPr>
      <w:rFonts w:ascii="Verdana" w:hAnsi="Verdana" w:eastAsiaTheme="minorEastAsia"/>
      <w:sz w:val="24"/>
      <w:szCs w:val="22"/>
      <w:lang w:val="en-US"/>
    </w:rPr>
  </w:style>
  <w:style w:type="character" w:styleId="1071" w:customStyle="1">
    <w:name w:val="标准小四 Char"/>
    <w:uiPriority w:val="0"/>
    <w:qFormat/>
    <w:rPr>
      <w:rFonts w:ascii="Arial" w:hAnsi="Arial" w:eastAsia="宋体"/>
      <w:sz w:val="24"/>
      <w:szCs w:val="21"/>
      <w:lang w:val="en-US" w:eastAsia="zh-CN" w:bidi="ar-SA"/>
    </w:rPr>
  </w:style>
  <w:style w:type="character" w:styleId="1072" w:customStyle="1">
    <w:name w:val="point_normal1"/>
    <w:uiPriority w:val="0"/>
    <w:qFormat/>
    <w:rPr>
      <w:rFonts w:hint="default" w:ascii="Arial" w:hAnsi="Arial" w:cs="Arial"/>
      <w:sz w:val="18"/>
      <w:szCs w:val="18"/>
    </w:rPr>
  </w:style>
  <w:style w:type="character" w:styleId="1073" w:customStyle="1">
    <w:name w:val="normalfont1"/>
    <w:uiPriority w:val="0"/>
    <w:qFormat/>
    <w:rPr>
      <w:rFonts w:hint="default" w:ascii="ˎ̥" w:hAnsi="ˎ̥"/>
      <w:sz w:val="18"/>
      <w:szCs w:val="18"/>
      <w:u w:val="none"/>
    </w:rPr>
  </w:style>
  <w:style w:type="character" w:styleId="1074" w:customStyle="1">
    <w:name w:val="页脚 Char"/>
    <w:link w:val="920"/>
    <w:uiPriority w:val="0"/>
    <w:qFormat/>
    <w:rPr>
      <w:sz w:val="18"/>
    </w:rPr>
  </w:style>
  <w:style w:type="paragraph" w:styleId="1075" w:customStyle="1">
    <w:name w:val="默认段落字体 Para Char"/>
    <w:basedOn w:val="884"/>
    <w:uiPriority w:val="0"/>
    <w:qFormat/>
    <w:rPr>
      <w:sz w:val="24"/>
      <w:szCs w:val="24"/>
    </w:rPr>
  </w:style>
  <w:style w:type="character" w:styleId="1076" w:customStyle="1">
    <w:name w:val="批注框文本 Char"/>
    <w:basedOn w:val="894"/>
    <w:link w:val="919"/>
    <w:uiPriority w:val="0"/>
    <w:semiHidden/>
    <w:qFormat/>
    <w:rPr>
      <w:rFonts w:ascii="Calibri" w:hAnsi="Calibri" w:eastAsia="Calibri" w:cs="宋体"/>
      <w:sz w:val="18"/>
      <w:szCs w:val="18"/>
      <w:lang w:val="zh-CN"/>
    </w:rPr>
  </w:style>
  <w:style w:type="paragraph" w:styleId="1077" w:customStyle="1">
    <w:name w:val="Char Char Char Char Char Char Char Char"/>
    <w:basedOn w:val="884"/>
    <w:uiPriority w:val="0"/>
    <w:qFormat/>
    <w:rPr>
      <w:rFonts w:ascii="Tahoma" w:hAnsi="Tahoma"/>
      <w:sz w:val="24"/>
    </w:rPr>
  </w:style>
  <w:style w:type="paragraph" w:styleId="1078" w:customStyle="1">
    <w:name w:val="Char Char1 Char"/>
    <w:basedOn w:val="884"/>
    <w:uiPriority w:val="0"/>
    <w:qFormat/>
    <w:pPr>
      <w:jc w:val="left"/>
      <w:spacing w:after="160" w:line="240" w:lineRule="exact"/>
      <w:widowControl/>
    </w:pPr>
    <w:rPr>
      <w:rFonts w:ascii="Verdana" w:hAnsi="Verdana"/>
      <w:lang w:eastAsia="en-US"/>
    </w:rPr>
  </w:style>
  <w:style w:type="paragraph" w:styleId="1079" w:customStyle="1">
    <w:name w:val="Char Char Char Char Char Char Char Char Char Char Char Char Char"/>
    <w:basedOn w:val="903"/>
    <w:uiPriority w:val="0"/>
    <w:qFormat/>
    <w:rPr>
      <w:rFonts w:ascii="Tahoma" w:hAnsi="Tahoma"/>
      <w:sz w:val="24"/>
      <w:szCs w:val="24"/>
    </w:rPr>
  </w:style>
  <w:style w:type="character" w:styleId="1080" w:customStyle="1">
    <w:name w:val="正文文本 2 Char"/>
    <w:basedOn w:val="894"/>
    <w:link w:val="936"/>
    <w:uiPriority w:val="0"/>
    <w:qFormat/>
    <w:rPr>
      <w:rFonts w:ascii="楷体_GB2312" w:hAnsi="Calibri" w:eastAsia="楷体_GB2312" w:cs="宋体"/>
      <w:sz w:val="28"/>
      <w:szCs w:val="20"/>
      <w:lang w:val="zh-CN"/>
    </w:rPr>
  </w:style>
  <w:style w:type="paragraph" w:styleId="1081" w:customStyle="1">
    <w:name w:val="Table Text Char"/>
    <w:uiPriority w:val="0"/>
    <w:qFormat/>
    <w:pPr>
      <w:spacing w:before="80" w:after="80"/>
    </w:pPr>
    <w:rPr>
      <w:rFonts w:ascii="Arial" w:hAnsi="Arial" w:eastAsia="宋体" w:cs="Arial"/>
      <w:sz w:val="18"/>
      <w:szCs w:val="28"/>
      <w:lang w:val="en-US" w:eastAsia="zh-CN" w:bidi="ar-SA"/>
    </w:rPr>
  </w:style>
  <w:style w:type="paragraph" w:styleId="1082" w:customStyle="1">
    <w:name w:val="Char Char Char Char Char Char Char Char Char Char Char Char Char Char Char Char Char Char Char Char Char"/>
    <w:basedOn w:val="884"/>
    <w:uiPriority w:val="0"/>
    <w:qFormat/>
    <w:rPr>
      <w:rFonts w:ascii="Tahoma" w:hAnsi="Tahoma" w:cs="Tahoma"/>
      <w:sz w:val="24"/>
    </w:rPr>
  </w:style>
  <w:style w:type="paragraph" w:styleId="1083" w:customStyle="1">
    <w:name w:val="xl3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84" w:customStyle="1">
    <w:name w:val="xl36"/>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85" w:customStyle="1">
    <w:name w:val="段"/>
    <w:uiPriority w:val="0"/>
    <w:qFormat/>
    <w:pPr>
      <w:ind w:firstLine="200"/>
      <w:jc w:val="both"/>
    </w:pPr>
    <w:rPr>
      <w:rFonts w:ascii="宋体" w:hAnsi="Calibri" w:eastAsia="宋体" w:cs="Times New Roman"/>
      <w:sz w:val="21"/>
      <w:lang w:val="en-US" w:eastAsia="zh-CN" w:bidi="ar-SA"/>
    </w:rPr>
  </w:style>
  <w:style w:type="paragraph" w:styleId="1086" w:customStyle="1">
    <w:name w:val="font13"/>
    <w:basedOn w:val="884"/>
    <w:uiPriority w:val="0"/>
    <w:qFormat/>
    <w:pPr>
      <w:jc w:val="left"/>
      <w:spacing w:before="100" w:beforeAutospacing="1" w:after="100" w:afterAutospacing="1"/>
      <w:widowControl/>
    </w:pPr>
    <w:rPr>
      <w:i/>
      <w:iCs/>
      <w:sz w:val="36"/>
      <w:szCs w:val="36"/>
    </w:rPr>
  </w:style>
  <w:style w:type="paragraph" w:styleId="1087" w:customStyle="1">
    <w:name w:val="符号与编号 Char"/>
    <w:basedOn w:val="884"/>
    <w:uiPriority w:val="0"/>
    <w:qFormat/>
    <w:pPr>
      <w:ind w:left="720"/>
      <w:spacing w:line="400" w:lineRule="atLeast"/>
      <w:tabs>
        <w:tab w:val="left" w:pos="720" w:leader="none"/>
      </w:tabs>
    </w:pPr>
    <w:rPr>
      <w:sz w:val="24"/>
      <w:szCs w:val="24"/>
    </w:rPr>
  </w:style>
  <w:style w:type="paragraph" w:styleId="1088" w:customStyle="1">
    <w:name w:val="标题2，章节第二层"/>
    <w:basedOn w:val="884"/>
    <w:next w:val="1089"/>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89" w:customStyle="1">
    <w:name w:val="正文格式"/>
    <w:basedOn w:val="884"/>
    <w:uiPriority w:val="0"/>
    <w:qFormat/>
    <w:pPr>
      <w:ind w:left="178" w:right="44" w:hanging="178"/>
      <w:jc w:val="left"/>
      <w:spacing w:line="360" w:lineRule="auto"/>
      <w:widowControl/>
    </w:pPr>
    <w:rPr>
      <w:rFonts w:ascii="宋体" w:hAnsi="宋体"/>
      <w:bCs/>
      <w:szCs w:val="21"/>
    </w:rPr>
  </w:style>
  <w:style w:type="paragraph" w:styleId="1090" w:customStyle="1">
    <w:name w:val="正文--表格内正文"/>
    <w:basedOn w:val="884"/>
    <w:uiPriority w:val="0"/>
    <w:qFormat/>
    <w:pPr>
      <w:jc w:val="center"/>
      <w:spacing w:line="0" w:lineRule="atLeast"/>
    </w:pPr>
    <w:rPr>
      <w:rFonts w:ascii="宋体" w:hAnsi="宋体"/>
      <w:color w:val="000000"/>
      <w:sz w:val="24"/>
      <w:szCs w:val="24"/>
    </w:rPr>
  </w:style>
  <w:style w:type="paragraph" w:styleId="1091" w:customStyle="1">
    <w:name w:val="xl34"/>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92" w:customStyle="1">
    <w:name w:val="Char Char Char"/>
    <w:basedOn w:val="884"/>
    <w:uiPriority w:val="0"/>
    <w:qFormat/>
    <w:rPr>
      <w:rFonts w:ascii="Tahoma" w:hAnsi="Tahoma"/>
      <w:sz w:val="24"/>
    </w:rPr>
  </w:style>
  <w:style w:type="character" w:styleId="1093" w:customStyle="1">
    <w:name w:val="脚注文本 Char"/>
    <w:basedOn w:val="894"/>
    <w:link w:val="928"/>
    <w:uiPriority w:val="0"/>
    <w:qFormat/>
    <w:rPr>
      <w:rFonts w:ascii="Calibri" w:hAnsi="Calibri" w:eastAsia="Calibri" w:cs="宋体"/>
      <w:sz w:val="18"/>
      <w:szCs w:val="18"/>
      <w:lang w:val="zh-CN"/>
    </w:rPr>
  </w:style>
  <w:style w:type="paragraph" w:styleId="1094" w:customStyle="1">
    <w:name w:val="默认段落字体 Para Char Char Char Char Char Char Char Char Char1 Char Char Char Char Char Char Char"/>
    <w:basedOn w:val="903"/>
    <w:uiPriority w:val="0"/>
    <w:qFormat/>
  </w:style>
  <w:style w:type="paragraph" w:styleId="1095" w:customStyle="1">
    <w:name w:val="正文表标题"/>
    <w:next w:val="1085"/>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96" w:customStyle="1">
    <w:name w:val="Char Char Char Char Char Char"/>
    <w:basedOn w:val="884"/>
    <w:uiPriority w:val="0"/>
    <w:qFormat/>
    <w:rPr>
      <w:rFonts w:ascii="Tahoma" w:hAnsi="Tahoma" w:cs="Tahoma"/>
      <w:sz w:val="24"/>
    </w:rPr>
  </w:style>
  <w:style w:type="character" w:styleId="1097" w:customStyle="1">
    <w:name w:val="纯文本 Char2"/>
    <w:basedOn w:val="894"/>
    <w:uiPriority w:val="99"/>
    <w:semiHidden/>
    <w:qFormat/>
    <w:rPr>
      <w:rFonts w:ascii="宋体" w:hAnsi="Courier New" w:eastAsia="宋体" w:cs="Courier New"/>
      <w:szCs w:val="21"/>
      <w:lang w:val="zh-CN"/>
    </w:rPr>
  </w:style>
  <w:style w:type="paragraph" w:styleId="1098" w:customStyle="1">
    <w:name w:val="我的正文"/>
    <w:basedOn w:val="884"/>
    <w:uiPriority w:val="0"/>
    <w:qFormat/>
    <w:pPr>
      <w:ind w:firstLine="420"/>
      <w:jc w:val="left"/>
      <w:spacing w:line="360" w:lineRule="auto"/>
      <w:widowControl/>
    </w:pPr>
    <w:rPr>
      <w:rFonts w:ascii="宋体" w:hAnsi="宋体"/>
      <w:szCs w:val="21"/>
    </w:rPr>
  </w:style>
  <w:style w:type="paragraph" w:styleId="1099" w:customStyle="1">
    <w:name w:val="列出段落1"/>
    <w:basedOn w:val="884"/>
    <w:uiPriority w:val="0"/>
    <w:qFormat/>
    <w:pPr>
      <w:contextualSpacing/>
      <w:ind w:left="720"/>
      <w:jc w:val="left"/>
      <w:widowControl/>
    </w:pPr>
    <w:rPr>
      <w:rFonts w:ascii="Arial" w:hAnsi="Arial" w:eastAsia="黑体"/>
      <w:sz w:val="24"/>
      <w:szCs w:val="24"/>
      <w:lang w:eastAsia="en-US"/>
    </w:rPr>
  </w:style>
  <w:style w:type="character" w:styleId="1100" w:customStyle="1">
    <w:name w:val="标题 Char2"/>
    <w:basedOn w:val="894"/>
    <w:uiPriority w:val="10"/>
    <w:qFormat/>
    <w:rPr>
      <w:rFonts w:eastAsia="宋体" w:asciiTheme="majorHAnsi" w:hAnsiTheme="majorHAnsi" w:cstheme="majorBidi"/>
      <w:b/>
      <w:bCs/>
      <w:sz w:val="32"/>
      <w:szCs w:val="32"/>
      <w:lang w:val="zh-CN"/>
    </w:rPr>
  </w:style>
  <w:style w:type="paragraph" w:styleId="1101"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02" w:customStyle="1">
    <w:name w:val="样式 标题 2第一章 标题 2Heading 2 HiddenHeading 2 CCBSheading 2H2h2..."/>
    <w:basedOn w:val="886"/>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103" w:customStyle="1">
    <w:name w:val="正文文本缩进 Char1"/>
    <w:basedOn w:val="894"/>
    <w:uiPriority w:val="99"/>
    <w:semiHidden/>
    <w:qFormat/>
    <w:rPr>
      <w:rFonts w:ascii="Calibri" w:hAnsi="Calibri" w:eastAsia="Calibri" w:cs="宋体"/>
      <w:sz w:val="20"/>
      <w:szCs w:val="20"/>
      <w:lang w:val="zh-CN"/>
    </w:rPr>
  </w:style>
  <w:style w:type="paragraph" w:styleId="1104" w:customStyle="1">
    <w:name w:val="样式 样式 首行缩进:  0.74 厘米 行距: 1.5 倍行距 + 段后: 0.5 行"/>
    <w:basedOn w:val="884"/>
    <w:uiPriority w:val="0"/>
    <w:qFormat/>
    <w:pPr>
      <w:ind w:firstLine="420"/>
      <w:spacing w:line="360" w:lineRule="auto"/>
    </w:pPr>
    <w:rPr>
      <w:rFonts w:ascii="楷体_GB2312" w:eastAsia="楷体_GB2312"/>
      <w:bCs/>
      <w:sz w:val="24"/>
    </w:rPr>
  </w:style>
  <w:style w:type="paragraph" w:styleId="1105" w:customStyle="1">
    <w:name w:val="Char Char Char Char Char Char Char1 Char"/>
    <w:basedOn w:val="884"/>
    <w:uiPriority w:val="0"/>
    <w:qFormat/>
    <w:rPr>
      <w:rFonts w:ascii="Tahoma" w:hAnsi="Tahoma" w:cs="Tahoma"/>
      <w:sz w:val="24"/>
    </w:rPr>
  </w:style>
  <w:style w:type="paragraph" w:styleId="1106" w:customStyle="1">
    <w:name w:val="Char Char Char Char Char Char Char"/>
    <w:basedOn w:val="884"/>
    <w:uiPriority w:val="0"/>
    <w:qFormat/>
    <w:rPr>
      <w:rFonts w:ascii="Tahoma" w:hAnsi="Tahoma"/>
      <w:sz w:val="24"/>
    </w:rPr>
  </w:style>
  <w:style w:type="paragraph" w:styleId="1107" w:customStyle="1">
    <w:name w:val="华宇段落1 Char"/>
    <w:basedOn w:val="884"/>
    <w:uiPriority w:val="0"/>
    <w:qFormat/>
    <w:pPr>
      <w:ind w:firstLine="200"/>
      <w:spacing w:line="360" w:lineRule="auto"/>
    </w:pPr>
    <w:rPr>
      <w:bCs/>
      <w:sz w:val="24"/>
      <w:szCs w:val="24"/>
    </w:rPr>
  </w:style>
  <w:style w:type="character" w:styleId="1108" w:customStyle="1">
    <w:name w:val="正文文本 Char"/>
    <w:basedOn w:val="894"/>
    <w:link w:val="908"/>
    <w:uiPriority w:val="99"/>
    <w:semiHidden/>
    <w:qFormat/>
    <w:rPr>
      <w:rFonts w:ascii="Calibri" w:hAnsi="Calibri" w:eastAsia="Calibri" w:cs="宋体"/>
      <w:sz w:val="20"/>
      <w:szCs w:val="20"/>
      <w:lang w:val="zh-CN"/>
    </w:rPr>
  </w:style>
  <w:style w:type="character" w:styleId="1109" w:customStyle="1">
    <w:name w:val="正文首行缩进 Char"/>
    <w:basedOn w:val="1108"/>
    <w:link w:val="942"/>
    <w:uiPriority w:val="0"/>
    <w:qFormat/>
    <w:rPr>
      <w:rFonts w:ascii="Times New Roman" w:hAnsi="Times New Roman" w:eastAsia="宋体" w:cs="宋体"/>
      <w:sz w:val="20"/>
      <w:szCs w:val="24"/>
      <w:lang w:val="zh-CN"/>
    </w:rPr>
  </w:style>
  <w:style w:type="paragraph" w:styleId="1110" w:customStyle="1">
    <w:name w:val="Char Char Char Char"/>
    <w:basedOn w:val="884"/>
    <w:uiPriority w:val="0"/>
    <w:qFormat/>
    <w:pPr>
      <w:jc w:val="center"/>
      <w:spacing w:after="160" w:line="240" w:lineRule="exact"/>
      <w:widowControl/>
    </w:pPr>
    <w:rPr>
      <w:rFonts w:ascii="黑体" w:hAnsi="Verdana" w:eastAsia="黑体"/>
      <w:sz w:val="32"/>
      <w:szCs w:val="32"/>
      <w:lang w:eastAsia="en-US"/>
    </w:rPr>
  </w:style>
  <w:style w:type="character" w:styleId="1111" w:customStyle="1">
    <w:name w:val="正文文本缩进 2 Char1"/>
    <w:basedOn w:val="894"/>
    <w:uiPriority w:val="99"/>
    <w:semiHidden/>
    <w:qFormat/>
    <w:rPr>
      <w:rFonts w:ascii="Calibri" w:hAnsi="Calibri" w:eastAsia="Calibri" w:cs="宋体"/>
      <w:sz w:val="20"/>
      <w:szCs w:val="20"/>
      <w:lang w:val="zh-CN"/>
    </w:rPr>
  </w:style>
  <w:style w:type="paragraph" w:styleId="1112" w:customStyle="1">
    <w:name w:val="xl25"/>
    <w:basedOn w:val="884"/>
    <w:uiPriority w:val="0"/>
    <w:qFormat/>
    <w:pPr>
      <w:jc w:val="center"/>
      <w:spacing w:before="100" w:beforeAutospacing="1" w:after="100" w:afterAutospacing="1"/>
      <w:widowControl/>
      <w:pBdr>
        <w:right w:val="single" w:color="auto" w:sz="4" w:space="0"/>
      </w:pBdr>
    </w:pPr>
    <w:rPr>
      <w:szCs w:val="21"/>
    </w:rPr>
  </w:style>
  <w:style w:type="paragraph" w:styleId="1113" w:customStyle="1">
    <w:name w:val="标题6"/>
    <w:basedOn w:val="889"/>
    <w:uiPriority w:val="0"/>
    <w:qFormat/>
    <w:pPr>
      <w:ind w:left="420" w:hanging="420"/>
      <w:keepLines/>
      <w:tabs>
        <w:tab w:val="left" w:pos="420" w:leader="none"/>
      </w:tabs>
    </w:pPr>
    <w:rPr>
      <w:rFonts w:ascii="Times New Roman"/>
      <w:b w:val="0"/>
      <w:bCs/>
      <w:color w:val="auto"/>
      <w:sz w:val="24"/>
      <w:szCs w:val="28"/>
    </w:rPr>
  </w:style>
  <w:style w:type="paragraph" w:styleId="1114" w:customStyle="1">
    <w:name w:val="content_lineheight"/>
    <w:basedOn w:val="884"/>
    <w:uiPriority w:val="0"/>
    <w:qFormat/>
    <w:pPr>
      <w:jc w:val="left"/>
      <w:spacing w:before="100" w:beforeAutospacing="1" w:after="100" w:afterAutospacing="1"/>
      <w:widowControl/>
    </w:pPr>
    <w:rPr>
      <w:rFonts w:ascii="宋体" w:hAnsi="宋体"/>
      <w:sz w:val="24"/>
      <w:szCs w:val="24"/>
    </w:rPr>
  </w:style>
  <w:style w:type="paragraph" w:styleId="1115" w:customStyle="1">
    <w:name w:val="Char Char Char Char Char Char Char Char Char Char Char Char Char Char Char Char Char Char Char Char Char Char Char"/>
    <w:basedOn w:val="884"/>
    <w:uiPriority w:val="0"/>
    <w:qFormat/>
    <w:rPr>
      <w:rFonts w:ascii="Tahoma" w:hAnsi="Tahoma"/>
      <w:sz w:val="24"/>
    </w:rPr>
  </w:style>
  <w:style w:type="paragraph" w:styleId="1116" w:customStyle="1">
    <w:name w:val="font5"/>
    <w:basedOn w:val="884"/>
    <w:uiPriority w:val="0"/>
    <w:qFormat/>
    <w:pPr>
      <w:jc w:val="left"/>
      <w:spacing w:before="100" w:beforeAutospacing="1" w:after="100" w:afterAutospacing="1"/>
      <w:widowControl/>
    </w:pPr>
    <w:rPr>
      <w:rFonts w:ascii="宋体" w:hAnsi="宋体"/>
      <w:sz w:val="18"/>
      <w:szCs w:val="18"/>
    </w:rPr>
  </w:style>
  <w:style w:type="paragraph" w:styleId="1117" w:customStyle="1">
    <w:name w:val="正文 首行缩进:  2 字符 Char Char"/>
    <w:basedOn w:val="884"/>
    <w:uiPriority w:val="0"/>
    <w:qFormat/>
    <w:pPr>
      <w:ind w:firstLine="480"/>
      <w:spacing w:line="360" w:lineRule="auto"/>
    </w:pPr>
    <w:rPr>
      <w:rFonts w:ascii="楷体_GB2312" w:eastAsia="楷体_GB2312"/>
      <w:bCs/>
      <w:sz w:val="24"/>
      <w:szCs w:val="24"/>
    </w:rPr>
  </w:style>
  <w:style w:type="paragraph" w:styleId="1118" w:customStyle="1">
    <w:name w:val="xl3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119" w:customStyle="1">
    <w:name w:val="文档结构图 Char1"/>
    <w:basedOn w:val="894"/>
    <w:uiPriority w:val="99"/>
    <w:semiHidden/>
    <w:qFormat/>
    <w:rPr>
      <w:rFonts w:ascii="宋体" w:hAnsi="Calibri" w:eastAsia="宋体" w:cs="宋体"/>
      <w:sz w:val="18"/>
      <w:szCs w:val="18"/>
      <w:lang w:val="zh-CN"/>
    </w:rPr>
  </w:style>
  <w:style w:type="character" w:styleId="1120" w:customStyle="1">
    <w:name w:val="页脚 Char1"/>
    <w:basedOn w:val="894"/>
    <w:uiPriority w:val="99"/>
    <w:semiHidden/>
    <w:qFormat/>
    <w:rPr>
      <w:rFonts w:ascii="Calibri" w:hAnsi="Calibri" w:eastAsia="Calibri" w:cs="宋体"/>
      <w:sz w:val="18"/>
      <w:szCs w:val="18"/>
      <w:lang w:val="zh-CN"/>
    </w:rPr>
  </w:style>
  <w:style w:type="paragraph" w:styleId="112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22" w:customStyle="1">
    <w:name w:val="Char1"/>
    <w:basedOn w:val="884"/>
    <w:uiPriority w:val="0"/>
    <w:qFormat/>
    <w:rPr>
      <w:rFonts w:ascii="仿宋_GB2312" w:hAnsi="宋体" w:eastAsia="仿宋_GB2312"/>
      <w:b/>
      <w:sz w:val="32"/>
      <w:szCs w:val="32"/>
    </w:rPr>
  </w:style>
  <w:style w:type="paragraph" w:styleId="1123" w:customStyle="1">
    <w:name w:val="部分1"/>
    <w:basedOn w:val="884"/>
    <w:uiPriority w:val="0"/>
    <w:qFormat/>
    <w:pPr>
      <w:jc w:val="center"/>
      <w:keepNext/>
      <w:pageBreakBefore/>
      <w:spacing w:line="360" w:lineRule="auto"/>
      <w:tabs>
        <w:tab w:val="left" w:pos="360" w:leader="none"/>
      </w:tabs>
      <w:outlineLvl w:val="0"/>
    </w:pPr>
    <w:rPr>
      <w:rFonts w:eastAsia="黑体"/>
      <w:b/>
      <w:sz w:val="36"/>
    </w:rPr>
  </w:style>
  <w:style w:type="character" w:styleId="1124" w:customStyle="1">
    <w:name w:val="批注文字 Char1"/>
    <w:basedOn w:val="894"/>
    <w:link w:val="904"/>
    <w:uiPriority w:val="99"/>
    <w:semiHidden/>
    <w:qFormat/>
    <w:rPr>
      <w:rFonts w:ascii="Calibri" w:hAnsi="Calibri" w:eastAsia="Calibri" w:cs="宋体"/>
      <w:sz w:val="20"/>
      <w:szCs w:val="20"/>
      <w:lang w:val="zh-CN"/>
    </w:rPr>
  </w:style>
  <w:style w:type="character" w:styleId="1125" w:customStyle="1">
    <w:name w:val="批注主题 Char1"/>
    <w:basedOn w:val="1124"/>
    <w:uiPriority w:val="99"/>
    <w:semiHidden/>
    <w:qFormat/>
    <w:rPr>
      <w:rFonts w:ascii="Calibri" w:hAnsi="Calibri" w:eastAsia="Calibri" w:cs="宋体"/>
      <w:b/>
      <w:bCs/>
      <w:sz w:val="20"/>
      <w:szCs w:val="20"/>
      <w:lang w:val="zh-CN"/>
    </w:rPr>
  </w:style>
  <w:style w:type="character" w:styleId="1126" w:customStyle="1">
    <w:name w:val="HTML 预设格式 Char1"/>
    <w:basedOn w:val="894"/>
    <w:uiPriority w:val="99"/>
    <w:semiHidden/>
    <w:qFormat/>
    <w:rPr>
      <w:rFonts w:ascii="Courier New" w:hAnsi="Courier New" w:eastAsia="Calibri" w:cs="Courier New"/>
      <w:sz w:val="20"/>
      <w:szCs w:val="20"/>
      <w:lang w:val="zh-CN"/>
    </w:rPr>
  </w:style>
  <w:style w:type="paragraph" w:styleId="1127" w:customStyle="1">
    <w:name w:val="项目符号：一级"/>
    <w:basedOn w:val="1089"/>
    <w:next w:val="1089"/>
    <w:uiPriority w:val="0"/>
    <w:qFormat/>
    <w:pPr>
      <w:ind w:right="-134"/>
    </w:pPr>
    <w:rPr>
      <w:bCs w:val="0"/>
      <w:lang w:val="en-US"/>
    </w:rPr>
  </w:style>
  <w:style w:type="paragraph" w:styleId="1128" w:customStyle="1">
    <w:name w:val="列出段落11"/>
    <w:basedOn w:val="884"/>
    <w:uiPriority w:val="0"/>
    <w:qFormat/>
    <w:pPr>
      <w:contextualSpacing/>
      <w:ind w:left="720"/>
      <w:jc w:val="left"/>
      <w:widowControl/>
    </w:pPr>
    <w:rPr>
      <w:rFonts w:ascii="Arial" w:hAnsi="Arial" w:eastAsia="黑体"/>
      <w:sz w:val="24"/>
      <w:szCs w:val="24"/>
      <w:lang w:eastAsia="en-US"/>
    </w:rPr>
  </w:style>
  <w:style w:type="paragraph" w:styleId="1129" w:customStyle="1">
    <w:name w:val="Char Char Char Char Char Char Char Char Char Char Char Char Char Char Char Char Char Char Char Char Char1"/>
    <w:basedOn w:val="884"/>
    <w:uiPriority w:val="0"/>
    <w:qFormat/>
    <w:rPr>
      <w:rFonts w:ascii="Tahoma" w:hAnsi="Tahoma"/>
      <w:sz w:val="24"/>
    </w:rPr>
  </w:style>
  <w:style w:type="paragraph" w:styleId="1130" w:customStyle="1">
    <w:name w:val="font8"/>
    <w:basedOn w:val="884"/>
    <w:uiPriority w:val="0"/>
    <w:qFormat/>
    <w:pPr>
      <w:jc w:val="left"/>
      <w:spacing w:before="100" w:beforeAutospacing="1" w:after="100" w:afterAutospacing="1"/>
      <w:widowControl/>
    </w:pPr>
    <w:rPr>
      <w:rFonts w:ascii="宋体" w:hAnsi="宋体"/>
      <w:b/>
      <w:bCs/>
      <w:i/>
      <w:iCs/>
    </w:rPr>
  </w:style>
  <w:style w:type="paragraph" w:styleId="1131" w:customStyle="1">
    <w:name w:val="Char Char1 Char Char Char Char1 Char Char Char Char Char Char"/>
    <w:basedOn w:val="884"/>
    <w:uiPriority w:val="0"/>
    <w:qFormat/>
    <w:rPr>
      <w:rFonts w:ascii="Tahoma" w:hAnsi="Tahoma"/>
      <w:sz w:val="24"/>
    </w:rPr>
  </w:style>
  <w:style w:type="character" w:styleId="1132" w:customStyle="1">
    <w:name w:val="正文文本缩进 3 Char1"/>
    <w:basedOn w:val="894"/>
    <w:uiPriority w:val="99"/>
    <w:semiHidden/>
    <w:qFormat/>
    <w:rPr>
      <w:rFonts w:ascii="Calibri" w:hAnsi="Calibri" w:eastAsia="Calibri" w:cs="宋体"/>
      <w:sz w:val="16"/>
      <w:szCs w:val="16"/>
      <w:lang w:val="zh-CN"/>
    </w:rPr>
  </w:style>
  <w:style w:type="paragraph" w:styleId="1133" w:customStyle="1">
    <w:name w:val="p0"/>
    <w:basedOn w:val="884"/>
    <w:uiPriority w:val="0"/>
    <w:qFormat/>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Char Char Char Char"/>
    <w:basedOn w:val="884"/>
    <w:uiPriority w:val="0"/>
    <w:qFormat/>
    <w:rPr>
      <w:rFonts w:ascii="Tahoma" w:hAnsi="Tahoma"/>
      <w:sz w:val="24"/>
    </w:rPr>
  </w:style>
  <w:style w:type="character" w:styleId="1135" w:customStyle="1">
    <w:name w:val="副标题 Char"/>
    <w:basedOn w:val="894"/>
    <w:link w:val="927"/>
    <w:uiPriority w:val="0"/>
    <w:qFormat/>
    <w:rPr>
      <w:rFonts w:ascii="Cambria" w:hAnsi="Cambria" w:eastAsia="Calibri" w:cs="宋体"/>
      <w:i/>
      <w:iCs/>
      <w:spacing w:val="13"/>
      <w:sz w:val="24"/>
      <w:szCs w:val="24"/>
      <w:lang w:val="zh-CN" w:eastAsia="en-US" w:bidi="en-US"/>
    </w:rPr>
  </w:style>
  <w:style w:type="paragraph" w:styleId="1136" w:customStyle="1">
    <w:name w:val="xl29"/>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37" w:customStyle="1">
    <w:name w:val="font9"/>
    <w:basedOn w:val="884"/>
    <w:uiPriority w:val="0"/>
    <w:qFormat/>
    <w:pPr>
      <w:jc w:val="left"/>
      <w:spacing w:before="100" w:beforeAutospacing="1" w:after="100" w:afterAutospacing="1"/>
      <w:widowControl/>
    </w:pPr>
    <w:rPr>
      <w:b/>
      <w:bCs/>
    </w:rPr>
  </w:style>
  <w:style w:type="character" w:styleId="1138" w:customStyle="1">
    <w:name w:val="日期 Char"/>
    <w:basedOn w:val="894"/>
    <w:link w:val="916"/>
    <w:uiPriority w:val="0"/>
    <w:qFormat/>
    <w:rPr>
      <w:rFonts w:ascii="Calibri" w:hAnsi="Calibri" w:eastAsia="Calibri" w:cs="宋体"/>
      <w:sz w:val="28"/>
      <w:szCs w:val="20"/>
      <w:lang w:val="zh-CN"/>
    </w:rPr>
  </w:style>
  <w:style w:type="paragraph" w:styleId="1139" w:customStyle="1">
    <w:name w:val="样式 加点正文 + 段前: 0.5 行 段后: 0.5 行1"/>
    <w:basedOn w:val="884"/>
    <w:uiPriority w:val="0"/>
    <w:qFormat/>
    <w:pPr>
      <w:ind w:left="1268" w:hanging="420"/>
      <w:spacing w:line="300" w:lineRule="auto"/>
      <w:tabs>
        <w:tab w:val="left" w:pos="420" w:leader="none"/>
        <w:tab w:val="left" w:pos="1268" w:leader="none"/>
      </w:tabs>
    </w:pPr>
    <w:rPr>
      <w:sz w:val="24"/>
    </w:rPr>
  </w:style>
  <w:style w:type="paragraph" w:styleId="1140" w:customStyle="1">
    <w:name w:val="Char Char Char Char Char Char Char Char Char Char Char"/>
    <w:basedOn w:val="884"/>
    <w:uiPriority w:val="0"/>
    <w:qFormat/>
    <w:rPr>
      <w:rFonts w:ascii="Tahoma" w:hAnsi="Tahoma"/>
      <w:sz w:val="24"/>
    </w:rPr>
  </w:style>
  <w:style w:type="paragraph" w:styleId="1141" w:customStyle="1">
    <w:name w:val="font7"/>
    <w:basedOn w:val="884"/>
    <w:uiPriority w:val="0"/>
    <w:qFormat/>
    <w:pPr>
      <w:jc w:val="left"/>
      <w:spacing w:before="100" w:beforeAutospacing="1" w:after="100" w:afterAutospacing="1"/>
      <w:widowControl/>
    </w:pPr>
    <w:rPr>
      <w:rFonts w:hint="eastAsia" w:ascii="宋体" w:hAnsi="宋体"/>
      <w:b/>
      <w:bCs/>
      <w:sz w:val="24"/>
      <w:szCs w:val="24"/>
    </w:rPr>
  </w:style>
  <w:style w:type="character" w:styleId="1142" w:customStyle="1">
    <w:name w:val="签名 Char"/>
    <w:basedOn w:val="894"/>
    <w:link w:val="922"/>
    <w:uiPriority w:val="0"/>
    <w:qFormat/>
    <w:rPr>
      <w:rFonts w:ascii="Calibri" w:hAnsi="Calibri" w:eastAsia="仿宋_GB2312" w:cs="宋体"/>
      <w:sz w:val="24"/>
      <w:szCs w:val="20"/>
      <w:lang w:val="zh-CN"/>
    </w:rPr>
  </w:style>
  <w:style w:type="paragraph" w:styleId="1143" w:customStyle="1">
    <w:name w:val="flName"/>
    <w:basedOn w:val="1144"/>
    <w:uiPriority w:val="0"/>
    <w:qFormat/>
    <w:pPr>
      <w:spacing w:before="0" w:line="113" w:lineRule="atLeast"/>
    </w:pPr>
  </w:style>
  <w:style w:type="paragraph" w:styleId="1144" w:customStyle="1">
    <w:name w:val="flNote"/>
    <w:basedOn w:val="884"/>
    <w:uiPriority w:val="0"/>
    <w:qFormat/>
    <w:pPr>
      <w:jc w:val="center"/>
      <w:spacing w:before="567" w:line="360" w:lineRule="atLeast"/>
    </w:pPr>
    <w:rPr>
      <w:rFonts w:eastAsia="黑体"/>
      <w:b/>
      <w:sz w:val="24"/>
    </w:rPr>
  </w:style>
  <w:style w:type="paragraph" w:styleId="1145" w:customStyle="1">
    <w:name w:val="插图"/>
    <w:basedOn w:val="884"/>
    <w:uiPriority w:val="0"/>
    <w:qFormat/>
    <w:pPr>
      <w:jc w:val="center"/>
      <w:tabs>
        <w:tab w:val="left" w:pos="1620" w:leader="none"/>
      </w:tabs>
    </w:pPr>
    <w:rPr>
      <w:bCs/>
      <w:color w:val="000000"/>
      <w:szCs w:val="22"/>
    </w:rPr>
  </w:style>
  <w:style w:type="paragraph" w:styleId="1146" w:customStyle="1">
    <w:name w:val="xl51"/>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47" w:customStyle="1">
    <w:name w:val="Char Char1"/>
    <w:basedOn w:val="884"/>
    <w:uiPriority w:val="0"/>
    <w:qFormat/>
    <w:rPr>
      <w:rFonts w:ascii="Tahoma" w:hAnsi="Tahoma" w:cs="Tahoma"/>
      <w:sz w:val="24"/>
    </w:rPr>
  </w:style>
  <w:style w:type="paragraph" w:styleId="1148" w:customStyle="1">
    <w:name w:val="xl2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9" w:customStyle="1">
    <w:name w:val="xl56"/>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50" w:customStyle="1">
    <w:name w:val="默认段落字体 Para Char Char Char Char Char Char Char"/>
    <w:basedOn w:val="884"/>
    <w:uiPriority w:val="0"/>
    <w:qFormat/>
  </w:style>
  <w:style w:type="paragraph" w:styleId="1151" w:customStyle="1">
    <w:name w:val="项目符号，一级"/>
    <w:basedOn w:val="1089"/>
    <w:next w:val="1089"/>
    <w:uiPriority w:val="0"/>
    <w:qFormat/>
    <w:pPr>
      <w:ind w:left="376" w:firstLine="0"/>
      <w:spacing w:line="240" w:lineRule="atLeast"/>
      <w:tabs>
        <w:tab w:val="left" w:pos="1320" w:leader="none"/>
      </w:tabs>
    </w:pPr>
    <w:rPr>
      <w:bCs w:val="0"/>
      <w:color w:val="000000"/>
      <w:szCs w:val="24"/>
    </w:rPr>
  </w:style>
  <w:style w:type="paragraph" w:styleId="1152" w:customStyle="1">
    <w:name w:val="二级条标题"/>
    <w:basedOn w:val="884"/>
    <w:next w:val="1085"/>
    <w:uiPriority w:val="0"/>
    <w:qFormat/>
    <w:pPr>
      <w:ind w:hanging="420"/>
      <w:widowControl/>
      <w:tabs>
        <w:tab w:val="left" w:pos="2240" w:leader="none"/>
      </w:tabs>
      <w:outlineLvl w:val="3"/>
    </w:pPr>
    <w:rPr>
      <w:rFonts w:eastAsia="黑体"/>
    </w:rPr>
  </w:style>
  <w:style w:type="paragraph" w:styleId="1153" w:customStyle="1">
    <w:name w:val="标题5，章节第五层"/>
    <w:basedOn w:val="884"/>
    <w:next w:val="88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54" w:customStyle="1">
    <w:name w:val="Char Char Char Char Char Char Char Char1"/>
    <w:basedOn w:val="884"/>
    <w:uiPriority w:val="0"/>
    <w:qFormat/>
    <w:rPr>
      <w:rFonts w:ascii="Tahoma" w:hAnsi="Tahoma" w:cs="Tahoma"/>
      <w:sz w:val="24"/>
    </w:rPr>
  </w:style>
  <w:style w:type="paragraph" w:styleId="1155" w:customStyle="1">
    <w:name w:val="List Paragraph1"/>
    <w:basedOn w:val="884"/>
    <w:uiPriority w:val="34"/>
    <w:qFormat/>
    <w:pPr>
      <w:contextualSpacing/>
      <w:ind w:left="720"/>
      <w:jc w:val="left"/>
      <w:spacing w:after="160" w:line="259" w:lineRule="auto"/>
      <w:widowControl/>
    </w:pPr>
    <w:rPr>
      <w:sz w:val="22"/>
    </w:rPr>
  </w:style>
  <w:style w:type="character" w:styleId="1156" w:customStyle="1">
    <w:name w:val="正文文本 3 Char"/>
    <w:basedOn w:val="894"/>
    <w:link w:val="907"/>
    <w:uiPriority w:val="0"/>
    <w:qFormat/>
    <w:rPr>
      <w:rFonts w:ascii="仿宋_GB2312" w:hAnsi="Arial" w:eastAsia="仿宋_GB2312" w:cs="宋体"/>
      <w:sz w:val="32"/>
      <w:szCs w:val="20"/>
      <w:lang w:val="zh-CN"/>
    </w:rPr>
  </w:style>
  <w:style w:type="paragraph" w:styleId="1157" w:customStyle="1">
    <w:name w:val="正文1"/>
    <w:basedOn w:val="884"/>
    <w:uiPriority w:val="0"/>
    <w:qFormat/>
  </w:style>
  <w:style w:type="character" w:styleId="1158" w:customStyle="1">
    <w:name w:val="页眉 Char"/>
    <w:basedOn w:val="894"/>
    <w:link w:val="921"/>
    <w:uiPriority w:val="0"/>
    <w:qFormat/>
    <w:rPr>
      <w:rFonts w:ascii="Calibri" w:hAnsi="Calibri" w:eastAsia="Calibri" w:cs="宋体"/>
      <w:sz w:val="18"/>
      <w:szCs w:val="20"/>
      <w:lang w:val="zh-CN"/>
    </w:rPr>
  </w:style>
  <w:style w:type="paragraph" w:styleId="1159" w:customStyle="1">
    <w:name w:val="_Style 42"/>
    <w:basedOn w:val="884"/>
    <w:next w:val="908"/>
    <w:uiPriority w:val="0"/>
    <w:qFormat/>
    <w:rPr>
      <w:rFonts w:ascii="楷体_GB2312" w:hAnsi="Arial" w:eastAsia="楷体_GB2312"/>
      <w:sz w:val="28"/>
    </w:rPr>
  </w:style>
  <w:style w:type="paragraph" w:styleId="1160" w:customStyle="1">
    <w:name w:val="xl49"/>
    <w:basedOn w:val="884"/>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61" w:customStyle="1">
    <w:name w:val="尾注文本 Char"/>
    <w:basedOn w:val="894"/>
    <w:link w:val="918"/>
    <w:uiPriority w:val="0"/>
    <w:qFormat/>
    <w:rPr>
      <w:rFonts w:ascii="Calibri" w:hAnsi="Calibri" w:eastAsia="Calibri" w:cs="宋体"/>
      <w:sz w:val="20"/>
      <w:szCs w:val="24"/>
      <w:lang w:val="zh-CN"/>
    </w:rPr>
  </w:style>
  <w:style w:type="paragraph" w:styleId="1162" w:customStyle="1">
    <w:name w:val="Normal1"/>
    <w:basedOn w:val="884"/>
    <w:uiPriority w:val="0"/>
    <w:qFormat/>
  </w:style>
  <w:style w:type="paragraph" w:styleId="1163" w:customStyle="1">
    <w:name w:val="丁华标题3"/>
    <w:basedOn w:val="1164"/>
    <w:next w:val="1165"/>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64" w:customStyle="1">
    <w:name w:val="丁华标题2"/>
    <w:basedOn w:val="886"/>
    <w:next w:val="1165"/>
    <w:uiPriority w:val="0"/>
    <w:qFormat/>
    <w:pPr>
      <w:numPr>
        <w:ilvl w:val="1"/>
        <w:numId w:val="4"/>
      </w:numPr>
      <w:spacing w:line="415" w:lineRule="auto"/>
    </w:pPr>
    <w:rPr>
      <w:rFonts w:ascii="Arial" w:hAnsi="Arial" w:eastAsia="黑体"/>
      <w:b w:val="0"/>
      <w:sz w:val="28"/>
      <w:szCs w:val="20"/>
    </w:rPr>
  </w:style>
  <w:style w:type="paragraph" w:styleId="1165" w:customStyle="1">
    <w:name w:val="丁华正文"/>
    <w:basedOn w:val="930"/>
    <w:uiPriority w:val="0"/>
    <w:qFormat/>
    <w:pPr>
      <w:ind w:left="0" w:firstLine="510"/>
      <w:spacing w:line="360" w:lineRule="auto"/>
    </w:pPr>
    <w:rPr>
      <w:rFonts w:ascii="Times New Roman" w:hAnsi="Times New Roman" w:eastAsia="宋体"/>
      <w:color w:val="auto"/>
      <w:sz w:val="24"/>
      <w:szCs w:val="16"/>
    </w:rPr>
  </w:style>
  <w:style w:type="character" w:styleId="1166" w:customStyle="1">
    <w:name w:val="称呼 Char"/>
    <w:basedOn w:val="894"/>
    <w:link w:val="906"/>
    <w:uiPriority w:val="0"/>
    <w:qFormat/>
    <w:rPr>
      <w:rFonts w:ascii="仿宋_GB2312" w:hAnsi="Calibri" w:eastAsia="仿宋_GB2312" w:cs="宋体"/>
      <w:sz w:val="28"/>
      <w:szCs w:val="20"/>
      <w:lang w:val="zh-CN"/>
    </w:rPr>
  </w:style>
  <w:style w:type="paragraph" w:styleId="1167" w:customStyle="1">
    <w:name w:val="纯文本1"/>
    <w:basedOn w:val="884"/>
    <w:uiPriority w:val="0"/>
    <w:qFormat/>
    <w:rPr>
      <w:rFonts w:ascii="宋体" w:hAnsi="宋体" w:eastAsia="楷体_GB2312"/>
      <w:sz w:val="28"/>
    </w:rPr>
  </w:style>
  <w:style w:type="paragraph" w:styleId="1168" w:customStyle="1">
    <w:name w:val="样式"/>
    <w:basedOn w:val="884"/>
    <w:uiPriority w:val="0"/>
    <w:qFormat/>
    <w:pPr>
      <w:spacing w:before="120" w:after="120" w:line="360" w:lineRule="auto"/>
    </w:pPr>
    <w:rPr>
      <w:rFonts w:ascii="宋体"/>
      <w:sz w:val="24"/>
    </w:rPr>
  </w:style>
  <w:style w:type="paragraph" w:styleId="1169" w:customStyle="1">
    <w:name w:val="样式 段后: 0.5 行 左  0.75 字符"/>
    <w:basedOn w:val="884"/>
    <w:uiPriority w:val="0"/>
    <w:qFormat/>
    <w:pPr>
      <w:ind w:firstLine="420"/>
      <w:spacing w:line="360" w:lineRule="auto"/>
      <w:widowControl/>
    </w:pPr>
    <w:rPr>
      <w:rFonts w:hAnsi="Arial" w:cs="Arial"/>
      <w:szCs w:val="21"/>
    </w:rPr>
  </w:style>
  <w:style w:type="paragraph" w:styleId="1170" w:customStyle="1">
    <w:name w:val="zw"/>
    <w:basedOn w:val="884"/>
    <w:uiPriority w:val="0"/>
    <w:qFormat/>
    <w:pPr>
      <w:ind w:firstLine="480"/>
      <w:jc w:val="left"/>
      <w:spacing w:line="360" w:lineRule="auto"/>
      <w:widowControl/>
    </w:pPr>
    <w:rPr>
      <w:rFonts w:ascii="宋体" w:hAnsi="宋体"/>
      <w:bCs/>
      <w:sz w:val="24"/>
    </w:rPr>
  </w:style>
  <w:style w:type="paragraph" w:styleId="1171" w:customStyle="1">
    <w:name w:val="1"/>
    <w:basedOn w:val="884"/>
    <w:next w:val="936"/>
    <w:uiPriority w:val="0"/>
    <w:qFormat/>
    <w:pPr>
      <w:spacing w:line="360" w:lineRule="auto"/>
    </w:pPr>
    <w:rPr>
      <w:rFonts w:eastAsia="仿宋_GB2312"/>
      <w:sz w:val="24"/>
      <w:szCs w:val="24"/>
    </w:rPr>
  </w:style>
  <w:style w:type="character" w:styleId="1172" w:customStyle="1">
    <w:name w:val="明显引用 Char1"/>
    <w:basedOn w:val="894"/>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73" w:customStyle="1">
    <w:name w:val="tableau"/>
    <w:basedOn w:val="884"/>
    <w:uiPriority w:val="0"/>
    <w:qFormat/>
    <w:pPr>
      <w:jc w:val="center"/>
      <w:spacing w:before="20" w:after="20"/>
      <w:widowControl/>
    </w:pPr>
    <w:rPr>
      <w:rFonts w:ascii="Arial" w:hAnsi="Arial"/>
      <w:sz w:val="16"/>
      <w:lang w:val="en-GB" w:eastAsia="en-US"/>
    </w:rPr>
  </w:style>
  <w:style w:type="paragraph" w:styleId="1174" w:customStyle="1">
    <w:name w:val="Char"/>
    <w:basedOn w:val="884"/>
    <w:uiPriority w:val="0"/>
    <w:semiHidden/>
    <w:qFormat/>
    <w:rPr>
      <w:rFonts w:ascii="Tahoma" w:hAnsi="Tahoma" w:cs="仿宋_GB2312"/>
      <w:sz w:val="24"/>
      <w:szCs w:val="28"/>
    </w:rPr>
  </w:style>
  <w:style w:type="paragraph" w:styleId="1175" w:customStyle="1">
    <w:name w:val="xl44"/>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76" w:customStyle="1">
    <w:name w:val="xl41"/>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77" w:customStyle="1">
    <w:name w:val="xl62"/>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78" w:customStyle="1">
    <w:name w:val="标准文本"/>
    <w:basedOn w:val="884"/>
    <w:uiPriority w:val="0"/>
    <w:qFormat/>
    <w:pPr>
      <w:ind w:firstLine="480"/>
      <w:spacing w:line="360" w:lineRule="auto"/>
    </w:pPr>
    <w:rPr>
      <w:sz w:val="24"/>
      <w:szCs w:val="24"/>
    </w:rPr>
  </w:style>
  <w:style w:type="paragraph" w:styleId="1179" w:customStyle="1">
    <w:name w:val="公文正文"/>
    <w:basedOn w:val="909"/>
    <w:uiPriority w:val="0"/>
    <w:qFormat/>
    <w:pPr>
      <w:ind w:firstLine="200"/>
    </w:pPr>
    <w:rPr>
      <w:rFonts w:ascii="仿宋_GB2312" w:hAnsi="宋体" w:eastAsia="仿宋_GB2312"/>
      <w:sz w:val="28"/>
      <w:szCs w:val="24"/>
    </w:rPr>
  </w:style>
  <w:style w:type="paragraph" w:styleId="1180" w:customStyle="1">
    <w:name w:val="标准小四"/>
    <w:basedOn w:val="884"/>
    <w:uiPriority w:val="0"/>
    <w:qFormat/>
    <w:pPr>
      <w:ind w:firstLine="480"/>
      <w:spacing w:line="360" w:lineRule="auto"/>
    </w:pPr>
    <w:rPr>
      <w:rFonts w:ascii="Arial" w:hAnsi="Arial"/>
      <w:sz w:val="24"/>
      <w:szCs w:val="21"/>
    </w:rPr>
  </w:style>
  <w:style w:type="paragraph" w:styleId="1181" w:customStyle="1">
    <w:name w:val="xl52"/>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82" w:customStyle="1">
    <w:name w:val="符号与编号"/>
    <w:basedOn w:val="884"/>
    <w:uiPriority w:val="0"/>
    <w:qFormat/>
    <w:pPr>
      <w:ind w:left="900" w:hanging="420"/>
      <w:spacing w:line="400" w:lineRule="atLeast"/>
      <w:tabs>
        <w:tab w:val="left" w:pos="900" w:leader="none"/>
      </w:tabs>
    </w:pPr>
    <w:rPr>
      <w:sz w:val="24"/>
      <w:szCs w:val="24"/>
    </w:rPr>
  </w:style>
  <w:style w:type="paragraph" w:styleId="1183" w:customStyle="1">
    <w:name w:val="Char Char Char Char Char Char Char Char Char Char Char Char Char Char1"/>
    <w:basedOn w:val="884"/>
    <w:uiPriority w:val="0"/>
    <w:qFormat/>
    <w:rPr>
      <w:rFonts w:ascii="Tahoma" w:hAnsi="Tahoma" w:cs="Tahoma"/>
      <w:sz w:val="24"/>
    </w:rPr>
  </w:style>
  <w:style w:type="paragraph" w:styleId="1184" w:customStyle="1">
    <w:name w:val="Char Char Char Char Char Char Char Char Char Char Char Char Char Char Char Char Char Char Char Char Char Char Char1"/>
    <w:basedOn w:val="884"/>
    <w:uiPriority w:val="0"/>
    <w:qFormat/>
    <w:rPr>
      <w:rFonts w:ascii="Tahoma" w:hAnsi="Tahoma" w:cs="Tahoma"/>
      <w:sz w:val="24"/>
    </w:rPr>
  </w:style>
  <w:style w:type="paragraph" w:styleId="1185" w:customStyle="1">
    <w:name w:val="正文 首行缩进:  2 字符 Char"/>
    <w:basedOn w:val="884"/>
    <w:uiPriority w:val="0"/>
    <w:qFormat/>
    <w:pPr>
      <w:ind w:firstLine="480"/>
      <w:spacing w:line="360" w:lineRule="auto"/>
    </w:pPr>
    <w:rPr>
      <w:sz w:val="24"/>
    </w:rPr>
  </w:style>
  <w:style w:type="paragraph" w:styleId="1186" w:customStyle="1">
    <w:name w:val="xl4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87"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88"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89" w:customStyle="1">
    <w:name w:val="xl33"/>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0" w:customStyle="1">
    <w:name w:val="Char Char Char Char Char Char Char Char Char"/>
    <w:basedOn w:val="884"/>
    <w:uiPriority w:val="0"/>
    <w:qFormat/>
    <w:pPr>
      <w:ind w:left="360" w:hanging="360"/>
      <w:tabs>
        <w:tab w:val="left" w:pos="360" w:leader="none"/>
      </w:tabs>
    </w:pPr>
    <w:rPr>
      <w:sz w:val="24"/>
      <w:szCs w:val="24"/>
    </w:rPr>
  </w:style>
  <w:style w:type="paragraph" w:styleId="1191" w:customStyle="1">
    <w:name w:val="Char2"/>
    <w:basedOn w:val="884"/>
    <w:uiPriority w:val="0"/>
    <w:qFormat/>
    <w:pPr>
      <w:spacing w:line="360" w:lineRule="auto"/>
    </w:pPr>
    <w:rPr>
      <w:rFonts w:ascii="Tahoma" w:hAnsi="Tahoma"/>
      <w:sz w:val="24"/>
    </w:rPr>
  </w:style>
  <w:style w:type="paragraph" w:styleId="1192" w:customStyle="1">
    <w:name w:val="正文文本 21"/>
    <w:basedOn w:val="884"/>
    <w:uiPriority w:val="0"/>
    <w:qFormat/>
    <w:pPr>
      <w:ind w:left="720" w:hanging="720"/>
      <w:widowControl/>
    </w:pPr>
    <w:rPr>
      <w:sz w:val="24"/>
      <w:lang w:val="en-GB"/>
    </w:rPr>
  </w:style>
  <w:style w:type="paragraph" w:styleId="1193" w:customStyle="1">
    <w:name w:val="Char Char11"/>
    <w:basedOn w:val="884"/>
    <w:uiPriority w:val="0"/>
    <w:qFormat/>
    <w:rPr>
      <w:rFonts w:ascii="Tahoma" w:hAnsi="Tahoma"/>
      <w:sz w:val="24"/>
    </w:rPr>
  </w:style>
  <w:style w:type="paragraph" w:styleId="1194" w:customStyle="1">
    <w:name w:val="Char Char"/>
    <w:basedOn w:val="884"/>
    <w:uiPriority w:val="0"/>
    <w:qFormat/>
    <w:rPr>
      <w:rFonts w:ascii="Tahoma" w:hAnsi="Tahoma" w:cs="Tahoma"/>
      <w:sz w:val="24"/>
    </w:rPr>
  </w:style>
  <w:style w:type="paragraph" w:styleId="1195" w:customStyle="1">
    <w:name w:val="a"/>
    <w:basedOn w:val="884"/>
    <w:uiPriority w:val="0"/>
    <w:qFormat/>
    <w:pPr>
      <w:spacing w:before="100" w:beforeAutospacing="1" w:after="100" w:afterAutospacing="1"/>
      <w:widowControl/>
    </w:pPr>
    <w:rPr>
      <w:rFonts w:ascii="宋体" w:hAnsi="宋体"/>
      <w:sz w:val="24"/>
      <w:szCs w:val="24"/>
    </w:rPr>
  </w:style>
  <w:style w:type="paragraph" w:styleId="1196" w:customStyle="1">
    <w:name w:val="修订1"/>
    <w:uiPriority w:val="0"/>
    <w:semiHidden/>
    <w:qFormat/>
    <w:rPr>
      <w:rFonts w:ascii="Calibri" w:hAnsi="Calibri" w:eastAsia="宋体" w:cs="Times New Roman"/>
      <w:sz w:val="21"/>
      <w:szCs w:val="24"/>
      <w:lang w:val="en-US" w:eastAsia="zh-CN" w:bidi="ar-SA"/>
    </w:rPr>
  </w:style>
  <w:style w:type="paragraph" w:styleId="1197" w:customStyle="1">
    <w:name w:val="文档正文"/>
    <w:basedOn w:val="884"/>
    <w:uiPriority w:val="0"/>
    <w:qFormat/>
    <w:pPr>
      <w:spacing w:line="360" w:lineRule="auto"/>
    </w:pPr>
    <w:rPr>
      <w:rFonts w:ascii="宋体" w:hAnsi="宋体"/>
      <w:b/>
      <w:bCs/>
      <w:szCs w:val="24"/>
    </w:rPr>
  </w:style>
  <w:style w:type="paragraph" w:styleId="1198" w:customStyle="1">
    <w:name w:val="Default Text"/>
    <w:basedOn w:val="884"/>
    <w:uiPriority w:val="0"/>
    <w:qFormat/>
    <w:pPr>
      <w:jc w:val="left"/>
      <w:widowControl/>
    </w:pPr>
    <w:rPr>
      <w:sz w:val="24"/>
      <w:lang w:eastAsia="en-US"/>
    </w:rPr>
  </w:style>
  <w:style w:type="paragraph" w:styleId="1199" w:customStyle="1">
    <w:name w:val="正文 + 宋体"/>
    <w:basedOn w:val="884"/>
    <w:uiPriority w:val="0"/>
    <w:qFormat/>
    <w:pPr>
      <w:ind w:firstLine="420"/>
      <w:spacing w:line="360" w:lineRule="auto"/>
    </w:pPr>
    <w:rPr>
      <w:szCs w:val="24"/>
    </w:rPr>
  </w:style>
  <w:style w:type="paragraph" w:styleId="1200" w:customStyle="1">
    <w:name w:val="正文lzq"/>
    <w:basedOn w:val="884"/>
    <w:uiPriority w:val="0"/>
    <w:qFormat/>
    <w:pPr>
      <w:ind w:firstLine="480"/>
      <w:spacing w:line="360" w:lineRule="auto"/>
    </w:pPr>
    <w:rPr>
      <w:sz w:val="24"/>
    </w:rPr>
  </w:style>
  <w:style w:type="paragraph" w:styleId="1201" w:customStyle="1">
    <w:name w:val="xl57"/>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202" w:customStyle="1">
    <w:name w:val="Pa5"/>
    <w:basedOn w:val="884"/>
    <w:next w:val="884"/>
    <w:uiPriority w:val="0"/>
    <w:qFormat/>
    <w:pPr>
      <w:jc w:val="left"/>
      <w:spacing w:line="241" w:lineRule="atLeast"/>
    </w:pPr>
    <w:rPr>
      <w:rFonts w:ascii="汉仪大黑简" w:eastAsia="汉仪大黑简"/>
      <w:sz w:val="24"/>
      <w:szCs w:val="24"/>
    </w:rPr>
  </w:style>
  <w:style w:type="paragraph" w:styleId="1203" w:customStyle="1">
    <w:name w:val="正文 + Arial Char"/>
    <w:basedOn w:val="884"/>
    <w:uiPriority w:val="0"/>
    <w:qFormat/>
    <w:pPr>
      <w:ind w:left="315" w:hanging="315"/>
      <w:spacing w:line="300" w:lineRule="auto"/>
      <w:widowControl/>
      <w:tabs>
        <w:tab w:val="left" w:pos="315" w:leader="none"/>
      </w:tabs>
    </w:pPr>
    <w:rPr>
      <w:rFonts w:ascii="Arial" w:hAnsi="Arial" w:cs="Arial"/>
      <w:b/>
      <w:color w:val="000000"/>
    </w:rPr>
  </w:style>
  <w:style w:type="paragraph" w:styleId="1204" w:customStyle="1">
    <w:name w:val="Char Char Char Char Char"/>
    <w:basedOn w:val="884"/>
    <w:uiPriority w:val="0"/>
    <w:qFormat/>
    <w:rPr>
      <w:rFonts w:ascii="Tahoma" w:hAnsi="Tahoma"/>
      <w:sz w:val="24"/>
    </w:rPr>
  </w:style>
  <w:style w:type="paragraph" w:styleId="1205" w:customStyle="1">
    <w:name w:val="方案正文"/>
    <w:basedOn w:val="884"/>
    <w:uiPriority w:val="0"/>
    <w:qFormat/>
    <w:pPr>
      <w:ind w:firstLine="359"/>
      <w:jc w:val="left"/>
      <w:spacing w:before="156" w:line="360" w:lineRule="auto"/>
    </w:pPr>
    <w:rPr>
      <w:rFonts w:ascii="Arial" w:hAnsi="Arial"/>
      <w:sz w:val="24"/>
      <w:szCs w:val="21"/>
    </w:rPr>
  </w:style>
  <w:style w:type="paragraph" w:styleId="1206" w:customStyle="1">
    <w:name w:val="xl3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07" w:customStyle="1">
    <w:name w:val="Char Char3"/>
    <w:basedOn w:val="884"/>
    <w:uiPriority w:val="0"/>
    <w:qFormat/>
    <w:rPr>
      <w:rFonts w:ascii="Tahoma" w:hAnsi="Tahoma"/>
      <w:sz w:val="24"/>
    </w:rPr>
  </w:style>
  <w:style w:type="paragraph" w:styleId="1208" w:customStyle="1">
    <w:name w:val="公文标题 2"/>
    <w:basedOn w:val="884"/>
    <w:next w:val="1179"/>
    <w:uiPriority w:val="0"/>
    <w:qFormat/>
    <w:pPr>
      <w:outlineLvl w:val="1"/>
    </w:pPr>
    <w:rPr>
      <w:rFonts w:ascii="仿宋_GB2312" w:hAnsi="宋体" w:eastAsia="仿宋_GB2312"/>
      <w:sz w:val="28"/>
      <w:szCs w:val="24"/>
    </w:rPr>
  </w:style>
  <w:style w:type="paragraph" w:styleId="1209" w:customStyle="1">
    <w:name w:val="Char1 Char Char Char"/>
    <w:basedOn w:val="884"/>
    <w:uiPriority w:val="0"/>
    <w:qFormat/>
    <w:rPr>
      <w:rFonts w:ascii="Tahoma" w:hAnsi="Tahoma" w:cs="Tahoma"/>
      <w:sz w:val="24"/>
    </w:rPr>
  </w:style>
  <w:style w:type="paragraph" w:styleId="1210" w:customStyle="1">
    <w:name w:val="表格内容"/>
    <w:basedOn w:val="884"/>
    <w:uiPriority w:val="0"/>
    <w:qFormat/>
    <w:pPr>
      <w:jc w:val="center"/>
      <w:spacing w:before="60" w:line="300" w:lineRule="auto"/>
      <w:widowControl/>
    </w:pPr>
  </w:style>
  <w:style w:type="paragraph" w:styleId="1211" w:customStyle="1">
    <w:name w:val="xl43"/>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212" w:customStyle="1">
    <w:name w:val="样式 标题 3H3sect1.2.3BOD 0Heading 3 - oldh3l3CTLevel 3 Head..."/>
    <w:basedOn w:val="887"/>
    <w:uiPriority w:val="0"/>
    <w:qFormat/>
    <w:pPr>
      <w:jc w:val="left"/>
    </w:pPr>
    <w:rPr>
      <w:rFonts w:cs="宋体"/>
      <w:bCs/>
      <w:sz w:val="30"/>
    </w:rPr>
  </w:style>
  <w:style w:type="paragraph" w:styleId="1213" w:customStyle="1">
    <w:name w:val="Body Text 21"/>
    <w:basedOn w:val="884"/>
    <w:uiPriority w:val="0"/>
    <w:qFormat/>
    <w:pPr>
      <w:ind w:left="720" w:hanging="720"/>
      <w:widowControl/>
    </w:pPr>
    <w:rPr>
      <w:sz w:val="24"/>
      <w:lang w:val="en-GB"/>
    </w:rPr>
  </w:style>
  <w:style w:type="paragraph" w:styleId="1214" w:customStyle="1">
    <w:name w:val="正文文本 211"/>
    <w:basedOn w:val="884"/>
    <w:uiPriority w:val="0"/>
    <w:qFormat/>
    <w:pPr>
      <w:ind w:left="720" w:hanging="720"/>
      <w:widowControl/>
    </w:pPr>
    <w:rPr>
      <w:sz w:val="24"/>
      <w:lang w:val="en-GB"/>
    </w:rPr>
  </w:style>
  <w:style w:type="paragraph" w:styleId="1215" w:customStyle="1">
    <w:name w:val="xl50"/>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216" w:customStyle="1">
    <w:name w:val="一级标题"/>
    <w:basedOn w:val="884"/>
    <w:uiPriority w:val="0"/>
    <w:qFormat/>
    <w:pPr>
      <w:ind w:left="900" w:hanging="420"/>
      <w:spacing w:line="360" w:lineRule="auto"/>
      <w:tabs>
        <w:tab w:val="left" w:pos="903" w:leader="none"/>
      </w:tabs>
    </w:pPr>
    <w:rPr>
      <w:rFonts w:ascii="Arial" w:hAnsi="Arial" w:cs="Arial"/>
      <w:sz w:val="24"/>
    </w:rPr>
  </w:style>
  <w:style w:type="paragraph" w:styleId="1217" w:customStyle="1">
    <w:name w:val="样式 段后: 0.25 行"/>
    <w:basedOn w:val="884"/>
    <w:uiPriority w:val="0"/>
    <w:qFormat/>
    <w:pPr>
      <w:ind w:firstLine="420"/>
      <w:jc w:val="left"/>
      <w:spacing w:line="300" w:lineRule="auto"/>
      <w:widowControl/>
    </w:pPr>
    <w:rPr>
      <w:rFonts w:ascii="Arial" w:hAnsi="Arial"/>
      <w:sz w:val="22"/>
      <w:lang w:eastAsia="en-US" w:bidi="en-US"/>
    </w:rPr>
  </w:style>
  <w:style w:type="paragraph" w:styleId="1218" w:customStyle="1">
    <w:name w:val="表头_5"/>
    <w:basedOn w:val="884"/>
    <w:uiPriority w:val="0"/>
    <w:qFormat/>
    <w:pPr>
      <w:spacing w:line="360" w:lineRule="auto"/>
    </w:pPr>
    <w:rPr>
      <w:b/>
      <w:bCs/>
      <w:sz w:val="28"/>
      <w:szCs w:val="21"/>
    </w:rPr>
  </w:style>
  <w:style w:type="paragraph" w:styleId="1219" w:customStyle="1">
    <w:name w:val="Char1 Char Char Char1"/>
    <w:basedOn w:val="884"/>
    <w:uiPriority w:val="0"/>
    <w:qFormat/>
    <w:rPr>
      <w:rFonts w:ascii="Tahoma" w:hAnsi="Tahoma"/>
      <w:sz w:val="24"/>
    </w:rPr>
  </w:style>
  <w:style w:type="paragraph" w:styleId="1220" w:customStyle="1">
    <w:name w:val="样式3"/>
    <w:basedOn w:val="884"/>
    <w:next w:val="884"/>
    <w:uiPriority w:val="0"/>
    <w:qFormat/>
    <w:pPr>
      <w:spacing w:line="360" w:lineRule="auto"/>
    </w:pPr>
  </w:style>
  <w:style w:type="paragraph" w:styleId="1221" w:customStyle="1">
    <w:name w:val="项目符号，二级"/>
    <w:basedOn w:val="1089"/>
    <w:next w:val="1089"/>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222" w:customStyle="1">
    <w:name w:val="小四 段落 宋体 Char Char Char Char"/>
    <w:basedOn w:val="884"/>
    <w:uiPriority w:val="0"/>
    <w:qFormat/>
    <w:pPr>
      <w:ind w:right="-33" w:firstLine="480"/>
      <w:jc w:val="left"/>
      <w:spacing w:line="360" w:lineRule="auto"/>
    </w:pPr>
    <w:rPr>
      <w:sz w:val="24"/>
      <w:szCs w:val="24"/>
    </w:rPr>
  </w:style>
  <w:style w:type="paragraph" w:styleId="1223" w:customStyle="1">
    <w:name w:val="Char Char1 Char Char Char Char"/>
    <w:basedOn w:val="903"/>
    <w:uiPriority w:val="0"/>
    <w:qFormat/>
    <w:pPr>
      <w:ind w:left="357"/>
      <w:jc w:val="left"/>
      <w:spacing w:line="436" w:lineRule="exact"/>
      <w:outlineLvl w:val="3"/>
    </w:pPr>
    <w:rPr>
      <w:rFonts w:ascii="Tahoma" w:hAnsi="Tahoma" w:cs="Tahoma"/>
      <w:b/>
      <w:sz w:val="24"/>
      <w:szCs w:val="24"/>
    </w:rPr>
  </w:style>
  <w:style w:type="paragraph" w:styleId="1224" w:customStyle="1">
    <w:name w:val="表格内文字"/>
    <w:basedOn w:val="884"/>
    <w:uiPriority w:val="0"/>
    <w:qFormat/>
    <w:pPr>
      <w:spacing w:line="300" w:lineRule="atLeast"/>
    </w:pPr>
    <w:rPr>
      <w:sz w:val="18"/>
      <w:szCs w:val="24"/>
    </w:rPr>
  </w:style>
  <w:style w:type="paragraph" w:styleId="1225" w:customStyle="1">
    <w:name w:val="章标题"/>
    <w:next w:val="1085"/>
    <w:uiPriority w:val="0"/>
    <w:qFormat/>
    <w:pPr>
      <w:jc w:val="both"/>
      <w:outlineLvl w:val="1"/>
    </w:pPr>
    <w:rPr>
      <w:rFonts w:ascii="Calibri" w:hAnsi="Calibri" w:eastAsia="黑体" w:cs="Times New Roman"/>
      <w:sz w:val="21"/>
      <w:lang w:val="en-US" w:eastAsia="zh-CN" w:bidi="ar-SA"/>
    </w:rPr>
  </w:style>
  <w:style w:type="paragraph" w:styleId="1226" w:customStyle="1">
    <w:name w:val="xl63"/>
    <w:basedOn w:val="8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27" w:customStyle="1">
    <w:name w:val="7"/>
    <w:basedOn w:val="884"/>
    <w:next w:val="938"/>
    <w:uiPriority w:val="0"/>
    <w:qFormat/>
    <w:pPr>
      <w:jc w:val="left"/>
      <w:spacing w:before="100" w:beforeAutospacing="1" w:after="100" w:afterAutospacing="1"/>
      <w:widowControl/>
    </w:pPr>
    <w:rPr>
      <w:rFonts w:ascii="宋体" w:hAnsi="宋体"/>
      <w:sz w:val="24"/>
    </w:rPr>
  </w:style>
  <w:style w:type="paragraph" w:styleId="1228" w:customStyle="1">
    <w:name w:val="font12"/>
    <w:basedOn w:val="884"/>
    <w:uiPriority w:val="0"/>
    <w:qFormat/>
    <w:pPr>
      <w:jc w:val="left"/>
      <w:spacing w:before="100" w:beforeAutospacing="1" w:after="100" w:afterAutospacing="1"/>
      <w:widowControl/>
    </w:pPr>
    <w:rPr>
      <w:rFonts w:ascii="宋体" w:hAnsi="宋体"/>
      <w:sz w:val="36"/>
      <w:szCs w:val="36"/>
    </w:rPr>
  </w:style>
  <w:style w:type="paragraph" w:styleId="1229" w:customStyle="1">
    <w:name w:val="xl4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0" w:customStyle="1">
    <w:name w:val="正文11"/>
    <w:basedOn w:val="884"/>
    <w:next w:val="884"/>
    <w:uiPriority w:val="0"/>
    <w:qFormat/>
    <w:pPr>
      <w:ind w:firstLine="510"/>
      <w:spacing w:before="156" w:line="360" w:lineRule="auto"/>
    </w:pPr>
    <w:rPr>
      <w:sz w:val="24"/>
    </w:rPr>
  </w:style>
  <w:style w:type="paragraph" w:styleId="1231" w:customStyle="1">
    <w:name w:val="小四 段落 宋体 Char Char Char"/>
    <w:basedOn w:val="901"/>
    <w:uiPriority w:val="0"/>
    <w:qFormat/>
    <w:pPr>
      <w:ind w:left="0" w:right="-33" w:firstLine="545"/>
      <w:jc w:val="left"/>
      <w:spacing w:line="360" w:lineRule="auto"/>
      <w:tabs>
        <w:tab w:val="clear" w:pos="2952" w:leader="none"/>
      </w:tabs>
    </w:pPr>
    <w:rPr>
      <w:sz w:val="24"/>
    </w:rPr>
  </w:style>
  <w:style w:type="paragraph" w:styleId="1232" w:customStyle="1">
    <w:name w:val="font11"/>
    <w:basedOn w:val="884"/>
    <w:uiPriority w:val="0"/>
    <w:qFormat/>
    <w:pPr>
      <w:jc w:val="left"/>
      <w:spacing w:before="100" w:beforeAutospacing="1" w:after="100" w:afterAutospacing="1"/>
      <w:widowControl/>
    </w:pPr>
    <w:rPr>
      <w:b/>
      <w:bCs/>
      <w:sz w:val="18"/>
      <w:szCs w:val="18"/>
    </w:rPr>
  </w:style>
  <w:style w:type="paragraph" w:styleId="1233" w:customStyle="1">
    <w:name w:val="Test2"/>
    <w:basedOn w:val="886"/>
    <w:uiPriority w:val="0"/>
    <w:qFormat/>
    <w:pPr>
      <w:jc w:val="center"/>
      <w:spacing w:line="480" w:lineRule="exact"/>
      <w:widowControl/>
    </w:pPr>
    <w:rPr>
      <w:rFonts w:ascii="黑体" w:hAnsi="Arial" w:eastAsia="黑体"/>
      <w:bCs/>
      <w:sz w:val="24"/>
    </w:rPr>
  </w:style>
  <w:style w:type="paragraph" w:styleId="1234" w:customStyle="1">
    <w:name w:val="丁华标题1"/>
    <w:basedOn w:val="885"/>
    <w:next w:val="1165"/>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35" w:customStyle="1">
    <w:name w:val="Char Char Char Char Char Char Char Char Char Char Char1"/>
    <w:basedOn w:val="884"/>
    <w:uiPriority w:val="0"/>
    <w:qFormat/>
    <w:rPr>
      <w:rFonts w:ascii="Tahoma" w:hAnsi="Tahoma" w:cs="Tahoma"/>
      <w:sz w:val="24"/>
    </w:rPr>
  </w:style>
  <w:style w:type="paragraph" w:styleId="123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37" w:customStyle="1">
    <w:name w:val="font6"/>
    <w:basedOn w:val="884"/>
    <w:uiPriority w:val="0"/>
    <w:qFormat/>
    <w:pPr>
      <w:jc w:val="left"/>
      <w:spacing w:before="100" w:beforeAutospacing="1" w:after="100" w:afterAutospacing="1"/>
      <w:widowControl/>
    </w:pPr>
    <w:rPr>
      <w:rFonts w:ascii="宋体" w:hAnsi="宋体"/>
      <w:b/>
      <w:bCs/>
    </w:rPr>
  </w:style>
  <w:style w:type="paragraph" w:styleId="1238" w:customStyle="1">
    <w:name w:val="小四 段落 宋体 Char Char"/>
    <w:basedOn w:val="884"/>
    <w:uiPriority w:val="0"/>
    <w:qFormat/>
    <w:pPr>
      <w:ind w:firstLine="480"/>
      <w:spacing w:line="360" w:lineRule="auto"/>
    </w:pPr>
    <w:rPr>
      <w:rFonts w:ascii="宋体" w:hAnsi="宋体"/>
      <w:sz w:val="24"/>
      <w:szCs w:val="24"/>
    </w:rPr>
  </w:style>
  <w:style w:type="paragraph" w:styleId="1239" w:customStyle="1">
    <w:name w:val="Char Char Char Char Char Char Char Char Char Char Char1 Char Char Char1"/>
    <w:basedOn w:val="884"/>
    <w:uiPriority w:val="0"/>
    <w:semiHidden/>
    <w:qFormat/>
    <w:pPr>
      <w:ind w:firstLine="200"/>
      <w:jc w:val="left"/>
    </w:pPr>
    <w:rPr>
      <w:rFonts w:ascii="Tahoma" w:hAnsi="Tahoma"/>
      <w:sz w:val="24"/>
      <w:szCs w:val="24"/>
    </w:rPr>
  </w:style>
  <w:style w:type="paragraph" w:styleId="1240" w:customStyle="1">
    <w:name w:val="Char Char Char Char Char Char Char Char Char1"/>
    <w:basedOn w:val="884"/>
    <w:uiPriority w:val="0"/>
    <w:qFormat/>
    <w:pPr>
      <w:ind w:left="200" w:hanging="200"/>
      <w:tabs>
        <w:tab w:val="left" w:pos="360" w:leader="none"/>
      </w:tabs>
    </w:pPr>
    <w:rPr>
      <w:sz w:val="24"/>
      <w:szCs w:val="24"/>
    </w:rPr>
  </w:style>
  <w:style w:type="paragraph" w:styleId="1241" w:customStyle="1">
    <w:name w:val="马刚标题3"/>
    <w:basedOn w:val="884"/>
    <w:next w:val="88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42" w:customStyle="1">
    <w:name w:val="xl48"/>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43" w:customStyle="1">
    <w:name w:val="标题 4宋体"/>
    <w:basedOn w:val="888"/>
    <w:uiPriority w:val="0"/>
    <w:qFormat/>
    <w:pPr>
      <w:jc w:val="left"/>
      <w:keepLines w:val="0"/>
      <w:spacing w:before="0" w:after="0" w:line="360" w:lineRule="auto"/>
    </w:pPr>
    <w:rPr>
      <w:rFonts w:ascii="宋体" w:hAnsi="宋体" w:eastAsia="宋体"/>
      <w:bCs/>
      <w:color w:val="000000"/>
      <w:sz w:val="24"/>
    </w:rPr>
  </w:style>
  <w:style w:type="paragraph" w:styleId="1244" w:customStyle="1">
    <w:name w:val="正文 居中"/>
    <w:basedOn w:val="884"/>
    <w:uiPriority w:val="0"/>
    <w:qFormat/>
    <w:pPr>
      <w:jc w:val="center"/>
      <w:spacing w:line="360" w:lineRule="auto"/>
    </w:pPr>
    <w:rPr>
      <w:sz w:val="24"/>
    </w:rPr>
  </w:style>
  <w:style w:type="paragraph" w:styleId="1245" w:customStyle="1">
    <w:name w:val="马刚标题1"/>
    <w:basedOn w:val="885"/>
    <w:next w:val="884"/>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46" w:customStyle="1">
    <w:name w:val="font10"/>
    <w:basedOn w:val="884"/>
    <w:uiPriority w:val="0"/>
    <w:qFormat/>
    <w:pPr>
      <w:jc w:val="left"/>
      <w:spacing w:before="100" w:beforeAutospacing="1" w:after="100" w:afterAutospacing="1"/>
      <w:widowControl/>
    </w:pPr>
    <w:rPr>
      <w:rFonts w:ascii="楷体_GB2312" w:hAnsi="宋体" w:eastAsia="楷体_GB2312"/>
      <w:b/>
      <w:bCs/>
      <w:sz w:val="18"/>
      <w:szCs w:val="18"/>
    </w:rPr>
  </w:style>
  <w:style w:type="paragraph" w:styleId="1247" w:customStyle="1">
    <w:name w:val="xl61"/>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48" w:customStyle="1">
    <w:name w:val="样式 样式 标题 3H3sect1.2.3BOD 0Heading 3 - oldh3l3CTLevel 3 Head... +..."/>
    <w:basedOn w:val="884"/>
    <w:uiPriority w:val="0"/>
    <w:qFormat/>
    <w:pPr>
      <w:jc w:val="left"/>
      <w:keepLines/>
      <w:keepNext/>
      <w:outlineLvl w:val="2"/>
    </w:pPr>
    <w:rPr>
      <w:b/>
      <w:bCs/>
      <w:sz w:val="24"/>
    </w:rPr>
  </w:style>
  <w:style w:type="paragraph" w:styleId="1249" w:customStyle="1">
    <w:name w:val="大标题"/>
    <w:basedOn w:val="884"/>
    <w:next w:val="884"/>
    <w:uiPriority w:val="0"/>
    <w:qFormat/>
    <w:pPr>
      <w:ind w:hanging="420"/>
      <w:pageBreakBefore/>
      <w:spacing w:line="360" w:lineRule="auto"/>
      <w:tabs>
        <w:tab w:val="left" w:pos="420" w:leader="none"/>
      </w:tabs>
      <w:outlineLvl w:val="0"/>
    </w:pPr>
    <w:rPr>
      <w:b/>
      <w:iCs/>
      <w:sz w:val="44"/>
      <w:szCs w:val="24"/>
    </w:rPr>
  </w:style>
  <w:style w:type="paragraph" w:styleId="1250" w:customStyle="1">
    <w:name w:val="xl45"/>
    <w:basedOn w:val="88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51" w:customStyle="1">
    <w:name w:val="标题3"/>
    <w:basedOn w:val="887"/>
    <w:uiPriority w:val="0"/>
    <w:qFormat/>
    <w:pPr>
      <w:keepLines w:val="0"/>
      <w:keepNext w:val="0"/>
      <w:spacing w:line="360" w:lineRule="auto"/>
    </w:pPr>
    <w:rPr>
      <w:rFonts w:eastAsia="仿宋_GB2312"/>
      <w:b w:val="0"/>
      <w:bCs/>
      <w:sz w:val="30"/>
      <w:szCs w:val="32"/>
    </w:rPr>
  </w:style>
  <w:style w:type="paragraph" w:styleId="1252" w:customStyle="1">
    <w:name w:val="Char Char1 Char Char Char Char Char Char Char"/>
    <w:basedOn w:val="884"/>
    <w:uiPriority w:val="0"/>
    <w:qFormat/>
    <w:rPr>
      <w:rFonts w:ascii="Tahoma" w:hAnsi="Tahoma" w:cs="Tahoma"/>
      <w:sz w:val="24"/>
    </w:rPr>
  </w:style>
  <w:style w:type="paragraph" w:styleId="1253" w:customStyle="1">
    <w:name w:val="Char Char Char Char1"/>
    <w:basedOn w:val="903"/>
    <w:uiPriority w:val="0"/>
    <w:qFormat/>
    <w:pPr>
      <w:spacing w:line="360" w:lineRule="auto"/>
    </w:pPr>
    <w:rPr>
      <w:rFonts w:ascii="Tahoma" w:hAnsi="Tahoma"/>
      <w:sz w:val="24"/>
      <w:szCs w:val="24"/>
    </w:rPr>
  </w:style>
  <w:style w:type="paragraph" w:styleId="1254" w:customStyle="1">
    <w:name w:val="Char Char Char Char Char Char Char1"/>
    <w:basedOn w:val="884"/>
    <w:uiPriority w:val="0"/>
    <w:qFormat/>
    <w:pPr>
      <w:jc w:val="left"/>
    </w:pPr>
    <w:rPr>
      <w:rFonts w:ascii="Tahoma" w:hAnsi="Tahoma"/>
      <w:sz w:val="24"/>
    </w:rPr>
  </w:style>
  <w:style w:type="paragraph" w:styleId="1255" w:customStyle="1">
    <w:name w:val="retrait3"/>
    <w:basedOn w:val="884"/>
    <w:uiPriority w:val="0"/>
    <w:qFormat/>
    <w:pPr>
      <w:ind w:left="851"/>
      <w:jc w:val="left"/>
      <w:spacing w:before="20" w:after="20"/>
      <w:widowControl/>
    </w:pPr>
    <w:rPr>
      <w:rFonts w:ascii="Arial" w:hAnsi="Arial"/>
      <w:sz w:val="24"/>
      <w:lang w:val="en-GB"/>
    </w:rPr>
  </w:style>
  <w:style w:type="paragraph" w:styleId="1256" w:customStyle="1">
    <w:name w:val="段落"/>
    <w:basedOn w:val="884"/>
    <w:uiPriority w:val="0"/>
    <w:qFormat/>
    <w:pPr>
      <w:ind w:firstLine="480"/>
      <w:spacing w:line="460" w:lineRule="exact"/>
    </w:pPr>
    <w:rPr>
      <w:sz w:val="24"/>
    </w:rPr>
  </w:style>
  <w:style w:type="paragraph" w:styleId="1257" w:customStyle="1">
    <w:name w:val="xl30"/>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8" w:customStyle="1">
    <w:name w:val="标题4，章节第四层"/>
    <w:basedOn w:val="884"/>
    <w:next w:val="884"/>
    <w:uiPriority w:val="0"/>
    <w:qFormat/>
    <w:pPr>
      <w:spacing w:line="360" w:lineRule="auto"/>
      <w:tabs>
        <w:tab w:val="left" w:pos="0" w:leader="none"/>
      </w:tabs>
      <w:outlineLvl w:val="3"/>
    </w:pPr>
    <w:rPr>
      <w:rFonts w:ascii="宋体" w:hAnsi="宋体"/>
      <w:b/>
      <w:sz w:val="24"/>
      <w:szCs w:val="24"/>
    </w:rPr>
  </w:style>
  <w:style w:type="paragraph" w:styleId="1259" w:customStyle="1">
    <w:name w:val="xl39"/>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0" w:customStyle="1">
    <w:name w:val="Char Char Char Char Char Char Char Char Char Char Char Char Char1"/>
    <w:basedOn w:val="884"/>
    <w:uiPriority w:val="0"/>
    <w:qFormat/>
    <w:pPr>
      <w:jc w:val="left"/>
      <w:spacing w:after="160" w:line="240" w:lineRule="exact"/>
      <w:widowControl/>
    </w:pPr>
    <w:rPr>
      <w:szCs w:val="24"/>
    </w:rPr>
  </w:style>
  <w:style w:type="paragraph" w:styleId="1261" w:customStyle="1">
    <w:name w:val="列表内容"/>
    <w:basedOn w:val="884"/>
    <w:next w:val="884"/>
    <w:uiPriority w:val="0"/>
    <w:qFormat/>
    <w:pPr>
      <w:ind w:left="840" w:hanging="420"/>
      <w:jc w:val="left"/>
      <w:widowControl/>
      <w:tabs>
        <w:tab w:val="left" w:pos="840" w:leader="none"/>
      </w:tabs>
    </w:pPr>
    <w:rPr>
      <w:sz w:val="18"/>
      <w:szCs w:val="24"/>
    </w:rPr>
  </w:style>
  <w:style w:type="paragraph" w:styleId="1262" w:customStyle="1">
    <w:name w:val="xl2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63" w:customStyle="1">
    <w:name w:val="小四 段落 宋体 Char"/>
    <w:basedOn w:val="901"/>
    <w:uiPriority w:val="0"/>
    <w:qFormat/>
    <w:pPr>
      <w:ind w:left="0" w:right="-33" w:firstLine="600"/>
      <w:jc w:val="left"/>
      <w:tabs>
        <w:tab w:val="clear" w:pos="2952" w:leader="none"/>
      </w:tabs>
    </w:pPr>
    <w:rPr>
      <w:rFonts w:ascii="仿宋_GB2312" w:eastAsia="仿宋_GB2312"/>
      <w:sz w:val="30"/>
      <w:szCs w:val="30"/>
    </w:rPr>
  </w:style>
  <w:style w:type="paragraph" w:styleId="1264" w:customStyle="1">
    <w:name w:val="表格文字"/>
    <w:basedOn w:val="884"/>
    <w:uiPriority w:val="0"/>
    <w:qFormat/>
    <w:pPr>
      <w:ind w:firstLine="200"/>
      <w:jc w:val="left"/>
      <w:spacing w:line="360" w:lineRule="auto"/>
    </w:pPr>
    <w:rPr>
      <w:rFonts w:ascii="Arial" w:hAnsi="Arial"/>
      <w:sz w:val="24"/>
    </w:rPr>
  </w:style>
  <w:style w:type="paragraph" w:styleId="1265" w:customStyle="1">
    <w:name w:val="Pa6"/>
    <w:basedOn w:val="884"/>
    <w:next w:val="884"/>
    <w:uiPriority w:val="0"/>
    <w:qFormat/>
    <w:pPr>
      <w:jc w:val="left"/>
      <w:spacing w:line="241" w:lineRule="atLeast"/>
    </w:pPr>
    <w:rPr>
      <w:rFonts w:ascii="汉仪大黑简" w:eastAsia="汉仪大黑简"/>
      <w:sz w:val="24"/>
      <w:szCs w:val="24"/>
    </w:rPr>
  </w:style>
  <w:style w:type="paragraph" w:styleId="1266" w:customStyle="1">
    <w:name w:val="列出段落2"/>
    <w:basedOn w:val="884"/>
    <w:uiPriority w:val="0"/>
    <w:qFormat/>
    <w:pPr>
      <w:ind w:left="720"/>
      <w:jc w:val="left"/>
      <w:widowControl/>
    </w:pPr>
    <w:rPr>
      <w:rFonts w:ascii="Arial" w:hAnsi="Arial" w:eastAsia="黑体" w:cs="Arial"/>
      <w:sz w:val="24"/>
      <w:szCs w:val="24"/>
      <w:lang w:eastAsia="en-US"/>
    </w:rPr>
  </w:style>
  <w:style w:type="paragraph" w:styleId="1267" w:customStyle="1">
    <w:name w:val="段 Char"/>
    <w:uiPriority w:val="0"/>
    <w:qFormat/>
    <w:pPr>
      <w:ind w:firstLine="200"/>
      <w:jc w:val="both"/>
    </w:pPr>
    <w:rPr>
      <w:rFonts w:ascii="宋体" w:hAnsi="Calibri" w:eastAsia="宋体" w:cs="Times New Roman"/>
      <w:sz w:val="21"/>
      <w:lang w:val="en-US" w:eastAsia="zh-CN" w:bidi="ar-SA"/>
    </w:rPr>
  </w:style>
  <w:style w:type="paragraph" w:styleId="1268" w:customStyle="1">
    <w:name w:val="表蕊"/>
    <w:basedOn w:val="884"/>
    <w:uiPriority w:val="0"/>
    <w:qFormat/>
    <w:pPr>
      <w:jc w:val="left"/>
      <w:spacing w:line="320" w:lineRule="atLeast"/>
    </w:pPr>
    <w:rPr>
      <w:rFonts w:eastAsia="楷体_GB2312"/>
      <w:spacing w:val="-10"/>
    </w:rPr>
  </w:style>
  <w:style w:type="paragraph" w:styleId="1269" w:customStyle="1">
    <w:name w:val="font14"/>
    <w:basedOn w:val="884"/>
    <w:uiPriority w:val="0"/>
    <w:qFormat/>
    <w:pPr>
      <w:jc w:val="left"/>
      <w:spacing w:before="100" w:beforeAutospacing="1" w:after="100" w:afterAutospacing="1"/>
      <w:widowControl/>
    </w:pPr>
    <w:rPr>
      <w:sz w:val="36"/>
      <w:szCs w:val="36"/>
    </w:rPr>
  </w:style>
  <w:style w:type="paragraph" w:styleId="1270" w:customStyle="1">
    <w:name w:val="正文2"/>
    <w:basedOn w:val="884"/>
    <w:uiPriority w:val="0"/>
    <w:qFormat/>
    <w:pPr>
      <w:ind w:firstLine="510"/>
      <w:spacing w:before="156" w:line="360" w:lineRule="auto"/>
    </w:pPr>
    <w:rPr>
      <w:sz w:val="24"/>
    </w:rPr>
  </w:style>
  <w:style w:type="paragraph" w:styleId="1271" w:customStyle="1">
    <w:name w:val="xl3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72" w:customStyle="1">
    <w:name w:val="xl54"/>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73" w:customStyle="1">
    <w:name w:val="Char11"/>
    <w:basedOn w:val="884"/>
    <w:uiPriority w:val="0"/>
    <w:qFormat/>
    <w:pPr>
      <w:jc w:val="left"/>
      <w:spacing w:after="160" w:line="240" w:lineRule="exact"/>
      <w:widowControl/>
    </w:pPr>
    <w:rPr>
      <w:rFonts w:ascii="Verdana" w:hAnsi="Verdana" w:eastAsia="仿宋_GB2312"/>
      <w:sz w:val="24"/>
      <w:lang w:eastAsia="en-US"/>
    </w:rPr>
  </w:style>
  <w:style w:type="paragraph" w:styleId="1274" w:customStyle="1">
    <w:name w:val="Char Char1 Char1"/>
    <w:basedOn w:val="884"/>
    <w:uiPriority w:val="0"/>
    <w:qFormat/>
    <w:pPr>
      <w:jc w:val="left"/>
      <w:spacing w:after="160" w:line="240" w:lineRule="exact"/>
      <w:widowControl/>
    </w:pPr>
    <w:rPr>
      <w:rFonts w:ascii="Verdana" w:hAnsi="Verdana"/>
      <w:lang w:eastAsia="en-US"/>
    </w:rPr>
  </w:style>
  <w:style w:type="paragraph" w:styleId="1275" w:customStyle="1">
    <w:name w:val="xl27"/>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76" w:customStyle="1">
    <w:name w:val="标题1，章节第一层"/>
    <w:basedOn w:val="1089"/>
    <w:next w:val="1089"/>
    <w:uiPriority w:val="0"/>
    <w:qFormat/>
    <w:pPr>
      <w:ind w:left="482"/>
      <w:tabs>
        <w:tab w:val="left" w:pos="693" w:leader="none"/>
      </w:tabs>
      <w:outlineLvl w:val="0"/>
    </w:pPr>
    <w:rPr>
      <w:color w:val="000000"/>
      <w:sz w:val="24"/>
      <w:szCs w:val="24"/>
    </w:rPr>
  </w:style>
  <w:style w:type="paragraph" w:styleId="1277" w:customStyle="1">
    <w:name w:val="符号与编号 Char Char"/>
    <w:basedOn w:val="884"/>
    <w:uiPriority w:val="0"/>
    <w:qFormat/>
    <w:pPr>
      <w:ind w:left="839" w:hanging="419"/>
      <w:spacing w:line="400" w:lineRule="atLeast"/>
      <w:tabs>
        <w:tab w:val="left" w:pos="840" w:leader="none"/>
      </w:tabs>
    </w:pPr>
    <w:rPr>
      <w:sz w:val="24"/>
      <w:szCs w:val="24"/>
    </w:rPr>
  </w:style>
  <w:style w:type="paragraph" w:styleId="1278" w:customStyle="1">
    <w:name w:val="Char Char Char1"/>
    <w:basedOn w:val="903"/>
    <w:uiPriority w:val="0"/>
    <w:qFormat/>
    <w:pPr>
      <w:spacing w:line="436" w:lineRule="exact"/>
    </w:pPr>
    <w:rPr>
      <w:szCs w:val="24"/>
    </w:rPr>
  </w:style>
  <w:style w:type="paragraph" w:styleId="1279" w:customStyle="1">
    <w:name w:val="正文文本 New New"/>
    <w:basedOn w:val="884"/>
    <w:uiPriority w:val="0"/>
    <w:qFormat/>
    <w:pPr>
      <w:ind w:firstLine="200"/>
      <w:spacing w:before="60" w:after="60" w:line="360" w:lineRule="auto"/>
      <w:widowControl/>
    </w:pPr>
    <w:rPr>
      <w:rFonts w:eastAsia="华文楷体"/>
      <w:sz w:val="24"/>
      <w:szCs w:val="24"/>
    </w:rPr>
  </w:style>
  <w:style w:type="paragraph" w:styleId="1280" w:customStyle="1">
    <w:name w:val="xl59"/>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81" w:customStyle="1">
    <w:name w:val="中等深浅网格 1 - 强调文字颜色 21"/>
    <w:basedOn w:val="884"/>
    <w:uiPriority w:val="0"/>
    <w:qFormat/>
    <w:pPr>
      <w:ind w:firstLine="420"/>
    </w:pPr>
    <w:rPr>
      <w:szCs w:val="22"/>
    </w:rPr>
  </w:style>
  <w:style w:type="paragraph" w:styleId="1282" w:customStyle="1">
    <w:name w:val="小四 段落 宋体"/>
    <w:basedOn w:val="901"/>
    <w:uiPriority w:val="0"/>
    <w:qFormat/>
    <w:pPr>
      <w:ind w:left="113" w:right="113" w:firstLine="425"/>
      <w:jc w:val="left"/>
      <w:spacing w:line="360" w:lineRule="auto"/>
      <w:tabs>
        <w:tab w:val="clear" w:pos="2952" w:leader="none"/>
      </w:tabs>
    </w:pPr>
    <w:rPr>
      <w:sz w:val="24"/>
    </w:rPr>
  </w:style>
  <w:style w:type="paragraph" w:styleId="1283" w:customStyle="1">
    <w:name w:val="正文缩进2字符"/>
    <w:basedOn w:val="884"/>
    <w:uiPriority w:val="0"/>
    <w:qFormat/>
    <w:pPr>
      <w:ind w:firstLine="200"/>
      <w:spacing w:line="300" w:lineRule="auto"/>
    </w:pPr>
    <w:rPr>
      <w:rFonts w:ascii="仿宋_GB2312" w:eastAsia="仿宋_GB2312"/>
      <w:sz w:val="32"/>
      <w:szCs w:val="32"/>
    </w:rPr>
  </w:style>
  <w:style w:type="paragraph" w:styleId="1284" w:customStyle="1">
    <w:name w:val="xl58"/>
    <w:basedOn w:val="884"/>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85" w:customStyle="1">
    <w:name w:val="表格"/>
    <w:basedOn w:val="884"/>
    <w:uiPriority w:val="0"/>
    <w:qFormat/>
    <w:pPr>
      <w:ind w:firstLine="21"/>
    </w:pPr>
    <w:rPr>
      <w:rFonts w:ascii="宋体" w:hAnsi="宋体"/>
    </w:rPr>
  </w:style>
  <w:style w:type="paragraph" w:styleId="128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87" w:customStyle="1">
    <w:name w:val="xl47"/>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88" w:customStyle="1">
    <w:name w:val="Bullets L1"/>
    <w:basedOn w:val="884"/>
    <w:uiPriority w:val="0"/>
    <w:qFormat/>
    <w:pPr>
      <w:numPr>
        <w:ilvl w:val="0"/>
        <w:numId w:val="5"/>
      </w:numPr>
      <w:jc w:val="left"/>
      <w:spacing w:before="60" w:after="60"/>
      <w:widowControl/>
    </w:pPr>
    <w:rPr>
      <w:rFonts w:ascii="Arial" w:hAnsi="Arial"/>
    </w:rPr>
  </w:style>
  <w:style w:type="paragraph" w:styleId="1289" w:customStyle="1">
    <w:name w:val="表格1"/>
    <w:basedOn w:val="884"/>
    <w:uiPriority w:val="0"/>
    <w:qFormat/>
    <w:rPr>
      <w:rFonts w:ascii="宋体"/>
      <w:szCs w:val="21"/>
    </w:rPr>
  </w:style>
  <w:style w:type="paragraph" w:styleId="1290" w:customStyle="1">
    <w:name w:val="条1"/>
    <w:basedOn w:val="884"/>
    <w:uiPriority w:val="0"/>
    <w:qFormat/>
    <w:pPr>
      <w:ind w:left="780" w:hanging="360"/>
      <w:spacing w:before="156" w:line="360" w:lineRule="auto"/>
      <w:tabs>
        <w:tab w:val="left" w:pos="780" w:leader="none"/>
      </w:tabs>
    </w:pPr>
    <w:rPr>
      <w:rFonts w:eastAsia="黑体"/>
      <w:sz w:val="24"/>
    </w:rPr>
  </w:style>
  <w:style w:type="paragraph" w:styleId="1291" w:customStyle="1">
    <w:name w:val="样式4 Char"/>
    <w:basedOn w:val="884"/>
    <w:uiPriority w:val="0"/>
    <w:qFormat/>
    <w:pPr>
      <w:ind w:firstLine="480"/>
      <w:jc w:val="left"/>
      <w:spacing w:line="360" w:lineRule="auto"/>
      <w:widowControl/>
    </w:pPr>
    <w:rPr>
      <w:color w:val="000000"/>
      <w:sz w:val="24"/>
      <w:szCs w:val="24"/>
    </w:rPr>
  </w:style>
  <w:style w:type="paragraph" w:styleId="1292" w:customStyle="1">
    <w:name w:val="马刚标题4"/>
    <w:basedOn w:val="1241"/>
    <w:next w:val="884"/>
    <w:uiPriority w:val="0"/>
    <w:qFormat/>
    <w:pPr>
      <w:spacing w:before="100" w:after="40"/>
      <w:tabs>
        <w:tab w:val="clear" w:pos="567" w:leader="none"/>
        <w:tab w:val="clear" w:pos="735" w:leader="none"/>
        <w:tab w:val="left" w:pos="1050" w:leader="none"/>
      </w:tabs>
      <w:outlineLvl w:val="3"/>
    </w:pPr>
    <w:rPr>
      <w:b w:val="0"/>
    </w:rPr>
  </w:style>
  <w:style w:type="paragraph" w:styleId="1293" w:customStyle="1">
    <w:name w:val="flType"/>
    <w:basedOn w:val="1143"/>
    <w:uiPriority w:val="0"/>
    <w:qFormat/>
    <w:pPr>
      <w:spacing w:after="284"/>
    </w:pPr>
    <w:rPr>
      <w:rFonts w:eastAsia="宋体"/>
      <w:b w:val="0"/>
    </w:rPr>
  </w:style>
  <w:style w:type="paragraph" w:styleId="1294" w:customStyle="1">
    <w:name w:val="xl2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95" w:customStyle="1">
    <w:name w:val="Char Char Char Char Char1"/>
    <w:basedOn w:val="884"/>
    <w:uiPriority w:val="0"/>
    <w:qFormat/>
    <w:rPr>
      <w:rFonts w:ascii="Tahoma" w:hAnsi="Tahoma" w:cs="Tahoma"/>
      <w:sz w:val="24"/>
    </w:rPr>
  </w:style>
  <w:style w:type="paragraph" w:styleId="1296" w:customStyle="1">
    <w:name w:val="样式 样式 首行缩进:  2 字符 + 行距: 1.5 倍行距"/>
    <w:basedOn w:val="884"/>
    <w:uiPriority w:val="0"/>
    <w:qFormat/>
    <w:pPr>
      <w:ind w:firstLine="470"/>
      <w:spacing w:line="360" w:lineRule="auto"/>
    </w:pPr>
    <w:rPr>
      <w:sz w:val="24"/>
    </w:rPr>
  </w:style>
  <w:style w:type="paragraph" w:styleId="1297" w:customStyle="1">
    <w:name w:val="a0"/>
    <w:basedOn w:val="884"/>
    <w:uiPriority w:val="0"/>
    <w:qFormat/>
    <w:pPr>
      <w:spacing w:before="100" w:beforeAutospacing="1" w:after="100" w:afterAutospacing="1"/>
      <w:widowControl/>
    </w:pPr>
    <w:rPr>
      <w:rFonts w:ascii="宋体" w:hAnsi="宋体"/>
      <w:sz w:val="24"/>
      <w:szCs w:val="24"/>
    </w:rPr>
  </w:style>
  <w:style w:type="paragraph" w:styleId="1298" w:customStyle="1">
    <w:name w:val="xl53"/>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99" w:customStyle="1">
    <w:name w:val="xl60"/>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300" w:customStyle="1">
    <w:name w:val="样式1"/>
    <w:basedOn w:val="884"/>
    <w:uiPriority w:val="0"/>
    <w:qFormat/>
    <w:pPr>
      <w:ind w:firstLine="480"/>
      <w:spacing w:line="300" w:lineRule="auto"/>
    </w:pPr>
    <w:rPr>
      <w:sz w:val="24"/>
      <w:szCs w:val="24"/>
    </w:rPr>
  </w:style>
  <w:style w:type="paragraph" w:styleId="1301" w:customStyle="1">
    <w:name w:val="论文正文"/>
    <w:basedOn w:val="917"/>
    <w:uiPriority w:val="0"/>
    <w:qFormat/>
    <w:pPr>
      <w:ind w:left="0" w:firstLine="200"/>
      <w:jc w:val="left"/>
      <w:spacing w:line="360" w:lineRule="auto"/>
    </w:pPr>
    <w:rPr>
      <w:rFonts w:ascii="Times New Roman" w:hAnsi="Times New Roman"/>
      <w:sz w:val="28"/>
      <w:szCs w:val="24"/>
    </w:rPr>
  </w:style>
  <w:style w:type="paragraph" w:styleId="1302" w:customStyle="1">
    <w:name w:val="greytypebeni"/>
    <w:basedOn w:val="884"/>
    <w:uiPriority w:val="0"/>
    <w:qFormat/>
    <w:pPr>
      <w:jc w:val="left"/>
      <w:widowControl/>
    </w:pPr>
    <w:rPr>
      <w:rFonts w:ascii="宋体" w:hAnsi="宋体"/>
      <w:sz w:val="24"/>
      <w:szCs w:val="24"/>
    </w:rPr>
  </w:style>
  <w:style w:type="paragraph" w:styleId="130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304" w:customStyle="1">
    <w:name w:val="xl55"/>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305" w:customStyle="1">
    <w:name w:val="正文文本缩进1"/>
    <w:basedOn w:val="884"/>
    <w:uiPriority w:val="0"/>
    <w:qFormat/>
    <w:pPr>
      <w:ind w:left="420"/>
      <w:spacing w:after="120"/>
    </w:pPr>
    <w:rPr>
      <w:szCs w:val="24"/>
    </w:rPr>
  </w:style>
  <w:style w:type="paragraph" w:styleId="1306" w:customStyle="1">
    <w:name w:val="xl32"/>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307" w:customStyle="1">
    <w:name w:val="引用 Char1"/>
    <w:basedOn w:val="894"/>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308" w:customStyle="1">
    <w:name w:val="标题3，章节第三层"/>
    <w:basedOn w:val="884"/>
    <w:next w:val="1089"/>
    <w:uiPriority w:val="0"/>
    <w:qFormat/>
    <w:pPr>
      <w:spacing w:before="78" w:line="300" w:lineRule="auto"/>
      <w:outlineLvl w:val="2"/>
    </w:pPr>
    <w:rPr>
      <w:rFonts w:ascii="Arial" w:hAnsi="Arial" w:eastAsia="华文细黑"/>
      <w:sz w:val="30"/>
      <w:szCs w:val="24"/>
    </w:rPr>
  </w:style>
  <w:style w:type="paragraph" w:styleId="1309" w:customStyle="1">
    <w:name w:val="Char2 Char Char Char Char Char Char1"/>
    <w:basedOn w:val="884"/>
    <w:uiPriority w:val="0"/>
    <w:qFormat/>
    <w:pPr>
      <w:ind w:hanging="425"/>
      <w:keepNext/>
      <w:spacing w:before="80" w:after="80"/>
      <w:widowControl/>
      <w:tabs>
        <w:tab w:val="left" w:pos="425" w:leader="none"/>
      </w:tabs>
    </w:pPr>
    <w:rPr>
      <w:rFonts w:ascii="Arial" w:hAnsi="Arial" w:cs="Arial"/>
    </w:rPr>
  </w:style>
  <w:style w:type="paragraph" w:styleId="1310" w:customStyle="1">
    <w:name w:val="xl46"/>
    <w:basedOn w:val="88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311" w:customStyle="1">
    <w:name w:val="普通文字"/>
    <w:basedOn w:val="884"/>
    <w:next w:val="884"/>
    <w:uiPriority w:val="0"/>
    <w:qFormat/>
    <w:rPr>
      <w:rFonts w:ascii="宋体" w:hAnsi="宋体"/>
      <w:sz w:val="24"/>
    </w:rPr>
  </w:style>
  <w:style w:type="paragraph" w:styleId="1312" w:customStyle="1">
    <w:name w:val="样式2"/>
    <w:basedOn w:val="884"/>
    <w:uiPriority w:val="0"/>
    <w:qFormat/>
    <w:pPr>
      <w:ind w:left="200"/>
      <w:spacing w:line="360" w:lineRule="auto"/>
    </w:pPr>
    <w:rPr>
      <w:rFonts w:ascii="宋体" w:hAnsi="宋体"/>
      <w:b/>
      <w:sz w:val="24"/>
      <w:szCs w:val="24"/>
    </w:rPr>
  </w:style>
  <w:style w:type="paragraph" w:styleId="1313" w:customStyle="1">
    <w:name w:val="Table Paragraph"/>
    <w:basedOn w:val="884"/>
    <w:uiPriority w:val="0"/>
    <w:qFormat/>
    <w:rPr>
      <w:rFonts w:cs="Times New Roman"/>
      <w:sz w:val="21"/>
      <w:szCs w:val="24"/>
      <w:lang w:val="en-US"/>
    </w:rPr>
  </w:style>
  <w:style w:type="character" w:styleId="1314" w:customStyle="1">
    <w:name w:val="font31"/>
    <w:basedOn w:val="894"/>
    <w:uiPriority w:val="0"/>
    <w:qFormat/>
    <w:rPr>
      <w:rFonts w:hint="eastAsia" w:ascii="微软雅黑" w:hAnsi="微软雅黑" w:eastAsia="微软雅黑" w:cs="微软雅黑"/>
      <w:color w:val="000000"/>
      <w:sz w:val="22"/>
      <w:szCs w:val="22"/>
      <w:u w:val="none"/>
    </w:rPr>
  </w:style>
  <w:style w:type="paragraph" w:styleId="1315" w:customStyle="1">
    <w:name w:val="_Style 1"/>
    <w:basedOn w:val="884"/>
    <w:uiPriority w:val="34"/>
    <w:qFormat/>
    <w:pPr>
      <w:ind w:firstLine="420"/>
    </w:pPr>
    <w:rPr>
      <w:rFonts w:eastAsia="宋体" w:cs="Times New Roman"/>
    </w:rPr>
  </w:style>
  <w:style w:type="paragraph" w:styleId="1316" w:customStyle="1">
    <w:name w:val="正文首行缩进（绿盟科技）"/>
    <w:basedOn w:val="884"/>
    <w:uiPriority w:val="0"/>
    <w:qFormat/>
    <w:pPr>
      <w:ind w:firstLine="200"/>
      <w:jc w:val="left"/>
      <w:spacing w:after="50" w:line="300" w:lineRule="auto"/>
      <w:widowControl/>
    </w:pPr>
    <w:rPr>
      <w:rFonts w:ascii="Arial" w:hAnsi="Arial"/>
      <w:szCs w:val="21"/>
    </w:rPr>
  </w:style>
  <w:style w:type="paragraph" w:styleId="1317" w:customStyle="1">
    <w:name w:val="KS表格"/>
    <w:basedOn w:val="884"/>
    <w:uiPriority w:val="0"/>
    <w:qFormat/>
    <w:pPr>
      <w:spacing w:line="300" w:lineRule="auto"/>
    </w:pPr>
  </w:style>
  <w:style w:type="character" w:styleId="1318" w:customStyle="1">
    <w:name w:val="标题 2 Char Char Char"/>
    <w:uiPriority w:val="0"/>
    <w:qFormat/>
    <w:rPr>
      <w:rFonts w:ascii="Arial" w:hAnsi="Arial" w:eastAsia="黑体"/>
      <w:b/>
      <w:bCs/>
      <w:sz w:val="32"/>
      <w:szCs w:val="32"/>
      <w:lang w:val="en-US" w:eastAsia="zh-CN" w:bidi="ar-SA"/>
    </w:rPr>
  </w:style>
  <w:style w:type="paragraph" w:styleId="131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修订2"/>
    <w:hidden/>
    <w:uiPriority w:val="99"/>
    <w:semiHidden/>
    <w:qFormat/>
    <w:rPr>
      <w:rFonts w:ascii="Calibri" w:hAnsi="Calibri" w:eastAsia="Calibri" w:cs="宋体"/>
      <w:lang w:val="zh-CN" w:eastAsia="zh-CN" w:bidi="ar-SA"/>
    </w:rPr>
  </w:style>
  <w:style w:type="paragraph" w:styleId="1321" w:customStyle="1">
    <w:name w:val="修订3"/>
    <w:hidden/>
    <w:uiPriority w:val="99"/>
    <w:semiHidden/>
    <w:qFormat/>
    <w:rPr>
      <w:rFonts w:ascii="Calibri" w:hAnsi="Calibri" w:eastAsia="Calibri" w:cs="宋体"/>
      <w:lang w:val="zh-CN" w:eastAsia="zh-CN" w:bidi="ar-SA"/>
    </w:rPr>
  </w:style>
  <w:style w:type="paragraph" w:styleId="1322" w:customStyle="1">
    <w:name w:val="@正文"/>
    <w:basedOn w:val="956"/>
    <w:uiPriority w:val="0"/>
    <w:qFormat/>
    <w:pPr>
      <w:ind w:firstLine="200"/>
      <w:spacing w:line="360" w:lineRule="auto"/>
    </w:pPr>
    <w:rPr>
      <w:rFonts w:ascii="黑体" w:hAnsi="黑体" w:eastAsia="仿宋"/>
      <w:sz w:val="32"/>
      <w:szCs w:val="32"/>
    </w:rPr>
  </w:style>
  <w:style w:type="paragraph" w:styleId="1323" w:customStyle="1">
    <w:name w:val="msolistparagraph"/>
    <w:basedOn w:val="884"/>
    <w:uiPriority w:val="0"/>
    <w:qFormat/>
    <w:pPr>
      <w:ind w:firstLine="420"/>
    </w:pPr>
    <w:rPr>
      <w:rFonts w:eastAsia="宋体" w:cs="Times New Roman"/>
      <w:sz w:val="21"/>
      <w:szCs w:val="22"/>
      <w:lang w:val="en-US"/>
    </w:rPr>
  </w:style>
  <w:style w:type="paragraph" w:styleId="1324" w:customStyle="1">
    <w:name w:val="p1"/>
    <w:basedOn w:val="884"/>
    <w:uiPriority w:val="0"/>
    <w:qFormat/>
    <w:pPr>
      <w:jc w:val="left"/>
      <w:spacing w:line="380" w:lineRule="atLeast"/>
    </w:pPr>
    <w:rPr>
      <w:rFonts w:ascii="Helvetica Neue" w:hAnsi="Helvetica Neue" w:eastAsia="Helvetica Neue"/>
      <w:color w:val="000000"/>
      <w:sz w:val="26"/>
      <w:szCs w:val="26"/>
    </w:rPr>
  </w:style>
  <w:style w:type="paragraph" w:styleId="1325" w:customStyle="1">
    <w:name w:val="普通(网站)1"/>
    <w:basedOn w:val="88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26" w:customStyle="1">
    <w:name w:val="首行缩进"/>
    <w:basedOn w:val="884"/>
    <w:uiPriority w:val="0"/>
    <w:qFormat/>
    <w:pPr>
      <w:ind w:firstLine="480"/>
    </w:pPr>
  </w:style>
  <w:style w:type="paragraph" w:styleId="1327" w:customStyle="1">
    <w:name w:val="正文首行缩进1"/>
    <w:basedOn w:val="1328"/>
    <w:uiPriority w:val="0"/>
    <w:qFormat/>
    <w:pPr>
      <w:ind w:firstLine="420"/>
      <w:spacing w:line="360" w:lineRule="auto"/>
    </w:pPr>
    <w:rPr>
      <w:rFonts w:ascii="Times New Roman"/>
      <w:szCs w:val="21"/>
    </w:rPr>
  </w:style>
  <w:style w:type="paragraph" w:styleId="1328" w:customStyle="1">
    <w:name w:val="正文文本1"/>
    <w:basedOn w:val="884"/>
    <w:next w:val="884"/>
    <w:uiPriority w:val="0"/>
    <w:qFormat/>
    <w:rPr>
      <w:rFonts w:ascii="宋体"/>
      <w:sz w:val="28"/>
    </w:rPr>
  </w:style>
  <w:style w:type="paragraph" w:styleId="1329" w:customStyle="1">
    <w:name w:val="页脚1"/>
    <w:basedOn w:val="884"/>
    <w:uiPriority w:val="99"/>
    <w:qFormat/>
    <w:pPr>
      <w:jc w:val="left"/>
      <w:tabs>
        <w:tab w:val="center" w:pos="4153" w:leader="none"/>
        <w:tab w:val="right" w:pos="8306" w:leader="none"/>
      </w:tabs>
    </w:pPr>
    <w:rPr>
      <w:sz w:val="18"/>
    </w:rPr>
  </w:style>
  <w:style w:type="paragraph" w:styleId="1330" w:customStyle="1">
    <w:name w:val="标题 31"/>
    <w:basedOn w:val="884"/>
    <w:next w:val="1059"/>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331" w:customStyle="1">
    <w:name w:val="要点1"/>
    <w:uiPriority w:val="0"/>
    <w:qFormat/>
    <w:rPr>
      <w:rFonts w:ascii="Times New Roman" w:hAnsi="Times New Roman" w:eastAsia="宋体" w:cs="Times New Roman"/>
      <w:sz w:val="21"/>
      <w:lang w:val="en-US" w:eastAsia="zh-CN" w:bidi="ar-SA"/>
    </w:rPr>
  </w:style>
  <w:style w:type="paragraph" w:styleId="1332" w:customStyle="1">
    <w:name w:val="纯文本111"/>
    <w:basedOn w:val="884"/>
    <w:uiPriority w:val="0"/>
    <w:qFormat/>
    <w:pPr>
      <w:jc w:val="left"/>
      <w:widowControl/>
    </w:pPr>
    <w:rPr>
      <w:rFonts w:ascii="宋体" w:hAnsi="Courier New"/>
    </w:rPr>
  </w:style>
  <w:style w:type="paragraph" w:styleId="1333" w:customStyle="1">
    <w:name w:val="默认"/>
    <w:uiPriority w:val="0"/>
    <w:qFormat/>
    <w:pPr>
      <w:spacing w:before="160" w:line="288" w:lineRule="auto"/>
    </w:pPr>
    <w:rPr>
      <w:rFonts w:ascii="PingFang SC Regular" w:hAnsi="PingFang SC Regular" w:eastAsia="Arial Unicode MS" w:cs="Arial Unicode MS"/>
      <w:color w:val="000000"/>
      <w:sz w:val="24"/>
      <w:szCs w:val="24"/>
      <w:lang w:val="en-US" w:eastAsia="zh-CN" w:bidi="ar-SA"/>
    </w:rPr>
  </w:style>
  <w:style w:type="paragraph" w:styleId="1334" w:customStyle="1">
    <w:name w:val="列表段落1"/>
    <w:basedOn w:val="884"/>
    <w:uiPriority w:val="34"/>
    <w:qFormat/>
    <w:pPr>
      <w:contextualSpacing/>
      <w:ind w:left="720"/>
    </w:pPr>
  </w:style>
  <w:style w:type="paragraph" w:styleId="1335" w:customStyle="1">
    <w:name w:val="普通正文"/>
    <w:basedOn w:val="884"/>
    <w:uiPriority w:val="0"/>
    <w:qFormat/>
    <w:pPr>
      <w:ind w:firstLine="480"/>
      <w:jc w:val="left"/>
      <w:spacing w:before="120" w:after="120" w:line="360" w:lineRule="auto"/>
    </w:pPr>
    <w:rPr>
      <w:rFonts w:ascii="Verdana" w:hAnsi="Verdana" w:eastAsia="Courier New" w:cs="华文中宋"/>
      <w:sz w:val="24"/>
    </w:rPr>
  </w:style>
  <w:style w:type="paragraph" w:styleId="1336" w:customStyle="1">
    <w:name w:val="正文缩进11"/>
    <w:basedOn w:val="884"/>
    <w:uiPriority w:val="0"/>
    <w:qFormat/>
    <w:pPr>
      <w:ind w:firstLine="420"/>
    </w:pPr>
    <w:rPr>
      <w:b/>
      <w:sz w:val="24"/>
    </w:rPr>
  </w:style>
  <w:style w:type="numbering" w:styleId="145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C109913-BF6B-4AC5-ADF5-2821F86679A1}"/>
</file>

<file path=customXml/itemProps2.xml><?xml version="1.0" encoding="utf-8"?>
<ds:datastoreItem xmlns:ds="http://schemas.openxmlformats.org/officeDocument/2006/customXml" ds:itemID="{FB652696-476A-4B42-9AFA-10F2D434F9B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周翠</cp:lastModifiedBy>
  <cp:revision>4</cp:revision>
  <dcterms:created xsi:type="dcterms:W3CDTF">2026-05-21T04:38:00Z</dcterms:created>
  <dcterms:modified xsi:type="dcterms:W3CDTF">2026-10-08T09:01:57Z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6E0333674D2941049829E1C894FE8EE9_13</vt:lpwstr>
  </property>
  <property fmtid="{D5CDD505-2E9C-101B-9397-08002B2CF9AE}" pid="4" name="commondata">
    <vt:lpwstr>eyJoZGlkIjoiYjk5ODM0YmMxOWJiYWQyNDU4MGIzYWRmYTA0ZmI5NDcifQ==</vt:lpwstr>
  </property>
  <property fmtid="{D5CDD505-2E9C-101B-9397-08002B2CF9AE}" pid="5" name="KSOTemplateDocerSaveRecord">
    <vt:lpwstr>eyJoZGlkIjoiNmI5NGJjNWZlMjkyODE5NzU1Nzg2YjEwNDdjNTgzYjQiLCJ1c2VySWQiOiI0NjYxNTMxMjAifQ==</vt:lpwstr>
  </property>
</Properties>
</file>