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685"/>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5"/>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5"/>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5"/>
        <w:ind w:firstLine="1285"/>
        <w:spacing w:before="120" w:beforeAutospacing="0" w:after="120" w:afterAutospacing="0" w:line="360" w:lineRule="auto"/>
        <w:rPr>
          <w:rFonts w:hint="eastAsia" w:ascii="宋体" w:hAnsi="宋体" w:eastAsia="宋体" w:cs="宋体"/>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盐南高新区农村公路、铁路沿线养护服务</w:t>
      </w:r>
      <w:r/>
    </w:p>
    <w:p>
      <w:pPr>
        <w:pStyle w:val="685"/>
        <w:ind w:firstLine="1285"/>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项目编号：JSZC-320992-JSXH-G2026-0012</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江苏省盐南高新技术产业开发区住房建设和城市管理局</w:t>
      </w:r>
      <w:r/>
    </w:p>
    <w:p>
      <w:pPr>
        <w:pStyle w:val="685"/>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10</w:t>
      </w:r>
      <w:r>
        <w:rPr>
          <w:rFonts w:hint="eastAsia" w:ascii="宋体" w:hAnsi="宋体" w:eastAsia="宋体" w:cs="宋体"/>
          <w:b/>
          <w:color w:val="000000"/>
          <w:sz w:val="32"/>
          <w:szCs w:val="32"/>
          <w:highlight w:val="none"/>
        </w:rPr>
        <w:t xml:space="preserve">月</w:t>
      </w:r>
      <w:r/>
    </w:p>
    <w:p>
      <w:pPr>
        <w:pStyle w:val="685"/>
        <w:jc w:val="center"/>
        <w:spacing w:before="120" w:beforeAutospacing="0" w:after="12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85"/>
        <w:jc w:val="center"/>
        <w:spacing w:before="120" w:beforeAutospacing="0" w:after="12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685"/>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685"/>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03</w:t>
      </w:r>
      <w:r/>
    </w:p>
    <w:p>
      <w:pPr>
        <w:pStyle w:val="685"/>
        <w:ind w:left="2160" w:hanging="1440"/>
        <w:jc w:val="both"/>
        <w:spacing w:beforeAutospacing="0" w:afterAutospacing="0" w:line="480" w:lineRule="auto"/>
        <w:tabs>
          <w:tab w:val="left" w:pos="1441" w:leader="none"/>
        </w:tabs>
        <w:rPr>
          <w:rFonts w:hint="eastAsia" w:ascii="宋体" w:hAnsi="宋体" w:eastAsia="宋体" w:cs="宋体"/>
          <w:highlight w:val="none"/>
        </w:rPr>
      </w:pPr>
      <w:r>
        <w:rPr>
          <w:rFonts w:hint="eastAsia" w:ascii="宋体" w:hAnsi="宋体" w:eastAsia="宋体" w:cs="宋体"/>
          <w:color w:val="000000"/>
          <w:sz w:val="36"/>
          <w:szCs w:val="36"/>
          <w:highlight w:val="none"/>
        </w:rPr>
        <w:t xml:space="preserve">投标人须知…………………………………</w:t>
      </w:r>
      <w:r>
        <w:rPr>
          <w:rFonts w:hint="eastAsia" w:ascii="宋体" w:hAnsi="宋体" w:eastAsia="宋体" w:cs="宋体"/>
          <w:color w:val="000000"/>
          <w:sz w:val="36"/>
          <w:szCs w:val="36"/>
          <w:highlight w:val="none"/>
          <w:lang w:val="en-US" w:eastAsia="zh-CN"/>
        </w:rPr>
        <w:t xml:space="preserve">08</w:t>
      </w:r>
      <w:r>
        <w:rPr>
          <w:rFonts w:hint="eastAsia" w:ascii="宋体" w:hAnsi="宋体" w:eastAsia="宋体" w:cs="宋体"/>
          <w:color w:val="000000"/>
          <w:sz w:val="36"/>
          <w:szCs w:val="36"/>
          <w:highlight w:val="none"/>
        </w:rPr>
        <w:t xml:space="preserve"> </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合同文本……………………………………</w:t>
      </w:r>
      <w:r>
        <w:rPr>
          <w:rFonts w:hint="eastAsia" w:ascii="宋体" w:hAnsi="宋体" w:eastAsia="宋体" w:cs="宋体"/>
          <w:color w:val="000000"/>
          <w:sz w:val="36"/>
          <w:szCs w:val="36"/>
          <w:highlight w:val="none"/>
          <w:lang w:val="en-US" w:eastAsia="zh-CN"/>
        </w:rPr>
        <w:t xml:space="preserve">23</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44</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46</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eastAsia="宋体" w:cs="宋体"/>
          <w:color w:val="000000"/>
          <w:sz w:val="36"/>
          <w:szCs w:val="36"/>
          <w:highlight w:val="none"/>
          <w:lang w:val="en-US" w:eastAsia="zh-CN"/>
        </w:rPr>
        <w:t xml:space="preserve">48</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lang w:val="en-US" w:eastAsia="zh-CN"/>
        </w:rPr>
      </w:pPr>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p>
    <w:p>
      <w:pPr>
        <w:pStyle w:val="68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8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盐南高新区农村公路、铁路沿线养护服务</w:t>
      </w:r>
      <w:r>
        <w:rPr>
          <w:rFonts w:hint="eastAsia" w:ascii="宋体" w:hAnsi="宋体" w:eastAsia="宋体" w:cs="宋体"/>
          <w:color w:val="000000"/>
          <w:sz w:val="24"/>
          <w:szCs w:val="24"/>
          <w:highlight w:val="none"/>
        </w:rPr>
        <w:t xml:space="preserve">招标项目的潜在投标人可在“苏采云”系统内免费下载（投标人必须在苏采云系统中获取采购文件，方能参与政府采购项目） ，并于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6" w:name="_Hlk24379207"/>
      <w:r/>
      <w:bookmarkStart w:id="7" w:name="_Toc35393621"/>
      <w:r/>
      <w:bookmarkStart w:id="8" w:name="_Toc28359002"/>
      <w:r/>
      <w:bookmarkStart w:id="9" w:name="_Toc38985263"/>
      <w:r/>
      <w:bookmarkStart w:id="10" w:name="_Toc35393790"/>
      <w:r/>
      <w:bookmarkStart w:id="11" w:name="_Toc28359079"/>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1.项目编号：JSZC-320992-JSXH-G2026-0012</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盐南高新区农村公路、铁路沿线养护服务</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85"/>
        <w:ind w:right="0" w:firstLine="480"/>
        <w:jc w:val="both"/>
        <w:pageBreakBefore w:val="0"/>
        <w:spacing w:beforeAutospacing="0" w:afterAutospacing="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250万元</w:t>
      </w:r>
      <w:r/>
    </w:p>
    <w:p>
      <w:pPr>
        <w:pStyle w:val="685"/>
        <w:ind w:right="0" w:firstLine="480"/>
        <w:jc w:val="both"/>
        <w:pageBreakBefore w:val="0"/>
        <w:spacing w:beforeAutospacing="0" w:afterAutospacing="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最高限价（如有）：249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881853</w:t>
      </w:r>
      <w:r>
        <w:rPr>
          <w:rFonts w:hint="eastAsia" w:ascii="宋体" w:hAnsi="宋体" w:eastAsia="宋体" w:cs="宋体"/>
          <w:color w:val="000000"/>
          <w:sz w:val="24"/>
          <w:szCs w:val="24"/>
          <w:highlight w:val="none"/>
          <w:lang w:val="en-US" w:eastAsia="zh-CN"/>
        </w:rPr>
        <w:t xml:space="preserve">万元</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color w:val="000000"/>
          <w:sz w:val="24"/>
          <w:szCs w:val="24"/>
          <w:highlight w:val="none"/>
          <w:lang w:eastAsia="zh-CN"/>
        </w:rPr>
        <w:t xml:space="preserve">盐南高新区农村公路、铁路沿线养护服务，</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服务期暂定三年，合同一年一签，续签最多两次。服务期终止时，甲方选聘了新的服务企业的，乙方与新的服务企业之间应当做好交接工作。续签时甲方组织综合考评组对服务情况进行考评，考核合格后方可续签，考核不合格，甲方有权终止合同。</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2" w:name="_Toc28359003"/>
      <w:r/>
      <w:bookmarkStart w:id="13" w:name="_Toc35393791"/>
      <w:r/>
      <w:bookmarkStart w:id="14" w:name="_Toc38985264"/>
      <w:r/>
      <w:bookmarkStart w:id="15" w:name="_Toc35393622"/>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85"/>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5"/>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5"/>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rPr>
          <w:rFonts w:hint="eastAsia" w:ascii="宋体" w:hAnsi="宋体" w:eastAsia="宋体" w:cs="宋体"/>
          <w:color w:val="000000"/>
          <w:sz w:val="24"/>
          <w:szCs w:val="24"/>
          <w:highlight w:val="none"/>
          <w:lang w:eastAsia="zh-CN"/>
        </w:rPr>
        <w:t xml:space="preserve">。</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3.本项目的特定资格要求：</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投标人资质类别和等级：投标人须具有主管部门核发的公路工程施工总承包三级及以上资质的独立法人，并取得有效的安全生产许可证。</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选派项目负责人专业及资质等级：具有公路工程专业二级及以上注册建造师资格，且具有省级及以上交通运输主管部门核发的《公路水运工程施工企业主要负责人和安全生产管理人员安全生产考核合格证书》（B证）。</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代理人及投标承诺的项目部人员均为本单位的正式职工，投标时提供代理人、投标承诺的项目负责人从2026年7月开始至投标截止之日当月至少1个月在本单位缴纳养老保险缴费记录证明（退休人员提供在本单位相关证明）。</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28359005"/>
      <w:r/>
      <w:bookmarkStart w:id="18" w:name="_Toc28359082"/>
      <w:r/>
      <w:bookmarkStart w:id="19" w:name="_Toc35393624"/>
      <w:r/>
      <w:bookmarkStart w:id="20" w:name="_Toc35393793"/>
      <w:r/>
      <w:bookmarkStart w:id="21"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时间：2026年11月10日09时（北京时间）</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2" w:name="_Toc35393794"/>
      <w:r/>
      <w:bookmarkStart w:id="23" w:name="_Toc38985267"/>
      <w:r/>
      <w:bookmarkStart w:id="24" w:name="_Toc35393625"/>
      <w:r/>
      <w:bookmarkStart w:id="25" w:name="_Toc28359007"/>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27" w:name="_Toc38985268"/>
      <w:r/>
      <w:bookmarkStart w:id="28" w:name="_Toc35393795"/>
      <w:r/>
      <w:bookmarkStart w:id="29" w:name="_Toc35393626"/>
      <w:r>
        <w:rPr>
          <w:rFonts w:hint="eastAsia" w:ascii="宋体" w:hAnsi="宋体" w:eastAsia="宋体" w:cs="宋体"/>
          <w:color w:val="000000"/>
          <w:sz w:val="24"/>
          <w:szCs w:val="24"/>
          <w:highlight w:val="none"/>
          <w:lang w:val="en-US" w:eastAsia="zh-CN" w:bidi="ar-SA"/>
        </w:rPr>
        <w:t xml:space="preserve">自本公告发布之日起5个工作日。</w:t>
      </w:r>
      <w:bookmarkEnd w:id="27"/>
      <w:r/>
      <w:bookmarkEnd w:id="28"/>
      <w:r/>
      <w:bookmarkEnd w:id="29"/>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right="0"/>
        <w:pageBreakBefore w:val="0"/>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3.有关本次招标的事项若存在变动或修改，敬请及时关注在“中国政府采购网”“江苏政府采购网”“盐城市政府采购网”发布的更正公告。</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5监督举报电话信息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联系人：盐南高新区纪检监察工委信访室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联系方式：0515-66661555</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政府采购投诉电话信息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联系人：盐南高新区财政局政府采购股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联系方式：0515-69938599</w:t>
      </w:r>
      <w:r/>
    </w:p>
    <w:p>
      <w:pPr>
        <w:pStyle w:val="675"/>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68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江苏省盐南高新技术产业开发区住房建设和城市管理局</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地    址：新龙广场6号楼</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丁先生</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13407514088</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2.采购代理机构信息</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名    称：江苏兴华工程项目管理咨询有限公司</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地　　址：盐城市中南世纪城悦城17幢226室</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 系 人：颜先生</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联系电话：17388003199</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3.项目联系方式</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联系人：颜先生</w:t>
      </w:r>
      <w:r/>
    </w:p>
    <w:p>
      <w:pPr>
        <w:pStyle w:val="685"/>
        <w:ind w:right="0"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rPr>
        <w:t xml:space="preserve">联系电话：17388003199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5"/>
        <w:ind w:right="0" w:firstLine="480"/>
        <w:jc w:val="center"/>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2" w:name="_Toc120614211"/>
      <w:r>
        <w:rPr>
          <w:rFonts w:hint="eastAsia" w:ascii="宋体" w:hAnsi="宋体" w:eastAsia="宋体" w:cs="宋体"/>
          <w:b/>
          <w:color w:val="000000"/>
          <w:sz w:val="44"/>
          <w:szCs w:val="44"/>
          <w:highlight w:val="none"/>
        </w:rPr>
        <w:t xml:space="preserve">第二章  </w:t>
      </w:r>
      <w:bookmarkEnd w:id="32"/>
      <w:r/>
      <w:bookmarkStart w:id="33" w:name="_Toc20823274"/>
      <w:r/>
      <w:bookmarkStart w:id="34" w:name="_Toc120614213"/>
      <w:r/>
      <w:bookmarkStart w:id="35" w:name="_Toc16938518"/>
      <w:r/>
      <w:bookmarkStart w:id="36" w:name="_Toc513029202"/>
      <w:r>
        <w:rPr>
          <w:rFonts w:hint="eastAsia" w:ascii="宋体" w:hAnsi="宋体" w:eastAsia="宋体" w:cs="宋体"/>
          <w:b/>
          <w:color w:val="000000"/>
          <w:sz w:val="44"/>
          <w:szCs w:val="44"/>
          <w:highlight w:val="none"/>
        </w:rPr>
        <w:t xml:space="preserve">投标人须知</w:t>
      </w:r>
      <w:bookmarkEnd w:id="33"/>
      <w:r/>
      <w:bookmarkEnd w:id="34"/>
      <w:r/>
      <w:bookmarkEnd w:id="35"/>
      <w:r/>
      <w:bookmarkEnd w:id="36"/>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7" w:name="_Toc16938519"/>
      <w:r/>
      <w:bookmarkStart w:id="38" w:name="_Toc120614214"/>
      <w:r/>
      <w:bookmarkStart w:id="39" w:name="_Toc20823275"/>
      <w:r/>
      <w:bookmarkStart w:id="40" w:name="_Toc513029203"/>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1" w:name="_Toc16938520"/>
      <w:r/>
      <w:bookmarkStart w:id="42" w:name="_Toc20823276"/>
      <w:r/>
      <w:bookmarkStart w:id="43" w:name="_Toc458694821"/>
      <w:r/>
      <w:bookmarkStart w:id="44" w:name="_Toc513029204"/>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6" w:name="_Toc513029205"/>
      <w:r/>
      <w:bookmarkStart w:id="47" w:name="_Toc20823277"/>
      <w:r/>
      <w:bookmarkStart w:id="48" w:name="_Toc16938521"/>
      <w:r>
        <w:rPr>
          <w:rFonts w:hint="eastAsia" w:ascii="宋体" w:hAnsi="宋体" w:eastAsia="宋体" w:cs="宋体"/>
          <w:color w:val="000000"/>
          <w:sz w:val="24"/>
          <w:szCs w:val="24"/>
          <w:highlight w:val="none"/>
        </w:rPr>
        <w:t xml:space="preserve">2、合格的投标人</w:t>
      </w:r>
      <w:bookmarkEnd w:id="46"/>
      <w:r/>
      <w:bookmarkEnd w:id="47"/>
      <w:r/>
      <w:bookmarkEnd w:id="48"/>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80"/>
        <w:pageBreakBefore w:val="0"/>
        <w:spacing w:line="360" w:lineRule="auto"/>
        <w:widowControl w:val="off"/>
        <w:rPr>
          <w:rFonts w:hint="eastAsia" w:ascii="宋体" w:hAnsi="宋体" w:eastAsia="宋体" w:cs="宋体"/>
          <w:color w:val="auto"/>
          <w:sz w:val="24"/>
          <w:szCs w:val="21"/>
        </w:rPr>
      </w:pPr>
      <w:r/>
      <w:bookmarkStart w:id="49" w:name="_Toc16938522"/>
      <w:r/>
      <w:bookmarkStart w:id="50" w:name="_Toc513029206"/>
      <w:r/>
      <w:bookmarkStart w:id="51" w:name="_Toc20823278"/>
      <w:r/>
      <w:bookmarkStart w:id="52" w:name="_Toc513029207"/>
      <w:r/>
      <w:bookmarkStart w:id="53" w:name="_Toc20823279"/>
      <w:r/>
      <w:bookmarkStart w:id="54" w:name="_Toc462564067"/>
      <w:r/>
      <w:bookmarkStart w:id="55" w:name="_Toc16938523"/>
      <w:r>
        <w:rPr>
          <w:rFonts w:hint="eastAsia" w:ascii="宋体" w:hAnsi="宋体" w:eastAsia="宋体" w:cs="宋体"/>
          <w:color w:val="auto"/>
          <w:sz w:val="24"/>
          <w:szCs w:val="21"/>
        </w:rPr>
        <w:t xml:space="preserve">3、适用法律</w:t>
      </w:r>
      <w:bookmarkEnd w:id="49"/>
      <w:r/>
      <w:bookmarkEnd w:id="50"/>
      <w:r/>
      <w:bookmarkEnd w:id="51"/>
      <w:r>
        <w:rPr>
          <w:rFonts w:hint="eastAsia" w:ascii="宋体" w:hAnsi="宋体" w:eastAsia="宋体" w:cs="宋体"/>
          <w:color w:val="auto"/>
          <w:sz w:val="24"/>
          <w:szCs w:val="21"/>
        </w:rPr>
        <w:t xml:space="preserve">和标准</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2"/>
      <w:r/>
      <w:bookmarkEnd w:id="53"/>
      <w:r/>
      <w:bookmarkEnd w:id="54"/>
      <w:r/>
      <w:bookmarkEnd w:id="55"/>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4.1投标人应自行承担所有与参加投标有关的费用，无论投标过程中的做法和结果如何，采购人及采购代理机构（以下简称代理机构）在任何情况下均无义务和责任承担这些费用。</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中标服务费：本次招标代理服务费由中标单位向招标代理机构支付。中标单位须在领取中标通知书时向招标代理机构一次性付清。该费用折算在报价中，不在投标文件中单独列出。招标代理服务费按照苏招协[2022]002号</w:t>
      </w:r>
      <w:r>
        <w:rPr>
          <w:rFonts w:hint="eastAsia" w:ascii="宋体" w:hAnsi="宋体" w:eastAsia="宋体" w:cs="宋体"/>
          <w:color w:val="auto"/>
          <w:sz w:val="24"/>
          <w:szCs w:val="21"/>
          <w:highlight w:val="none"/>
          <w:lang w:eastAsia="zh-CN"/>
        </w:rPr>
        <w:t xml:space="preserve">、苏建价协</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eastAsia="zh-CN"/>
        </w:rPr>
        <w:t xml:space="preserve">2022</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eastAsia="zh-CN"/>
        </w:rPr>
        <w:t xml:space="preserve">）7号</w:t>
      </w:r>
      <w:r>
        <w:rPr>
          <w:rFonts w:hint="eastAsia" w:ascii="宋体" w:hAnsi="宋体" w:eastAsia="宋体" w:cs="宋体"/>
          <w:color w:val="000000"/>
          <w:sz w:val="24"/>
          <w:szCs w:val="24"/>
          <w:highlight w:val="none"/>
        </w:rPr>
        <w:t xml:space="preserve">收费标准收取。</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6" w:name="_Toc513029209"/>
      <w:r/>
      <w:bookmarkStart w:id="57" w:name="_Toc120614215"/>
      <w:r/>
      <w:bookmarkStart w:id="58" w:name="_Toc20823281"/>
      <w:r/>
      <w:bookmarkStart w:id="59" w:name="_Toc16938525"/>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0" w:name="_Toc16938526"/>
      <w:r/>
      <w:bookmarkStart w:id="61" w:name="_Toc513029210"/>
      <w:r/>
      <w:bookmarkStart w:id="62" w:name="_Toc20823282"/>
      <w:r>
        <w:rPr>
          <w:rFonts w:hint="eastAsia" w:ascii="宋体" w:hAnsi="宋体" w:eastAsia="宋体" w:cs="宋体"/>
          <w:color w:val="000000"/>
          <w:sz w:val="24"/>
          <w:szCs w:val="24"/>
          <w:highlight w:val="none"/>
        </w:rPr>
        <w:t xml:space="preserve">6、招标文件构成</w:t>
      </w:r>
      <w:bookmarkEnd w:id="60"/>
      <w:r/>
      <w:bookmarkEnd w:id="61"/>
      <w:r/>
      <w:bookmarkEnd w:id="62"/>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联系解决。</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16938527"/>
      <w:r/>
      <w:bookmarkStart w:id="64" w:name="_Toc20823283"/>
      <w:r/>
      <w:bookmarkStart w:id="65" w:name="_Toc462564070"/>
      <w:r/>
      <w:bookmarkStart w:id="66" w:name="_Toc513029211"/>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7" w:name="_Toc20823284"/>
      <w:r/>
      <w:bookmarkStart w:id="68" w:name="_Toc513029212"/>
      <w:r/>
      <w:bookmarkStart w:id="69" w:name="_Toc16938528"/>
      <w:r/>
      <w:bookmarkStart w:id="70" w:name="_Toc462564071"/>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1" w:name="_Toc120614216"/>
      <w:r/>
      <w:bookmarkStart w:id="72" w:name="_Toc462564072"/>
      <w:r/>
      <w:bookmarkStart w:id="73" w:name="_Toc20823285"/>
      <w:r/>
      <w:bookmarkStart w:id="74" w:name="_Toc16938529"/>
      <w:r/>
      <w:bookmarkStart w:id="75" w:name="_Toc513029213"/>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6" w:name="_Toc16938530"/>
      <w:r/>
      <w:bookmarkStart w:id="77" w:name="_Toc462564073"/>
      <w:r/>
      <w:bookmarkStart w:id="78" w:name="_Toc513029214"/>
      <w:r/>
      <w:bookmarkStart w:id="79" w:name="_Toc20823286"/>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0" w:name="_Toc16938531"/>
      <w:r/>
      <w:bookmarkStart w:id="81" w:name="_Toc513029215"/>
      <w:r/>
      <w:bookmarkStart w:id="82" w:name="_Toc20823287"/>
      <w:r/>
      <w:bookmarkStart w:id="83" w:name="_Toc462564074"/>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4" w:name="_Toc14577354"/>
      <w:r/>
      <w:bookmarkStart w:id="85" w:name="_Toc49090507"/>
      <w:r/>
      <w:bookmarkStart w:id="86" w:name="_Toc513029219"/>
      <w:r/>
      <w:bookmarkStart w:id="87" w:name="_Toc14577357"/>
      <w:r/>
      <w:bookmarkStart w:id="88" w:name="_Toc513029216"/>
      <w:r/>
      <w:bookmarkStart w:id="89" w:name="_Toc49090509"/>
      <w:r/>
      <w:bookmarkStart w:id="90" w:name="_Hlt26670360"/>
      <w:r/>
      <w:bookmarkStart w:id="91" w:name="_Hlt26668975"/>
      <w:r/>
      <w:bookmarkStart w:id="92" w:name="_Hlt26954838"/>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93" w:name="_Toc49090508"/>
      <w:r/>
      <w:bookmarkStart w:id="94"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3"/>
      <w:r/>
      <w:bookmarkEnd w:id="94"/>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5" w:name="_Hlt26670373"/>
      <w:r>
        <w:rPr>
          <w:rFonts w:hint="eastAsia" w:ascii="宋体" w:hAnsi="宋体" w:eastAsia="宋体" w:cs="宋体"/>
          <w:color w:val="000000"/>
          <w:sz w:val="24"/>
          <w:szCs w:val="24"/>
          <w:highlight w:val="none"/>
        </w:rPr>
        <w:t xml:space="preserve">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6" w:name="_Hlt26954840"/>
      <w:r>
        <w:rPr>
          <w:rFonts w:hint="eastAsia" w:ascii="宋体" w:hAnsi="宋体" w:eastAsia="宋体" w:cs="宋体"/>
          <w:color w:val="000000"/>
          <w:sz w:val="24"/>
          <w:szCs w:val="24"/>
          <w:highlight w:val="none"/>
        </w:rPr>
        <w:t xml:space="preserve">标人应按照招标文件规定格式填报投标分项报价表</w:t>
      </w:r>
      <w:bookmarkStart w:id="97" w:name="_Hlt26670399"/>
      <w:r>
        <w:rPr>
          <w:rFonts w:hint="eastAsia" w:ascii="宋体" w:hAnsi="宋体" w:eastAsia="宋体" w:cs="宋体"/>
          <w:color w:val="000000"/>
          <w:sz w:val="24"/>
          <w:szCs w:val="24"/>
          <w:highlight w:val="none"/>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8" w:name="_Hlt26670425"/>
      <w:r/>
      <w:bookmarkStart w:id="99" w:name="_Hlt26670482"/>
      <w:r/>
      <w:bookmarkStart w:id="100" w:name="_Hlt26954848"/>
      <w:r/>
      <w:bookmarkStart w:id="101" w:name="_Hlt26954844"/>
      <w:r/>
      <w:bookmarkStart w:id="102" w:name="_Hlt26668983"/>
      <w:r/>
      <w:bookmarkStart w:id="103" w:name="_Hlt26954846"/>
      <w:r/>
      <w:bookmarkStart w:id="104" w:name="_Hlt26670486"/>
      <w:r/>
      <w:bookmarkStart w:id="105" w:name="_Hlt26670403"/>
      <w:r/>
      <w:bookmarkStart w:id="106" w:name="_Hlt26954731"/>
      <w:r/>
      <w:bookmarkStart w:id="107" w:name="_Hlt26954842"/>
      <w:r>
        <w:rPr>
          <w:rFonts w:hint="eastAsia" w:ascii="宋体" w:hAnsi="宋体" w:eastAsia="宋体" w:cs="宋体"/>
          <w:color w:val="000000"/>
          <w:sz w:val="24"/>
          <w:szCs w:val="24"/>
          <w:highlight w:val="none"/>
        </w:rPr>
        <w:t xml:space="preserve">13、技术要求响应及偏离表、商务要求响应及偏离表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85"/>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8" w:name="_Toc49090510"/>
      <w:r/>
      <w:bookmarkStart w:id="109" w:name="_Toc14577359"/>
      <w:r>
        <w:rPr>
          <w:rFonts w:hint="eastAsia" w:ascii="宋体" w:hAnsi="宋体" w:eastAsia="宋体" w:cs="宋体"/>
          <w:color w:val="000000"/>
          <w:sz w:val="24"/>
          <w:szCs w:val="24"/>
          <w:highlight w:val="none"/>
        </w:rPr>
        <w:t xml:space="preserve">14、投标函和开标一览表</w:t>
      </w:r>
      <w:bookmarkEnd w:id="108"/>
      <w:r/>
      <w:bookmarkEnd w:id="10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0" w:name="_Toc14577360"/>
      <w:r/>
      <w:bookmarkStart w:id="111" w:name="_Toc49090511"/>
      <w:r/>
      <w:bookmarkStart w:id="112" w:name="_Hlt26954734"/>
      <w:r/>
      <w:bookmarkStart w:id="113" w:name="_Hlt26954850"/>
      <w:r/>
      <w:bookmarkStart w:id="114" w:name="_Hlt26670489"/>
      <w:r>
        <w:rPr>
          <w:rFonts w:hint="eastAsia" w:ascii="宋体" w:hAnsi="宋体" w:eastAsia="宋体" w:cs="宋体"/>
          <w:color w:val="000000"/>
          <w:sz w:val="24"/>
          <w:szCs w:val="24"/>
          <w:highlight w:val="none"/>
        </w:rPr>
        <w:t xml:space="preserve">15、投标有效期</w:t>
      </w:r>
      <w:bookmarkEnd w:id="110"/>
      <w:r/>
      <w:bookmarkEnd w:id="111"/>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5" w:name="_Toc16938540"/>
      <w:r/>
      <w:bookmarkStart w:id="116" w:name="_Toc513029224"/>
      <w:r/>
      <w:bookmarkStart w:id="117" w:name="_Toc120614217"/>
      <w:r/>
      <w:bookmarkStart w:id="118" w:name="_Toc20823296"/>
      <w:r/>
      <w:bookmarkStart w:id="119" w:name="_Hlt26954739"/>
      <w:r/>
      <w:bookmarkStart w:id="120" w:name="_Hlt26954852"/>
      <w:r>
        <w:rPr>
          <w:rFonts w:hint="eastAsia" w:ascii="宋体" w:hAnsi="宋体" w:eastAsia="宋体" w:cs="宋体"/>
          <w:b/>
          <w:color w:val="000000"/>
          <w:sz w:val="24"/>
          <w:szCs w:val="24"/>
          <w:highlight w:val="none"/>
        </w:rPr>
        <w:t xml:space="preserve">四、投标文件的递交</w:t>
      </w:r>
      <w:bookmarkEnd w:id="115"/>
      <w:r/>
      <w:bookmarkEnd w:id="116"/>
      <w:r/>
      <w:bookmarkEnd w:id="117"/>
      <w:r/>
      <w:bookmarkEnd w:id="118"/>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1" w:name="_Toc16938541"/>
      <w:r/>
      <w:bookmarkStart w:id="122" w:name="_Toc20823297"/>
      <w:r/>
      <w:bookmarkStart w:id="123" w:name="_Toc513029225"/>
      <w:r/>
      <w:bookmarkStart w:id="124" w:name="_Toc462564084"/>
      <w:r>
        <w:rPr>
          <w:rFonts w:hint="eastAsia" w:ascii="宋体" w:hAnsi="宋体" w:eastAsia="宋体" w:cs="宋体"/>
          <w:color w:val="000000"/>
          <w:sz w:val="24"/>
          <w:szCs w:val="24"/>
          <w:highlight w:val="none"/>
        </w:rPr>
        <w:t xml:space="preserve">17、投标文件</w:t>
      </w:r>
      <w:bookmarkEnd w:id="121"/>
      <w:r/>
      <w:bookmarkEnd w:id="122"/>
      <w:r/>
      <w:bookmarkEnd w:id="123"/>
      <w:r/>
      <w:bookmarkEnd w:id="124"/>
      <w:r>
        <w:rPr>
          <w:rFonts w:hint="eastAsia" w:ascii="宋体" w:hAnsi="宋体" w:eastAsia="宋体" w:cs="宋体"/>
          <w:color w:val="000000"/>
          <w:sz w:val="24"/>
          <w:szCs w:val="24"/>
          <w:highlight w:val="none"/>
        </w:rPr>
        <w:t xml:space="preserve">的递交</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8" w:name="_Toc513029227"/>
      <w:r/>
      <w:bookmarkStart w:id="129" w:name="_Toc20823299"/>
      <w:r/>
      <w:bookmarkStart w:id="130" w:name="_Toc16938543"/>
      <w:r>
        <w:rPr>
          <w:rFonts w:hint="eastAsia" w:ascii="宋体" w:hAnsi="宋体" w:eastAsia="宋体" w:cs="宋体"/>
          <w:color w:val="000000"/>
          <w:sz w:val="24"/>
          <w:szCs w:val="24"/>
          <w:highlight w:val="none"/>
        </w:rPr>
        <w:t xml:space="preserve">19、投标文件</w:t>
      </w:r>
      <w:bookmarkEnd w:id="128"/>
      <w:r/>
      <w:bookmarkEnd w:id="129"/>
      <w:r/>
      <w:bookmarkEnd w:id="130"/>
      <w:r>
        <w:rPr>
          <w:rFonts w:hint="eastAsia" w:ascii="宋体" w:hAnsi="宋体" w:eastAsia="宋体" w:cs="宋体"/>
          <w:color w:val="000000"/>
          <w:sz w:val="24"/>
          <w:szCs w:val="24"/>
          <w:highlight w:val="none"/>
        </w:rPr>
        <w:t xml:space="preserve">的拒收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513029228"/>
      <w:r/>
      <w:bookmarkStart w:id="132" w:name="_Toc20823300"/>
      <w:r/>
      <w:bookmarkStart w:id="133" w:name="_Toc16938544"/>
      <w:r>
        <w:rPr>
          <w:rFonts w:hint="eastAsia" w:ascii="宋体" w:hAnsi="宋体" w:eastAsia="宋体" w:cs="宋体"/>
          <w:color w:val="000000"/>
          <w:sz w:val="24"/>
          <w:szCs w:val="24"/>
          <w:highlight w:val="none"/>
        </w:rPr>
        <w:t xml:space="preserve">20、投标文件的撤回和修改</w:t>
      </w:r>
      <w:bookmarkEnd w:id="131"/>
      <w:r/>
      <w:bookmarkEnd w:id="132"/>
      <w:r/>
      <w:bookmarkEnd w:id="133"/>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4" w:name="_Toc20823301"/>
      <w:r/>
      <w:bookmarkStart w:id="135" w:name="_Toc16938545"/>
      <w:r/>
      <w:bookmarkStart w:id="136" w:name="_Toc513029229"/>
      <w:r/>
      <w:bookmarkStart w:id="137" w:name="_Toc120614218"/>
      <w:r>
        <w:rPr>
          <w:rFonts w:hint="eastAsia" w:ascii="宋体" w:hAnsi="宋体" w:eastAsia="宋体" w:cs="宋体"/>
          <w:b/>
          <w:color w:val="000000"/>
          <w:sz w:val="24"/>
          <w:szCs w:val="24"/>
          <w:highlight w:val="none"/>
        </w:rPr>
        <w:t xml:space="preserve">五、开标与评标</w:t>
      </w:r>
      <w:bookmarkEnd w:id="134"/>
      <w:r/>
      <w:bookmarkEnd w:id="135"/>
      <w:r/>
      <w:bookmarkEnd w:id="136"/>
      <w:r/>
      <w:bookmarkEnd w:id="137"/>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8" w:name="_Toc16938546"/>
      <w:r/>
      <w:bookmarkStart w:id="139" w:name="_Toc513029230"/>
      <w:r/>
      <w:bookmarkStart w:id="140" w:name="_Toc20823302"/>
      <w:r>
        <w:rPr>
          <w:rFonts w:hint="eastAsia" w:ascii="宋体" w:hAnsi="宋体" w:eastAsia="宋体" w:cs="宋体"/>
          <w:color w:val="auto"/>
          <w:sz w:val="24"/>
          <w:szCs w:val="24"/>
          <w:highlight w:val="none"/>
        </w:rPr>
        <w:t xml:space="preserve">21、开标</w:t>
      </w:r>
      <w:bookmarkEnd w:id="138"/>
      <w:r/>
      <w:bookmarkEnd w:id="139"/>
      <w:r/>
      <w:bookmarkEnd w:id="140"/>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513029231"/>
      <w:r/>
      <w:bookmarkStart w:id="142" w:name="_Toc16938547"/>
      <w:r/>
      <w:bookmarkStart w:id="143" w:name="_Toc20823303"/>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4" w:name="_Toc16938548"/>
      <w:r/>
      <w:bookmarkStart w:id="145" w:name="_Toc513029232"/>
      <w:r/>
      <w:bookmarkStart w:id="146" w:name="_Toc20823304"/>
      <w:r>
        <w:rPr>
          <w:rFonts w:hint="eastAsia" w:ascii="宋体" w:hAnsi="宋体" w:eastAsia="宋体" w:cs="宋体"/>
          <w:color w:val="000000"/>
          <w:sz w:val="24"/>
          <w:szCs w:val="24"/>
          <w:highlight w:val="none"/>
        </w:rPr>
        <w:t xml:space="preserve">24、投标文件的澄清</w:t>
      </w:r>
      <w:bookmarkEnd w:id="144"/>
      <w:r/>
      <w:bookmarkEnd w:id="145"/>
      <w:r/>
      <w:bookmarkEnd w:id="146"/>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7" w:name="_Toc16938549"/>
      <w:r/>
      <w:bookmarkStart w:id="148" w:name="_Toc20823305"/>
      <w:r/>
      <w:bookmarkStart w:id="149" w:name="_Toc513029233"/>
      <w:r>
        <w:rPr>
          <w:rFonts w:hint="eastAsia" w:ascii="宋体" w:hAnsi="宋体" w:eastAsia="宋体" w:cs="宋体"/>
          <w:color w:val="000000"/>
          <w:sz w:val="24"/>
          <w:szCs w:val="24"/>
          <w:highlight w:val="none"/>
        </w:rPr>
        <w:t xml:space="preserve">25、对投标文件的初审</w:t>
      </w:r>
      <w:bookmarkEnd w:id="147"/>
      <w:r/>
      <w:bookmarkEnd w:id="148"/>
      <w:r/>
      <w:bookmarkEnd w:id="14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513029234"/>
      <w:r/>
      <w:bookmarkStart w:id="151" w:name="_Toc16938550"/>
      <w:r/>
      <w:bookmarkStart w:id="152"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1"/>
      <w:r/>
      <w:bookmarkStart w:id="154" w:name="_Toc513029235"/>
      <w:r/>
      <w:bookmarkStart w:id="155" w:name="_Toc20823307"/>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85"/>
        <w:ind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6" w:name="_Toc120614219"/>
      <w:r>
        <w:rPr>
          <w:rFonts w:hint="eastAsia" w:ascii="宋体" w:hAnsi="宋体" w:eastAsia="宋体" w:cs="宋体"/>
          <w:b/>
          <w:color w:val="000000"/>
          <w:sz w:val="24"/>
          <w:szCs w:val="24"/>
          <w:highlight w:val="none"/>
        </w:rPr>
        <w:t xml:space="preserve">六、定标</w:t>
      </w:r>
      <w:bookmarkEnd w:id="156"/>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7" w:name="_Toc20823310"/>
      <w:r/>
      <w:bookmarkStart w:id="158" w:name="_Toc513029238"/>
      <w:r/>
      <w:bookmarkStart w:id="159" w:name="_Toc16938554"/>
      <w:r>
        <w:rPr>
          <w:rFonts w:hint="eastAsia" w:ascii="宋体" w:hAnsi="宋体" w:eastAsia="宋体" w:cs="宋体"/>
          <w:color w:val="000000"/>
          <w:sz w:val="24"/>
          <w:szCs w:val="24"/>
          <w:highlight w:val="none"/>
        </w:rPr>
        <w:t xml:space="preserve">27、</w:t>
      </w:r>
      <w:bookmarkEnd w:id="157"/>
      <w:r>
        <w:rPr>
          <w:rFonts w:hint="eastAsia" w:ascii="宋体" w:hAnsi="宋体" w:eastAsia="宋体" w:cs="宋体"/>
          <w:color w:val="000000"/>
          <w:sz w:val="24"/>
          <w:szCs w:val="24"/>
          <w:highlight w:val="none"/>
        </w:rPr>
        <w:t xml:space="preserve">确定</w:t>
      </w:r>
      <w:bookmarkEnd w:id="158"/>
      <w:r/>
      <w:bookmarkEnd w:id="159"/>
      <w:r>
        <w:rPr>
          <w:rFonts w:hint="eastAsia" w:ascii="宋体" w:hAnsi="宋体" w:eastAsia="宋体" w:cs="宋体"/>
          <w:color w:val="000000"/>
          <w:sz w:val="24"/>
          <w:szCs w:val="24"/>
          <w:highlight w:val="none"/>
        </w:rPr>
        <w:t xml:space="preserve">中标单位</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60" w:name="_Toc200451960"/>
      <w:r>
        <w:rPr>
          <w:rFonts w:hint="eastAsia" w:ascii="宋体" w:hAnsi="宋体" w:eastAsia="宋体" w:cs="宋体"/>
          <w:color w:val="000000"/>
          <w:sz w:val="24"/>
          <w:szCs w:val="24"/>
          <w:highlight w:val="none"/>
        </w:rPr>
        <w:t xml:space="preserve">27.5 有下列情形之一的，视为投标人串通投标，投标无效：</w:t>
      </w:r>
      <w:bookmarkEnd w:id="160"/>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采购人只接收以纸质原件形式送达的质疑,采购人不接受未填写快递运单的快件。联系地址：盐城市新龙广场6号楼20楼，联系电话：13770006249。</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85"/>
        <w:ind w:left="0"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1" w:name="_Toc513029236"/>
      <w:r/>
      <w:bookmarkStart w:id="162" w:name="_Toc120614220"/>
      <w:r/>
      <w:bookmarkStart w:id="163" w:name="_Toc16938552"/>
      <w:r/>
      <w:bookmarkStart w:id="164" w:name="_Toc20823308"/>
      <w:r>
        <w:rPr>
          <w:rFonts w:hint="eastAsia" w:ascii="宋体" w:hAnsi="宋体" w:eastAsia="宋体" w:cs="宋体"/>
          <w:b/>
          <w:color w:val="000000"/>
          <w:sz w:val="24"/>
          <w:szCs w:val="24"/>
          <w:highlight w:val="none"/>
        </w:rPr>
        <w:t xml:space="preserve">七、授予合同</w:t>
      </w:r>
      <w:bookmarkEnd w:id="161"/>
      <w:r/>
      <w:bookmarkEnd w:id="162"/>
      <w:r/>
      <w:bookmarkEnd w:id="163"/>
      <w:r/>
      <w:bookmarkEnd w:id="164"/>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5" w:name="_Toc513029237"/>
      <w:r/>
      <w:bookmarkStart w:id="166" w:name="_Toc16938553"/>
      <w:r/>
      <w:bookmarkStart w:id="167" w:name="_Toc20823309"/>
      <w:r>
        <w:rPr>
          <w:rFonts w:hint="eastAsia" w:ascii="宋体" w:hAnsi="宋体" w:eastAsia="宋体" w:cs="宋体"/>
          <w:color w:val="000000"/>
          <w:sz w:val="24"/>
          <w:szCs w:val="24"/>
          <w:highlight w:val="none"/>
        </w:rPr>
        <w:t xml:space="preserve">30.签订合同</w:t>
      </w:r>
      <w:bookmarkEnd w:id="165"/>
      <w:r/>
      <w:bookmarkEnd w:id="166"/>
      <w:r/>
      <w:bookmarkEnd w:id="167"/>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jc w:val="center"/>
        <w:spacing w:beforeAutospacing="0" w:afterAutospacing="0"/>
        <w:rPr>
          <w:rFonts w:hint="eastAsia" w:ascii="宋体" w:hAnsi="宋体" w:eastAsia="宋体" w:cs="宋体"/>
          <w:b/>
          <w:bCs/>
          <w:sz w:val="36"/>
          <w:szCs w:val="36"/>
          <w:highlight w:val="none"/>
        </w:rPr>
      </w:pPr>
      <w:r>
        <w:rPr>
          <w:rFonts w:hint="eastAsia" w:ascii="宋体" w:hAnsi="宋体" w:eastAsia="宋体" w:cs="宋体"/>
          <w:b/>
          <w:bCs/>
          <w:color w:val="000000"/>
          <w:sz w:val="36"/>
          <w:szCs w:val="36"/>
          <w:highlight w:val="none"/>
        </w:rPr>
        <w:t xml:space="preserve">第三章  合同文本</w:t>
      </w:r>
      <w:r/>
    </w:p>
    <w:p>
      <w:pPr>
        <w:pStyle w:val="685"/>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bookmarkStart w:id="168" w:name="_Toc20823315"/>
      <w:r/>
      <w:bookmarkStart w:id="169" w:name="_Toc16938559"/>
      <w:r/>
      <w:bookmarkStart w:id="170"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8"/>
      <w:r/>
      <w:bookmarkEnd w:id="169"/>
      <w:r/>
      <w:bookmarkEnd w:id="170"/>
      <w:r/>
      <w:r/>
    </w:p>
    <w:p>
      <w:pPr>
        <w:pStyle w:val="685"/>
        <w:jc w:val="center"/>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color w:val="000000"/>
          <w:sz w:val="24"/>
          <w:szCs w:val="24"/>
          <w:highlight w:val="none"/>
        </w:rPr>
        <w:t xml:space="preserve">盐城市政府采购合同（服务）</w:t>
      </w:r>
      <w:r/>
    </w:p>
    <w:p>
      <w:pPr>
        <w:keepLines w:val="0"/>
        <w:keepNext w:val="0"/>
        <w:pageBreakBefore w:val="0"/>
        <w:spacing w:line="360" w:lineRule="auto"/>
        <w:rPr>
          <w:rFonts w:ascii="宋体" w:hAnsi="宋体" w:eastAsia="宋体" w:cs="Times New Roman"/>
          <w:color w:val="auto"/>
          <w:sz w:val="24"/>
          <w:szCs w:val="21"/>
          <w:highlight w:val="none"/>
        </w:rPr>
      </w:pPr>
      <w:r/>
      <w:bookmarkStart w:id="171" w:name="_Toc479757211"/>
      <w:r/>
      <w:bookmarkStart w:id="172" w:name="_Toc20823346"/>
      <w:r/>
      <w:bookmarkStart w:id="173" w:name="_Toc120614244"/>
      <w:r/>
      <w:bookmarkStart w:id="174" w:name="_Hlt16619350"/>
      <w:r/>
      <w:bookmarkStart w:id="175" w:name="_Toc462564139"/>
      <w:r/>
      <w:bookmarkStart w:id="176" w:name="_Toc16938590"/>
      <w:r/>
      <w:bookmarkStart w:id="177" w:name="_Hlt16619369"/>
      <w:r>
        <w:rPr>
          <w:rFonts w:hint="eastAsia" w:ascii="宋体" w:hAnsi="宋体" w:eastAsia="宋体" w:cs="Times New Roman"/>
          <w:color w:val="auto"/>
          <w:sz w:val="24"/>
          <w:szCs w:val="21"/>
          <w:highlight w:val="none"/>
        </w:rPr>
        <w:t xml:space="preserve">采购人（全称）：</w:t>
      </w:r>
      <w:r>
        <w:rPr>
          <w:rFonts w:hint="eastAsia" w:ascii="宋体" w:hAnsi="宋体" w:eastAsia="宋体" w:cs="Times New Roman"/>
          <w:color w:val="auto"/>
          <w:sz w:val="24"/>
          <w:szCs w:val="21"/>
          <w:highlight w:val="none"/>
          <w:u w:val="single"/>
          <w:lang w:eastAsia="zh-CN"/>
        </w:rPr>
        <w:t xml:space="preserve">江苏省盐南高新技术产业开发区住房建设和城市管理局</w:t>
      </w:r>
      <w:r>
        <w:rPr>
          <w:rFonts w:hint="eastAsia" w:ascii="宋体" w:hAnsi="宋体" w:eastAsia="宋体" w:cs="Times New Roman"/>
          <w:color w:val="auto"/>
          <w:sz w:val="24"/>
          <w:szCs w:val="21"/>
          <w:highlight w:val="none"/>
        </w:rPr>
        <w:t xml:space="preserve">（以下简称甲方）</w:t>
      </w:r>
      <w:r/>
    </w:p>
    <w:p>
      <w:pPr>
        <w:keepLines w:val="0"/>
        <w:keepNext w:val="0"/>
        <w:pageBreakBefore w:val="0"/>
        <w:spacing w:line="360" w:lineRule="auto"/>
        <w:rPr>
          <w:rFonts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中标人（全称）：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（以下简称乙方）</w:t>
      </w:r>
      <w:r/>
    </w:p>
    <w:p>
      <w:pPr>
        <w:ind w:firstLine="480"/>
        <w:jc w:val="both"/>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依照《中华人民共和国政府采购法》《中华人民共和国民法典》及其他相关法律法规，遵循平等、自愿、公平和诚实信用原则，双方就</w:t>
      </w:r>
      <w:r>
        <w:rPr>
          <w:rFonts w:hint="eastAsia" w:ascii="宋体" w:hAnsi="宋体" w:eastAsia="宋体" w:cs="Times New Roman"/>
          <w:color w:val="auto"/>
          <w:sz w:val="24"/>
          <w:szCs w:val="24"/>
          <w:highlight w:val="none"/>
          <w:u w:val="single"/>
          <w:lang w:val="en-US" w:eastAsia="zh-CN" w:bidi="ar-SA"/>
        </w:rPr>
        <w:t xml:space="preserve">盐南高新区农村公路、铁路沿线养护服务</w:t>
      </w:r>
      <w:r>
        <w:rPr>
          <w:rFonts w:hint="eastAsia" w:ascii="宋体" w:hAnsi="宋体" w:eastAsia="宋体" w:cs="Times New Roman"/>
          <w:color w:val="auto"/>
          <w:sz w:val="24"/>
          <w:szCs w:val="24"/>
          <w:highlight w:val="none"/>
          <w:lang w:val="en-US" w:eastAsia="zh-CN" w:bidi="ar-SA"/>
        </w:rPr>
        <w:t xml:space="preserve">相关事项协商一致，达成如下合同条款：</w:t>
      </w:r>
      <w:r/>
    </w:p>
    <w:p>
      <w:pPr>
        <w:ind w:firstLine="482"/>
        <w:keepLines w:val="0"/>
        <w:keepNext w:val="0"/>
        <w:pageBreakBefore w:val="0"/>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一、合同标的</w:t>
      </w:r>
      <w:r/>
    </w:p>
    <w:p>
      <w:pPr>
        <w:ind w:firstLine="480"/>
        <w:jc w:val="both"/>
        <w:keepLines w:val="0"/>
        <w:keepNext w:val="0"/>
        <w:pageBreakBefore w:val="0"/>
        <w:spacing w:line="360" w:lineRule="auto"/>
        <w:widowControl w:val="off"/>
        <w:rPr>
          <w:rFonts w:ascii="宋体" w:hAnsi="宋体" w:eastAsia="宋体" w:cs="Courier New"/>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Courier New"/>
          <w:color w:val="auto"/>
          <w:sz w:val="24"/>
          <w:szCs w:val="24"/>
          <w:highlight w:val="none"/>
          <w:lang w:val="en-US" w:eastAsia="zh-CN" w:bidi="ar-SA"/>
        </w:rPr>
        <w:t xml:space="preserve">、本合同金额为：人民币（大写</w:t>
      </w:r>
      <w:r>
        <w:rPr>
          <w:rFonts w:hint="eastAsia" w:ascii="宋体" w:hAnsi="宋体" w:eastAsia="宋体" w:cs="Courier New"/>
          <w:color w:val="auto"/>
          <w:sz w:val="24"/>
          <w:szCs w:val="24"/>
          <w:highlight w:val="none"/>
          <w:u w:val="single"/>
          <w:lang w:val="en-US" w:eastAsia="zh-CN" w:bidi="ar-SA"/>
        </w:rPr>
        <w:t xml:space="preserve">              </w:t>
      </w:r>
      <w:r>
        <w:rPr>
          <w:rFonts w:hint="eastAsia" w:ascii="宋体" w:hAnsi="宋体" w:eastAsia="宋体" w:cs="Courier New"/>
          <w:color w:val="auto"/>
          <w:sz w:val="24"/>
          <w:szCs w:val="24"/>
          <w:highlight w:val="none"/>
          <w:lang w:val="en-US" w:eastAsia="zh-CN" w:bidi="ar-SA"/>
        </w:rPr>
        <w:t xml:space="preserve">）元</w:t>
      </w:r>
      <w:r>
        <w:rPr>
          <w:rFonts w:hint="eastAsia" w:ascii="新宋体" w:hAnsi="新宋体" w:eastAsia="新宋体" w:cs="Courier New"/>
          <w:color w:val="auto"/>
          <w:sz w:val="24"/>
          <w:szCs w:val="21"/>
          <w:highlight w:val="none"/>
          <w:lang w:val="en-US" w:eastAsia="zh-CN" w:bidi="ar-SA"/>
        </w:rPr>
        <w:t xml:space="preserve">（￥</w:t>
      </w:r>
      <w:r>
        <w:rPr>
          <w:rFonts w:hint="eastAsia" w:ascii="新宋体" w:hAnsi="新宋体" w:eastAsia="新宋体" w:cs="Courier New"/>
          <w:color w:val="auto"/>
          <w:sz w:val="24"/>
          <w:szCs w:val="21"/>
          <w:highlight w:val="none"/>
          <w:u w:val="single"/>
          <w:lang w:val="en-US" w:eastAsia="zh-CN" w:bidi="ar-SA"/>
        </w:rPr>
        <w:t xml:space="preserve">              </w:t>
      </w:r>
      <w:r>
        <w:rPr>
          <w:rFonts w:hint="eastAsia" w:ascii="新宋体" w:hAnsi="新宋体" w:eastAsia="新宋体" w:cs="Courier New"/>
          <w:color w:val="auto"/>
          <w:sz w:val="24"/>
          <w:szCs w:val="21"/>
          <w:highlight w:val="none"/>
          <w:lang w:val="en-US" w:eastAsia="zh-CN" w:bidi="ar-SA"/>
        </w:rPr>
        <w:t xml:space="preserve">元/年）</w:t>
      </w:r>
      <w:r>
        <w:rPr>
          <w:rFonts w:hint="eastAsia" w:ascii="宋体" w:hAnsi="宋体" w:eastAsia="宋体" w:cs="Courier New"/>
          <w:color w:val="auto"/>
          <w:sz w:val="24"/>
          <w:szCs w:val="24"/>
          <w:highlight w:val="none"/>
          <w:lang w:val="en-US" w:eastAsia="zh-CN" w:bidi="ar-SA"/>
        </w:rPr>
        <w:t xml:space="preserve">。</w:t>
      </w:r>
      <w:r/>
    </w:p>
    <w:p>
      <w:pPr>
        <w:pStyle w:val="685"/>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.1乙方交纳人民币_________元作为本合同的履约保证金。</w:t>
      </w:r>
      <w:r/>
    </w:p>
    <w:p>
      <w:pPr>
        <w:pStyle w:val="685"/>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8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8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8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如以履约保函（保险）形式缴纳履约保证金，供应商可通过政府采购电子履约保函（保险）平台（www.jsdzbh.com）在线申请履约保函（保险）。</w:t>
      </w:r>
      <w:r/>
    </w:p>
    <w:p>
      <w:pPr>
        <w:pStyle w:val="68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暂定三年，合同一年一签，续签最多两次。服务期终止时，甲方选聘了新的服务企业的，乙方与新的服务企业之间应当做好交接工作。续签时甲方组织综合考评组对服务情况进行考评，考核合格后方可续签，考核不合格，甲方有权终止合同。</w:t>
      </w:r>
      <w:r/>
    </w:p>
    <w:p>
      <w:pPr>
        <w:ind w:firstLine="482"/>
        <w:keepLines w:val="0"/>
        <w:keepNext w:val="0"/>
        <w:pageBreakBefore w:val="0"/>
        <w:spacing w:line="360" w:lineRule="auto"/>
        <w:widowControl/>
        <w:rPr>
          <w:rFonts w:hint="eastAsia" w:ascii="宋体" w:hAnsi="宋体" w:eastAsia="宋体" w:cs="Times New Roman"/>
          <w:b/>
          <w:color w:val="auto"/>
          <w:sz w:val="24"/>
          <w:szCs w:val="24"/>
          <w:highlight w:val="none"/>
        </w:rPr>
      </w:pPr>
      <w:r>
        <w:rPr>
          <w:rFonts w:hint="eastAsia" w:ascii="宋体" w:hAnsi="宋体" w:eastAsia="宋体" w:cs="宋体"/>
          <w:b/>
          <w:color w:val="auto"/>
          <w:sz w:val="24"/>
          <w:szCs w:val="24"/>
          <w:highlight w:val="none"/>
        </w:rPr>
        <w:t xml:space="preserve">二、付款方式</w:t>
      </w:r>
      <w:r>
        <w:rPr>
          <w:rFonts w:hint="eastAsia" w:ascii="宋体" w:hAnsi="宋体" w:eastAsia="宋体" w:cs="Times New Roman"/>
          <w:b/>
          <w:bCs/>
          <w:color w:val="auto"/>
          <w:sz w:val="24"/>
          <w:szCs w:val="24"/>
          <w:highlight w:val="none"/>
        </w:rPr>
        <w:t xml:space="preserve">及</w:t>
      </w:r>
      <w:r>
        <w:rPr>
          <w:rFonts w:hint="eastAsia" w:ascii="宋体" w:hAnsi="宋体" w:eastAsia="宋体" w:cs="Times New Roman"/>
          <w:b/>
          <w:color w:val="auto"/>
          <w:sz w:val="24"/>
          <w:szCs w:val="24"/>
          <w:highlight w:val="none"/>
        </w:rPr>
        <w:t xml:space="preserve">结算方式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1、本项目价款一律实行专款专用，打入公司基本账户。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（1）签订合同前双方约定开票方式，承包人必须按发包人要求的方式足额纳税</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（2）项目付款前提供符合发包人要求的发票，税率按国家规定；</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付款方式：合同签订后乙方向甲方申请预付款合同金额的30%，剩余费用按每季度维护工程结束验收合格后付至已维护费用的80%，一审计结束后付至已维护费用审定价的85%，二审计结束后付至已维护费用审定价的97%,质保期满一次性结清。</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注：（1）按以上付款，无任何银行利息，一律通过银行结转。</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（2）上述维护具体的工作量确定由维护单位、跟踪审计（由建设单位确定）、监理、采购人确认后，方可付款。</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2、结算方式</w:t>
      </w:r>
      <w:r/>
    </w:p>
    <w:p>
      <w:pPr>
        <w:ind w:firstLine="480"/>
        <w:keepLines w:val="0"/>
        <w:keepNext w:val="0"/>
        <w:pageBreakBefore w:val="0"/>
        <w:spacing w:line="360" w:lineRule="auto"/>
        <w:widowControl w:val="off"/>
        <w:tabs>
          <w:tab w:val="left" w:pos="632" w:leader="none"/>
          <w:tab w:val="left" w:pos="2828" w:leader="none"/>
        </w:tabs>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2.1 本项目采用“固定单价”合同，合同实施过程中中标单价</w:t>
      </w:r>
      <w:r>
        <w:rPr>
          <w:rFonts w:hint="eastAsia" w:ascii="宋体" w:hAnsi="宋体" w:eastAsia="宋体" w:cs="Times New Roman"/>
          <w:bCs/>
          <w:color w:val="auto"/>
          <w:sz w:val="24"/>
          <w:szCs w:val="24"/>
          <w:highlight w:val="none"/>
        </w:rPr>
        <w:t xml:space="preserve">一律不予调整</w:t>
      </w:r>
      <w:r>
        <w:rPr>
          <w:rFonts w:hint="eastAsia" w:ascii="宋体" w:hAnsi="宋体" w:eastAsia="宋体" w:cs="Times New Roman"/>
          <w:iCs/>
          <w:color w:val="auto"/>
          <w:sz w:val="24"/>
          <w:szCs w:val="24"/>
          <w:highlight w:val="none"/>
        </w:rPr>
        <w:t xml:space="preserve">（除招标人调整项目内容及合同约定可以调整外）。</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(一)合同价格形式</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1.固定单价合同。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综合单价包含的风险范围：按招标文件、合同相关约定执行。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风险费用的计算方法：按招标文件、合同相关约定执行。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风险范围以外合同价格的调整方法：按招标文件、合同相关约定执行。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(二)本工程采用“固定单价”合同，合同实施过程中除招标文件和合同约定允许调整外，其余的综合单价不作调整。</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(三)工程结算方式为：</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1.1.承包人的结算价=中标价±招标文件及合同约定可以调整的价格±招标文件及合同约定的奖惩费用。其中招标文件及合同约定调整的价格包括以下（1）-（8）种情况：</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（1）因招标清单漏项或非承包人原因的工程变更，造成结算时增加新的工程量清单时，需根据我区相关会办制度研究同意后，以经济签证形式对变更事项予以确认。对应的综合单价按下列方法确定：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应综合单价按招标文件约定的计价程序并经发包人确认（套相应计价定额组价并按中标下浮率下浮）后进行结算。如无适用定额的（异地补充定额原则上不执行，结算时仅可参考）或定额套用严重偏离市场价的（真石漆、顶管、拉管、防水、涂料、门窗、外墙保温、环氧地坪、金刚砂、植筋、井点降水需询价确定，不套定额），则按市场询价后进行结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中标下浮率计算公式如下：</w:t>
      </w:r>
      <w:r/>
    </w:p>
    <w:p>
      <w:pPr>
        <w:ind w:firstLine="150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中标价（扣除预算价中暂列金额、暂估材料总价、</w:t>
      </w:r>
      <w:r/>
    </w:p>
    <w:p>
      <w:pPr>
        <w:ind w:firstLine="126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发包人供应材料总价及上述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项的</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专业工程暂估价）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下浮率=（1 - ―――――――――――――――――――――）×100% =   %</w:t>
      </w:r>
      <w:r/>
    </w:p>
    <w:p>
      <w:pPr>
        <w:ind w:firstLine="126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工程预算价（扣除预算价中暂列金额、暂估材料总价、</w:t>
      </w:r>
      <w:r/>
    </w:p>
    <w:p>
      <w:pPr>
        <w:ind w:firstLine="126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发包人供应材料总价及上述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项的</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专业工程暂估价）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注：上式中的暂估材料总价、发包人供应材料总价以招标人公布的数据为准（工程预算价中相应数据）。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部分项工程和措施项目中的单价项目依据经验收合格的工程量计算。在招标清单±15%以内的清单工程量，结算单价按中标单价执行。对超过±15%以外的清单工程量，根据我区相关会办制度研究同意后，最终以签证形式予以确认。其结算综合单价按下面 2 种情况确定：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A.因非承包人原因引起的工程变更、招标清单工程量计算有误</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承包人对设计图纸设计错误或设计不合理提出合理建议并经发包人确认的，当中标单价不存在不平衡报价时（不平衡分析办法参照《江苏省盐南高新区政府投资建设工程结算审计、询价定价等若干问题处理办法（试行）》（盐南高新办〔2022〕8 号），下同），增加/减少超过15%工程量按原中标单价执行；当中标单价存在不平衡报价时，按以下结算办法执行：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a.招标清单内工程量增加超过 15%时。结算价=招标量×1.15×中标单价+（实际量-招标量×1.15）×重新组价并执行中标下浮率后的单价。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b.招标清单内工程量减少超过 15%时。结算价=招标量×0.85×中标单价-（招标量×0.85-实际量）×重新组价并执行中标下浮率后的单价。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B.除上述 A 以外情况的， 因承包人原因引起的工程变更，按不利于承包人原则进行结算，即：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a.招标清单内工程量增加超过 15%时。结算价=招标量×1.15×中标单价+（实际量-招标量×1.15）×（重新组价并执行中标下浮率后的单价、中标单价、市场询价三者的低值）。</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b.招标清单内工程量减少超过 15%时。结算价=招标量×0.85×中标单价-（招标量×0.85-实际量）×（重新组价并执行中标下浮率后的单价、中标单价、市场询价三者的高值）。</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备注：以上 A 和 B 重新组价如无适用定额或定额套用严重偏离市场价的，则市场询价。同时为有效控制不平衡报价，规范招投标行为，不平衡报价可调增、调减甚至倒扣，但原则上不平衡分析总体不核增。投标人在投标报价时充分考虑以上因素。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（3）措施项目中的总价项目依据已标价工程量清单项目和金额计算；措施项目费发生调整的约定：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eastAsia="zh-CN"/>
        </w:rPr>
        <w:t xml:space="preserve">安全生产费，按相关文件精神计取。</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B.其余措施项目费用</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照“</w:t>
      </w:r>
      <w:r>
        <w:rPr>
          <w:rFonts w:hint="eastAsia" w:ascii="宋体" w:hAnsi="宋体" w:eastAsia="宋体" w:cs="宋体"/>
          <w:color w:val="auto"/>
          <w:sz w:val="24"/>
          <w:szCs w:val="24"/>
          <w:highlight w:val="none"/>
          <w:lang w:val="en-US" w:eastAsia="zh-CN"/>
        </w:rPr>
        <w:t xml:space="preserve">江苏省住建厅</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关于实施《建设工程工程量清单计价标准》（GB/T50500-2024）及9本工程量计算标准有关事宜的公告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精神结算。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设计变更造成的施工方案变更，引起措施项目发生变化时，按原招标措施费清单单价调整原设计方案与新设计方案措施费差值，如工程量偏差超过±15%，另按相关约定执行。因发包人原因设计变更造成的施工方案变更，造成措施费清单缺项的，按原设计方案和相应消耗量定额计算缺项清单的措施费用与新设计方案措施费的差值再按中标下浮率下浮。新设计方案组价涉及到的人工、材料和机械等均按基准单价（为合同工程基准期价格，基准期为投标截止日前28天，下同）执行。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因承包人自身原因造成的施工方案变更（该方案须经招标人、监理单位确认同意），引起措施项目发生变化时，按上述发包人原因变更的方法调整原设计方案与新设计方案措施费差值，且不核增。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（4）人工工资单价、材料价格及</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方面的约定：人工工资单价、材料价格均不调整，</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按下述约定调整。</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调整方法：按照合同约定的</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税率进行结算，因政策性</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税率调整时按文件规定执行。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（5）招标人签证使用的暂列金额、承包人实施的专业工程实际发包价。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（6）经发包人认可的《材料暂估价格表》（如有）中的材料价格调整。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（7）总承包服务费依据已标价工程量清单金额和相关约定计算；发生调整的，以发承包双方确认调整的金额计算。</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甲供材料、设备结算约定。甲供材料运送至施工现场指定地点并由承包人承担甲供材料的卸力费用。结算时甲供材料应按发包人采购材料的加权平均价格（含采购保管费）计入相应项目的综合单价中。承包人退还甲供材料价款时，应按甲供材料实际采购价格（含采购保管费）除以1.01，退给发包人（1%作为承包人的现场保管费）。领料量超出对应专业工程</w:t>
      </w:r>
      <w:r>
        <w:rPr>
          <w:rFonts w:hint="eastAsia" w:ascii="宋体" w:hAnsi="宋体" w:eastAsia="宋体" w:cs="宋体"/>
          <w:color w:val="auto"/>
          <w:sz w:val="24"/>
          <w:szCs w:val="24"/>
          <w:highlight w:val="none"/>
          <w:lang w:eastAsia="zh-CN"/>
        </w:rPr>
        <w:t xml:space="preserve">消耗量定额</w:t>
      </w:r>
      <w:r>
        <w:rPr>
          <w:rFonts w:hint="eastAsia" w:ascii="宋体" w:hAnsi="宋体" w:eastAsia="宋体" w:cs="宋体"/>
          <w:color w:val="auto"/>
          <w:sz w:val="24"/>
          <w:szCs w:val="24"/>
          <w:highlight w:val="none"/>
        </w:rPr>
        <w:t xml:space="preserve">损耗时，超出部分的甲供材料由承包人按照发包人采购材料的加权平均价格支付给发包人；领料量少于对应专业工程</w:t>
      </w:r>
      <w:r>
        <w:rPr>
          <w:rFonts w:hint="eastAsia" w:ascii="宋体" w:hAnsi="宋体" w:eastAsia="宋体" w:cs="宋体"/>
          <w:color w:val="auto"/>
          <w:sz w:val="24"/>
          <w:szCs w:val="24"/>
          <w:highlight w:val="none"/>
          <w:lang w:eastAsia="zh-CN"/>
        </w:rPr>
        <w:t xml:space="preserve">消耗量定额</w:t>
      </w:r>
      <w:r>
        <w:rPr>
          <w:rFonts w:hint="eastAsia" w:ascii="宋体" w:hAnsi="宋体" w:eastAsia="宋体" w:cs="宋体"/>
          <w:color w:val="auto"/>
          <w:sz w:val="24"/>
          <w:szCs w:val="24"/>
          <w:highlight w:val="none"/>
        </w:rPr>
        <w:t xml:space="preserve">损耗时，节余部分的甲供材料归发包人。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要求承包人自行对工程施工现场和周围环境进行踏勘，以充分了解工地位置、情况、道路、储存空间、装卸限制以及任何其他足以影响承包价的情况，任何因忽视或误解工地情况而导致的索赔或工期延长申请将不被批准。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3.本工程承包人须负责施工现场垃圾清运，承包人自身造成道路、桥梁、路牙、交通设施、市政绿化等损坏的，均由承包人负责及时修复至原状，上述费用承包人已在投标报价中充分考虑。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4.关于安全管理、配备、做法、处罚条款、文明施工、方案、相关费用、备案、围墙（</w:t>
      </w:r>
      <w:r>
        <w:rPr>
          <w:rFonts w:hint="eastAsia" w:ascii="宋体" w:hAnsi="宋体" w:eastAsia="宋体" w:cs="宋体"/>
          <w:color w:val="auto"/>
          <w:sz w:val="24"/>
          <w:szCs w:val="24"/>
          <w:highlight w:val="none"/>
          <w:lang w:eastAsia="zh-CN"/>
        </w:rPr>
        <w:t xml:space="preserve">挡</w:t>
      </w:r>
      <w:r>
        <w:rPr>
          <w:rFonts w:hint="eastAsia" w:ascii="宋体" w:hAnsi="宋体" w:eastAsia="宋体" w:cs="宋体"/>
          <w:color w:val="auto"/>
          <w:sz w:val="24"/>
          <w:szCs w:val="24"/>
          <w:highlight w:val="none"/>
        </w:rPr>
        <w:t xml:space="preserve">）施工、安全帽、措施等的要求（相关费用在投标报价综合考虑，发包人不再增加任何费用）：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（1）承包人提供给建设单位足够数量的红色安全帽，每顶安全帽按发包人要求印制专用 logo，费用承包人已在工程投标报价中考虑。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（2）施工前，承包单位自行到建设、城管、绿化等主管部门办理各类手续、缴纳押金和办理备案，费用等已含在工程投标报价内。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（3）承包人已自行勘察现场，本工程施工过程中遇到的一切施工矛盾、地方矛盾及由此发生的费用与招标人无涉，均由承包人自行负责，并已在投标报价中考虑。</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（4）本关于有关施工相应的费用计取要求：本工程各种方案评审费用、各种验收费用、产品考察费用、资料入档费用按相关规定确认承担方。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工程施工将对现有道路交通造成一定影响，承包人需在项目实施前自行将施工方案、交通分流方案及临时设施搭设方案等报相关部门审批，审批通过后方可施工，涉及到的一切费用（含交通保证金、交通疏导牌、道路桥梁限宽限高限载及其加固等费用）及相关手续办理均由承包人负责，费用承包人已在投标报价中充分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际施工与设计图纸不一致且无签证或设计变更时，增加部分原则上不予结算。承包人能够证明发包人同意其施工，但未能提供签证文件证明工程量发生的，可以按照承发包双方提供的其他证据确认实际发生的工程量结算。减少部分在发包人书面确认满足使用功能的前提下按实调减。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7.对建设工程合同外发生的经发包人确认的大型机械进退场费，由发包人出具书面情况说明或签证后，根据签证按市场价并执行中标下浮率结算。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由于建设单位原因造成现场无法施工或工程量减少，且施工单位此部分材料、设备已购买并运至施工现场，在结算申报时需提供建设单位出具的移交单及明细、移交原因情况说明，但移交和实施的总数量不得超过招标工程量，结算价在扣除原清单综合单价后，按移交数量的市场价与投标价的低值×</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后进行计算，其它费用不计。</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9.单位工程内出现清单特征相同而中标单价不同时， 当实际工程量超过清单总量±15%时，±15%以内的工程量按比例分摊，执行投标单价；±15%以外的工程量，根据实际情况重新组价并执行中标下浮率，有不平衡报价情况的按不平衡报价处理办法处理。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10.承包人应严格履行准确竣工图绘制责任，提交决/结算审计时，若发现竣工图与现场不一致的，每一项扣减2000元。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11.通用约定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（1）承包人在施工现场不得就近取土，如发生，发包人有权要求承包人立即用耕植土回填到位，并向发包人支付</w:t>
      </w:r>
      <w:r>
        <w:rPr>
          <w:rFonts w:hint="eastAsia" w:ascii="宋体" w:hAnsi="宋体" w:eastAsia="宋体" w:cs="宋体"/>
          <w:color w:val="auto"/>
          <w:sz w:val="24"/>
          <w:szCs w:val="24"/>
          <w:highlight w:val="none"/>
          <w:lang w:eastAsia="zh-CN"/>
        </w:rPr>
        <w:t xml:space="preserve">所</w:t>
      </w:r>
      <w:r>
        <w:rPr>
          <w:rFonts w:hint="eastAsia" w:ascii="宋体" w:hAnsi="宋体" w:eastAsia="宋体" w:cs="宋体"/>
          <w:color w:val="auto"/>
          <w:sz w:val="24"/>
          <w:szCs w:val="24"/>
          <w:highlight w:val="none"/>
        </w:rPr>
        <w:t xml:space="preserve">挖土方的1倍投标价格（且不低于市场价）违约金，如果未及时回填到位或回填土质不是耕植土的，按（回填所需耕植土费用+机械挖土费用+5km 内运输费用+回填费用）×2 倍投标价格（且不低于市场价）违约金，从工程款中扣除。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（2）拆除工程参照《江苏工程造价管理》2012年第一期相关解释结算。即修缮工程套用2009 房屋修缮定额。否则，保护性拆除按照20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val="en-US" w:eastAsia="zh-CN"/>
        </w:rPr>
        <w:t xml:space="preserve">消耗量</w:t>
      </w:r>
      <w:r>
        <w:rPr>
          <w:rFonts w:hint="eastAsia" w:ascii="宋体" w:hAnsi="宋体" w:eastAsia="宋体" w:cs="宋体"/>
          <w:color w:val="auto"/>
          <w:sz w:val="24"/>
          <w:szCs w:val="24"/>
          <w:highlight w:val="none"/>
        </w:rPr>
        <w:t xml:space="preserve">×50%，毁坏性拆除按20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val="en-US" w:eastAsia="zh-CN"/>
        </w:rPr>
        <w:t xml:space="preserve">消耗量</w:t>
      </w:r>
      <w:r>
        <w:rPr>
          <w:rFonts w:hint="eastAsia" w:ascii="宋体" w:hAnsi="宋体" w:eastAsia="宋体" w:cs="宋体"/>
          <w:color w:val="auto"/>
          <w:sz w:val="24"/>
          <w:szCs w:val="24"/>
          <w:highlight w:val="none"/>
        </w:rPr>
        <w:t xml:space="preserve">人工×50%。保护性拆除时，须保护材料、设备及配件的完整性；若为毁坏性拆除，由发包人进行书面确认。所有拆除材料、设备、管线的利用率及残值率，结合现场实际情况，参照发包人出具的书面意见结算。未约定拆除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设备归属权的，归属权归发包人。如承包人未将拆除的材料、设备移交给发包人，在承包人结算价款中应扣除材料、设备残值费用。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（3）单位工程招标工程量清单中土方挖或填（石）方工程量无论是否超过 5000m³ ,只要挖或填（石）方结算工程量超过招标工程量清单 15%以上且总工程量超过 5000m³以上时，</w:t>
      </w:r>
      <w:r>
        <w:rPr>
          <w:rFonts w:hint="eastAsia" w:ascii="宋体" w:hAnsi="宋体" w:eastAsia="宋体" w:cs="宋体"/>
          <w:color w:val="auto"/>
          <w:sz w:val="24"/>
          <w:szCs w:val="24"/>
          <w:highlight w:val="none"/>
          <w:lang w:eastAsia="zh-CN"/>
        </w:rPr>
        <w:t xml:space="preserve">超过</w:t>
      </w:r>
      <w:r>
        <w:rPr>
          <w:rFonts w:hint="eastAsia" w:ascii="宋体" w:hAnsi="宋体" w:eastAsia="宋体" w:cs="宋体"/>
          <w:color w:val="auto"/>
          <w:sz w:val="24"/>
          <w:szCs w:val="24"/>
          <w:highlight w:val="none"/>
        </w:rPr>
        <w:t xml:space="preserve">15%以上的工程量单独按大型土石方取费。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（4）外购土方按天然密实体积计算。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（5）土方回填项目灰土回填的，计算外购土土方工程量时需扣除石灰体积，按工程石灰土相关检测资料分析扣除石灰所占体积，如无相关检测资料时则按交通工程同比例石灰土中灰体积扣除。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（6）除按质论价费用外，工程质量奖惩条款如下：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建筑与装饰工程</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（7）二次结构植筋，除设计或建设单位要求使用植筋且明确结算意见</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招标工程量清单列出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因设计变更增加且无法预埋的二次结构等情况的植筋原则予以结算外，</w:t>
      </w:r>
      <w:r>
        <w:rPr>
          <w:rFonts w:hint="eastAsia" w:ascii="宋体" w:hAnsi="宋体" w:eastAsia="宋体" w:cs="宋体"/>
          <w:color w:val="auto"/>
          <w:sz w:val="24"/>
          <w:szCs w:val="24"/>
          <w:highlight w:val="none"/>
          <w:lang w:eastAsia="zh-CN"/>
        </w:rPr>
        <w:t xml:space="preserve">其他均</w:t>
      </w:r>
      <w:r>
        <w:rPr>
          <w:rFonts w:hint="eastAsia" w:ascii="宋体" w:hAnsi="宋体" w:eastAsia="宋体" w:cs="宋体"/>
          <w:color w:val="auto"/>
          <w:sz w:val="24"/>
          <w:szCs w:val="24"/>
          <w:highlight w:val="none"/>
        </w:rPr>
        <w:t xml:space="preserve">按预埋结算。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（8）不管招标模板清单项目特征中是否描述使用塑料垫块和塑料马凳费用，由承包人自行考虑在报价中，结算时均不另行计算塑料垫块和塑料马凳的费用。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大型构件场外运输费用按合同约定及清单中已进行报价的费用相应运输费用不调整。但设计变更出现大型构件场外运输时，发生在45公里以内的场外运输费用按相关定额套用并执行中标下浮率后进行结算；发生45公里以外场外运输费用时，其运输分项不执行定额，按合理市场价并执行中标下浮率进行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（10）雨污水等管道沟槽开挖和回填量土方参照发包人书面确认的坡比。坡比原则上不得超过《房屋建筑与装饰工程工程量计算规范》（GB50854-20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）“土石方工程 ”工程量计算规则的规定。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（11）由于发包人原因造成工期延长的，不论垂直运输机械为承包人自有机械的，还是为承包人租赁的，均按延长期间的市场租赁费用和操作工工资并执行中标下浮率结算。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安装工程</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（12）单体调试、联合调试费凭有效的调试报验资料按实结算。凡供电设备回路 系统中不含“需要调试的元件 ”（如断路器保护定值数据整定和试验），则一律不计取调试费。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市政工程</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（13）清表土利用率原则上清表土利用率不低于 50%，具体参照发包人出具的书面意见结算。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（14）除设计变更外，河道工程清淤工程量超挖部分不计，不足部分按实扣除。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（15）给排水管道沟槽开挖和回填量土方坡度无测绘或者测量记录时，参照发包人书面确认的坡比。坡比原则上不得超过《市政工程工程量计算规范》（GB50857-20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）“土石方工程”工程量计算规则的规定。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（16）市政道路中粗细沥青分层施工且清单分列时，沥青厚度按取样厚度分层分别计取。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（17）人行道中的砂浆找平层与混凝土垫层厚度，按取样厚度分层计取；不能分清时，按总厚度比例分层计取。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（18）混凝土、沥青道路拆除废料可回收利用时，原则上参照发包人书面确定的残值率，同时结合监理、测绘、跟踪造价咨询单位的相关资料综合考虑。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13.本工程提交审计时，承包人应在发包人约定的时间内完成资料整理，并积极配合，要求资料齐全、计算准确，不得高估冒算，要求与审计价差距不得超出5%。</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（1）若承包人的结算报审价与最终审定价≤5%，审计费由发包人承担。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承包人的结算报审价与最终审定价&gt;5%，本工程结算审计费用由承包人承担。由区级审计部门实施的项目，一审审计费收取标准按（核增额+核减额）×6%计取；二审审计费收取标准按（核增额+核减额）×15%计取，一审和二审最低收费标准均为 2000 元。当一审核减率未超过5%，一审和二审总核减率超过 5%时，由二审单位补扣一审审计费，同时扣除二审审计费。以上审计</w:t>
      </w:r>
      <w:r>
        <w:rPr>
          <w:rFonts w:hint="eastAsia" w:ascii="宋体"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均在审定价款中予以扣减。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（3）因承包人的原因未在约定的期限内提交符合审计的资料，所产生的责任均由承包人自行承担。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14.未尽事宜按照《江苏省盐南高新区政府投资建设工程结算审计、询价定价等若干问题处理办法（试行）》（盐南高新办〔2022〕8号）执行。  </w:t>
      </w:r>
      <w:r/>
    </w:p>
    <w:p>
      <w:pPr>
        <w:ind w:firstLine="482"/>
        <w:keepLines w:val="0"/>
        <w:keepNext w:val="0"/>
        <w:pageBreakBefore w:val="0"/>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三、双方的责任</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甲方的责任：</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1.根据本项目的具体情况和技术要求确定合理的工作量及合理的工作周期；</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2.指定专人负责与乙方的工作联系，协调各方面工作，以满足报告编制进度要求；</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3.为乙方进行资料收集、调查等工作提供便利条件；</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4.应认真组织专家对项目成果进行审查，并出具审查书面意见，对咨询单位在贯彻落实审查意见时提出的有关问题应及时认真予以解答，但并不免除咨询单位根据本合同规定应负的责任；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5.对乙方的成果予以维护，不得擅自修改和转让；</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6.按合同规定及时支付报告编制费用。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乙方的责任：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应做好质量管理工作，建立健全质量保证体系，加强工作全过程的质量控制，建立完整的报告编制、复核、审核、会签和批准制度，明确各阶段的责任人，应按期、按质、按量地完成双方商定的各项工作内容，并对报告的质量负责，达到甲方要求。报告质量应达到行业内领先水平；</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2.应自行承担工作的一切有关费用，包括食宿、交通、差旅费、资料、会议费等；</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3.在工作过程中，应主动和甲方保持密切联系；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4.根据审查意见及时修改、完善项目报告；</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5.未经甲方同意，不得将项目报告转让给第三方；</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6.人员保证与变更</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（1）乙方应按投标文件中承诺的人员投入工作，在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过程应保持人员的相对稳定。确需调整，应报经甲方批准；</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（2）如果乙方的人员渎职或不能胜任工作或从事其他违法活动，甲方有权书面要求更换，乙方应立即派出具有同等或以上资历的人员替换；若非因上述原因，乙方有权拒绝；</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（3）若乙方的进度没有达到乙方投标文件中承诺的进度计划，甲方有权提出要求增加工作人员，乙方应立即安排，其费用被认为已包含在合同价格之中。</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7.若乙方在合同履行期间发生人员伤亡或财产的损失，或者造成第三方的人员伤亡或财产损失，乙方应承担全部责任，并保障甲方免于承担由此造成的一切损害和损失；</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8.乙方负责</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定期向甲方报告工作进展情况；</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9.乙方应根据甲方的要求，就项目加强与相关部门的协调衔接，及时向与项目有关的其它单位提供项目资料。</w:t>
      </w:r>
      <w:r/>
    </w:p>
    <w:p>
      <w:pPr>
        <w:ind w:firstLine="482"/>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四、技术情报和资料的保密要求</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1.乙方保证是本合同规定提供的一切技术和资料的合法持有者，如果发生第三方指控侵权时，则由乙方负责与第三方交涉并承担由此引起的一切法律上和经济上的责任；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2.甲方同意在合同有效期内对乙方提供给甲方的技术资料进行保密，如果上述技术资料中的一部分或者全部被乙方或第三方公布，甲方对公开部分则不再承担保密义务；</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3.乙方对本项目有保密义务，未经甲方同意，不得将本项目相关资料成果用于本合同范围外的所有其他场合。</w:t>
      </w:r>
      <w:r/>
    </w:p>
    <w:p>
      <w:pPr>
        <w:ind w:firstLine="480"/>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五、违约责任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1.甲方的违约：</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由于甲方变更计划，或未按期提供规划必需的资料、工作条件，而造成的返工或修改，甲方应按乙方实际增加的工作量（以乙方已提供的成果为准）支付乙方增加工作量的费用，由此拖延的周期应由甲方负责。</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中期支付涉及政府投资资金的，由于财政部门相关工作的延后，不计入甲方延期支付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2.乙方的违约</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（1）如果乙方将任务转包或未经甲方同意分包的，甲方有权解除合同，并要求乙方退还收取费用，并按照合同价 1%-2%扣除乙方的违约金；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（2）乙方未按照国家现行的标准或规范开展工作、编制相应报告，或未根据甲方的指令进行变更，给甲方造成损失等，如发生上述任何行为，除由有关部门给予处罚外，甲方将按合同价的1%-2%扣除乙方的违约金；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（3）因编制报告深度不够、质量低劣、不符合国家文件规定或报告未获审查通过、引起返工而造成的质量问题除由乙方负责继续完善报告编制外，应视造成的损失，甲方可按照合同价的1%-2%扣除违约金；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（4）如果乙方未能按期提交文件（甲方同意延长期限的情况除外），则每延期 15 天（不足 15天按 15 天计），甲方将分别按相应阶段合同费用总金额的 1%扣除乙方的违约金；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合同生效后，如果乙方更换投标文件中承诺的项目负责人和各专业负责人，主要技术人员，必须征得甲方同意，并且更换人员的水平不得低于原有的水平。同时，甲方将保留对乙方罚款的权利：其中更换项目负责人按 5 万元/人次处以罚金，更换各专业负责人按 3 万元/人次处以罚金，更换主要技术人员按 1 万元/人次处以罚金；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（6）合同生效后，如乙方提出终止合同，应向甲方返还已付款项，甲方按合同价格的 5%扣除乙方违约金。乙方承担由此产生的一切损失。</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若发生上述（1）～（6）情况中任一款甲方有权收回已委托乙方的全部或部分工作，乙方无条件接受。</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3.如果发生了上述 1、2 情况，则利益受到损害的一方有权向另一方提出索赔，但赔偿应限于下列情况：</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（1）赔偿应是因违约或人员失职、渎职所造成的可合理预见的损失或损害的数额，而不是其它；</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（2）如果认为任一方与第三方共同对另一方负有责任时，负有责任的一方所支付的赔偿比例应限于由于其违约所应负责的那部分比例。</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4.责任的期限</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乙方与甲方双方的责任与义务期限为合同协议书或合同条款规定的时间范围。</w:t>
      </w:r>
      <w:r/>
    </w:p>
    <w:p>
      <w:pPr>
        <w:ind w:firstLine="482"/>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、合同的开始、完成、变更与终止</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1.合同的生效</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合同书自双方签字盖章后所有合同文件生效。乙方工作的开始和完成时间按照合同协议书的规定执行。</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2.延误</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由于甲方或不可预见的自然或社会因素，导致服务增加和时间延续则：</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（1）乙方应将此情况与可能产生的影响尽快通知甲方，并采取合理措施使损失减少到最小；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（2）乙方应保持详细原始记录作为甲方支付费用的依据。</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甲方在与乙方协商后应相应地延长乙方的工作期限及是否增付费用。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3.变更</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在履约期内，经双方协商一致，可就合同约定内容、合同时间等以补充合同的方式进行变更。由于政策性因素等调整而影响方案、规模或投资等，对报告修改完善等工作，不属于变更，甲方不另行支付费用。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4.推迟与终止</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（1）甲方可以在至少28天以前以书面形式通知乙方暂停全部或部分工作或终止本合同协议书，一旦收到此类通知，乙方应立即安排停止计划并将开支减到最小；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（2）甲方认为乙方无正当理由而未履行本合同规定的责任与义务时，应书面通知乙方，并说明理由。若甲方在 21 天内没有收到满意的答复，甲方可以发出进一步的通知终止本合同，但此进一步的通知必须在第一个通知发出 28 天后发出；</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（3）合同费用结清后，本合同自动终止。</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5.合同终止不影响权利和责任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不论何种原因，本合同的终止，不应损害和影响各方应有权利、索赔要求和应负的责任。</w:t>
      </w:r>
      <w:r/>
    </w:p>
    <w:p>
      <w:pPr>
        <w:ind w:firstLine="482"/>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、合同争议解决方式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bookmarkStart w:id="178" w:name="_Toc120519617"/>
      <w:r/>
      <w:bookmarkStart w:id="179" w:name="_Toc120519823"/>
      <w:r/>
      <w:bookmarkStart w:id="180" w:name="_Toc129247639"/>
      <w:r/>
      <w:bookmarkStart w:id="181" w:name="_Toc121322941"/>
      <w:r/>
      <w:bookmarkStart w:id="182" w:name="_Toc130206651"/>
      <w:r>
        <w:rPr>
          <w:rFonts w:hint="eastAsia" w:ascii="宋体" w:hAnsi="宋体" w:eastAsia="宋体" w:cs="宋体"/>
          <w:color w:val="auto"/>
          <w:sz w:val="24"/>
          <w:szCs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bookmarkEnd w:id="178"/>
      <w:r/>
      <w:bookmarkEnd w:id="179"/>
      <w:r/>
      <w:bookmarkEnd w:id="180"/>
      <w:r/>
      <w:bookmarkEnd w:id="181"/>
      <w:r/>
      <w:bookmarkEnd w:id="182"/>
      <w:r/>
      <w:r/>
    </w:p>
    <w:p>
      <w:pPr>
        <w:numPr>
          <w:ilvl w:val="0"/>
          <w:numId w:val="1"/>
        </w:numPr>
        <w:ind w:firstLine="482"/>
        <w:keepLines w:val="0"/>
        <w:keepNext w:val="0"/>
        <w:pageBreakBefore w:val="0"/>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其他</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1、</w:t>
      </w:r>
      <w:r>
        <w:rPr>
          <w:rFonts w:hint="eastAsia" w:ascii="宋体" w:hAnsi="宋体" w:eastAsia="宋体" w:cs="宋体"/>
          <w:sz w:val="24"/>
          <w:u w:val="single"/>
          <w:lang w:val="zh-CN"/>
        </w:rPr>
        <w:t xml:space="preserve">承包人必须遵守江苏省建设厅和盐城市建设行政主管部门颁布的《建设工程施工安全管理规定》施工。承包人须按国家、地方相关法律、法规及相关管理规定要求，完成各项安全文明施工管理工作。发包人有权在应付工程款中扣除招标文件和合同规定的未按要求完成部分的安全文明施工措施管理费用。</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2、</w:t>
      </w:r>
      <w:r>
        <w:rPr>
          <w:rFonts w:hint="eastAsia" w:ascii="宋体" w:hAnsi="宋体" w:eastAsia="宋体" w:cs="宋体"/>
          <w:sz w:val="24"/>
          <w:u w:val="single"/>
          <w:lang w:val="zh-CN"/>
        </w:rPr>
        <w:t xml:space="preserve">承包人必须确保本工程安全文明施工及扬尘控制(施工场地内及施工运输过程中),若发生不安全文明施工及扬尘控制不到位问题，自行负责处理并承担一切责任，并同时向发包人承担每次违约金2000元。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w:t>
      </w:r>
      <w:r>
        <w:rPr>
          <w:rFonts w:hint="eastAsia" w:ascii="宋体" w:hAnsi="宋体" w:eastAsia="宋体" w:cs="宋体"/>
          <w:sz w:val="24"/>
          <w:u w:val="single"/>
        </w:rPr>
        <w:t xml:space="preserve">应向发包人支付</w:t>
      </w:r>
      <w:r>
        <w:rPr>
          <w:rFonts w:hint="eastAsia" w:ascii="宋体" w:hAnsi="宋体" w:eastAsia="宋体" w:cs="宋体"/>
          <w:sz w:val="24"/>
          <w:u w:val="single"/>
          <w:lang w:val="zh-CN"/>
        </w:rPr>
        <w:t xml:space="preserve">每次违约金5000元。</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3、</w:t>
      </w:r>
      <w:r>
        <w:rPr>
          <w:rFonts w:hint="eastAsia" w:ascii="宋体" w:hAnsi="宋体" w:eastAsia="宋体" w:cs="宋体"/>
          <w:sz w:val="24"/>
          <w:u w:val="single"/>
          <w:lang w:val="zh-CN"/>
        </w:rPr>
        <w:t xml:space="preserve">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4、</w:t>
      </w:r>
      <w:r>
        <w:rPr>
          <w:rFonts w:hint="eastAsia" w:ascii="宋体" w:hAnsi="宋体" w:eastAsia="宋体" w:cs="宋体"/>
          <w:sz w:val="24"/>
          <w:u w:val="single"/>
          <w:lang w:val="zh-CN"/>
        </w:rPr>
        <w:t xml:space="preserve">承包人进场后，必须服从发包人、监理单位对施工场地总平面的规划，服从发包人、监理单位的统一调度和指挥。</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5、</w:t>
      </w:r>
      <w:r>
        <w:rPr>
          <w:rFonts w:hint="eastAsia" w:ascii="宋体" w:hAnsi="宋体" w:eastAsia="宋体" w:cs="宋体"/>
          <w:sz w:val="24"/>
          <w:u w:val="single"/>
          <w:lang w:val="zh-CN"/>
        </w:rPr>
        <w:t xml:space="preserve">发包人、监理单位将不定期对承包人的施工质量、安全、文明施工进行检查，如发现工程现场及生活区内安全、文明施工管理较差，有权要求承包人整改并通报批评，如发生二次通报批评情况，可按现场有关规定进行扣除违约金。</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6、</w:t>
      </w:r>
      <w:r>
        <w:rPr>
          <w:rFonts w:hint="eastAsia" w:ascii="宋体" w:hAnsi="宋体" w:eastAsia="宋体" w:cs="宋体"/>
          <w:sz w:val="24"/>
          <w:u w:val="single"/>
          <w:lang w:val="zh-CN"/>
        </w:rPr>
        <w:t xml:space="preserve">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一切费用均由承包人承担，同时还需接受发包人每次扣除违约金2000元。</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7、</w:t>
      </w:r>
      <w:r>
        <w:rPr>
          <w:rFonts w:hint="eastAsia" w:ascii="宋体" w:hAnsi="宋体" w:eastAsia="宋体" w:cs="宋体"/>
          <w:sz w:val="24"/>
          <w:u w:val="single"/>
          <w:lang w:val="zh-CN"/>
        </w:rPr>
        <w:t xml:space="preserve">本工程施工期间发生的一切安全事故，其责任由承包人承担。承包人须按有关规定采取严格的安全防护措施，确保工程施工安全管理到位，并接</w:t>
      </w:r>
      <w:r>
        <w:rPr>
          <w:rFonts w:hint="eastAsia" w:ascii="宋体" w:hAnsi="宋体" w:eastAsia="宋体" w:cs="宋体"/>
          <w:sz w:val="24"/>
          <w:u w:val="single"/>
          <w:lang w:val="zh-CN"/>
        </w:rPr>
        <w:t xml:space="preserve">受相关部门不时的安全监督和检查。对于相关部门在监督和检查过程中发现的安全隐患，承包人必须在限期内进行整改，由于整改造成工期延误的责任由承包人承担。相关部门对于本项目的监督和检查不能免除承包人对于项目建设期间可能发生的安全事故的责任承担。施工期间发生伤亡事故时，承包方须按有关规定立即上报发包人及有关部门，同时按相关规定处理。在实施和完成本合同工程过程中，承包人应时刻关注和采取适当措施保障所有在场工作人员的安全，保证工程施工安全，在必要的时候和地方，负责提供照明、警卫、护栅、警告标志等安全防护措施，并承担责任。</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/8、</w:t>
      </w:r>
      <w:r>
        <w:rPr>
          <w:rFonts w:hint="eastAsia" w:ascii="宋体" w:hAnsi="宋体" w:eastAsia="宋体" w:cs="宋体"/>
          <w:sz w:val="24"/>
          <w:u w:val="single"/>
          <w:lang w:val="zh-CN"/>
        </w:rPr>
        <w:t xml:space="preserve">本工程施工现场应在适当位置悬挂施工标准和文明施工标语，危险区域应当  设置危险警示标牌和警示灯。临时围挡要求按盐南管办[2018]印发《盐城市城南新区围墙(挡)建设管理规定</w:t>
      </w:r>
      <w:r>
        <w:rPr>
          <w:rFonts w:hint="eastAsia" w:ascii="宋体" w:hAnsi="宋体" w:eastAsia="宋体" w:cs="宋体"/>
          <w:sz w:val="24"/>
          <w:u w:val="single"/>
          <w:lang w:val="zh-CN"/>
        </w:rPr>
        <w:t xml:space="preserve">(试行)》77号的通知；施工现场车辆按盐市建管字【2013】2号文执行；施工道路进出口和现场内主要交通道路和物料堆放地点全部敷设硬化路面，车辆进出需要有专门的地方进行自动冲洗，施工材料、裸土须进行有效覆盖，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必要费用的支出，应由承包人支付，承包人未支付或延迟支付的，发包人可从履约保证金或者工程款中予以提取。</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/9、</w:t>
      </w:r>
      <w:r>
        <w:rPr>
          <w:rFonts w:hint="eastAsia" w:ascii="宋体" w:hAnsi="宋体" w:eastAsia="宋体" w:cs="宋体"/>
          <w:sz w:val="24"/>
          <w:u w:val="single"/>
          <w:lang w:val="zh-CN"/>
        </w:rPr>
        <w:t xml:space="preserve">承包人须办理有关施工场地交通、环卫和施工噪音管理等手续，竣工验收交付发包人使用前，承包人应负责全部成品半成品的保护工作，上述费用由承包人自行承担。</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10、</w:t>
      </w:r>
      <w:r>
        <w:rPr>
          <w:rFonts w:hint="eastAsia" w:ascii="宋体" w:hAnsi="宋体" w:eastAsia="宋体" w:cs="宋体"/>
          <w:sz w:val="24"/>
          <w:u w:val="single"/>
          <w:lang w:val="zh-CN"/>
        </w:rPr>
        <w:t xml:space="preserve">施工场地周围地下管线和邻近建筑物、构筑物(含文物保护建筑)、古树名木的保护要求及费用承担：费用由承包人自行承担。</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11、</w:t>
      </w:r>
      <w:r>
        <w:rPr>
          <w:rFonts w:hint="eastAsia" w:ascii="宋体" w:hAnsi="宋体" w:eastAsia="宋体" w:cs="宋体"/>
          <w:sz w:val="24"/>
          <w:u w:val="single"/>
          <w:lang w:val="zh-CN"/>
        </w:rPr>
        <w:t xml:space="preserve">施工场地清洁卫生的要求：承包人应负责整个场地的安全文明卫生管理，做到文明施工、保持施工场地清洁。本工程所有施工建筑垃圾均应全部消运出现场。承包人施工时，不得对已建道路进行破坏和污染，同时承包人必须对自己施工的各分项工程在合同期间进行保沽管理和安全维护。承包人施工车辆通行必须服从招标人指定路线通行，违者罚款不少于1000元/车次。如导致道路破坏或破损，承包人必须及时修整完好且承担全部费用。承包人在项目实施过程中必须按发包人要求设置施工便道，做到安全文明施工、畅通等要求。</w:t>
      </w:r>
      <w:r/>
    </w:p>
    <w:p>
      <w:pPr>
        <w:contextualSpacing/>
        <w:ind w:firstLine="480"/>
        <w:spacing w:line="360" w:lineRule="auto"/>
        <w:rPr>
          <w:rFonts w:hint="eastAsia" w:ascii="宋体" w:hAnsi="宋体" w:eastAsia="宋体" w:cs="宋体"/>
          <w:sz w:val="24"/>
          <w:u w:val="single"/>
          <w:lang w:val="en-US" w:eastAsia="zh-CN"/>
        </w:rPr>
      </w:pPr>
      <w:r>
        <w:rPr>
          <w:rFonts w:hint="eastAsia" w:ascii="宋体" w:hAnsi="宋体" w:eastAsia="宋体" w:cs="宋体"/>
          <w:sz w:val="24"/>
          <w:u w:val="single"/>
          <w:lang w:val="en-US" w:eastAsia="zh-CN"/>
        </w:rPr>
        <w:t xml:space="preserve">12、品牌质量须达到国产优质且能满足项目需求，中标后在材料进场前须经发包人和监理单位书面同意后方可进行批量采购，质量合格证须随货提供。未经监理单位、发包人书面同意自行采购所发生的损失由承包人自行承担（如设备和材料已进场的，须无条件清出现场；如已用于施工的，须无条件拆除），且工期不因此顺延。承包人如采用贴牌产品，发包人有权解除本合同，所产生的责任均由承包人承担，并赔偿发包人的损失。</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严格按照有关规范规定做好服务工作。本项目服务工作开始前，乙方必须对与本项目有关人员进行职业道德教育：任何人不得在本项目中谋取私利，发现受贿或索贿的，甲方有权终止本合同，并将抄送司法部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本合同自双方签字盖章之日起生效。合同生效后如需变更合同条款须经双方协商同意；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本合同任何条款不能认定为任何一方提供的格式条款；</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合同双方可以就本合同主要内容以外的事项进行协商。本合同若有未尽事宜，双方可协商解决；</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val="zh-CN"/>
        </w:rPr>
        <w:t xml:space="preserve">本合同壹式拾份，甲方伍份，乙方伍份。</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ascii="宋体" w:hAnsi="宋体" w:eastAsia="宋体" w:cs="宋体"/>
          <w:color w:val="auto"/>
          <w:sz w:val="24"/>
          <w:szCs w:val="24"/>
          <w:highlight w:val="none"/>
        </w:rPr>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甲  方：                            乙  方：</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ascii="宋体" w:hAnsi="宋体" w:eastAsia="宋体" w:cs="宋体"/>
          <w:color w:val="auto"/>
          <w:sz w:val="24"/>
          <w:szCs w:val="24"/>
          <w:highlight w:val="none"/>
        </w:rPr>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地  址：                             地  址：</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法定代表人或授权代表：               法定代表人或授权代表：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联系电话：                           联系电话：</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widowControl/>
        <w:rPr>
          <w:rFonts w:ascii="宋体" w:hAnsi="宋体" w:eastAsia="宋体" w:cs="宋体"/>
          <w:szCs w:val="21"/>
        </w:rPr>
      </w:pPr>
      <w:r>
        <w:rPr>
          <w:rFonts w:hint="eastAsia" w:ascii="宋体" w:hAnsi="宋体" w:eastAsia="宋体" w:cs="宋体"/>
          <w:b/>
          <w:bCs/>
          <w:sz w:val="36"/>
          <w:szCs w:val="36"/>
        </w:rPr>
        <w:t xml:space="preserve">廉政合同</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根据相关工程建设、廉政建设的规定，为做好工程建设中的党风廉政建设，保证工程建设高效优质，保证建设资金的安全和有效使用以及投资效益</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(以下简称“甲方”)与</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(以下称“乙方”），特订立如下合同。</w:t>
      </w:r>
      <w:r/>
    </w:p>
    <w:p>
      <w:pPr>
        <w:numPr>
          <w:ilvl w:val="0"/>
          <w:numId w:val="2"/>
        </w:numPr>
        <w:ind w:left="0" w:firstLine="480"/>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rPr>
      </w:pPr>
      <w:r>
        <w:rPr>
          <w:rFonts w:hint="eastAsia" w:ascii="宋体" w:hAnsi="宋体" w:eastAsia="宋体" w:cs="宋体"/>
          <w:sz w:val="24"/>
          <w:szCs w:val="24"/>
        </w:rPr>
        <w:t xml:space="preserve">  甲乙双方的权利和义务</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（一）严格遵守党和国家有关法律法规的有关规定。</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（二）严格执行合同文件，自觉按合同办事。</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（三）双方的业务活动坚持公开、公正、诚信、透明的原则（除法律认定的商业秘密和合同文件另有规定之外），不得损害国家和集体的利益，违反工程建设管理规章制度。</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（四）建立健全廉政制度，开展廉政教育，设立廉政告示牌，公布举报电话，监督并认真查处违法违纪行为。</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（五）发现对方在业务活动中有违反廉政规定的行为，有及时提醒对方纠正的权利和义务。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（六）发现对方严重违反本合同义务条款的行为，有向其上级有关部门举报，建议给予处理并要求告知处理结果的权利。</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江苏省盐南高新区工程建设市场，涉嫌犯罪的，移送司法机关依法处理。</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（八）本项目建设过程中，如发现甲方及其工作人员和受甲方委托从事招标代理等单位的人员存在“吃拿卡要”等违法违纪违规行为，有权在第一时间向盐南高新区纪工委口头或书面反映并要求告知处理结果。</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甲方的义务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（二）甲方工作人员不得参加乙方安排的宴请、健身、旅游及娱乐活动，不得接受乙方提供的通讯工具、交通工具和高档办公用品以及通信充值卡、加油卡等。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（三）甲方工作人员不得要求或者接受乙方为其汽车或住房装修、婚丧嫁娶活动、配偶子女的工作安排以及出国出境、旅游等提供方便等。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（四）甲方工作人员的配偶、子女不得从事与甲方工程有关的材料设备供应，工程分包、劳务等经济活动等。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（五）甲方及其工作人员不得以任何理由向乙方推荐分包单位，不得要求乙方购买合同规定外的材料和设备。</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乙方义务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（二）乙方不得以任何理由安排上述人员参加宴请、健身、旅游及娱乐等活动。</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（三）乙方不得为甲方单位和个人购置或提供通讯工具、交通工具和高档办公用品以及通信充值卡、加油卡等。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（四）乙方不得为上述人员提供汽车或住房等装修；不得为上述人员的婚丧嫁娶、配偶子女的工作安排以及出国出境、旅游等提供方便。</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（五）乙方愿意以工程合同总工作量的1%作为廉政保证金。</w:t>
      </w:r>
      <w:r/>
    </w:p>
    <w:p>
      <w:pPr>
        <w:numPr>
          <w:ilvl w:val="0"/>
          <w:numId w:val="2"/>
        </w:numPr>
        <w:ind w:left="0" w:firstLine="480"/>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rPr>
      </w:pPr>
      <w:r>
        <w:rPr>
          <w:rFonts w:hint="eastAsia" w:ascii="宋体" w:hAnsi="宋体" w:eastAsia="宋体" w:cs="宋体"/>
          <w:sz w:val="24"/>
          <w:szCs w:val="24"/>
        </w:rPr>
        <w:t xml:space="preserve">  违约责任</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（一）甲方及其工作人员违反本合同第一、二条，按管理权限，依据有关规定给予党纪、政纪或组织处理，涉嫌犯罪的，移交司法机关追究刑事责任；给乙方单位造成经济损失的，应予以赔偿。</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numPr>
          <w:ilvl w:val="0"/>
          <w:numId w:val="2"/>
        </w:numPr>
        <w:ind w:left="0" w:firstLine="480"/>
        <w:jc w:val="both"/>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双方约定</w:t>
      </w:r>
      <w:r/>
    </w:p>
    <w:p>
      <w:pPr>
        <w:numPr>
          <w:ilvl w:val="0"/>
          <w:numId w:val="0"/>
        </w:numPr>
        <w:ind w:firstLine="480"/>
        <w:jc w:val="both"/>
        <w:keepLines w:val="0"/>
        <w:keepNext w:val="0"/>
        <w:pageBreakBefore w:val="0"/>
        <w:spacing w:line="520" w:lineRule="exact"/>
        <w:widowControl w:val="off"/>
        <w:tabs>
          <w:tab w:val="left" w:pos="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本合同由双方或双方上级单位的纪检检查机关负责监督。甲方或甲方上级单位的纪检监察机关约请乙方或乙方上级单位纪检监察机关对本合同履行情况进行检查，提出在本合同规定范围内的裁定意见。</w:t>
      </w:r>
      <w:r/>
    </w:p>
    <w:p>
      <w:pPr>
        <w:numPr>
          <w:ilvl w:val="0"/>
          <w:numId w:val="2"/>
        </w:numPr>
        <w:ind w:left="0" w:firstLine="480"/>
        <w:jc w:val="both"/>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本合同有效期为甲乙双方签署之日起至该项目服务期结束后为止。</w:t>
      </w:r>
      <w:r/>
    </w:p>
    <w:p>
      <w:pPr>
        <w:numPr>
          <w:ilvl w:val="0"/>
          <w:numId w:val="2"/>
        </w:numPr>
        <w:ind w:left="0" w:firstLine="480"/>
        <w:jc w:val="both"/>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本合同作为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合同的附件，合同份数与本主合同的约定相同，与采购合同具有同等的法律效力，由双方法定代表人或其授权的代理人签署与加盖公章后生效。</w:t>
      </w:r>
      <w:r/>
    </w:p>
    <w:p>
      <w:pPr>
        <w:ind w:left="560" w:firstLine="645"/>
        <w:jc w:val="both"/>
        <w:spacing w:line="52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甲方单位：（盖章）                    乙方单位：（盖章）</w:t>
      </w:r>
      <w:r/>
    </w:p>
    <w:p>
      <w:pPr>
        <w:ind w:firstLine="480"/>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                            法定代表人</w:t>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或委托代理人：(签名)                 或委托代理人：(签名)</w:t>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120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ind w:firstLine="3360"/>
        <w:jc w:val="center"/>
        <w:widowControl w:val="off"/>
        <w:rPr>
          <w:rFonts w:hint="eastAsia" w:ascii="宋体" w:hAnsi="宋体" w:eastAsia="宋体" w:cs="宋体"/>
          <w:color w:val="000000"/>
          <w:sz w:val="24"/>
          <w:szCs w:val="24"/>
          <w:highlight w:val="none"/>
        </w:rPr>
        <w:sectPr>
          <w:footerReference w:type="default" r:id="rId9"/>
          <w:footerReference w:type="first" r:id="rId10"/>
          <w:footnotePr/>
          <w:endnotePr/>
          <w:type w:val="nextPage"/>
          <w:pgSz w:w="11906" w:h="16838" w:orient="portrait"/>
          <w:pgMar w:top="1440" w:right="1587" w:bottom="1440" w:left="1587" w:header="851" w:footer="907" w:gutter="0"/>
          <w:cols w:num="1" w:sep="0" w:space="720" w:equalWidth="1"/>
          <w:docGrid w:linePitch="360"/>
          <w:titlePg/>
        </w:sectPr>
      </w:pPr>
      <w:r>
        <w:rPr>
          <w:rFonts w:hint="eastAsia" w:ascii="宋体" w:hAnsi="宋体" w:eastAsia="宋体" w:cs="宋体"/>
          <w:color w:val="000000"/>
          <w:sz w:val="24"/>
          <w:szCs w:val="24"/>
          <w:highlight w:val="none"/>
        </w:rPr>
      </w:r>
      <w:r/>
    </w:p>
    <w:p>
      <w:pPr>
        <w:rPr>
          <w:rFonts w:hint="eastAsia" w:ascii="宋体" w:hAnsi="宋体" w:eastAsia="宋体" w:cs="宋体"/>
          <w:b/>
          <w:sz w:val="36"/>
          <w:szCs w:val="36"/>
        </w:rPr>
      </w:pPr>
      <w:r>
        <w:rPr>
          <w:rFonts w:hint="eastAsia" w:ascii="宋体" w:hAnsi="宋体" w:eastAsia="宋体" w:cs="宋体"/>
          <w:szCs w:val="21"/>
        </w:rPr>
        <w:t xml:space="preserve">附件1：季度考核表</w:t>
      </w:r>
      <w:r/>
    </w:p>
    <w:p>
      <w:pP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季度考核表</w:t>
      </w:r>
      <w:r/>
    </w:p>
    <w:tbl>
      <w:tblPr>
        <w:tblStyle w:val="677"/>
        <w:tblW w:w="0" w:type="auto"/>
        <w:jc w:val="center"/>
        <w:tblLayout w:type="fixed"/>
        <w:tblCellMar>
          <w:left w:w="108" w:type="dxa"/>
          <w:top w:w="0" w:type="dxa"/>
          <w:right w:w="108" w:type="dxa"/>
          <w:bottom w:w="0" w:type="dxa"/>
        </w:tblCellMar>
        <w:tblLook w:val="04A0" w:firstRow="1" w:lastRow="0" w:firstColumn="1" w:lastColumn="0" w:noHBand="0" w:noVBand="1"/>
      </w:tblPr>
      <w:tblGrid>
        <w:gridCol w:w="427"/>
        <w:gridCol w:w="995"/>
        <w:gridCol w:w="6398"/>
        <w:gridCol w:w="711"/>
        <w:gridCol w:w="4976"/>
        <w:gridCol w:w="711"/>
      </w:tblGrid>
      <w:tr>
        <w:trPr>
          <w:cantSplit/>
          <w:jc w:val="center"/>
          <w:trHeight w:val="510"/>
          <w:tblHeade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序</w:t>
            </w:r>
            <w:r>
              <w:rPr>
                <w:rFonts w:hint="eastAsia" w:ascii="宋体" w:hAnsi="宋体" w:eastAsia="宋体" w:cs="宋体"/>
                <w:color w:val="000000"/>
                <w:szCs w:val="21"/>
              </w:rPr>
              <w:br/>
            </w:r>
            <w:r>
              <w:rPr>
                <w:rFonts w:hint="eastAsia" w:ascii="宋体" w:hAnsi="宋体" w:eastAsia="宋体" w:cs="宋体"/>
                <w:color w:val="000000"/>
                <w:szCs w:val="21"/>
              </w:rPr>
              <w:t xml:space="preserve">号</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考核</w:t>
            </w:r>
            <w:r>
              <w:rPr>
                <w:rFonts w:hint="eastAsia" w:ascii="宋体" w:hAnsi="宋体" w:eastAsia="宋体" w:cs="宋体"/>
                <w:color w:val="000000"/>
                <w:szCs w:val="21"/>
              </w:rPr>
              <w:br/>
            </w:r>
            <w:r>
              <w:rPr>
                <w:rFonts w:hint="eastAsia" w:ascii="宋体" w:hAnsi="宋体" w:eastAsia="宋体" w:cs="宋体"/>
                <w:color w:val="000000"/>
                <w:szCs w:val="21"/>
              </w:rPr>
              <w:t xml:space="preserve">项目</w:t>
            </w:r>
            <w:r/>
          </w:p>
        </w:tc>
        <w:tc>
          <w:tcPr>
            <w:tcBorders>
              <w:top w:val="single" w:color="auto" w:sz="4" w:space="0"/>
              <w:left w:val="none" w:color="000000" w:sz="4" w:space="0"/>
              <w:bottom w:val="single" w:color="auto" w:sz="4" w:space="0"/>
              <w:right w:val="single" w:color="auto" w:sz="4" w:space="0"/>
            </w:tcBorders>
            <w:tcW w:w="639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考核标准</w:t>
            </w:r>
            <w:r/>
          </w:p>
        </w:tc>
        <w:tc>
          <w:tcPr>
            <w:tcBorders>
              <w:top w:val="single" w:color="auto" w:sz="4" w:space="0"/>
              <w:left w:val="none" w:color="000000" w:sz="4" w:space="0"/>
              <w:bottom w:val="single" w:color="auto" w:sz="4" w:space="0"/>
              <w:right w:val="single" w:color="auto" w:sz="4" w:space="0"/>
            </w:tcBorders>
            <w:tcW w:w="71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标准</w:t>
            </w:r>
            <w:r>
              <w:rPr>
                <w:rFonts w:hint="eastAsia" w:ascii="宋体" w:hAnsi="宋体" w:eastAsia="宋体" w:cs="宋体"/>
                <w:color w:val="000000"/>
                <w:szCs w:val="21"/>
              </w:rPr>
              <w:br/>
            </w:r>
            <w:r>
              <w:rPr>
                <w:rFonts w:hint="eastAsia" w:ascii="宋体" w:hAnsi="宋体" w:eastAsia="宋体" w:cs="宋体"/>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评分标准</w:t>
            </w:r>
            <w:r/>
          </w:p>
        </w:tc>
        <w:tc>
          <w:tcPr>
            <w:tcBorders>
              <w:top w:val="single" w:color="auto" w:sz="4" w:space="0"/>
              <w:left w:val="none" w:color="000000" w:sz="4" w:space="0"/>
              <w:bottom w:val="single" w:color="auto" w:sz="4" w:space="0"/>
              <w:right w:val="single" w:color="auto" w:sz="4" w:space="0"/>
            </w:tcBorders>
            <w:tcW w:w="71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考核</w:t>
            </w:r>
            <w:r>
              <w:rPr>
                <w:rFonts w:hint="eastAsia" w:ascii="宋体" w:hAnsi="宋体" w:eastAsia="宋体" w:cs="宋体"/>
                <w:color w:val="000000"/>
                <w:szCs w:val="21"/>
              </w:rPr>
              <w:br/>
            </w:r>
            <w:r>
              <w:rPr>
                <w:rFonts w:hint="eastAsia" w:ascii="宋体" w:hAnsi="宋体" w:eastAsia="宋体" w:cs="宋体"/>
                <w:color w:val="000000"/>
                <w:szCs w:val="21"/>
              </w:rPr>
              <w:t xml:space="preserve">得分</w:t>
            </w:r>
            <w:r/>
          </w:p>
        </w:tc>
      </w:tr>
      <w:tr>
        <w:trPr>
          <w:jc w:val="center"/>
          <w:trHeight w:val="13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道路</w:t>
            </w:r>
            <w:r>
              <w:rPr>
                <w:rFonts w:hint="eastAsia" w:ascii="宋体" w:hAnsi="宋体" w:eastAsia="宋体" w:cs="宋体"/>
                <w:color w:val="000000"/>
                <w:szCs w:val="21"/>
              </w:rPr>
              <w:br/>
            </w:r>
            <w:r>
              <w:rPr>
                <w:rFonts w:hint="eastAsia" w:ascii="宋体" w:hAnsi="宋体" w:eastAsia="宋体" w:cs="宋体"/>
                <w:color w:val="000000"/>
                <w:szCs w:val="21"/>
              </w:rPr>
              <w:t xml:space="preserve">设施</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水泥砼路面、沥青砼路面、人行道地面砖路面，路面保持平整完好，无裂缝、错台、凹凸、松动、跷跛、坑凼、拱胀、沉陷、破损、缺失。路沿石保持完整，无空缺、破损、歪斜、松动、沉陷。</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未及时发现并处理部件缺陷，每检查出一处扣1分，当季度检查出10处或累计超过20㎡的，本项不得分。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46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排水</w:t>
            </w:r>
            <w:r>
              <w:rPr>
                <w:rFonts w:hint="eastAsia" w:ascii="宋体" w:hAnsi="宋体" w:eastAsia="宋体" w:cs="宋体"/>
                <w:color w:val="000000"/>
                <w:szCs w:val="21"/>
              </w:rPr>
              <w:br/>
            </w:r>
            <w:r>
              <w:rPr>
                <w:rFonts w:hint="eastAsia" w:ascii="宋体" w:hAnsi="宋体" w:eastAsia="宋体" w:cs="宋体"/>
                <w:color w:val="000000"/>
                <w:szCs w:val="21"/>
              </w:rPr>
              <w:t xml:space="preserve">设施</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排水管道。井座与路面平齐，座与井盖完整，井盖安放平稳、严密、起闭灵活，踏步完好、清洁，井壁无破损、脱落、裂缝，井内接插管与井壁平齐光滑，流水槽光滑、工作台平整，工作台清洁、无淤积物，井壁清洁、无蛛网，无阻水杂物，淤沙低于管径的五分之一。简单城市污水管道。保证污水流向道路干网的畅通，井盖完好。明沟。垒砌坡明沟两侧墙体无沉陷、破损、裂缝；底部及流水子沟无沉陷、破损、裂缝，垒砌坡明沟插接管与壁体平</w:t>
            </w:r>
            <w:r>
              <w:rPr>
                <w:rFonts w:hint="eastAsia" w:ascii="宋体" w:hAnsi="宋体" w:eastAsia="宋体" w:cs="宋体"/>
                <w:color w:val="000000"/>
                <w:szCs w:val="21"/>
              </w:rPr>
              <w:t xml:space="preserve">齐光滑，边坡缝隙上无杂草、根茎，土边坡明沟边坡坡度均衡、顺畅，坡面坚实、稳定，无冲刷横沟、缺口、塌落，土边坡明沟沟底无高杆植物和白色垃圾，淤积物不成堆。暗渠。渠顶盖板、内壁、渠底、流水子沟平整，无沉陷、破损、裂缝；插接管坡度顺畅，与墙体相接处平齐光滑；淤积物不高于插接管管底，并不高于原有过水断面的1/5；井座与路面平齐，井圈井盖与路面相差2cm时,必须提升井圈井盖使井座与路面平齐；井座与井盖完整；井盖安放平稳、严密、起闭灵活；踏步完好、清洁；井壁无破损、脱落、裂缝；流水槽光滑、工作台平整；井壁清洁、无蛛网。</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未及时发现并处理部件缺陷，每检查出一处扣0.5分，当季度检查出10处的，本项不得分。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604"/>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桥梁</w:t>
            </w:r>
            <w:r>
              <w:rPr>
                <w:rFonts w:hint="eastAsia" w:ascii="宋体" w:hAnsi="宋体" w:eastAsia="宋体" w:cs="宋体"/>
                <w:color w:val="000000"/>
                <w:szCs w:val="21"/>
              </w:rPr>
              <w:br/>
            </w:r>
            <w:r>
              <w:rPr>
                <w:rFonts w:hint="eastAsia" w:ascii="宋体" w:hAnsi="宋体" w:eastAsia="宋体" w:cs="宋体"/>
                <w:color w:val="000000"/>
                <w:szCs w:val="21"/>
              </w:rPr>
              <w:t xml:space="preserve">设施</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桥名牌、限载牌、栏杆、端柱、人行道、车行道、机非隔离栏、伸缩缝、泄水孔、扶梯、结构变异等完整，无缺损、坑塘、堵塞、变异</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未及时发现并处理部件缺陷，每检查出一处扣0.5分，当季度检查出10处的，本项不得分。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集中</w:t>
            </w:r>
            <w:r>
              <w:rPr>
                <w:rFonts w:hint="eastAsia" w:ascii="宋体" w:hAnsi="宋体" w:eastAsia="宋体" w:cs="宋体"/>
                <w:color w:val="000000"/>
                <w:szCs w:val="21"/>
              </w:rPr>
              <w:br/>
            </w:r>
            <w:r>
              <w:rPr>
                <w:rFonts w:hint="eastAsia" w:ascii="宋体" w:hAnsi="宋体" w:eastAsia="宋体" w:cs="宋体"/>
                <w:color w:val="000000"/>
                <w:szCs w:val="21"/>
              </w:rPr>
              <w:t xml:space="preserve">整修</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排水设施除日常管护维修外，每年在夏季来临前至少清淤一次，保证流水畅通。道路设施除日常管护维修外，每年在春秋两季来临前至少集中整修各一次，保证路面质量。桥梁设施按照国家有关要求定期检测。</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未及时主动安排的，每发现一次扣2分；未安排，造成后果的，赔偿损失，解除合同。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765"/>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值班</w:t>
            </w:r>
            <w:r>
              <w:rPr>
                <w:rFonts w:hint="eastAsia" w:ascii="宋体" w:hAnsi="宋体" w:eastAsia="宋体" w:cs="宋体"/>
                <w:color w:val="000000"/>
                <w:szCs w:val="21"/>
              </w:rPr>
              <w:br/>
            </w:r>
            <w:r>
              <w:rPr>
                <w:rFonts w:hint="eastAsia" w:ascii="宋体" w:hAnsi="宋体" w:eastAsia="宋体" w:cs="宋体"/>
                <w:color w:val="000000"/>
                <w:szCs w:val="21"/>
              </w:rPr>
              <w:t xml:space="preserve">巡查</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按照每10万平米配足日常巡查和简单维修人员（专业维修人员另行安排），24小时不间断分网格巡查维修，配备足够的巡查皮卡车辆、维护工具设备、巡更器、市政设施管理数字化智能终端和监管系统，实行日常值班巡查。巡查维修期间，人员应坚守岗位，做到不脱岗，并认真做好每日巡路巡桥巡排水记录。</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凡发现脱岗或未巡查，无值班日记发现一次的，每次扣0.5分。无制度措施或未按制度措施执行的，每次次扣1分。不巡视或无巡视登记的，每次扣2分，无正当理由不巡视的（包括工作日和节假日）每日扣0.5分；填写巡视笔记不完整的，每处扣0.5分；不能及时发现问题或没有及时通知有关部门处理问题的，每次扣0.5分。巡查车辆、维护工具设备不能正常投入管护路段使用的，每次扣0.5分。巡查硬件设备和人员安排达不到要求的，每次扣2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393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第三方</w:t>
            </w:r>
            <w:r>
              <w:rPr>
                <w:rFonts w:hint="eastAsia" w:ascii="宋体" w:hAnsi="宋体" w:eastAsia="宋体" w:cs="宋体"/>
                <w:color w:val="000000"/>
                <w:szCs w:val="21"/>
              </w:rPr>
              <w:br/>
            </w:r>
            <w:r>
              <w:rPr>
                <w:rFonts w:hint="eastAsia" w:ascii="宋体" w:hAnsi="宋体" w:eastAsia="宋体" w:cs="宋体"/>
                <w:color w:val="000000"/>
                <w:szCs w:val="21"/>
              </w:rPr>
              <w:t xml:space="preserve">管理</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应及时发现、劝止、举报在城市道路设施（包括快慢车道、非机动车道、人行道、路牙、排水设施、桥梁设施等）下列第三方行为：擅自占用或者挖掘城市道路设施、建设建筑物和构筑物、设置、张贴、刻画广告牌、小广告或者其他挂浮物，依附于城</w:t>
            </w:r>
            <w:r>
              <w:rPr>
                <w:rFonts w:hint="eastAsia" w:ascii="宋体" w:hAnsi="宋体" w:eastAsia="宋体" w:cs="宋体"/>
                <w:color w:val="000000"/>
                <w:szCs w:val="21"/>
              </w:rPr>
              <w:t xml:space="preserve">市道路建设、架设各种管线、杆线、煤气管道、高压电力线和其他易燃易爆管线等设施的；水泥灌车、混凝土搅拌车、石灰厂、履带车、铁轮车或者超重、超高、超长车辆擅自在城市道路上行驶、损坏或污染城市道路设施的；机动车在城市道路设施上试刹车的；经批准临时占用或者挖掘城市道路设施，但损坏城市道路或占用期满后，未及时清理、恢复城市道路设施原状或占用、挖掘未及时修复或者给予赔偿被损坏的城市道路设施的，或者未按照批准的位置、面积、期限占用或者挖掘的，或者现场未设置明显标志和安全防围设施的；其他损害、侵占、占用城市道路设施的行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未及时发现、劝止、举报的，每次扣1分。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文明</w:t>
            </w:r>
            <w:r>
              <w:rPr>
                <w:rFonts w:hint="eastAsia" w:ascii="宋体" w:hAnsi="宋体" w:eastAsia="宋体" w:cs="宋体"/>
                <w:color w:val="000000"/>
                <w:szCs w:val="21"/>
              </w:rPr>
              <w:br/>
            </w:r>
            <w:r>
              <w:rPr>
                <w:rFonts w:hint="eastAsia" w:ascii="宋体" w:hAnsi="宋体" w:eastAsia="宋体" w:cs="宋体"/>
                <w:color w:val="000000"/>
                <w:szCs w:val="21"/>
              </w:rPr>
              <w:t xml:space="preserve">施工</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乙方如因工作原因需要在管护范围内进行施工的，应事前报告甲方，经批准后，在施工现场设置明显标志和安全防护设施，做到安全文明施工，竣工要立即清理现场，做到完工清场。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凡未按规定施工，每次扣3分。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资料</w:t>
            </w:r>
            <w:r>
              <w:rPr>
                <w:rFonts w:hint="eastAsia" w:ascii="宋体" w:hAnsi="宋体" w:eastAsia="宋体" w:cs="宋体"/>
                <w:color w:val="000000"/>
                <w:szCs w:val="21"/>
              </w:rPr>
              <w:br/>
            </w:r>
            <w:r>
              <w:rPr>
                <w:rFonts w:hint="eastAsia" w:ascii="宋体" w:hAnsi="宋体" w:eastAsia="宋体" w:cs="宋体"/>
                <w:color w:val="000000"/>
                <w:szCs w:val="21"/>
              </w:rPr>
              <w:t xml:space="preserve">台账</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乙方应将管护期限内所形成的技术资料及时收集、整理，并按月登记造册，形成档案后保存，合同结束后交甲方；乙方必须保管好甲方交接的有关资料。</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未将管护期限内所形成的技术资料及时收集、整理，并未按季度登记造册的，每次扣0.5分。乙方不能保管好甲方交接的有关资料的，本项不得分。不能补充完善好缺失的资料的，解除合同。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395"/>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管护</w:t>
            </w:r>
            <w:r>
              <w:rPr>
                <w:rFonts w:hint="eastAsia" w:ascii="宋体" w:hAnsi="宋体" w:eastAsia="宋体" w:cs="宋体"/>
                <w:color w:val="000000"/>
                <w:szCs w:val="21"/>
              </w:rPr>
              <w:br/>
            </w:r>
            <w:r>
              <w:rPr>
                <w:rFonts w:hint="eastAsia" w:ascii="宋体" w:hAnsi="宋体" w:eastAsia="宋体" w:cs="宋体"/>
                <w:color w:val="000000"/>
                <w:szCs w:val="21"/>
              </w:rPr>
              <w:t xml:space="preserve">方案</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乙方必须有依据有关规范规定要求编制的管护方案，有保证特殊天气、重大社会活动期间保证道路等市政设施正常使用的制度措施。投标时承诺的人员设备必须实际投入使用。</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无管护方案的，每次扣2分；人员投入每少一人扣1分，机械设备投入少一件的扣1分；人员、机械设备少于投标时承诺的80%的，解除合同。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8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安全</w:t>
            </w:r>
            <w:r>
              <w:rPr>
                <w:rFonts w:hint="eastAsia" w:ascii="宋体" w:hAnsi="宋体" w:eastAsia="宋体" w:cs="宋体"/>
                <w:color w:val="000000"/>
                <w:szCs w:val="21"/>
              </w:rPr>
              <w:br/>
            </w:r>
            <w:r>
              <w:rPr>
                <w:rFonts w:hint="eastAsia" w:ascii="宋体" w:hAnsi="宋体" w:eastAsia="宋体" w:cs="宋体"/>
                <w:color w:val="000000"/>
                <w:szCs w:val="21"/>
              </w:rPr>
              <w:t xml:space="preserve">管理</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安全管理全部由乙方负责，凡出现安全事故，不论何种原因，由中标单位承担经济和法律等一切责任（含第三方责任），第三方责任由乙方依法追究。杜绝安全事故发生。</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人身安全：在岗不按要求戴反光工作服、行业标识上岗，对有特殊要求的工种，上岗人员</w:t>
            </w:r>
            <w:r>
              <w:rPr>
                <w:rFonts w:hint="eastAsia" w:ascii="宋体" w:hAnsi="宋体" w:eastAsia="宋体" w:cs="宋体"/>
                <w:color w:val="000000"/>
                <w:szCs w:val="21"/>
              </w:rPr>
              <w:t xml:space="preserve">不具备相应专业技能和从业资质，每人次扣1分；工人不按要求配带安全保护装备的、场地不按规范设立安全警示牌（灯），每次（人、处）扣3分。机械安全：各类机械的操作人员须接受岗前培训，持证上岗，对操作规程不掌握的，每人次扣1分；未配备相应资质的维修、管理人员，每项扣5分；未持证上岗的操作人员，每人次扣5分；大型机械施工时，现场无围合、无标示的，每宗扣2分。每发生一起安全责任事故，或发生安全事故未及时处理，视情节轻重扣8-10分，后果严重的扣完该项分，解除合同，并停拔当季度管护款，酌情扣减履约保证金的10%-80%。</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2053"/>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社会监督</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杜绝领导批评、群众投诉、媒体（含网络等）曝光等现象。投诉问题（包括领导批评、媒体曝光、群众信访等）及时处理，并按要求及时给予反馈答复，做好处置情况记录。</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凡经查证属实每出现群众投诉的，每次扣5分，出现媒体曝光的，每次扣5分,对群众投诉的有关问题没有及时处理的，每宗扣2分；由于工作推诿、拖拉造成不良后果的，每宗扣5分；以上事件每发生一次同时扣减履约保证金500－1000元。对投诉问题不处理的、投诉问题办理超时限的、投诉问题不答复的、不按要求反馈的，每起扣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2119"/>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质量合格率</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严格按照规范工艺程序维修操作，保证施工质量；质量合格率为100％、优秀率30％。（按建设部部颁标准及评分表格检查，无相应标准的暂按设计标准进行）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查验项目按建设部统一表格计分，报查项目不全的，缺项每项扣1分；不合格项目，每项扣1分；不按规范工艺施工的，每处扣0.5分，优秀率不达标，每差1%扣0.5分。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357"/>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临时任务</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积极配合、及时认真地完成上级组织的各项临时性任务和专项治理任务等指令性工作。</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不及时安排相关工作或草率处理、敷衍了事的，每次酌情扣0.5到1分。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78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制度建设</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管理制度、养护计划和方案、巡查安排、报表、社会承诺等制度齐全且执行到位。</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无上述制度和资料的，每项扣2分，执行不到位的，每项扣1分。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bl>
    <w:p>
      <w:pPr>
        <w:rPr>
          <w:rFonts w:hint="eastAsia" w:ascii="宋体" w:hAnsi="宋体" w:eastAsia="宋体" w:cs="宋体"/>
          <w:color w:val="auto"/>
        </w:rPr>
        <w:sectPr>
          <w:footnotePr/>
          <w:endnotePr/>
          <w:type w:val="nextPage"/>
          <w:pgSz w:w="16838" w:h="11906" w:orient="landscape"/>
          <w:pgMar w:top="1587" w:right="1440" w:bottom="1587" w:left="1440" w:header="851" w:footer="907" w:gutter="0"/>
          <w:cols w:num="1" w:sep="0" w:space="720" w:equalWidth="1"/>
          <w:docGrid w:linePitch="360"/>
          <w:titlePg/>
        </w:sectPr>
      </w:pPr>
      <w:r>
        <w:rPr>
          <w:rFonts w:hint="eastAsia" w:ascii="宋体" w:hAnsi="宋体" w:eastAsia="宋体" w:cs="宋体"/>
          <w:color w:val="auto"/>
        </w:rPr>
      </w:r>
      <w:r/>
    </w:p>
    <w:p>
      <w:pPr>
        <w:pStyle w:val="685"/>
        <w:jc w:val="center"/>
        <w:keepLines w:val="0"/>
        <w:keepNext w:val="0"/>
        <w:pageBreakBefore w:val="0"/>
        <w:spacing w:before="120" w:beforeAutospacing="0" w:after="120" w:afterAutospacing="0" w:line="500" w:lineRule="exact"/>
        <w:widowControl w:val="off"/>
        <w:rPr>
          <w:rFonts w:hint="eastAsia" w:ascii="宋体" w:hAnsi="宋体" w:eastAsia="宋体" w:cs="宋体"/>
          <w:highlight w:val="none"/>
        </w:rPr>
      </w:pPr>
      <w:r>
        <w:rPr>
          <w:rFonts w:hint="eastAsia" w:ascii="宋体" w:hAnsi="宋体" w:eastAsia="宋体" w:cs="宋体"/>
          <w:color w:val="000000"/>
          <w:sz w:val="44"/>
          <w:szCs w:val="44"/>
          <w:highlight w:val="none"/>
        </w:rPr>
        <w:t xml:space="preserve"> 第</w:t>
      </w:r>
      <w:bookmarkEnd w:id="171"/>
      <w:r>
        <w:rPr>
          <w:rFonts w:hint="eastAsia" w:ascii="宋体" w:hAnsi="宋体" w:eastAsia="宋体" w:cs="宋体"/>
          <w:color w:val="000000"/>
          <w:sz w:val="44"/>
          <w:szCs w:val="44"/>
          <w:highlight w:val="none"/>
        </w:rPr>
        <w:t xml:space="preserve">四章 采购需求</w:t>
      </w:r>
      <w:bookmarkEnd w:id="172"/>
      <w:r/>
      <w:bookmarkEnd w:id="173"/>
      <w:r/>
      <w:bookmarkEnd w:id="174"/>
      <w:r/>
      <w:bookmarkEnd w:id="175"/>
      <w:r/>
      <w:bookmarkEnd w:id="176"/>
      <w:r/>
      <w:r/>
    </w:p>
    <w:p>
      <w:pPr>
        <w:pStyle w:val="68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83" w:name="_Toc49090575"/>
      <w:r/>
      <w:bookmarkStart w:id="184" w:name="_Toc26554093"/>
      <w:r>
        <w:rPr>
          <w:rFonts w:hint="eastAsia" w:ascii="宋体" w:hAnsi="宋体" w:eastAsia="宋体" w:cs="宋体"/>
          <w:color w:val="000000"/>
          <w:sz w:val="24"/>
          <w:szCs w:val="24"/>
          <w:highlight w:val="none"/>
        </w:rPr>
        <w:t xml:space="preserve">项目属性:服务类项目。</w:t>
      </w:r>
      <w:bookmarkEnd w:id="183"/>
      <w:r/>
      <w:bookmarkEnd w:id="184"/>
      <w:r/>
      <w:r/>
    </w:p>
    <w:p>
      <w:pPr>
        <w:pStyle w:val="68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ind w:firstLine="482"/>
        <w:keepLines w:val="0"/>
        <w:keepNext w:val="0"/>
        <w:pageBreakBefore w:val="0"/>
        <w:spacing w:beforeAutospacing="0" w:afterAutospacing="0"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一、标的内容：</w:t>
      </w:r>
      <w:r/>
    </w:p>
    <w:p>
      <w:pPr>
        <w:ind w:firstLine="480"/>
        <w:keepLines w:val="0"/>
        <w:keepNext w:val="0"/>
        <w:pageBreakBefore w:val="0"/>
        <w:spacing w:beforeAutospacing="0" w:afterAutospacing="0" w:line="360" w:lineRule="auto"/>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1、项目名称：盐南高新区农村公路、铁路沿线养护服务。</w:t>
      </w:r>
      <w:r/>
    </w:p>
    <w:p>
      <w:pPr>
        <w:ind w:firstLine="480"/>
        <w:keepLines w:val="0"/>
        <w:keepNext w:val="0"/>
        <w:pageBreakBefore w:val="0"/>
        <w:spacing w:beforeAutospacing="0" w:afterAutospacing="0" w:line="360" w:lineRule="auto"/>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2、建设地点：盐城市</w:t>
      </w:r>
      <w:r>
        <w:rPr>
          <w:rFonts w:hint="eastAsia" w:ascii="宋体" w:hAnsi="宋体" w:eastAsia="宋体" w:cs="宋体"/>
          <w:bCs/>
          <w:color w:val="000000"/>
          <w:sz w:val="24"/>
          <w:szCs w:val="24"/>
          <w:lang w:val="en-US" w:eastAsia="zh-CN"/>
        </w:rPr>
        <w:t xml:space="preserve">盐南高新</w:t>
      </w:r>
      <w:r>
        <w:rPr>
          <w:rFonts w:hint="eastAsia" w:ascii="宋体" w:hAnsi="宋体" w:eastAsia="宋体" w:cs="宋体"/>
          <w:bCs/>
          <w:color w:val="000000"/>
          <w:sz w:val="24"/>
          <w:szCs w:val="24"/>
          <w:lang w:eastAsia="zh-CN"/>
        </w:rPr>
        <w:t xml:space="preserve">区内。</w:t>
      </w:r>
      <w:r/>
    </w:p>
    <w:p>
      <w:pPr>
        <w:ind w:firstLine="482"/>
        <w:keepLines w:val="0"/>
        <w:keepNext w:val="0"/>
        <w:pageBreakBefore w:val="0"/>
        <w:spacing w:beforeAutospacing="0" w:afterAutospacing="0"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二、服务期、质量等要求</w:t>
      </w:r>
      <w:r/>
    </w:p>
    <w:p>
      <w:pPr>
        <w:ind w:firstLine="482"/>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1、服务期</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highlight w:val="none"/>
        </w:rPr>
        <w:t xml:space="preserve">暂定三年，合同一年一签，续签最多两次。服务期终止时，甲方选聘了新的服务企业的，乙方与新的服务企业之间应当做好交接工作。续签时甲方组织综合考评组对服务情况进行考评，考核合格后方可续签，考核不合格，甲方有权终止合同。</w:t>
      </w:r>
      <w:r/>
    </w:p>
    <w:p>
      <w:pPr>
        <w:ind w:firstLine="482"/>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2、质量要求</w:t>
      </w:r>
      <w:r>
        <w:rPr>
          <w:rFonts w:hint="eastAsia" w:ascii="宋体" w:hAnsi="宋体" w:eastAsia="宋体" w:cs="宋体"/>
          <w:color w:val="000000"/>
          <w:sz w:val="24"/>
          <w:szCs w:val="24"/>
        </w:rPr>
        <w:t xml:space="preserve">：国家相关工程质量验收规范合格标准。</w:t>
      </w:r>
      <w:r/>
    </w:p>
    <w:p>
      <w:pPr>
        <w:ind w:firstLine="482"/>
        <w:keepLines w:val="0"/>
        <w:keepNext w:val="0"/>
        <w:pageBreakBefore w:val="0"/>
        <w:spacing w:beforeAutospacing="0" w:afterAutospacing="0"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3、材料、设备等的质量要求：</w:t>
      </w:r>
      <w:r/>
    </w:p>
    <w:p>
      <w:pPr>
        <w:ind w:firstLine="480"/>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承包人在选择材料、设备时，应在满足采购人要求，指标须符合国家相关标准要求。</w:t>
      </w:r>
      <w:r/>
    </w:p>
    <w:p>
      <w:pPr>
        <w:ind w:firstLine="482"/>
        <w:keepLines w:val="0"/>
        <w:keepNext w:val="0"/>
        <w:pageBreakBefore w:val="0"/>
        <w:spacing w:beforeAutospacing="0" w:afterAutospacing="0"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三、其他要求：</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1．财务要求：投标人应具有独立订立合同的能力，未处于财产被接管、冻结和破产状态。</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2．信誉要求：投标人没有被国家、江苏省省级有关部门及盐城市级有关部门暂停招投标或市场准入资格且在公示处罚期内。</w:t>
      </w:r>
      <w:r/>
    </w:p>
    <w:p>
      <w:pPr>
        <w:ind w:firstLine="480"/>
        <w:keepLines w:val="0"/>
        <w:keepNext w:val="0"/>
        <w:pageBreakBefore w:val="0"/>
        <w:spacing w:beforeAutospacing="0" w:afterAutospacing="0" w:line="360" w:lineRule="auto"/>
        <w:rPr>
          <w:rFonts w:hint="eastAsia" w:ascii="宋体" w:hAnsi="宋体" w:eastAsia="宋体" w:cs="宋体"/>
          <w:i/>
          <w:color w:val="000000"/>
          <w:sz w:val="24"/>
          <w:szCs w:val="24"/>
        </w:rPr>
      </w:pPr>
      <w:r>
        <w:rPr>
          <w:rFonts w:hint="eastAsia" w:ascii="宋体" w:hAnsi="宋体" w:eastAsia="宋体" w:cs="宋体"/>
          <w:color w:val="000000"/>
          <w:sz w:val="24"/>
          <w:szCs w:val="24"/>
        </w:rPr>
        <w:t xml:space="preserve">3.本项目主要管理人员包括项目负责人、技术负责人、安全员。投标时，仅需提供项目负责人相关资料，其他现场人员在中标签订施工合同备案时按苏建建管〔2014〕701号文要求配备到位。</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4、施工现场情况、交通运输情况、自然地理条件、环境保护要求等由投标人自行考虑。</w:t>
      </w:r>
      <w:r/>
    </w:p>
    <w:p>
      <w:pPr>
        <w:ind w:firstLine="480"/>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、工程所发生的垃圾清理及外运费用，投标人应综合考虑到相应的各综合单价及合价中，结算时不再增加相关费用。</w:t>
      </w:r>
      <w:r/>
    </w:p>
    <w:p>
      <w:pPr>
        <w:ind w:firstLine="480"/>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7、施工用水、电由中标人自行考虑。</w:t>
      </w:r>
      <w:bookmarkStart w:id="185" w:name="_Toc424114677"/>
      <w:r/>
      <w:bookmarkEnd w:id="185"/>
      <w:r/>
    </w:p>
    <w:p>
      <w:pPr>
        <w:ind w:firstLine="361"/>
        <w:keepLines w:val="0"/>
        <w:keepNext w:val="0"/>
        <w:pageBreakBefore w:val="0"/>
        <w:spacing w:beforeAutospacing="0" w:afterAutospacing="0"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四、项目详细具体要求</w:t>
      </w:r>
      <w:r/>
    </w:p>
    <w:p>
      <w:pPr>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）、项目相关要求</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rPr>
      </w:pPr>
      <w:r/>
      <w:bookmarkStart w:id="186" w:name="_Toc316050400"/>
      <w:r/>
      <w:bookmarkEnd w:id="186"/>
      <w:r/>
      <w:bookmarkStart w:id="187" w:name="_Toc240801310"/>
      <w:r/>
      <w:bookmarkEnd w:id="187"/>
      <w:r>
        <w:rPr>
          <w:rFonts w:hint="eastAsia" w:ascii="宋体" w:hAnsi="宋体" w:eastAsia="宋体" w:cs="宋体"/>
          <w:color w:val="000000"/>
          <w:sz w:val="24"/>
          <w:szCs w:val="24"/>
        </w:rPr>
        <w:t xml:space="preserve">1、本次招标采用固定单价，中标单价一经确定不得调整。水电、运输、通风、封堵、降排水、淤泥（垃圾）外运及处置、税金、保险等等所有可能涉及的费用全部列入各单价中，不再另外计取。</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采购人每月组织一次巡查工作考核，考核标准参照《</w:t>
      </w:r>
      <w:r>
        <w:rPr>
          <w:rFonts w:hint="eastAsia" w:ascii="宋体" w:hAnsi="宋体" w:eastAsia="宋体" w:cs="宋体"/>
          <w:color w:val="000000"/>
          <w:sz w:val="24"/>
          <w:szCs w:val="24"/>
          <w:lang w:eastAsia="zh-CN"/>
        </w:rPr>
        <w:t xml:space="preserve">江苏省盐南高新技术产业开发区住房和建设局</w:t>
      </w:r>
      <w:r>
        <w:rPr>
          <w:rFonts w:hint="eastAsia" w:ascii="宋体" w:hAnsi="宋体" w:eastAsia="宋体" w:cs="宋体"/>
          <w:color w:val="000000"/>
          <w:sz w:val="24"/>
          <w:szCs w:val="24"/>
        </w:rPr>
        <w:t xml:space="preserve">污水管网及泵站巡查管护考核办法》，考核结果与巡查费用挂钩。</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投标人</w:t>
      </w:r>
      <w:r>
        <w:rPr>
          <w:rFonts w:hint="eastAsia" w:ascii="宋体" w:hAnsi="宋体" w:eastAsia="宋体" w:cs="宋体"/>
          <w:color w:val="000000"/>
          <w:sz w:val="24"/>
          <w:szCs w:val="24"/>
          <w:lang w:val="en-US" w:eastAsia="zh-CN"/>
        </w:rPr>
        <w:t xml:space="preserve">巡查</w:t>
      </w:r>
      <w:r>
        <w:rPr>
          <w:rFonts w:hint="eastAsia" w:ascii="宋体" w:hAnsi="宋体" w:eastAsia="宋体" w:cs="宋体"/>
          <w:color w:val="000000"/>
          <w:sz w:val="24"/>
          <w:szCs w:val="24"/>
        </w:rPr>
        <w:t xml:space="preserve">工作连续两个月考核不合格的，采购人有权解除合同。</w:t>
      </w:r>
      <w:r/>
    </w:p>
    <w:p>
      <w:pPr>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）、质量保证及售后服务</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1.响应时间:每天24小时，立即响应。投标人要设立24小时服务热线（固定电话和手机均要有）。</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2.到达现场时间:投标人在接到养护任务后要在1小时内到达现场。</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三</w:t>
      </w:r>
      <w:r>
        <w:rPr>
          <w:rFonts w:hint="eastAsia" w:ascii="宋体" w:hAnsi="宋体" w:eastAsia="宋体" w:cs="宋体"/>
          <w:b/>
          <w:color w:val="auto"/>
          <w:sz w:val="24"/>
          <w:szCs w:val="24"/>
        </w:rPr>
        <w:t xml:space="preserve">）、档案管理</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日常养护管理作业资料齐全，做到有记录，有统计，并且资料与实际养护情况相符。每月考核前报养护档案台帐，年终对全年资料进行汇总装订。</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b/>
          <w:color w:val="000000"/>
          <w:sz w:val="24"/>
          <w:szCs w:val="24"/>
          <w:lang w:val="en-US" w:eastAsia="zh-CN" w:bidi="ar-SA"/>
        </w:rPr>
        <w:t xml:space="preserve">五、采购标的对应的中小企业划分标准所属行业一览表</w:t>
      </w:r>
      <w:r/>
    </w:p>
    <w:tbl>
      <w:tblPr>
        <w:tblStyle w:val="677"/>
        <w:tblpPr w:horzAnchor="page" w:tblpX="2117" w:vertAnchor="text" w:tblpY="604" w:leftFromText="180" w:topFromText="0" w:rightFromText="180" w:bottomFromText="0"/>
        <w:tblW w:w="784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787"/>
        <w:gridCol w:w="3049"/>
        <w:gridCol w:w="4007"/>
      </w:tblGrid>
      <w:tr>
        <w:trPr>
          <w:tblCellSpacing w:w="0" w:type="dxa"/>
          <w:trHeight w:val="515"/>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对应中小企业划分标准所属行业</w:t>
            </w:r>
            <w:r/>
          </w:p>
        </w:tc>
      </w:tr>
      <w:tr>
        <w:trPr>
          <w:tblCellSpacing w:w="0" w:type="dxa"/>
          <w:trHeight w:val="933"/>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numPr>
                <w:ilvl w:val="0"/>
                <w:numId w:val="0"/>
              </w:numPr>
              <w:ind w:left="420" w:right="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盐南高新区农村公路、铁路沿线养护服务</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其他未列明行业</w:t>
            </w:r>
            <w:r/>
          </w:p>
        </w:tc>
      </w:tr>
    </w:tbl>
    <w:p>
      <w:pPr>
        <w:ind w:firstLine="20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highlight w:val="none"/>
        </w:rPr>
      </w:pPr>
      <w:r>
        <w:rPr>
          <w:highlight w:val="none"/>
        </w:rPr>
      </w:r>
      <w:r/>
    </w:p>
    <w:p>
      <w:pPr>
        <w:pStyle w:val="685"/>
        <w:jc w:val="both"/>
        <w:spacing w:beforeAutospacing="0" w:afterAutospacing="0"/>
        <w:rPr>
          <w:highlight w:val="none"/>
        </w:rPr>
      </w:pPr>
      <w:r>
        <w:rPr>
          <w:highlight w:val="none"/>
        </w:rPr>
      </w:r>
      <w:r/>
    </w:p>
    <w:p>
      <w:pPr>
        <w:pStyle w:val="685"/>
        <w:jc w:val="both"/>
        <w:spacing w:beforeAutospacing="0" w:afterAutospacing="0"/>
        <w:rPr>
          <w:highlight w:val="none"/>
        </w:rPr>
      </w:pPr>
      <w:r>
        <w:rPr>
          <w:highlight w:val="none"/>
        </w:rPr>
      </w:r>
      <w:r/>
    </w:p>
    <w:p>
      <w:pPr>
        <w:pStyle w:val="68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center"/>
        <w:keepNext/>
        <w:spacing w:beforeAutospacing="0" w:afterAutospacing="0"/>
        <w:rPr>
          <w:rFonts w:hint="eastAsia" w:ascii="宋体" w:hAnsi="宋体" w:eastAsia="宋体" w:cs="宋体"/>
          <w:sz w:val="24"/>
          <w:szCs w:val="24"/>
          <w:highlight w:val="none"/>
        </w:rPr>
      </w:pPr>
      <w:r/>
      <w:bookmarkStart w:id="188" w:name="_Toc120614281"/>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center"/>
        <w:keepNext/>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keepNext/>
        <w:spacing w:beforeAutospacing="0" w:afterAutospacing="0"/>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经评审的最低价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到</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顺序排列。投标报价相同的</w:t>
      </w:r>
      <w:r>
        <w:rPr>
          <w:rFonts w:hint="eastAsia" w:ascii="宋体" w:hAnsi="宋体" w:eastAsia="宋体" w:cs="宋体"/>
          <w:color w:val="000000"/>
          <w:sz w:val="24"/>
          <w:szCs w:val="24"/>
          <w:highlight w:val="none"/>
          <w:lang w:val="en-US" w:eastAsia="zh-CN"/>
        </w:rPr>
        <w:t xml:space="preserve">由评标委员会随机抽取</w:t>
      </w:r>
      <w:r>
        <w:rPr>
          <w:rFonts w:hint="eastAsia" w:ascii="宋体" w:hAnsi="宋体" w:eastAsia="宋体" w:cs="宋体"/>
          <w:color w:val="000000"/>
          <w:sz w:val="24"/>
          <w:szCs w:val="24"/>
          <w:highlight w:val="none"/>
        </w:rPr>
        <w:t xml:space="preserve">。投标文件满足招标文件全部实质性要求，且按照评审因素的量化指标</w:t>
      </w:r>
      <w:r>
        <w:rPr>
          <w:rFonts w:hint="eastAsia" w:ascii="宋体" w:hAnsi="宋体" w:eastAsia="宋体" w:cs="宋体"/>
          <w:color w:val="000000"/>
          <w:sz w:val="24"/>
          <w:szCs w:val="24"/>
          <w:highlight w:val="none"/>
          <w:lang w:val="en-US" w:eastAsia="zh-CN"/>
        </w:rPr>
        <w:t xml:space="preserve">投标报价</w:t>
      </w: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的投标人为排名第一的中标候选人，本项目选取1名中标候选人。</w:t>
      </w:r>
      <w:r/>
    </w:p>
    <w:p>
      <w:pPr>
        <w:pStyle w:val="685"/>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91"/>
        <w:ind w:firstLine="360"/>
        <w:spacing w:line="360" w:lineRule="auto"/>
        <w:rPr>
          <w:rFonts w:hint="eastAsia" w:ascii="宋体" w:hAnsi="宋体" w:eastAsia="宋体" w:cs="宋体"/>
          <w:highlight w:val="none"/>
        </w:rPr>
      </w:pPr>
      <w:r>
        <w:rPr>
          <w:rFonts w:hint="eastAsia" w:ascii="宋体" w:hAnsi="宋体" w:eastAsia="宋体" w:cs="宋体"/>
          <w:highlight w:val="none"/>
        </w:rPr>
        <w:t xml:space="preserve">（1）本项目不专门面向中小企业采购，对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w:t>
      </w:r>
      <w:r/>
    </w:p>
    <w:p>
      <w:pPr>
        <w:pStyle w:val="685"/>
        <w:ind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85"/>
        <w:ind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85"/>
        <w:ind w:left="120" w:firstLine="36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5"/>
        <w:ind w:left="120"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85"/>
        <w:ind w:left="120"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85"/>
        <w:ind w:left="120" w:firstLine="36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85"/>
        <w:ind w:firstLine="48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85"/>
        <w:ind w:left="120" w:firstLine="36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85"/>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p>
      <w:pPr>
        <w:ind w:left="2100"/>
        <w:jc w:val="both"/>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tbl>
      <w:tblPr>
        <w:tblStyle w:val="677"/>
        <w:tblW w:w="53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828"/>
        <w:gridCol w:w="6970"/>
      </w:tblGrid>
      <w:tr>
        <w:trPr>
          <w:jc w:val="center"/>
          <w:trHeight w:val="580"/>
        </w:trPr>
        <w:tc>
          <w:tcPr>
            <w:tcMar>
              <w:left w:w="15" w:type="dxa"/>
              <w:top w:w="15" w:type="dxa"/>
              <w:right w:w="15" w:type="dxa"/>
            </w:tcMar>
            <w:tcW w:w="646"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评审因素</w:t>
            </w:r>
            <w:r/>
          </w:p>
        </w:tc>
        <w:tc>
          <w:tcPr>
            <w:tcMar>
              <w:left w:w="15" w:type="dxa"/>
              <w:top w:w="15" w:type="dxa"/>
              <w:right w:w="15" w:type="dxa"/>
            </w:tcMar>
            <w:tcW w:w="462"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分数</w:t>
            </w:r>
            <w:r/>
          </w:p>
        </w:tc>
        <w:tc>
          <w:tcPr>
            <w:tcMar>
              <w:left w:w="15" w:type="dxa"/>
              <w:top w:w="15" w:type="dxa"/>
              <w:right w:w="15" w:type="dxa"/>
            </w:tcMar>
            <w:tcW w:w="3891"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评审标准</w:t>
            </w:r>
            <w:r/>
          </w:p>
        </w:tc>
      </w:tr>
      <w:tr>
        <w:trPr>
          <w:jc w:val="center"/>
          <w:trHeight w:val="461"/>
        </w:trPr>
        <w:tc>
          <w:tcPr>
            <w:tcMar>
              <w:left w:w="15" w:type="dxa"/>
              <w:top w:w="15" w:type="dxa"/>
              <w:right w:w="15" w:type="dxa"/>
            </w:tcMar>
            <w:tcW w:w="646" w:type="pct"/>
            <w:vAlign w:val="center"/>
            <w:textDirection w:val="lrTb"/>
            <w:noWrap w:val="false"/>
          </w:tcPr>
          <w:p>
            <w:pPr>
              <w:ind w:left="0" w:firstLine="0"/>
              <w:jc w:val="center"/>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报价分</w:t>
            </w:r>
            <w:r/>
          </w:p>
        </w:tc>
        <w:tc>
          <w:tcPr>
            <w:tcMar>
              <w:left w:w="15" w:type="dxa"/>
              <w:top w:w="15" w:type="dxa"/>
              <w:right w:w="15" w:type="dxa"/>
            </w:tcMar>
            <w:tcW w:w="462" w:type="pct"/>
            <w:vAlign w:val="center"/>
            <w:textDirection w:val="lrTb"/>
            <w:noWrap w:val="false"/>
          </w:tcPr>
          <w:p>
            <w:pPr>
              <w:ind w:left="0" w:firstLine="0"/>
              <w:jc w:val="center"/>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100分</w:t>
            </w:r>
            <w:r/>
          </w:p>
        </w:tc>
        <w:tc>
          <w:tcPr>
            <w:tcMar>
              <w:left w:w="15" w:type="dxa"/>
              <w:top w:w="15" w:type="dxa"/>
              <w:right w:w="15" w:type="dxa"/>
            </w:tcMar>
            <w:tcW w:w="3891" w:type="pct"/>
            <w:vAlign w:val="center"/>
            <w:textDirection w:val="lrTb"/>
            <w:noWrap w:val="false"/>
          </w:tcPr>
          <w:p>
            <w:pPr>
              <w:ind w:firstLine="420"/>
              <w:jc w:val="left"/>
              <w:keepLines w:val="0"/>
              <w:keepNext w:val="0"/>
              <w:pageBreakBefore w:val="0"/>
              <w:spacing w:line="360" w:lineRule="auto"/>
              <w:widowControl w:val="off"/>
              <w:tabs>
                <w:tab w:val="left" w:pos="0" w:leader="none"/>
              </w:tabs>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用低价优先法计算，即满足招标文件要求且投标价格最低的投标报价为评标基准价，其价格分为满分（100分）。其他投标人的价格分按照下列公式计算（小数点保留两位）：投标报价得分＝（评标基准价／投标报价）×100</w:t>
            </w:r>
            <w:r/>
          </w:p>
        </w:tc>
      </w:tr>
    </w:tbl>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pStyle w:val="68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highlight w:val="none"/>
        </w:rPr>
        <w:t xml:space="preserve"> </w:t>
      </w:r>
      <w:r>
        <w:rPr>
          <w:rFonts w:hint="eastAsia" w:ascii="宋体" w:hAnsi="宋体" w:eastAsia="宋体" w:cs="宋体"/>
          <w:highlight w:val="none"/>
        </w:rPr>
        <w:t xml:space="preserve"> </w:t>
      </w:r>
      <w:r/>
    </w:p>
    <w:p>
      <w:pPr>
        <w:rPr>
          <w:rFonts w:hint="eastAsia" w:ascii="宋体" w:hAnsi="宋体" w:eastAsia="宋体" w:cs="宋体"/>
          <w:color w:val="000000"/>
          <w:sz w:val="44"/>
          <w:szCs w:val="44"/>
          <w:highlight w:val="none"/>
        </w:rPr>
      </w:pPr>
      <w:r>
        <w:rPr>
          <w:rFonts w:hint="eastAsia" w:ascii="宋体" w:hAnsi="宋体" w:eastAsia="宋体" w:cs="宋体"/>
          <w:highlight w:val="none"/>
        </w:rPr>
        <w:t xml:space="preserve"> </w:t>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spacing w:beforeAutospacing="0" w:afterAutospacing="0"/>
        <w:rPr>
          <w:rFonts w:hint="eastAsia" w:ascii="宋体" w:hAnsi="宋体" w:eastAsia="宋体" w:cs="宋体"/>
          <w:highlight w:val="none"/>
        </w:rPr>
      </w:pPr>
      <w:r/>
      <w:bookmarkStart w:id="189" w:name="_Hlt26955039"/>
      <w:r/>
      <w:bookmarkEnd w:id="189"/>
      <w:r/>
      <w:bookmarkStart w:id="190" w:name="_Hlt26671244"/>
      <w:r/>
      <w:bookmarkEnd w:id="190"/>
      <w:r/>
      <w:bookmarkStart w:id="191" w:name="_Toc26554094"/>
      <w:r/>
      <w:bookmarkEnd w:id="191"/>
      <w:r/>
      <w:bookmarkStart w:id="192" w:name="_Toc120614282"/>
      <w:r/>
      <w:bookmarkStart w:id="193" w:name="_Toc49090576"/>
      <w:r>
        <w:rPr>
          <w:rFonts w:hint="eastAsia" w:ascii="宋体" w:hAnsi="宋体" w:eastAsia="宋体" w:cs="宋体"/>
          <w:b/>
          <w:color w:val="000000"/>
          <w:sz w:val="72"/>
          <w:szCs w:val="72"/>
          <w:highlight w:val="none"/>
        </w:rPr>
        <w:t xml:space="preserve">投  标  文  件</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85"/>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bCs/>
          <w:color w:val="000000"/>
          <w:sz w:val="36"/>
          <w:szCs w:val="36"/>
          <w:highlight w:val="none"/>
          <w:u w:val="single"/>
        </w:rPr>
      </w:pPr>
      <w:r>
        <w:rPr>
          <w:rFonts w:hint="eastAsia" w:ascii="宋体" w:hAnsi="宋体" w:eastAsia="宋体" w:cs="宋体"/>
          <w:b/>
          <w:color w:val="000000"/>
          <w:sz w:val="36"/>
          <w:szCs w:val="36"/>
          <w:highlight w:val="none"/>
          <w:u w:val="single"/>
        </w:rPr>
      </w:r>
      <w:r>
        <w:rPr>
          <w:rFonts w:hint="eastAsia" w:ascii="宋体" w:hAnsi="宋体" w:eastAsia="宋体" w:cs="宋体"/>
          <w:b/>
          <w:color w:val="000000"/>
          <w:sz w:val="36"/>
          <w:szCs w:val="36"/>
          <w:highlight w:val="none"/>
          <w:u w:val="single"/>
        </w:rPr>
      </w:r>
    </w:p>
    <w:p>
      <w:pPr>
        <w:pStyle w:val="685"/>
        <w:jc w:val="center"/>
        <w:spacing w:beforeAutospacing="0" w:afterAutospacing="0" w:line="0" w:lineRule="atLeast"/>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u w:val="single"/>
        </w:rPr>
      </w:r>
      <w:r>
        <w:rPr>
          <w:rFonts w:hint="eastAsia" w:ascii="宋体" w:hAnsi="宋体" w:eastAsia="宋体" w:cs="宋体"/>
          <w:b/>
          <w:bCs/>
          <w:color w:val="000000"/>
          <w:sz w:val="36"/>
          <w:szCs w:val="36"/>
          <w:highlight w:val="none"/>
          <w:u w:val="single"/>
        </w:rPr>
      </w:r>
    </w:p>
    <w:p>
      <w:pPr>
        <w:pStyle w:val="685"/>
        <w:jc w:val="center"/>
        <w:spacing w:beforeAutospacing="0" w:afterAutospacing="0" w:line="0" w:lineRule="atLeast"/>
        <w:rPr>
          <w:rFonts w:hint="eastAsia" w:ascii="宋体" w:hAnsi="宋体" w:eastAsia="宋体" w:cs="宋体"/>
          <w:b/>
          <w:bCs/>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8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8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、投标分项报价表</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685"/>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68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685"/>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5"/>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685"/>
        <w:ind w:firstLine="480"/>
        <w:jc w:val="both"/>
        <w:spacing w:beforeAutospacing="0" w:afterAutospacing="0"/>
        <w:rPr>
          <w:rFonts w:hint="eastAsia" w:ascii="宋体" w:hAnsi="宋体" w:eastAsia="宋体" w:cs="宋体"/>
          <w:highlight w:val="none"/>
        </w:rPr>
      </w:pPr>
      <w:r/>
      <w:bookmarkStart w:id="194"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4"/>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i/>
          <w:color w:val="000000"/>
          <w:sz w:val="32"/>
          <w:szCs w:val="32"/>
          <w:highlight w:val="none"/>
          <w:u w:val="single"/>
        </w:rPr>
      </w:r>
      <w:r>
        <w:rPr>
          <w:rFonts w:hint="eastAsia" w:ascii="宋体" w:hAnsi="宋体" w:eastAsia="宋体" w:cs="宋体"/>
          <w:i/>
          <w:color w:val="000000"/>
          <w:sz w:val="32"/>
          <w:szCs w:val="32"/>
          <w:highlight w:val="none"/>
          <w:u w:val="single"/>
        </w:rPr>
      </w:r>
    </w:p>
    <w:p>
      <w:pPr>
        <w:pStyle w:val="685"/>
        <w:jc w:val="center"/>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rPr>
          <w:rFonts w:hint="eastAsia" w:ascii="宋体" w:hAnsi="宋体" w:eastAsia="宋体" w:cs="宋体"/>
          <w:bCs/>
          <w:i/>
          <w:color w:val="000000"/>
          <w:sz w:val="32"/>
          <w:szCs w:val="32"/>
          <w:highlight w:val="none"/>
          <w:u w:val="single"/>
        </w:rPr>
      </w:r>
    </w:p>
    <w:p>
      <w:pPr>
        <w:pStyle w:val="685"/>
        <w:jc w:val="center"/>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rPr>
          <w:rFonts w:hint="eastAsia" w:ascii="宋体" w:hAnsi="宋体" w:eastAsia="宋体" w:cs="宋体"/>
          <w:bCs/>
          <w:i/>
          <w:color w:val="000000"/>
          <w:sz w:val="32"/>
          <w:szCs w:val="32"/>
          <w:highlight w:val="none"/>
          <w:u w:val="single"/>
        </w:rPr>
      </w:r>
    </w:p>
    <w:p>
      <w:pPr>
        <w:pStyle w:val="685"/>
        <w:jc w:val="center"/>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bCs/>
          <w:i/>
          <w:color w:val="000000"/>
          <w:sz w:val="32"/>
          <w:szCs w:val="32"/>
          <w:highlight w:val="none"/>
          <w:u w:val="single"/>
        </w:rPr>
      </w:r>
      <w:r>
        <w:rPr>
          <w:rFonts w:hint="eastAsia" w:ascii="宋体" w:hAnsi="宋体" w:eastAsia="宋体" w:cs="宋体"/>
          <w:bCs/>
          <w:i/>
          <w:color w:val="000000"/>
          <w:sz w:val="32"/>
          <w:szCs w:val="32"/>
          <w:highlight w:val="none"/>
          <w:u w:val="single"/>
        </w:rPr>
      </w:r>
    </w:p>
    <w:p>
      <w:pPr>
        <w:pStyle w:val="685"/>
        <w:jc w:val="center"/>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85"/>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85"/>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七、法人授权书</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685"/>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p>
    <w:p>
      <w:pPr>
        <w:pStyle w:val="685"/>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p>
    <w:p>
      <w:pPr>
        <w:pStyle w:val="685"/>
        <w:ind w:firstLine="312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单位地址：</w:t>
      </w:r>
      <w:r>
        <w:rPr>
          <w:rFonts w:hint="eastAsia" w:ascii="宋体" w:hAnsi="宋体" w:eastAsia="宋体" w:cs="宋体"/>
          <w:color w:val="000000"/>
          <w:highlight w:val="none"/>
          <w:u w:val="single"/>
        </w:rPr>
        <w:t xml:space="preserve">             </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bookmarkStart w:id="195" w:name="_格式3__银行出具的资信证明"/>
      <w:r/>
      <w:bookmarkStart w:id="196" w:name="_Hlt26955070"/>
      <w:r/>
      <w:bookmarkStart w:id="197" w:name="_Hlt26671380"/>
      <w:r>
        <w:rPr>
          <w:rFonts w:hint="eastAsia" w:ascii="宋体" w:hAnsi="宋体" w:eastAsia="宋体" w:cs="宋体"/>
          <w:color w:val="000000"/>
          <w:highlight w:val="none"/>
          <w:u w:val="single"/>
        </w:rPr>
        <w:t xml:space="preserve">         </w:t>
      </w:r>
      <w:r/>
    </w:p>
    <w:p>
      <w:pPr>
        <w:pStyle w:val="68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3390"/>
        <w:jc w:val="both"/>
        <w:keepLines/>
        <w:keepNext/>
        <w:spacing w:before="260" w:beforeAutospacing="0" w:after="260" w:afterAutospacing="0" w:line="415" w:lineRule="auto"/>
        <w:rPr>
          <w:rFonts w:hint="eastAsia" w:ascii="宋体" w:hAnsi="宋体" w:eastAsia="宋体" w:cs="宋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color w:val="000000"/>
          <w:sz w:val="32"/>
          <w:szCs w:val="32"/>
          <w:highlight w:val="none"/>
        </w:rPr>
        <w:t xml:space="preserve">八、投标函</w:t>
      </w:r>
      <w:r/>
    </w:p>
    <w:p>
      <w:pPr>
        <w:pStyle w:val="68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致：江苏省盐南高新技术产业开发区住房建设和城市管理局</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号）的规定，本公司（联合体）参加江苏省盐南高新技术产业开发区住房建设和城市管理局组织的采购编号为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3"/>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85"/>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85"/>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85"/>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000000"/>
          <w:sz w:val="32"/>
          <w:szCs w:val="32"/>
          <w:highlight w:val="none"/>
        </w:rPr>
        <w:t xml:space="preserve"> 十、残疾人福利性单位声明函</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85"/>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85"/>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left="0" w:right="0"/>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32"/>
          <w:szCs w:val="32"/>
        </w:rPr>
        <w:t xml:space="preserve">十一、 关于符合本国产品标准的声明函</w:t>
      </w:r>
      <w:r/>
    </w:p>
    <w:p>
      <w:pPr>
        <w:pStyle w:val="685"/>
        <w:ind w:left="0" w:firstLine="42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 </w:t>
      </w:r>
      <w:r/>
    </w:p>
    <w:p>
      <w:pPr>
        <w:pStyle w:val="685"/>
        <w:ind w:left="0" w:firstLine="420"/>
        <w:jc w:val="both"/>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1.</w:t>
      </w:r>
      <w:r>
        <w:rPr>
          <w:rFonts w:hint="eastAsia" w:ascii="宋体" w:hAnsi="宋体" w:eastAsia="宋体" w:cs="宋体"/>
          <w:b/>
          <w:bCs/>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vertAlign w:val="superscript"/>
        </w:rPr>
        <w:t xml:space="preserve">1</w:t>
      </w:r>
      <w:r>
        <w:rPr>
          <w:rFonts w:hint="eastAsia" w:ascii="宋体" w:hAnsi="宋体" w:eastAsia="宋体" w:cs="宋体"/>
          <w:b/>
          <w:bCs/>
          <w:color w:val="ff0000"/>
          <w:sz w:val="24"/>
          <w:szCs w:val="24"/>
          <w:shd w:val="clear" w:color="auto" w:fill="ffffff"/>
        </w:rPr>
        <w:t xml:space="preserve">，生产厂为</w:t>
      </w:r>
      <w:r>
        <w:rPr>
          <w:rFonts w:hint="eastAsia" w:ascii="宋体" w:hAnsi="宋体" w:eastAsia="宋体" w:cs="宋体"/>
          <w:b/>
          <w:bCs/>
          <w:color w:val="ff0000"/>
          <w:sz w:val="24"/>
          <w:szCs w:val="24"/>
          <w:u w:val="single"/>
          <w:shd w:val="clear" w:color="auto" w:fill="ffffff"/>
        </w:rPr>
        <w:t xml:space="preserve">（厂名）</w:t>
      </w:r>
      <w:r>
        <w:rPr>
          <w:rFonts w:hint="eastAsia" w:ascii="宋体" w:hAnsi="宋体" w:eastAsia="宋体" w:cs="宋体"/>
          <w:b/>
          <w:bCs/>
          <w:color w:val="ff0000"/>
          <w:sz w:val="24"/>
          <w:szCs w:val="24"/>
          <w:shd w:val="clear" w:color="auto" w:fill="ffffff"/>
          <w:vertAlign w:val="superscript"/>
        </w:rPr>
        <w:t xml:space="preserve">2</w:t>
      </w:r>
      <w:r>
        <w:rPr>
          <w:rFonts w:hint="eastAsia" w:ascii="宋体" w:hAnsi="宋体" w:eastAsia="宋体" w:cs="宋体"/>
          <w:b/>
          <w:bCs/>
          <w:color w:val="ff0000"/>
          <w:sz w:val="24"/>
          <w:szCs w:val="24"/>
          <w:shd w:val="clear" w:color="auto" w:fill="ffffff"/>
        </w:rPr>
        <w:t xml:space="preserve">，厂址为</w:t>
      </w:r>
      <w:r>
        <w:rPr>
          <w:rFonts w:hint="eastAsia" w:ascii="宋体" w:hAnsi="宋体" w:eastAsia="宋体" w:cs="宋体"/>
          <w:b/>
          <w:bCs/>
          <w:color w:val="ff0000"/>
          <w:sz w:val="24"/>
          <w:szCs w:val="24"/>
          <w:u w:val="single"/>
          <w:shd w:val="clear" w:color="auto" w:fill="ffffff"/>
        </w:rPr>
        <w:t xml:space="preserve">（生产厂址）</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 （产品名称1）</w:t>
      </w:r>
      <w:r>
        <w:rPr>
          <w:rFonts w:hint="eastAsia" w:ascii="宋体" w:hAnsi="宋体" w:eastAsia="宋体" w:cs="宋体"/>
          <w:b/>
          <w:bCs/>
          <w:color w:val="ff0000"/>
          <w:sz w:val="24"/>
          <w:szCs w:val="24"/>
          <w:u w:val="single"/>
          <w:shd w:val="clear" w:color="auto" w:fill="ffffff"/>
        </w:rPr>
        <w:t xml:space="preserve"> </w:t>
      </w:r>
      <w:r>
        <w:rPr>
          <w:rFonts w:hint="eastAsia" w:ascii="宋体" w:hAnsi="宋体" w:eastAsia="宋体" w:cs="宋体"/>
          <w:b/>
          <w:bCs/>
          <w:color w:val="ff0000"/>
          <w:sz w:val="24"/>
          <w:szCs w:val="24"/>
          <w:shd w:val="clear" w:color="auto" w:fill="ffffff"/>
        </w:rPr>
        <w:t xml:space="preserve">的中国境内生产的组件成本占比≥</w:t>
      </w:r>
      <w:r>
        <w:rPr>
          <w:rFonts w:hint="eastAsia" w:ascii="宋体" w:hAnsi="宋体" w:eastAsia="宋体" w:cs="宋体"/>
          <w:b/>
          <w:bCs/>
          <w:strike/>
          <w:color w:val="ff0000"/>
          <w:sz w:val="24"/>
          <w:szCs w:val="24"/>
          <w:u w:val="single"/>
          <w:shd w:val="clear" w:color="auto" w:fill="ffffff"/>
        </w:rPr>
        <w:t xml:space="preserve">（规定比例）</w:t>
      </w:r>
      <w:r>
        <w:rPr>
          <w:rFonts w:hint="eastAsia" w:ascii="宋体" w:hAnsi="宋体" w:eastAsia="宋体" w:cs="宋体"/>
          <w:b/>
          <w:bCs/>
          <w:strike/>
          <w:color w:val="ff0000"/>
          <w:sz w:val="24"/>
          <w:szCs w:val="24"/>
          <w:shd w:val="clear" w:color="auto" w:fill="ffffff"/>
          <w:vertAlign w:val="superscript"/>
        </w:rPr>
        <w:t xml:space="preserve">3</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（关键组件）</w:t>
      </w:r>
      <w:r>
        <w:rPr>
          <w:rFonts w:hint="eastAsia" w:ascii="宋体" w:hAnsi="宋体" w:eastAsia="宋体" w:cs="宋体"/>
          <w:b/>
          <w:bCs/>
          <w:strike/>
          <w:color w:val="ff0000"/>
          <w:sz w:val="24"/>
          <w:szCs w:val="24"/>
          <w:shd w:val="clear" w:color="auto" w:fill="ffffff"/>
          <w:vertAlign w:val="superscript"/>
        </w:rPr>
        <w:t xml:space="preserve">4</w:t>
      </w:r>
      <w:r>
        <w:rPr>
          <w:rFonts w:hint="eastAsia" w:ascii="宋体" w:hAnsi="宋体" w:eastAsia="宋体" w:cs="宋体"/>
          <w:b/>
          <w:bCs/>
          <w:color w:val="ff0000"/>
          <w:sz w:val="24"/>
          <w:szCs w:val="24"/>
          <w:shd w:val="clear" w:color="auto" w:fill="ffffff"/>
        </w:rPr>
        <w:t xml:space="preserve">在中国境内生产。</w:t>
      </w:r>
      <w:r>
        <w:rPr>
          <w:rFonts w:hint="eastAsia" w:ascii="宋体" w:hAnsi="宋体" w:eastAsia="宋体" w:cs="宋体"/>
          <w:b/>
          <w:bCs/>
          <w:strike/>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（关键工序）</w:t>
      </w:r>
      <w:r>
        <w:rPr>
          <w:rFonts w:hint="eastAsia" w:ascii="宋体" w:hAnsi="宋体" w:eastAsia="宋体" w:cs="宋体"/>
          <w:b/>
          <w:bCs/>
          <w:strike/>
          <w:color w:val="ff0000"/>
          <w:sz w:val="24"/>
          <w:szCs w:val="24"/>
          <w:shd w:val="clear" w:color="auto" w:fill="ffffff"/>
          <w:vertAlign w:val="superscript"/>
        </w:rPr>
        <w:t xml:space="preserve">5</w:t>
      </w:r>
      <w:r>
        <w:rPr>
          <w:rFonts w:hint="eastAsia" w:ascii="宋体" w:hAnsi="宋体" w:eastAsia="宋体" w:cs="宋体"/>
          <w:b/>
          <w:bCs/>
          <w:color w:val="ff0000"/>
          <w:sz w:val="24"/>
          <w:szCs w:val="24"/>
          <w:shd w:val="clear" w:color="auto" w:fill="ffffff"/>
        </w:rPr>
        <w:t xml:space="preserve">在中国境内完成。</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2.</w:t>
      </w:r>
      <w:r>
        <w:rPr>
          <w:rFonts w:hint="eastAsia" w:ascii="宋体" w:hAnsi="宋体" w:eastAsia="宋体" w:cs="宋体"/>
          <w:b/>
          <w:bCs/>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，生产厂为</w:t>
      </w:r>
      <w:r>
        <w:rPr>
          <w:rFonts w:hint="eastAsia" w:ascii="宋体" w:hAnsi="宋体" w:eastAsia="宋体" w:cs="宋体"/>
          <w:b/>
          <w:bCs/>
          <w:color w:val="ff0000"/>
          <w:sz w:val="24"/>
          <w:szCs w:val="24"/>
          <w:u w:val="single"/>
          <w:shd w:val="clear" w:color="auto" w:fill="ffffff"/>
        </w:rPr>
        <w:t xml:space="preserve">（厂名）</w:t>
      </w:r>
      <w:r>
        <w:rPr>
          <w:rFonts w:hint="eastAsia" w:ascii="宋体" w:hAnsi="宋体" w:eastAsia="宋体" w:cs="宋体"/>
          <w:b/>
          <w:bCs/>
          <w:color w:val="ff0000"/>
          <w:sz w:val="24"/>
          <w:szCs w:val="24"/>
          <w:shd w:val="clear" w:color="auto" w:fill="ffffff"/>
        </w:rPr>
        <w:t xml:space="preserve">，厂址为</w:t>
      </w:r>
      <w:r>
        <w:rPr>
          <w:rFonts w:hint="eastAsia" w:ascii="宋体" w:hAnsi="宋体" w:eastAsia="宋体" w:cs="宋体"/>
          <w:b/>
          <w:bCs/>
          <w:color w:val="ff0000"/>
          <w:sz w:val="24"/>
          <w:szCs w:val="24"/>
          <w:u w:val="single"/>
          <w:shd w:val="clear" w:color="auto" w:fill="ffffff"/>
        </w:rPr>
        <w:t xml:space="preserve">（生产厂址）</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的中国境内生产的组件成本占比≥</w:t>
      </w:r>
      <w:r>
        <w:rPr>
          <w:rFonts w:hint="eastAsia" w:ascii="宋体" w:hAnsi="宋体" w:eastAsia="宋体" w:cs="宋体"/>
          <w:b/>
          <w:bCs/>
          <w:strike/>
          <w:color w:val="ff0000"/>
          <w:sz w:val="24"/>
          <w:szCs w:val="24"/>
          <w:u w:val="single"/>
          <w:shd w:val="clear" w:color="auto" w:fill="ffffff"/>
        </w:rPr>
        <w:t xml:space="preserve">（规定比例）</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（关键组件）</w:t>
      </w:r>
      <w:r>
        <w:rPr>
          <w:rFonts w:hint="eastAsia" w:ascii="宋体" w:hAnsi="宋体" w:eastAsia="宋体" w:cs="宋体"/>
          <w:b/>
          <w:bCs/>
          <w:color w:val="ff0000"/>
          <w:sz w:val="24"/>
          <w:szCs w:val="24"/>
          <w:shd w:val="clear" w:color="auto" w:fill="ffffff"/>
        </w:rPr>
        <w:t xml:space="preserve">在中国境内生产。</w:t>
      </w:r>
      <w:r>
        <w:rPr>
          <w:rFonts w:hint="eastAsia" w:ascii="宋体" w:hAnsi="宋体" w:eastAsia="宋体" w:cs="宋体"/>
          <w:b/>
          <w:bCs/>
          <w:strike/>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（关键工序）</w:t>
      </w:r>
      <w:r>
        <w:rPr>
          <w:rFonts w:hint="eastAsia" w:ascii="宋体" w:hAnsi="宋体" w:eastAsia="宋体" w:cs="宋体"/>
          <w:b/>
          <w:bCs/>
          <w:color w:val="ff0000"/>
          <w:sz w:val="24"/>
          <w:szCs w:val="24"/>
          <w:shd w:val="clear" w:color="auto" w:fill="ffffff"/>
        </w:rPr>
        <w:t xml:space="preserve">在中国境内完成。</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rPr>
        <w:t xml:space="preserve"> </w:t>
      </w:r>
      <w:r/>
    </w:p>
    <w:p>
      <w:pPr>
        <w:pStyle w:val="685"/>
        <w:ind w:left="0" w:right="480" w:firstLine="37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公司（单位）名称（盖章）：　</w:t>
      </w:r>
      <w:r/>
    </w:p>
    <w:p>
      <w:pPr>
        <w:pStyle w:val="685"/>
        <w:jc w:val="center"/>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                                日期：　   年　  月　  日         </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__________________</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1.产品如有型号，请在“产品名称”栏一并填写。</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2.生产厂名与厂址应与生产厂营业执照载明的相关信息保持一致。</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4.该产品的关键组件要求实施前，“关键组件”栏可不填，下同。</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5.该产品的关键工序要求实施前，“关键工序”栏可不填，下同。</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hint="eastAsia" w:ascii="宋体" w:hAnsi="宋体" w:eastAsia="宋体" w:cs="宋体"/>
          <w:b/>
          <w:bCs/>
          <w:color w:val="ff0000"/>
          <w:sz w:val="24"/>
          <w:szCs w:val="24"/>
          <w:shd w:val="clear" w:color="auto" w:fill="ffffff"/>
        </w:rPr>
        <w:t xml:space="preserve">线划除的地方无需填写。</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r>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spacing w:line="241" w:lineRule="auto"/>
        <w:rPr>
          <w:rFonts w:hint="eastAsia" w:ascii="宋体" w:hAnsi="宋体" w:eastAsia="宋体" w:cs="宋体"/>
          <w:b/>
          <w:bCs/>
          <w:sz w:val="21"/>
        </w:rPr>
      </w:pPr>
      <w:r>
        <w:rPr>
          <w:rFonts w:hint="eastAsia" w:ascii="宋体" w:hAnsi="宋体" w:eastAsia="宋体" w:cs="宋体"/>
          <w:b/>
          <w:bCs/>
          <w:sz w:val="21"/>
        </w:rPr>
      </w:r>
      <w:r/>
    </w:p>
    <w:p>
      <w:pPr>
        <w:spacing w:line="241" w:lineRule="auto"/>
        <w:rPr>
          <w:rFonts w:hint="eastAsia" w:ascii="宋体" w:hAnsi="宋体" w:eastAsia="宋体" w:cs="宋体"/>
          <w:b/>
          <w:bCs/>
          <w:sz w:val="21"/>
        </w:rPr>
      </w:pPr>
      <w:r>
        <w:rPr>
          <w:rFonts w:hint="eastAsia" w:ascii="宋体" w:hAnsi="宋体" w:eastAsia="宋体" w:cs="宋体"/>
          <w:b/>
          <w:bCs/>
          <w:sz w:val="21"/>
        </w:rPr>
      </w:r>
      <w:r/>
    </w:p>
    <w:p>
      <w:pPr>
        <w:pStyle w:val="685"/>
        <w:jc w:val="center"/>
        <w:spacing w:beforeAutospacing="0" w:afterAutospacing="0" w:line="0" w:lineRule="atLeast"/>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85"/>
        <w:jc w:val="center"/>
        <w:spacing w:beforeAutospacing="0" w:afterAutospacing="0" w:line="0" w:lineRule="atLeast"/>
        <w:rPr>
          <w:rFonts w:hint="eastAsia" w:ascii="宋体" w:hAnsi="宋体" w:eastAsia="宋体" w:cs="宋体"/>
          <w:b/>
          <w:bCs/>
          <w:highlight w:val="none"/>
        </w:rPr>
      </w:pPr>
      <w:r>
        <w:rPr>
          <w:rFonts w:hint="eastAsia" w:ascii="宋体" w:hAnsi="宋体" w:eastAsia="宋体" w:cs="宋体"/>
          <w:b/>
          <w:bCs/>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、联合体协议（参考格式）</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（联合体中各供应商全称）在此达成以下协议：</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自愿组成联合体，参加江苏省盐南高新技术产业开发区住房建设和城市管理局组织的采购编号为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685"/>
        <w:ind w:firstLine="645"/>
        <w:jc w:val="right"/>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联合体中各供应商全称（公章）：     </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日期：</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、投标分项报价表</w:t>
      </w:r>
      <w:r/>
    </w:p>
    <w:p>
      <w:pPr>
        <w:pStyle w:val="685"/>
        <w:jc w:val="center"/>
        <w:spacing w:beforeAutospacing="0" w:afterAutospacing="0"/>
        <w:rPr>
          <w:rFonts w:hint="eastAsia" w:ascii="宋体" w:hAnsi="宋体" w:eastAsia="宋体" w:cs="宋体"/>
          <w:sz w:val="40"/>
          <w:szCs w:val="40"/>
          <w:highlight w:val="none"/>
        </w:rPr>
      </w:pPr>
      <w:r>
        <w:rPr>
          <w:rFonts w:hint="eastAsia" w:ascii="宋体" w:hAnsi="宋体" w:eastAsia="宋体" w:cs="宋体"/>
          <w:sz w:val="40"/>
          <w:szCs w:val="40"/>
          <w:highlight w:val="none"/>
          <w:lang w:val="en-US" w:eastAsia="zh-CN"/>
        </w:rPr>
        <w:t xml:space="preserve">详见附件</w:t>
      </w:r>
      <w:r>
        <w:rPr>
          <w:rFonts w:hint="eastAsia" w:ascii="宋体" w:hAnsi="宋体" w:eastAsia="宋体" w:cs="宋体"/>
          <w:sz w:val="40"/>
          <w:szCs w:val="40"/>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w:t>
      </w:r>
      <w:bookmarkStart w:id="212" w:name="_GoBack"/>
      <w:r>
        <w:rPr>
          <w:rFonts w:hint="eastAsia" w:ascii="宋体" w:hAnsi="宋体" w:eastAsia="宋体" w:cs="宋体"/>
          <w:b/>
          <w:color w:val="000000"/>
          <w:sz w:val="32"/>
          <w:szCs w:val="32"/>
          <w:highlight w:val="none"/>
        </w:rPr>
        <w:t xml:space="preserve">技术要求响应及偏离表</w:t>
      </w:r>
      <w:bookmarkEnd w:id="212"/>
      <w:r/>
      <w:r/>
    </w:p>
    <w:tbl>
      <w:tblPr>
        <w:tblStyle w:val="67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685"/>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bookmarkStart w:id="198" w:name="_Hlt26955054"/>
      <w:r>
        <w:rPr>
          <w:rFonts w:hint="eastAsia" w:ascii="宋体" w:hAnsi="宋体" w:eastAsia="宋体" w:cs="宋体"/>
          <w:b/>
          <w:color w:val="000000"/>
          <w:sz w:val="32"/>
          <w:szCs w:val="32"/>
          <w:highlight w:val="none"/>
          <w:lang w:val="en-US" w:eastAsia="zh-CN"/>
        </w:rPr>
        <w:t xml:space="preserve">十五</w:t>
      </w:r>
      <w:r>
        <w:rPr>
          <w:rFonts w:hint="eastAsia" w:ascii="宋体" w:hAnsi="宋体" w:eastAsia="宋体" w:cs="宋体"/>
          <w:b/>
          <w:color w:val="000000"/>
          <w:sz w:val="32"/>
          <w:szCs w:val="32"/>
          <w:highlight w:val="none"/>
        </w:rPr>
        <w:t xml:space="preserve">、商务要求响应及偏离表</w:t>
      </w:r>
      <w:r/>
    </w:p>
    <w:tbl>
      <w:tblPr>
        <w:tblStyle w:val="67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bookmarkStart w:id="199" w:name="_Hlt26671372"/>
            <w:r/>
            <w:bookmarkStart w:id="200" w:name="_Hlt26955056"/>
            <w:r/>
            <w:bookmarkStart w:id="201" w:name="_Hlt26955064"/>
            <w:r/>
            <w:bookmarkStart w:id="202" w:name="_Hlt24879081"/>
            <w:r/>
            <w:bookmarkStart w:id="203" w:name="_Hlt26782999"/>
            <w:r/>
            <w:bookmarkStart w:id="204" w:name="_Hlt26580838"/>
            <w:r/>
            <w:bookmarkStart w:id="205" w:name="_Hlt26609391"/>
            <w:r/>
            <w:bookmarkStart w:id="206" w:name="_Hlt26671343"/>
            <w:r>
              <w:rPr>
                <w:rFonts w:hint="eastAsia" w:ascii="宋体" w:hAnsi="宋体" w:eastAsia="宋体" w:cs="宋体"/>
                <w:color w:val="000000"/>
                <w:highlight w:val="none"/>
              </w:rPr>
              <w:t xml:space="preserve">序号</w:t>
            </w:r>
            <w:bookmarkEnd w:id="199"/>
            <w:bookmarkEnd w:id="200"/>
            <w:bookmarkEnd w:id="201"/>
            <w:bookmarkEnd w:id="202"/>
            <w:bookmarkEnd w:id="203"/>
            <w:bookmarkEnd w:id="204"/>
            <w:bookmarkEnd w:id="205"/>
            <w:bookmarkEnd w:id="206"/>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685"/>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685"/>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bookmarkStart w:id="207" w:name="_Hlt26671374"/>
      <w:r/>
      <w:bookmarkStart w:id="208" w:name="_格式2__法定代表人授权书"/>
      <w:r/>
      <w:bookmarkStart w:id="209" w:name="_Hlt26609389"/>
      <w:r/>
      <w:bookmarkStart w:id="210" w:name="_Toc462564146"/>
      <w:r/>
      <w:bookmarkStart w:id="211" w:name="_Hlt26955066"/>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六</w:t>
      </w:r>
      <w:r>
        <w:rPr>
          <w:rFonts w:hint="eastAsia" w:ascii="宋体" w:hAnsi="宋体" w:eastAsia="宋体" w:cs="宋体"/>
          <w:b/>
          <w:i/>
          <w:color w:val="auto"/>
          <w:sz w:val="32"/>
          <w:szCs w:val="32"/>
          <w:highlight w:val="none"/>
          <w:u w:val="single"/>
        </w:rPr>
        <w:t xml:space="preserve">、开标一览表</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7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8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5"/>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pStyle w:val="688"/>
        <w:rPr>
          <w:rFonts w:hint="eastAsia" w:ascii="宋体" w:hAnsi="宋体" w:eastAsia="宋体" w:cs="宋体"/>
          <w:highlight w:val="none"/>
        </w:rPr>
      </w:pPr>
      <w:r>
        <w:rPr>
          <w:rFonts w:hint="eastAsia" w:ascii="宋体" w:hAnsi="宋体" w:eastAsia="宋体" w:cs="宋体"/>
          <w:highlight w:val="none"/>
        </w:rPr>
      </w:r>
      <w:r/>
    </w:p>
    <w:p>
      <w:pPr>
        <w:pStyle w:val="688"/>
        <w:rPr>
          <w:rFonts w:hint="eastAsia" w:ascii="宋体" w:hAnsi="宋体" w:eastAsia="宋体" w:cs="宋体"/>
          <w:highlight w:val="none"/>
        </w:rPr>
      </w:pPr>
      <w:r>
        <w:rPr>
          <w:rFonts w:hint="eastAsia" w:ascii="宋体" w:hAnsi="宋体" w:eastAsia="宋体" w:cs="宋体"/>
          <w:highlight w:val="none"/>
        </w:rPr>
      </w:r>
      <w:r/>
    </w:p>
    <w:p>
      <w:pPr>
        <w:pStyle w:val="688"/>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85"/>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8"/>
      <w:bookmarkEnd w:id="192"/>
      <w:bookmarkEnd w:id="193"/>
      <w:bookmarkEnd w:id="195"/>
      <w:bookmarkEnd w:id="196"/>
      <w:bookmarkEnd w:id="197"/>
      <w:bookmarkEnd w:id="198"/>
      <w:bookmarkEnd w:id="207"/>
      <w:bookmarkEnd w:id="208"/>
      <w:bookmarkEnd w:id="209"/>
      <w:bookmarkEnd w:id="210"/>
      <w:bookmarkEnd w:id="211"/>
      <w:r/>
    </w:p>
    <w:p>
      <w:pPr>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85"/>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
        <w:rPr>
          <w:rFonts w:hint="eastAsia" w:ascii="宋体" w:hAnsi="宋体" w:eastAsia="宋体" w:cs="宋体"/>
          <w:highlight w:val="none"/>
        </w:rPr>
      </w:r>
      <w:r/>
      <w:r>
        <w:rPr>
          <w:rFonts w:hint="eastAsia" w:ascii="宋体" w:hAnsi="宋体" w:eastAsia="宋体" w:cs="宋体"/>
          <w:highlight w:val="none"/>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685" w:hanging="1125"/>
        <w:tabs>
          <w:tab w:val="left" w:pos="1685" w:leader="none"/>
        </w:tabs>
      </w:pPr>
      <w:rPr>
        <w:rFonts w:hint="eastAsia"/>
      </w:rPr>
    </w:lvl>
    <w:lvl w:ilvl="1">
      <w:start w:val="1"/>
      <w:numFmt w:val="japaneseCounting"/>
      <w:isLgl w:val="false"/>
      <w:suff w:val="tab"/>
      <w:lvlText w:val="（%2）"/>
      <w:lvlJc w:val="left"/>
      <w:pPr>
        <w:ind w:left="1700" w:hanging="720"/>
        <w:tabs>
          <w:tab w:val="left" w:pos="170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6"/>
    <w:link w:val="12"/>
    <w:uiPriority w:val="9"/>
    <w:rPr>
      <w:rFonts w:ascii="Arial" w:hAnsi="Arial" w:eastAsia="Arial" w:cs="Arial"/>
      <w:sz w:val="40"/>
      <w:szCs w:val="40"/>
    </w:rPr>
  </w:style>
  <w:style w:type="character" w:styleId="15">
    <w:name w:val="Heading 2 Char"/>
    <w:basedOn w:val="676"/>
    <w:link w:val="675"/>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6"/>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4"/>
    <w:uiPriority w:val="99"/>
  </w:style>
  <w:style w:type="character" w:styleId="44">
    <w:name w:val="Footer Char"/>
    <w:basedOn w:val="676"/>
    <w:link w:val="682"/>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7">
    <w:name w:val="Table Grid"/>
    <w:basedOn w:val="6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5">
    <w:name w:val="Heading 2"/>
    <w:basedOn w:val="674"/>
    <w:next w:val="67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First Indent 2"/>
    <w:uiPriority w:val="99"/>
    <w:unhideWhenUsed/>
    <w:qFormat/>
    <w:pPr>
      <w:ind w:left="420" w:firstLine="420"/>
      <w:jc w:val="both"/>
      <w:spacing w:after="120" w:line="240" w:lineRule="auto"/>
      <w:widowControl w:val="off"/>
    </w:pPr>
    <w:rPr>
      <w:rFonts w:ascii="Times New Roman" w:hAnsi="Times New Roman" w:eastAsia="宋体" w:cs="Times New Roman"/>
      <w:sz w:val="21"/>
      <w:szCs w:val="24"/>
      <w:lang w:val="en-US" w:eastAsia="zh-CN" w:bidi="ar-SA"/>
    </w:rPr>
  </w:style>
  <w:style w:type="paragraph" w:styleId="679">
    <w:name w:val="annotation text"/>
    <w:basedOn w:val="674"/>
    <w:uiPriority w:val="0"/>
    <w:qFormat/>
    <w:pPr>
      <w:jc w:val="left"/>
    </w:pPr>
  </w:style>
  <w:style w:type="paragraph" w:styleId="680">
    <w:name w:val="Body Text"/>
    <w:basedOn w:val="674"/>
    <w:uiPriority w:val="0"/>
    <w:semiHidden/>
    <w:qFormat/>
    <w:rPr>
      <w:rFonts w:ascii="仿宋" w:hAnsi="仿宋" w:eastAsia="仿宋" w:cs="仿宋"/>
      <w:sz w:val="31"/>
      <w:szCs w:val="31"/>
      <w:lang w:val="en-US" w:eastAsia="en-US" w:bidi="ar-SA"/>
    </w:rPr>
  </w:style>
  <w:style w:type="paragraph" w:styleId="681">
    <w:name w:val="Body Text Indent"/>
    <w:uiPriority w:val="0"/>
    <w:qFormat/>
    <w:pPr>
      <w:ind w:left="420"/>
      <w:jc w:val="both"/>
      <w:spacing w:after="120"/>
      <w:widowControl w:val="off"/>
    </w:pPr>
    <w:rPr>
      <w:rFonts w:asciiTheme="minorHAnsi" w:hAnsiTheme="minorHAnsi" w:eastAsiaTheme="minorEastAsia" w:cstheme="minorBidi"/>
      <w:sz w:val="20"/>
      <w:szCs w:val="20"/>
      <w:lang w:val="en-US" w:eastAsia="zh-CN" w:bidi="ar-SA"/>
    </w:rPr>
  </w:style>
  <w:style w:type="paragraph" w:styleId="682">
    <w:name w:val="Footer"/>
    <w:basedOn w:val="674"/>
    <w:link w:val="690"/>
    <w:uiPriority w:val="0"/>
    <w:qFormat/>
    <w:pPr>
      <w:jc w:val="left"/>
      <w:tabs>
        <w:tab w:val="center" w:pos="4153" w:leader="none"/>
        <w:tab w:val="right" w:pos="8306" w:leader="none"/>
      </w:tabs>
    </w:pPr>
    <w:rPr>
      <w:sz w:val="18"/>
      <w:szCs w:val="18"/>
    </w:rPr>
  </w:style>
  <w:style w:type="paragraph" w:styleId="683">
    <w:name w:val="envelope return"/>
    <w:uiPriority w:val="99"/>
    <w:unhideWhenUsed/>
    <w:qFormat/>
    <w:pPr>
      <w:jc w:val="both"/>
      <w:widowControl w:val="off"/>
    </w:pPr>
    <w:rPr>
      <w:rFonts w:ascii="Arial" w:hAnsi="Arial" w:eastAsia="宋体" w:cs="Times New Roman"/>
      <w:sz w:val="21"/>
      <w:szCs w:val="21"/>
      <w:lang w:val="en-US" w:eastAsia="zh-CN" w:bidi="ar-SA"/>
    </w:rPr>
  </w:style>
  <w:style w:type="paragraph" w:styleId="684">
    <w:name w:val="Header"/>
    <w:basedOn w:val="674"/>
    <w:link w:val="689"/>
    <w:uiPriority w:val="0"/>
    <w:qFormat/>
    <w:pPr>
      <w:jc w:val="center"/>
      <w:tabs>
        <w:tab w:val="center" w:pos="4153" w:leader="none"/>
        <w:tab w:val="right" w:pos="8306" w:leader="none"/>
      </w:tabs>
      <w:pBdr>
        <w:bottom w:val="single" w:color="auto" w:sz="6" w:space="1"/>
      </w:pBdr>
    </w:pPr>
    <w:rPr>
      <w:sz w:val="18"/>
      <w:szCs w:val="18"/>
    </w:rPr>
  </w:style>
  <w:style w:type="paragraph" w:styleId="685">
    <w:name w:val="Normal (Web)"/>
    <w:basedOn w:val="674"/>
    <w:uiPriority w:val="0"/>
    <w:qFormat/>
    <w:pPr>
      <w:jc w:val="left"/>
      <w:spacing w:beforeAutospacing="1" w:afterAutospacing="1"/>
    </w:pPr>
    <w:rPr>
      <w:rFonts w:cs="Times New Roman"/>
      <w:sz w:val="24"/>
    </w:rPr>
  </w:style>
  <w:style w:type="character" w:styleId="686">
    <w:name w:val="Strong"/>
    <w:basedOn w:val="676"/>
    <w:uiPriority w:val="0"/>
    <w:qFormat/>
    <w:rPr>
      <w:b/>
    </w:rPr>
  </w:style>
  <w:style w:type="character" w:styleId="687">
    <w:name w:val="Emphasis"/>
    <w:uiPriority w:val="0"/>
    <w:qFormat/>
    <w:rPr>
      <w:i/>
    </w:rPr>
  </w:style>
  <w:style w:type="paragraph" w:styleId="688" w:customStyle="1">
    <w:name w:val="Default"/>
    <w:basedOn w:val="674"/>
    <w:uiPriority w:val="0"/>
    <w:semiHidden/>
    <w:qFormat/>
    <w:pPr>
      <w:jc w:val="left"/>
    </w:pPr>
    <w:rPr>
      <w:rFonts w:ascii="宋体" w:hAnsi="Calibri" w:cs="宋体"/>
      <w:color w:val="000000"/>
      <w:sz w:val="24"/>
    </w:rPr>
  </w:style>
  <w:style w:type="character" w:styleId="689" w:customStyle="1">
    <w:name w:val="页眉 Char"/>
    <w:basedOn w:val="676"/>
    <w:link w:val="684"/>
    <w:uiPriority w:val="0"/>
    <w:qFormat/>
    <w:rPr>
      <w:rFonts w:asciiTheme="minorHAnsi" w:hAnsiTheme="minorHAnsi" w:eastAsiaTheme="minorEastAsia" w:cstheme="minorBidi"/>
      <w:sz w:val="18"/>
      <w:szCs w:val="18"/>
    </w:rPr>
  </w:style>
  <w:style w:type="character" w:styleId="690" w:customStyle="1">
    <w:name w:val="页脚 Char"/>
    <w:basedOn w:val="676"/>
    <w:link w:val="682"/>
    <w:uiPriority w:val="0"/>
    <w:qFormat/>
    <w:rPr>
      <w:rFonts w:asciiTheme="minorHAnsi" w:hAnsiTheme="minorHAnsi" w:eastAsiaTheme="minorEastAsia" w:cstheme="minorBidi"/>
      <w:sz w:val="18"/>
      <w:szCs w:val="18"/>
    </w:rPr>
  </w:style>
  <w:style w:type="paragraph" w:styleId="691" w:customStyle="1">
    <w:name w:val="普通正文"/>
    <w:basedOn w:val="674"/>
    <w:uiPriority w:val="0"/>
    <w:qFormat/>
    <w:pPr>
      <w:ind w:firstLine="480"/>
      <w:jc w:val="left"/>
      <w:spacing w:before="120" w:after="120" w:line="360" w:lineRule="auto"/>
    </w:pPr>
    <w:rPr>
      <w:rFonts w:ascii="Arial" w:hAnsi="Arial" w:eastAsia="等线" w:cs="Arial"/>
      <w:sz w:val="24"/>
      <w:szCs w:val="24"/>
    </w:rPr>
  </w:style>
  <w:style w:type="paragraph" w:styleId="692" w:customStyle="1">
    <w:name w:val="正文首行缩进 21"/>
    <w:basedOn w:val="693"/>
    <w:uiPriority w:val="0"/>
    <w:qFormat/>
    <w:pPr>
      <w:ind w:firstLine="420"/>
    </w:pPr>
  </w:style>
  <w:style w:type="paragraph" w:styleId="693" w:customStyle="1">
    <w:name w:val="正文文本缩进1"/>
    <w:basedOn w:val="674"/>
    <w:uiPriority w:val="0"/>
    <w:qFormat/>
    <w:pPr>
      <w:ind w:left="420"/>
      <w:spacing w:after="120"/>
    </w:pPr>
  </w:style>
  <w:style w:type="numbering" w:styleId="8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颜先生</cp:lastModifiedBy>
  <cp:revision>273</cp:revision>
  <dcterms:created xsi:type="dcterms:W3CDTF">2014-10-29T12:08:00Z</dcterms:created>
  <dcterms:modified xsi:type="dcterms:W3CDTF">2026-10-20T01:38:01Z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65759699444F44BBBFCCC89CEABA8F49_13</vt:lpwstr>
  </property>
  <property fmtid="{D5CDD505-2E9C-101B-9397-08002B2CF9AE}" pid="4" name="KSOTemplateDocerSaveRecord">
    <vt:lpwstr>eyJoZGlkIjoiNGU3ZTc2ZmI0YTYwOWIzNGI4ODNhNjJhYjNkMjRkYzYiLCJ1c2VySWQiOiIyNDQ4NjI5NTIifQ==</vt:lpwstr>
  </property>
</Properties>
</file>