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43"/>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43"/>
        <w:ind w:firstLine="0"/>
        <w:jc w:val="center"/>
        <w:widowControl w:val="off"/>
        <w:rPr>
          <w:rFonts w:hint="eastAsia" w:cs="Times New Roman" w:asciiTheme="minorEastAsia" w:hAnsiTheme="minorEastAsia" w:eastAsiaTheme="minorEastAsia"/>
          <w:b/>
          <w:color w:val="000000" w:themeColor="text1"/>
          <w:sz w:val="36"/>
          <w:szCs w:val="36"/>
          <w:lang w:eastAsia="zh-CN"/>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紫金山实验室边缘分布式基带处理单元采购项目</w:t>
      </w:r>
      <w:r>
        <w:rPr>
          <w:rFonts w:hint="eastAsia" w:cs="Times New Roman" w:asciiTheme="minorEastAsia" w:hAnsiTheme="minorEastAsia" w:eastAsiaTheme="minorEastAsia"/>
          <w:b/>
          <w:color w:val="000000" w:themeColor="text1"/>
          <w:sz w:val="36"/>
          <w:szCs w:val="36"/>
          <w:lang w:eastAsia="zh-CN"/>
          <w14:textFill>
            <w14:solidFill>
              <w14:schemeClr w14:val="tx1"/>
            </w14:solidFill>
          </w14:textFill>
        </w:rPr>
        <w:t xml:space="preserve">（</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二次</w:t>
      </w:r>
      <w:r>
        <w:rPr>
          <w:rFonts w:hint="eastAsia" w:cs="Times New Roman" w:asciiTheme="minorEastAsia" w:hAnsiTheme="minorEastAsia" w:eastAsiaTheme="minorEastAsia"/>
          <w:b/>
          <w:color w:val="000000" w:themeColor="text1"/>
          <w:sz w:val="36"/>
          <w:szCs w:val="36"/>
          <w:lang w:eastAsia="zh-CN"/>
          <w14:textFill>
            <w14:solidFill>
              <w14:schemeClr w14:val="tx1"/>
            </w14:solidFill>
          </w14:textFill>
        </w:rPr>
        <w:t xml:space="preserve">）</w:t>
      </w:r>
      <w:r/>
    </w:p>
    <w:p>
      <w:pPr>
        <w:pStyle w:val="943"/>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JSZC-320100-ZTZB-G2026-0058</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29</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3"/>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43"/>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43"/>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10</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27"/>
              <w:rFonts w:hint="eastAsia" w:ascii="黑体" w:hAnsi="黑体" w:cs="黑体"/>
              <w:color w:val="000000" w:themeColor="text1"/>
              <w:lang w:val="zh-TW" w:eastAsia="zh-TW"/>
              <w14:textFill>
                <w14:solidFill>
                  <w14:schemeClr w14:val="tx1"/>
                </w14:solidFill>
              </w14:textFill>
            </w:rPr>
            <w:t xml:space="preserve">第一章</w:t>
          </w:r>
          <w:r>
            <w:rPr>
              <w:rStyle w:val="927"/>
              <w:rFonts w:ascii="黑体" w:hAnsi="黑体" w:cs="黑体"/>
              <w:color w:val="000000" w:themeColor="text1"/>
              <w:lang w:val="zh-TW" w:eastAsia="zh-TW"/>
              <w14:textFill>
                <w14:solidFill>
                  <w14:schemeClr w14:val="tx1"/>
                </w14:solidFill>
              </w14:textFill>
            </w:rPr>
            <w:t xml:space="preserve">  </w:t>
          </w:r>
          <w:r>
            <w:rPr>
              <w:rStyle w:val="927"/>
              <w:rFonts w:hint="eastAsia" w:ascii="黑体" w:hAnsi="黑体" w:cs="黑体"/>
              <w:color w:val="000000" w:themeColor="text1"/>
              <w:lang w:val="zh-TW"/>
              <w14:textFill>
                <w14:solidFill>
                  <w14:schemeClr w14:val="tx1"/>
                </w14:solidFill>
              </w14:textFill>
            </w:rPr>
            <w:t xml:space="preserve">招标</w:t>
          </w:r>
          <w:r>
            <w:rPr>
              <w:rStyle w:val="927"/>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27"/>
              <w:rFonts w:hint="eastAsia" w:ascii="黑体" w:hAnsi="黑体" w:cs="黑体"/>
              <w:color w:val="000000" w:themeColor="text1"/>
              <w:lang w:val="zh-TW" w:eastAsia="zh-TW"/>
              <w14:textFill>
                <w14:solidFill>
                  <w14:schemeClr w14:val="tx1"/>
                </w14:solidFill>
              </w14:textFill>
            </w:rPr>
            <w:t xml:space="preserve">第二章</w:t>
          </w:r>
          <w:r>
            <w:rPr>
              <w:rStyle w:val="927"/>
              <w:rFonts w:ascii="黑体" w:hAnsi="黑体" w:cs="黑体"/>
              <w:color w:val="000000" w:themeColor="text1"/>
              <w:lang w:val="zh-TW" w:eastAsia="zh-TW"/>
              <w14:textFill>
                <w14:solidFill>
                  <w14:schemeClr w14:val="tx1"/>
                </w14:solidFill>
              </w14:textFill>
            </w:rPr>
            <w:t xml:space="preserve">  </w:t>
          </w:r>
          <w:r>
            <w:rPr>
              <w:rStyle w:val="927"/>
              <w:rFonts w:hint="eastAsia" w:ascii="黑体" w:hAnsi="黑体" w:cs="黑体"/>
              <w:color w:val="000000" w:themeColor="text1"/>
              <w:lang w:val="zh-TW"/>
              <w14:textFill>
                <w14:solidFill>
                  <w14:schemeClr w14:val="tx1"/>
                </w14:solidFill>
              </w14:textFill>
            </w:rPr>
            <w:t xml:space="preserve">投标人</w:t>
          </w:r>
          <w:r>
            <w:rPr>
              <w:rStyle w:val="927"/>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27"/>
              <w:rFonts w:hint="eastAsia" w:ascii="黑体" w:hAnsi="黑体" w:cs="黑体"/>
              <w:color w:val="000000" w:themeColor="text1"/>
              <w:lang w:val="zh-TW" w:eastAsia="zh-TW"/>
              <w14:textFill>
                <w14:solidFill>
                  <w14:schemeClr w14:val="tx1"/>
                </w14:solidFill>
              </w14:textFill>
            </w:rPr>
            <w:t xml:space="preserve">第</w:t>
          </w:r>
          <w:r>
            <w:rPr>
              <w:rStyle w:val="927"/>
              <w:rFonts w:hint="eastAsia" w:ascii="黑体" w:hAnsi="黑体" w:cs="黑体"/>
              <w:color w:val="000000" w:themeColor="text1"/>
              <w:lang w:val="zh-TW"/>
              <w14:textFill>
                <w14:solidFill>
                  <w14:schemeClr w14:val="tx1"/>
                </w14:solidFill>
              </w14:textFill>
            </w:rPr>
            <w:t xml:space="preserve">三</w:t>
          </w:r>
          <w:r>
            <w:rPr>
              <w:rStyle w:val="927"/>
              <w:rFonts w:hint="eastAsia" w:ascii="黑体" w:hAnsi="黑体" w:cs="黑体"/>
              <w:color w:val="000000" w:themeColor="text1"/>
              <w:lang w:val="zh-TW" w:eastAsia="zh-TW"/>
              <w14:textFill>
                <w14:solidFill>
                  <w14:schemeClr w14:val="tx1"/>
                </w14:solidFill>
              </w14:textFill>
            </w:rPr>
            <w:t xml:space="preserve">章</w:t>
          </w:r>
          <w:r>
            <w:rPr>
              <w:rStyle w:val="927"/>
              <w:rFonts w:ascii="黑体" w:hAnsi="黑体" w:cs="黑体"/>
              <w:color w:val="000000" w:themeColor="text1"/>
              <w:lang w:val="zh-TW" w:eastAsia="zh-TW"/>
              <w14:textFill>
                <w14:solidFill>
                  <w14:schemeClr w14:val="tx1"/>
                </w14:solidFill>
              </w14:textFill>
            </w:rPr>
            <w:t xml:space="preserve">  </w:t>
          </w:r>
          <w:r>
            <w:rPr>
              <w:rStyle w:val="927"/>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27"/>
              <w:rFonts w:hint="eastAsia" w:ascii="黑体" w:hAnsi="黑体" w:cs="黑体"/>
              <w:color w:val="000000" w:themeColor="text1"/>
              <w:lang w:val="zh-TW" w:eastAsia="zh-TW"/>
              <w14:textFill>
                <w14:solidFill>
                  <w14:schemeClr w14:val="tx1"/>
                </w14:solidFill>
              </w14:textFill>
            </w:rPr>
            <w:t xml:space="preserve">第</w:t>
          </w:r>
          <w:r>
            <w:rPr>
              <w:rStyle w:val="927"/>
              <w:rFonts w:hint="eastAsia" w:ascii="黑体" w:hAnsi="黑体" w:cs="黑体"/>
              <w:color w:val="000000" w:themeColor="text1"/>
              <w:lang w:val="zh-TW"/>
              <w14:textFill>
                <w14:solidFill>
                  <w14:schemeClr w14:val="tx1"/>
                </w14:solidFill>
              </w14:textFill>
            </w:rPr>
            <w:t xml:space="preserve">四</w:t>
          </w:r>
          <w:r>
            <w:rPr>
              <w:rStyle w:val="927"/>
              <w:rFonts w:hint="eastAsia" w:ascii="黑体" w:hAnsi="黑体" w:cs="黑体"/>
              <w:color w:val="000000" w:themeColor="text1"/>
              <w:lang w:val="zh-TW" w:eastAsia="zh-TW"/>
              <w14:textFill>
                <w14:solidFill>
                  <w14:schemeClr w14:val="tx1"/>
                </w14:solidFill>
              </w14:textFill>
            </w:rPr>
            <w:t xml:space="preserve">章</w:t>
          </w:r>
          <w:r>
            <w:rPr>
              <w:rStyle w:val="927"/>
              <w:rFonts w:ascii="黑体" w:hAnsi="黑体" w:cs="黑体"/>
              <w:color w:val="000000" w:themeColor="text1"/>
              <w:lang w:val="zh-TW" w:eastAsia="zh-TW"/>
              <w14:textFill>
                <w14:solidFill>
                  <w14:schemeClr w14:val="tx1"/>
                </w14:solidFill>
              </w14:textFill>
            </w:rPr>
            <w:t xml:space="preserve">  </w:t>
          </w:r>
          <w:r>
            <w:rPr>
              <w:rStyle w:val="927"/>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27"/>
              <w:rFonts w:hint="eastAsia" w:ascii="黑体" w:hAnsi="黑体" w:cs="黑体"/>
              <w:color w:val="000000" w:themeColor="text1"/>
              <w:lang w:val="zh-TW" w:eastAsia="zh-TW"/>
              <w14:textFill>
                <w14:solidFill>
                  <w14:schemeClr w14:val="tx1"/>
                </w14:solidFill>
              </w14:textFill>
            </w:rPr>
            <w:t xml:space="preserve">第</w:t>
          </w:r>
          <w:r>
            <w:rPr>
              <w:rStyle w:val="927"/>
              <w:rFonts w:hint="eastAsia" w:ascii="黑体" w:hAnsi="黑体" w:cs="黑体"/>
              <w:color w:val="000000" w:themeColor="text1"/>
              <w:lang w:val="zh-TW"/>
              <w14:textFill>
                <w14:solidFill>
                  <w14:schemeClr w14:val="tx1"/>
                </w14:solidFill>
              </w14:textFill>
            </w:rPr>
            <w:t xml:space="preserve">五</w:t>
          </w:r>
          <w:r>
            <w:rPr>
              <w:rStyle w:val="927"/>
              <w:rFonts w:hint="eastAsia" w:ascii="黑体" w:hAnsi="黑体" w:cs="黑体"/>
              <w:color w:val="000000" w:themeColor="text1"/>
              <w:lang w:val="zh-TW" w:eastAsia="zh-TW"/>
              <w14:textFill>
                <w14:solidFill>
                  <w14:schemeClr w14:val="tx1"/>
                </w14:solidFill>
              </w14:textFill>
            </w:rPr>
            <w:t xml:space="preserve">章</w:t>
          </w:r>
          <w:r>
            <w:rPr>
              <w:rStyle w:val="927"/>
              <w:rFonts w:ascii="黑体" w:hAnsi="黑体" w:cs="黑体"/>
              <w:color w:val="000000" w:themeColor="text1"/>
              <w:lang w:val="zh-TW" w:eastAsia="zh-TW"/>
              <w14:textFill>
                <w14:solidFill>
                  <w14:schemeClr w14:val="tx1"/>
                </w14:solidFill>
              </w14:textFill>
            </w:rPr>
            <w:t xml:space="preserve">  </w:t>
          </w:r>
          <w:r>
            <w:rPr>
              <w:rStyle w:val="927"/>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27"/>
              <w:rFonts w:hint="eastAsia" w:ascii="黑体" w:hAnsi="黑体" w:cs="黑体"/>
              <w:color w:val="000000" w:themeColor="text1"/>
              <w:lang w:val="zh-TW" w:eastAsia="zh-TW"/>
              <w14:textFill>
                <w14:solidFill>
                  <w14:schemeClr w14:val="tx1"/>
                </w14:solidFill>
              </w14:textFill>
            </w:rPr>
            <w:t xml:space="preserve">第</w:t>
          </w:r>
          <w:r>
            <w:rPr>
              <w:rStyle w:val="927"/>
              <w:rFonts w:hint="eastAsia" w:ascii="黑体" w:hAnsi="黑体" w:cs="黑体"/>
              <w:color w:val="000000" w:themeColor="text1"/>
              <w:lang w:val="zh-TW"/>
              <w14:textFill>
                <w14:solidFill>
                  <w14:schemeClr w14:val="tx1"/>
                </w14:solidFill>
              </w14:textFill>
            </w:rPr>
            <w:t xml:space="preserve">六</w:t>
          </w:r>
          <w:r>
            <w:rPr>
              <w:rStyle w:val="927"/>
              <w:rFonts w:hint="eastAsia" w:ascii="黑体" w:hAnsi="黑体" w:cs="黑体"/>
              <w:color w:val="000000" w:themeColor="text1"/>
              <w:lang w:val="zh-TW" w:eastAsia="zh-TW"/>
              <w14:textFill>
                <w14:solidFill>
                  <w14:schemeClr w14:val="tx1"/>
                </w14:solidFill>
              </w14:textFill>
            </w:rPr>
            <w:t xml:space="preserve">章</w:t>
          </w:r>
          <w:r>
            <w:rPr>
              <w:rStyle w:val="927"/>
              <w:rFonts w:ascii="黑体" w:hAnsi="黑体" w:cs="黑体"/>
              <w:color w:val="000000" w:themeColor="text1"/>
              <w:lang w:val="zh-TW" w:eastAsia="zh-TW"/>
              <w14:textFill>
                <w14:solidFill>
                  <w14:schemeClr w14:val="tx1"/>
                </w14:solidFill>
              </w14:textFill>
            </w:rPr>
            <w:t xml:space="preserve">  </w:t>
          </w:r>
          <w:r>
            <w:rPr>
              <w:rStyle w:val="927"/>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27"/>
              <w:rFonts w:eastAsia="黑体"/>
              <w:color w:val="000000" w:themeColor="text1"/>
              <w14:textFill>
                <w14:solidFill>
                  <w14:schemeClr w14:val="tx1"/>
                </w14:solidFill>
              </w14:textFill>
            </w:rPr>
            <w:t xml:space="preserve">6.1 </w:t>
          </w:r>
          <w:r>
            <w:rPr>
              <w:rStyle w:val="927"/>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27"/>
              <w:rFonts w:eastAsia="黑体"/>
              <w:color w:val="000000" w:themeColor="text1"/>
              <w14:textFill>
                <w14:solidFill>
                  <w14:schemeClr w14:val="tx1"/>
                </w14:solidFill>
              </w14:textFill>
            </w:rPr>
            <w:t xml:space="preserve">6.2 </w:t>
          </w:r>
          <w:r>
            <w:rPr>
              <w:rStyle w:val="927"/>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27"/>
              <w:rFonts w:eastAsia="黑体"/>
              <w:color w:val="000000" w:themeColor="text1"/>
              <w14:textFill>
                <w14:solidFill>
                  <w14:schemeClr w14:val="tx1"/>
                </w14:solidFill>
              </w14:textFill>
            </w:rPr>
            <w:t xml:space="preserve">6.3 </w:t>
          </w:r>
          <w:r>
            <w:rPr>
              <w:rStyle w:val="927"/>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27"/>
              <w:rFonts w:eastAsia="黑体"/>
              <w:color w:val="000000" w:themeColor="text1"/>
              <w14:textFill>
                <w14:solidFill>
                  <w14:schemeClr w14:val="tx1"/>
                </w14:solidFill>
              </w14:textFill>
            </w:rPr>
            <w:t xml:space="preserve">6.4 </w:t>
          </w:r>
          <w:r>
            <w:rPr>
              <w:rStyle w:val="927"/>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27"/>
              <w:rFonts w:eastAsia="黑体"/>
              <w:color w:val="000000" w:themeColor="text1"/>
              <w14:textFill>
                <w14:solidFill>
                  <w14:schemeClr w14:val="tx1"/>
                </w14:solidFill>
              </w14:textFill>
            </w:rPr>
            <w:t xml:space="preserve">6.5 </w:t>
          </w:r>
          <w:r>
            <w:rPr>
              <w:rStyle w:val="927"/>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27"/>
              <w:rFonts w:eastAsia="黑体"/>
              <w:color w:val="000000" w:themeColor="text1"/>
              <w14:textFill>
                <w14:solidFill>
                  <w14:schemeClr w14:val="tx1"/>
                </w14:solidFill>
              </w14:textFill>
            </w:rPr>
            <w:t xml:space="preserve">6.6 </w:t>
          </w:r>
          <w:r>
            <w:rPr>
              <w:rStyle w:val="927"/>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27"/>
              <w:rFonts w:eastAsia="黑体"/>
              <w:color w:val="000000" w:themeColor="text1"/>
              <w14:textFill>
                <w14:solidFill>
                  <w14:schemeClr w14:val="tx1"/>
                </w14:solidFill>
              </w14:textFill>
            </w:rPr>
            <w:t xml:space="preserve">6.7 </w:t>
          </w:r>
          <w:r>
            <w:rPr>
              <w:rStyle w:val="927"/>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27"/>
              <w:rFonts w:eastAsia="黑体"/>
              <w:color w:val="000000" w:themeColor="text1"/>
              <w14:textFill>
                <w14:solidFill>
                  <w14:schemeClr w14:val="tx1"/>
                </w14:solidFill>
              </w14:textFill>
            </w:rPr>
            <w:t xml:space="preserve">6.8 </w:t>
          </w:r>
          <w:r>
            <w:rPr>
              <w:rStyle w:val="927"/>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27"/>
              <w:rFonts w:eastAsia="黑体"/>
              <w:color w:val="000000" w:themeColor="text1"/>
              <w14:textFill>
                <w14:solidFill>
                  <w14:schemeClr w14:val="tx1"/>
                </w14:solidFill>
              </w14:textFill>
            </w:rPr>
            <w:t xml:space="preserve">6.9 </w:t>
          </w:r>
          <w:r>
            <w:rPr>
              <w:rStyle w:val="927"/>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6"/>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448069940"/>
      <w:r/>
      <w:bookmarkStart w:id="2" w:name="_Toc"/>
      <w:r/>
      <w:bookmarkStart w:id="3" w:name="_Toc415494523"/>
      <w:r/>
      <w:bookmarkStart w:id="4" w:name="_Toc11859485"/>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94"/>
        <w:spacing w:line="360" w:lineRule="exact"/>
        <w:rPr>
          <w:rFonts w:hint="eastAsia" w:ascii="黑体" w:hAnsi="黑体" w:cs="宋体"/>
          <w:b w:val="0"/>
          <w:sz w:val="28"/>
          <w:szCs w:val="28"/>
        </w:rPr>
      </w:pPr>
      <w:r/>
      <w:bookmarkStart w:id="5" w:name="_Toc35393790"/>
      <w:r/>
      <w:bookmarkStart w:id="6" w:name="_Toc28359079"/>
      <w:r/>
      <w:bookmarkStart w:id="7" w:name="_Toc28359002"/>
      <w:r/>
      <w:bookmarkStart w:id="8" w:name="_Toc35393621"/>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项目编号：JSZC-320100-ZTZB-G2026-0058（内部编号PML-ZH-ZB-2026029）</w:t>
      </w:r>
      <w:r/>
    </w:p>
    <w:p>
      <w:pPr>
        <w:ind w:left="1959" w:hanging="1400"/>
        <w:spacing w:line="400" w:lineRule="exact"/>
        <w:rPr>
          <w:rFonts w:hint="eastAsia" w:ascii="仿宋" w:hAnsi="仿宋" w:eastAsia="仿宋"/>
          <w:sz w:val="28"/>
          <w:szCs w:val="28"/>
          <w:lang w:eastAsia="zh-CN"/>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紫金山实验室边缘分布式基带处理单元采购项目</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二次</w:t>
      </w:r>
      <w:r>
        <w:rPr>
          <w:rFonts w:hint="eastAsia" w:ascii="仿宋" w:hAnsi="仿宋" w:eastAsia="仿宋"/>
          <w:sz w:val="28"/>
          <w:szCs w:val="28"/>
          <w:lang w:eastAsia="zh-CN"/>
        </w:rPr>
        <w:t xml:space="preserve">）</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196万元人民币</w:t>
      </w:r>
      <w:bookmarkEnd w:id="11"/>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最高限价：196万</w:t>
      </w:r>
      <w:r>
        <w:rPr>
          <w:rFonts w:hint="eastAsia" w:ascii="仿宋" w:hAnsi="仿宋" w:eastAsia="仿宋" w:cs="仿宋"/>
          <w:color w:val="000000"/>
          <w:sz w:val="28"/>
        </w:rPr>
        <w:t xml:space="preserve">元人民币</w:t>
      </w:r>
      <w:r/>
    </w:p>
    <w:p>
      <w:pPr>
        <w:ind w:firstLine="560"/>
        <w:spacing w:line="400" w:lineRule="exact"/>
        <w:rPr>
          <w:rFonts w:hint="eastAsia" w:ascii="仿宋" w:hAnsi="仿宋" w:eastAsia="仿宋"/>
          <w:sz w:val="28"/>
          <w:szCs w:val="28"/>
          <w:lang w:bidi="ar"/>
        </w:rPr>
      </w:pPr>
      <w:r>
        <w:rPr>
          <w:rFonts w:hint="eastAsia" w:ascii="仿宋" w:hAnsi="仿宋" w:eastAsia="仿宋"/>
          <w:sz w:val="28"/>
          <w:szCs w:val="28"/>
        </w:rPr>
        <w:t xml:space="preserve">采购需求：</w:t>
      </w:r>
      <w:r/>
    </w:p>
    <w:tbl>
      <w:tblPr>
        <w:tblStyle w:val="897"/>
        <w:tblW w:w="5015"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4"/>
        <w:gridCol w:w="2111"/>
        <w:gridCol w:w="530"/>
        <w:gridCol w:w="604"/>
        <w:gridCol w:w="993"/>
        <w:gridCol w:w="1106"/>
        <w:gridCol w:w="1041"/>
        <w:gridCol w:w="1021"/>
        <w:gridCol w:w="819"/>
      </w:tblGrid>
      <w:tr>
        <w:trPr>
          <w:trHeight w:val="470"/>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边缘分布式基带处理单元</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490000</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94"/>
        <w:spacing w:line="360" w:lineRule="exact"/>
        <w:rPr>
          <w:rFonts w:hint="eastAsia" w:ascii="仿宋" w:hAnsi="仿宋" w:eastAsia="仿宋"/>
          <w:sz w:val="28"/>
          <w:szCs w:val="28"/>
        </w:rPr>
      </w:pPr>
      <w:r/>
      <w:bookmarkStart w:id="12" w:name="_Toc35393791"/>
      <w:r/>
      <w:bookmarkStart w:id="13" w:name="_Toc28359003"/>
      <w:r/>
      <w:bookmarkStart w:id="14" w:name="_Toc28359080"/>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根据附件《南京市政府采购投标人信用记录表暨信用承诺书》格式，由法人签字并盖单位投标人CA公章，随响应文件一并递交。</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hint="eastAsia"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94"/>
        <w:spacing w:line="360" w:lineRule="exact"/>
        <w:rPr>
          <w:rFonts w:hint="eastAsia" w:ascii="黑体" w:hAnsi="黑体" w:cs="宋体"/>
          <w:b w:val="0"/>
          <w:sz w:val="28"/>
          <w:szCs w:val="28"/>
        </w:rPr>
      </w:pPr>
      <w:r/>
      <w:bookmarkStart w:id="18" w:name="_Toc35393792"/>
      <w:r/>
      <w:bookmarkStart w:id="19" w:name="_Toc35393623"/>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hint="eastAsia" w:ascii="仿宋" w:hAnsi="仿宋" w:eastAsia="仿宋" w:cs="宋体"/>
          <w:sz w:val="28"/>
          <w:szCs w:val="28"/>
          <w:u w:val="single"/>
        </w:rPr>
      </w:pPr>
      <w:r>
        <w:rPr>
          <w:rFonts w:hint="eastAsia" w:ascii="仿宋" w:hAnsi="仿宋" w:eastAsia="仿宋" w:cs="宋体"/>
          <w:sz w:val="28"/>
          <w:szCs w:val="28"/>
        </w:rPr>
        <w:t xml:space="preserve">方式：苏采云系统免费下载</w:t>
      </w:r>
      <w:r/>
    </w:p>
    <w:p>
      <w:pPr>
        <w:pStyle w:val="894"/>
        <w:spacing w:line="360" w:lineRule="exact"/>
        <w:rPr>
          <w:rFonts w:hint="eastAsia" w:ascii="黑体" w:hAnsi="黑体" w:cs="宋体"/>
          <w:b w:val="0"/>
          <w:sz w:val="28"/>
          <w:szCs w:val="28"/>
        </w:rPr>
      </w:pPr>
      <w:r/>
      <w:bookmarkStart w:id="20" w:name="_Toc28359082"/>
      <w:r/>
      <w:bookmarkStart w:id="21" w:name="_Toc28359005"/>
      <w:r/>
      <w:bookmarkStart w:id="22" w:name="_Toc35393624"/>
      <w:r/>
      <w:bookmarkStart w:id="23" w:name="_Toc35393793"/>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hint="eastAsia" w:ascii="仿宋" w:hAnsi="仿宋" w:eastAsia="仿宋"/>
          <w:bCs/>
          <w:sz w:val="28"/>
          <w:szCs w:val="28"/>
          <w:u w:val="single"/>
        </w:rPr>
      </w:pPr>
      <w:r>
        <w:rPr>
          <w:rFonts w:hint="eastAsia" w:ascii="仿宋" w:hAnsi="仿宋" w:eastAsia="仿宋"/>
          <w:bCs/>
          <w:sz w:val="28"/>
          <w:szCs w:val="28"/>
          <w:u w:val="single"/>
        </w:rPr>
        <w:t xml:space="preserve"> 2026年</w:t>
      </w:r>
      <w:r>
        <w:rPr>
          <w:rFonts w:hint="eastAsia" w:ascii="仿宋" w:hAnsi="仿宋" w:eastAsia="仿宋"/>
          <w:bCs/>
          <w:sz w:val="28"/>
          <w:szCs w:val="28"/>
          <w:u w:val="single"/>
          <w:lang w:val="en-US" w:eastAsia="zh-CN"/>
        </w:rPr>
        <w:t xml:space="preserve">11</w:t>
      </w:r>
      <w:r>
        <w:rPr>
          <w:rFonts w:hint="eastAsia" w:ascii="仿宋" w:hAnsi="仿宋" w:eastAsia="仿宋"/>
          <w:bCs/>
          <w:sz w:val="28"/>
          <w:szCs w:val="28"/>
          <w:u w:val="single"/>
        </w:rPr>
        <w:t xml:space="preserve">月</w:t>
      </w:r>
      <w:r>
        <w:rPr>
          <w:rFonts w:hint="eastAsia" w:ascii="仿宋" w:hAnsi="仿宋" w:eastAsia="仿宋"/>
          <w:bCs/>
          <w:sz w:val="28"/>
          <w:szCs w:val="28"/>
          <w:u w:val="single"/>
          <w:lang w:val="en-US" w:eastAsia="zh-CN"/>
        </w:rPr>
        <w:t xml:space="preserve">2</w:t>
      </w:r>
      <w:r>
        <w:rPr>
          <w:rFonts w:hint="eastAsia" w:ascii="仿宋" w:hAnsi="仿宋" w:eastAsia="仿宋"/>
          <w:bCs/>
          <w:sz w:val="28"/>
          <w:szCs w:val="28"/>
          <w:u w:val="single"/>
        </w:rPr>
        <w:t xml:space="preserve">日下午14点30分</w:t>
      </w:r>
      <w:r>
        <w:rPr>
          <w:rFonts w:hint="eastAsia" w:ascii="仿宋" w:hAnsi="仿宋" w:eastAsia="仿宋"/>
          <w:bCs/>
          <w:sz w:val="28"/>
          <w:szCs w:val="28"/>
        </w:rPr>
        <w:t xml:space="preserve">（北京时间）</w:t>
      </w:r>
      <w:r/>
    </w:p>
    <w:p>
      <w:pPr>
        <w:ind w:firstLine="560"/>
        <w:spacing w:line="360" w:lineRule="exact"/>
        <w:rPr>
          <w:rFonts w:hint="eastAsia" w:ascii="仿宋" w:hAnsi="仿宋" w:eastAsia="仿宋"/>
          <w:bCs/>
          <w:sz w:val="28"/>
          <w:szCs w:val="28"/>
          <w:u w:val="single"/>
        </w:rPr>
      </w:pPr>
      <w:r>
        <w:rPr>
          <w:rFonts w:hint="eastAsia" w:ascii="仿宋" w:hAnsi="仿宋" w:eastAsia="仿宋"/>
          <w:sz w:val="28"/>
          <w:szCs w:val="28"/>
        </w:rPr>
        <w:t xml:space="preserve">地点：苏采云开标大厅</w:t>
      </w:r>
      <w:r/>
    </w:p>
    <w:p>
      <w:pPr>
        <w:pStyle w:val="894"/>
        <w:spacing w:line="360" w:lineRule="exact"/>
        <w:rPr>
          <w:rFonts w:hint="eastAsia" w:ascii="黑体" w:hAnsi="黑体" w:cs="宋体"/>
          <w:b w:val="0"/>
          <w:sz w:val="28"/>
          <w:szCs w:val="28"/>
        </w:rPr>
      </w:pPr>
      <w:r/>
      <w:bookmarkStart w:id="24" w:name="_Toc28359084"/>
      <w:r/>
      <w:bookmarkStart w:id="25" w:name="_Toc35393794"/>
      <w:r/>
      <w:bookmarkStart w:id="26" w:name="_Toc28359007"/>
      <w:r/>
      <w:bookmarkStart w:id="27" w:name="_Toc35393625"/>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626"/>
      <w:r/>
      <w:bookmarkStart w:id="29" w:name="_Toc35393795"/>
      <w:r/>
      <w:r/>
    </w:p>
    <w:p>
      <w:pPr>
        <w:pStyle w:val="894"/>
        <w:spacing w:line="360" w:lineRule="exact"/>
        <w:rPr>
          <w:rFonts w:hint="eastAsia"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ind w:firstLine="560"/>
        <w:spacing w:line="400" w:lineRule="exact"/>
        <w:rPr>
          <w:rFonts w:hint="eastAsia" w:ascii="仿宋" w:hAnsi="仿宋" w:eastAsia="仿宋" w:cs="宋体"/>
          <w:sz w:val="28"/>
          <w:szCs w:val="28"/>
          <w:u w:val="single"/>
        </w:rPr>
      </w:pPr>
      <w:r/>
      <w:bookmarkStart w:id="30" w:name="_Toc28359008"/>
      <w:r/>
      <w:bookmarkStart w:id="31" w:name="_Toc35393796"/>
      <w:r/>
      <w:bookmarkStart w:id="32" w:name="_Toc28359085"/>
      <w:r/>
      <w:bookmarkStart w:id="33" w:name="_Toc35393627"/>
      <w:r>
        <w:rPr>
          <w:rFonts w:hint="eastAsia" w:ascii="仿宋" w:hAnsi="仿宋" w:eastAsia="仿宋" w:cs="宋体"/>
          <w:sz w:val="28"/>
          <w:szCs w:val="28"/>
        </w:rPr>
        <w:t xml:space="preserve">1.报名时间：</w:t>
      </w:r>
      <w:r>
        <w:rPr>
          <w:rFonts w:hint="eastAsia" w:ascii="仿宋" w:hAnsi="仿宋" w:eastAsia="仿宋" w:cs="宋体"/>
          <w:sz w:val="28"/>
          <w:szCs w:val="28"/>
        </w:rPr>
        <w:t xml:space="preserve">时间：</w:t>
      </w:r>
      <w:r>
        <w:rPr>
          <w:rFonts w:hint="eastAsia" w:ascii="仿宋" w:hAnsi="仿宋" w:eastAsia="仿宋" w:cs="宋体"/>
          <w:sz w:val="28"/>
          <w:szCs w:val="28"/>
          <w:u w:val="single"/>
        </w:rPr>
        <w:t xml:space="preserve">2026年</w:t>
      </w:r>
      <w:r>
        <w:rPr>
          <w:rFonts w:hint="eastAsia" w:ascii="仿宋" w:hAnsi="仿宋" w:eastAsia="仿宋" w:cs="宋体"/>
          <w:sz w:val="28"/>
          <w:szCs w:val="28"/>
          <w:u w:val="single"/>
          <w:lang w:val="en-US" w:eastAsia="zh-CN"/>
        </w:rPr>
        <w:t xml:space="preserve">10</w:t>
      </w:r>
      <w:r>
        <w:rPr>
          <w:rFonts w:hint="eastAsia" w:ascii="仿宋" w:hAnsi="仿宋" w:eastAsia="仿宋" w:cs="宋体"/>
          <w:sz w:val="28"/>
          <w:szCs w:val="28"/>
          <w:u w:val="single"/>
        </w:rPr>
        <w:t xml:space="preserve">月</w:t>
      </w:r>
      <w:r>
        <w:rPr>
          <w:rFonts w:hint="eastAsia" w:ascii="仿宋" w:hAnsi="仿宋" w:eastAsia="仿宋" w:cs="宋体"/>
          <w:sz w:val="28"/>
          <w:szCs w:val="28"/>
          <w:u w:val="single"/>
          <w:lang w:val="en-US" w:eastAsia="zh-CN"/>
        </w:rPr>
        <w:t xml:space="preserve">11</w:t>
      </w:r>
      <w:r>
        <w:rPr>
          <w:rFonts w:hint="eastAsia" w:ascii="仿宋" w:hAnsi="仿宋" w:eastAsia="仿宋" w:cs="宋体"/>
          <w:sz w:val="28"/>
          <w:szCs w:val="28"/>
          <w:u w:val="single"/>
        </w:rPr>
        <w:t xml:space="preserve">日</w:t>
      </w:r>
      <w:r>
        <w:rPr>
          <w:rFonts w:hint="eastAsia" w:ascii="仿宋" w:hAnsi="仿宋" w:eastAsia="仿宋" w:cs="宋体"/>
          <w:sz w:val="28"/>
          <w:szCs w:val="28"/>
        </w:rPr>
        <w:t xml:space="preserve">至</w:t>
      </w:r>
      <w:r>
        <w:rPr>
          <w:rFonts w:hint="eastAsia" w:ascii="仿宋" w:hAnsi="仿宋" w:eastAsia="仿宋" w:cs="宋体"/>
          <w:sz w:val="28"/>
          <w:szCs w:val="28"/>
          <w:u w:val="single"/>
        </w:rPr>
        <w:t xml:space="preserve">2026年</w:t>
      </w:r>
      <w:r>
        <w:rPr>
          <w:rFonts w:hint="eastAsia" w:ascii="仿宋" w:hAnsi="仿宋" w:eastAsia="仿宋" w:cs="宋体"/>
          <w:sz w:val="28"/>
          <w:szCs w:val="28"/>
          <w:u w:val="single"/>
          <w:lang w:val="en-US" w:eastAsia="zh-CN"/>
        </w:rPr>
        <w:t xml:space="preserve">10</w:t>
      </w:r>
      <w:r>
        <w:rPr>
          <w:rFonts w:hint="eastAsia" w:ascii="仿宋" w:hAnsi="仿宋" w:eastAsia="仿宋" w:cs="宋体"/>
          <w:sz w:val="28"/>
          <w:szCs w:val="28"/>
          <w:u w:val="single"/>
        </w:rPr>
        <w:t xml:space="preserve">月</w:t>
      </w:r>
      <w:r>
        <w:rPr>
          <w:rFonts w:hint="eastAsia" w:ascii="仿宋" w:hAnsi="仿宋" w:eastAsia="仿宋" w:cs="宋体"/>
          <w:sz w:val="28"/>
          <w:szCs w:val="28"/>
          <w:u w:val="single"/>
          <w:lang w:val="en-US" w:eastAsia="zh-CN"/>
        </w:rPr>
        <w:t xml:space="preserve">16</w:t>
      </w:r>
      <w:r>
        <w:rPr>
          <w:rFonts w:hint="eastAsia" w:ascii="仿宋" w:hAnsi="仿宋" w:eastAsia="仿宋" w:cs="宋体"/>
          <w:sz w:val="28"/>
          <w:szCs w:val="28"/>
          <w:u w:val="single"/>
        </w:rPr>
        <w:t xml:space="preserve">日</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办理）。具体联系方式见《苏采云系统供应商操作手册》（以下简称《操作手册》）。</w:t>
      </w:r>
      <w:r/>
    </w:p>
    <w:p>
      <w:pPr>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94"/>
        <w:spacing w:line="360" w:lineRule="exact"/>
        <w:rPr>
          <w:rFonts w:hint="eastAsia"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宋工（025-57917091）   </w:t>
      </w:r>
      <w:bookmarkStart w:id="34" w:name="_Toc28359086"/>
      <w:r/>
      <w:bookmarkStart w:id="35" w:name="_Toc28359009"/>
      <w:r>
        <w:rPr>
          <w:rFonts w:hint="eastAsia" w:ascii="仿宋" w:hAnsi="仿宋" w:eastAsia="仿宋"/>
          <w:sz w:val="28"/>
          <w:szCs w:val="28"/>
          <w:u w:val="single"/>
        </w:rPr>
        <w:t xml:space="preserve">  </w:t>
      </w:r>
      <w:r/>
    </w:p>
    <w:p>
      <w:pPr>
        <w:ind w:firstLine="560"/>
        <w:spacing w:line="400" w:lineRule="exact"/>
        <w:rPr>
          <w:rFonts w:hint="eastAsia"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联系方式：</w:t>
      </w:r>
      <w:bookmarkStart w:id="36" w:name="_Toc28359010"/>
      <w:r/>
      <w:bookmarkStart w:id="37" w:name="_Toc28359087"/>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hint="eastAsia" w:ascii="仿宋" w:hAnsi="仿宋" w:eastAsia="仿宋" w:cs="宋体"/>
          <w:sz w:val="28"/>
          <w:szCs w:val="28"/>
        </w:rPr>
      </w:pPr>
      <w:r/>
      <w:bookmarkStart w:id="38" w:name="_Toc28359077"/>
      <w:r/>
      <w:bookmarkStart w:id="39" w:name="_Toc28359000"/>
      <w:r/>
      <w:bookmarkStart w:id="40" w:name="_Toc35393619"/>
      <w:r/>
      <w:bookmarkStart w:id="41" w:name="_Toc35393788"/>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1859486"/>
      <w:r/>
      <w:bookmarkStart w:id="43" w:name="_Toc415494524"/>
      <w:r/>
      <w:bookmarkStart w:id="44" w:name="_Toc448069941"/>
      <w:r/>
      <w:bookmarkStart w:id="45" w:name="_Toc1"/>
      <w:r/>
      <w:r/>
    </w:p>
    <w:p>
      <w:pPr>
        <w:jc w:val="left"/>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29.异常低价响应审查程序</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29.1</w:t>
      </w:r>
      <w:r>
        <w:rPr>
          <w:rFonts w:ascii="Times New Roman" w:hAnsi="Times New Roman" w:cs="Times New Roman"/>
          <w:color w:val="000000" w:themeColor="text1"/>
          <w:sz w:val="24"/>
          <w:szCs w:val="24"/>
          <w:lang w:val="zh-TW"/>
          <w14:textFill>
            <w14:solidFill>
              <w14:schemeClr w14:val="tx1"/>
            </w14:solidFill>
          </w14:textFill>
        </w:rPr>
        <w:t xml:space="preserve">评审过程中出现下列情形之一的，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应当启动异常低价响应审查程序： </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（3）响应报价低于本项目最高限价45%的，即响应报价&lt;本项目最高限价×45%；</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29.2评审小组</w:t>
      </w:r>
      <w:r>
        <w:rPr>
          <w:rFonts w:ascii="Times New Roman" w:hAnsi="Times New Roman" w:cs="Times New Roman"/>
          <w:color w:val="000000" w:themeColor="text1"/>
          <w:sz w:val="24"/>
          <w:szCs w:val="24"/>
          <w:lang w:val="zh-TW"/>
          <w14:textFill>
            <w14:solidFill>
              <w14:schemeClr w14:val="tx1"/>
            </w14:solidFill>
          </w14:textFill>
        </w:rPr>
        <w:t xml:space="preserve">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29.3评审小组</w:t>
      </w:r>
      <w:r>
        <w:rPr>
          <w:rFonts w:ascii="Times New Roman" w:hAnsi="Times New Roman" w:cs="Times New Roman"/>
          <w:color w:val="000000" w:themeColor="text1"/>
          <w:sz w:val="24"/>
          <w:szCs w:val="24"/>
          <w:lang w:val="zh-TW"/>
          <w14:textFill>
            <w14:solidFill>
              <w14:schemeClr w14:val="tx1"/>
            </w14:solidFill>
          </w14:textFill>
        </w:rPr>
        <w:t xml:space="preserve">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应当将其作为无效响应处理。</w:t>
      </w:r>
      <w:r/>
    </w:p>
    <w:p>
      <w:pPr>
        <w:ind w:firstLine="480"/>
        <w:spacing w:line="360" w:lineRule="auto"/>
        <w:rPr>
          <w:rFonts w:hint="eastAsia" w:ascii="黑体" w:hAnsi="黑体" w:eastAsia="黑体" w:cs="黑体"/>
          <w:color w:val="000000" w:themeColor="text1"/>
          <w:sz w:val="36"/>
          <w:szCs w:val="36"/>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29.4</w:t>
      </w:r>
      <w:r>
        <w:rPr>
          <w:rFonts w:ascii="Times New Roman" w:hAnsi="Times New Roman" w:cs="Times New Roman"/>
          <w:color w:val="000000" w:themeColor="text1"/>
          <w:sz w:val="24"/>
          <w:szCs w:val="24"/>
          <w:lang w:val="zh-TW"/>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有关互联网浏览、查询历史一并归档。</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hint="eastAsia"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7"/>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7" o:title=""/>
              </v:shape>
            </w:pict>
          </mc:Fallback>
        </mc:AlternateContent>
      </w:r>
      <w:r/>
    </w:p>
    <w:p>
      <w:pPr>
        <w:jc w:val="right"/>
        <w:spacing w:line="360" w:lineRule="auto"/>
        <w:rPr>
          <w:rFonts w:hint="eastAsia"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hint="eastAsia"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12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400" w:hanging="1400"/>
        <w:rPr>
          <w:rFonts w:hint="eastAsia"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紫金山实验室边缘分布式基带处理单元采购项目</w:t>
      </w:r>
      <w:r>
        <w:rPr>
          <w:rFonts w:hint="eastAsia" w:ascii="宋体" w:hAnsi="宋体" w:eastAsia="宋体" w:cs="宋体"/>
          <w:color w:val="000000"/>
          <w:sz w:val="28"/>
          <w:szCs w:val="28"/>
          <w:u w:val="single"/>
          <w:lang w:eastAsia="zh-CN" w:bidi="ar"/>
        </w:rPr>
        <w:t xml:space="preserve">（</w:t>
      </w:r>
      <w:r>
        <w:rPr>
          <w:rFonts w:hint="eastAsia" w:ascii="宋体" w:hAnsi="宋体" w:eastAsia="宋体" w:cs="宋体"/>
          <w:color w:val="000000"/>
          <w:sz w:val="28"/>
          <w:szCs w:val="28"/>
          <w:u w:val="single"/>
          <w:lang w:val="en-US" w:eastAsia="zh-CN" w:bidi="ar"/>
        </w:rPr>
        <w:t xml:space="preserve">二次</w:t>
      </w:r>
      <w:r>
        <w:rPr>
          <w:rFonts w:hint="eastAsia" w:ascii="宋体" w:hAnsi="宋体" w:eastAsia="宋体" w:cs="宋体"/>
          <w:color w:val="000000"/>
          <w:sz w:val="28"/>
          <w:szCs w:val="28"/>
          <w:u w:val="single"/>
          <w:lang w:eastAsia="zh-CN" w:bidi="ar"/>
        </w:rPr>
        <w:t xml:space="preserve">）</w:t>
      </w:r>
      <w:r>
        <w:rPr>
          <w:rFonts w:hint="eastAsia" w:ascii="宋体" w:hAnsi="宋体" w:eastAsia="宋体" w:cs="宋体"/>
          <w:color w:val="000000"/>
          <w:sz w:val="28"/>
          <w:szCs w:val="28"/>
          <w:u w:val="single"/>
          <w:lang w:bidi="ar"/>
        </w:rPr>
        <w:t xml:space="preserve">   </w:t>
      </w:r>
      <w:r/>
    </w:p>
    <w:p>
      <w:pPr>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hint="eastAsia"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hint="eastAsia"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hint="eastAsia"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hint="eastAsia"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hint="eastAsia"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hint="eastAsia"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hint="eastAsia" w:ascii="宋体" w:hAnsi="宋体" w:eastAsia="宋体" w:cs="宋体"/>
          <w:b/>
          <w:color w:val="000000"/>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甲乙双方签订合同生效后，货到验收合格后，乙方先行开具全额增值税专用发票，甲方收到发票等请款材料后支付合同总额的95%；正常运行一年后支付剩余尾款。</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单位电话：025-52091570</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税  号：</w:t>
      </w:r>
      <w:r/>
    </w:p>
    <w:p>
      <w:pPr>
        <w:pStyle w:val="919"/>
        <w:contextualSpacing/>
        <w:ind w:left="451" w:hanging="241"/>
        <w:jc w:val="both"/>
        <w:spacing w:before="0" w:beforeAutospacing="0" w:after="0" w:afterAutospacing="0" w:line="540" w:lineRule="exact"/>
        <w:widowControl w:val="off"/>
        <w:rPr>
          <w:rFonts w:hint="eastAsia"/>
          <w:b/>
          <w:bCs/>
          <w:color w:val="000000"/>
          <w:lang w:val="zh-CN"/>
        </w:rPr>
      </w:pPr>
      <w:r>
        <w:rPr>
          <w:b/>
          <w:bCs/>
          <w:color w:val="000000"/>
          <w:lang w:val="zh-CN" w:bidi="ar"/>
        </w:rPr>
        <w:t xml:space="preserve">第十条 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lang w:val="zh-CN"/>
        </w:rPr>
      </w:r>
      <w:r/>
    </w:p>
    <w:p>
      <w:pPr>
        <w:jc w:val="lef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389"/>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甲    方：紫金山实验室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法人代表:尤肖虎</w:t>
            </w:r>
            <w:r/>
          </w:p>
          <w:p>
            <w:pPr>
              <w:rPr>
                <w:rFonts w:hint="eastAsia"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hint="eastAsia" w:ascii="宋体" w:hAnsi="宋体" w:eastAsia="宋体" w:cs="宋体"/>
              </w:rPr>
            </w:pPr>
            <w:r>
              <w:rPr>
                <w:rFonts w:hint="eastAsia" w:ascii="宋体" w:hAnsi="宋体" w:eastAsia="宋体" w:cs="宋体"/>
                <w:sz w:val="24"/>
                <w:szCs w:val="24"/>
                <w:lang w:bidi="ar"/>
              </w:rPr>
              <w:t xml:space="preserve">邮编:         </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乙    方：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w:t>
            </w:r>
            <w:r/>
          </w:p>
          <w:p>
            <w:pPr>
              <w:rPr>
                <w:rFonts w:hint="eastAsia" w:ascii="宋体" w:hAnsi="宋体" w:eastAsia="宋体" w:cs="宋体"/>
              </w:rPr>
            </w:pPr>
            <w:r>
              <w:rPr>
                <w:rFonts w:hint="eastAsia" w:ascii="宋体" w:hAnsi="宋体" w:eastAsia="宋体" w:cs="宋体"/>
                <w:sz w:val="24"/>
                <w:szCs w:val="24"/>
                <w:lang w:bidi="ar"/>
              </w:rPr>
              <w:t xml:space="preserve">地址:</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szCs w:val="24"/>
                <w:lang w:bidi="ar"/>
              </w:rPr>
              <w:t xml:space="preserve">邮编:</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hint="eastAsia"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2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2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2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2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hint="eastAsia"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88" w:lineRule="auto"/>
        <w:rPr>
          <w:rFonts w:hint="eastAsia" w:ascii="宋体" w:hAnsi="宋体"/>
          <w:sz w:val="24"/>
          <w:szCs w:val="24"/>
        </w:rPr>
      </w:pPr>
      <w:r>
        <w:rPr>
          <w:rFonts w:hint="eastAsia" w:ascii="宋体" w:hAnsi="宋体"/>
          <w:sz w:val="24"/>
          <w:szCs w:val="24"/>
        </w:rPr>
        <w:t xml:space="preserve">本项目采购边缘分布式基带处理单元用于</w:t>
      </w:r>
      <w:bookmarkStart w:id="78" w:name="_GoBack"/>
      <w:r/>
      <w:bookmarkEnd w:id="78"/>
      <w:r>
        <w:rPr>
          <w:rFonts w:hint="eastAsia" w:ascii="宋体" w:hAnsi="宋体"/>
          <w:sz w:val="24"/>
          <w:szCs w:val="24"/>
        </w:rPr>
        <w:t xml:space="preserve">构建科研项目的原型试验系统。</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Style w:val="897"/>
        <w:tblW w:w="4998"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2"/>
        <w:gridCol w:w="2104"/>
        <w:gridCol w:w="528"/>
        <w:gridCol w:w="602"/>
        <w:gridCol w:w="990"/>
        <w:gridCol w:w="1102"/>
        <w:gridCol w:w="1037"/>
        <w:gridCol w:w="1018"/>
        <w:gridCol w:w="816"/>
      </w:tblGrid>
      <w:tr>
        <w:trPr>
          <w:trHeight w:val="470"/>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边缘分布式基带处理单元</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490000</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ind w:firstLine="480"/>
        <w:spacing w:line="264" w:lineRule="auto"/>
        <w:widowControl/>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922"/>
        <w:ind w:firstLine="480"/>
        <w:rPr>
          <w:rFonts w:hint="eastAsia" w:ascii="宋体" w:hAnsi="宋体"/>
          <w:sz w:val="24"/>
        </w:rPr>
      </w:pPr>
      <w:r>
        <w:rPr>
          <w:rFonts w:hint="eastAsia" w:asciiTheme="minorEastAsia" w:hAnsiTheme="minorEastAsia" w:cstheme="minorEastAsia"/>
          <w:bCs/>
          <w:sz w:val="24"/>
          <w:szCs w:val="24"/>
        </w:rPr>
        <w:t xml:space="preserve">标“★”“▲”技术参数，应在投标文件中提供包含但不限于产品说明书等技术支持资料（如白皮书、彩页、手册、官网截图、具有CMA标识的检测报告等）供采购人核验，未按要求提供或提供的证明材料不满足招标文件技术指标，采购人有权对不满足要求的中标供应商视为虚假应标，按无效投标处理。</w:t>
      </w:r>
      <w:r/>
    </w:p>
    <w:tbl>
      <w:tblPr>
        <w:tblStyle w:val="89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1013"/>
        <w:gridCol w:w="716"/>
        <w:gridCol w:w="6456"/>
      </w:tblGrid>
      <w:tr>
        <w:trPr>
          <w:trHeight w:val="408"/>
        </w:trPr>
        <w:tc>
          <w:tcPr>
            <w:tcW w:w="336"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序号</w:t>
            </w:r>
            <w:r/>
          </w:p>
        </w:tc>
        <w:tc>
          <w:tcPr>
            <w:tcW w:w="577"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产品</w:t>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要求</w:t>
            </w:r>
            <w:r/>
          </w:p>
        </w:tc>
        <w:tc>
          <w:tcPr>
            <w:tcW w:w="3677"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功能、性能、配置要求</w:t>
            </w:r>
            <w:r/>
          </w:p>
        </w:tc>
      </w:tr>
      <w:tr>
        <w:trPr>
          <w:trHeight w:val="416"/>
        </w:trPr>
        <w:tc>
          <w:tcPr>
            <w:tcW w:w="336" w:type="pct"/>
            <w:vAlign w:val="center"/>
            <w:vMerge w:val="restart"/>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1</w:t>
            </w:r>
            <w:r/>
          </w:p>
        </w:tc>
        <w:tc>
          <w:tcPr>
            <w:tcW w:w="577" w:type="pct"/>
            <w:vAlign w:val="center"/>
            <w:vMerge w:val="restart"/>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szCs w:val="21"/>
              </w:rPr>
              <w:t xml:space="preserve">分布式基带处理单元</w:t>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
                <w:szCs w:val="21"/>
              </w:rPr>
              <w:t xml:space="preserve">★实质性要求</w:t>
            </w:r>
            <w:r/>
          </w:p>
        </w:tc>
        <w:tc>
          <w:tcPr>
            <w:tcW w:w="3677" w:type="pct"/>
            <w:vAlign w:val="center"/>
            <w:textDirection w:val="lrTb"/>
            <w:noWrap w:val="false"/>
          </w:tcPr>
          <w:p>
            <w:pPr>
              <w:rPr>
                <w:rFonts w:hint="eastAsia" w:asciiTheme="minorEastAsia" w:hAnsiTheme="minorEastAsia" w:cstheme="minorEastAsia"/>
                <w:szCs w:val="21"/>
              </w:rPr>
            </w:pPr>
            <w:r>
              <w:rPr>
                <w:rFonts w:asciiTheme="minorEastAsia" w:hAnsiTheme="minorEastAsia" w:cstheme="minorEastAsia"/>
                <w:szCs w:val="21"/>
              </w:rPr>
              <w:t xml:space="preserve">不低于以下要求：</w:t>
            </w:r>
            <w:r/>
          </w:p>
          <w:p>
            <w:pPr>
              <w:rPr>
                <w:rFonts w:hint="eastAsia" w:asciiTheme="minorEastAsia" w:hAnsiTheme="minorEastAsia" w:cstheme="minorEastAsia"/>
                <w:szCs w:val="21"/>
              </w:rPr>
            </w:pPr>
            <w:r>
              <w:rPr>
                <w:rFonts w:asciiTheme="minorEastAsia" w:hAnsiTheme="minorEastAsia" w:cstheme="minorEastAsia"/>
                <w:szCs w:val="21"/>
              </w:rPr>
              <w:t xml:space="preserve">1.实时基带计算资源：配置不少于2颗Intel x86架构高性能多核处理器，适配采购人现有FlexRAN平台，单颗核心数≥64核、主频≥1.9 GHz，支持DPDK等高速数据面处理框架，满足多载波、多通道物理层任务并行调度和实时计算需求；</w:t>
            </w:r>
            <w:r/>
          </w:p>
          <w:p>
            <w:pPr>
              <w:rPr>
                <w:rFonts w:hint="eastAsia" w:asciiTheme="minorEastAsia" w:hAnsiTheme="minorEastAsia" w:cstheme="minorEastAsia"/>
                <w:szCs w:val="21"/>
              </w:rPr>
            </w:pPr>
            <w:r>
              <w:rPr>
                <w:rFonts w:asciiTheme="minorEastAsia" w:hAnsiTheme="minorEastAsia" w:cstheme="minorEastAsia"/>
                <w:szCs w:val="21"/>
              </w:rPr>
              <w:t xml:space="preserve">2.高速内存资源：支持≥32个DDR5内存插槽，配置≥512 GB ECC DDR5内存，单根容量32 GB、速率≥5600 MT/s，满足多通道前传数据高速缓存、信道矩阵计算及联合基带处理需求；</w:t>
            </w:r>
            <w:r/>
          </w:p>
          <w:p>
            <w:pPr>
              <w:rPr>
                <w:rFonts w:hint="eastAsia" w:asciiTheme="minorEastAsia" w:hAnsiTheme="minorEastAsia" w:cstheme="minorEastAsia"/>
                <w:szCs w:val="21"/>
              </w:rPr>
            </w:pPr>
            <w:r>
              <w:rPr>
                <w:rFonts w:asciiTheme="minorEastAsia" w:hAnsiTheme="minorEastAsia" w:cstheme="minorEastAsia"/>
                <w:szCs w:val="21"/>
              </w:rPr>
              <w:t xml:space="preserve">3.大带宽多通道实时处理能力：具备微秒级实时通信处理能力，满足多载波、多通道实时基带处理需求；</w:t>
            </w:r>
            <w:r/>
          </w:p>
          <w:p>
            <w:pPr>
              <w:rPr>
                <w:rFonts w:hint="eastAsia" w:asciiTheme="minorEastAsia" w:hAnsiTheme="minorEastAsia" w:cstheme="minorEastAsia"/>
                <w:szCs w:val="21"/>
              </w:rPr>
            </w:pPr>
            <w:r>
              <w:rPr>
                <w:rFonts w:asciiTheme="minorEastAsia" w:hAnsiTheme="minorEastAsia" w:cstheme="minorEastAsia"/>
                <w:szCs w:val="21"/>
              </w:rPr>
              <w:t xml:space="preserve">4.高精度同步与多节点协同能力：支持高精度时间同步及多节点协同工作，可支持IEEE 1588/PTP等时间同步机制，满足分布式AAU、边缘分布式处理之间同步传输及空时二维编码联合处理需求。</w:t>
            </w:r>
            <w:r/>
          </w:p>
        </w:tc>
      </w:tr>
      <w:tr>
        <w:trPr>
          <w:trHeight w:val="90"/>
        </w:trPr>
        <w:tc>
          <w:tcPr>
            <w:tcW w:w="336" w:type="pct"/>
            <w:vAlign w:val="center"/>
            <w:vMerge w:val="continue"/>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r>
            <w:r/>
          </w:p>
        </w:tc>
        <w:tc>
          <w:tcPr>
            <w:tcW w:w="577" w:type="pct"/>
            <w:vAlign w:val="center"/>
            <w:vMerge w:val="continue"/>
            <w:textDirection w:val="lrTb"/>
            <w:noWrap w:val="false"/>
          </w:tcPr>
          <w:p>
            <w:pPr>
              <w:jc w:val="left"/>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非实质性要求</w:t>
            </w:r>
            <w:r/>
          </w:p>
        </w:tc>
        <w:tc>
          <w:tcPr>
            <w:tcW w:w="3677"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投标人所投产品应不低于以下要求，逐条应答以及按要求提供相关证明材料：</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1.硬盘：配置≥1块企业级NVME 接口固态硬盘，单盘容量≥1.92TB；</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2.网卡：配置≥1块双端口25G OCP网卡（含光模块），支持RoCE、SR-IOV协议；配置≥1块双端口10 GE OCP 电口，不占用PCIE标准插槽；</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3.▲PCIE扩展能力：支持不少于14个PCIe扩展插槽，实际不少于10个标准PCIe槽位接口，其中×16 PCIe通道不少于4个槽位接口，×8 PCIe通道不少于6个槽位接口，支持2个OCP专用插槽；</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4.电源：配置两组</w:t>
            </w:r>
            <w:r>
              <w:rPr>
                <w:rFonts w:hint="eastAsia" w:asciiTheme="minorEastAsia" w:hAnsiTheme="minorEastAsia" w:cstheme="minorEastAsia"/>
                <w:color w:val="000000"/>
                <w:szCs w:val="21"/>
                <w:lang w:val="en-US" w:eastAsia="zh-CN"/>
              </w:rPr>
              <w:t xml:space="preserve">均</w:t>
            </w:r>
            <w:r>
              <w:rPr>
                <w:rFonts w:hint="eastAsia" w:asciiTheme="minorEastAsia" w:hAnsiTheme="minorEastAsia" w:cstheme="minorEastAsia"/>
                <w:color w:val="000000"/>
                <w:szCs w:val="21"/>
              </w:rPr>
              <w:t xml:space="preserve">≥1600W冗余热插拔电源，并提供配套的电源连接线；</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5.散热：支持≥4 组高效风扇，N+1冗余，智能调节的散热系统；</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6.操作系统兼容性：兼容当前主流的服务器操作系统： Microsoft Windows Sever、Red Hat Enterprise Linux、SUSE Linux Enterprise Server、Vmware ESXi、CGSL；</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7.▲接口：支持3GPP option7-2 eCPRI接口，且输出光接口同时支持10Gbps和25Gbps；</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8.▲实时性：支持毫米波实时信号处理，指令周期能够支持物理层任务链实时处理；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9.▲信号速率：基带信号处理速率不少于10Gbps；</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10.▲信号处理能力：支持无蜂窝分布式MIMO的信号处理，支持空口校准；</w:t>
            </w:r>
            <w:r/>
          </w:p>
          <w:p>
            <w:pPr>
              <w:spacing w:line="360" w:lineRule="exact"/>
              <w:rPr>
                <w:rFonts w:hint="eastAsia" w:asciiTheme="minorEastAsia" w:hAnsiTheme="minorEastAsia" w:cstheme="minorEastAsia"/>
                <w:szCs w:val="21"/>
              </w:rPr>
            </w:pPr>
            <w:r>
              <w:rPr>
                <w:rFonts w:hint="eastAsia" w:asciiTheme="minorEastAsia" w:hAnsiTheme="minorEastAsia" w:cstheme="minorEastAsia"/>
                <w:color w:val="000000"/>
                <w:szCs w:val="21"/>
              </w:rPr>
              <w:t xml:space="preserve">11.▲管理及维护：产品BIOS支持中英文界面，独立管理接口，支持SNMP、IPMI，虚拟KVM、虚拟媒体、远程控制、硬件监控等特性。</w:t>
            </w:r>
            <w:r/>
          </w:p>
        </w:tc>
      </w:tr>
    </w:tbl>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2.其他技术要求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（1）技术人员要求。中标供应商就本次项目成立专项项目团队，投入本项目实施的厂家工程技术人员应不少于3人，要求至少有2年以上相关工作经验。</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（2）在项目实施期间，未经采购人同意，中标供应商不得擅自更换技术人员。否则，由中标供应商承担违约责任。</w:t>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（2）供应商的任何错漏、优惠、竞争性报价不得作为减轻责任、减少服务、增加收费、降低服务质量的理由。</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2.实施要求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设备进场后，所投产品厂家会同采购人技术人员进行开箱检验，对设备型号、规格、数量及外观有无缺陷等做认真的检查记录。根据合同约定和设备厂家提供的装箱清单，仔细清点和检查设备零部件的数量和质量，检查清点随机所带专用工具，易丢、易损件数量并妥善保管。设备检查完好后，开机上电检测机框和板卡是否能正常启动，完成安装验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3.售后服务要求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（1）中标供应商提供软件安装光盘、使用手册。</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（2）中标供应商负责所提供软、硬件设备的现场安装、调试和开通，并保证整个系统的正确运行，保证不同时期提供的同类设备（软件、硬件）兼容。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（3）中标供应商确保其技术建议以及所提供的软、硬件设备的完整性和可用性 ，若因供应商失误，造成硬软件短缺或达不到原定性能指标，中标供应商将进行补充（费用包含在本次投标报价中），直至满足要求。若出现由于供应商提供的软、硬件设备不满足要求或其所提供的技术支持和服务不全面而导致系统功能无法实现或不能完全实现，由中标供应商负全部责任并赔偿采购人由此造成的全部损失。</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（4）中标供应商提供安装和维护所需的专用工具。</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（5）中标供应商提供保证货物在质保期内正常运行所需的随机备品备件、易损件。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质保期内，中标供应商维修或更换有缺陷的货物或部件的响应期限（费用包含在本次投标报价中）：设备发生故障后，供应商在收到用户服务信息后24小时内给与答复，并给予远程指导，如仍未解决问题，将于3个工作日内将故障排除，并交付使用。</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7）质保期内发生的零部件不正常的磨损，或非人为原因而损坏、失效的零部件、电子元器件和易损件，发生上述情况但不限于上述情况时，中标供应商应提供服务并更换上述零部件、电子元器件、备品备件和易损件（费用包含在投标总价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8）质保期满后，中标供应商应继续为采购人提供服务，服务仅收取零配件成本费，免人工费。中标供应商保证有充足的备件，保证提供的所有设备、部件均无假冒伪劣产品。质保期内出现无法排除的故障，中标供应商须为采购人更换同型号产品，费用包含在投标总价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4.质保服务要求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自设备到货验收合格之日起，中标供应商提供至少三年的原厂质保服务（费用包含在投标总价中），否则采购人有权取消中标供应商中标资格并不承担任何责任。</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5.技术培训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中标供应商为采购人提供完善的技术培训和技术售后支持，安排工程师对相关人员进行测试仪表的基本使用的培训，让相关人员掌握利用测试仪表进行测试的方法和利用测试仪表进行测试用例的测试。培训后相关人员使用仪表的过程中有任何问题都可以咨询中标供应商的工程师，工程师提供远程电话指导，如果不能解决问题，24小时内会到现场进行现场指导。</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（2）中标供应商对采购人进行培训，集中培训不少于两场次，培训场地由采购人提供，中标供应商提供培训资料。</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（3）产品使用过程中由厂家工程师提供远程支持，如果不能解决问题，24小时内到现场进行现场指导。</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6.知识产权要求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中标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中标供应商应承担所有法律责任带来的全部最终不利后果。</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7.交货时间、地点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合同签订之日起，中标供应商应在30天内将设备送到采购人指定地点。设备到货后，应提供相关操作说明及技术资料，在双方约定的期限内提供不少于1天的现场指导，直至确保采购人人员能够熟练使用设备。</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8.付款条件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9.履约保证金</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10.其他要求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exact"/>
        <w:rPr>
          <w:rFonts w:hint="eastAsia" w:ascii="黑体" w:hAnsi="黑体" w:eastAsia="黑体" w:cs="黑体"/>
          <w:color w:val="000000"/>
          <w:sz w:val="24"/>
          <w:szCs w:val="24"/>
        </w:rPr>
      </w:pPr>
      <w:r>
        <w:rPr>
          <w:rFonts w:hint="eastAsia" w:asciiTheme="minorEastAsia" w:hAnsiTheme="minorEastAsia" w:cstheme="minorEastAsia"/>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黑体" w:hAnsi="黑体" w:eastAsia="黑体" w:cs="黑体"/>
          <w:color w:val="000000"/>
          <w:sz w:val="24"/>
          <w:szCs w:val="24"/>
        </w:rPr>
        <w:br w:type="page" w:clear="all"/>
      </w:r>
      <w:r/>
    </w:p>
    <w:p>
      <w:pPr>
        <w:pStyle w:val="919"/>
        <w:numPr>
          <w:ilvl w:val="255"/>
          <w:numId w:val="0"/>
        </w:numPr>
        <w:jc w:val="center"/>
        <w:spacing w:after="120"/>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0" w:name="_Toc120614281"/>
      <w:r/>
      <w:bookmarkStart w:id="51" w:name="_Toc26554093"/>
      <w:r/>
      <w:bookmarkStart w:id="52" w:name="_Toc49090575"/>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3"/>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0"/>
      <w:r/>
      <w:bookmarkEnd w:id="51"/>
      <w:r/>
      <w:bookmarkEnd w:id="52"/>
      <w:r/>
      <w:r/>
    </w:p>
    <w:tbl>
      <w:tblPr>
        <w:tblStyle w:val="897"/>
        <w:tblW w:w="496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46"/>
        <w:gridCol w:w="1056"/>
        <w:gridCol w:w="5797"/>
        <w:gridCol w:w="582"/>
        <w:gridCol w:w="831"/>
      </w:tblGrid>
      <w:tr>
        <w:trPr>
          <w:jc w:val="center"/>
          <w:trHeight w:val="501"/>
          <w:tblHeader/>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序号</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评审因素</w:t>
            </w:r>
            <w:r/>
          </w:p>
        </w:tc>
        <w:tc>
          <w:tcPr>
            <w:tcBorders>
              <w:top w:val="single" w:color="000000" w:sz="2" w:space="0"/>
              <w:bottom w:val="single" w:color="000000" w:sz="2" w:space="0"/>
            </w:tcBorders>
            <w:tcW w:w="3325"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评审细则</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分值</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类型</w:t>
            </w:r>
            <w:r/>
          </w:p>
        </w:tc>
      </w:tr>
      <w:tr>
        <w:trPr>
          <w:jc w:val="center"/>
          <w:trHeight w:val="1030"/>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1</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2"/>
                <w:szCs w:val="21"/>
              </w:rPr>
              <w:t xml:space="preserve">价格分</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采用低价优先</w:t>
            </w:r>
            <w:r>
              <w:rPr>
                <w:rFonts w:hint="eastAsia" w:asciiTheme="minorEastAsia" w:hAnsiTheme="minorEastAsia" w:cstheme="minorEastAsia"/>
                <w:szCs w:val="21"/>
              </w:rPr>
              <w:t xml:space="preserve">法计算，即满足招标文件要求且投标价格最低的投标</w:t>
            </w:r>
            <w:r>
              <w:rPr>
                <w:rFonts w:hint="eastAsia" w:asciiTheme="minorEastAsia" w:hAnsiTheme="minorEastAsia" w:cstheme="minorEastAsia"/>
                <w:spacing w:val="1"/>
                <w:szCs w:val="21"/>
              </w:rPr>
              <w:t xml:space="preserve">报价为评标基准</w:t>
            </w:r>
            <w:r>
              <w:rPr>
                <w:rFonts w:hint="eastAsia" w:asciiTheme="minorEastAsia" w:hAnsiTheme="minorEastAsia" w:cstheme="minorEastAsia"/>
                <w:szCs w:val="21"/>
              </w:rPr>
              <w:t xml:space="preserve">价，其价格分为满分。其他投标人的价格分统一按</w:t>
            </w:r>
            <w:r>
              <w:rPr>
                <w:rFonts w:hint="eastAsia" w:asciiTheme="minorEastAsia" w:hAnsiTheme="minorEastAsia" w:cstheme="minorEastAsia"/>
                <w:spacing w:val="-1"/>
                <w:szCs w:val="21"/>
              </w:rPr>
              <w:t xml:space="preserve">照下列公</w:t>
            </w:r>
            <w:r>
              <w:rPr>
                <w:rFonts w:hint="eastAsia" w:asciiTheme="minorEastAsia" w:hAnsiTheme="minorEastAsia" w:cstheme="minorEastAsia"/>
                <w:szCs w:val="21"/>
              </w:rPr>
              <w:t xml:space="preserve">式计算：投标报价得分=(评标基准价/投标报价)×价格分值（小数点保留两位）</w:t>
            </w:r>
            <w:r/>
          </w:p>
          <w:p>
            <w:p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（1）响应报价低于全部通过符合性审查供应商响应报价平均值50%的，即响应报价&lt;全部通过符合性审查供应商响应报价平均值×50%； </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（2）响应报价低于通过符合性审查的次低报价供应商响应报价50%的，即响应报价&lt;通过符合性审查的次低报价供应商响应报价×50%； </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（3）响应报价低于采购项目最高限价45%的，即响应报价&lt;采购项目最高限价×45%；</w:t>
            </w:r>
            <w:r/>
          </w:p>
          <w:p>
            <w:pPr>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45</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价格分</w:t>
            </w:r>
            <w:r/>
          </w:p>
        </w:tc>
      </w:tr>
      <w:tr>
        <w:trPr>
          <w:jc w:val="center"/>
          <w:trHeight w:val="891"/>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2</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产品技术参数</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pacing w:val="1"/>
                <w:szCs w:val="21"/>
              </w:rPr>
            </w:pPr>
            <w:r>
              <w:rPr>
                <w:rFonts w:hint="eastAsia" w:asciiTheme="minorEastAsia" w:hAnsiTheme="minorEastAsia" w:cstheme="minorEastAsia"/>
                <w:szCs w:val="21"/>
              </w:rPr>
              <w:t xml:space="preserve">产品技术参数全部满足招标要求的得满分35分；打★指标为必须满足项，如有负偏离将作为无效投标；打▲指标为重要指标，有一项负偏离扣4分；其余指标，有一项负偏离扣2分，扣完为止。</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35</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客</w:t>
            </w:r>
            <w:r>
              <w:rPr>
                <w:rFonts w:hint="eastAsia" w:asciiTheme="minorEastAsia" w:hAnsiTheme="minorEastAsia" w:cstheme="minorEastAsia"/>
                <w:spacing w:val="-4"/>
                <w:szCs w:val="21"/>
              </w:rPr>
              <w:t xml:space="preserve">观分</w:t>
            </w:r>
            <w:r/>
          </w:p>
        </w:tc>
      </w:tr>
      <w:tr>
        <w:trPr>
          <w:jc w:val="center"/>
          <w:trHeight w:val="891"/>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3</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业绩</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人提供2023年1月1日（含）以来类似项目业绩或产品业绩（包含BBU或者基带处理单元或者网络设备同类项目业绩”），每提供1个得2分，最多得6分。（时间以合同签订时间为准，提供有效合同，合同页须清晰可见相应内容）</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384"/>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4</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本地化服务</w:t>
            </w:r>
            <w:r/>
          </w:p>
        </w:tc>
        <w:tc>
          <w:tcPr>
            <w:tcBorders>
              <w:top w:val="single" w:color="000000" w:sz="2" w:space="0"/>
              <w:bottom w:val="single" w:color="000000" w:sz="2" w:space="0"/>
            </w:tcBorders>
            <w:tcW w:w="3325" w:type="pct"/>
            <w:vAlign w:val="center"/>
            <w:textDirection w:val="lrTb"/>
            <w:noWrap w:val="false"/>
          </w:tcPr>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投标人在江苏省内设有常驻服务机构或承诺中标后设立，并提供服务团队名单及办公地址证明，得2分；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384"/>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5</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整体实施方案</w:t>
            </w:r>
            <w:r/>
          </w:p>
        </w:tc>
        <w:tc>
          <w:tcPr>
            <w:tcBorders>
              <w:top w:val="single" w:color="000000" w:sz="2" w:space="0"/>
              <w:bottom w:val="single" w:color="000000" w:sz="2" w:space="0"/>
            </w:tcBorders>
            <w:tcW w:w="3325" w:type="pct"/>
            <w:vAlign w:val="center"/>
            <w:textDirection w:val="lrTb"/>
            <w:noWrap w:val="false"/>
          </w:tcPr>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评委根据投标人提供的本项目整体实施方案（包括供货进度保证措施、质量保证措施、安装调试计划、进度安排控制）综合评分：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（1）方案阐述及提供的证明材料详细、合理，有很强的针对性，符合项目建设实际需求，得4分；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（2）方案阐述及提供的证明材料较为详细、合理，有较强的针对性，较符合项目建设需求，得2分；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（3）方案阐述及证明材料，基本符合项目建设需求，得1分；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6</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售后服务方案</w:t>
            </w:r>
            <w:r/>
          </w:p>
        </w:tc>
        <w:tc>
          <w:tcPr>
            <w:tcBorders>
              <w:top w:val="single" w:color="000000" w:sz="2" w:space="0"/>
              <w:bottom w:val="single" w:color="000000" w:sz="2" w:space="0"/>
            </w:tcBorders>
            <w:tcW w:w="3325" w:type="pct"/>
            <w:vAlign w:val="center"/>
            <w:textDirection w:val="lrTb"/>
            <w:noWrap w:val="false"/>
          </w:tcPr>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评委根据投标人提供的本项目售后服务方案（包含但不限于：包括问题处理响应时间及反馈、故障排除时间、服务措施等）综合评分：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（1）售后服务方案详细、合理，有很强的针对性，符合项目实际需求，得3分；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（2）售后服务方案较为详细、合理，有较强的针对性，较符合项目实际需求，得2分；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（3）售后服务方案基本合理，基本符合项目实际需求，得1分；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7</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培训方案</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评委根据投标人提供的本项目培训方案（</w:t>
            </w:r>
            <w:r>
              <w:rPr>
                <w:rFonts w:hint="eastAsia" w:asciiTheme="minorEastAsia" w:hAnsiTheme="minorEastAsia" w:cstheme="minorEastAsia"/>
                <w:szCs w:val="21"/>
              </w:rPr>
              <w:t xml:space="preserve">包括培训计划、培训内容及师资力量等</w:t>
            </w:r>
            <w:r>
              <w:rPr>
                <w:rFonts w:hint="eastAsia" w:asciiTheme="minorEastAsia" w:hAnsiTheme="minorEastAsia" w:cstheme="minorEastAsia"/>
                <w:color w:val="000000"/>
                <w:szCs w:val="21"/>
              </w:rPr>
              <w:t xml:space="preserve">）综合评分：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（1）培训方案详细、合理，有很强的针对性，符合项目实际需求，得3分；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（2）培训方案较为详细、合理，有较强的针对性，较符合项目实际需求，得2分；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（3）培训方案基本合理，基本符合项目实际需求，得1分；</w:t>
            </w:r>
            <w:r/>
          </w:p>
          <w:p>
            <w:pPr>
              <w:pStyle w:val="946"/>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sz w:val="21"/>
                <w:szCs w:val="21"/>
              </w:rPr>
              <w:t xml:space="preserve">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8</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团队成员资质</w:t>
            </w:r>
            <w:r/>
          </w:p>
        </w:tc>
        <w:tc>
          <w:tcPr>
            <w:tcBorders>
              <w:top w:val="single" w:color="000000" w:sz="2" w:space="0"/>
              <w:bottom w:val="single" w:color="000000" w:sz="2" w:space="0"/>
            </w:tcBorders>
            <w:tcW w:w="3325" w:type="pct"/>
            <w:vAlign w:val="center"/>
            <w:textDirection w:val="lrTb"/>
            <w:noWrap w:val="false"/>
          </w:tcPr>
          <w:p>
            <w:pPr>
              <w:pStyle w:val="946"/>
              <w:numPr>
                <w:ilvl w:val="0"/>
                <w:numId w:val="4"/>
              </w:numPr>
              <w:jc w:val="both"/>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项目经理具有通信或计算机相关专业中级及以上职称，得2分，</w:t>
            </w:r>
            <w:r/>
          </w:p>
          <w:p>
            <w:pPr>
              <w:pStyle w:val="946"/>
              <w:jc w:val="both"/>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提供证书复印件及近半年任意一个月的社保证明加盖公章，不提供不得分。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464"/>
        </w:trPr>
        <w:tc>
          <w:tcPr>
            <w:gridSpan w:val="3"/>
            <w:tcBorders>
              <w:top w:val="single" w:color="000000" w:sz="2" w:space="0"/>
              <w:bottom w:val="single" w:color="000000" w:sz="2" w:space="0"/>
            </w:tcBorders>
            <w:tcW w:w="4188"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3"/>
                <w:szCs w:val="21"/>
              </w:rPr>
              <w:t xml:space="preserve">合</w:t>
            </w:r>
            <w:r>
              <w:rPr>
                <w:rFonts w:hint="eastAsia" w:asciiTheme="minorEastAsia" w:hAnsiTheme="minorEastAsia" w:cstheme="minorEastAsia"/>
                <w:spacing w:val="-2"/>
                <w:szCs w:val="21"/>
              </w:rPr>
              <w:t xml:space="preserve">计</w:t>
            </w:r>
            <w:r/>
          </w:p>
        </w:tc>
        <w:tc>
          <w:tcPr>
            <w:gridSpan w:val="2"/>
            <w:tcBorders>
              <w:top w:val="single" w:color="000000" w:sz="2" w:space="0"/>
              <w:bottom w:val="single" w:color="000000" w:sz="2" w:space="0"/>
            </w:tcBorders>
            <w:tcW w:w="811"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11"/>
                <w:szCs w:val="21"/>
              </w:rPr>
              <w:t xml:space="preserve">100分</w:t>
            </w:r>
            <w:r/>
          </w:p>
        </w:tc>
      </w:tr>
    </w:tbl>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hint="eastAsia" w:ascii="黑体" w:hAnsi="黑体" w:eastAsia="黑体" w:cs="黑体"/>
          <w:color w:val="000000" w:themeColor="text1"/>
          <w:sz w:val="36"/>
          <w:szCs w:val="36"/>
          <w:lang w:val="zh-TW"/>
          <w14:textFill>
            <w14:solidFill>
              <w14:schemeClr w14:val="tx1"/>
            </w14:solidFill>
          </w14:textFill>
        </w:rPr>
      </w:pPr>
      <w:r/>
      <w:bookmarkStart w:id="53"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3"/>
      <w:r/>
      <w:r/>
    </w:p>
    <w:p>
      <w:pPr>
        <w:pStyle w:val="94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43"/>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43"/>
        <w:ind w:firstLine="0"/>
        <w:jc w:val="center"/>
        <w:widowControl w:val="off"/>
        <w:rPr>
          <w:rFonts w:hint="eastAsia" w:ascii="Times New Roman" w:hAnsi="Times New Roman" w:eastAsia="黑体" w:cs="Times New Roman"/>
          <w:color w:val="000000" w:themeColor="text1"/>
          <w:sz w:val="36"/>
          <w:szCs w:val="36"/>
          <w:lang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紫金山实验室边缘分布式基带处理单元采购项目</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二次</w:t>
      </w:r>
      <w:r>
        <w:rPr>
          <w:rFonts w:hint="eastAsia" w:ascii="Times New Roman" w:hAnsi="Times New Roman" w:eastAsia="黑体" w:cs="Times New Roman"/>
          <w:color w:val="000000" w:themeColor="text1"/>
          <w:sz w:val="36"/>
          <w:szCs w:val="36"/>
          <w:lang w:eastAsia="zh-CN"/>
          <w14:textFill>
            <w14:solidFill>
              <w14:schemeClr w14:val="tx1"/>
            </w14:solidFill>
          </w14:textFill>
        </w:rPr>
        <w:t xml:space="preserve">）</w:t>
      </w:r>
      <w:r/>
    </w:p>
    <w:p>
      <w:pPr>
        <w:pStyle w:val="943"/>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JSZC-320100-ZTZB-G2026-0058（内部编号PML-ZH-ZB-2026029）</w:t>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hint="eastAsia"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97"/>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hint="eastAsia"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hint="eastAsia" w:ascii="宋体" w:hAnsi="宋体" w:eastAsia="宋体" w:cs="Arial Unicode MS"/>
          <w:color w:val="000000" w:themeColor="text1"/>
          <w:sz w:val="28"/>
          <w:szCs w:val="28"/>
          <w14:textFill>
            <w14:solidFill>
              <w14:schemeClr w14:val="tx1"/>
            </w14:solidFill>
          </w14:textFill>
        </w:rPr>
      </w:pPr>
      <w:r>
        <w:rPr>
          <w:rFonts w:hint="eastAsia"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4" w:name="_Toc50"/>
      <w:r/>
      <w:bookmarkStart w:id="55" w:name="_Toc415494574"/>
      <w:r/>
      <w:bookmarkStart w:id="56" w:name="_Toc448069988"/>
      <w:r/>
      <w:bookmarkStart w:id="57"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4"/>
      <w:r/>
      <w:bookmarkEnd w:id="55"/>
      <w:r/>
      <w:bookmarkEnd w:id="56"/>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57"/>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43"/>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紫金山实验室边缘分布式基带处理单元采购项目</w:t>
      </w:r>
      <w:r>
        <w:rPr>
          <w:rFonts w:hint="eastAsia" w:ascii="Times New Roman" w:hAnsi="Times New Roman" w:cs="Times New Roman"/>
          <w:color w:val="000000" w:themeColor="text1"/>
          <w:szCs w:val="21"/>
          <w:u w:val="single"/>
          <w:lang w:eastAsia="zh-CN"/>
          <w14:textFill>
            <w14:solidFill>
              <w14:schemeClr w14:val="tx1"/>
            </w14:solidFill>
          </w14:textFill>
        </w:rPr>
        <w:t xml:space="preserve">（</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二次</w:t>
      </w:r>
      <w:r>
        <w:rPr>
          <w:rFonts w:hint="eastAsia" w:ascii="Times New Roman" w:hAnsi="Times New Roman" w:cs="Times New Roman"/>
          <w:color w:val="000000" w:themeColor="text1"/>
          <w:szCs w:val="21"/>
          <w:u w:val="single"/>
          <w:lang w:eastAsia="zh-CN"/>
          <w14:textFill>
            <w14:solidFill>
              <w14:schemeClr w14:val="tx1"/>
            </w14:solidFill>
          </w14:textFill>
        </w:rPr>
        <w:t xml:space="preserve">）</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：JSZC-320100-ZTZB-G2026-0058（内部编号PML-ZH-ZB-2026029））</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4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4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415494579"/>
      <w:r/>
      <w:bookmarkStart w:id="59" w:name="_Toc448069992"/>
      <w:r/>
      <w:bookmarkStart w:id="60" w:name="_Toc11859492"/>
      <w:r/>
      <w:bookmarkStart w:id="61" w:name="_Toc452541709"/>
      <w:r/>
      <w:bookmarkStart w:id="62" w:name="_Toc448069989"/>
      <w:r/>
      <w:bookmarkStart w:id="63" w:name="_Toc51"/>
      <w:r/>
      <w:bookmarkStart w:id="64" w:name="_Toc415494575"/>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58"/>
      <w:r/>
      <w:bookmarkEnd w:id="59"/>
      <w:r/>
      <w:bookmarkEnd w:id="60"/>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hint="eastAsia" w:ascii="Times New Roman" w:hAnsi="Times New Roman" w:cs="Times New Roman" w:eastAsiaTheme="minorEastAsia"/>
          <w:color w:val="000000" w:themeColor="text1"/>
          <w:sz w:val="24"/>
          <w:szCs w:val="24"/>
          <w:lang w:eastAsia="zh-CN"/>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紫金山实验室边缘分布式基带处理单元采购项目</w:t>
      </w:r>
      <w:r>
        <w:rPr>
          <w:rFonts w:hint="eastAsia" w:ascii="Times New Roman" w:hAnsi="Times New Roman" w:cs="Times New Roman"/>
          <w:color w:val="000000" w:themeColor="text1"/>
          <w:sz w:val="24"/>
          <w:szCs w:val="24"/>
          <w:lang w:eastAsia="zh-CN"/>
          <w14:textFill>
            <w14:solidFill>
              <w14:schemeClr w14:val="tx1"/>
            </w14:solidFill>
          </w14:textFill>
        </w:rPr>
        <w:t xml:space="preserv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二次</w:t>
      </w:r>
      <w:r>
        <w:rPr>
          <w:rFonts w:hint="eastAsia" w:ascii="Times New Roman" w:hAnsi="Times New Roman" w:cs="Times New Roman"/>
          <w:color w:val="000000" w:themeColor="text1"/>
          <w:sz w:val="24"/>
          <w:szCs w:val="24"/>
          <w:lang w:eastAsia="zh-CN"/>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JSZC-320100-ZTZB-G2026-0058（内部编号PML-ZH-ZB-2026029）</w:t>
      </w:r>
      <w:r/>
    </w:p>
    <w:tbl>
      <w:tblPr>
        <w:tblStyle w:val="897"/>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67"/>
      </w:tblGrid>
      <w:tr>
        <w:trPr>
          <w:cantSplit/>
          <w:jc w:val="center"/>
          <w:trHeight w:val="859"/>
        </w:trPr>
        <w:tc>
          <w:tcPr>
            <w:tcW w:w="1394" w:type="pct"/>
            <w:vAlign w:val="center"/>
            <w:textDirection w:val="lrTb"/>
            <w:noWrap w:val="false"/>
          </w:tcPr>
          <w:p>
            <w:pPr>
              <w:pStyle w:val="906"/>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906"/>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906"/>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43"/>
              <w:ind w:firstLine="0"/>
              <w:spacing w:before="0" w:after="0" w:line="24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906"/>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43"/>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906"/>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43"/>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906"/>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43"/>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906"/>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906"/>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center"/>
        <w:spacing w:line="360" w:lineRule="exact"/>
        <w:rPr>
          <w:rFonts w:hint="eastAsia"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紫金山实验室边缘分布式基带处理单元采购项目</w:t>
      </w:r>
      <w:r>
        <w:rPr>
          <w:rFonts w:hint="eastAsia" w:ascii="Times New Roman" w:hAnsi="Times New Roman" w:cs="Times New Roman"/>
          <w:color w:val="000000" w:themeColor="text1"/>
          <w:szCs w:val="21"/>
          <w:u w:val="single"/>
          <w:lang w:eastAsia="zh-CN"/>
          <w14:textFill>
            <w14:solidFill>
              <w14:schemeClr w14:val="tx1"/>
            </w14:solidFill>
          </w14:textFill>
        </w:rPr>
        <w:t xml:space="preserve">（</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二次</w:t>
      </w:r>
      <w:r>
        <w:rPr>
          <w:rFonts w:hint="eastAsia" w:ascii="Times New Roman" w:hAnsi="Times New Roman" w:cs="Times New Roman"/>
          <w:color w:val="000000" w:themeColor="text1"/>
          <w:szCs w:val="21"/>
          <w:u w:val="single"/>
          <w:lang w:eastAsia="zh-CN"/>
          <w14:textFill>
            <w14:solidFill>
              <w14:schemeClr w14:val="tx1"/>
            </w14:solidFill>
          </w14:textFill>
        </w:rPr>
        <w:t xml:space="preserve">）</w:t>
      </w:r>
      <w:r>
        <w:rPr>
          <w:rFonts w:hint="eastAsia" w:ascii="Times New Roman" w:hAnsi="Times New Roman" w:cs="Times New Roman"/>
          <w:color w:val="000000" w:themeColor="text1"/>
          <w:szCs w:val="21"/>
          <w:u w:val="single"/>
          <w14:textFill>
            <w14:solidFill>
              <w14:schemeClr w14:val="tx1"/>
            </w14:solidFill>
          </w14:textFill>
        </w:rPr>
        <w:t xml:space="preserve"> </w:t>
      </w:r>
      <w:r/>
    </w:p>
    <w:tbl>
      <w:tblPr>
        <w:tblStyle w:val="89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bookmarkStart w:id="65" w:name="_Toc415494580"/>
      <w:r/>
      <w:bookmarkStart w:id="66" w:name="_Toc448069993"/>
      <w:r/>
      <w:bookmarkStart w:id="67" w:name="_Toc55"/>
      <w:r/>
      <w:bookmarkStart w:id="68" w:name="_Toc118594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5"/>
      <w:r/>
      <w:bookmarkEnd w:id="66"/>
      <w:r/>
      <w:bookmarkEnd w:id="67"/>
      <w:r/>
      <w:bookmarkEnd w:id="68"/>
      <w:r/>
      <w:r/>
    </w:p>
    <w:p>
      <w:pPr>
        <w:jc w:val="center"/>
        <w:spacing w:line="360" w:lineRule="auto"/>
        <w:rPr>
          <w:rFonts w:hint="eastAsia"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hint="eastAsia" w:ascii="宋体" w:hAnsi="宋体" w:eastAsia="宋体" w:cs="宋体"/>
          <w:b/>
          <w:bCs/>
          <w:color w:val="000000" w:themeColor="text1"/>
          <w:szCs w:val="21"/>
          <w:u w:val="single"/>
          <w:lang w:val="zh-TW"/>
          <w14:textFill>
            <w14:solidFill>
              <w14:schemeClr w14:val="tx1"/>
            </w14:solidFill>
          </w14:textFill>
        </w:rPr>
      </w:pPr>
      <w:r>
        <w:rPr>
          <w:rFonts w:hint="eastAsia"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hint="eastAsia" w:ascii="宋体" w:hAnsi="宋体" w:eastAsia="PMingLiU" w:cs="宋体"/>
          <w:color w:val="000000" w:themeColor="text1"/>
          <w:szCs w:val="21"/>
          <w:lang w:val="zh-TW"/>
          <w14:textFill>
            <w14:solidFill>
              <w14:schemeClr w14:val="tx1"/>
            </w14:solidFill>
          </w14:textFill>
        </w:rPr>
      </w:pPr>
      <w:r>
        <w:rPr>
          <w:rFonts w:hint="eastAsia" w:ascii="宋体" w:hAnsi="宋体" w:eastAsia="PMingLiU" w:cs="宋体"/>
          <w:color w:val="000000" w:themeColor="text1"/>
          <w:szCs w:val="21"/>
          <w:lang w:val="zh-TW"/>
          <w14:textFill>
            <w14:solidFill>
              <w14:schemeClr w14:val="tx1"/>
            </w14:solidFill>
          </w14:textFill>
        </w:rPr>
      </w:r>
      <w:r/>
    </w:p>
    <w:p>
      <w:pPr>
        <w:ind w:right="420"/>
        <w:spacing w:line="360" w:lineRule="auto"/>
        <w:rPr>
          <w:rFonts w:hint="eastAsia"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97"/>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97"/>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9" w:name="_Toc11859494"/>
      <w:r/>
      <w:bookmarkStart w:id="70" w:name="_Toc415494581"/>
      <w:r/>
      <w:bookmarkStart w:id="71" w:name="_Toc448069994"/>
      <w:r/>
      <w:bookmarkStart w:id="72" w:name="_Toc56"/>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69"/>
      <w:r/>
      <w:bookmarkEnd w:id="70"/>
      <w:r/>
      <w:bookmarkEnd w:id="71"/>
      <w:r/>
      <w:bookmarkEnd w:id="72"/>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3"/>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紫金山实验室边缘分布式基带处理单元采购项目</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w:t>
      </w:r>
      <w:r>
        <w:rPr>
          <w:rFonts w:hint="eastAsia" w:ascii="Times New Roman" w:hAnsi="Times New Roman" w:cs="Times New Roman"/>
          <w:color w:val="000000" w:themeColor="text1"/>
          <w:sz w:val="24"/>
          <w:szCs w:val="24"/>
          <w:u w:val="single"/>
          <w:lang w:val="en-US" w:eastAsia="zh-CN"/>
          <w14:textFill>
            <w14:solidFill>
              <w14:schemeClr w14:val="tx1"/>
            </w14:solidFill>
          </w14:textFill>
        </w:rPr>
        <w:t xml:space="preserve">二次</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7"/>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45"/>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45"/>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45"/>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4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4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4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4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4"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4"/>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紫金山实验室边缘分布式基带处理单元采购项目</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w:t>
      </w:r>
      <w:r>
        <w:rPr>
          <w:rFonts w:hint="eastAsia" w:ascii="Times New Roman" w:hAnsi="Times New Roman" w:cs="Times New Roman"/>
          <w:color w:val="000000" w:themeColor="text1"/>
          <w:sz w:val="24"/>
          <w:szCs w:val="24"/>
          <w:u w:val="single"/>
          <w:lang w:val="en-US" w:eastAsia="zh-CN"/>
          <w14:textFill>
            <w14:solidFill>
              <w14:schemeClr w14:val="tx1"/>
            </w14:solidFill>
          </w14:textFill>
        </w:rPr>
        <w:t xml:space="preserve">二次</w:t>
      </w:r>
      <w:r>
        <w:rPr>
          <w:rFonts w:hint="eastAsia" w:ascii="Times New Roman" w:hAnsi="Times New Roman" w:cs="Times New Roman"/>
          <w:color w:val="000000" w:themeColor="text1"/>
          <w:sz w:val="24"/>
          <w:szCs w:val="24"/>
          <w:u w:val="single"/>
          <w:lang w:eastAsia="zh-CN"/>
          <w14:textFill>
            <w14:solidFill>
              <w14:schemeClr w14:val="tx1"/>
            </w14:solidFill>
          </w14:textFill>
        </w:rPr>
        <w:t xml:space="preserve">）</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7"/>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45"/>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45"/>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5"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5"/>
      <w:r/>
      <w:bookmarkStart w:id="76"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22"/>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整体实施方案</w:t>
      </w:r>
      <w:r/>
    </w:p>
    <w:p>
      <w:pPr>
        <w:pStyle w:val="922"/>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售后服务方案</w:t>
      </w:r>
      <w:r/>
    </w:p>
    <w:p>
      <w:pPr>
        <w:pStyle w:val="922"/>
        <w:numPr>
          <w:ilvl w:val="255"/>
          <w:numId w:val="0"/>
        </w:numPr>
        <w:ind w:firstLine="480"/>
      </w:pPr>
      <w:r>
        <w:rPr>
          <w:rFonts w:hint="eastAsia" w:ascii="宋体" w:hAnsi="宋体" w:cs="宋体"/>
          <w:color w:val="000000"/>
          <w:sz w:val="24"/>
        </w:rPr>
        <w:t xml:space="preserve">培训方案</w:t>
      </w:r>
      <w:r/>
    </w:p>
    <w:p>
      <w:pPr>
        <w:pStyle w:val="922"/>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22"/>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22"/>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77"/>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906"/>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906"/>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19"/>
        <w:ind w:right="14"/>
        <w:jc w:val="center"/>
        <w:spacing w:before="0" w:beforeAutospacing="0" w:after="120" w:afterAutospacing="0" w:line="460" w:lineRule="exact"/>
        <w:widowControl w:val="off"/>
        <w:rPr>
          <w:rFonts w:hint="eastAsia"/>
        </w:rPr>
      </w:pPr>
      <w:r>
        <w:rPr>
          <w:b/>
          <w:sz w:val="28"/>
          <w:szCs w:val="28"/>
          <w:lang w:bidi="ar"/>
        </w:rPr>
        <w:t xml:space="preserve">中小企业声明函（货物）</w:t>
      </w:r>
      <w:r/>
    </w:p>
    <w:p>
      <w:pPr>
        <w:pStyle w:val="91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1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w:t>
      </w:r>
      <w:r/>
    </w:p>
    <w:p>
      <w:pPr>
        <w:pStyle w:val="91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以上企业，不属于大企业的分支机构，不存在控股股东为大企业的情形，也不存在与大企业的负责人为同一人的情形。</w:t>
      </w:r>
      <w:r/>
    </w:p>
    <w:p>
      <w:pPr>
        <w:pStyle w:val="91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本企业对上述声明内容的真实性负责。如有虚假，将依法承担相应责任。</w:t>
      </w:r>
      <w:r/>
    </w:p>
    <w:p>
      <w:pPr>
        <w:pStyle w:val="91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rFonts w:hint="eastAsia"/>
          <w:spacing w:val="-5"/>
        </w:rPr>
      </w:r>
      <w:r/>
    </w:p>
    <w:p>
      <w:pPr>
        <w:pStyle w:val="919"/>
        <w:ind w:right="208" w:firstLine="552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906"/>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6"/>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6"/>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06"/>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906"/>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906"/>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906"/>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906"/>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906"/>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906"/>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6"/>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6"/>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1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26"/>
          <w:rFonts w:hint="eastAsia" w:ascii="方正魏碑_GBK" w:hAnsi="方正魏碑_GBK" w:eastAsia="方正魏碑_GBK" w:cs="方正魏碑_GBK"/>
          <w:u w:val="single"/>
          <w:shd w:val="clear" w:color="auto" w:fill="ffffff"/>
        </w:rPr>
        <w:t xml:space="preserve">（产品名称1）</w:t>
      </w:r>
      <w:r>
        <w:rPr>
          <w:rStyle w:val="926"/>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26"/>
          <w:rFonts w:hint="eastAsia" w:ascii="方正魏碑_GBK" w:hAnsi="方正魏碑_GBK" w:eastAsia="方正魏碑_GBK" w:cs="方正魏碑_GBK"/>
          <w:u w:val="single"/>
          <w:shd w:val="clear" w:color="auto" w:fill="ffffff"/>
        </w:rPr>
        <w:t xml:space="preserve">（厂名）</w:t>
      </w:r>
      <w:r>
        <w:rPr>
          <w:rStyle w:val="926"/>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26"/>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26"/>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26"/>
          <w:rFonts w:hint="eastAsia" w:ascii="方正魏碑_GBK" w:hAnsi="方正魏碑_GBK" w:eastAsia="方正魏碑_GBK" w:cs="方正魏碑_GBK"/>
          <w:u w:val="single"/>
          <w:shd w:val="clear" w:color="auto" w:fill="ffffff"/>
        </w:rPr>
        <w:t xml:space="preserve">（规定</w:t>
      </w:r>
      <w:r>
        <w:rPr>
          <w:rStyle w:val="926"/>
          <w:rFonts w:ascii="方正魏碑_GBK" w:hAnsi="方正魏碑_GBK" w:eastAsia="方正魏碑_GBK" w:cs="方正魏碑_GBK"/>
          <w:u w:val="single"/>
          <w:shd w:val="clear" w:color="auto" w:fill="ffffff"/>
        </w:rPr>
        <w:t xml:space="preserve">比例</w:t>
      </w:r>
      <w:r>
        <w:rPr>
          <w:rStyle w:val="926"/>
          <w:rFonts w:hint="eastAsia" w:ascii="方正魏碑_GBK" w:hAnsi="方正魏碑_GBK" w:eastAsia="方正魏碑_GBK" w:cs="方正魏碑_GBK"/>
          <w:u w:val="single"/>
          <w:shd w:val="clear" w:color="auto" w:fill="ffffff"/>
        </w:rPr>
        <w:t xml:space="preserve">）</w:t>
      </w:r>
      <w:r>
        <w:rPr>
          <w:rStyle w:val="926"/>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2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6"/>
          <w:rFonts w:hint="eastAsia" w:ascii="方正魏碑_GBK" w:hAnsi="方正魏碑_GBK" w:eastAsia="方正魏碑_GBK" w:cs="方正魏碑_GBK"/>
          <w:u w:val="single"/>
          <w:shd w:val="clear" w:color="auto" w:fill="ffffff"/>
        </w:rPr>
        <w:t xml:space="preserve">（关键</w:t>
      </w:r>
      <w:r>
        <w:rPr>
          <w:rStyle w:val="926"/>
          <w:rFonts w:ascii="方正魏碑_GBK" w:hAnsi="方正魏碑_GBK" w:eastAsia="方正魏碑_GBK" w:cs="方正魏碑_GBK"/>
          <w:u w:val="single"/>
          <w:shd w:val="clear" w:color="auto" w:fill="ffffff"/>
        </w:rPr>
        <w:t xml:space="preserve">组件</w:t>
      </w:r>
      <w:r>
        <w:rPr>
          <w:rStyle w:val="926"/>
          <w:rFonts w:hint="eastAsia" w:ascii="方正魏碑_GBK" w:hAnsi="方正魏碑_GBK" w:eastAsia="方正魏碑_GBK" w:cs="方正魏碑_GBK"/>
          <w:u w:val="single"/>
          <w:shd w:val="clear" w:color="auto" w:fill="ffffff"/>
        </w:rPr>
        <w:t xml:space="preserve">）</w:t>
      </w:r>
      <w:r>
        <w:rPr>
          <w:rStyle w:val="926"/>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2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6"/>
          <w:rFonts w:hint="eastAsia" w:ascii="方正魏碑_GBK" w:hAnsi="方正魏碑_GBK" w:eastAsia="方正魏碑_GBK" w:cs="方正魏碑_GBK"/>
          <w:u w:val="single"/>
          <w:shd w:val="clear" w:color="auto" w:fill="ffffff"/>
        </w:rPr>
        <w:t xml:space="preserve">（关键工序）</w:t>
      </w:r>
      <w:r>
        <w:rPr>
          <w:rStyle w:val="926"/>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2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26"/>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26"/>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2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26"/>
          <w:rFonts w:hint="eastAsia" w:ascii="方正魏碑_GBK" w:hAnsi="方正魏碑_GBK" w:eastAsia="方正魏碑_GBK" w:cs="方正魏碑_GBK"/>
          <w:u w:val="single"/>
          <w:shd w:val="clear" w:color="auto" w:fill="ffffff"/>
        </w:rPr>
        <w:t xml:space="preserve">（规定</w:t>
      </w:r>
      <w:r>
        <w:rPr>
          <w:rStyle w:val="926"/>
          <w:rFonts w:ascii="方正魏碑_GBK" w:hAnsi="方正魏碑_GBK" w:eastAsia="方正魏碑_GBK" w:cs="方正魏碑_GBK"/>
          <w:u w:val="single"/>
          <w:shd w:val="clear" w:color="auto" w:fill="ffffff"/>
        </w:rPr>
        <w:t xml:space="preserve">比例</w:t>
      </w:r>
      <w:r>
        <w:rPr>
          <w:rStyle w:val="926"/>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2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26"/>
          <w:rFonts w:hint="eastAsia" w:ascii="方正魏碑_GBK" w:hAnsi="方正魏碑_GBK" w:eastAsia="方正魏碑_GBK" w:cs="方正魏碑_GBK"/>
          <w:u w:val="single"/>
          <w:shd w:val="clear" w:color="auto" w:fill="ffffff"/>
        </w:rPr>
        <w:t xml:space="preserve">（关键</w:t>
      </w:r>
      <w:r>
        <w:rPr>
          <w:rStyle w:val="926"/>
          <w:rFonts w:ascii="方正魏碑_GBK" w:hAnsi="方正魏碑_GBK" w:eastAsia="方正魏碑_GBK" w:cs="方正魏碑_GBK"/>
          <w:u w:val="single"/>
          <w:shd w:val="clear" w:color="auto" w:fill="ffffff"/>
        </w:rPr>
        <w:t xml:space="preserve">组件</w:t>
      </w:r>
      <w:r>
        <w:rPr>
          <w:rStyle w:val="926"/>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2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26"/>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1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1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19"/>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1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1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19"/>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19"/>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906"/>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br w:type="page" w:clear="all"/>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1"/>
      <w:r/>
      <w:bookmarkEnd w:id="62"/>
      <w:r/>
      <w:bookmarkEnd w:id="63"/>
      <w:r/>
      <w:bookmarkEnd w:id="64"/>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923"/>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2088"/>
        <w:gridCol w:w="1676"/>
        <w:gridCol w:w="3047"/>
      </w:tblGrid>
      <w:tr>
        <w:trPr>
          <w:trHeight w:val="567"/>
        </w:trPr>
        <w:tc>
          <w:tcPr>
            <w:tcW w:w="1118" w:type="pct"/>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统一社会信用代码</w:t>
            </w:r>
            <w:r/>
          </w:p>
        </w:tc>
        <w:tc>
          <w:tcPr>
            <w:tcW w:w="1735" w:type="pct"/>
            <w:vAlign w:val="center"/>
            <w:textDirection w:val="lrTb"/>
            <w:noWrap w:val="false"/>
          </w:tcPr>
          <w:p>
            <w:pPr>
              <w:ind w:right="-678"/>
              <w:jc w:val="center"/>
              <w:tabs>
                <w:tab w:val="left" w:pos="2320" w:leader="none"/>
              </w:tabs>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法定代表人</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联系人</w:t>
            </w:r>
            <w:r/>
          </w:p>
        </w:tc>
        <w:tc>
          <w:tcPr>
            <w:tcW w:w="1735" w:type="pct"/>
            <w:vAlign w:val="center"/>
            <w:textDirection w:val="lrTb"/>
            <w:noWrap w:val="false"/>
          </w:tcPr>
          <w:p>
            <w:pPr>
              <w:jc w:val="center"/>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联系地址</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联系电话</w:t>
            </w:r>
            <w:r/>
          </w:p>
        </w:tc>
        <w:tc>
          <w:tcPr>
            <w:tcW w:w="1735" w:type="pct"/>
            <w:vAlign w:val="center"/>
            <w:textDirection w:val="lrTb"/>
            <w:noWrap w:val="false"/>
          </w:tcPr>
          <w:p>
            <w:pPr>
              <w:jc w:val="center"/>
            </w:pPr>
            <w:r/>
            <w:r/>
          </w:p>
        </w:tc>
      </w:tr>
      <w:tr>
        <w:trPr>
          <w:trHeight w:val="5560"/>
        </w:trPr>
        <w:tc>
          <w:tcPr>
            <w:tcW w:w="1118" w:type="pct"/>
            <w:vAlign w:val="center"/>
            <w:textDirection w:val="lrTb"/>
            <w:noWrap w:val="false"/>
          </w:tcPr>
          <w:p>
            <w:pPr>
              <w:jc w:val="center"/>
              <w:rPr>
                <w:sz w:val="24"/>
                <w:szCs w:val="32"/>
              </w:rPr>
            </w:pPr>
            <w:r>
              <w:rPr>
                <w:rFonts w:hint="eastAsia"/>
                <w:sz w:val="24"/>
                <w:szCs w:val="32"/>
              </w:rPr>
              <w:t xml:space="preserve">信用承诺</w:t>
            </w:r>
            <w:r/>
          </w:p>
        </w:tc>
        <w:tc>
          <w:tcPr>
            <w:gridSpan w:val="3"/>
            <w:tcW w:w="3881" w:type="pct"/>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794" w:footer="102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27</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rPr>
        <w:rFonts w:hint="eastAsia" w:eastAsiaTheme="minorEastAsia"/>
        <w:lang w:eastAsia="zh-CN"/>
      </w:rPr>
    </w:pPr>
    <w:r>
      <w:rPr>
        <w:rFonts w:hint="eastAsia"/>
        <w:sz w:val="21"/>
        <w:szCs w:val="21"/>
      </w:rPr>
      <w:t xml:space="preserve">紫金山实验室边缘分布式基带处理单元采购项目</w:t>
    </w:r>
    <w:r>
      <w:rPr>
        <w:rFonts w:hint="eastAsia"/>
        <w:sz w:val="21"/>
        <w:szCs w:val="21"/>
        <w:lang w:eastAsia="zh-CN"/>
      </w:rPr>
      <w:t xml:space="preserve">（</w:t>
    </w:r>
    <w:r>
      <w:rPr>
        <w:rFonts w:hint="eastAsia"/>
        <w:sz w:val="21"/>
        <w:szCs w:val="21"/>
        <w:lang w:val="en-US" w:eastAsia="zh-CN"/>
      </w:rPr>
      <w:t xml:space="preserve">二次</w:t>
    </w:r>
    <w:r>
      <w:rPr>
        <w:rFonts w:hint="eastAsia"/>
        <w:sz w:val="21"/>
        <w:szCs w:val="21"/>
        <w:lang w:eastAsia="zh-CN"/>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right"/>
      <w:rPr>
        <w:rFonts w:hint="eastAsia" w:eastAsia="宋体"/>
        <w:lang w:eastAsia="zh-CN"/>
      </w:rPr>
      <w:pBdr>
        <w:bottom w:val="single" w:color="auto" w:sz="4" w:space="0"/>
      </w:pBdr>
    </w:pPr>
    <w:r>
      <w:rPr>
        <w:rFonts w:hint="eastAsia"/>
        <w:sz w:val="21"/>
      </w:rPr>
      <w:t xml:space="preserve">紫金山实验室边缘分布式基带处理单元采购项目</w:t>
    </w:r>
    <w:r>
      <w:rPr>
        <w:rFonts w:hint="eastAsia"/>
        <w:sz w:val="21"/>
        <w:lang w:eastAsia="zh-CN"/>
      </w:rPr>
      <w:t xml:space="preserve">（</w:t>
    </w:r>
    <w:r>
      <w:rPr>
        <w:rFonts w:hint="eastAsia"/>
        <w:sz w:val="21"/>
        <w:lang w:val="en-US" w:eastAsia="zh-CN"/>
      </w:rPr>
      <w:t xml:space="preserve">二次</w:t>
    </w:r>
    <w:r>
      <w:rPr>
        <w:rFonts w:hint="eastAsia"/>
        <w:sz w:val="21"/>
        <w:lang w:eastAsia="zh-CN"/>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95"/>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96"/>
    <w:link w:val="893"/>
    <w:uiPriority w:val="9"/>
    <w:rPr>
      <w:rFonts w:ascii="Arial" w:hAnsi="Arial" w:eastAsia="Arial" w:cs="Arial"/>
      <w:sz w:val="40"/>
      <w:szCs w:val="40"/>
    </w:rPr>
  </w:style>
  <w:style w:type="character" w:styleId="727">
    <w:name w:val="Heading 2 Char"/>
    <w:basedOn w:val="896"/>
    <w:link w:val="894"/>
    <w:uiPriority w:val="9"/>
    <w:rPr>
      <w:rFonts w:ascii="Arial" w:hAnsi="Arial" w:eastAsia="Arial" w:cs="Arial"/>
      <w:sz w:val="34"/>
    </w:rPr>
  </w:style>
  <w:style w:type="character" w:styleId="728">
    <w:name w:val="Heading 3 Char"/>
    <w:basedOn w:val="896"/>
    <w:link w:val="895"/>
    <w:uiPriority w:val="9"/>
    <w:rPr>
      <w:rFonts w:ascii="Arial" w:hAnsi="Arial" w:eastAsia="Arial" w:cs="Arial"/>
      <w:sz w:val="30"/>
      <w:szCs w:val="30"/>
    </w:rPr>
  </w:style>
  <w:style w:type="paragraph" w:styleId="729">
    <w:name w:val="Heading 4"/>
    <w:basedOn w:val="892"/>
    <w:next w:val="892"/>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basedOn w:val="896"/>
    <w:link w:val="729"/>
    <w:uiPriority w:val="9"/>
    <w:rPr>
      <w:rFonts w:ascii="Arial" w:hAnsi="Arial" w:eastAsia="Arial" w:cs="Arial"/>
      <w:b/>
      <w:bCs/>
      <w:sz w:val="26"/>
      <w:szCs w:val="26"/>
    </w:rPr>
  </w:style>
  <w:style w:type="paragraph" w:styleId="731">
    <w:name w:val="Heading 5"/>
    <w:basedOn w:val="892"/>
    <w:next w:val="892"/>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basedOn w:val="896"/>
    <w:link w:val="731"/>
    <w:uiPriority w:val="9"/>
    <w:rPr>
      <w:rFonts w:ascii="Arial" w:hAnsi="Arial" w:eastAsia="Arial" w:cs="Arial"/>
      <w:b/>
      <w:bCs/>
      <w:sz w:val="24"/>
      <w:szCs w:val="24"/>
    </w:rPr>
  </w:style>
  <w:style w:type="paragraph" w:styleId="733">
    <w:name w:val="Heading 6"/>
    <w:basedOn w:val="892"/>
    <w:next w:val="892"/>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896"/>
    <w:link w:val="733"/>
    <w:uiPriority w:val="9"/>
    <w:rPr>
      <w:rFonts w:ascii="Arial" w:hAnsi="Arial" w:eastAsia="Arial" w:cs="Arial"/>
      <w:b/>
      <w:bCs/>
      <w:sz w:val="22"/>
      <w:szCs w:val="22"/>
    </w:rPr>
  </w:style>
  <w:style w:type="paragraph" w:styleId="735">
    <w:name w:val="Heading 7"/>
    <w:basedOn w:val="892"/>
    <w:next w:val="892"/>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96"/>
    <w:link w:val="735"/>
    <w:uiPriority w:val="9"/>
    <w:rPr>
      <w:rFonts w:ascii="Arial" w:hAnsi="Arial" w:eastAsia="Arial" w:cs="Arial"/>
      <w:b/>
      <w:bCs/>
      <w:i/>
      <w:iCs/>
      <w:sz w:val="22"/>
      <w:szCs w:val="22"/>
    </w:rPr>
  </w:style>
  <w:style w:type="paragraph" w:styleId="737">
    <w:name w:val="Heading 8"/>
    <w:basedOn w:val="892"/>
    <w:next w:val="892"/>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896"/>
    <w:link w:val="737"/>
    <w:uiPriority w:val="9"/>
    <w:rPr>
      <w:rFonts w:ascii="Arial" w:hAnsi="Arial" w:eastAsia="Arial" w:cs="Arial"/>
      <w:i/>
      <w:iCs/>
      <w:sz w:val="22"/>
      <w:szCs w:val="22"/>
    </w:rPr>
  </w:style>
  <w:style w:type="paragraph" w:styleId="739">
    <w:name w:val="Heading 9"/>
    <w:basedOn w:val="892"/>
    <w:next w:val="892"/>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896"/>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character" w:styleId="742">
    <w:name w:val="Title Char"/>
    <w:basedOn w:val="896"/>
    <w:link w:val="920"/>
    <w:uiPriority w:val="10"/>
    <w:rPr>
      <w:sz w:val="48"/>
      <w:szCs w:val="48"/>
    </w:rPr>
  </w:style>
  <w:style w:type="paragraph" w:styleId="743">
    <w:name w:val="Subtitle"/>
    <w:basedOn w:val="892"/>
    <w:next w:val="892"/>
    <w:link w:val="744"/>
    <w:uiPriority w:val="11"/>
    <w:qFormat/>
    <w:pPr>
      <w:spacing w:before="200" w:after="200"/>
    </w:pPr>
    <w:rPr>
      <w:sz w:val="24"/>
      <w:szCs w:val="24"/>
    </w:rPr>
  </w:style>
  <w:style w:type="character" w:styleId="744">
    <w:name w:val="Subtitle Char"/>
    <w:basedOn w:val="896"/>
    <w:link w:val="743"/>
    <w:uiPriority w:val="11"/>
    <w:rPr>
      <w:sz w:val="24"/>
      <w:szCs w:val="24"/>
    </w:rPr>
  </w:style>
  <w:style w:type="paragraph" w:styleId="745">
    <w:name w:val="Quote"/>
    <w:basedOn w:val="892"/>
    <w:next w:val="892"/>
    <w:link w:val="746"/>
    <w:uiPriority w:val="29"/>
    <w:qFormat/>
    <w:pPr>
      <w:ind w:left="720" w:right="720"/>
    </w:pPr>
    <w:rPr>
      <w:i/>
    </w:rPr>
  </w:style>
  <w:style w:type="character" w:styleId="746">
    <w:name w:val="Quote Char"/>
    <w:link w:val="745"/>
    <w:uiPriority w:val="29"/>
    <w:rPr>
      <w:i/>
    </w:rPr>
  </w:style>
  <w:style w:type="paragraph" w:styleId="747">
    <w:name w:val="Intense Quote"/>
    <w:basedOn w:val="892"/>
    <w:next w:val="892"/>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6"/>
    <w:link w:val="915"/>
    <w:uiPriority w:val="99"/>
  </w:style>
  <w:style w:type="character" w:styleId="750">
    <w:name w:val="Footer Char"/>
    <w:basedOn w:val="896"/>
    <w:link w:val="914"/>
    <w:uiPriority w:val="99"/>
  </w:style>
  <w:style w:type="paragraph" w:styleId="751">
    <w:name w:val="Caption"/>
    <w:basedOn w:val="892"/>
    <w:next w:val="892"/>
    <w:uiPriority w:val="35"/>
    <w:semiHidden/>
    <w:unhideWhenUsed/>
    <w:qFormat/>
    <w:pPr>
      <w:spacing w:line="276" w:lineRule="auto"/>
    </w:pPr>
    <w:rPr>
      <w:b/>
      <w:bCs/>
      <w:color w:val="4f81bd" w:themeColor="accent1"/>
      <w:sz w:val="18"/>
      <w:szCs w:val="18"/>
    </w:rPr>
  </w:style>
  <w:style w:type="character" w:styleId="752">
    <w:name w:val="Caption Char"/>
    <w:basedOn w:val="751"/>
    <w:link w:val="914"/>
    <w:uiPriority w:val="99"/>
  </w:style>
  <w:style w:type="table" w:styleId="753">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9">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0">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1">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2">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3">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4">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1">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4">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5">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6">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7">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8">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9">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2">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3">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4">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5">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6">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5">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6">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7">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8">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9">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0">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2">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3">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4">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5">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6">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7">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9">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0">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1">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2">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3">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4">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92"/>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6"/>
    <w:uiPriority w:val="99"/>
    <w:unhideWhenUsed/>
    <w:rPr>
      <w:vertAlign w:val="superscript"/>
    </w:rPr>
  </w:style>
  <w:style w:type="paragraph" w:styleId="881">
    <w:name w:val="endnote text"/>
    <w:basedOn w:val="892"/>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3">
    <w:name w:val="Heading 1"/>
    <w:basedOn w:val="892"/>
    <w:next w:val="892"/>
    <w:link w:val="961"/>
    <w:uiPriority w:val="9"/>
    <w:qFormat/>
    <w:pPr>
      <w:keepLines/>
      <w:keepNext/>
      <w:spacing w:before="340" w:after="330" w:line="578" w:lineRule="auto"/>
      <w:outlineLvl w:val="0"/>
    </w:pPr>
    <w:rPr>
      <w:b/>
      <w:bCs/>
      <w:sz w:val="44"/>
      <w:szCs w:val="44"/>
    </w:rPr>
  </w:style>
  <w:style w:type="paragraph" w:styleId="894">
    <w:name w:val="Heading 2"/>
    <w:basedOn w:val="892"/>
    <w:next w:val="892"/>
    <w:link w:val="1011"/>
    <w:uiPriority w:val="0"/>
    <w:qFormat/>
    <w:pPr>
      <w:keepLines/>
      <w:keepNext/>
      <w:spacing w:before="260" w:after="260" w:line="415" w:lineRule="auto"/>
      <w:outlineLvl w:val="1"/>
    </w:pPr>
    <w:rPr>
      <w:rFonts w:ascii="Arial" w:hAnsi="Arial" w:eastAsia="黑体" w:cs="Arial"/>
      <w:b/>
      <w:bCs/>
      <w:sz w:val="32"/>
      <w:szCs w:val="32"/>
    </w:rPr>
  </w:style>
  <w:style w:type="paragraph" w:styleId="895">
    <w:name w:val="Heading 3"/>
    <w:basedOn w:val="892"/>
    <w:next w:val="892"/>
    <w:link w:val="960"/>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customStyle="1">
    <w:name w:val="正文文本缩进1"/>
    <w:basedOn w:val="892"/>
    <w:next w:val="899"/>
    <w:uiPriority w:val="0"/>
    <w:unhideWhenUsed/>
    <w:qFormat/>
    <w:pPr>
      <w:ind w:left="420"/>
      <w:spacing w:after="120"/>
    </w:pPr>
  </w:style>
  <w:style w:type="paragraph" w:styleId="899" w:customStyle="1">
    <w:name w:val="正文首行缩进 21"/>
    <w:basedOn w:val="898"/>
    <w:uiPriority w:val="0"/>
    <w:qFormat/>
    <w:pPr>
      <w:ind w:left="0" w:firstLine="420"/>
      <w:spacing w:after="0" w:line="360" w:lineRule="auto"/>
    </w:pPr>
    <w:rPr>
      <w:rFonts w:ascii="宋体" w:hAnsi="宋体"/>
      <w:sz w:val="20"/>
      <w:szCs w:val="20"/>
      <w:lang w:eastAsia="en-US"/>
    </w:rPr>
  </w:style>
  <w:style w:type="paragraph" w:styleId="900">
    <w:name w:val="List Number 2"/>
    <w:basedOn w:val="892"/>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01">
    <w:name w:val="Normal Indent"/>
    <w:basedOn w:val="892"/>
    <w:uiPriority w:val="0"/>
    <w:qFormat/>
    <w:pPr>
      <w:ind w:firstLine="420"/>
    </w:pPr>
    <w:rPr>
      <w:rFonts w:ascii="Times New Roman" w:hAnsi="Times New Roman" w:eastAsia="宋体" w:cs="Times New Roman"/>
      <w:szCs w:val="20"/>
    </w:rPr>
  </w:style>
  <w:style w:type="paragraph" w:styleId="902">
    <w:name w:val="Document Map"/>
    <w:basedOn w:val="892"/>
    <w:link w:val="997"/>
    <w:uiPriority w:val="99"/>
    <w:semiHidden/>
    <w:unhideWhenUsed/>
    <w:qFormat/>
    <w:pPr>
      <w:shd w:val="clear" w:color="auto" w:fill="000080"/>
    </w:pPr>
  </w:style>
  <w:style w:type="paragraph" w:styleId="903">
    <w:name w:val="annotation text"/>
    <w:basedOn w:val="892"/>
    <w:link w:val="964"/>
    <w:uiPriority w:val="99"/>
    <w:qFormat/>
    <w:pPr>
      <w:jc w:val="left"/>
    </w:pPr>
    <w:rPr>
      <w:rFonts w:ascii="Times New Roman" w:hAnsi="Times New Roman" w:eastAsia="宋体" w:cs="Times New Roman"/>
      <w:szCs w:val="20"/>
    </w:rPr>
  </w:style>
  <w:style w:type="paragraph" w:styleId="904">
    <w:name w:val="Body Text 3"/>
    <w:basedOn w:val="892"/>
    <w:link w:val="941"/>
    <w:uiPriority w:val="0"/>
    <w:qFormat/>
    <w:pPr>
      <w:spacing w:after="120"/>
    </w:pPr>
    <w:rPr>
      <w:rFonts w:ascii="Times New Roman" w:hAnsi="Times New Roman" w:eastAsia="宋体" w:cs="Times New Roman"/>
      <w:sz w:val="16"/>
      <w:szCs w:val="16"/>
    </w:rPr>
  </w:style>
  <w:style w:type="paragraph" w:styleId="905">
    <w:name w:val="List Bullet 3"/>
    <w:basedOn w:val="892"/>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06">
    <w:name w:val="Body Text"/>
    <w:basedOn w:val="892"/>
    <w:link w:val="944"/>
    <w:uiPriority w:val="99"/>
    <w:unhideWhenUsed/>
    <w:qFormat/>
    <w:pPr>
      <w:spacing w:after="120"/>
    </w:pPr>
  </w:style>
  <w:style w:type="paragraph" w:styleId="907">
    <w:name w:val="Body Text Indent"/>
    <w:basedOn w:val="892"/>
    <w:next w:val="908"/>
    <w:link w:val="934"/>
    <w:uiPriority w:val="0"/>
    <w:qFormat/>
    <w:pPr>
      <w:ind w:left="900"/>
      <w:spacing w:after="120" w:line="360" w:lineRule="atLeast"/>
    </w:pPr>
    <w:rPr>
      <w:rFonts w:ascii="楷体_GB2312" w:hAnsi="Times New Roman" w:eastAsia="楷体_GB2312" w:cs="Times New Roman"/>
      <w:sz w:val="28"/>
      <w:szCs w:val="20"/>
    </w:rPr>
  </w:style>
  <w:style w:type="paragraph" w:styleId="908">
    <w:name w:val="envelope return"/>
    <w:basedOn w:val="892"/>
    <w:uiPriority w:val="0"/>
    <w:qFormat/>
    <w:rPr>
      <w:rFonts w:ascii="Arial" w:hAnsi="Arial" w:eastAsia="宋体" w:cs="宋体"/>
    </w:rPr>
  </w:style>
  <w:style w:type="paragraph" w:styleId="909">
    <w:name w:val="index 4"/>
    <w:basedOn w:val="892"/>
    <w:next w:val="892"/>
    <w:uiPriority w:val="99"/>
    <w:semiHidden/>
    <w:unhideWhenUsed/>
    <w:qFormat/>
    <w:pPr>
      <w:ind w:left="600"/>
    </w:pPr>
  </w:style>
  <w:style w:type="paragraph" w:styleId="910">
    <w:name w:val="toc 3"/>
    <w:basedOn w:val="892"/>
    <w:next w:val="892"/>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11">
    <w:name w:val="Plain Text"/>
    <w:basedOn w:val="892"/>
    <w:link w:val="937"/>
    <w:uiPriority w:val="99"/>
    <w:qFormat/>
    <w:rPr>
      <w:rFonts w:ascii="宋体" w:hAnsi="Courier New" w:eastAsia="宋体" w:cs="Times New Roman"/>
      <w:szCs w:val="20"/>
    </w:rPr>
  </w:style>
  <w:style w:type="paragraph" w:styleId="912">
    <w:name w:val="Date"/>
    <w:basedOn w:val="892"/>
    <w:next w:val="892"/>
    <w:link w:val="939"/>
    <w:uiPriority w:val="99"/>
    <w:unhideWhenUsed/>
    <w:qFormat/>
    <w:pPr>
      <w:ind w:left="100"/>
    </w:pPr>
  </w:style>
  <w:style w:type="paragraph" w:styleId="913">
    <w:name w:val="Balloon Text"/>
    <w:basedOn w:val="892"/>
    <w:link w:val="938"/>
    <w:uiPriority w:val="99"/>
    <w:unhideWhenUsed/>
    <w:qFormat/>
    <w:rPr>
      <w:sz w:val="18"/>
      <w:szCs w:val="18"/>
    </w:rPr>
  </w:style>
  <w:style w:type="paragraph" w:styleId="914">
    <w:name w:val="Footer"/>
    <w:basedOn w:val="892"/>
    <w:link w:val="930"/>
    <w:uiPriority w:val="99"/>
    <w:unhideWhenUsed/>
    <w:qFormat/>
    <w:pPr>
      <w:jc w:val="left"/>
      <w:tabs>
        <w:tab w:val="center" w:pos="4153" w:leader="none"/>
        <w:tab w:val="right" w:pos="8306" w:leader="none"/>
      </w:tabs>
    </w:pPr>
    <w:rPr>
      <w:sz w:val="18"/>
      <w:szCs w:val="18"/>
    </w:rPr>
  </w:style>
  <w:style w:type="paragraph" w:styleId="915">
    <w:name w:val="Header"/>
    <w:basedOn w:val="892"/>
    <w:link w:val="9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92"/>
    <w:next w:val="892"/>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17">
    <w:name w:val="toc 2"/>
    <w:basedOn w:val="892"/>
    <w:next w:val="892"/>
    <w:uiPriority w:val="39"/>
    <w:unhideWhenUsed/>
    <w:qFormat/>
    <w:pPr>
      <w:ind w:left="221"/>
      <w:jc w:val="left"/>
      <w:spacing w:line="360" w:lineRule="auto"/>
      <w:widowControl/>
    </w:pPr>
    <w:rPr>
      <w:rFonts w:ascii="Times New Roman" w:hAnsi="Times New Roman" w:eastAsia="宋体" w:cs="Times New Roman"/>
      <w:sz w:val="22"/>
    </w:rPr>
  </w:style>
  <w:style w:type="paragraph" w:styleId="918">
    <w:name w:val="HTML Preformatted"/>
    <w:basedOn w:val="892"/>
    <w:link w:val="970"/>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19">
    <w:name w:val="Normal (Web)"/>
    <w:basedOn w:val="89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0">
    <w:name w:val="Title"/>
    <w:basedOn w:val="892"/>
    <w:link w:val="998"/>
    <w:uiPriority w:val="10"/>
    <w:qFormat/>
    <w:pPr>
      <w:jc w:val="center"/>
      <w:spacing w:before="240" w:after="60"/>
      <w:outlineLvl w:val="0"/>
    </w:pPr>
    <w:rPr>
      <w:rFonts w:ascii="Arial" w:hAnsi="Arial"/>
      <w:b/>
      <w:sz w:val="32"/>
    </w:rPr>
  </w:style>
  <w:style w:type="paragraph" w:styleId="921">
    <w:name w:val="annotation subject"/>
    <w:basedOn w:val="903"/>
    <w:next w:val="903"/>
    <w:link w:val="948"/>
    <w:uiPriority w:val="99"/>
    <w:unhideWhenUsed/>
    <w:qFormat/>
    <w:rPr>
      <w:rFonts w:asciiTheme="minorHAnsi" w:hAnsiTheme="minorHAnsi" w:eastAsiaTheme="minorEastAsia" w:cstheme="minorBidi"/>
      <w:b/>
      <w:bCs/>
      <w:szCs w:val="22"/>
    </w:rPr>
  </w:style>
  <w:style w:type="paragraph" w:styleId="922">
    <w:name w:val="Body Text First Indent 2"/>
    <w:basedOn w:val="907"/>
    <w:next w:val="892"/>
    <w:uiPriority w:val="99"/>
    <w:qFormat/>
    <w:pPr>
      <w:ind w:left="420" w:firstLine="420"/>
    </w:pPr>
    <w:rPr>
      <w:rFonts w:ascii="Times New Roman" w:eastAsia="宋体"/>
      <w:szCs w:val="21"/>
    </w:rPr>
  </w:style>
  <w:style w:type="table" w:styleId="923">
    <w:name w:val="Table Grid"/>
    <w:basedOn w:val="897"/>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24">
    <w:name w:val="Strong"/>
    <w:uiPriority w:val="22"/>
    <w:qFormat/>
    <w:rPr>
      <w:b/>
      <w:bCs/>
    </w:rPr>
  </w:style>
  <w:style w:type="character" w:styleId="925">
    <w:name w:val="FollowedHyperlink"/>
    <w:basedOn w:val="896"/>
    <w:uiPriority w:val="99"/>
    <w:unhideWhenUsed/>
    <w:qFormat/>
    <w:rPr>
      <w:color w:val="333333"/>
      <w:u w:val="none"/>
    </w:rPr>
  </w:style>
  <w:style w:type="character" w:styleId="926">
    <w:name w:val="Emphasis"/>
    <w:basedOn w:val="896"/>
    <w:uiPriority w:val="20"/>
    <w:qFormat/>
  </w:style>
  <w:style w:type="character" w:styleId="927">
    <w:name w:val="Hyperlink"/>
    <w:basedOn w:val="896"/>
    <w:uiPriority w:val="99"/>
    <w:unhideWhenUsed/>
    <w:qFormat/>
    <w:rPr>
      <w:color w:val="0563c1" w:themeColor="hyperlink"/>
      <w:u w:val="single"/>
      <w14:textFill>
        <w14:solidFill>
          <w14:schemeClr w14:val="hlink"/>
        </w14:solidFill>
      </w14:textFill>
    </w:rPr>
  </w:style>
  <w:style w:type="character" w:styleId="928">
    <w:name w:val="annotation reference"/>
    <w:basedOn w:val="896"/>
    <w:uiPriority w:val="99"/>
    <w:qFormat/>
    <w:rPr>
      <w:sz w:val="21"/>
      <w:szCs w:val="21"/>
    </w:rPr>
  </w:style>
  <w:style w:type="character" w:styleId="929" w:customStyle="1">
    <w:name w:val="页眉 字符"/>
    <w:basedOn w:val="896"/>
    <w:link w:val="915"/>
    <w:uiPriority w:val="99"/>
    <w:qFormat/>
    <w:rPr>
      <w:sz w:val="18"/>
      <w:szCs w:val="18"/>
    </w:rPr>
  </w:style>
  <w:style w:type="character" w:styleId="930" w:customStyle="1">
    <w:name w:val="页脚 字符"/>
    <w:basedOn w:val="896"/>
    <w:link w:val="914"/>
    <w:uiPriority w:val="99"/>
    <w:qFormat/>
    <w:rPr>
      <w:sz w:val="18"/>
      <w:szCs w:val="18"/>
    </w:rPr>
  </w:style>
  <w:style w:type="character" w:styleId="931" w:customStyle="1">
    <w:name w:val="标题 1 Char"/>
    <w:basedOn w:val="896"/>
    <w:uiPriority w:val="9"/>
    <w:qFormat/>
    <w:rPr>
      <w:b/>
      <w:bCs/>
      <w:sz w:val="44"/>
      <w:szCs w:val="44"/>
    </w:rPr>
  </w:style>
  <w:style w:type="paragraph" w:styleId="932" w:customStyle="1">
    <w:name w:val="TOC 标题1"/>
    <w:basedOn w:val="893"/>
    <w:next w:val="89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33" w:customStyle="1">
    <w:name w:val="列出段落1"/>
    <w:basedOn w:val="892"/>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34" w:customStyle="1">
    <w:name w:val="正文文本缩进 字符"/>
    <w:basedOn w:val="896"/>
    <w:link w:val="907"/>
    <w:uiPriority w:val="0"/>
    <w:qFormat/>
    <w:rPr>
      <w:rFonts w:ascii="楷体_GB2312" w:hAnsi="Times New Roman" w:eastAsia="楷体_GB2312" w:cs="Times New Roman"/>
      <w:sz w:val="28"/>
      <w:szCs w:val="20"/>
    </w:rPr>
  </w:style>
  <w:style w:type="paragraph" w:styleId="935" w:customStyle="1">
    <w:name w:val="蓝色显示"/>
    <w:basedOn w:val="892"/>
    <w:link w:val="936"/>
    <w:uiPriority w:val="0"/>
    <w:qFormat/>
    <w:pPr>
      <w:spacing w:before="340" w:after="330" w:line="400" w:lineRule="exact"/>
    </w:pPr>
    <w:rPr>
      <w:rFonts w:ascii="Times New Roman" w:hAnsi="Times New Roman" w:eastAsia="宋体" w:cs="Times New Roman"/>
      <w:b/>
      <w:color w:val="0070c0"/>
      <w:szCs w:val="24"/>
    </w:rPr>
  </w:style>
  <w:style w:type="character" w:styleId="936" w:customStyle="1">
    <w:name w:val="蓝色显示 Char"/>
    <w:link w:val="935"/>
    <w:uiPriority w:val="0"/>
    <w:qFormat/>
    <w:rPr>
      <w:rFonts w:ascii="Times New Roman" w:hAnsi="Times New Roman" w:eastAsia="宋体" w:cs="Times New Roman"/>
      <w:b/>
      <w:color w:val="0070c0"/>
      <w:szCs w:val="24"/>
    </w:rPr>
  </w:style>
  <w:style w:type="character" w:styleId="937" w:customStyle="1">
    <w:name w:val="纯文本 字符"/>
    <w:basedOn w:val="896"/>
    <w:link w:val="911"/>
    <w:uiPriority w:val="0"/>
    <w:qFormat/>
    <w:rPr>
      <w:rFonts w:ascii="宋体" w:hAnsi="Courier New" w:eastAsia="宋体" w:cs="Times New Roman"/>
      <w:szCs w:val="20"/>
    </w:rPr>
  </w:style>
  <w:style w:type="character" w:styleId="938" w:customStyle="1">
    <w:name w:val="批注框文本 字符"/>
    <w:basedOn w:val="896"/>
    <w:link w:val="913"/>
    <w:uiPriority w:val="99"/>
    <w:semiHidden/>
    <w:qFormat/>
    <w:rPr>
      <w:sz w:val="18"/>
      <w:szCs w:val="18"/>
    </w:rPr>
  </w:style>
  <w:style w:type="character" w:styleId="939" w:customStyle="1">
    <w:name w:val="日期 字符"/>
    <w:basedOn w:val="896"/>
    <w:link w:val="912"/>
    <w:uiPriority w:val="99"/>
    <w:semiHidden/>
    <w:qFormat/>
  </w:style>
  <w:style w:type="character" w:styleId="940" w:customStyle="1">
    <w:name w:val="批注文字 Char"/>
    <w:basedOn w:val="896"/>
    <w:uiPriority w:val="99"/>
    <w:qFormat/>
    <w:rPr>
      <w:rFonts w:ascii="Times New Roman" w:hAnsi="Times New Roman" w:eastAsia="宋体" w:cs="Times New Roman"/>
      <w:szCs w:val="20"/>
    </w:rPr>
  </w:style>
  <w:style w:type="character" w:styleId="941" w:customStyle="1">
    <w:name w:val="正文文本 3 字符"/>
    <w:basedOn w:val="896"/>
    <w:link w:val="904"/>
    <w:uiPriority w:val="0"/>
    <w:qFormat/>
    <w:rPr>
      <w:rFonts w:ascii="Times New Roman" w:hAnsi="Times New Roman" w:eastAsia="宋体" w:cs="Times New Roman"/>
      <w:sz w:val="16"/>
      <w:szCs w:val="16"/>
    </w:rPr>
  </w:style>
  <w:style w:type="paragraph" w:styleId="942" w:customStyle="1">
    <w:name w:val="正文00"/>
    <w:basedOn w:val="892"/>
    <w:uiPriority w:val="0"/>
    <w:qFormat/>
    <w:pPr>
      <w:ind w:firstLine="200"/>
      <w:spacing w:line="360" w:lineRule="auto"/>
    </w:pPr>
    <w:rPr>
      <w:rFonts w:ascii="Times New Roman" w:hAnsi="Times New Roman" w:eastAsia="宋体" w:cs="Times New Roman"/>
      <w:sz w:val="24"/>
      <w:szCs w:val="21"/>
    </w:rPr>
  </w:style>
  <w:style w:type="paragraph" w:styleId="943" w:customStyle="1">
    <w:name w:val="普通正文"/>
    <w:basedOn w:val="892"/>
    <w:uiPriority w:val="0"/>
    <w:qFormat/>
    <w:pPr>
      <w:ind w:firstLine="480"/>
      <w:jc w:val="left"/>
      <w:spacing w:before="120" w:after="120" w:line="360" w:lineRule="auto"/>
      <w:widowControl/>
    </w:pPr>
    <w:rPr>
      <w:rFonts w:ascii="Arial" w:hAnsi="Arial" w:eastAsia="宋体" w:cs="宋体"/>
      <w:sz w:val="24"/>
      <w:szCs w:val="24"/>
    </w:rPr>
  </w:style>
  <w:style w:type="character" w:styleId="944" w:customStyle="1">
    <w:name w:val="正文文本 字符"/>
    <w:basedOn w:val="896"/>
    <w:link w:val="906"/>
    <w:uiPriority w:val="0"/>
    <w:qFormat/>
  </w:style>
  <w:style w:type="paragraph" w:styleId="945" w:customStyle="1">
    <w:name w:val="Default"/>
    <w:uiPriority w:val="0"/>
    <w:qFormat/>
    <w:rPr>
      <w:rFonts w:ascii="宋体" w:hAnsi="Times New Roman" w:eastAsia="宋体" w:cs="宋体"/>
      <w:color w:val="000000"/>
      <w:sz w:val="24"/>
      <w:szCs w:val="24"/>
      <w:lang w:val="en-US" w:eastAsia="zh-CN" w:bidi="ar-SA"/>
    </w:rPr>
  </w:style>
  <w:style w:type="paragraph" w:styleId="946" w:customStyle="1">
    <w:name w:val="Table Paragraph"/>
    <w:basedOn w:val="892"/>
    <w:uiPriority w:val="1"/>
    <w:qFormat/>
    <w:pPr>
      <w:jc w:val="left"/>
    </w:pPr>
    <w:rPr>
      <w:rFonts w:ascii="Times New Roman" w:hAnsi="Times New Roman" w:eastAsia="宋体" w:cs="Times New Roman"/>
      <w:sz w:val="24"/>
      <w:szCs w:val="24"/>
    </w:rPr>
  </w:style>
  <w:style w:type="paragraph" w:styleId="947" w:customStyle="1">
    <w:name w:val="_Style 20"/>
    <w:basedOn w:val="892"/>
    <w:next w:val="933"/>
    <w:uiPriority w:val="34"/>
    <w:qFormat/>
    <w:pPr>
      <w:ind w:firstLine="420"/>
    </w:pPr>
    <w:rPr>
      <w:rFonts w:ascii="Times New Roman" w:hAnsi="Times New Roman" w:eastAsia="宋体" w:cs="Times New Roman"/>
      <w:szCs w:val="21"/>
    </w:rPr>
  </w:style>
  <w:style w:type="character" w:styleId="948" w:customStyle="1">
    <w:name w:val="批注主题 字符"/>
    <w:basedOn w:val="940"/>
    <w:link w:val="921"/>
    <w:uiPriority w:val="99"/>
    <w:semiHidden/>
    <w:qFormat/>
    <w:rPr>
      <w:rFonts w:ascii="Times New Roman" w:hAnsi="Times New Roman" w:eastAsia="宋体" w:cs="Times New Roman"/>
      <w:b/>
      <w:bCs/>
      <w:sz w:val="21"/>
      <w:szCs w:val="22"/>
    </w:rPr>
  </w:style>
  <w:style w:type="paragraph" w:styleId="949" w:customStyle="1">
    <w:name w:val="_Style 6"/>
    <w:basedOn w:val="892"/>
    <w:uiPriority w:val="34"/>
    <w:qFormat/>
    <w:pPr>
      <w:ind w:firstLine="420"/>
      <w:widowControl/>
    </w:pPr>
    <w:rPr>
      <w:rFonts w:ascii="Calibri" w:hAnsi="Calibri"/>
      <w:sz w:val="34"/>
      <w:szCs w:val="21"/>
    </w:rPr>
  </w:style>
  <w:style w:type="paragraph" w:styleId="950" w:customStyle="1">
    <w:name w:val="列出段落11"/>
    <w:basedOn w:val="892"/>
    <w:uiPriority w:val="99"/>
    <w:qFormat/>
    <w:pPr>
      <w:contextualSpacing/>
      <w:ind w:left="720"/>
    </w:pPr>
    <w:rPr>
      <w:rFonts w:ascii="黑体" w:hAnsi="黑体" w:eastAsia="Arial" w:cs="黑体"/>
      <w:szCs w:val="21"/>
    </w:rPr>
  </w:style>
  <w:style w:type="character" w:styleId="951" w:customStyle="1">
    <w:name w:val="bsharetext"/>
    <w:basedOn w:val="896"/>
    <w:uiPriority w:val="0"/>
    <w:qFormat/>
  </w:style>
  <w:style w:type="character" w:styleId="952" w:customStyle="1">
    <w:name w:val="active2"/>
    <w:basedOn w:val="896"/>
    <w:uiPriority w:val="0"/>
    <w:qFormat/>
    <w:rPr>
      <w:shd w:val="clear" w:color="auto" w:fill="0162b1"/>
    </w:rPr>
  </w:style>
  <w:style w:type="character" w:styleId="953" w:customStyle="1">
    <w:name w:val="add3"/>
    <w:basedOn w:val="896"/>
    <w:uiPriority w:val="0"/>
    <w:qFormat/>
  </w:style>
  <w:style w:type="paragraph" w:styleId="954">
    <w:name w:val="List Paragraph"/>
    <w:basedOn w:val="892"/>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55" w:customStyle="1">
    <w:name w:val="fontstyle01"/>
    <w:uiPriority w:val="0"/>
    <w:qFormat/>
    <w:rPr>
      <w:rFonts w:hint="eastAsia" w:ascii="宋体" w:hAnsi="宋体" w:eastAsia="宋体"/>
      <w:color w:val="000000"/>
      <w:sz w:val="24"/>
      <w:szCs w:val="24"/>
    </w:rPr>
  </w:style>
  <w:style w:type="character" w:styleId="956" w:customStyle="1">
    <w:name w:val="fontstyle21"/>
    <w:uiPriority w:val="0"/>
    <w:qFormat/>
    <w:rPr>
      <w:rFonts w:hint="default" w:ascii="Times New Roman" w:hAnsi="Times New Roman" w:cs="Times New Roman"/>
      <w:color w:val="000000"/>
      <w:sz w:val="24"/>
      <w:szCs w:val="24"/>
    </w:rPr>
  </w:style>
  <w:style w:type="paragraph" w:styleId="957"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58" w:customStyle="1">
    <w:name w:val="表格中文字（dbapp）"/>
    <w:basedOn w:val="892"/>
    <w:uiPriority w:val="0"/>
    <w:qFormat/>
    <w:pPr>
      <w:jc w:val="left"/>
      <w:spacing w:before="20" w:after="20"/>
    </w:pPr>
    <w:rPr>
      <w:rFonts w:ascii="方正兰亭黑简体" w:hAnsi="方正兰亭黑简体" w:eastAsia="方正兰亭黑简体"/>
      <w:szCs w:val="21"/>
    </w:rPr>
  </w:style>
  <w:style w:type="paragraph" w:styleId="959" w:customStyle="1">
    <w:name w:val="msolistparagraph"/>
    <w:basedOn w:val="892"/>
    <w:uiPriority w:val="0"/>
    <w:qFormat/>
    <w:pPr>
      <w:ind w:firstLine="420"/>
    </w:pPr>
    <w:rPr>
      <w:rFonts w:ascii="Calibri" w:hAnsi="Calibri" w:eastAsia="宋体" w:cs="Times New Roman"/>
    </w:rPr>
  </w:style>
  <w:style w:type="character" w:styleId="960" w:customStyle="1">
    <w:name w:val="标题 3 字符1"/>
    <w:basedOn w:val="896"/>
    <w:link w:val="895"/>
    <w:uiPriority w:val="0"/>
    <w:qFormat/>
    <w:rPr>
      <w:b/>
      <w:bCs/>
      <w:sz w:val="32"/>
      <w:szCs w:val="32"/>
    </w:rPr>
  </w:style>
  <w:style w:type="character" w:styleId="961" w:customStyle="1">
    <w:name w:val="标题 1 字符1"/>
    <w:basedOn w:val="896"/>
    <w:link w:val="893"/>
    <w:uiPriority w:val="0"/>
    <w:qFormat/>
    <w:rPr>
      <w:b/>
      <w:bCs/>
      <w:sz w:val="32"/>
      <w:szCs w:val="44"/>
    </w:rPr>
  </w:style>
  <w:style w:type="character" w:styleId="962" w:customStyle="1">
    <w:name w:val="标题 2 字符1"/>
    <w:basedOn w:val="896"/>
    <w:uiPriority w:val="0"/>
    <w:qFormat/>
    <w:rPr>
      <w:rFonts w:hint="default" w:ascii="Cambria" w:hAnsi="Cambria" w:eastAsia="Cambria" w:cs="Cambria"/>
      <w:b/>
      <w:bCs/>
      <w:sz w:val="32"/>
      <w:szCs w:val="32"/>
    </w:rPr>
  </w:style>
  <w:style w:type="character" w:styleId="963" w:customStyle="1">
    <w:name w:val="批注文字 字符1"/>
    <w:basedOn w:val="896"/>
    <w:uiPriority w:val="0"/>
    <w:qFormat/>
    <w:rPr>
      <w:sz w:val="21"/>
      <w:szCs w:val="24"/>
    </w:rPr>
  </w:style>
  <w:style w:type="character" w:styleId="964" w:customStyle="1">
    <w:name w:val="批注文字 字符"/>
    <w:basedOn w:val="896"/>
    <w:link w:val="903"/>
    <w:uiPriority w:val="99"/>
    <w:qFormat/>
    <w:rPr>
      <w:sz w:val="21"/>
      <w:szCs w:val="24"/>
    </w:rPr>
  </w:style>
  <w:style w:type="paragraph" w:styleId="965"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67"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68"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69"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70" w:customStyle="1">
    <w:name w:val="HTML 预设格式 字符"/>
    <w:basedOn w:val="896"/>
    <w:link w:val="918"/>
    <w:uiPriority w:val="0"/>
    <w:qFormat/>
    <w:rPr>
      <w:rFonts w:hint="eastAsia" w:ascii="宋体" w:hAnsi="宋体" w:eastAsia="宋体" w:cs="宋体"/>
      <w:sz w:val="24"/>
      <w:szCs w:val="24"/>
    </w:rPr>
  </w:style>
  <w:style w:type="paragraph" w:styleId="971"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72"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73"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74"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75"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76"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77" w:customStyle="1">
    <w:name w:val="_正文段落 Char Char"/>
    <w:basedOn w:val="896"/>
    <w:uiPriority w:val="0"/>
    <w:qFormat/>
    <w:rPr>
      <w:sz w:val="24"/>
      <w:szCs w:val="24"/>
    </w:rPr>
  </w:style>
  <w:style w:type="paragraph" w:styleId="978" w:customStyle="1">
    <w:name w:val="正文段落样式"/>
    <w:basedOn w:val="892"/>
    <w:link w:val="980"/>
    <w:uiPriority w:val="0"/>
    <w:qFormat/>
    <w:pPr>
      <w:ind w:firstLine="420"/>
      <w:jc w:val="left"/>
      <w:spacing w:line="360" w:lineRule="auto"/>
    </w:pPr>
    <w:rPr>
      <w:rFonts w:hint="eastAsia" w:ascii="等线" w:hAnsi="等线" w:eastAsia="等线" w:cs="Times New Roman"/>
      <w:sz w:val="24"/>
      <w:szCs w:val="21"/>
    </w:rPr>
  </w:style>
  <w:style w:type="character" w:styleId="979" w:customStyle="1">
    <w:name w:val="列表段落 字符"/>
    <w:basedOn w:val="896"/>
    <w:uiPriority w:val="0"/>
    <w:qFormat/>
    <w:rPr>
      <w:rFonts w:hint="eastAsia" w:ascii="Arial Unicode MS" w:hAnsi="Arial Unicode MS" w:eastAsia="等线" w:cs="Arial Unicode MS"/>
      <w:color w:val="000000"/>
      <w:lang w:eastAsia="en-US"/>
    </w:rPr>
  </w:style>
  <w:style w:type="character" w:styleId="980" w:customStyle="1">
    <w:name w:val="正文段落样式 Char"/>
    <w:basedOn w:val="896"/>
    <w:link w:val="978"/>
    <w:uiPriority w:val="0"/>
    <w:qFormat/>
    <w:rPr>
      <w:rFonts w:hint="eastAsia" w:ascii="等线" w:hAnsi="等线" w:eastAsia="等线" w:cs="Times New Roman"/>
      <w:sz w:val="24"/>
      <w:szCs w:val="21"/>
    </w:rPr>
  </w:style>
  <w:style w:type="paragraph" w:styleId="981"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82"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83" w:customStyle="1">
    <w:name w:val="标题 6 字符"/>
    <w:basedOn w:val="896"/>
    <w:uiPriority w:val="0"/>
    <w:qFormat/>
    <w:rPr>
      <w:rFonts w:ascii="Arial" w:hAnsi="Arial" w:eastAsia="黑体" w:cs="Times New Roman"/>
      <w:sz w:val="22"/>
      <w:szCs w:val="20"/>
    </w:rPr>
  </w:style>
  <w:style w:type="character" w:styleId="984" w:customStyle="1">
    <w:name w:val="文档正文 Char"/>
    <w:basedOn w:val="896"/>
    <w:uiPriority w:val="0"/>
    <w:qFormat/>
    <w:rPr>
      <w:rFonts w:hint="default" w:ascii="Times New Roman" w:hAnsi="Times New Roman" w:eastAsia="宋体" w:cs="Times New Roman"/>
      <w:sz w:val="22"/>
      <w:szCs w:val="20"/>
    </w:rPr>
  </w:style>
  <w:style w:type="character" w:styleId="985" w:customStyle="1">
    <w:name w:val="标题 5 字符"/>
    <w:basedOn w:val="896"/>
    <w:uiPriority w:val="0"/>
    <w:qFormat/>
    <w:rPr>
      <w:rFonts w:hint="default" w:ascii="Times New Roman" w:hAnsi="Times New Roman" w:eastAsia="宋体" w:cs="Times New Roman"/>
      <w:sz w:val="28"/>
      <w:szCs w:val="20"/>
    </w:rPr>
  </w:style>
  <w:style w:type="character" w:styleId="986" w:customStyle="1">
    <w:name w:val="正文(首行缩进) Char"/>
    <w:basedOn w:val="896"/>
    <w:link w:val="987"/>
    <w:uiPriority w:val="0"/>
    <w:qFormat/>
    <w:rPr>
      <w:rFonts w:hint="default" w:ascii="Times New Roman" w:hAnsi="Times New Roman" w:eastAsia="宋体" w:cs="Times New Roman"/>
      <w:sz w:val="24"/>
      <w:szCs w:val="24"/>
    </w:rPr>
  </w:style>
  <w:style w:type="paragraph" w:styleId="987" w:customStyle="1">
    <w:name w:val="正文(首行缩进)"/>
    <w:basedOn w:val="892"/>
    <w:next w:val="892"/>
    <w:link w:val="986"/>
    <w:uiPriority w:val="0"/>
    <w:qFormat/>
    <w:pPr>
      <w:ind w:firstLine="480"/>
      <w:spacing w:line="360" w:lineRule="auto"/>
    </w:pPr>
    <w:rPr>
      <w:rFonts w:ascii="Times New Roman" w:hAnsi="Times New Roman" w:eastAsia="宋体" w:cs="Times New Roman"/>
      <w:sz w:val="24"/>
      <w:szCs w:val="24"/>
    </w:rPr>
  </w:style>
  <w:style w:type="character" w:styleId="988" w:customStyle="1">
    <w:name w:val="标题 4 字符"/>
    <w:basedOn w:val="896"/>
    <w:uiPriority w:val="0"/>
    <w:qFormat/>
    <w:rPr>
      <w:rFonts w:hint="eastAsia" w:ascii="宋体" w:hAnsi="宋体" w:eastAsia="宋体" w:cs="Times New Roman"/>
      <w:b/>
      <w:sz w:val="24"/>
      <w:szCs w:val="24"/>
    </w:rPr>
  </w:style>
  <w:style w:type="paragraph" w:styleId="989" w:customStyle="1">
    <w:name w:val="表格内容"/>
    <w:basedOn w:val="892"/>
    <w:uiPriority w:val="0"/>
    <w:qFormat/>
    <w:pPr>
      <w:ind w:left="420"/>
      <w:spacing w:before="156" w:after="156" w:line="300" w:lineRule="auto"/>
    </w:pPr>
    <w:rPr>
      <w:rFonts w:ascii="Times New Roman" w:hAnsi="Times New Roman" w:eastAsia="宋体" w:cs="Times New Roman"/>
      <w:sz w:val="18"/>
      <w:szCs w:val="24"/>
    </w:rPr>
  </w:style>
  <w:style w:type="character" w:styleId="990" w:customStyle="1">
    <w:name w:val="标题 3 字符"/>
    <w:basedOn w:val="896"/>
    <w:uiPriority w:val="0"/>
    <w:qFormat/>
    <w:rPr>
      <w:rFonts w:hint="eastAsia" w:ascii="宋体" w:hAnsi="宋体" w:eastAsia="宋体" w:cs="Times New Roman"/>
      <w:b/>
      <w:bCs/>
      <w:sz w:val="24"/>
      <w:szCs w:val="24"/>
    </w:rPr>
  </w:style>
  <w:style w:type="character" w:styleId="991" w:customStyle="1">
    <w:name w:val="标题 1 字符"/>
    <w:basedOn w:val="896"/>
    <w:uiPriority w:val="0"/>
    <w:qFormat/>
    <w:rPr>
      <w:rFonts w:hint="eastAsia" w:ascii="宋体" w:hAnsi="宋体" w:eastAsia="宋体" w:cs="Times New Roman"/>
      <w:b/>
      <w:bCs/>
      <w:sz w:val="36"/>
      <w:szCs w:val="36"/>
    </w:rPr>
  </w:style>
  <w:style w:type="character" w:styleId="992" w:customStyle="1">
    <w:name w:val="标题 9 字符"/>
    <w:basedOn w:val="896"/>
    <w:uiPriority w:val="0"/>
    <w:qFormat/>
    <w:rPr>
      <w:rFonts w:hint="default" w:ascii="Arial" w:hAnsi="Arial" w:eastAsia="黑体" w:cs="Times New Roman"/>
      <w:sz w:val="22"/>
      <w:szCs w:val="20"/>
    </w:rPr>
  </w:style>
  <w:style w:type="character" w:styleId="993" w:customStyle="1">
    <w:name w:val="标题 8 字符"/>
    <w:basedOn w:val="896"/>
    <w:uiPriority w:val="0"/>
    <w:qFormat/>
    <w:rPr>
      <w:rFonts w:hint="default" w:ascii="Arial" w:hAnsi="Arial" w:eastAsia="黑体" w:cs="Times New Roman"/>
      <w:sz w:val="22"/>
      <w:szCs w:val="20"/>
    </w:rPr>
  </w:style>
  <w:style w:type="character" w:styleId="994" w:customStyle="1">
    <w:name w:val="[正文行首缩进] Char"/>
    <w:basedOn w:val="896"/>
    <w:link w:val="995"/>
    <w:uiPriority w:val="0"/>
    <w:qFormat/>
    <w:rPr>
      <w:rFonts w:hint="eastAsia" w:ascii="宋体" w:hAnsi="宋体" w:eastAsia="宋体" w:cs="宋体"/>
      <w:color w:val="000000"/>
      <w:sz w:val="24"/>
      <w:szCs w:val="24"/>
    </w:rPr>
  </w:style>
  <w:style w:type="paragraph" w:styleId="995" w:customStyle="1">
    <w:name w:val="[正文行首缩进]"/>
    <w:basedOn w:val="892"/>
    <w:link w:val="994"/>
    <w:uiPriority w:val="0"/>
    <w:qFormat/>
    <w:pPr>
      <w:jc w:val="center"/>
      <w:spacing w:line="360" w:lineRule="auto"/>
    </w:pPr>
    <w:rPr>
      <w:rFonts w:hint="eastAsia" w:ascii="宋体" w:hAnsi="等线" w:eastAsia="等线" w:cs="Times New Roman"/>
      <w:color w:val="000000"/>
      <w:sz w:val="24"/>
      <w:szCs w:val="24"/>
    </w:rPr>
  </w:style>
  <w:style w:type="character" w:styleId="996" w:customStyle="1">
    <w:name w:val="正文缩进 字符"/>
    <w:basedOn w:val="896"/>
    <w:uiPriority w:val="0"/>
    <w:qFormat/>
    <w:rPr>
      <w:sz w:val="24"/>
    </w:rPr>
  </w:style>
  <w:style w:type="character" w:styleId="997" w:customStyle="1">
    <w:name w:val="文档结构图 字符"/>
    <w:basedOn w:val="896"/>
    <w:link w:val="902"/>
    <w:uiPriority w:val="0"/>
    <w:qFormat/>
    <w:rPr>
      <w:rFonts w:hint="eastAsia" w:ascii="Microsoft YaHei UI" w:hAnsi="Microsoft YaHei UI" w:eastAsia="Microsoft YaHei UI" w:cs="Microsoft YaHei UI"/>
      <w:sz w:val="18"/>
      <w:szCs w:val="18"/>
    </w:rPr>
  </w:style>
  <w:style w:type="character" w:styleId="998" w:customStyle="1">
    <w:name w:val="标题 字符"/>
    <w:basedOn w:val="896"/>
    <w:link w:val="920"/>
    <w:uiPriority w:val="0"/>
    <w:qFormat/>
    <w:rPr>
      <w:rFonts w:ascii="等线 Light" w:hAnsi="等线 Light" w:eastAsia="等线 Light" w:cs="Times New Roman"/>
      <w:b/>
      <w:bCs/>
      <w:sz w:val="32"/>
      <w:szCs w:val="32"/>
    </w:rPr>
  </w:style>
  <w:style w:type="character" w:styleId="999" w:customStyle="1">
    <w:name w:val="标题 2 字符"/>
    <w:basedOn w:val="896"/>
    <w:uiPriority w:val="0"/>
    <w:qFormat/>
    <w:rPr>
      <w:rFonts w:hint="eastAsia" w:ascii="宋体" w:hAnsi="宋体" w:eastAsia="宋体" w:cs="Times New Roman"/>
      <w:b/>
      <w:bCs/>
      <w:sz w:val="28"/>
      <w:szCs w:val="32"/>
    </w:rPr>
  </w:style>
  <w:style w:type="character" w:styleId="1000" w:customStyle="1">
    <w:name w:val="标题 7 字符"/>
    <w:basedOn w:val="896"/>
    <w:uiPriority w:val="0"/>
    <w:qFormat/>
    <w:rPr>
      <w:rFonts w:hint="default" w:ascii="Times New Roman" w:hAnsi="Times New Roman" w:eastAsia="宋体" w:cs="Times New Roman"/>
      <w:b/>
      <w:sz w:val="22"/>
      <w:szCs w:val="20"/>
    </w:rPr>
  </w:style>
  <w:style w:type="paragraph" w:styleId="1001" w:customStyle="1">
    <w:name w:val="表格标题"/>
    <w:basedOn w:val="892"/>
    <w:uiPriority w:val="0"/>
    <w:qFormat/>
    <w:pPr>
      <w:jc w:val="center"/>
      <w:spacing w:before="62" w:after="62" w:line="360" w:lineRule="auto"/>
    </w:pPr>
    <w:rPr>
      <w:rFonts w:hint="eastAsia" w:ascii="宋体" w:hAnsi="宋体" w:eastAsia="宋体" w:cs="Times New Roman"/>
      <w:b/>
      <w:bCs/>
      <w:szCs w:val="20"/>
    </w:rPr>
  </w:style>
  <w:style w:type="table" w:styleId="1002" w:customStyle="1">
    <w:name w:val="Table Normal"/>
    <w:basedOn w:val="897"/>
    <w:uiPriority w:val="0"/>
    <w:semiHidden/>
    <w:qFormat/>
    <w:pPr>
      <w:widowControl w:val="off"/>
    </w:pPr>
    <w:rPr>
      <w:rFonts w:hint="eastAsia"/>
      <w:sz w:val="22"/>
      <w:szCs w:val="22"/>
      <w:lang w:eastAsia="en-US"/>
    </w:rPr>
    <w:tblPr>
      <w:tblCellMar>
        <w:left w:w="0" w:type="dxa"/>
        <w:right w:w="0" w:type="dxa"/>
      </w:tblCellMar>
    </w:tblPr>
  </w:style>
  <w:style w:type="paragraph" w:styleId="1003"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1004" w:customStyle="1">
    <w:name w:val="正文文本首行缩进 字符"/>
    <w:uiPriority w:val="0"/>
    <w:qFormat/>
    <w:rPr>
      <w:rFonts w:hint="default" w:ascii="Calibri" w:hAnsi="Calibri" w:eastAsia="宋体" w:cs="Times New Roman"/>
      <w:sz w:val="21"/>
      <w:szCs w:val="22"/>
    </w:rPr>
  </w:style>
  <w:style w:type="paragraph" w:styleId="1005" w:customStyle="1">
    <w:name w:val="表正文"/>
    <w:basedOn w:val="892"/>
    <w:uiPriority w:val="0"/>
    <w:qFormat/>
    <w:rPr>
      <w:rFonts w:hint="eastAsia" w:ascii="等线" w:hAnsi="等线" w:eastAsia="宋体" w:cs="Times New Roman"/>
      <w:sz w:val="18"/>
    </w:rPr>
  </w:style>
  <w:style w:type="paragraph" w:styleId="1006"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1007" w:customStyle="1">
    <w:name w:val="列出段落 Char"/>
    <w:basedOn w:val="896"/>
    <w:uiPriority w:val="0"/>
    <w:qFormat/>
    <w:rPr>
      <w:rFonts w:hint="eastAsia" w:ascii="Arial Unicode MS" w:hAnsi="Arial Unicode MS" w:eastAsia="Arial Unicode MS" w:cs="Arial Unicode MS"/>
      <w:color w:val="000000"/>
      <w:sz w:val="20"/>
      <w:szCs w:val="20"/>
      <w:lang w:eastAsia="en-US"/>
    </w:rPr>
  </w:style>
  <w:style w:type="character" w:styleId="1008" w:customStyle="1">
    <w:name w:val="标题 2 字符2"/>
    <w:basedOn w:val="896"/>
    <w:uiPriority w:val="0"/>
    <w:qFormat/>
    <w:rPr>
      <w:rFonts w:hint="default" w:ascii="Arial" w:hAnsi="Arial" w:eastAsia="黑体" w:cs="Arial"/>
      <w:b/>
      <w:bCs/>
      <w:sz w:val="32"/>
      <w:szCs w:val="32"/>
    </w:rPr>
  </w:style>
  <w:style w:type="paragraph" w:styleId="1009"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10"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11" w:customStyle="1">
    <w:name w:val="标题 2 字符3"/>
    <w:basedOn w:val="896"/>
    <w:link w:val="894"/>
    <w:uiPriority w:val="0"/>
    <w:qFormat/>
    <w:rPr>
      <w:rFonts w:hint="default" w:ascii="Arial" w:hAnsi="Arial" w:eastAsia="黑体" w:cs="Arial"/>
      <w:b/>
      <w:bCs/>
      <w:sz w:val="32"/>
      <w:szCs w:val="32"/>
    </w:rPr>
  </w:style>
  <w:style w:type="character" w:styleId="1012" w:customStyle="1">
    <w:name w:val="列出段落 Char1"/>
    <w:basedOn w:val="896"/>
    <w:uiPriority w:val="0"/>
    <w:qFormat/>
    <w:rPr>
      <w:rFonts w:hint="eastAsia" w:ascii="Arial Unicode MS" w:hAnsi="Arial Unicode MS" w:eastAsia="Arial Unicode MS" w:cs="Arial Unicode MS"/>
      <w:color w:val="000000"/>
      <w:sz w:val="20"/>
      <w:szCs w:val="20"/>
      <w:lang w:eastAsia="en-US"/>
    </w:rPr>
  </w:style>
  <w:style w:type="paragraph" w:styleId="1013"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14"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Table Text"/>
    <w:basedOn w:val="892"/>
    <w:hidden/>
    <w:uiPriority w:val="0"/>
    <w:qFormat/>
    <w:pPr>
      <w:jc w:val="left"/>
      <w:widowControl/>
    </w:pPr>
    <w:rPr>
      <w:rFonts w:hint="eastAsia" w:ascii="宋体" w:hAnsi="宋体" w:eastAsia="宋体" w:cs="Times New Roman"/>
      <w:color w:val="000000"/>
      <w:szCs w:val="21"/>
    </w:rPr>
  </w:style>
  <w:style w:type="paragraph" w:styleId="1016"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17"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18" w:customStyle="1">
    <w:name w:val="纯文本 字符1"/>
    <w:basedOn w:val="896"/>
    <w:uiPriority w:val="0"/>
    <w:qFormat/>
    <w:rPr>
      <w:rFonts w:hint="eastAsia" w:ascii="宋体" w:hAnsi="Courier New" w:eastAsia="宋体" w:cs="Courier New"/>
      <w:szCs w:val="24"/>
    </w:rPr>
  </w:style>
  <w:style w:type="paragraph" w:styleId="1019"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20" w:customStyle="1">
    <w:name w:val="段"/>
    <w:basedOn w:val="892"/>
    <w:next w:val="892"/>
    <w:uiPriority w:val="0"/>
    <w:qFormat/>
    <w:pPr>
      <w:ind w:firstLine="200"/>
      <w:spacing w:line="360" w:lineRule="auto"/>
      <w:widowControl/>
    </w:pPr>
    <w:rPr>
      <w:rFonts w:hint="eastAsia" w:ascii="宋体" w:hAnsi="Times New Roman" w:eastAsia="宋体" w:cs="Times New Roman"/>
      <w:sz w:val="24"/>
    </w:rPr>
  </w:style>
  <w:style w:type="paragraph" w:styleId="1021"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22"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23"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24"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25" w:customStyle="1">
    <w:name w:val="正文文本首行缩进 2 字符"/>
    <w:uiPriority w:val="0"/>
    <w:qFormat/>
    <w:rPr>
      <w:sz w:val="21"/>
      <w:szCs w:val="24"/>
    </w:rPr>
  </w:style>
  <w:style w:type="paragraph" w:styleId="1026" w:customStyle="1">
    <w:name w:val="qq正文"/>
    <w:basedOn w:val="892"/>
    <w:uiPriority w:val="0"/>
    <w:qFormat/>
    <w:pPr>
      <w:ind w:firstLine="200"/>
      <w:spacing w:line="360" w:lineRule="auto"/>
    </w:pPr>
    <w:rPr>
      <w:rFonts w:ascii="Times New Roman" w:hAnsi="Times New Roman" w:eastAsia="宋体" w:cs="Times New Roman"/>
      <w:sz w:val="24"/>
      <w:szCs w:val="24"/>
    </w:rPr>
  </w:style>
  <w:style w:type="paragraph" w:styleId="1027"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28"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29"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30"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31"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32"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33" w:customStyle="1">
    <w:name w:val="修订32"/>
    <w:hidden/>
    <w:uiPriority w:val="99"/>
    <w:semiHidden/>
    <w:qFormat/>
    <w:rPr>
      <w:rFonts w:asciiTheme="minorHAnsi" w:hAnsiTheme="minorHAnsi" w:eastAsiaTheme="minorEastAsia" w:cstheme="minorBidi"/>
      <w:sz w:val="21"/>
      <w:szCs w:val="22"/>
      <w:lang w:val="en-US" w:eastAsia="zh-CN" w:bidi="ar-SA"/>
    </w:rPr>
  </w:style>
  <w:style w:type="paragraph" w:styleId="1034" w:customStyle="1">
    <w:name w:val="修订33"/>
    <w:hidden/>
    <w:uiPriority w:val="99"/>
    <w:semiHidden/>
    <w:qFormat/>
    <w:rPr>
      <w:rFonts w:asciiTheme="minorHAnsi" w:hAnsiTheme="minorHAnsi" w:eastAsiaTheme="minorEastAsia" w:cstheme="minorBidi"/>
      <w:sz w:val="21"/>
      <w:szCs w:val="22"/>
      <w:lang w:val="en-US" w:eastAsia="zh-CN" w:bidi="ar-SA"/>
    </w:rPr>
  </w:style>
  <w:style w:type="paragraph" w:styleId="1035"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05ECC46-DB11-45EA-9640-D893D5C975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10</cp:revision>
  <dcterms:created xsi:type="dcterms:W3CDTF">2026-09-09T06:53:00Z</dcterms:created>
  <dcterms:modified xsi:type="dcterms:W3CDTF">2026-10-09T06:27:47Z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E0568FD5D4AE4CB6A29D036CF71993D6_13</vt:lpwstr>
  </property>
  <property fmtid="{D5CDD505-2E9C-101B-9397-08002B2CF9AE}" pid="4" name="KSOTemplateDocerSaveRecord">
    <vt:lpwstr>eyJoZGlkIjoiNTE3ODBhODAwYWZlYmM2Zjk2MjA5ZjdiYTk1Y2U0OTQiLCJ1c2VySWQiOiI5NTc1NDY5NDYifQ==</vt:lpwstr>
  </property>
</Properties>
</file>