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DCE32">
      <w:pPr>
        <w:tabs>
          <w:tab w:val="left" w:pos="1785"/>
        </w:tabs>
        <w:jc w:val="both"/>
        <w:rPr>
          <w:rFonts w:hint="eastAsia" w:ascii="宋体" w:hAnsi="宋体" w:eastAsia="宋体" w:cs="宋体"/>
          <w:b/>
          <w:bCs/>
          <w:sz w:val="44"/>
          <w:szCs w:val="44"/>
        </w:rPr>
      </w:pPr>
    </w:p>
    <w:p w14:paraId="373DC970">
      <w:pPr>
        <w:tabs>
          <w:tab w:val="left" w:pos="1785"/>
        </w:tabs>
        <w:spacing w:line="360" w:lineRule="auto"/>
        <w:jc w:val="center"/>
        <w:rPr>
          <w:rFonts w:hint="eastAsia" w:ascii="宋体" w:hAnsi="宋体" w:eastAsia="宋体" w:cs="宋体"/>
          <w:b/>
          <w:bCs/>
          <w:sz w:val="44"/>
          <w:szCs w:val="44"/>
        </w:rPr>
      </w:pPr>
      <w:r>
        <w:rPr>
          <w:rFonts w:hint="eastAsia" w:ascii="宋体" w:hAnsi="宋体" w:eastAsia="宋体" w:cs="宋体"/>
          <w:b/>
          <w:bCs/>
          <w:sz w:val="40"/>
          <w:szCs w:val="40"/>
          <w:lang w:eastAsia="zh-CN"/>
        </w:rPr>
        <w:t>响水工业经济区环保管家综合服务项目</w:t>
      </w:r>
      <w:r>
        <w:rPr>
          <w:rFonts w:hint="eastAsia" w:ascii="宋体" w:hAnsi="宋体" w:eastAsia="宋体" w:cs="宋体"/>
          <w:b/>
          <w:bCs/>
          <w:sz w:val="44"/>
          <w:szCs w:val="44"/>
        </w:rPr>
        <w:t xml:space="preserve"> </w:t>
      </w:r>
    </w:p>
    <w:p w14:paraId="0BBACA18">
      <w:pPr>
        <w:pStyle w:val="32"/>
        <w:spacing w:before="120" w:beforeAutospacing="0" w:after="120" w:afterAutospacing="0" w:line="360" w:lineRule="auto"/>
        <w:jc w:val="center"/>
        <w:rPr>
          <w:rFonts w:ascii="Arial" w:hAnsi="Arial" w:cs="Arial"/>
          <w:b/>
          <w:sz w:val="84"/>
          <w:szCs w:val="84"/>
        </w:rPr>
      </w:pPr>
    </w:p>
    <w:p w14:paraId="3BC7527B">
      <w:pPr>
        <w:pStyle w:val="32"/>
        <w:spacing w:beforeAutospacing="0" w:afterAutospacing="0" w:line="360" w:lineRule="auto"/>
        <w:jc w:val="both"/>
        <w:rPr>
          <w:rFonts w:ascii="Arial" w:hAnsi="Arial" w:cs="Arial"/>
          <w:b/>
          <w:sz w:val="84"/>
          <w:szCs w:val="84"/>
        </w:rPr>
      </w:pPr>
    </w:p>
    <w:p w14:paraId="5AD9D035">
      <w:pPr>
        <w:tabs>
          <w:tab w:val="left" w:pos="1785"/>
        </w:tabs>
        <w:spacing w:line="360" w:lineRule="auto"/>
        <w:jc w:val="center"/>
        <w:rPr>
          <w:rFonts w:hint="eastAsia" w:ascii="宋体" w:hAnsi="宋体" w:eastAsia="宋体" w:cs="宋体"/>
          <w:b/>
          <w:bCs/>
          <w:sz w:val="52"/>
          <w:szCs w:val="52"/>
          <w:shd w:val="clear" w:color="auto" w:fill="FFFFFF"/>
        </w:rPr>
      </w:pPr>
      <w:r>
        <w:rPr>
          <w:rFonts w:hint="eastAsia" w:ascii="宋体" w:hAnsi="宋体" w:eastAsia="宋体" w:cs="宋体"/>
          <w:b/>
          <w:bCs/>
          <w:sz w:val="52"/>
          <w:szCs w:val="52"/>
          <w:shd w:val="clear" w:color="auto" w:fill="FFFFFF"/>
        </w:rPr>
        <w:t>竞争性磋商文件</w:t>
      </w:r>
    </w:p>
    <w:p w14:paraId="05428F7B">
      <w:pPr>
        <w:pStyle w:val="32"/>
        <w:spacing w:before="120" w:beforeAutospacing="0" w:after="120" w:afterAutospacing="0" w:line="360" w:lineRule="auto"/>
        <w:ind w:firstLine="1920"/>
        <w:jc w:val="both"/>
        <w:rPr>
          <w:rFonts w:hint="eastAsia" w:ascii="宋体" w:hAnsi="宋体" w:eastAsia="宋体" w:cs="宋体"/>
          <w:sz w:val="32"/>
        </w:rPr>
      </w:pPr>
    </w:p>
    <w:p w14:paraId="39DEC792">
      <w:pPr>
        <w:pStyle w:val="32"/>
        <w:spacing w:before="120" w:beforeAutospacing="0" w:after="120" w:afterAutospacing="0" w:line="360" w:lineRule="auto"/>
        <w:ind w:firstLine="1920"/>
        <w:jc w:val="both"/>
        <w:rPr>
          <w:rFonts w:hint="eastAsia" w:ascii="宋体" w:hAnsi="宋体" w:eastAsia="宋体" w:cs="宋体"/>
          <w:sz w:val="32"/>
        </w:rPr>
      </w:pPr>
    </w:p>
    <w:p w14:paraId="669FF237">
      <w:pPr>
        <w:pStyle w:val="32"/>
        <w:spacing w:beforeAutospacing="0" w:afterAutospacing="0" w:line="360" w:lineRule="auto"/>
        <w:ind w:firstLine="2003" w:firstLineChars="626"/>
        <w:jc w:val="both"/>
        <w:rPr>
          <w:rFonts w:hint="eastAsia" w:ascii="仿宋" w:hAnsi="仿宋" w:eastAsia="仿宋" w:cs="仿宋"/>
          <w:sz w:val="28"/>
          <w:szCs w:val="28"/>
          <w:lang w:eastAsia="zh-CN"/>
        </w:rPr>
      </w:pPr>
      <w:r>
        <w:rPr>
          <w:rFonts w:hint="eastAsia" w:ascii="宋体" w:hAnsi="宋体" w:eastAsia="宋体" w:cs="宋体"/>
          <w:sz w:val="32"/>
        </w:rPr>
        <w:t xml:space="preserve">项目编号：JSZC-320921-JHJS-C2026-0004 </w:t>
      </w:r>
      <w:r>
        <w:rPr>
          <w:rFonts w:hint="eastAsia" w:ascii="宋体" w:hAnsi="宋体" w:eastAsia="宋体" w:cs="宋体"/>
          <w:sz w:val="32"/>
          <w:lang w:val="en-US" w:eastAsia="zh-CN"/>
        </w:rPr>
        <w:t xml:space="preserve"> </w:t>
      </w:r>
    </w:p>
    <w:p w14:paraId="677610A2">
      <w:pPr>
        <w:pStyle w:val="32"/>
        <w:spacing w:before="120" w:beforeAutospacing="0" w:after="120" w:afterAutospacing="0" w:line="360" w:lineRule="auto"/>
        <w:jc w:val="center"/>
        <w:rPr>
          <w:rFonts w:hint="eastAsia" w:ascii="宋体" w:hAnsi="宋体" w:eastAsia="宋体" w:cs="宋体"/>
          <w:sz w:val="32"/>
        </w:rPr>
      </w:pPr>
    </w:p>
    <w:p w14:paraId="0D2F68A0">
      <w:pPr>
        <w:pStyle w:val="32"/>
        <w:spacing w:before="120" w:beforeAutospacing="0" w:after="120" w:afterAutospacing="0" w:line="360" w:lineRule="auto"/>
        <w:ind w:firstLine="2249"/>
      </w:pPr>
      <w:r>
        <w:rPr>
          <w:rFonts w:ascii="Times New Roman" w:hAnsi="Times New Roman"/>
          <w:b/>
          <w:sz w:val="30"/>
          <w:szCs w:val="30"/>
        </w:rPr>
        <w:t xml:space="preserve">  </w:t>
      </w:r>
    </w:p>
    <w:p w14:paraId="2884CFED">
      <w:pPr>
        <w:pStyle w:val="32"/>
        <w:spacing w:beforeAutospacing="0" w:afterAutospacing="0" w:line="360" w:lineRule="auto"/>
      </w:pPr>
    </w:p>
    <w:p w14:paraId="0843B66B">
      <w:pPr>
        <w:pStyle w:val="32"/>
        <w:spacing w:beforeAutospacing="0" w:afterAutospacing="0" w:line="360" w:lineRule="auto"/>
      </w:pPr>
      <w:r>
        <w:t> </w:t>
      </w:r>
    </w:p>
    <w:p w14:paraId="23127198">
      <w:pPr>
        <w:pStyle w:val="32"/>
        <w:spacing w:beforeAutospacing="0" w:afterAutospacing="0" w:line="360" w:lineRule="auto"/>
      </w:pPr>
      <w:r>
        <w:t> </w:t>
      </w:r>
    </w:p>
    <w:p w14:paraId="29F57CCC">
      <w:pPr>
        <w:pStyle w:val="32"/>
        <w:spacing w:beforeAutospacing="0" w:afterAutospacing="0" w:line="360" w:lineRule="auto"/>
      </w:pPr>
      <w:r>
        <w:t> </w:t>
      </w:r>
    </w:p>
    <w:p w14:paraId="601964C4">
      <w:pPr>
        <w:pStyle w:val="32"/>
        <w:spacing w:before="120" w:beforeAutospacing="0" w:after="120" w:afterAutospacing="0" w:line="360" w:lineRule="auto"/>
        <w:jc w:val="center"/>
        <w:rPr>
          <w:rFonts w:hint="eastAsia" w:ascii="宋体" w:hAnsi="宋体" w:eastAsia="宋体" w:cs="宋体"/>
          <w:b/>
          <w:sz w:val="32"/>
          <w:szCs w:val="32"/>
          <w:u w:val="single"/>
        </w:rPr>
      </w:pPr>
      <w:r>
        <w:rPr>
          <w:rFonts w:hint="eastAsia" w:ascii="宋体" w:hAnsi="宋体" w:eastAsia="宋体" w:cs="宋体"/>
          <w:b/>
          <w:sz w:val="32"/>
          <w:szCs w:val="32"/>
        </w:rPr>
        <w:t>采购单位：</w:t>
      </w:r>
      <w:r>
        <w:rPr>
          <w:rFonts w:hint="eastAsia" w:ascii="宋体" w:hAnsi="宋体" w:eastAsia="宋体" w:cs="宋体"/>
          <w:b/>
          <w:sz w:val="32"/>
          <w:szCs w:val="32"/>
          <w:u w:val="single"/>
          <w:lang w:eastAsia="zh-CN"/>
        </w:rPr>
        <w:t>江苏响水经济开发区管理委员会</w:t>
      </w:r>
      <w:r>
        <w:rPr>
          <w:rFonts w:hint="eastAsia" w:ascii="宋体" w:hAnsi="宋体" w:eastAsia="宋体" w:cs="宋体"/>
          <w:b/>
          <w:sz w:val="32"/>
          <w:szCs w:val="32"/>
          <w:u w:val="single"/>
        </w:rPr>
        <w:t>（盖章）</w:t>
      </w:r>
    </w:p>
    <w:p w14:paraId="7266F03B">
      <w:pPr>
        <w:pStyle w:val="32"/>
        <w:spacing w:beforeAutospacing="0" w:afterAutospacing="0" w:line="240" w:lineRule="exact"/>
        <w:jc w:val="center"/>
        <w:rPr>
          <w:rFonts w:hint="eastAsia" w:ascii="宋体" w:hAnsi="宋体" w:eastAsia="宋体" w:cs="宋体"/>
          <w:b/>
          <w:sz w:val="32"/>
          <w:szCs w:val="32"/>
          <w:u w:val="single"/>
        </w:rPr>
      </w:pPr>
    </w:p>
    <w:p w14:paraId="5A31C894">
      <w:pPr>
        <w:jc w:val="center"/>
        <w:rPr>
          <w:rFonts w:hint="eastAsia" w:ascii="宋体" w:hAnsi="宋体" w:eastAsia="宋体" w:cs="宋体"/>
          <w:b/>
          <w:sz w:val="32"/>
          <w:szCs w:val="32"/>
          <w:u w:val="single"/>
        </w:rPr>
      </w:pPr>
      <w:r>
        <w:rPr>
          <w:rFonts w:hint="eastAsia" w:ascii="宋体" w:hAnsi="宋体" w:eastAsia="宋体" w:cs="宋体"/>
          <w:b/>
          <w:sz w:val="32"/>
          <w:szCs w:val="32"/>
          <w:shd w:val="clear" w:color="auto" w:fill="FFFFFF"/>
        </w:rPr>
        <w:t>代理机构：</w:t>
      </w:r>
      <w:r>
        <w:rPr>
          <w:rFonts w:hint="eastAsia" w:ascii="宋体" w:hAnsi="宋体" w:eastAsia="宋体" w:cs="宋体"/>
          <w:b/>
          <w:sz w:val="32"/>
          <w:szCs w:val="32"/>
          <w:u w:val="single"/>
          <w:lang w:eastAsia="zh-CN"/>
        </w:rPr>
        <w:t>江苏佳弘项目管理有限公司</w:t>
      </w:r>
      <w:r>
        <w:rPr>
          <w:rFonts w:hint="eastAsia" w:ascii="宋体" w:hAnsi="宋体" w:eastAsia="宋体" w:cs="宋体"/>
          <w:b/>
          <w:sz w:val="32"/>
          <w:szCs w:val="32"/>
          <w:u w:val="single"/>
        </w:rPr>
        <w:t>（盖章）</w:t>
      </w:r>
    </w:p>
    <w:p w14:paraId="230A04FB">
      <w:pPr>
        <w:pStyle w:val="32"/>
        <w:spacing w:before="313" w:beforeAutospacing="0" w:afterAutospacing="0" w:line="360" w:lineRule="auto"/>
        <w:jc w:val="center"/>
        <w:rPr>
          <w:rFonts w:hint="eastAsia" w:ascii="宋体" w:hAnsi="宋体" w:eastAsia="宋体" w:cs="宋体"/>
        </w:rPr>
      </w:pPr>
      <w:r>
        <w:rPr>
          <w:rFonts w:hint="eastAsia" w:ascii="宋体" w:hAnsi="宋体" w:eastAsia="宋体" w:cs="宋体"/>
          <w:b/>
          <w:sz w:val="32"/>
          <w:szCs w:val="32"/>
          <w:u w:val="single"/>
        </w:rPr>
        <w:t xml:space="preserve"> 202</w:t>
      </w:r>
      <w:r>
        <w:rPr>
          <w:rFonts w:hint="eastAsia" w:ascii="宋体" w:hAnsi="宋体" w:eastAsia="宋体" w:cs="宋体"/>
          <w:b/>
          <w:sz w:val="32"/>
          <w:szCs w:val="32"/>
          <w:u w:val="single"/>
          <w:lang w:val="en-US" w:eastAsia="zh-CN"/>
        </w:rPr>
        <w:t>6</w:t>
      </w:r>
      <w:r>
        <w:rPr>
          <w:rFonts w:hint="eastAsia" w:ascii="宋体" w:hAnsi="宋体" w:eastAsia="宋体" w:cs="宋体"/>
          <w:b/>
          <w:sz w:val="32"/>
          <w:szCs w:val="32"/>
          <w:u w:val="single"/>
        </w:rPr>
        <w:t xml:space="preserve"> </w:t>
      </w:r>
      <w:r>
        <w:rPr>
          <w:rFonts w:hint="eastAsia" w:ascii="宋体" w:hAnsi="宋体" w:eastAsia="宋体" w:cs="宋体"/>
          <w:b/>
          <w:sz w:val="32"/>
          <w:szCs w:val="32"/>
        </w:rPr>
        <w:t>年</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lang w:val="en-US" w:eastAsia="zh-CN"/>
        </w:rPr>
        <w:t>9</w:t>
      </w:r>
      <w:r>
        <w:rPr>
          <w:rFonts w:hint="eastAsia" w:ascii="宋体" w:hAnsi="宋体" w:eastAsia="宋体" w:cs="宋体"/>
          <w:b/>
          <w:sz w:val="32"/>
          <w:szCs w:val="32"/>
        </w:rPr>
        <w:t>月</w:t>
      </w:r>
    </w:p>
    <w:p w14:paraId="5D3EB8BD">
      <w:pPr>
        <w:pStyle w:val="32"/>
        <w:spacing w:beforeAutospacing="0" w:afterAutospacing="0" w:line="480" w:lineRule="auto"/>
        <w:jc w:val="center"/>
        <w:rPr>
          <w:rFonts w:ascii="Times New Roman" w:hAnsi="Times New Roman"/>
          <w:sz w:val="21"/>
          <w:szCs w:val="21"/>
        </w:rPr>
      </w:pPr>
    </w:p>
    <w:p w14:paraId="40B26370">
      <w:pPr>
        <w:pStyle w:val="24"/>
        <w:tabs>
          <w:tab w:val="right" w:leader="dot" w:pos="8306"/>
        </w:tabs>
        <w:spacing w:line="360" w:lineRule="auto"/>
        <w:jc w:val="center"/>
        <w:rPr>
          <w:b/>
          <w:bCs/>
          <w:sz w:val="44"/>
          <w:szCs w:val="52"/>
        </w:rPr>
        <w:sectPr>
          <w:footerReference r:id="rId3" w:type="default"/>
          <w:pgSz w:w="11906" w:h="16838"/>
          <w:pgMar w:top="1327" w:right="1236" w:bottom="1327" w:left="1236" w:header="851" w:footer="992" w:gutter="0"/>
          <w:pgNumType w:start="1"/>
          <w:cols w:space="0" w:num="1"/>
          <w:docGrid w:linePitch="360" w:charSpace="0"/>
        </w:sectPr>
      </w:pPr>
    </w:p>
    <w:p w14:paraId="296CB410">
      <w:pPr>
        <w:pStyle w:val="24"/>
        <w:tabs>
          <w:tab w:val="right" w:leader="dot" w:pos="8306"/>
        </w:tabs>
        <w:spacing w:line="360" w:lineRule="auto"/>
        <w:jc w:val="center"/>
        <w:rPr>
          <w:b/>
          <w:bCs/>
          <w:sz w:val="44"/>
          <w:szCs w:val="52"/>
        </w:rPr>
      </w:pPr>
      <w:r>
        <w:rPr>
          <w:rFonts w:hint="eastAsia"/>
          <w:b/>
          <w:bCs/>
          <w:sz w:val="44"/>
          <w:szCs w:val="52"/>
        </w:rPr>
        <w:t>目   录</w:t>
      </w:r>
    </w:p>
    <w:p w14:paraId="43265C5B">
      <w:pPr>
        <w:pStyle w:val="24"/>
        <w:tabs>
          <w:tab w:val="left" w:pos="8306"/>
        </w:tabs>
        <w:spacing w:line="360" w:lineRule="auto"/>
      </w:pPr>
      <w:r>
        <w:tab/>
      </w:r>
    </w:p>
    <w:p w14:paraId="2719E7D7">
      <w:pPr>
        <w:pStyle w:val="24"/>
        <w:tabs>
          <w:tab w:val="right" w:leader="dot" w:pos="9434"/>
        </w:tabs>
        <w:spacing w:line="360" w:lineRule="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fldChar w:fldCharType="begin"/>
      </w:r>
      <w:r>
        <w:instrText xml:space="preserve"> HYPERLINK \l "_Toc2629" </w:instrText>
      </w:r>
      <w:r>
        <w:fldChar w:fldCharType="separate"/>
      </w:r>
      <w:r>
        <w:rPr>
          <w:rFonts w:hint="eastAsia" w:ascii="宋体" w:hAnsi="宋体" w:eastAsia="宋体" w:cs="宋体"/>
          <w:sz w:val="28"/>
          <w:szCs w:val="28"/>
        </w:rPr>
        <w:t>第一章   竞争性磋商公告</w:t>
      </w:r>
      <w:r>
        <w:rPr>
          <w:rFonts w:hint="eastAsia" w:ascii="宋体" w:hAnsi="宋体" w:eastAsia="宋体" w:cs="宋体"/>
          <w:sz w:val="28"/>
          <w:szCs w:val="28"/>
        </w:rPr>
        <w:tab/>
      </w:r>
      <w:r>
        <w:rPr>
          <w:rFonts w:hint="eastAsia" w:ascii="宋体" w:hAnsi="宋体" w:eastAsia="宋体" w:cs="宋体"/>
          <w:sz w:val="28"/>
          <w:szCs w:val="28"/>
        </w:rPr>
        <w:t>7</w:t>
      </w:r>
      <w:r>
        <w:rPr>
          <w:rFonts w:hint="eastAsia" w:ascii="宋体" w:hAnsi="宋体" w:eastAsia="宋体" w:cs="宋体"/>
          <w:sz w:val="28"/>
          <w:szCs w:val="28"/>
        </w:rPr>
        <w:fldChar w:fldCharType="end"/>
      </w:r>
    </w:p>
    <w:p w14:paraId="70523082">
      <w:pPr>
        <w:pStyle w:val="24"/>
        <w:tabs>
          <w:tab w:val="right" w:leader="dot" w:pos="9434"/>
        </w:tabs>
        <w:spacing w:line="360" w:lineRule="auto"/>
        <w:rPr>
          <w:rFonts w:hint="eastAsia" w:ascii="宋体" w:hAnsi="宋体" w:eastAsia="宋体" w:cs="宋体"/>
          <w:sz w:val="28"/>
          <w:szCs w:val="28"/>
        </w:rPr>
      </w:pPr>
      <w:r>
        <w:fldChar w:fldCharType="begin"/>
      </w:r>
      <w:r>
        <w:instrText xml:space="preserve"> HYPERLINK \l "_Toc24847" </w:instrText>
      </w:r>
      <w:r>
        <w:fldChar w:fldCharType="separate"/>
      </w:r>
      <w:r>
        <w:rPr>
          <w:rFonts w:hint="eastAsia" w:ascii="宋体" w:hAnsi="宋体" w:eastAsia="宋体" w:cs="宋体"/>
          <w:sz w:val="28"/>
          <w:szCs w:val="28"/>
        </w:rPr>
        <w:t>第二章   供应商须知</w:t>
      </w:r>
      <w:r>
        <w:rPr>
          <w:rFonts w:hint="eastAsia" w:ascii="宋体" w:hAnsi="宋体" w:eastAsia="宋体" w:cs="宋体"/>
          <w:sz w:val="28"/>
          <w:szCs w:val="28"/>
        </w:rPr>
        <w:tab/>
      </w:r>
      <w:r>
        <w:rPr>
          <w:rFonts w:hint="eastAsia" w:ascii="宋体" w:hAnsi="宋体" w:eastAsia="宋体" w:cs="宋体"/>
          <w:sz w:val="28"/>
          <w:szCs w:val="28"/>
        </w:rPr>
        <w:t>18</w:t>
      </w:r>
      <w:r>
        <w:rPr>
          <w:rFonts w:hint="eastAsia" w:ascii="宋体" w:hAnsi="宋体" w:eastAsia="宋体" w:cs="宋体"/>
          <w:sz w:val="28"/>
          <w:szCs w:val="28"/>
        </w:rPr>
        <w:fldChar w:fldCharType="end"/>
      </w:r>
    </w:p>
    <w:p w14:paraId="2973DDCF">
      <w:pPr>
        <w:pStyle w:val="24"/>
        <w:tabs>
          <w:tab w:val="right" w:leader="dot" w:pos="9434"/>
        </w:tabs>
        <w:spacing w:line="360" w:lineRule="auto"/>
        <w:rPr>
          <w:rFonts w:hint="eastAsia" w:ascii="宋体" w:hAnsi="宋体" w:eastAsia="宋体" w:cs="宋体"/>
          <w:sz w:val="28"/>
          <w:szCs w:val="28"/>
        </w:rPr>
      </w:pPr>
      <w:r>
        <w:fldChar w:fldCharType="begin"/>
      </w:r>
      <w:r>
        <w:instrText xml:space="preserve"> HYPERLINK \l "_Toc2241" </w:instrText>
      </w:r>
      <w:r>
        <w:fldChar w:fldCharType="separate"/>
      </w:r>
      <w:r>
        <w:rPr>
          <w:rFonts w:hint="eastAsia" w:ascii="宋体" w:hAnsi="宋体" w:eastAsia="宋体" w:cs="宋体"/>
          <w:sz w:val="28"/>
          <w:szCs w:val="28"/>
        </w:rPr>
        <w:t>第三章   合同文本</w:t>
      </w:r>
      <w:r>
        <w:rPr>
          <w:rFonts w:hint="eastAsia" w:ascii="宋体" w:hAnsi="宋体" w:eastAsia="宋体" w:cs="宋体"/>
          <w:sz w:val="28"/>
          <w:szCs w:val="28"/>
        </w:rPr>
        <w:tab/>
      </w:r>
      <w:r>
        <w:rPr>
          <w:rFonts w:hint="eastAsia" w:ascii="宋体" w:hAnsi="宋体" w:eastAsia="宋体" w:cs="宋体"/>
          <w:sz w:val="28"/>
          <w:szCs w:val="28"/>
        </w:rPr>
        <w:t>48</w:t>
      </w:r>
      <w:r>
        <w:rPr>
          <w:rFonts w:hint="eastAsia" w:ascii="宋体" w:hAnsi="宋体" w:eastAsia="宋体" w:cs="宋体"/>
          <w:sz w:val="28"/>
          <w:szCs w:val="28"/>
        </w:rPr>
        <w:fldChar w:fldCharType="end"/>
      </w:r>
    </w:p>
    <w:p w14:paraId="62657981">
      <w:pPr>
        <w:pStyle w:val="24"/>
        <w:tabs>
          <w:tab w:val="right" w:leader="dot" w:pos="9434"/>
        </w:tabs>
        <w:spacing w:line="360" w:lineRule="auto"/>
        <w:rPr>
          <w:rFonts w:hint="eastAsia" w:ascii="宋体" w:hAnsi="宋体" w:eastAsia="宋体" w:cs="宋体"/>
          <w:sz w:val="28"/>
          <w:szCs w:val="28"/>
        </w:rPr>
      </w:pPr>
      <w:r>
        <w:fldChar w:fldCharType="begin"/>
      </w:r>
      <w:r>
        <w:instrText xml:space="preserve"> HYPERLINK \l "_Toc2241" </w:instrText>
      </w:r>
      <w:r>
        <w:fldChar w:fldCharType="separate"/>
      </w:r>
      <w:r>
        <w:rPr>
          <w:rFonts w:hint="eastAsia" w:ascii="宋体" w:hAnsi="宋体" w:eastAsia="宋体" w:cs="宋体"/>
          <w:sz w:val="28"/>
          <w:szCs w:val="28"/>
        </w:rPr>
        <w:t>第四章   采购需求</w:t>
      </w:r>
      <w:r>
        <w:rPr>
          <w:rFonts w:hint="eastAsia" w:ascii="宋体" w:hAnsi="宋体" w:eastAsia="宋体" w:cs="宋体"/>
          <w:sz w:val="28"/>
          <w:szCs w:val="28"/>
        </w:rPr>
        <w:tab/>
      </w:r>
      <w:r>
        <w:rPr>
          <w:rFonts w:hint="eastAsia" w:ascii="宋体" w:hAnsi="宋体" w:eastAsia="宋体" w:cs="宋体"/>
          <w:sz w:val="28"/>
          <w:szCs w:val="28"/>
        </w:rPr>
        <w:t>52</w:t>
      </w:r>
      <w:r>
        <w:rPr>
          <w:rFonts w:hint="eastAsia" w:ascii="宋体" w:hAnsi="宋体" w:eastAsia="宋体" w:cs="宋体"/>
          <w:sz w:val="28"/>
          <w:szCs w:val="28"/>
        </w:rPr>
        <w:fldChar w:fldCharType="end"/>
      </w:r>
    </w:p>
    <w:p w14:paraId="45C72C9C">
      <w:pPr>
        <w:pStyle w:val="24"/>
        <w:tabs>
          <w:tab w:val="right" w:leader="dot" w:pos="9434"/>
        </w:tabs>
        <w:spacing w:line="360" w:lineRule="auto"/>
        <w:rPr>
          <w:rFonts w:hint="eastAsia" w:ascii="宋体" w:hAnsi="宋体" w:eastAsia="宋体" w:cs="宋体"/>
          <w:sz w:val="28"/>
          <w:szCs w:val="28"/>
        </w:rPr>
      </w:pPr>
      <w:r>
        <w:fldChar w:fldCharType="begin"/>
      </w:r>
      <w:r>
        <w:instrText xml:space="preserve"> HYPERLINK \l "_Toc17836" </w:instrText>
      </w:r>
      <w:r>
        <w:fldChar w:fldCharType="separate"/>
      </w:r>
      <w:r>
        <w:rPr>
          <w:rFonts w:hint="eastAsia" w:ascii="宋体" w:hAnsi="宋体" w:eastAsia="宋体" w:cs="宋体"/>
          <w:sz w:val="28"/>
          <w:szCs w:val="28"/>
        </w:rPr>
        <w:t>第五章   评审方法与评审标准</w:t>
      </w:r>
      <w:r>
        <w:rPr>
          <w:rFonts w:hint="eastAsia" w:ascii="宋体" w:hAnsi="宋体" w:eastAsia="宋体" w:cs="宋体"/>
          <w:sz w:val="28"/>
          <w:szCs w:val="28"/>
        </w:rPr>
        <w:tab/>
      </w:r>
      <w:r>
        <w:rPr>
          <w:rFonts w:hint="eastAsia" w:ascii="宋体" w:hAnsi="宋体" w:eastAsia="宋体" w:cs="宋体"/>
          <w:sz w:val="28"/>
          <w:szCs w:val="28"/>
        </w:rPr>
        <w:t>55</w:t>
      </w:r>
      <w:r>
        <w:rPr>
          <w:rFonts w:hint="eastAsia" w:ascii="宋体" w:hAnsi="宋体" w:eastAsia="宋体" w:cs="宋体"/>
          <w:sz w:val="28"/>
          <w:szCs w:val="28"/>
        </w:rPr>
        <w:fldChar w:fldCharType="end"/>
      </w:r>
    </w:p>
    <w:p w14:paraId="42478B2C">
      <w:pPr>
        <w:pStyle w:val="24"/>
        <w:tabs>
          <w:tab w:val="right" w:leader="dot" w:pos="9434"/>
        </w:tabs>
        <w:spacing w:line="360" w:lineRule="auto"/>
        <w:rPr>
          <w:rFonts w:hint="eastAsia" w:ascii="宋体" w:hAnsi="宋体" w:eastAsia="宋体" w:cs="宋体"/>
          <w:sz w:val="28"/>
          <w:szCs w:val="28"/>
        </w:rPr>
      </w:pPr>
      <w:r>
        <w:fldChar w:fldCharType="begin"/>
      </w:r>
      <w:r>
        <w:instrText xml:space="preserve"> HYPERLINK \l "_Toc2653" </w:instrText>
      </w:r>
      <w:r>
        <w:fldChar w:fldCharType="separate"/>
      </w:r>
      <w:r>
        <w:rPr>
          <w:rFonts w:hint="eastAsia" w:ascii="宋体" w:hAnsi="宋体" w:eastAsia="宋体" w:cs="宋体"/>
          <w:sz w:val="28"/>
          <w:szCs w:val="28"/>
        </w:rPr>
        <w:t>第六章   响应文件格式</w:t>
      </w:r>
      <w:r>
        <w:rPr>
          <w:rFonts w:hint="eastAsia" w:ascii="宋体" w:hAnsi="宋体" w:eastAsia="宋体" w:cs="宋体"/>
          <w:sz w:val="28"/>
          <w:szCs w:val="28"/>
        </w:rPr>
        <w:tab/>
      </w:r>
      <w:r>
        <w:rPr>
          <w:rFonts w:hint="eastAsia" w:ascii="宋体" w:hAnsi="宋体" w:eastAsia="宋体" w:cs="宋体"/>
          <w:sz w:val="28"/>
          <w:szCs w:val="28"/>
        </w:rPr>
        <w:t>70</w:t>
      </w:r>
      <w:r>
        <w:rPr>
          <w:rFonts w:hint="eastAsia" w:ascii="宋体" w:hAnsi="宋体" w:eastAsia="宋体" w:cs="宋体"/>
          <w:sz w:val="28"/>
          <w:szCs w:val="28"/>
        </w:rPr>
        <w:fldChar w:fldCharType="end"/>
      </w:r>
    </w:p>
    <w:p w14:paraId="1335375E">
      <w:pPr>
        <w:spacing w:line="360" w:lineRule="auto"/>
      </w:pPr>
      <w:r>
        <w:rPr>
          <w:rFonts w:hint="eastAsia" w:ascii="宋体" w:hAnsi="宋体" w:eastAsia="宋体" w:cs="宋体"/>
          <w:sz w:val="28"/>
          <w:szCs w:val="28"/>
        </w:rPr>
        <w:fldChar w:fldCharType="end"/>
      </w:r>
    </w:p>
    <w:p w14:paraId="548B7792">
      <w:pPr>
        <w:rPr>
          <w:sz w:val="32"/>
          <w:szCs w:val="32"/>
        </w:rPr>
      </w:pPr>
      <w:r>
        <w:rPr>
          <w:rFonts w:hint="eastAsia"/>
          <w:sz w:val="32"/>
          <w:szCs w:val="32"/>
        </w:rPr>
        <w:br w:type="page" w:clear="all"/>
      </w:r>
    </w:p>
    <w:p w14:paraId="3D0968C8">
      <w:pPr>
        <w:pStyle w:val="2"/>
        <w:spacing w:before="0" w:after="0" w:line="360" w:lineRule="auto"/>
        <w:jc w:val="center"/>
        <w:rPr>
          <w:rFonts w:hint="eastAsia" w:ascii="仿宋" w:hAnsi="仿宋" w:eastAsia="仿宋"/>
          <w:szCs w:val="44"/>
        </w:rPr>
      </w:pPr>
      <w:bookmarkStart w:id="0" w:name="_Toc2629"/>
      <w:r>
        <w:rPr>
          <w:rFonts w:hint="eastAsia" w:ascii="仿宋" w:hAnsi="仿宋" w:eastAsia="仿宋"/>
          <w:szCs w:val="44"/>
        </w:rPr>
        <w:t>第一章</w:t>
      </w:r>
      <w:r>
        <w:rPr>
          <w:rFonts w:ascii="Calibri" w:hAnsi="Calibri" w:eastAsia="仿宋" w:cs="Calibri"/>
          <w:szCs w:val="44"/>
        </w:rPr>
        <w:t> </w:t>
      </w:r>
      <w:r>
        <w:rPr>
          <w:rFonts w:hint="eastAsia" w:ascii="仿宋" w:hAnsi="仿宋" w:eastAsia="仿宋"/>
          <w:szCs w:val="44"/>
        </w:rPr>
        <w:t xml:space="preserve"> 竞争性磋商公告</w:t>
      </w:r>
      <w:bookmarkEnd w:id="0"/>
    </w:p>
    <w:p w14:paraId="2C077AEF">
      <w:pPr>
        <w:pStyle w:val="32"/>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sz w:val="28"/>
          <w:szCs w:val="28"/>
        </w:rPr>
        <w:t>项目概况</w:t>
      </w:r>
    </w:p>
    <w:p w14:paraId="590F522C">
      <w:pPr>
        <w:pStyle w:val="32"/>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sz w:val="28"/>
          <w:szCs w:val="28"/>
          <w:u w:val="single"/>
          <w:lang w:eastAsia="zh-CN"/>
        </w:rPr>
        <w:t>响水工业经济区环保管家综合服务项目</w:t>
      </w:r>
      <w:r>
        <w:rPr>
          <w:rFonts w:hint="eastAsia" w:ascii="仿宋" w:hAnsi="仿宋" w:eastAsia="仿宋" w:cs="仿宋"/>
          <w:sz w:val="28"/>
          <w:szCs w:val="28"/>
          <w:u w:val="single"/>
        </w:rPr>
        <w:t xml:space="preserve"> </w:t>
      </w:r>
      <w:r>
        <w:rPr>
          <w:rFonts w:hint="eastAsia" w:ascii="仿宋" w:hAnsi="仿宋" w:eastAsia="仿宋" w:cs="仿宋"/>
          <w:sz w:val="28"/>
          <w:szCs w:val="28"/>
        </w:rPr>
        <w:t>采购项目的潜在供应商应在“苏采云”系统内免费下载（投标人必须在</w:t>
      </w:r>
      <w:r>
        <w:rPr>
          <w:rFonts w:hint="eastAsia" w:ascii="仿宋" w:hAnsi="仿宋" w:eastAsia="仿宋" w:cs="仿宋"/>
          <w:sz w:val="28"/>
          <w:szCs w:val="28"/>
          <w:lang w:eastAsia="zh-CN"/>
        </w:rPr>
        <w:t>“</w:t>
      </w:r>
      <w:r>
        <w:rPr>
          <w:rFonts w:hint="eastAsia" w:ascii="仿宋" w:hAnsi="仿宋" w:eastAsia="仿宋" w:cs="仿宋"/>
          <w:sz w:val="28"/>
          <w:szCs w:val="28"/>
        </w:rPr>
        <w:t>苏采云</w:t>
      </w:r>
      <w:r>
        <w:rPr>
          <w:rFonts w:hint="eastAsia" w:ascii="仿宋" w:hAnsi="仿宋" w:eastAsia="仿宋" w:cs="仿宋"/>
          <w:sz w:val="28"/>
          <w:szCs w:val="28"/>
          <w:lang w:eastAsia="zh-CN"/>
        </w:rPr>
        <w:t>”</w:t>
      </w:r>
      <w:r>
        <w:rPr>
          <w:rFonts w:hint="eastAsia" w:ascii="仿宋" w:hAnsi="仿宋" w:eastAsia="仿宋" w:cs="仿宋"/>
          <w:sz w:val="28"/>
          <w:szCs w:val="28"/>
        </w:rPr>
        <w:t>系统中获取磋商文件，方能参与政府采购项目）；并于</w:t>
      </w:r>
      <w:r>
        <w:rPr>
          <w:rFonts w:hint="eastAsia" w:ascii="仿宋" w:hAnsi="仿宋" w:eastAsia="仿宋" w:cs="仿宋"/>
          <w:color w:val="000000" w:themeColor="text1"/>
          <w:sz w:val="28"/>
          <w:szCs w:val="28"/>
          <w:u w:val="single"/>
          <w14:textFill>
            <w14:solidFill>
              <w14:schemeClr w14:val="tx1"/>
            </w14:solidFill>
          </w14:textFill>
        </w:rPr>
        <w:t>202</w:t>
      </w:r>
      <w:r>
        <w:rPr>
          <w:rFonts w:hint="eastAsia" w:ascii="仿宋" w:hAnsi="仿宋" w:eastAsia="仿宋" w:cs="仿宋"/>
          <w:color w:val="000000" w:themeColor="text1"/>
          <w:sz w:val="28"/>
          <w:szCs w:val="28"/>
          <w:u w:val="single"/>
          <w:lang w:val="en-US" w:eastAsia="zh-CN"/>
          <w14:textFill>
            <w14:solidFill>
              <w14:schemeClr w14:val="tx1"/>
            </w14:solidFill>
          </w14:textFill>
        </w:rPr>
        <w:t>6</w:t>
      </w:r>
      <w:r>
        <w:rPr>
          <w:rFonts w:hint="eastAsia" w:ascii="仿宋" w:hAnsi="仿宋" w:eastAsia="仿宋" w:cs="仿宋"/>
          <w:color w:val="000000" w:themeColor="text1"/>
          <w:sz w:val="28"/>
          <w:szCs w:val="28"/>
          <w:u w:val="single"/>
          <w14:textFill>
            <w14:solidFill>
              <w14:schemeClr w14:val="tx1"/>
            </w14:solidFill>
          </w14:textFill>
        </w:rPr>
        <w:t>年</w:t>
      </w:r>
      <w:r>
        <w:rPr>
          <w:rFonts w:hint="eastAsia" w:ascii="仿宋" w:hAnsi="仿宋" w:eastAsia="仿宋" w:cs="仿宋"/>
          <w:color w:val="000000" w:themeColor="text1"/>
          <w:sz w:val="28"/>
          <w:szCs w:val="28"/>
          <w:u w:val="single"/>
          <w:lang w:val="en-US" w:eastAsia="zh-CN"/>
          <w14:textFill>
            <w14:solidFill>
              <w14:schemeClr w14:val="tx1"/>
            </w14:solidFill>
          </w14:textFill>
        </w:rPr>
        <w:t>10</w:t>
      </w:r>
      <w:r>
        <w:rPr>
          <w:rFonts w:hint="eastAsia" w:ascii="仿宋" w:hAnsi="仿宋" w:eastAsia="仿宋" w:cs="仿宋"/>
          <w:color w:val="000000" w:themeColor="text1"/>
          <w:sz w:val="28"/>
          <w:szCs w:val="28"/>
          <w:u w:val="single"/>
          <w14:textFill>
            <w14:solidFill>
              <w14:schemeClr w14:val="tx1"/>
            </w14:solidFill>
          </w14:textFill>
        </w:rPr>
        <w:t>月</w:t>
      </w:r>
      <w:r>
        <w:rPr>
          <w:rFonts w:hint="eastAsia" w:ascii="仿宋" w:hAnsi="仿宋" w:eastAsia="仿宋" w:cs="仿宋"/>
          <w:color w:val="000000" w:themeColor="text1"/>
          <w:sz w:val="28"/>
          <w:szCs w:val="28"/>
          <w:u w:val="single"/>
          <w:lang w:val="en-US" w:eastAsia="zh-CN"/>
          <w14:textFill>
            <w14:solidFill>
              <w14:schemeClr w14:val="tx1"/>
            </w14:solidFill>
          </w14:textFill>
        </w:rPr>
        <w:t>8</w:t>
      </w:r>
      <w:r>
        <w:rPr>
          <w:rFonts w:hint="eastAsia" w:ascii="仿宋" w:hAnsi="仿宋" w:eastAsia="仿宋" w:cs="仿宋"/>
          <w:color w:val="000000" w:themeColor="text1"/>
          <w:sz w:val="28"/>
          <w:szCs w:val="28"/>
          <w:u w:val="single"/>
          <w14:textFill>
            <w14:solidFill>
              <w14:schemeClr w14:val="tx1"/>
            </w14:solidFill>
          </w14:textFill>
        </w:rPr>
        <w:t>日</w:t>
      </w:r>
      <w:r>
        <w:rPr>
          <w:rFonts w:hint="eastAsia" w:ascii="仿宋" w:hAnsi="仿宋" w:eastAsia="仿宋" w:cs="仿宋"/>
          <w:color w:val="000000" w:themeColor="text1"/>
          <w:sz w:val="28"/>
          <w:szCs w:val="28"/>
          <w:u w:val="single"/>
          <w:lang w:val="en-US" w:eastAsia="zh-CN"/>
          <w14:textFill>
            <w14:solidFill>
              <w14:schemeClr w14:val="tx1"/>
            </w14:solidFill>
          </w14:textFill>
        </w:rPr>
        <w:t>15</w:t>
      </w:r>
      <w:r>
        <w:rPr>
          <w:rFonts w:hint="eastAsia" w:ascii="仿宋" w:hAnsi="仿宋" w:eastAsia="仿宋" w:cs="仿宋"/>
          <w:color w:val="000000" w:themeColor="text1"/>
          <w:sz w:val="28"/>
          <w:szCs w:val="28"/>
          <w:u w:val="single"/>
          <w14:textFill>
            <w14:solidFill>
              <w14:schemeClr w14:val="tx1"/>
            </w14:solidFill>
          </w14:textFill>
        </w:rPr>
        <w:t>点</w:t>
      </w:r>
      <w:r>
        <w:rPr>
          <w:rFonts w:hint="eastAsia" w:ascii="仿宋" w:hAnsi="仿宋" w:eastAsia="仿宋" w:cs="仿宋"/>
          <w:color w:val="000000" w:themeColor="text1"/>
          <w:sz w:val="28"/>
          <w:szCs w:val="28"/>
          <w:u w:val="single"/>
          <w:lang w:val="en-US" w:eastAsia="zh-CN"/>
          <w14:textFill>
            <w14:solidFill>
              <w14:schemeClr w14:val="tx1"/>
            </w14:solidFill>
          </w14:textFill>
        </w:rPr>
        <w:t>00</w:t>
      </w:r>
      <w:r>
        <w:rPr>
          <w:rFonts w:hint="eastAsia" w:ascii="仿宋" w:hAnsi="仿宋" w:eastAsia="仿宋" w:cs="仿宋"/>
          <w:color w:val="000000" w:themeColor="text1"/>
          <w:sz w:val="28"/>
          <w:szCs w:val="28"/>
          <w:u w:val="single"/>
          <w14:textFill>
            <w14:solidFill>
              <w14:schemeClr w14:val="tx1"/>
            </w14:solidFill>
          </w14:textFill>
        </w:rPr>
        <w:t>分</w:t>
      </w:r>
      <w:r>
        <w:rPr>
          <w:rFonts w:hint="eastAsia" w:ascii="仿宋" w:hAnsi="仿宋" w:eastAsia="仿宋" w:cs="仿宋"/>
          <w:sz w:val="28"/>
          <w:szCs w:val="28"/>
          <w:u w:val="single"/>
        </w:rPr>
        <w:t>（</w:t>
      </w:r>
      <w:r>
        <w:rPr>
          <w:rFonts w:hint="eastAsia" w:ascii="仿宋" w:hAnsi="仿宋" w:eastAsia="仿宋" w:cs="仿宋"/>
          <w:sz w:val="28"/>
          <w:szCs w:val="28"/>
        </w:rPr>
        <w:t>北京时间）前递交响应文件。</w:t>
      </w:r>
    </w:p>
    <w:p w14:paraId="6CA4BA89">
      <w:pPr>
        <w:pStyle w:val="32"/>
        <w:keepNext/>
        <w:keepLines/>
        <w:spacing w:beforeAutospacing="0" w:afterAutospacing="0" w:line="360" w:lineRule="auto"/>
        <w:ind w:firstLine="498"/>
        <w:jc w:val="both"/>
        <w:rPr>
          <w:rFonts w:hint="eastAsia" w:ascii="仿宋" w:hAnsi="仿宋" w:eastAsia="仿宋" w:cs="仿宋"/>
          <w:sz w:val="28"/>
          <w:szCs w:val="28"/>
        </w:rPr>
      </w:pPr>
      <w:bookmarkStart w:id="1" w:name="_Hlk24379207"/>
      <w:bookmarkStart w:id="2" w:name="_Toc28359079"/>
      <w:bookmarkStart w:id="3" w:name="_Toc28359002"/>
      <w:bookmarkStart w:id="4" w:name="_Toc35393621"/>
      <w:bookmarkStart w:id="5" w:name="_Toc38985263"/>
      <w:bookmarkStart w:id="6" w:name="_Toc35393790"/>
      <w:r>
        <w:rPr>
          <w:rFonts w:hint="eastAsia" w:ascii="仿宋" w:hAnsi="仿宋" w:eastAsia="仿宋" w:cs="仿宋"/>
          <w:b/>
          <w:sz w:val="28"/>
          <w:szCs w:val="28"/>
        </w:rPr>
        <w:t>一、项目基本情况</w:t>
      </w:r>
      <w:bookmarkEnd w:id="1"/>
      <w:bookmarkEnd w:id="2"/>
      <w:bookmarkEnd w:id="3"/>
      <w:bookmarkEnd w:id="4"/>
      <w:bookmarkEnd w:id="5"/>
      <w:bookmarkEnd w:id="6"/>
    </w:p>
    <w:p w14:paraId="3C7ABE03">
      <w:pPr>
        <w:pStyle w:val="32"/>
        <w:spacing w:beforeAutospacing="0" w:afterAutospacing="0" w:line="360" w:lineRule="auto"/>
        <w:ind w:firstLine="480"/>
        <w:jc w:val="both"/>
        <w:rPr>
          <w:rFonts w:hint="eastAsia" w:ascii="仿宋" w:hAnsi="仿宋" w:eastAsia="仿宋" w:cs="仿宋"/>
          <w:sz w:val="28"/>
          <w:szCs w:val="28"/>
          <w:lang w:eastAsia="zh-CN"/>
        </w:rPr>
      </w:pPr>
      <w:r>
        <w:rPr>
          <w:rFonts w:hint="eastAsia" w:ascii="仿宋" w:hAnsi="仿宋" w:eastAsia="仿宋" w:cs="仿宋"/>
          <w:sz w:val="28"/>
          <w:szCs w:val="28"/>
        </w:rPr>
        <w:t>1.项目编号：</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JSZC-320921-JHJS-C2026-0004 </w:t>
      </w:r>
      <w:r>
        <w:rPr>
          <w:rFonts w:hint="eastAsia" w:ascii="仿宋" w:hAnsi="仿宋" w:eastAsia="仿宋" w:cs="仿宋"/>
          <w:sz w:val="28"/>
          <w:szCs w:val="28"/>
          <w:lang w:val="en-US" w:eastAsia="zh-CN"/>
        </w:rPr>
        <w:t xml:space="preserve"> </w:t>
      </w:r>
    </w:p>
    <w:p w14:paraId="28DEB392">
      <w:pPr>
        <w:pStyle w:val="32"/>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sz w:val="28"/>
          <w:szCs w:val="28"/>
        </w:rPr>
        <w:t>2.项目名称：</w:t>
      </w:r>
      <w:r>
        <w:rPr>
          <w:rFonts w:hint="eastAsia" w:ascii="仿宋" w:hAnsi="仿宋" w:eastAsia="仿宋" w:cs="仿宋"/>
          <w:sz w:val="28"/>
          <w:szCs w:val="28"/>
          <w:lang w:eastAsia="zh-CN"/>
        </w:rPr>
        <w:t>响水工业经济区环保管家综合</w:t>
      </w:r>
      <w:bookmarkStart w:id="160" w:name="_GoBack"/>
      <w:bookmarkEnd w:id="160"/>
      <w:r>
        <w:rPr>
          <w:rFonts w:hint="eastAsia" w:ascii="仿宋" w:hAnsi="仿宋" w:eastAsia="仿宋" w:cs="仿宋"/>
          <w:sz w:val="28"/>
          <w:szCs w:val="28"/>
          <w:lang w:eastAsia="zh-CN"/>
        </w:rPr>
        <w:t>服务项目</w:t>
      </w:r>
      <w:r>
        <w:rPr>
          <w:rFonts w:hint="eastAsia" w:ascii="仿宋" w:hAnsi="仿宋" w:eastAsia="仿宋" w:cs="仿宋"/>
          <w:sz w:val="28"/>
          <w:szCs w:val="28"/>
        </w:rPr>
        <w:t xml:space="preserve"> </w:t>
      </w:r>
    </w:p>
    <w:p w14:paraId="13934506">
      <w:pPr>
        <w:pStyle w:val="32"/>
        <w:spacing w:beforeAutospacing="0" w:afterAutospacing="0" w:line="360" w:lineRule="auto"/>
        <w:ind w:firstLine="480"/>
        <w:jc w:val="both"/>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3.采购方式：竞争性磋商</w:t>
      </w:r>
    </w:p>
    <w:p w14:paraId="57299810">
      <w:pPr>
        <w:pStyle w:val="32"/>
        <w:spacing w:beforeAutospacing="0" w:afterAutospacing="0" w:line="360" w:lineRule="auto"/>
        <w:ind w:firstLine="480"/>
        <w:jc w:val="both"/>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4.预算金额：</w:t>
      </w:r>
      <w:r>
        <w:rPr>
          <w:rFonts w:hint="eastAsia" w:ascii="仿宋" w:hAnsi="仿宋" w:eastAsia="仿宋" w:cs="仿宋"/>
          <w:sz w:val="28"/>
          <w:szCs w:val="28"/>
          <w:shd w:val="clear" w:color="auto" w:fill="FFFFFF"/>
          <w:lang w:val="en-US" w:eastAsia="zh-CN"/>
        </w:rPr>
        <w:t>120.00</w:t>
      </w:r>
      <w:r>
        <w:rPr>
          <w:rFonts w:hint="eastAsia" w:ascii="仿宋" w:hAnsi="仿宋" w:eastAsia="仿宋" w:cs="仿宋"/>
          <w:sz w:val="28"/>
          <w:szCs w:val="28"/>
          <w:shd w:val="clear" w:color="auto" w:fill="FFFFFF"/>
        </w:rPr>
        <w:t>万元人民币</w:t>
      </w:r>
    </w:p>
    <w:p w14:paraId="5E6BD0C4">
      <w:pPr>
        <w:pStyle w:val="32"/>
        <w:spacing w:beforeAutospacing="0" w:afterAutospacing="0" w:line="360" w:lineRule="auto"/>
        <w:ind w:firstLine="480"/>
        <w:jc w:val="both"/>
        <w:rPr>
          <w:rFonts w:hint="eastAsia" w:ascii="仿宋" w:hAnsi="仿宋" w:eastAsia="仿宋" w:cs="仿宋"/>
          <w:sz w:val="28"/>
          <w:szCs w:val="28"/>
          <w:lang w:eastAsia="zh-CN"/>
        </w:rPr>
      </w:pPr>
      <w:r>
        <w:rPr>
          <w:rFonts w:hint="eastAsia" w:ascii="仿宋" w:hAnsi="仿宋" w:eastAsia="仿宋" w:cs="仿宋"/>
          <w:sz w:val="28"/>
          <w:szCs w:val="28"/>
          <w:shd w:val="clear" w:color="auto" w:fill="FFFFFF"/>
        </w:rPr>
        <w:t>5.最高限价：</w:t>
      </w:r>
      <w:r>
        <w:rPr>
          <w:rFonts w:hint="eastAsia" w:ascii="仿宋" w:hAnsi="仿宋" w:eastAsia="仿宋" w:cs="仿宋"/>
          <w:sz w:val="28"/>
          <w:szCs w:val="28"/>
          <w:shd w:val="clear" w:color="auto" w:fill="FFFFFF"/>
          <w:lang w:val="en-US" w:eastAsia="zh-CN"/>
        </w:rPr>
        <w:t>120.00</w:t>
      </w:r>
      <w:r>
        <w:rPr>
          <w:rFonts w:hint="eastAsia" w:ascii="仿宋" w:hAnsi="仿宋" w:eastAsia="仿宋" w:cs="仿宋"/>
          <w:sz w:val="28"/>
          <w:szCs w:val="28"/>
          <w:shd w:val="clear" w:color="auto" w:fill="FFFFFF"/>
        </w:rPr>
        <w:t>万元人民币</w:t>
      </w:r>
    </w:p>
    <w:p w14:paraId="15F871FD">
      <w:pPr>
        <w:pStyle w:val="32"/>
        <w:spacing w:beforeAutospacing="0" w:afterAutospacing="0" w:line="360" w:lineRule="auto"/>
        <w:ind w:firstLine="480"/>
        <w:jc w:val="both"/>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6.采购需求：</w:t>
      </w:r>
      <w:r>
        <w:rPr>
          <w:rFonts w:hint="eastAsia" w:ascii="仿宋" w:hAnsi="仿宋" w:eastAsia="仿宋" w:cs="仿宋"/>
          <w:sz w:val="28"/>
          <w:szCs w:val="28"/>
          <w:highlight w:val="none"/>
          <w:shd w:val="clear" w:color="auto" w:fill="FFFFFF"/>
          <w:lang w:val="en-US" w:eastAsia="zh-CN"/>
        </w:rPr>
        <w:t>2016年4月，环境保护部(现为生态环境部)《关于积极发挥环境保护作用促进供给侧结构性改革的指导意见》（环大气〔2016〕45号），鼓励有条件的工业园区聘请第三方专业环保服务机构作为“环保管家”，向园区提供一体化环保服务。故为助力响水工业经济区生态文明建设和可持续发展，全方位解决园区发展过程中的生态环保问题（不包含原生态化工园区区域）。（详细内容见本磋商文件第四章）</w:t>
      </w:r>
    </w:p>
    <w:p w14:paraId="70039902">
      <w:pPr>
        <w:pStyle w:val="32"/>
        <w:spacing w:beforeAutospacing="0" w:afterAutospacing="0" w:line="360" w:lineRule="auto"/>
        <w:ind w:firstLine="480"/>
        <w:jc w:val="both"/>
        <w:rPr>
          <w:rFonts w:hint="eastAsia" w:ascii="仿宋" w:hAnsi="仿宋" w:eastAsia="仿宋" w:cs="仿宋"/>
          <w:sz w:val="28"/>
          <w:szCs w:val="28"/>
          <w:shd w:val="clear" w:color="auto" w:fill="FFFFFF"/>
        </w:rPr>
      </w:pPr>
      <w:r>
        <w:rPr>
          <w:rFonts w:hint="eastAsia" w:ascii="仿宋" w:hAnsi="仿宋" w:eastAsia="仿宋" w:cs="仿宋"/>
          <w:sz w:val="28"/>
          <w:szCs w:val="28"/>
        </w:rPr>
        <w:t>7.合同履行期限：</w:t>
      </w:r>
      <w:r>
        <w:rPr>
          <w:rFonts w:hint="eastAsia" w:ascii="仿宋" w:hAnsi="仿宋" w:eastAsia="仿宋" w:cs="仿宋"/>
          <w:sz w:val="28"/>
          <w:szCs w:val="28"/>
          <w:shd w:val="clear" w:color="auto" w:fill="FFFFFF"/>
          <w:lang w:eastAsia="zh-CN"/>
        </w:rPr>
        <w:t>自签订合同之日起两年。</w:t>
      </w:r>
    </w:p>
    <w:p w14:paraId="39ABFD30">
      <w:pPr>
        <w:pStyle w:val="32"/>
        <w:spacing w:beforeAutospacing="0" w:afterAutospacing="0" w:line="360" w:lineRule="auto"/>
        <w:ind w:firstLine="480"/>
        <w:jc w:val="both"/>
        <w:rPr>
          <w:rFonts w:hint="eastAsia" w:ascii="仿宋" w:hAnsi="仿宋" w:eastAsia="仿宋" w:cs="仿宋"/>
          <w:sz w:val="28"/>
          <w:szCs w:val="28"/>
          <w:shd w:val="clear" w:color="auto" w:fill="FFFF00"/>
        </w:rPr>
      </w:pPr>
      <w:r>
        <w:rPr>
          <w:rFonts w:hint="eastAsia" w:ascii="仿宋" w:hAnsi="仿宋" w:eastAsia="仿宋" w:cs="仿宋"/>
          <w:sz w:val="28"/>
          <w:szCs w:val="28"/>
          <w:shd w:val="clear" w:color="auto" w:fill="FFFFFF"/>
        </w:rPr>
        <w:t>8.本项目（是/否）接受联合体参与磋商：否</w:t>
      </w:r>
    </w:p>
    <w:p w14:paraId="375DA052">
      <w:pPr>
        <w:pStyle w:val="32"/>
        <w:keepNext/>
        <w:keepLines/>
        <w:spacing w:beforeAutospacing="0" w:afterAutospacing="0" w:line="276" w:lineRule="auto"/>
        <w:ind w:firstLine="498"/>
        <w:jc w:val="both"/>
        <w:rPr>
          <w:rFonts w:hint="eastAsia" w:ascii="仿宋" w:hAnsi="仿宋" w:eastAsia="仿宋" w:cs="仿宋"/>
          <w:sz w:val="28"/>
          <w:szCs w:val="28"/>
        </w:rPr>
      </w:pPr>
      <w:bookmarkStart w:id="7" w:name="_Toc35393622"/>
      <w:bookmarkStart w:id="8" w:name="_Toc35393791"/>
      <w:bookmarkStart w:id="9" w:name="_Toc38985264"/>
      <w:bookmarkStart w:id="10" w:name="_Toc28359003"/>
      <w:bookmarkStart w:id="11" w:name="_Toc28359080"/>
      <w:r>
        <w:rPr>
          <w:rFonts w:hint="eastAsia" w:ascii="仿宋" w:hAnsi="仿宋" w:eastAsia="仿宋" w:cs="仿宋"/>
          <w:b/>
          <w:sz w:val="28"/>
          <w:szCs w:val="28"/>
        </w:rPr>
        <w:t>二、申请人的资格要求：</w:t>
      </w:r>
      <w:bookmarkEnd w:id="7"/>
      <w:bookmarkEnd w:id="8"/>
      <w:bookmarkEnd w:id="9"/>
      <w:bookmarkEnd w:id="10"/>
      <w:bookmarkEnd w:id="11"/>
    </w:p>
    <w:p w14:paraId="2A9E9004">
      <w:pPr>
        <w:pStyle w:val="32"/>
        <w:spacing w:beforeAutospacing="0" w:afterAutospacing="0" w:line="360" w:lineRule="auto"/>
        <w:ind w:firstLine="482"/>
        <w:jc w:val="both"/>
        <w:rPr>
          <w:rFonts w:hint="eastAsia" w:ascii="仿宋" w:hAnsi="仿宋" w:eastAsia="仿宋" w:cs="仿宋"/>
          <w:sz w:val="28"/>
          <w:szCs w:val="28"/>
        </w:rPr>
      </w:pPr>
      <w:r>
        <w:rPr>
          <w:rFonts w:hint="eastAsia" w:ascii="仿宋" w:hAnsi="仿宋" w:eastAsia="仿宋" w:cs="仿宋"/>
          <w:sz w:val="28"/>
          <w:szCs w:val="28"/>
        </w:rPr>
        <w:t>1.满足《中华人民共和国政府采购法》第二十二条规定，并提供下列材料：</w:t>
      </w:r>
    </w:p>
    <w:p w14:paraId="31EC5FDE">
      <w:pPr>
        <w:pStyle w:val="32"/>
        <w:spacing w:beforeAutospacing="0" w:afterAutospacing="0" w:line="360" w:lineRule="auto"/>
        <w:ind w:firstLine="482"/>
        <w:jc w:val="both"/>
        <w:rPr>
          <w:rFonts w:hint="eastAsia" w:ascii="仿宋" w:hAnsi="仿宋" w:eastAsia="仿宋" w:cs="仿宋"/>
          <w:sz w:val="28"/>
          <w:szCs w:val="28"/>
        </w:rPr>
      </w:pPr>
      <w:r>
        <w:rPr>
          <w:rFonts w:hint="eastAsia" w:ascii="仿宋" w:hAnsi="仿宋" w:eastAsia="仿宋" w:cs="仿宋"/>
          <w:sz w:val="28"/>
          <w:szCs w:val="28"/>
        </w:rPr>
        <w:t>1.1 法人或者其他组织的营业执照等证明文件，自然人的身份证明；</w:t>
      </w:r>
    </w:p>
    <w:p w14:paraId="584E261A">
      <w:pPr>
        <w:pStyle w:val="32"/>
        <w:spacing w:beforeAutospacing="0" w:afterAutospacing="0" w:line="360" w:lineRule="auto"/>
        <w:ind w:firstLine="482"/>
        <w:jc w:val="both"/>
        <w:rPr>
          <w:rFonts w:hint="eastAsia" w:ascii="仿宋" w:hAnsi="仿宋" w:eastAsia="仿宋" w:cs="仿宋"/>
          <w:sz w:val="28"/>
          <w:szCs w:val="28"/>
        </w:rPr>
      </w:pPr>
      <w:r>
        <w:rPr>
          <w:rFonts w:hint="eastAsia" w:ascii="仿宋" w:hAnsi="仿宋" w:eastAsia="仿宋" w:cs="仿宋"/>
          <w:sz w:val="28"/>
          <w:szCs w:val="28"/>
        </w:rPr>
        <w:t>1.2上一年度的财务状况报告（成立不满一年无需提供）；</w:t>
      </w:r>
    </w:p>
    <w:p w14:paraId="6AF35595">
      <w:pPr>
        <w:pStyle w:val="32"/>
        <w:spacing w:beforeAutospacing="0" w:afterAutospacing="0" w:line="360" w:lineRule="auto"/>
        <w:ind w:firstLine="482"/>
        <w:jc w:val="both"/>
        <w:rPr>
          <w:rFonts w:hint="eastAsia" w:ascii="仿宋" w:hAnsi="仿宋" w:eastAsia="仿宋" w:cs="仿宋"/>
          <w:sz w:val="28"/>
          <w:szCs w:val="28"/>
        </w:rPr>
      </w:pPr>
      <w:r>
        <w:rPr>
          <w:rFonts w:hint="eastAsia" w:ascii="仿宋" w:hAnsi="仿宋" w:eastAsia="仿宋" w:cs="仿宋"/>
          <w:sz w:val="28"/>
          <w:szCs w:val="28"/>
        </w:rPr>
        <w:t>1.3具备履行合同所必需的设备和专业技术能力的书面声明；</w:t>
      </w:r>
    </w:p>
    <w:p w14:paraId="0F42BC34">
      <w:pPr>
        <w:pStyle w:val="32"/>
        <w:spacing w:beforeAutospacing="0" w:afterAutospacing="0" w:line="360" w:lineRule="auto"/>
        <w:ind w:firstLine="482"/>
        <w:jc w:val="both"/>
        <w:rPr>
          <w:rFonts w:hint="eastAsia" w:ascii="仿宋" w:hAnsi="仿宋" w:eastAsia="仿宋" w:cs="仿宋"/>
          <w:sz w:val="28"/>
          <w:szCs w:val="28"/>
        </w:rPr>
      </w:pPr>
      <w:r>
        <w:rPr>
          <w:rFonts w:hint="eastAsia" w:ascii="仿宋" w:hAnsi="仿宋" w:eastAsia="仿宋" w:cs="仿宋"/>
          <w:sz w:val="28"/>
          <w:szCs w:val="28"/>
        </w:rPr>
        <w:t>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仿宋" w:hAnsi="仿宋" w:eastAsia="仿宋" w:cs="仿宋"/>
          <w:sz w:val="28"/>
          <w:szCs w:val="28"/>
          <w:lang w:eastAsia="zh-CN"/>
        </w:rPr>
        <w:t>。</w:t>
      </w:r>
      <w:r>
        <w:rPr>
          <w:rFonts w:hint="eastAsia" w:ascii="仿宋" w:hAnsi="仿宋" w:eastAsia="仿宋" w:cs="仿宋"/>
          <w:sz w:val="28"/>
          <w:szCs w:val="28"/>
        </w:rPr>
        <w:t>）；</w:t>
      </w:r>
    </w:p>
    <w:p w14:paraId="5A9AE8DD">
      <w:pPr>
        <w:pStyle w:val="32"/>
        <w:spacing w:beforeAutospacing="0" w:afterAutospacing="0" w:line="360" w:lineRule="auto"/>
        <w:ind w:firstLine="482"/>
        <w:jc w:val="both"/>
        <w:rPr>
          <w:rFonts w:hint="eastAsia" w:ascii="仿宋" w:hAnsi="仿宋" w:eastAsia="仿宋" w:cs="仿宋"/>
          <w:sz w:val="28"/>
          <w:szCs w:val="28"/>
        </w:rPr>
      </w:pPr>
      <w:r>
        <w:rPr>
          <w:rFonts w:hint="eastAsia" w:ascii="仿宋" w:hAnsi="仿宋" w:eastAsia="仿宋" w:cs="仿宋"/>
          <w:sz w:val="28"/>
          <w:szCs w:val="28"/>
        </w:rPr>
        <w:t>1.5参加政府采购活动前3年内在经营活动中没有重大违法记录的书面声明。</w:t>
      </w:r>
    </w:p>
    <w:p w14:paraId="73DCF8B5">
      <w:pPr>
        <w:pStyle w:val="32"/>
        <w:spacing w:beforeAutospacing="0" w:afterAutospacing="0" w:line="360" w:lineRule="auto"/>
        <w:ind w:firstLine="482"/>
        <w:jc w:val="both"/>
        <w:rPr>
          <w:rFonts w:hint="eastAsia" w:ascii="仿宋" w:hAnsi="仿宋" w:eastAsia="仿宋" w:cs="仿宋"/>
          <w:sz w:val="28"/>
          <w:szCs w:val="28"/>
        </w:rPr>
      </w:pPr>
      <w:r>
        <w:rPr>
          <w:rFonts w:hint="eastAsia" w:ascii="仿宋" w:hAnsi="仿宋" w:eastAsia="仿宋" w:cs="仿宋"/>
          <w:sz w:val="28"/>
          <w:szCs w:val="28"/>
        </w:rPr>
        <w:t>1.6法律、行政法规规定的其他条件。</w:t>
      </w:r>
    </w:p>
    <w:p w14:paraId="52783612">
      <w:pPr>
        <w:pStyle w:val="32"/>
        <w:spacing w:beforeAutospacing="0" w:afterAutospacing="0" w:line="360" w:lineRule="auto"/>
        <w:ind w:firstLine="482"/>
        <w:jc w:val="both"/>
        <w:rPr>
          <w:rFonts w:hint="eastAsia" w:ascii="仿宋" w:hAnsi="仿宋" w:eastAsia="仿宋" w:cs="仿宋"/>
          <w:sz w:val="28"/>
          <w:szCs w:val="28"/>
        </w:rPr>
      </w:pPr>
      <w:r>
        <w:rPr>
          <w:rFonts w:hint="eastAsia" w:ascii="仿宋" w:hAnsi="仿宋" w:eastAsia="仿宋" w:cs="仿宋"/>
          <w:sz w:val="28"/>
          <w:szCs w:val="28"/>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0300174">
      <w:pPr>
        <w:pStyle w:val="32"/>
        <w:spacing w:beforeAutospacing="0" w:afterAutospacing="0" w:line="360" w:lineRule="auto"/>
        <w:ind w:firstLine="482"/>
        <w:jc w:val="both"/>
        <w:rPr>
          <w:rFonts w:hint="eastAsia" w:ascii="仿宋" w:hAnsi="仿宋" w:eastAsia="仿宋" w:cs="仿宋"/>
          <w:sz w:val="28"/>
          <w:szCs w:val="28"/>
        </w:rPr>
      </w:pPr>
      <w:r>
        <w:rPr>
          <w:rFonts w:hint="eastAsia" w:ascii="仿宋" w:hAnsi="仿宋" w:eastAsia="仿宋" w:cs="仿宋"/>
          <w:sz w:val="28"/>
          <w:szCs w:val="28"/>
        </w:rPr>
        <w:t>1.8单位负责人为同一人或者存在直接控股、管理关系的不同供应商，不得参加同一合同项下的政府采购活动。</w:t>
      </w:r>
    </w:p>
    <w:p w14:paraId="25CAE0BE">
      <w:pPr>
        <w:pStyle w:val="32"/>
        <w:numPr>
          <w:ilvl w:val="0"/>
          <w:numId w:val="1"/>
        </w:numPr>
        <w:spacing w:beforeAutospacing="0" w:afterAutospacing="0"/>
        <w:ind w:firstLine="480"/>
        <w:jc w:val="both"/>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rPr>
        <w:t>落实政府采购政策需满足的资格要求：</w:t>
      </w:r>
    </w:p>
    <w:p w14:paraId="1B8B4F91">
      <w:pPr>
        <w:pStyle w:val="32"/>
        <w:numPr>
          <w:ilvl w:val="0"/>
          <w:numId w:val="0"/>
        </w:numPr>
        <w:spacing w:beforeAutospacing="0" w:afterAutospacing="0"/>
        <w:jc w:val="both"/>
        <w:rPr>
          <w:rFonts w:hint="eastAsia" w:ascii="仿宋" w:hAnsi="仿宋" w:eastAsia="仿宋" w:cs="仿宋"/>
          <w:color w:val="auto"/>
          <w:sz w:val="28"/>
          <w:szCs w:val="28"/>
          <w:highlight w:val="none"/>
          <w:shd w:val="clear" w:color="auto" w:fill="auto"/>
        </w:rPr>
      </w:pPr>
    </w:p>
    <w:p w14:paraId="033B9E35">
      <w:pPr>
        <w:pStyle w:val="32"/>
        <w:spacing w:beforeAutospacing="0" w:afterAutospacing="0" w:line="360" w:lineRule="auto"/>
        <w:ind w:firstLine="482"/>
        <w:jc w:val="both"/>
        <w:rPr>
          <w:rFonts w:hint="eastAsia" w:ascii="仿宋" w:hAnsi="仿宋" w:eastAsia="仿宋" w:cs="仿宋"/>
          <w:sz w:val="28"/>
          <w:szCs w:val="28"/>
        </w:rPr>
      </w:pPr>
      <w:r>
        <w:rPr>
          <w:rFonts w:hint="eastAsia" w:ascii="仿宋" w:hAnsi="仿宋" w:eastAsia="仿宋" w:cs="仿宋"/>
          <w:sz w:val="28"/>
          <w:szCs w:val="28"/>
        </w:rPr>
        <w:t>本项目为非预留份额的采购项目或采购包，执行价格扣除优惠政策，所属行业为</w:t>
      </w:r>
      <w:r>
        <w:rPr>
          <w:rFonts w:hint="eastAsia" w:ascii="仿宋" w:hAnsi="仿宋" w:eastAsia="仿宋" w:cs="仿宋"/>
          <w:sz w:val="28"/>
          <w:szCs w:val="28"/>
          <w:lang w:val="en-US" w:eastAsia="zh-CN"/>
        </w:rPr>
        <w:t>其他未列明行业</w:t>
      </w:r>
      <w:r>
        <w:rPr>
          <w:rFonts w:hint="eastAsia" w:ascii="仿宋" w:hAnsi="仿宋" w:eastAsia="仿宋" w:cs="仿宋"/>
          <w:sz w:val="28"/>
          <w:szCs w:val="28"/>
        </w:rPr>
        <w:t>。给予小微型企业、监狱企业或残疾人福利性单位报价的20%扣除</w:t>
      </w:r>
      <w:r>
        <w:rPr>
          <w:rFonts w:hint="eastAsia" w:ascii="仿宋" w:hAnsi="仿宋" w:eastAsia="仿宋" w:cs="仿宋"/>
          <w:sz w:val="28"/>
          <w:szCs w:val="28"/>
          <w:lang w:val="en-US" w:eastAsia="zh-CN"/>
        </w:rPr>
        <w:t>，</w:t>
      </w:r>
      <w:r>
        <w:rPr>
          <w:rFonts w:hint="eastAsia" w:ascii="仿宋" w:hAnsi="仿宋" w:eastAsia="仿宋" w:cs="仿宋"/>
          <w:sz w:val="28"/>
          <w:szCs w:val="28"/>
        </w:rPr>
        <w:t>用扣除后的价格参加评审。价格扣除比例对小型企业和微型企业同等对待，不作区分。监狱企业、残疾人福利单位属于小型、微型企业的，不重复享受政策。</w:t>
      </w:r>
    </w:p>
    <w:p w14:paraId="166948CB">
      <w:pPr>
        <w:pStyle w:val="32"/>
        <w:spacing w:beforeAutospacing="0" w:afterAutospacing="0" w:line="360" w:lineRule="auto"/>
        <w:ind w:firstLine="482"/>
        <w:jc w:val="both"/>
        <w:rPr>
          <w:rFonts w:hint="eastAsia" w:ascii="仿宋" w:hAnsi="仿宋" w:eastAsia="仿宋" w:cs="仿宋"/>
          <w:sz w:val="28"/>
          <w:szCs w:val="28"/>
          <w:lang w:eastAsia="zh-CN"/>
        </w:rPr>
      </w:pPr>
      <w:r>
        <w:rPr>
          <w:rFonts w:hint="eastAsia" w:ascii="仿宋" w:hAnsi="仿宋" w:eastAsia="仿宋" w:cs="仿宋"/>
          <w:sz w:val="28"/>
          <w:szCs w:val="28"/>
        </w:rPr>
        <w:t>3.本项目的特定资格要求：</w:t>
      </w:r>
      <w:r>
        <w:rPr>
          <w:rFonts w:hint="eastAsia" w:ascii="仿宋" w:hAnsi="仿宋" w:eastAsia="仿宋" w:cs="仿宋"/>
          <w:sz w:val="28"/>
          <w:szCs w:val="28"/>
          <w:lang w:val="en-US" w:eastAsia="zh-CN"/>
        </w:rPr>
        <w:t>无</w:t>
      </w:r>
    </w:p>
    <w:p w14:paraId="43DDC593">
      <w:pPr>
        <w:pStyle w:val="32"/>
        <w:keepNext/>
        <w:keepLines/>
        <w:spacing w:before="145" w:beforeAutospacing="0" w:after="145" w:afterAutospacing="0" w:line="360" w:lineRule="auto"/>
        <w:ind w:firstLine="498"/>
        <w:jc w:val="both"/>
        <w:rPr>
          <w:rFonts w:hint="eastAsia" w:ascii="仿宋" w:hAnsi="仿宋" w:eastAsia="仿宋" w:cs="仿宋"/>
          <w:color w:val="auto"/>
          <w:sz w:val="28"/>
          <w:szCs w:val="28"/>
          <w:highlight w:val="none"/>
          <w:shd w:val="clear" w:color="auto" w:fill="auto"/>
        </w:rPr>
      </w:pPr>
      <w:bookmarkStart w:id="12" w:name="_Toc28359018"/>
      <w:r>
        <w:rPr>
          <w:rFonts w:hint="eastAsia" w:ascii="仿宋" w:hAnsi="仿宋" w:eastAsia="仿宋" w:cs="仿宋"/>
          <w:b/>
          <w:color w:val="auto"/>
          <w:sz w:val="28"/>
          <w:szCs w:val="28"/>
          <w:highlight w:val="none"/>
          <w:shd w:val="clear" w:color="auto" w:fill="auto"/>
        </w:rPr>
        <w:t>三、获取</w:t>
      </w:r>
      <w:r>
        <w:rPr>
          <w:rFonts w:hint="eastAsia" w:ascii="仿宋" w:hAnsi="仿宋" w:eastAsia="仿宋" w:cs="仿宋"/>
          <w:b/>
          <w:color w:val="auto"/>
          <w:sz w:val="28"/>
          <w:szCs w:val="28"/>
          <w:highlight w:val="none"/>
          <w:shd w:val="clear" w:color="auto" w:fill="auto"/>
          <w:lang w:val="en-US" w:eastAsia="zh-CN"/>
        </w:rPr>
        <w:t>磋商</w:t>
      </w:r>
      <w:r>
        <w:rPr>
          <w:rFonts w:hint="eastAsia" w:ascii="仿宋" w:hAnsi="仿宋" w:eastAsia="仿宋" w:cs="仿宋"/>
          <w:b/>
          <w:color w:val="auto"/>
          <w:sz w:val="28"/>
          <w:szCs w:val="28"/>
          <w:highlight w:val="none"/>
          <w:shd w:val="clear" w:color="auto" w:fill="auto"/>
        </w:rPr>
        <w:t>文件</w:t>
      </w:r>
    </w:p>
    <w:p w14:paraId="1ED9DBDA">
      <w:pPr>
        <w:pStyle w:val="32"/>
        <w:widowControl/>
        <w:shd w:val="clear" w:color="auto" w:fill="FFFFFF"/>
        <w:spacing w:beforeAutospacing="0" w:afterAutospacing="0" w:line="360" w:lineRule="auto"/>
        <w:ind w:firstLine="540"/>
        <w:jc w:val="both"/>
        <w:rPr>
          <w:rFonts w:hint="eastAsia" w:ascii="仿宋" w:hAnsi="仿宋" w:eastAsia="仿宋" w:cs="仿宋"/>
          <w:sz w:val="28"/>
          <w:szCs w:val="28"/>
        </w:rPr>
      </w:pPr>
      <w:bookmarkStart w:id="13" w:name="_Toc28359005"/>
      <w:bookmarkStart w:id="14" w:name="_Toc28359082"/>
      <w:bookmarkStart w:id="15" w:name="_Toc38985266"/>
      <w:bookmarkStart w:id="16" w:name="_Toc35393624"/>
      <w:bookmarkStart w:id="17" w:name="_Toc35393793"/>
      <w:r>
        <w:rPr>
          <w:rFonts w:hint="eastAsia" w:ascii="仿宋" w:hAnsi="仿宋" w:eastAsia="仿宋" w:cs="仿宋"/>
          <w:sz w:val="28"/>
          <w:szCs w:val="28"/>
        </w:rPr>
        <w:t>1.时间：</w:t>
      </w:r>
      <w:bookmarkEnd w:id="13"/>
      <w:bookmarkEnd w:id="14"/>
      <w:bookmarkEnd w:id="15"/>
      <w:bookmarkEnd w:id="16"/>
      <w:bookmarkEnd w:id="17"/>
      <w:r>
        <w:rPr>
          <w:rFonts w:hint="eastAsia" w:ascii="仿宋" w:hAnsi="仿宋" w:eastAsia="仿宋" w:cs="仿宋"/>
          <w:sz w:val="28"/>
          <w:szCs w:val="28"/>
        </w:rPr>
        <w:t>自磋商文件公告发布之日起5个工作日。</w:t>
      </w:r>
    </w:p>
    <w:p w14:paraId="105B38C9">
      <w:pPr>
        <w:widowControl/>
        <w:spacing w:line="360" w:lineRule="auto"/>
        <w:ind w:firstLine="480"/>
        <w:jc w:val="left"/>
        <w:rPr>
          <w:rFonts w:hint="eastAsia" w:ascii="仿宋" w:hAnsi="仿宋" w:eastAsia="仿宋" w:cs="仿宋"/>
          <w:sz w:val="28"/>
          <w:szCs w:val="28"/>
        </w:rPr>
      </w:pPr>
      <w:r>
        <w:rPr>
          <w:rFonts w:hint="eastAsia" w:ascii="仿宋" w:hAnsi="仿宋" w:eastAsia="仿宋" w:cs="仿宋"/>
          <w:sz w:val="28"/>
          <w:szCs w:val="28"/>
        </w:rPr>
        <w:t>2.地点：“苏采云”系统内免费下载（投标人必须在苏采云系统中获取采购文件，方能参与政府采购项目）；</w:t>
      </w:r>
    </w:p>
    <w:p w14:paraId="1D219268">
      <w:pPr>
        <w:widowControl/>
        <w:spacing w:line="360" w:lineRule="auto"/>
        <w:ind w:firstLine="480"/>
        <w:jc w:val="left"/>
        <w:rPr>
          <w:rFonts w:hint="eastAsia" w:ascii="仿宋" w:hAnsi="仿宋" w:eastAsia="仿宋" w:cs="仿宋"/>
          <w:sz w:val="28"/>
          <w:szCs w:val="28"/>
        </w:rPr>
      </w:pPr>
      <w:r>
        <w:rPr>
          <w:rFonts w:hint="eastAsia" w:ascii="仿宋" w:hAnsi="仿宋" w:eastAsia="仿宋" w:cs="仿宋"/>
          <w:sz w:val="28"/>
          <w:szCs w:val="28"/>
        </w:rPr>
        <w:t xml:space="preserve">3.方式：本项目采用网上注册登记方式。 </w:t>
      </w:r>
    </w:p>
    <w:p w14:paraId="0B2C1B4E">
      <w:pPr>
        <w:widowControl/>
        <w:spacing w:line="360" w:lineRule="auto"/>
        <w:ind w:firstLine="480"/>
        <w:jc w:val="left"/>
        <w:rPr>
          <w:rFonts w:hint="eastAsia" w:ascii="仿宋" w:hAnsi="仿宋" w:eastAsia="仿宋" w:cs="仿宋"/>
          <w:sz w:val="28"/>
          <w:szCs w:val="28"/>
        </w:rPr>
      </w:pPr>
      <w:r>
        <w:rPr>
          <w:rFonts w:hint="eastAsia" w:ascii="仿宋" w:hAnsi="仿宋" w:eastAsia="仿宋" w:cs="仿宋"/>
          <w:sz w:val="28"/>
          <w:szCs w:val="28"/>
        </w:rPr>
        <w:t xml:space="preserve">3.1 潜在供应商访问电子招标响应交易平台的网络地址和方法： </w:t>
      </w:r>
    </w:p>
    <w:p w14:paraId="58E31D8B">
      <w:pPr>
        <w:widowControl/>
        <w:spacing w:line="360" w:lineRule="auto"/>
        <w:ind w:firstLine="480"/>
        <w:jc w:val="left"/>
        <w:rPr>
          <w:rFonts w:hint="eastAsia" w:ascii="仿宋" w:hAnsi="仿宋" w:eastAsia="仿宋" w:cs="仿宋"/>
          <w:sz w:val="28"/>
          <w:szCs w:val="28"/>
        </w:rPr>
      </w:pPr>
      <w:r>
        <w:rPr>
          <w:rFonts w:hint="eastAsia" w:ascii="仿宋" w:hAnsi="仿宋" w:eastAsia="仿宋" w:cs="仿宋"/>
          <w:sz w:val="28"/>
          <w:szCs w:val="28"/>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C324F67">
      <w:pPr>
        <w:widowControl/>
        <w:spacing w:line="360" w:lineRule="auto"/>
        <w:ind w:firstLine="480"/>
        <w:jc w:val="left"/>
        <w:rPr>
          <w:rFonts w:hint="eastAsia" w:ascii="仿宋" w:hAnsi="仿宋" w:eastAsia="仿宋" w:cs="仿宋"/>
          <w:sz w:val="28"/>
          <w:szCs w:val="28"/>
        </w:rPr>
      </w:pPr>
      <w:r>
        <w:rPr>
          <w:rFonts w:hint="eastAsia" w:ascii="仿宋" w:hAnsi="仿宋" w:eastAsia="仿宋" w:cs="仿宋"/>
          <w:sz w:val="28"/>
          <w:szCs w:val="28"/>
        </w:rPr>
        <w:t xml:space="preserve">3.2 潜在投标人访问“苏采云”系统方法：江苏省政府采购网首页-“苏采云”链接。 </w:t>
      </w:r>
    </w:p>
    <w:p w14:paraId="0DDA9995">
      <w:pPr>
        <w:widowControl/>
        <w:spacing w:line="360" w:lineRule="auto"/>
        <w:ind w:firstLine="480"/>
        <w:jc w:val="left"/>
        <w:rPr>
          <w:rFonts w:hint="eastAsia" w:ascii="仿宋" w:hAnsi="仿宋" w:eastAsia="仿宋" w:cs="仿宋"/>
          <w:sz w:val="28"/>
          <w:szCs w:val="28"/>
        </w:rPr>
      </w:pPr>
      <w:r>
        <w:rPr>
          <w:rFonts w:hint="eastAsia" w:ascii="仿宋" w:hAnsi="仿宋" w:eastAsia="仿宋" w:cs="仿宋"/>
          <w:sz w:val="28"/>
          <w:szCs w:val="28"/>
        </w:rPr>
        <w:t xml:space="preserve">3.3 采购文件（后缀名为“.kedt”）、供应商操作手册及政府采购客户端工具可通过“苏采云”系统相应链接进行下载。 </w:t>
      </w:r>
    </w:p>
    <w:p w14:paraId="2D7E5C55">
      <w:pPr>
        <w:widowControl/>
        <w:spacing w:line="360" w:lineRule="auto"/>
        <w:ind w:firstLine="482"/>
        <w:jc w:val="left"/>
        <w:rPr>
          <w:rFonts w:hint="eastAsia" w:ascii="仿宋" w:hAnsi="仿宋" w:eastAsia="仿宋" w:cs="仿宋"/>
          <w:sz w:val="28"/>
          <w:szCs w:val="28"/>
        </w:rPr>
      </w:pPr>
      <w:r>
        <w:rPr>
          <w:rFonts w:hint="eastAsia" w:ascii="仿宋" w:hAnsi="仿宋" w:eastAsia="仿宋" w:cs="仿宋"/>
          <w:sz w:val="28"/>
          <w:szCs w:val="28"/>
        </w:rPr>
        <w:t xml:space="preserve">3.4 采购代理机构将数据电文形式的采购文件加载至“苏采云”系统，供潜在供应商下载或者查阅。 </w:t>
      </w:r>
    </w:p>
    <w:p w14:paraId="6CAC329C">
      <w:pPr>
        <w:widowControl/>
        <w:spacing w:line="360" w:lineRule="auto"/>
        <w:ind w:firstLine="482"/>
        <w:jc w:val="left"/>
        <w:rPr>
          <w:rFonts w:hint="eastAsia" w:ascii="仿宋" w:hAnsi="仿宋" w:eastAsia="仿宋" w:cs="仿宋"/>
          <w:sz w:val="28"/>
          <w:szCs w:val="28"/>
        </w:rPr>
      </w:pPr>
      <w:r>
        <w:rPr>
          <w:rFonts w:hint="eastAsia" w:ascii="仿宋" w:hAnsi="仿宋" w:eastAsia="仿宋" w:cs="仿宋"/>
          <w:sz w:val="28"/>
          <w:szCs w:val="28"/>
        </w:rPr>
        <w:t xml:space="preserve">3.5 请潜在投标单位提前安装相应的控件（详见《“苏采云”系统供应商操作手册》）并使用谷歌浏览器登录“苏采云”系统参与不见面开评标。 </w:t>
      </w:r>
    </w:p>
    <w:p w14:paraId="489B4517">
      <w:pPr>
        <w:widowControl/>
        <w:spacing w:line="360" w:lineRule="auto"/>
        <w:ind w:firstLine="482"/>
        <w:jc w:val="left"/>
        <w:rPr>
          <w:rFonts w:hint="eastAsia" w:ascii="仿宋" w:hAnsi="仿宋" w:eastAsia="仿宋" w:cs="仿宋"/>
          <w:sz w:val="28"/>
          <w:szCs w:val="28"/>
        </w:rPr>
      </w:pPr>
      <w:r>
        <w:rPr>
          <w:rFonts w:hint="eastAsia" w:ascii="仿宋" w:hAnsi="仿宋" w:eastAsia="仿宋" w:cs="仿宋"/>
          <w:sz w:val="28"/>
          <w:szCs w:val="28"/>
        </w:rPr>
        <w:t>如潜在投标人未按上述要求操作，将自行承担所产生的风险。</w:t>
      </w:r>
    </w:p>
    <w:p w14:paraId="0935628E">
      <w:pPr>
        <w:widowControl/>
        <w:spacing w:line="360" w:lineRule="auto"/>
        <w:ind w:firstLine="482"/>
        <w:jc w:val="left"/>
        <w:rPr>
          <w:rFonts w:hint="eastAsia" w:ascii="仿宋" w:hAnsi="仿宋" w:eastAsia="仿宋" w:cs="仿宋"/>
          <w:sz w:val="28"/>
          <w:szCs w:val="28"/>
        </w:rPr>
      </w:pPr>
      <w:r>
        <w:rPr>
          <w:rFonts w:hint="eastAsia" w:ascii="仿宋" w:hAnsi="仿宋" w:eastAsia="仿宋" w:cs="仿宋"/>
          <w:sz w:val="28"/>
          <w:szCs w:val="28"/>
        </w:rPr>
        <w:t>4.售价：0元</w:t>
      </w:r>
    </w:p>
    <w:p w14:paraId="2BCA4399">
      <w:pPr>
        <w:widowControl/>
        <w:spacing w:line="360" w:lineRule="auto"/>
        <w:ind w:firstLine="482"/>
        <w:jc w:val="left"/>
        <w:rPr>
          <w:rFonts w:hint="eastAsia" w:ascii="仿宋" w:hAnsi="仿宋" w:eastAsia="仿宋" w:cs="仿宋"/>
          <w:sz w:val="28"/>
          <w:szCs w:val="28"/>
        </w:rPr>
      </w:pPr>
      <w:r>
        <w:rPr>
          <w:rFonts w:hint="eastAsia" w:ascii="仿宋" w:hAnsi="仿宋" w:eastAsia="仿宋" w:cs="仿宋"/>
          <w:sz w:val="28"/>
          <w:szCs w:val="28"/>
        </w:rPr>
        <w:t>5.CA 证书办理：供应商参与政府采购活动需办理江苏省电子政务证书认证中心CA证书和方正国际软件(北京)有限公司电子签章。CA证书及电子签章的办理方法详见在盐城市政府采购网点击【办事指南】-【供应商参与政府采购活动相关资料】或“苏采云”系统登录界面中的“新 CA 办理指南”。“苏采云”系统目前仅支持“苏采云”系统下的政务 CA证书，江苏省内各地区办理的“苏采云”系统下的政务 CA证书全省通用。领取CA和办理电子签章(请至亭湖区政务服务中心二楼226窗口办理，联系电话:15051556883，办理邮箱:yancheng@ideabank.net.cn，具体联系方式见《苏采云系统供应商操作手册》( 以下简称《操作手册》)、进行注册并按《操作手册》要求制作、上传电子投标文件,《苏采云系统供应商操作手册》 在盐城市政府采购网点击【办事指南】-【供应商参与政府采购活动相关资料】。</w:t>
      </w:r>
    </w:p>
    <w:p w14:paraId="195B0FDD">
      <w:pPr>
        <w:widowControl/>
        <w:spacing w:line="360" w:lineRule="auto"/>
        <w:ind w:firstLine="480"/>
        <w:jc w:val="left"/>
        <w:rPr>
          <w:rFonts w:hint="eastAsia" w:ascii="仿宋" w:hAnsi="仿宋" w:eastAsia="仿宋" w:cs="仿宋"/>
          <w:sz w:val="28"/>
          <w:szCs w:val="28"/>
        </w:rPr>
      </w:pPr>
      <w:r>
        <w:rPr>
          <w:rFonts w:hint="eastAsia" w:ascii="仿宋" w:hAnsi="仿宋" w:eastAsia="仿宋" w:cs="仿宋"/>
          <w:sz w:val="28"/>
          <w:szCs w:val="28"/>
        </w:rPr>
        <w:t>6.参与采购活动：供应商插入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93B50D3">
      <w:pPr>
        <w:widowControl/>
        <w:spacing w:line="360" w:lineRule="auto"/>
        <w:ind w:firstLine="480"/>
        <w:jc w:val="left"/>
        <w:rPr>
          <w:rFonts w:hint="eastAsia" w:ascii="仿宋" w:hAnsi="仿宋" w:eastAsia="仿宋" w:cs="仿宋"/>
          <w:sz w:val="28"/>
          <w:szCs w:val="28"/>
        </w:rPr>
      </w:pPr>
      <w:r>
        <w:rPr>
          <w:rFonts w:hint="eastAsia" w:ascii="仿宋" w:hAnsi="仿宋" w:eastAsia="仿宋" w:cs="仿宋"/>
          <w:sz w:val="28"/>
          <w:szCs w:val="28"/>
        </w:rPr>
        <w:t>7.电子投标准备：供应商在“苏采云”系统中操作成功参与项目后，必须在“已参与项目”界面中下载电子招标文件(后缀名为“.kedt”)并导入政府采购客户端工具后方可进行响应文件制作和提交(具体详见《苏采云系统供应商操作手册》，网址http://czj.yancheng.gov.cn/art/2023/9/14/art 2407 4057499.html.在系统操作过程中如有疑问，请联系:0519-86722805、0519-86722807或登录苏采云系统后，联系系统右下方智能客服图标进行咨询。</w:t>
      </w:r>
    </w:p>
    <w:p w14:paraId="298C259A">
      <w:pPr>
        <w:pStyle w:val="32"/>
        <w:keepNext/>
        <w:keepLines/>
        <w:spacing w:before="145" w:beforeAutospacing="0" w:after="145" w:afterAutospacing="0" w:line="360" w:lineRule="auto"/>
        <w:ind w:firstLine="498"/>
        <w:jc w:val="both"/>
        <w:rPr>
          <w:rFonts w:hint="eastAsia" w:ascii="仿宋" w:hAnsi="仿宋" w:eastAsia="仿宋" w:cs="仿宋"/>
          <w:color w:val="auto"/>
          <w:sz w:val="28"/>
          <w:szCs w:val="28"/>
          <w:highlight w:val="none"/>
          <w:shd w:val="clear" w:color="auto" w:fill="auto"/>
          <w:lang w:eastAsia="zh-CN"/>
        </w:rPr>
      </w:pPr>
      <w:r>
        <w:rPr>
          <w:rFonts w:hint="eastAsia" w:ascii="仿宋" w:hAnsi="仿宋" w:eastAsia="仿宋" w:cs="仿宋"/>
          <w:b/>
          <w:color w:val="auto"/>
          <w:sz w:val="28"/>
          <w:szCs w:val="28"/>
          <w:highlight w:val="none"/>
          <w:shd w:val="clear" w:color="auto" w:fill="auto"/>
        </w:rPr>
        <w:t>四、响应文件</w:t>
      </w:r>
      <w:r>
        <w:rPr>
          <w:rFonts w:hint="eastAsia" w:ascii="仿宋" w:hAnsi="仿宋" w:eastAsia="仿宋" w:cs="仿宋"/>
          <w:b/>
          <w:color w:val="auto"/>
          <w:sz w:val="28"/>
          <w:szCs w:val="28"/>
          <w:highlight w:val="none"/>
          <w:shd w:val="clear" w:color="auto" w:fill="auto"/>
          <w:lang w:val="en-US" w:eastAsia="zh-CN"/>
        </w:rPr>
        <w:t>提交</w:t>
      </w:r>
    </w:p>
    <w:p w14:paraId="23D20E66">
      <w:pPr>
        <w:pStyle w:val="32"/>
        <w:spacing w:beforeAutospacing="0" w:afterAutospacing="0"/>
        <w:ind w:firstLine="480"/>
        <w:jc w:val="both"/>
        <w:rPr>
          <w:rFonts w:hint="eastAsia" w:ascii="仿宋" w:hAnsi="仿宋" w:eastAsia="仿宋" w:cs="仿宋"/>
          <w:color w:val="auto"/>
          <w:sz w:val="28"/>
          <w:szCs w:val="28"/>
          <w:highlight w:val="none"/>
          <w:shd w:val="clear" w:color="auto" w:fill="auto"/>
        </w:rPr>
      </w:pPr>
      <w:r>
        <w:rPr>
          <w:rFonts w:hint="eastAsia" w:ascii="仿宋" w:hAnsi="仿宋" w:eastAsia="仿宋" w:cs="仿宋"/>
          <w:i w:val="0"/>
          <w:iCs w:val="0"/>
          <w:caps w:val="0"/>
          <w:color w:val="auto"/>
          <w:spacing w:val="0"/>
          <w:sz w:val="28"/>
          <w:szCs w:val="28"/>
          <w:highlight w:val="none"/>
          <w:shd w:val="clear" w:color="auto" w:fill="auto"/>
        </w:rPr>
        <w:t>1.截止时间：</w:t>
      </w:r>
      <w:r>
        <w:rPr>
          <w:rFonts w:hint="eastAsia" w:ascii="仿宋" w:hAnsi="仿宋" w:eastAsia="仿宋" w:cs="仿宋"/>
          <w:color w:val="auto"/>
          <w:sz w:val="28"/>
          <w:szCs w:val="28"/>
          <w:highlight w:val="none"/>
          <w:u w:val="single"/>
          <w:shd w:val="clear" w:color="auto" w:fill="auto"/>
          <w:lang w:val="en-US" w:eastAsia="zh-CN"/>
        </w:rPr>
        <w:t>2026</w:t>
      </w:r>
      <w:r>
        <w:rPr>
          <w:rFonts w:hint="eastAsia" w:ascii="仿宋" w:hAnsi="仿宋" w:eastAsia="仿宋" w:cs="仿宋"/>
          <w:color w:val="auto"/>
          <w:sz w:val="28"/>
          <w:szCs w:val="28"/>
          <w:highlight w:val="none"/>
          <w:u w:val="single"/>
          <w:shd w:val="clear" w:color="auto" w:fill="auto"/>
        </w:rPr>
        <w:t>年</w:t>
      </w:r>
      <w:r>
        <w:rPr>
          <w:rFonts w:hint="eastAsia" w:ascii="仿宋" w:hAnsi="仿宋" w:eastAsia="仿宋" w:cs="仿宋"/>
          <w:color w:val="auto"/>
          <w:sz w:val="28"/>
          <w:szCs w:val="28"/>
          <w:highlight w:val="none"/>
          <w:u w:val="single"/>
          <w:shd w:val="clear" w:color="auto" w:fill="auto"/>
          <w:lang w:val="en-US" w:eastAsia="zh-CN"/>
        </w:rPr>
        <w:t>10</w:t>
      </w:r>
      <w:r>
        <w:rPr>
          <w:rFonts w:hint="eastAsia" w:ascii="仿宋" w:hAnsi="仿宋" w:eastAsia="仿宋" w:cs="仿宋"/>
          <w:color w:val="auto"/>
          <w:sz w:val="28"/>
          <w:szCs w:val="28"/>
          <w:highlight w:val="none"/>
          <w:u w:val="single"/>
          <w:shd w:val="clear" w:color="auto" w:fill="auto"/>
        </w:rPr>
        <w:t>月</w:t>
      </w:r>
      <w:r>
        <w:rPr>
          <w:rFonts w:hint="eastAsia" w:ascii="仿宋" w:hAnsi="仿宋" w:eastAsia="仿宋" w:cs="仿宋"/>
          <w:color w:val="auto"/>
          <w:sz w:val="28"/>
          <w:szCs w:val="28"/>
          <w:highlight w:val="none"/>
          <w:u w:val="single"/>
          <w:shd w:val="clear" w:color="auto" w:fill="auto"/>
          <w:lang w:val="en-US" w:eastAsia="zh-CN"/>
        </w:rPr>
        <w:t>8</w:t>
      </w:r>
      <w:r>
        <w:rPr>
          <w:rFonts w:hint="eastAsia" w:ascii="仿宋" w:hAnsi="仿宋" w:eastAsia="仿宋" w:cs="仿宋"/>
          <w:color w:val="auto"/>
          <w:sz w:val="28"/>
          <w:szCs w:val="28"/>
          <w:highlight w:val="none"/>
          <w:u w:val="single"/>
          <w:shd w:val="clear" w:color="auto" w:fill="auto"/>
        </w:rPr>
        <w:t>日</w:t>
      </w:r>
      <w:r>
        <w:rPr>
          <w:rFonts w:hint="eastAsia" w:ascii="仿宋" w:hAnsi="仿宋" w:eastAsia="仿宋" w:cs="仿宋"/>
          <w:color w:val="auto"/>
          <w:sz w:val="28"/>
          <w:szCs w:val="28"/>
          <w:highlight w:val="none"/>
          <w:u w:val="single"/>
          <w:shd w:val="clear" w:color="auto" w:fill="auto"/>
          <w:lang w:val="en-US" w:eastAsia="zh-CN"/>
        </w:rPr>
        <w:t xml:space="preserve"> 15</w:t>
      </w:r>
      <w:r>
        <w:rPr>
          <w:rFonts w:hint="eastAsia" w:ascii="仿宋" w:hAnsi="仿宋" w:eastAsia="仿宋" w:cs="仿宋"/>
          <w:color w:val="auto"/>
          <w:sz w:val="28"/>
          <w:szCs w:val="28"/>
          <w:highlight w:val="none"/>
          <w:u w:val="single"/>
          <w:shd w:val="clear" w:color="auto" w:fill="auto"/>
        </w:rPr>
        <w:t>点</w:t>
      </w:r>
      <w:r>
        <w:rPr>
          <w:rFonts w:hint="eastAsia" w:ascii="仿宋" w:hAnsi="仿宋" w:eastAsia="仿宋" w:cs="仿宋"/>
          <w:color w:val="auto"/>
          <w:sz w:val="28"/>
          <w:szCs w:val="28"/>
          <w:highlight w:val="none"/>
          <w:u w:val="single"/>
          <w:shd w:val="clear" w:color="auto" w:fill="auto"/>
          <w:lang w:val="en-US" w:eastAsia="zh-CN"/>
        </w:rPr>
        <w:t>00</w:t>
      </w:r>
      <w:r>
        <w:rPr>
          <w:rFonts w:hint="eastAsia" w:ascii="仿宋" w:hAnsi="仿宋" w:eastAsia="仿宋" w:cs="仿宋"/>
          <w:color w:val="auto"/>
          <w:sz w:val="28"/>
          <w:szCs w:val="28"/>
          <w:highlight w:val="none"/>
          <w:u w:val="single"/>
          <w:shd w:val="clear" w:color="auto" w:fill="auto"/>
        </w:rPr>
        <w:t>分</w:t>
      </w:r>
      <w:r>
        <w:rPr>
          <w:rFonts w:hint="eastAsia" w:ascii="仿宋" w:hAnsi="仿宋" w:eastAsia="仿宋" w:cs="仿宋"/>
          <w:color w:val="auto"/>
          <w:sz w:val="28"/>
          <w:szCs w:val="28"/>
          <w:highlight w:val="none"/>
          <w:shd w:val="clear" w:color="auto" w:fill="auto"/>
        </w:rPr>
        <w:t>（北京时间）。</w:t>
      </w:r>
    </w:p>
    <w:p w14:paraId="49F55C33">
      <w:pPr>
        <w:pStyle w:val="32"/>
        <w:spacing w:beforeAutospacing="0" w:afterAutospacing="0"/>
        <w:ind w:firstLine="480"/>
        <w:jc w:val="both"/>
        <w:rPr>
          <w:rFonts w:hint="eastAsia" w:ascii="仿宋" w:hAnsi="仿宋" w:eastAsia="仿宋" w:cs="仿宋"/>
          <w:sz w:val="28"/>
          <w:szCs w:val="28"/>
          <w:highlight w:val="none"/>
          <w:shd w:val="clear" w:color="auto" w:fill="auto"/>
          <w:lang w:eastAsia="zh-CN"/>
        </w:rPr>
      </w:pPr>
      <w:r>
        <w:rPr>
          <w:rFonts w:hint="eastAsia" w:ascii="仿宋" w:hAnsi="仿宋" w:eastAsia="仿宋" w:cs="仿宋"/>
          <w:i w:val="0"/>
          <w:iCs w:val="0"/>
          <w:caps w:val="0"/>
          <w:color w:val="auto"/>
          <w:spacing w:val="0"/>
          <w:sz w:val="28"/>
          <w:szCs w:val="28"/>
          <w:highlight w:val="none"/>
          <w:shd w:val="clear" w:color="auto" w:fill="auto"/>
          <w:lang w:val="en-US" w:eastAsia="zh-CN" w:bidi="ar-SA"/>
        </w:rPr>
        <w:t>2.地点：</w:t>
      </w:r>
      <w:r>
        <w:rPr>
          <w:rFonts w:hint="eastAsia" w:ascii="仿宋" w:hAnsi="仿宋" w:eastAsia="仿宋" w:cs="仿宋"/>
          <w:sz w:val="28"/>
          <w:szCs w:val="28"/>
        </w:rPr>
        <w:t>“苏采云”政府采购交易系统网上开标大厅。</w:t>
      </w:r>
    </w:p>
    <w:p w14:paraId="3316A462">
      <w:pPr>
        <w:pStyle w:val="32"/>
        <w:keepNext/>
        <w:keepLines/>
        <w:spacing w:before="145" w:beforeAutospacing="0" w:after="145" w:afterAutospacing="0" w:line="360" w:lineRule="auto"/>
        <w:ind w:firstLine="498"/>
        <w:jc w:val="both"/>
        <w:rPr>
          <w:rFonts w:hint="eastAsia" w:ascii="仿宋" w:hAnsi="仿宋" w:eastAsia="仿宋" w:cs="仿宋"/>
          <w:b/>
          <w:color w:val="auto"/>
          <w:sz w:val="28"/>
          <w:szCs w:val="28"/>
          <w:highlight w:val="none"/>
          <w:shd w:val="clear" w:color="auto" w:fill="auto"/>
        </w:rPr>
      </w:pPr>
      <w:bookmarkStart w:id="18" w:name="_Toc35393795"/>
      <w:bookmarkStart w:id="19" w:name="_Toc38985268"/>
      <w:bookmarkStart w:id="20" w:name="_Toc35393626"/>
      <w:r>
        <w:rPr>
          <w:rFonts w:hint="eastAsia" w:ascii="仿宋" w:hAnsi="仿宋" w:eastAsia="仿宋" w:cs="仿宋"/>
          <w:b/>
          <w:color w:val="auto"/>
          <w:sz w:val="28"/>
          <w:szCs w:val="28"/>
          <w:highlight w:val="none"/>
          <w:shd w:val="clear" w:color="auto" w:fill="auto"/>
        </w:rPr>
        <w:t>五、开启</w:t>
      </w:r>
    </w:p>
    <w:p w14:paraId="7BEF3F27">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仿宋" w:hAnsi="仿宋" w:eastAsia="仿宋" w:cs="仿宋"/>
          <w:color w:val="auto"/>
          <w:sz w:val="28"/>
          <w:szCs w:val="28"/>
          <w:highlight w:val="none"/>
          <w:shd w:val="clear" w:color="auto" w:fill="auto"/>
        </w:rPr>
      </w:pPr>
      <w:r>
        <w:rPr>
          <w:rFonts w:hint="eastAsia" w:ascii="仿宋" w:hAnsi="仿宋" w:eastAsia="仿宋" w:cs="仿宋"/>
          <w:i w:val="0"/>
          <w:iCs w:val="0"/>
          <w:caps w:val="0"/>
          <w:color w:val="auto"/>
          <w:spacing w:val="0"/>
          <w:sz w:val="28"/>
          <w:szCs w:val="28"/>
          <w:highlight w:val="none"/>
          <w:shd w:val="clear" w:color="auto" w:fill="auto"/>
          <w:lang w:val="en-US" w:eastAsia="zh-CN"/>
        </w:rPr>
        <w:t>1.</w:t>
      </w:r>
      <w:r>
        <w:rPr>
          <w:rFonts w:hint="eastAsia" w:ascii="仿宋" w:hAnsi="仿宋" w:eastAsia="仿宋" w:cs="仿宋"/>
          <w:i w:val="0"/>
          <w:iCs w:val="0"/>
          <w:caps w:val="0"/>
          <w:color w:val="auto"/>
          <w:spacing w:val="0"/>
          <w:sz w:val="28"/>
          <w:szCs w:val="28"/>
          <w:highlight w:val="none"/>
          <w:shd w:val="clear" w:color="auto" w:fill="auto"/>
        </w:rPr>
        <w:t>时间：</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2026</w:t>
      </w:r>
      <w:r>
        <w:rPr>
          <w:rFonts w:hint="eastAsia" w:ascii="仿宋" w:hAnsi="仿宋" w:eastAsia="仿宋" w:cs="仿宋"/>
          <w:i w:val="0"/>
          <w:iCs w:val="0"/>
          <w:caps w:val="0"/>
          <w:color w:val="auto"/>
          <w:spacing w:val="0"/>
          <w:sz w:val="28"/>
          <w:szCs w:val="28"/>
          <w:highlight w:val="none"/>
          <w:u w:val="single"/>
          <w:shd w:val="clear" w:color="auto" w:fill="auto"/>
        </w:rPr>
        <w:t>年</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10</w:t>
      </w:r>
      <w:r>
        <w:rPr>
          <w:rFonts w:hint="eastAsia" w:ascii="仿宋" w:hAnsi="仿宋" w:eastAsia="仿宋" w:cs="仿宋"/>
          <w:i w:val="0"/>
          <w:iCs w:val="0"/>
          <w:caps w:val="0"/>
          <w:color w:val="auto"/>
          <w:spacing w:val="0"/>
          <w:sz w:val="28"/>
          <w:szCs w:val="28"/>
          <w:highlight w:val="none"/>
          <w:u w:val="single"/>
          <w:shd w:val="clear" w:color="auto" w:fill="auto"/>
        </w:rPr>
        <w:t>月</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8</w:t>
      </w:r>
      <w:r>
        <w:rPr>
          <w:rFonts w:hint="eastAsia" w:ascii="仿宋" w:hAnsi="仿宋" w:eastAsia="仿宋" w:cs="仿宋"/>
          <w:i w:val="0"/>
          <w:iCs w:val="0"/>
          <w:caps w:val="0"/>
          <w:color w:val="auto"/>
          <w:spacing w:val="0"/>
          <w:sz w:val="28"/>
          <w:szCs w:val="28"/>
          <w:highlight w:val="none"/>
          <w:u w:val="single"/>
          <w:shd w:val="clear" w:color="auto" w:fill="auto"/>
        </w:rPr>
        <w:t>日</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15</w:t>
      </w:r>
      <w:r>
        <w:rPr>
          <w:rFonts w:hint="eastAsia" w:ascii="仿宋" w:hAnsi="仿宋" w:eastAsia="仿宋" w:cs="仿宋"/>
          <w:i w:val="0"/>
          <w:iCs w:val="0"/>
          <w:caps w:val="0"/>
          <w:color w:val="auto"/>
          <w:spacing w:val="0"/>
          <w:sz w:val="28"/>
          <w:szCs w:val="28"/>
          <w:highlight w:val="none"/>
          <w:u w:val="single"/>
          <w:shd w:val="clear" w:color="auto" w:fill="auto"/>
        </w:rPr>
        <w:t>点</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00</w:t>
      </w:r>
      <w:r>
        <w:rPr>
          <w:rFonts w:hint="eastAsia" w:ascii="仿宋" w:hAnsi="仿宋" w:eastAsia="仿宋" w:cs="仿宋"/>
          <w:i w:val="0"/>
          <w:iCs w:val="0"/>
          <w:caps w:val="0"/>
          <w:color w:val="auto"/>
          <w:spacing w:val="0"/>
          <w:sz w:val="28"/>
          <w:szCs w:val="28"/>
          <w:highlight w:val="none"/>
          <w:u w:val="single"/>
          <w:shd w:val="clear" w:color="auto" w:fill="auto"/>
        </w:rPr>
        <w:t>分</w:t>
      </w:r>
      <w:r>
        <w:rPr>
          <w:rFonts w:hint="eastAsia" w:ascii="仿宋" w:hAnsi="仿宋" w:eastAsia="仿宋" w:cs="仿宋"/>
          <w:i w:val="0"/>
          <w:iCs w:val="0"/>
          <w:caps w:val="0"/>
          <w:color w:val="auto"/>
          <w:spacing w:val="0"/>
          <w:sz w:val="28"/>
          <w:szCs w:val="28"/>
          <w:highlight w:val="none"/>
          <w:shd w:val="clear" w:color="auto" w:fill="auto"/>
        </w:rPr>
        <w:t>（北京时间）</w:t>
      </w:r>
      <w:r>
        <w:rPr>
          <w:rFonts w:hint="eastAsia" w:ascii="仿宋" w:hAnsi="仿宋" w:eastAsia="仿宋" w:cs="仿宋"/>
          <w:color w:val="auto"/>
          <w:sz w:val="28"/>
          <w:szCs w:val="28"/>
          <w:highlight w:val="none"/>
          <w:shd w:val="clear" w:color="auto" w:fill="auto"/>
        </w:rPr>
        <w:t>。</w:t>
      </w:r>
      <w:bookmarkEnd w:id="18"/>
      <w:bookmarkEnd w:id="19"/>
      <w:bookmarkEnd w:id="20"/>
    </w:p>
    <w:p w14:paraId="6F39BD2E">
      <w:pPr>
        <w:pStyle w:val="32"/>
        <w:spacing w:beforeAutospacing="0" w:afterAutospacing="0"/>
        <w:ind w:firstLine="480"/>
        <w:jc w:val="both"/>
        <w:rPr>
          <w:rFonts w:hint="eastAsia" w:ascii="仿宋" w:hAnsi="仿宋" w:eastAsia="仿宋" w:cs="仿宋"/>
          <w:sz w:val="28"/>
          <w:szCs w:val="28"/>
          <w:highlight w:val="none"/>
          <w:shd w:val="clear" w:color="auto" w:fill="auto"/>
          <w:lang w:eastAsia="zh-CN"/>
        </w:rPr>
      </w:pPr>
      <w:r>
        <w:rPr>
          <w:rFonts w:hint="eastAsia" w:ascii="仿宋" w:hAnsi="仿宋" w:eastAsia="仿宋" w:cs="仿宋"/>
          <w:i w:val="0"/>
          <w:iCs w:val="0"/>
          <w:caps w:val="0"/>
          <w:color w:val="auto"/>
          <w:spacing w:val="0"/>
          <w:sz w:val="28"/>
          <w:szCs w:val="28"/>
          <w:highlight w:val="none"/>
          <w:shd w:val="clear" w:color="auto" w:fill="auto"/>
          <w:lang w:val="en-US" w:eastAsia="zh-CN"/>
        </w:rPr>
        <w:t>2.</w:t>
      </w:r>
      <w:r>
        <w:rPr>
          <w:rFonts w:hint="eastAsia" w:ascii="仿宋" w:hAnsi="仿宋" w:eastAsia="仿宋" w:cs="仿宋"/>
          <w:i w:val="0"/>
          <w:iCs w:val="0"/>
          <w:caps w:val="0"/>
          <w:color w:val="auto"/>
          <w:spacing w:val="0"/>
          <w:sz w:val="28"/>
          <w:szCs w:val="28"/>
          <w:highlight w:val="none"/>
          <w:shd w:val="clear" w:color="auto" w:fill="auto"/>
        </w:rPr>
        <w:t>地点：</w:t>
      </w:r>
      <w:r>
        <w:rPr>
          <w:rFonts w:hint="eastAsia" w:ascii="仿宋" w:hAnsi="仿宋" w:eastAsia="仿宋" w:cs="仿宋"/>
          <w:sz w:val="28"/>
          <w:szCs w:val="28"/>
        </w:rPr>
        <w:t>“苏采云”政府采购交易系统网上开标大厅。</w:t>
      </w:r>
    </w:p>
    <w:p w14:paraId="4095C5E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3" w:lineRule="atLeast"/>
        <w:ind w:right="0" w:firstLine="562"/>
        <w:jc w:val="both"/>
        <w:rPr>
          <w:rFonts w:hint="eastAsia" w:ascii="仿宋" w:hAnsi="仿宋" w:eastAsia="仿宋" w:cs="仿宋"/>
          <w:b/>
          <w:bCs w:val="0"/>
          <w:color w:val="auto"/>
          <w:sz w:val="28"/>
          <w:szCs w:val="28"/>
          <w:highlight w:val="none"/>
          <w:shd w:val="clear" w:color="auto" w:fill="auto"/>
          <w:lang w:val="en-US" w:eastAsia="zh-CN" w:bidi="ar-SA"/>
        </w:rPr>
      </w:pPr>
      <w:bookmarkStart w:id="21" w:name="_Toc28359094"/>
      <w:r>
        <w:rPr>
          <w:rFonts w:hint="eastAsia" w:ascii="仿宋" w:hAnsi="仿宋" w:eastAsia="仿宋" w:cs="仿宋"/>
          <w:b/>
          <w:bCs w:val="0"/>
          <w:color w:val="auto"/>
          <w:sz w:val="28"/>
          <w:szCs w:val="28"/>
          <w:highlight w:val="none"/>
          <w:shd w:val="clear" w:color="auto" w:fill="auto"/>
          <w:lang w:val="en-US" w:eastAsia="zh-CN" w:bidi="ar-SA"/>
        </w:rPr>
        <w:t>六、公告期限</w:t>
      </w:r>
      <w:bookmarkEnd w:id="21"/>
    </w:p>
    <w:p w14:paraId="56C40EF9">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仿宋" w:hAnsi="仿宋" w:eastAsia="仿宋" w:cs="仿宋"/>
          <w:color w:val="auto"/>
          <w:sz w:val="28"/>
          <w:szCs w:val="28"/>
          <w:highlight w:val="none"/>
          <w:shd w:val="clear" w:color="auto" w:fill="auto"/>
        </w:rPr>
      </w:pPr>
      <w:r>
        <w:rPr>
          <w:rFonts w:hint="eastAsia" w:ascii="仿宋" w:hAnsi="仿宋" w:eastAsia="仿宋" w:cs="仿宋"/>
          <w:i w:val="0"/>
          <w:iCs w:val="0"/>
          <w:caps w:val="0"/>
          <w:color w:val="auto"/>
          <w:spacing w:val="0"/>
          <w:sz w:val="28"/>
          <w:szCs w:val="28"/>
          <w:highlight w:val="none"/>
          <w:shd w:val="clear" w:color="auto" w:fill="auto"/>
        </w:rPr>
        <w:t>自本公告发布之日起3个工作日。</w:t>
      </w:r>
    </w:p>
    <w:p w14:paraId="1B3CF5F3">
      <w:pPr>
        <w:pStyle w:val="32"/>
        <w:keepNext/>
        <w:keepLines/>
        <w:spacing w:before="145" w:beforeAutospacing="0" w:after="145" w:afterAutospacing="0" w:line="360" w:lineRule="auto"/>
        <w:ind w:firstLine="498"/>
        <w:jc w:val="both"/>
        <w:rPr>
          <w:rFonts w:hint="eastAsia" w:ascii="仿宋" w:hAnsi="仿宋" w:eastAsia="仿宋" w:cs="仿宋"/>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lang w:val="en-US" w:eastAsia="zh-CN"/>
        </w:rPr>
        <w:t>七</w:t>
      </w:r>
      <w:r>
        <w:rPr>
          <w:rFonts w:hint="eastAsia" w:ascii="仿宋" w:hAnsi="仿宋" w:eastAsia="仿宋" w:cs="仿宋"/>
          <w:b/>
          <w:color w:val="auto"/>
          <w:sz w:val="28"/>
          <w:szCs w:val="28"/>
          <w:highlight w:val="none"/>
          <w:shd w:val="clear" w:color="auto" w:fill="auto"/>
        </w:rPr>
        <w:t>、其他补充事宜</w:t>
      </w:r>
    </w:p>
    <w:p w14:paraId="38368D8E">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highlight w:val="red"/>
          <w:shd w:val="clear" w:color="auto" w:fill="FFFFFF"/>
        </w:rPr>
      </w:pPr>
      <w:r>
        <w:rPr>
          <w:rFonts w:hint="eastAsia" w:ascii="仿宋" w:hAnsi="仿宋" w:eastAsia="仿宋" w:cs="仿宋"/>
          <w:sz w:val="28"/>
          <w:szCs w:val="28"/>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5867E54">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highlight w:val="red"/>
          <w:shd w:val="clear" w:color="auto" w:fill="FFFFFF"/>
        </w:rPr>
      </w:pPr>
      <w:r>
        <w:rPr>
          <w:rFonts w:hint="eastAsia" w:ascii="仿宋" w:hAnsi="仿宋" w:eastAsia="仿宋" w:cs="仿宋"/>
          <w:sz w:val="28"/>
          <w:szCs w:val="28"/>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p>
    <w:p w14:paraId="7E07FD4C">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2.有关本次磋商的事项若存在变动或修改，敬请及时关注</w:t>
      </w:r>
      <w:r>
        <w:rPr>
          <w:rFonts w:hint="eastAsia" w:ascii="仿宋" w:hAnsi="仿宋" w:eastAsia="仿宋" w:cs="仿宋"/>
          <w:sz w:val="28"/>
          <w:szCs w:val="28"/>
        </w:rPr>
        <w:t>“中国政府采购网”、</w:t>
      </w:r>
      <w:r>
        <w:rPr>
          <w:rFonts w:hint="eastAsia" w:ascii="仿宋" w:hAnsi="仿宋" w:eastAsia="仿宋" w:cs="仿宋"/>
          <w:sz w:val="28"/>
          <w:szCs w:val="28"/>
          <w:shd w:val="clear" w:color="auto" w:fill="FFFFFF"/>
        </w:rPr>
        <w:t>“江苏政府采购网”、“盐城市政府采购网”发布的更正公告。</w:t>
      </w:r>
    </w:p>
    <w:p w14:paraId="49DA8132">
      <w:pPr>
        <w:pStyle w:val="32"/>
        <w:widowControl/>
        <w:shd w:val="clear" w:color="auto" w:fill="FFFFFF"/>
        <w:spacing w:beforeAutospacing="0" w:afterAutospacing="0" w:line="360" w:lineRule="auto"/>
        <w:ind w:firstLine="561"/>
        <w:jc w:val="both"/>
        <w:rPr>
          <w:rFonts w:hint="eastAsia" w:ascii="仿宋" w:hAnsi="仿宋" w:eastAsia="仿宋" w:cs="仿宋"/>
          <w:color w:val="FF0000"/>
          <w:sz w:val="28"/>
          <w:szCs w:val="28"/>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仿宋" w:hAnsi="仿宋" w:eastAsia="仿宋" w:cs="仿宋"/>
          <w:color w:val="FF0000"/>
          <w:sz w:val="28"/>
          <w:szCs w:val="28"/>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 本次磋商不收取磋商保证金。本项目收取履约保证金：成交金额的10%，收取履约保证金形式:支票、汇票、本票或者金融机构、担保机构出具的保函等非现金形式提交履约保证金</w:t>
      </w:r>
      <w:r>
        <w:rPr>
          <w:rFonts w:hint="eastAsia" w:ascii="仿宋" w:hAnsi="仿宋" w:eastAsia="仿宋" w:cs="仿宋"/>
          <w:color w:val="FF0000"/>
          <w:sz w:val="28"/>
          <w:szCs w:val="28"/>
          <w:shd w:val="clear" w:color="auto" w:fill="FFFFFF"/>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仿宋" w:hAnsi="仿宋" w:eastAsia="仿宋" w:cs="仿宋"/>
          <w:color w:val="FF0000"/>
          <w:sz w:val="28"/>
          <w:szCs w:val="28"/>
          <w:shd w:val="clear" w:color="auto" w:fill="FFFFFF"/>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具体方式详见招标文件第33.8条</w:t>
      </w:r>
      <w:r>
        <w:rPr>
          <w:rFonts w:hint="eastAsia" w:ascii="仿宋" w:hAnsi="仿宋" w:eastAsia="仿宋" w:cs="仿宋"/>
          <w:color w:val="FF0000"/>
          <w:sz w:val="28"/>
          <w:szCs w:val="28"/>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A33492D">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4.本项目公告在《中国政府采购网》、《江苏政府采购网》、《盐城市政府采购网》公示发布，敬请各供应商关注。</w:t>
      </w:r>
    </w:p>
    <w:p w14:paraId="156B6B01">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5.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p>
    <w:p w14:paraId="116C20D9">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6.根据《关于在政府采购活动中应用第三方信用报告落实“信易购”应用场景的通知》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p>
    <w:p w14:paraId="4FA9163A">
      <w:pPr>
        <w:pStyle w:val="32"/>
        <w:widowControl/>
        <w:shd w:val="clear" w:color="auto" w:fill="FFFFFF"/>
        <w:spacing w:beforeAutospacing="0" w:afterAutospacing="0" w:line="480" w:lineRule="exact"/>
        <w:ind w:firstLine="560"/>
        <w:jc w:val="both"/>
        <w:rPr>
          <w:rFonts w:hint="eastAsia" w:ascii="仿宋" w:hAnsi="仿宋" w:eastAsia="仿宋" w:cs="仿宋"/>
          <w:bCs/>
          <w:color w:val="auto"/>
          <w:sz w:val="28"/>
          <w:szCs w:val="28"/>
        </w:rPr>
      </w:pPr>
      <w:r>
        <w:rPr>
          <w:rFonts w:hint="eastAsia" w:ascii="仿宋" w:hAnsi="仿宋" w:eastAsia="仿宋" w:cs="仿宋"/>
          <w:bCs/>
          <w:color w:val="auto"/>
          <w:sz w:val="28"/>
          <w:szCs w:val="28"/>
        </w:rPr>
        <w:t>7.采购人应在采购文件中明确评审委员会启动异常低价投标（响应）审查的情形和具体要求，包括：</w:t>
      </w:r>
    </w:p>
    <w:p w14:paraId="4A82D043">
      <w:pPr>
        <w:pStyle w:val="32"/>
        <w:widowControl/>
        <w:shd w:val="clear" w:color="auto" w:fill="FFFFFF"/>
        <w:spacing w:beforeAutospacing="0" w:afterAutospacing="0" w:line="480" w:lineRule="exact"/>
        <w:ind w:firstLine="560"/>
        <w:jc w:val="both"/>
        <w:rPr>
          <w:rFonts w:hint="eastAsia" w:ascii="仿宋" w:hAnsi="仿宋" w:eastAsia="仿宋" w:cs="仿宋"/>
          <w:bCs/>
          <w:color w:val="auto"/>
          <w:sz w:val="28"/>
          <w:szCs w:val="28"/>
        </w:rPr>
      </w:pPr>
      <w:r>
        <w:rPr>
          <w:rFonts w:hint="eastAsia" w:ascii="仿宋" w:hAnsi="仿宋" w:eastAsia="仿宋" w:cs="仿宋"/>
          <w:bCs/>
          <w:color w:val="auto"/>
          <w:sz w:val="28"/>
          <w:szCs w:val="28"/>
        </w:rPr>
        <w:t>（一）评审过程中出现下列情形之一的，评审委员会应当启动异常低价投标（响应）审查程序：</w:t>
      </w:r>
    </w:p>
    <w:p w14:paraId="1B7867A1">
      <w:pPr>
        <w:pStyle w:val="32"/>
        <w:widowControl/>
        <w:shd w:val="clear" w:color="auto" w:fill="FFFFFF"/>
        <w:spacing w:beforeAutospacing="0" w:afterAutospacing="0" w:line="480" w:lineRule="exact"/>
        <w:ind w:firstLine="560"/>
        <w:jc w:val="both"/>
        <w:rPr>
          <w:rFonts w:hint="eastAsia" w:ascii="仿宋" w:hAnsi="仿宋" w:eastAsia="仿宋" w:cs="仿宋"/>
          <w:bCs/>
          <w:color w:val="auto"/>
          <w:sz w:val="28"/>
          <w:szCs w:val="28"/>
        </w:rPr>
      </w:pPr>
      <w:r>
        <w:rPr>
          <w:rFonts w:hint="eastAsia" w:ascii="仿宋" w:hAnsi="仿宋" w:eastAsia="仿宋" w:cs="仿宋"/>
          <w:bCs/>
          <w:color w:val="auto"/>
          <w:sz w:val="28"/>
          <w:szCs w:val="28"/>
        </w:rPr>
        <w:t>1．投标(响应)报价低于全部通过符合性审查供应商投标(响应)报价平均值50%的，即投标(响应)报价&lt;全部通过符合性审查供应商投标(响应)报价平均值×50%；</w:t>
      </w:r>
    </w:p>
    <w:p w14:paraId="371BC116">
      <w:pPr>
        <w:pStyle w:val="32"/>
        <w:widowControl/>
        <w:shd w:val="clear" w:color="auto" w:fill="FFFFFF"/>
        <w:spacing w:beforeAutospacing="0" w:afterAutospacing="0" w:line="480" w:lineRule="exact"/>
        <w:ind w:firstLine="560"/>
        <w:jc w:val="both"/>
        <w:rPr>
          <w:rFonts w:hint="eastAsia" w:ascii="仿宋" w:hAnsi="仿宋" w:eastAsia="仿宋" w:cs="仿宋"/>
          <w:bCs/>
          <w:color w:val="auto"/>
          <w:sz w:val="28"/>
          <w:szCs w:val="28"/>
        </w:rPr>
      </w:pPr>
      <w:r>
        <w:rPr>
          <w:rFonts w:hint="eastAsia" w:ascii="仿宋" w:hAnsi="仿宋" w:eastAsia="仿宋" w:cs="仿宋"/>
          <w:bCs/>
          <w:color w:val="auto"/>
          <w:sz w:val="28"/>
          <w:szCs w:val="28"/>
        </w:rPr>
        <w:t>2．投标(响应)报价低于通过符合性审查的次低报价供应商投标(响应)报价50%的，即投标(响应)报价&lt;通过符合性审查的次低报价供应商投标(响应)报价×50%；</w:t>
      </w:r>
    </w:p>
    <w:p w14:paraId="56633065">
      <w:pPr>
        <w:pStyle w:val="32"/>
        <w:widowControl/>
        <w:shd w:val="clear" w:color="auto" w:fill="FFFFFF"/>
        <w:spacing w:beforeAutospacing="0" w:afterAutospacing="0" w:line="480" w:lineRule="exact"/>
        <w:ind w:firstLine="560"/>
        <w:jc w:val="both"/>
        <w:rPr>
          <w:rFonts w:hint="default"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投标(响应)报价低于采购项目最高限价45%的，即投标(响应)报价&lt;采购项目最高限价</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45%；</w:t>
      </w:r>
    </w:p>
    <w:p w14:paraId="3F4DE8AE">
      <w:pPr>
        <w:pStyle w:val="32"/>
        <w:widowControl/>
        <w:shd w:val="clear" w:color="auto" w:fill="FFFFFF"/>
        <w:spacing w:beforeAutospacing="0" w:afterAutospacing="0" w:line="480" w:lineRule="exact"/>
        <w:ind w:firstLine="560"/>
        <w:jc w:val="both"/>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4</w:t>
      </w:r>
      <w:r>
        <w:rPr>
          <w:rFonts w:hint="eastAsia" w:ascii="仿宋" w:hAnsi="仿宋" w:eastAsia="仿宋" w:cs="仿宋"/>
          <w:bCs/>
          <w:color w:val="auto"/>
          <w:sz w:val="28"/>
          <w:szCs w:val="28"/>
        </w:rPr>
        <w:t>．评审委员会基于专业判断，认为供应商报价过低，有可能影响产品质量或者不能诚信履约的其他情形。</w:t>
      </w:r>
    </w:p>
    <w:p w14:paraId="605AB1C9">
      <w:pPr>
        <w:pStyle w:val="32"/>
        <w:widowControl/>
        <w:shd w:val="clear" w:color="auto" w:fill="FFFFFF"/>
        <w:spacing w:beforeAutospacing="0" w:afterAutospacing="0" w:line="480" w:lineRule="exact"/>
        <w:ind w:firstLine="560"/>
        <w:jc w:val="both"/>
        <w:rPr>
          <w:rFonts w:hint="eastAsia" w:ascii="仿宋" w:hAnsi="仿宋" w:eastAsia="仿宋" w:cs="仿宋"/>
          <w:bCs/>
          <w:color w:val="auto"/>
          <w:sz w:val="28"/>
          <w:szCs w:val="28"/>
        </w:rPr>
      </w:pPr>
      <w:r>
        <w:rPr>
          <w:rFonts w:hint="eastAsia" w:ascii="仿宋" w:hAnsi="仿宋" w:eastAsia="仿宋" w:cs="仿宋"/>
          <w:bCs/>
          <w:color w:val="auto"/>
          <w:sz w:val="28"/>
          <w:szCs w:val="28"/>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CBA5E40">
      <w:pPr>
        <w:pStyle w:val="3"/>
        <w:widowControl/>
        <w:shd w:val="clear" w:color="auto" w:fill="FFFFFF"/>
        <w:spacing w:beforeAutospacing="0" w:afterAutospacing="0" w:line="276" w:lineRule="auto"/>
        <w:jc w:val="both"/>
        <w:rPr>
          <w:rFonts w:hint="eastAsia" w:ascii="仿宋" w:hAnsi="仿宋" w:eastAsia="仿宋" w:cs="仿宋"/>
          <w:bCs/>
          <w:color w:val="auto"/>
          <w:sz w:val="28"/>
          <w:szCs w:val="28"/>
        </w:rPr>
      </w:pPr>
      <w:r>
        <w:rPr>
          <w:rFonts w:hint="eastAsia" w:ascii="仿宋" w:hAnsi="仿宋" w:eastAsia="仿宋" w:cs="仿宋"/>
          <w:bCs/>
          <w:color w:val="auto"/>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A959306">
      <w:pPr>
        <w:pStyle w:val="32"/>
        <w:keepNext/>
        <w:keepLines/>
        <w:spacing w:before="145" w:beforeAutospacing="0" w:after="145" w:afterAutospacing="0" w:line="360" w:lineRule="auto"/>
        <w:ind w:firstLine="498"/>
        <w:jc w:val="both"/>
        <w:rPr>
          <w:rFonts w:hint="eastAsia" w:ascii="仿宋" w:hAnsi="仿宋" w:eastAsia="仿宋" w:cs="仿宋"/>
          <w:b/>
          <w:color w:val="auto"/>
          <w:sz w:val="28"/>
          <w:szCs w:val="28"/>
          <w:highlight w:val="none"/>
          <w:shd w:val="clear" w:color="auto" w:fill="auto"/>
          <w:lang w:val="en-US" w:eastAsia="zh-CN"/>
        </w:rPr>
      </w:pPr>
      <w:r>
        <w:rPr>
          <w:rFonts w:hint="eastAsia" w:ascii="仿宋" w:hAnsi="仿宋" w:eastAsia="仿宋" w:cs="仿宋"/>
          <w:b/>
          <w:color w:val="auto"/>
          <w:sz w:val="28"/>
          <w:szCs w:val="28"/>
          <w:highlight w:val="none"/>
          <w:shd w:val="clear" w:color="auto" w:fill="auto"/>
          <w:lang w:val="en-US" w:eastAsia="zh-CN"/>
        </w:rPr>
        <w:t>八、凡对本次采购提出询问，请按以下方式联系。</w:t>
      </w:r>
      <w:bookmarkEnd w:id="12"/>
    </w:p>
    <w:p w14:paraId="57106A0E">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1.采购人信息</w:t>
      </w:r>
    </w:p>
    <w:p w14:paraId="447E0083">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名  称：</w:t>
      </w:r>
      <w:r>
        <w:rPr>
          <w:rFonts w:hint="eastAsia" w:ascii="仿宋" w:hAnsi="仿宋" w:eastAsia="仿宋" w:cs="仿宋"/>
          <w:sz w:val="28"/>
          <w:szCs w:val="28"/>
          <w:shd w:val="clear" w:color="auto" w:fill="FFFFFF"/>
          <w:lang w:eastAsia="zh-CN"/>
        </w:rPr>
        <w:t>江苏响水经济开发区管理委员会</w:t>
      </w:r>
    </w:p>
    <w:p w14:paraId="79BF9108">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地  址：</w:t>
      </w:r>
      <w:r>
        <w:rPr>
          <w:rFonts w:hint="eastAsia" w:ascii="仿宋" w:hAnsi="仿宋" w:eastAsia="仿宋" w:cs="仿宋"/>
          <w:sz w:val="28"/>
          <w:szCs w:val="28"/>
          <w:shd w:val="clear" w:color="auto" w:fill="FFFFFF"/>
          <w:lang w:val="en-US" w:eastAsia="zh-CN"/>
        </w:rPr>
        <w:t>盐城市响水县经济开发区工业邻里中心灌江路南侧</w:t>
      </w:r>
      <w:r>
        <w:rPr>
          <w:rFonts w:hint="eastAsia" w:ascii="仿宋" w:hAnsi="仿宋" w:eastAsia="仿宋" w:cs="仿宋"/>
          <w:sz w:val="28"/>
          <w:szCs w:val="28"/>
          <w:shd w:val="clear" w:color="auto" w:fill="FFFFFF"/>
        </w:rPr>
        <w:t xml:space="preserve"> </w:t>
      </w:r>
    </w:p>
    <w:p w14:paraId="2C09E173">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联系人：</w:t>
      </w:r>
      <w:r>
        <w:rPr>
          <w:rFonts w:hint="eastAsia" w:ascii="仿宋" w:hAnsi="仿宋" w:eastAsia="仿宋" w:cs="仿宋"/>
          <w:sz w:val="28"/>
          <w:szCs w:val="28"/>
          <w:shd w:val="clear" w:color="auto" w:fill="FFFFFF"/>
          <w:lang w:val="en-US" w:eastAsia="zh-CN"/>
        </w:rPr>
        <w:t>夏女士</w:t>
      </w:r>
      <w:r>
        <w:rPr>
          <w:rFonts w:hint="eastAsia" w:ascii="仿宋" w:hAnsi="仿宋" w:eastAsia="仿宋" w:cs="仿宋"/>
          <w:sz w:val="28"/>
          <w:szCs w:val="28"/>
          <w:shd w:val="clear" w:color="auto" w:fill="FFFFFF"/>
        </w:rPr>
        <w:t xml:space="preserve">              </w:t>
      </w:r>
    </w:p>
    <w:p w14:paraId="37494EC9">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联系方式：</w:t>
      </w:r>
      <w:r>
        <w:rPr>
          <w:rFonts w:hint="eastAsia" w:ascii="仿宋" w:hAnsi="仿宋" w:eastAsia="仿宋" w:cs="仿宋"/>
          <w:sz w:val="28"/>
          <w:szCs w:val="28"/>
          <w:shd w:val="clear" w:color="auto" w:fill="FFFFFF"/>
          <w:lang w:val="en-US" w:eastAsia="zh-CN"/>
        </w:rPr>
        <w:t>0515-85077922</w:t>
      </w:r>
      <w:r>
        <w:rPr>
          <w:rFonts w:hint="eastAsia" w:ascii="仿宋" w:hAnsi="仿宋" w:eastAsia="仿宋" w:cs="仿宋"/>
          <w:sz w:val="28"/>
          <w:szCs w:val="28"/>
          <w:shd w:val="clear" w:color="auto" w:fill="FFFFFF"/>
        </w:rPr>
        <w:t xml:space="preserve">  </w:t>
      </w:r>
      <w:bookmarkStart w:id="22" w:name="_Toc28359009"/>
      <w:bookmarkEnd w:id="22"/>
      <w:r>
        <w:rPr>
          <w:rFonts w:hint="eastAsia" w:ascii="仿宋" w:hAnsi="仿宋" w:eastAsia="仿宋" w:cs="仿宋"/>
          <w:sz w:val="28"/>
          <w:szCs w:val="28"/>
          <w:shd w:val="clear" w:color="auto" w:fill="FFFFFF"/>
        </w:rPr>
        <w:t xml:space="preserve">       </w:t>
      </w:r>
    </w:p>
    <w:p w14:paraId="4FA70B56">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2.采购代理机构信息</w:t>
      </w:r>
    </w:p>
    <w:p w14:paraId="09E4673B">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名 称： 江苏佳弘项目管理有限公司</w:t>
      </w:r>
    </w:p>
    <w:p w14:paraId="3F40018A">
      <w:pPr>
        <w:pStyle w:val="32"/>
        <w:widowControl/>
        <w:shd w:val="clear" w:color="auto" w:fill="FFFFFF"/>
        <w:spacing w:beforeAutospacing="0" w:afterAutospacing="0" w:line="360" w:lineRule="auto"/>
        <w:ind w:firstLine="561"/>
        <w:jc w:val="both"/>
        <w:rPr>
          <w:rFonts w:hint="default"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地 址：盐城市响水县县城204国道东侧兴业南路</w:t>
      </w:r>
    </w:p>
    <w:p w14:paraId="3E057490">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联系人：贺女士                    </w:t>
      </w:r>
    </w:p>
    <w:p w14:paraId="101048B1">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联系方式：18051702287                 </w:t>
      </w:r>
    </w:p>
    <w:p w14:paraId="531C99C0">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3.项目联系方式</w:t>
      </w:r>
    </w:p>
    <w:p w14:paraId="2719B7EE">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联系人：贺女士   </w:t>
      </w:r>
    </w:p>
    <w:p w14:paraId="13E2682B">
      <w:pPr>
        <w:pStyle w:val="32"/>
        <w:widowControl/>
        <w:shd w:val="clear" w:color="auto" w:fill="FFFFFF"/>
        <w:spacing w:beforeAutospacing="0" w:afterAutospacing="0" w:line="360" w:lineRule="auto"/>
        <w:ind w:firstLine="561"/>
        <w:jc w:val="both"/>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联系方式：18051702287</w:t>
      </w:r>
    </w:p>
    <w:p w14:paraId="7FE780DC">
      <w:pPr>
        <w:pStyle w:val="2"/>
        <w:keepNext/>
        <w:keepLines/>
        <w:pageBreakBefore/>
        <w:widowControl w:val="0"/>
        <w:spacing w:before="0" w:after="0" w:line="360" w:lineRule="auto"/>
        <w:jc w:val="center"/>
        <w:rPr>
          <w:sz w:val="32"/>
          <w:szCs w:val="32"/>
        </w:rPr>
      </w:pPr>
      <w:bookmarkStart w:id="23" w:name="_Toc120614211"/>
      <w:bookmarkStart w:id="24" w:name="_Toc24847"/>
      <w:r>
        <w:rPr>
          <w:rFonts w:hint="eastAsia"/>
          <w:sz w:val="32"/>
          <w:szCs w:val="32"/>
        </w:rPr>
        <w:t>第二章</w:t>
      </w:r>
      <w:bookmarkEnd w:id="23"/>
      <w:r>
        <w:rPr>
          <w:rFonts w:hint="eastAsia"/>
          <w:sz w:val="32"/>
          <w:szCs w:val="32"/>
        </w:rPr>
        <w:t xml:space="preserve">   供应商须知</w:t>
      </w:r>
      <w:bookmarkEnd w:id="24"/>
    </w:p>
    <w:p w14:paraId="31E05D49">
      <w:pPr>
        <w:pStyle w:val="32"/>
        <w:keepNext/>
        <w:keepLines/>
        <w:spacing w:before="145" w:beforeAutospacing="0" w:after="145" w:afterAutospacing="0" w:line="360" w:lineRule="auto"/>
        <w:ind w:firstLine="498"/>
        <w:jc w:val="both"/>
        <w:rPr>
          <w:rFonts w:hint="eastAsia" w:ascii="宋体" w:hAnsi="宋体" w:eastAsia="宋体" w:cs="宋体"/>
        </w:rPr>
      </w:pPr>
      <w:bookmarkStart w:id="25" w:name="_Toc20823275"/>
      <w:bookmarkStart w:id="26" w:name="_Toc16938519"/>
      <w:bookmarkStart w:id="27" w:name="_Toc120614214"/>
      <w:bookmarkStart w:id="28" w:name="_Toc513029203"/>
      <w:r>
        <w:rPr>
          <w:rFonts w:hint="eastAsia" w:ascii="宋体" w:hAnsi="宋体" w:eastAsia="宋体" w:cs="宋体"/>
          <w:b/>
        </w:rPr>
        <w:t>一、总则</w:t>
      </w:r>
      <w:bookmarkEnd w:id="25"/>
      <w:bookmarkEnd w:id="26"/>
      <w:bookmarkEnd w:id="27"/>
      <w:bookmarkEnd w:id="28"/>
    </w:p>
    <w:p w14:paraId="4844C6D4">
      <w:pPr>
        <w:pStyle w:val="32"/>
        <w:keepNext/>
        <w:keepLines/>
        <w:spacing w:beforeAutospacing="0" w:afterAutospacing="0" w:line="360" w:lineRule="auto"/>
        <w:ind w:firstLine="420"/>
        <w:jc w:val="both"/>
        <w:rPr>
          <w:rFonts w:hint="eastAsia" w:ascii="宋体" w:hAnsi="宋体" w:eastAsia="宋体" w:cs="宋体"/>
        </w:rPr>
      </w:pPr>
      <w:bookmarkStart w:id="29" w:name="_Toc20823276"/>
      <w:bookmarkStart w:id="30" w:name="_Toc16938520"/>
      <w:bookmarkStart w:id="31" w:name="_Toc458694821"/>
      <w:bookmarkStart w:id="32" w:name="_Toc513029204"/>
      <w:r>
        <w:rPr>
          <w:rFonts w:hint="eastAsia" w:ascii="宋体" w:hAnsi="宋体" w:eastAsia="宋体" w:cs="宋体"/>
        </w:rPr>
        <w:t>1</w:t>
      </w:r>
      <w:bookmarkEnd w:id="29"/>
      <w:r>
        <w:rPr>
          <w:rFonts w:hint="eastAsia" w:ascii="宋体" w:hAnsi="宋体" w:eastAsia="宋体" w:cs="宋体"/>
        </w:rPr>
        <w:t>、采购方式</w:t>
      </w:r>
      <w:bookmarkEnd w:id="30"/>
      <w:bookmarkEnd w:id="31"/>
      <w:bookmarkEnd w:id="32"/>
    </w:p>
    <w:p w14:paraId="6D1B86D3">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1.1 本次政府采购活动采取竞争性磋商(以下简称磋商)方式，本磋商文件仅适用于磋商公告中所述项目。</w:t>
      </w:r>
    </w:p>
    <w:p w14:paraId="411ABFB0">
      <w:pPr>
        <w:pStyle w:val="32"/>
        <w:keepNext/>
        <w:keepLines/>
        <w:spacing w:beforeAutospacing="0" w:afterAutospacing="0" w:line="360" w:lineRule="auto"/>
        <w:ind w:firstLine="420"/>
        <w:jc w:val="both"/>
        <w:rPr>
          <w:rFonts w:hint="eastAsia" w:ascii="宋体" w:hAnsi="宋体" w:eastAsia="宋体" w:cs="宋体"/>
        </w:rPr>
      </w:pPr>
      <w:bookmarkStart w:id="33" w:name="_Toc16938521"/>
      <w:bookmarkStart w:id="34" w:name="_Toc20823277"/>
      <w:bookmarkStart w:id="35" w:name="_Toc513029205"/>
      <w:r>
        <w:rPr>
          <w:rFonts w:hint="eastAsia" w:ascii="宋体" w:hAnsi="宋体" w:eastAsia="宋体" w:cs="宋体"/>
        </w:rPr>
        <w:t>2、合格的</w:t>
      </w:r>
      <w:bookmarkEnd w:id="33"/>
      <w:bookmarkEnd w:id="34"/>
      <w:bookmarkEnd w:id="35"/>
      <w:r>
        <w:rPr>
          <w:rFonts w:hint="eastAsia" w:ascii="宋体" w:hAnsi="宋体" w:eastAsia="宋体" w:cs="宋体"/>
        </w:rPr>
        <w:t>供应商</w:t>
      </w:r>
    </w:p>
    <w:p w14:paraId="1181D92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2.1满足磋商公告中供应商资格要求的规定。</w:t>
      </w:r>
    </w:p>
    <w:p w14:paraId="1CF12EB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2.2 满足本磋商文件实质性要求和条件的规定。</w:t>
      </w:r>
    </w:p>
    <w:p w14:paraId="225D9E90">
      <w:pPr>
        <w:pStyle w:val="32"/>
        <w:keepNext/>
        <w:keepLines/>
        <w:spacing w:beforeAutospacing="0" w:afterAutospacing="0" w:line="360" w:lineRule="auto"/>
        <w:ind w:firstLine="420"/>
        <w:jc w:val="both"/>
        <w:rPr>
          <w:rFonts w:hint="eastAsia" w:ascii="宋体" w:hAnsi="宋体" w:eastAsia="宋体" w:cs="宋体"/>
        </w:rPr>
      </w:pPr>
      <w:bookmarkStart w:id="36" w:name="_Toc513029206"/>
      <w:bookmarkStart w:id="37" w:name="_Toc20823278"/>
      <w:bookmarkStart w:id="38" w:name="_Toc16938522"/>
      <w:r>
        <w:rPr>
          <w:rFonts w:hint="eastAsia" w:ascii="宋体" w:hAnsi="宋体" w:eastAsia="宋体" w:cs="宋体"/>
        </w:rPr>
        <w:t>3、适用法律</w:t>
      </w:r>
      <w:bookmarkEnd w:id="36"/>
      <w:bookmarkEnd w:id="37"/>
      <w:bookmarkEnd w:id="38"/>
    </w:p>
    <w:p w14:paraId="751F0959">
      <w:pPr>
        <w:pStyle w:val="32"/>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3.1 本次磋商及由此产生的合同受中华人民共和国有关的法律法规制约和保护。</w:t>
      </w:r>
    </w:p>
    <w:p w14:paraId="2189476E">
      <w:pPr>
        <w:pStyle w:val="32"/>
        <w:keepNext/>
        <w:keepLines/>
        <w:spacing w:beforeAutospacing="0" w:afterAutospacing="0" w:line="360" w:lineRule="auto"/>
        <w:ind w:firstLine="420"/>
        <w:jc w:val="both"/>
        <w:rPr>
          <w:rFonts w:hint="eastAsia" w:ascii="宋体" w:hAnsi="宋体" w:eastAsia="宋体" w:cs="宋体"/>
        </w:rPr>
      </w:pPr>
      <w:bookmarkStart w:id="39" w:name="_Toc16938523"/>
      <w:bookmarkStart w:id="40" w:name="_Toc513029207"/>
      <w:bookmarkStart w:id="41" w:name="_Toc20823279"/>
      <w:bookmarkStart w:id="42" w:name="_Toc462564067"/>
      <w:r>
        <w:rPr>
          <w:rFonts w:hint="eastAsia" w:ascii="宋体" w:hAnsi="宋体" w:eastAsia="宋体" w:cs="宋体"/>
        </w:rPr>
        <w:t>4、磋商费用</w:t>
      </w:r>
      <w:bookmarkEnd w:id="39"/>
      <w:bookmarkEnd w:id="40"/>
      <w:bookmarkEnd w:id="41"/>
      <w:bookmarkEnd w:id="42"/>
    </w:p>
    <w:p w14:paraId="22357B0B">
      <w:pPr>
        <w:pStyle w:val="32"/>
        <w:spacing w:beforeAutospacing="0" w:afterAutospacing="0" w:line="360"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4.1供应商应自行承担所有与参加本次磋商有关的费用，无论磋商过程中的做法和结果如何，采购人及代理公司在任何情况下均无义务和责任承担这些费用。</w:t>
      </w:r>
    </w:p>
    <w:p w14:paraId="10EAA3D2">
      <w:pPr>
        <w:spacing w:line="360" w:lineRule="auto"/>
        <w:ind w:firstLine="480"/>
        <w:rPr>
          <w:rFonts w:hint="eastAsia" w:ascii="宋体" w:hAnsi="宋体" w:eastAsia="宋体" w:cs="宋体"/>
        </w:rPr>
      </w:pPr>
      <w:r>
        <w:rPr>
          <w:rFonts w:hint="eastAsia" w:ascii="宋体" w:hAnsi="宋体" w:eastAsia="宋体" w:cs="宋体"/>
          <w:color w:val="000000" w:themeColor="text1"/>
          <w:sz w:val="24"/>
          <w14:textFill>
            <w14:solidFill>
              <w14:schemeClr w14:val="tx1"/>
            </w14:solidFill>
          </w14:textFill>
        </w:rPr>
        <w:t>4.2本项目招标代理服务费按《江苏省招标代理服务收费的指导意见》（苏招协[2022]002号）文规定的取费标准计取。上述费用由成交供应商在领取成交通知书前一次性向招标代理机构缴纳。此项费用投标报价时不单列，供应商综合考虑在投标报价中。</w:t>
      </w:r>
    </w:p>
    <w:p w14:paraId="7628BD7F">
      <w:pPr>
        <w:pStyle w:val="32"/>
        <w:keepNext/>
        <w:keepLines/>
        <w:spacing w:beforeAutospacing="0" w:afterAutospacing="0" w:line="360" w:lineRule="auto"/>
        <w:ind w:firstLine="480"/>
        <w:jc w:val="both"/>
        <w:rPr>
          <w:rFonts w:hint="eastAsia" w:ascii="宋体" w:hAnsi="宋体" w:eastAsia="宋体" w:cs="宋体"/>
        </w:rPr>
      </w:pPr>
      <w:r>
        <w:rPr>
          <w:rFonts w:hint="eastAsia" w:ascii="宋体" w:hAnsi="宋体" w:eastAsia="宋体" w:cs="宋体"/>
          <w:bCs/>
        </w:rPr>
        <w:t>5、</w:t>
      </w:r>
      <w:r>
        <w:rPr>
          <w:rFonts w:hint="eastAsia" w:ascii="宋体" w:hAnsi="宋体" w:eastAsia="宋体" w:cs="宋体"/>
        </w:rPr>
        <w:t>磋商文件的约束力</w:t>
      </w:r>
    </w:p>
    <w:p w14:paraId="06A5E613">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5.1供应商一旦参加本项目采购活动，即被认为接受了本磋商文件的规定和约束。</w:t>
      </w:r>
    </w:p>
    <w:p w14:paraId="67E72B51">
      <w:pPr>
        <w:pStyle w:val="32"/>
        <w:keepNext/>
        <w:keepLines/>
        <w:spacing w:before="145" w:beforeAutospacing="0" w:after="145" w:afterAutospacing="0" w:line="360" w:lineRule="auto"/>
        <w:ind w:firstLine="321"/>
        <w:jc w:val="both"/>
        <w:rPr>
          <w:rFonts w:hint="eastAsia" w:ascii="宋体" w:hAnsi="宋体" w:eastAsia="宋体" w:cs="宋体"/>
        </w:rPr>
      </w:pPr>
      <w:bookmarkStart w:id="43" w:name="_Toc513029209"/>
      <w:bookmarkStart w:id="44" w:name="_Toc20823281"/>
      <w:bookmarkStart w:id="45" w:name="_Toc16938525"/>
      <w:bookmarkStart w:id="46" w:name="_Toc120614215"/>
      <w:r>
        <w:rPr>
          <w:rFonts w:hint="eastAsia" w:ascii="宋体" w:hAnsi="宋体" w:eastAsia="宋体" w:cs="宋体"/>
          <w:b/>
        </w:rPr>
        <w:t>二、</w:t>
      </w:r>
      <w:bookmarkEnd w:id="43"/>
      <w:bookmarkEnd w:id="44"/>
      <w:bookmarkEnd w:id="45"/>
      <w:bookmarkEnd w:id="46"/>
      <w:r>
        <w:rPr>
          <w:rFonts w:hint="eastAsia" w:ascii="宋体" w:hAnsi="宋体" w:eastAsia="宋体" w:cs="宋体"/>
          <w:b/>
        </w:rPr>
        <w:t>磋商文件</w:t>
      </w:r>
    </w:p>
    <w:p w14:paraId="55808D7A">
      <w:pPr>
        <w:pStyle w:val="32"/>
        <w:keepNext/>
        <w:keepLines/>
        <w:spacing w:beforeAutospacing="0" w:afterAutospacing="0" w:line="360" w:lineRule="auto"/>
        <w:ind w:firstLine="420"/>
        <w:jc w:val="both"/>
        <w:rPr>
          <w:rFonts w:hint="eastAsia" w:ascii="宋体" w:hAnsi="宋体" w:eastAsia="宋体" w:cs="宋体"/>
        </w:rPr>
      </w:pPr>
      <w:bookmarkStart w:id="47" w:name="_Toc513029210"/>
      <w:bookmarkStart w:id="48" w:name="_Toc16938526"/>
      <w:bookmarkStart w:id="49" w:name="_Toc20823282"/>
      <w:r>
        <w:rPr>
          <w:rFonts w:hint="eastAsia" w:ascii="宋体" w:hAnsi="宋体" w:eastAsia="宋体" w:cs="宋体"/>
        </w:rPr>
        <w:t>6、磋商文件构成</w:t>
      </w:r>
      <w:bookmarkEnd w:id="47"/>
      <w:bookmarkEnd w:id="48"/>
      <w:bookmarkEnd w:id="49"/>
    </w:p>
    <w:p w14:paraId="1FA9FD1A">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6.1磋商文件由以下部分组成：</w:t>
      </w:r>
    </w:p>
    <w:p w14:paraId="529133C5">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rPr>
        <w:t>（1）磋商公告</w:t>
      </w:r>
    </w:p>
    <w:p w14:paraId="2D0A7818">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rPr>
        <w:t>（2）供应商须知</w:t>
      </w:r>
    </w:p>
    <w:p w14:paraId="4EC89EF6">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rPr>
        <w:t>（3）合同文本</w:t>
      </w:r>
    </w:p>
    <w:p w14:paraId="6A2FDD43">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rPr>
        <w:t>（4）采购需求</w:t>
      </w:r>
    </w:p>
    <w:p w14:paraId="48DCB31B">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rPr>
        <w:t>（5）评审方法与评审标准</w:t>
      </w:r>
    </w:p>
    <w:p w14:paraId="7E349CDD">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rPr>
        <w:t>（6）响应文件格式</w:t>
      </w:r>
    </w:p>
    <w:p w14:paraId="59B4357F">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请仔细检查磋商文件是否齐全，如有缺漏请立即与代理机构联系解决。</w:t>
      </w:r>
    </w:p>
    <w:p w14:paraId="414B1EE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C50EC59">
      <w:pPr>
        <w:pStyle w:val="32"/>
        <w:keepNext/>
        <w:keepLines/>
        <w:spacing w:beforeAutospacing="0" w:afterAutospacing="0" w:line="360" w:lineRule="auto"/>
        <w:ind w:firstLine="480"/>
        <w:jc w:val="both"/>
        <w:rPr>
          <w:rFonts w:hint="eastAsia" w:ascii="宋体" w:hAnsi="宋体" w:eastAsia="宋体" w:cs="宋体"/>
        </w:rPr>
      </w:pPr>
      <w:bookmarkStart w:id="50" w:name="_Toc462564070"/>
      <w:bookmarkStart w:id="51" w:name="_Toc16938527"/>
      <w:bookmarkStart w:id="52" w:name="_Toc20823283"/>
      <w:bookmarkStart w:id="53" w:name="_Toc513029211"/>
      <w:r>
        <w:rPr>
          <w:rFonts w:hint="eastAsia" w:ascii="宋体" w:hAnsi="宋体" w:eastAsia="宋体" w:cs="宋体"/>
        </w:rPr>
        <w:t>7、磋商文件的澄清</w:t>
      </w:r>
      <w:bookmarkEnd w:id="50"/>
      <w:bookmarkEnd w:id="51"/>
      <w:bookmarkEnd w:id="52"/>
      <w:bookmarkEnd w:id="53"/>
    </w:p>
    <w:p w14:paraId="18447CF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7.1 任何要求对磋商文件进行澄清的供应商，应在磋商截止期5日前按磋商公告中的通讯地址，以书面形式通知代理机构。</w:t>
      </w:r>
    </w:p>
    <w:p w14:paraId="40BE14FC">
      <w:pPr>
        <w:pStyle w:val="32"/>
        <w:keepNext/>
        <w:keepLines/>
        <w:spacing w:beforeAutospacing="0" w:afterAutospacing="0" w:line="360" w:lineRule="auto"/>
        <w:ind w:firstLine="480"/>
        <w:jc w:val="both"/>
        <w:rPr>
          <w:rFonts w:hint="eastAsia" w:ascii="宋体" w:hAnsi="宋体" w:eastAsia="宋体" w:cs="宋体"/>
        </w:rPr>
      </w:pPr>
      <w:bookmarkStart w:id="54" w:name="_Toc20823284"/>
      <w:bookmarkStart w:id="55" w:name="_Toc16938528"/>
      <w:bookmarkStart w:id="56" w:name="_Toc462564071"/>
      <w:bookmarkStart w:id="57" w:name="_Toc513029212"/>
      <w:r>
        <w:rPr>
          <w:rFonts w:hint="eastAsia" w:ascii="宋体" w:hAnsi="宋体" w:eastAsia="宋体" w:cs="宋体"/>
        </w:rPr>
        <w:t>8、磋商文件的澄清和修改</w:t>
      </w:r>
      <w:bookmarkEnd w:id="54"/>
      <w:bookmarkEnd w:id="55"/>
      <w:bookmarkEnd w:id="56"/>
      <w:bookmarkEnd w:id="57"/>
    </w:p>
    <w:p w14:paraId="021D9EF7">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8.1 在响应文件提交截止时间前，采购人可以对磋商文件进行澄清和修改, 澄清或者修改的内容作为磋商文件的组成部分。澄清或者修改的内容可能影响响应文件编制的，代理机构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更正公告内容将作为磋商文件的组成部分，并对供应商具有约束力。不足5日的，采购人将顺延提交首次响应文件截止时间。</w:t>
      </w:r>
    </w:p>
    <w:p w14:paraId="2E93D63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8.2采购人可以视采购项目的具体情况，组织供应商进行现场考察或召开磋商前答疑会，但不单独或分别组织只有一个供应商参加的现场考察和答疑会。</w:t>
      </w:r>
    </w:p>
    <w:p w14:paraId="168D7CB2">
      <w:pPr>
        <w:pStyle w:val="32"/>
        <w:keepNext/>
        <w:keepLines/>
        <w:spacing w:before="145" w:beforeAutospacing="0" w:after="145" w:afterAutospacing="0" w:line="360" w:lineRule="auto"/>
        <w:ind w:firstLine="482"/>
        <w:jc w:val="both"/>
        <w:rPr>
          <w:rFonts w:hint="eastAsia" w:ascii="宋体" w:hAnsi="宋体" w:eastAsia="宋体" w:cs="宋体"/>
        </w:rPr>
      </w:pPr>
      <w:bookmarkStart w:id="58" w:name="_Toc462564072"/>
      <w:bookmarkStart w:id="59" w:name="_Toc16938529"/>
      <w:bookmarkStart w:id="60" w:name="_Toc120614216"/>
      <w:bookmarkStart w:id="61" w:name="_Toc513029213"/>
      <w:bookmarkStart w:id="62" w:name="_Toc20823285"/>
      <w:r>
        <w:rPr>
          <w:rFonts w:hint="eastAsia" w:ascii="宋体" w:hAnsi="宋体" w:eastAsia="宋体" w:cs="宋体"/>
          <w:b/>
        </w:rPr>
        <w:t>三、响应文件的编制</w:t>
      </w:r>
      <w:bookmarkEnd w:id="58"/>
      <w:bookmarkEnd w:id="59"/>
      <w:bookmarkEnd w:id="60"/>
      <w:bookmarkEnd w:id="61"/>
      <w:bookmarkEnd w:id="62"/>
    </w:p>
    <w:p w14:paraId="09FF6A3B">
      <w:pPr>
        <w:pStyle w:val="32"/>
        <w:keepNext/>
        <w:keepLines/>
        <w:spacing w:beforeAutospacing="0" w:afterAutospacing="0" w:line="360" w:lineRule="auto"/>
        <w:ind w:firstLine="480"/>
        <w:jc w:val="both"/>
        <w:rPr>
          <w:rFonts w:hint="eastAsia" w:ascii="宋体" w:hAnsi="宋体" w:eastAsia="宋体" w:cs="宋体"/>
        </w:rPr>
      </w:pPr>
      <w:bookmarkStart w:id="63" w:name="_Toc513029214"/>
      <w:bookmarkStart w:id="64" w:name="_Toc462564073"/>
      <w:bookmarkStart w:id="65" w:name="_Toc16938530"/>
      <w:bookmarkStart w:id="66" w:name="_Toc20823286"/>
      <w:r>
        <w:rPr>
          <w:rFonts w:hint="eastAsia" w:ascii="宋体" w:hAnsi="宋体" w:eastAsia="宋体" w:cs="宋体"/>
        </w:rPr>
        <w:t>9、响应文件的语言及度量衡单位</w:t>
      </w:r>
      <w:bookmarkEnd w:id="63"/>
      <w:bookmarkEnd w:id="64"/>
      <w:bookmarkEnd w:id="65"/>
      <w:bookmarkEnd w:id="66"/>
    </w:p>
    <w:p w14:paraId="5528C9C8">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9.1供应商提交的响应文件以及供应商与采购人及代理机构就有关磋商的所有来往通知、函件和文件均应使用简体中文。</w:t>
      </w:r>
    </w:p>
    <w:p w14:paraId="588825F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9.2 除技术性能另有规定外，响应文件所使用的度量衡单位，均须采用国家法定计量单位。</w:t>
      </w:r>
    </w:p>
    <w:p w14:paraId="6B56D823">
      <w:pPr>
        <w:pStyle w:val="32"/>
        <w:keepNext/>
        <w:keepLines/>
        <w:spacing w:beforeAutospacing="0" w:afterAutospacing="0" w:line="360" w:lineRule="auto"/>
        <w:ind w:firstLine="420"/>
        <w:jc w:val="both"/>
        <w:rPr>
          <w:rFonts w:hint="eastAsia" w:ascii="宋体" w:hAnsi="宋体" w:eastAsia="宋体" w:cs="宋体"/>
        </w:rPr>
      </w:pPr>
      <w:bookmarkStart w:id="67" w:name="_Toc462564074"/>
      <w:bookmarkStart w:id="68" w:name="_Toc20823287"/>
      <w:bookmarkStart w:id="69" w:name="_Toc16938531"/>
      <w:bookmarkStart w:id="70" w:name="_Toc513029215"/>
      <w:r>
        <w:rPr>
          <w:rFonts w:hint="eastAsia" w:ascii="宋体" w:hAnsi="宋体" w:eastAsia="宋体" w:cs="宋体"/>
        </w:rPr>
        <w:t>10、响应文件构成</w:t>
      </w:r>
      <w:bookmarkEnd w:id="67"/>
      <w:bookmarkEnd w:id="68"/>
      <w:bookmarkEnd w:id="69"/>
      <w:bookmarkEnd w:id="70"/>
    </w:p>
    <w:p w14:paraId="0182748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10.1供应商编写的响应文件应包括资格证明文件、符合性证明文件、分项报价表、技术要求响应及偏离表、商务要求响应及偏离表、其他证明文件、磋商响应函等部分。</w:t>
      </w:r>
    </w:p>
    <w:p w14:paraId="06730F4D">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10.2如标书制作工具中格式和内容与“中国政府采购网”、“江苏政府采购网”、“盐城市政府采购网”发布的磋商文件不一致，请以“中国政府采购网”、“江苏政府采购网”、“盐城市政府采购网”发布的磋商文件为准。</w:t>
      </w:r>
    </w:p>
    <w:p w14:paraId="303A0ADE">
      <w:pPr>
        <w:pStyle w:val="32"/>
        <w:keepNext/>
        <w:keepLines/>
        <w:spacing w:beforeAutospacing="0" w:afterAutospacing="0" w:line="360" w:lineRule="auto"/>
        <w:ind w:firstLine="420"/>
        <w:jc w:val="both"/>
        <w:rPr>
          <w:rFonts w:hint="eastAsia" w:ascii="宋体" w:hAnsi="宋体" w:eastAsia="宋体" w:cs="宋体"/>
        </w:rPr>
      </w:pPr>
      <w:bookmarkStart w:id="71" w:name="_Toc49090509"/>
      <w:bookmarkStart w:id="72" w:name="_Toc49090507"/>
      <w:bookmarkStart w:id="73" w:name="_Toc513029216"/>
      <w:bookmarkStart w:id="74" w:name="_Toc14577354"/>
      <w:bookmarkStart w:id="75" w:name="_Toc14577355"/>
      <w:bookmarkStart w:id="76" w:name="_Toc49090508"/>
      <w:bookmarkStart w:id="77" w:name="_Toc513029219"/>
      <w:bookmarkStart w:id="78" w:name="_Toc14577357"/>
      <w:r>
        <w:rPr>
          <w:rFonts w:hint="eastAsia" w:ascii="宋体" w:hAnsi="宋体" w:eastAsia="宋体" w:cs="宋体"/>
        </w:rPr>
        <w:t>11、证明磋商响应标的符合磋商文件规定的文件</w:t>
      </w:r>
      <w:bookmarkEnd w:id="71"/>
      <w:bookmarkEnd w:id="72"/>
      <w:bookmarkEnd w:id="73"/>
      <w:bookmarkEnd w:id="74"/>
      <w:bookmarkEnd w:id="75"/>
      <w:bookmarkEnd w:id="76"/>
      <w:bookmarkEnd w:id="77"/>
      <w:bookmarkEnd w:id="78"/>
    </w:p>
    <w:p w14:paraId="3689BE21">
      <w:pPr>
        <w:pStyle w:val="32"/>
        <w:spacing w:beforeAutospacing="0" w:afterAutospacing="0" w:line="360" w:lineRule="auto"/>
        <w:jc w:val="both"/>
        <w:rPr>
          <w:rFonts w:hint="eastAsia" w:ascii="宋体" w:hAnsi="宋体" w:eastAsia="宋体" w:cs="宋体"/>
        </w:rPr>
      </w:pPr>
      <w:r>
        <w:rPr>
          <w:rFonts w:hint="eastAsia" w:ascii="宋体" w:hAnsi="宋体" w:eastAsia="宋体" w:cs="宋体"/>
        </w:rPr>
        <w:t>   11.1供应商应按照磋商文件要求提交证明文件，证明其及磋商响应标的符合磋商文件规定。</w:t>
      </w:r>
    </w:p>
    <w:p w14:paraId="526384B8">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11.2磋商文件对证明文件无明确形式要求的，证明文件可以以文字资料、图纸和数据等形式提交。</w:t>
      </w:r>
    </w:p>
    <w:p w14:paraId="598F45B8">
      <w:pPr>
        <w:pStyle w:val="32"/>
        <w:keepNext/>
        <w:keepLines/>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12、分项报价表</w:t>
      </w:r>
    </w:p>
    <w:p w14:paraId="04BFB02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12.1供应商应按照磋商文件规定格式填报分项报价表。</w:t>
      </w:r>
    </w:p>
    <w:p w14:paraId="5832827F">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12.2磋商货币。响应文件中的单价和总价无特殊规定的采用人民币报价，以元为单位标注。磋商文件中另有规定的按规定执行。</w:t>
      </w:r>
    </w:p>
    <w:p w14:paraId="5218EB70">
      <w:pPr>
        <w:pStyle w:val="32"/>
        <w:keepNext/>
        <w:keepLines/>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13、技术要求响应及偏离表、商务要求响应及偏离表</w:t>
      </w:r>
    </w:p>
    <w:p w14:paraId="12667196">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13.1供应商需对磋商文件中的技术要求与商务要求逐项作出响应或偏离，并说明原因。</w:t>
      </w:r>
    </w:p>
    <w:p w14:paraId="71A2E8F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13.2供应商可在响应文件中提供认为需要的其他技术文件或说明。</w:t>
      </w:r>
    </w:p>
    <w:p w14:paraId="5ECAD057">
      <w:pPr>
        <w:pStyle w:val="32"/>
        <w:keepNext/>
        <w:keepLines/>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14、服务承诺、培训计划、人员安排及其他</w:t>
      </w:r>
    </w:p>
    <w:p w14:paraId="23E75A5A">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14.1供应商需根据磋商文件要求提供有关售后服务的管理制度，售后服务机构的分布情况，售后服务人员的数量、素质、技术水平及售后服务的反应能力等。</w:t>
      </w:r>
    </w:p>
    <w:p w14:paraId="5F961149">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14.2供应商需根据磋商文件要求提供培训计划。</w:t>
      </w:r>
    </w:p>
    <w:p w14:paraId="6B1DE8E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14.3供应商需根据磋商文件要求提供磋商响应标的的主要组成部分、功能设计、实现思路及关键技术等。</w:t>
      </w:r>
    </w:p>
    <w:p w14:paraId="06BB1BB5">
      <w:pPr>
        <w:pStyle w:val="32"/>
        <w:keepNext/>
        <w:keepLines/>
        <w:spacing w:beforeAutospacing="0" w:afterAutospacing="0" w:line="360" w:lineRule="auto"/>
        <w:ind w:firstLine="420"/>
        <w:jc w:val="both"/>
        <w:rPr>
          <w:rFonts w:hint="eastAsia" w:ascii="宋体" w:hAnsi="宋体" w:eastAsia="宋体" w:cs="宋体"/>
        </w:rPr>
      </w:pPr>
      <w:bookmarkStart w:id="79" w:name="_Toc49090510"/>
      <w:bookmarkStart w:id="80" w:name="_Toc14577359"/>
      <w:r>
        <w:rPr>
          <w:rFonts w:hint="eastAsia" w:ascii="宋体" w:hAnsi="宋体" w:eastAsia="宋体" w:cs="宋体"/>
        </w:rPr>
        <w:t>15、磋商响应函</w:t>
      </w:r>
      <w:bookmarkEnd w:id="79"/>
      <w:bookmarkEnd w:id="80"/>
    </w:p>
    <w:p w14:paraId="53C1241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15.1供应商应按照磋商文件中提供的格式完整、正确填写磋商响应函。</w:t>
      </w:r>
    </w:p>
    <w:p w14:paraId="7FF287AD">
      <w:pPr>
        <w:pStyle w:val="32"/>
        <w:keepNext/>
        <w:keepLines/>
        <w:spacing w:beforeAutospacing="0" w:afterAutospacing="0" w:line="360" w:lineRule="auto"/>
        <w:ind w:firstLine="420"/>
        <w:jc w:val="both"/>
        <w:rPr>
          <w:rFonts w:hint="eastAsia" w:ascii="宋体" w:hAnsi="宋体" w:eastAsia="宋体" w:cs="宋体"/>
        </w:rPr>
      </w:pPr>
      <w:bookmarkStart w:id="81" w:name="_Toc14577360"/>
      <w:bookmarkStart w:id="82" w:name="_Toc49090511"/>
      <w:r>
        <w:rPr>
          <w:rFonts w:hint="eastAsia" w:ascii="宋体" w:hAnsi="宋体" w:eastAsia="宋体" w:cs="宋体"/>
        </w:rPr>
        <w:t>16、磋商有效期</w:t>
      </w:r>
      <w:bookmarkEnd w:id="81"/>
      <w:bookmarkEnd w:id="82"/>
    </w:p>
    <w:p w14:paraId="770921CF">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16.1磋商有效期为规定的提交响应文件截止之日后</w:t>
      </w:r>
      <w:r>
        <w:rPr>
          <w:rFonts w:hint="eastAsia" w:ascii="宋体" w:hAnsi="宋体" w:eastAsia="宋体" w:cs="宋体"/>
          <w:b/>
          <w:u w:val="single"/>
        </w:rPr>
        <w:t>六十（60）天</w:t>
      </w:r>
      <w:r>
        <w:rPr>
          <w:rFonts w:hint="eastAsia" w:ascii="宋体" w:hAnsi="宋体" w:eastAsia="宋体" w:cs="宋体"/>
        </w:rPr>
        <w:t>。磋商有效期比规定短的将被视为非实质性响应磋商文件而予以拒绝。</w:t>
      </w:r>
    </w:p>
    <w:p w14:paraId="7B963EC0">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17、磋商有效期的延长</w:t>
      </w:r>
    </w:p>
    <w:p w14:paraId="499531B0">
      <w:pPr>
        <w:ind w:firstLine="480"/>
        <w:rPr>
          <w:rFonts w:hint="eastAsia" w:ascii="宋体" w:hAnsi="宋体" w:eastAsia="宋体" w:cs="宋体"/>
          <w:bCs/>
          <w:sz w:val="24"/>
        </w:rPr>
      </w:pPr>
      <w:bookmarkStart w:id="83" w:name="_Toc513029224"/>
      <w:bookmarkStart w:id="84" w:name="_Toc120614217"/>
      <w:bookmarkStart w:id="85" w:name="_Toc20823296"/>
      <w:bookmarkStart w:id="86" w:name="_Toc16938540"/>
      <w:r>
        <w:rPr>
          <w:rFonts w:hint="eastAsia" w:ascii="宋体" w:hAnsi="宋体" w:eastAsia="宋体" w:cs="宋体"/>
          <w:bCs/>
          <w:sz w:val="24"/>
        </w:rPr>
        <w:t>17.1在特殊情况下，采购人于原磋商有效期满之前，可向供应商提出延长磋商有效期的要求。这种要求与答复均应采用书面形式。供应商可以拒绝采购人及代理机构的这一要求而放弃磋商，同意延长磋商有效期的供应商既不能要求也不允许修改其响应文件。受磋商有效期约束的所有权利与义务均延长至新的有效期。</w:t>
      </w:r>
    </w:p>
    <w:p w14:paraId="1BDD1B82">
      <w:pPr>
        <w:ind w:firstLine="482"/>
        <w:rPr>
          <w:rFonts w:hint="eastAsia" w:ascii="宋体" w:hAnsi="宋体" w:eastAsia="宋体" w:cs="宋体"/>
          <w:b/>
          <w:sz w:val="24"/>
        </w:rPr>
      </w:pPr>
      <w:r>
        <w:rPr>
          <w:rFonts w:hint="eastAsia" w:ascii="宋体" w:hAnsi="宋体" w:eastAsia="宋体" w:cs="宋体"/>
          <w:b/>
          <w:sz w:val="24"/>
        </w:rPr>
        <w:t>四、响应文件的递交</w:t>
      </w:r>
      <w:bookmarkEnd w:id="83"/>
      <w:bookmarkEnd w:id="84"/>
      <w:bookmarkEnd w:id="85"/>
      <w:bookmarkEnd w:id="86"/>
      <w:bookmarkStart w:id="87" w:name="_Toc16938541"/>
      <w:bookmarkStart w:id="88" w:name="_Toc462564084"/>
      <w:bookmarkStart w:id="89" w:name="_Toc513029225"/>
      <w:bookmarkStart w:id="90" w:name="_Toc20823297"/>
    </w:p>
    <w:p w14:paraId="39F91A89">
      <w:pPr>
        <w:ind w:firstLine="480"/>
        <w:rPr>
          <w:rFonts w:hint="eastAsia" w:ascii="宋体" w:hAnsi="宋体" w:eastAsia="宋体" w:cs="宋体"/>
          <w:sz w:val="24"/>
        </w:rPr>
      </w:pPr>
      <w:r>
        <w:rPr>
          <w:rFonts w:hint="eastAsia" w:ascii="宋体" w:hAnsi="宋体" w:eastAsia="宋体" w:cs="宋体"/>
          <w:sz w:val="24"/>
        </w:rPr>
        <w:t>18、电子磋商</w:t>
      </w:r>
      <w:bookmarkEnd w:id="87"/>
      <w:bookmarkEnd w:id="88"/>
      <w:bookmarkEnd w:id="89"/>
      <w:bookmarkEnd w:id="90"/>
      <w:r>
        <w:rPr>
          <w:rFonts w:hint="eastAsia" w:ascii="宋体" w:hAnsi="宋体" w:eastAsia="宋体" w:cs="宋体"/>
          <w:sz w:val="24"/>
        </w:rPr>
        <w:t>响应文件的递交</w:t>
      </w:r>
    </w:p>
    <w:p w14:paraId="7B430449">
      <w:pPr>
        <w:pStyle w:val="32"/>
        <w:spacing w:beforeAutospacing="0" w:afterAutospacing="0" w:line="360" w:lineRule="auto"/>
        <w:ind w:firstLine="600"/>
        <w:jc w:val="both"/>
        <w:rPr>
          <w:rFonts w:hint="eastAsia" w:ascii="宋体" w:hAnsi="宋体" w:eastAsia="宋体" w:cs="宋体"/>
        </w:rPr>
      </w:pPr>
      <w:r>
        <w:rPr>
          <w:rFonts w:hint="eastAsia" w:ascii="宋体" w:hAnsi="宋体" w:eastAsia="宋体" w:cs="宋体"/>
        </w:rPr>
        <w:t>18.1供应商应当按照《操作手册》规定，在提交响应文件截止时间前制作并上传电子响应文件。</w:t>
      </w:r>
      <w:bookmarkStart w:id="91" w:name="_Toc16938542"/>
      <w:bookmarkEnd w:id="91"/>
      <w:bookmarkStart w:id="92" w:name="_Toc20823298"/>
      <w:bookmarkEnd w:id="92"/>
    </w:p>
    <w:p w14:paraId="3C3E2292">
      <w:pPr>
        <w:pStyle w:val="32"/>
        <w:keepNext/>
        <w:keepLines/>
        <w:spacing w:beforeAutospacing="0" w:afterAutospacing="0" w:line="360" w:lineRule="auto"/>
        <w:ind w:firstLine="561"/>
        <w:jc w:val="both"/>
        <w:rPr>
          <w:rFonts w:hint="eastAsia" w:ascii="宋体" w:hAnsi="宋体" w:eastAsia="宋体" w:cs="宋体"/>
        </w:rPr>
      </w:pPr>
      <w:r>
        <w:rPr>
          <w:rFonts w:hint="eastAsia" w:ascii="宋体" w:hAnsi="宋体" w:eastAsia="宋体" w:cs="宋体"/>
        </w:rPr>
        <w:t>19、提交响应文件截止时间</w:t>
      </w:r>
    </w:p>
    <w:p w14:paraId="34E5ECFF">
      <w:pPr>
        <w:pStyle w:val="32"/>
        <w:spacing w:beforeAutospacing="0" w:afterAutospacing="0" w:line="360" w:lineRule="auto"/>
        <w:ind w:firstLine="480"/>
        <w:jc w:val="both"/>
        <w:rPr>
          <w:rFonts w:hint="eastAsia" w:ascii="宋体" w:hAnsi="宋体" w:eastAsia="宋体" w:cs="宋体"/>
          <w:iCs/>
        </w:rPr>
      </w:pPr>
      <w:r>
        <w:rPr>
          <w:rFonts w:hint="eastAsia" w:ascii="宋体" w:hAnsi="宋体" w:eastAsia="宋体" w:cs="宋体"/>
          <w:i/>
          <w:u w:val="single"/>
        </w:rPr>
        <w:t>19.1供应商上传电子响应文件的时间不得迟于磋商公告中规定的提交响应文件截止时间。</w:t>
      </w:r>
    </w:p>
    <w:p w14:paraId="2285F6F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供应商应充分考虑到网络环境、网络带宽等风险因素，如因供应商自身原因造成的电子响应文件上传不成功的按照本磋商文件第二章第26.3.2条规定</w:t>
      </w:r>
      <w:r>
        <w:rPr>
          <w:rFonts w:hint="eastAsia" w:ascii="宋体" w:hAnsi="宋体" w:eastAsia="宋体" w:cs="宋体"/>
          <w:lang w:val="en-US" w:eastAsia="zh-CN"/>
        </w:rPr>
        <w:t>作</w:t>
      </w:r>
      <w:r>
        <w:rPr>
          <w:rFonts w:hint="eastAsia" w:ascii="宋体" w:hAnsi="宋体" w:eastAsia="宋体" w:cs="宋体"/>
        </w:rPr>
        <w:t>无效响应处理。</w:t>
      </w:r>
    </w:p>
    <w:p w14:paraId="1BB7301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19.2 采购人可以按照规定，通过修改磋商文件酌情延长提交响应文件截止日期，在此情况下，供应商的所有权利和义务以及供应商受制的截止日期均应以延长后新的截止日期为准。</w:t>
      </w:r>
    </w:p>
    <w:p w14:paraId="3112D435">
      <w:pPr>
        <w:pStyle w:val="32"/>
        <w:keepNext/>
        <w:keepLines/>
        <w:spacing w:beforeAutospacing="0" w:afterAutospacing="0" w:line="360" w:lineRule="auto"/>
        <w:ind w:firstLine="420"/>
        <w:jc w:val="both"/>
        <w:rPr>
          <w:rFonts w:hint="eastAsia" w:ascii="宋体" w:hAnsi="宋体" w:eastAsia="宋体" w:cs="宋体"/>
        </w:rPr>
      </w:pPr>
      <w:bookmarkStart w:id="93" w:name="_Toc20823299"/>
      <w:bookmarkStart w:id="94" w:name="_Toc16938543"/>
      <w:bookmarkStart w:id="95" w:name="_Toc513029227"/>
      <w:r>
        <w:rPr>
          <w:rFonts w:hint="eastAsia" w:ascii="宋体" w:hAnsi="宋体" w:eastAsia="宋体" w:cs="宋体"/>
        </w:rPr>
        <w:t>20、响应文件</w:t>
      </w:r>
      <w:bookmarkEnd w:id="93"/>
      <w:bookmarkEnd w:id="94"/>
      <w:bookmarkEnd w:id="95"/>
      <w:r>
        <w:rPr>
          <w:rFonts w:hint="eastAsia" w:ascii="宋体" w:hAnsi="宋体" w:eastAsia="宋体" w:cs="宋体"/>
        </w:rPr>
        <w:t>的拒收</w:t>
      </w:r>
    </w:p>
    <w:p w14:paraId="3BDB3463">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20.1采购人拒绝接收在其规定的提交响应文件截止时间后上传的任何电子响应文件。</w:t>
      </w:r>
    </w:p>
    <w:p w14:paraId="6D1B0EE8">
      <w:pPr>
        <w:pStyle w:val="32"/>
        <w:keepNext/>
        <w:keepLines/>
        <w:spacing w:beforeAutospacing="0" w:afterAutospacing="0" w:line="360" w:lineRule="auto"/>
        <w:ind w:firstLine="420"/>
        <w:jc w:val="both"/>
        <w:rPr>
          <w:rFonts w:hint="eastAsia" w:ascii="宋体" w:hAnsi="宋体" w:eastAsia="宋体" w:cs="宋体"/>
        </w:rPr>
      </w:pPr>
      <w:bookmarkStart w:id="96" w:name="_Toc513029228"/>
      <w:bookmarkStart w:id="97" w:name="_Toc16938544"/>
      <w:bookmarkStart w:id="98" w:name="_Toc20823300"/>
      <w:r>
        <w:rPr>
          <w:rFonts w:hint="eastAsia" w:ascii="宋体" w:hAnsi="宋体" w:eastAsia="宋体" w:cs="宋体"/>
        </w:rPr>
        <w:t>21、响应文件的撤回和修改</w:t>
      </w:r>
      <w:bookmarkEnd w:id="96"/>
      <w:bookmarkEnd w:id="97"/>
      <w:bookmarkEnd w:id="98"/>
    </w:p>
    <w:p w14:paraId="1DB287F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21.1响应文件的撤回</w:t>
      </w:r>
    </w:p>
    <w:p w14:paraId="1CBB73E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21.1.1 电子响应文件的撤回</w:t>
      </w:r>
    </w:p>
    <w:p w14:paraId="2434C779">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供应商可在提交响应文件截止时间前，撤回其电子响应文件，具体操作方法见《操作手册》。</w:t>
      </w:r>
    </w:p>
    <w:p w14:paraId="2300467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21.1.2供应商撤回电子响应文件，则认为其不再参与本项目磋商活动。</w:t>
      </w:r>
    </w:p>
    <w:p w14:paraId="6AA9FCA9">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21.2响应文件的修改</w:t>
      </w:r>
    </w:p>
    <w:p w14:paraId="7A5D9A09">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供应商可在提交响应文件截止时间前，对其电子响应文件进行修改，具体操作方法见《操作手册》。</w:t>
      </w:r>
    </w:p>
    <w:p w14:paraId="2CD0D72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21.3 在提交响应文件截止时间之后，供应商不得对其电子响应文件作任何修改。</w:t>
      </w:r>
    </w:p>
    <w:p w14:paraId="0106D4EA">
      <w:pPr>
        <w:pStyle w:val="32"/>
        <w:spacing w:beforeAutospacing="0" w:afterAutospacing="0" w:line="360" w:lineRule="auto"/>
        <w:ind w:firstLine="480"/>
        <w:jc w:val="both"/>
      </w:pPr>
      <w:r>
        <w:rPr>
          <w:rFonts w:hint="eastAsia" w:ascii="宋体" w:hAnsi="宋体" w:eastAsia="宋体" w:cs="宋体"/>
        </w:rPr>
        <w:t>21.4 在提交响应文件截止时间至磋商文件中规定的磋商有效期满之间的这段时间内，供应商不得撤回其响应文件。</w:t>
      </w:r>
    </w:p>
    <w:p w14:paraId="711A3F95">
      <w:pPr>
        <w:pStyle w:val="32"/>
        <w:keepNext/>
        <w:keepLines/>
        <w:spacing w:before="145" w:beforeAutospacing="0" w:after="145" w:afterAutospacing="0" w:line="360" w:lineRule="auto"/>
        <w:ind w:firstLine="482"/>
        <w:jc w:val="both"/>
        <w:rPr>
          <w:rFonts w:hint="eastAsia" w:ascii="宋体" w:hAnsi="宋体" w:eastAsia="宋体" w:cs="宋体"/>
        </w:rPr>
      </w:pPr>
      <w:bookmarkStart w:id="99" w:name="_Toc120614218"/>
      <w:bookmarkStart w:id="100" w:name="_Toc20823301"/>
      <w:bookmarkStart w:id="101" w:name="_Toc513029229"/>
      <w:bookmarkStart w:id="102" w:name="_Toc16938545"/>
      <w:r>
        <w:rPr>
          <w:rFonts w:hint="eastAsia" w:ascii="宋体" w:hAnsi="宋体" w:eastAsia="宋体" w:cs="宋体"/>
          <w:b/>
        </w:rPr>
        <w:t>五、响应文件的解密与评审</w:t>
      </w:r>
      <w:bookmarkEnd w:id="99"/>
      <w:bookmarkEnd w:id="100"/>
      <w:bookmarkEnd w:id="101"/>
      <w:bookmarkEnd w:id="102"/>
    </w:p>
    <w:p w14:paraId="4399EAE9">
      <w:pPr>
        <w:pStyle w:val="32"/>
        <w:keepNext/>
        <w:keepLines/>
        <w:spacing w:beforeAutospacing="0" w:afterAutospacing="0" w:line="360" w:lineRule="auto"/>
        <w:ind w:firstLine="420"/>
        <w:jc w:val="both"/>
        <w:rPr>
          <w:rFonts w:hint="eastAsia" w:ascii="宋体" w:hAnsi="宋体" w:eastAsia="宋体" w:cs="宋体"/>
        </w:rPr>
      </w:pPr>
      <w:bookmarkStart w:id="103" w:name="_Toc16938546"/>
      <w:bookmarkStart w:id="104" w:name="_Toc513029230"/>
      <w:bookmarkStart w:id="105" w:name="_Toc20823302"/>
      <w:r>
        <w:rPr>
          <w:rFonts w:hint="eastAsia" w:ascii="宋体" w:hAnsi="宋体" w:eastAsia="宋体" w:cs="宋体"/>
        </w:rPr>
        <w:t>22、</w:t>
      </w:r>
      <w:bookmarkEnd w:id="103"/>
      <w:bookmarkEnd w:id="104"/>
      <w:bookmarkEnd w:id="105"/>
      <w:r>
        <w:rPr>
          <w:rFonts w:hint="eastAsia" w:ascii="宋体" w:hAnsi="宋体" w:eastAsia="宋体" w:cs="宋体"/>
        </w:rPr>
        <w:t>响应文件解密</w:t>
      </w:r>
    </w:p>
    <w:p w14:paraId="4772A7B7">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rPr>
        <w:t>22.1供应商应当按照《操作手册》规定，在苏采云系统规定的时间内对磋商响应文件进行解密。</w:t>
      </w:r>
    </w:p>
    <w:p w14:paraId="0A00D02B">
      <w:pPr>
        <w:pStyle w:val="32"/>
        <w:keepNext/>
        <w:keepLines/>
        <w:spacing w:beforeAutospacing="0" w:afterAutospacing="0" w:line="360" w:lineRule="auto"/>
        <w:ind w:firstLine="420"/>
        <w:jc w:val="both"/>
        <w:rPr>
          <w:rFonts w:hint="eastAsia" w:ascii="宋体" w:hAnsi="宋体" w:eastAsia="宋体" w:cs="宋体"/>
        </w:rPr>
      </w:pPr>
      <w:bookmarkStart w:id="106" w:name="_Toc513029231"/>
      <w:bookmarkStart w:id="107" w:name="_Toc16938547"/>
      <w:bookmarkStart w:id="108" w:name="_Toc20823303"/>
      <w:r>
        <w:rPr>
          <w:rFonts w:hint="eastAsia" w:ascii="宋体" w:hAnsi="宋体" w:eastAsia="宋体" w:cs="宋体"/>
        </w:rPr>
        <w:t>23、磋商小组</w:t>
      </w:r>
      <w:bookmarkEnd w:id="106"/>
      <w:bookmarkEnd w:id="107"/>
      <w:bookmarkEnd w:id="108"/>
    </w:p>
    <w:p w14:paraId="2897E252">
      <w:pPr>
        <w:pStyle w:val="32"/>
        <w:spacing w:beforeAutospacing="0" w:afterAutospacing="0" w:line="360" w:lineRule="auto"/>
        <w:jc w:val="both"/>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23.1采购人及代理机构将组织磋商小组对响应文件进行评审。磋商小组由采购人代表和有关技术、经济等方面的专家组成，且人员构成符合政府采购有关规定。</w:t>
      </w:r>
    </w:p>
    <w:p w14:paraId="0BCEE002">
      <w:pPr>
        <w:pStyle w:val="32"/>
        <w:spacing w:beforeAutospacing="0" w:afterAutospacing="0" w:line="360" w:lineRule="auto"/>
        <w:jc w:val="both"/>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23.2磋商小组独立工作，负责评审所有响应文件并确定成交</w:t>
      </w:r>
      <w:r>
        <w:rPr>
          <w:rFonts w:hint="eastAsia" w:ascii="宋体" w:hAnsi="宋体" w:eastAsia="宋体" w:cs="宋体"/>
          <w:highlight w:val="none"/>
          <w:lang w:val="en-US" w:eastAsia="zh-CN"/>
        </w:rPr>
        <w:t>候选</w:t>
      </w:r>
      <w:r>
        <w:rPr>
          <w:rFonts w:hint="eastAsia" w:ascii="宋体" w:hAnsi="宋体" w:eastAsia="宋体" w:cs="宋体"/>
          <w:highlight w:val="none"/>
        </w:rPr>
        <w:t>人</w:t>
      </w:r>
      <w:r>
        <w:rPr>
          <w:rFonts w:hint="eastAsia" w:ascii="宋体" w:hAnsi="宋体" w:eastAsia="宋体" w:cs="宋体"/>
        </w:rPr>
        <w:t>。</w:t>
      </w:r>
    </w:p>
    <w:p w14:paraId="53344F73">
      <w:pPr>
        <w:pStyle w:val="32"/>
        <w:keepNext/>
        <w:keepLines/>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24、评审过程的保密与公正</w:t>
      </w:r>
    </w:p>
    <w:p w14:paraId="26ABF88C">
      <w:pPr>
        <w:pStyle w:val="32"/>
        <w:spacing w:beforeAutospacing="0" w:afterAutospacing="0" w:line="440" w:lineRule="exact"/>
        <w:ind w:firstLine="480"/>
        <w:jc w:val="both"/>
        <w:rPr>
          <w:rFonts w:hint="eastAsia" w:ascii="宋体" w:hAnsi="宋体" w:eastAsia="宋体" w:cs="宋体"/>
        </w:rPr>
      </w:pPr>
      <w:r>
        <w:rPr>
          <w:rFonts w:hint="eastAsia" w:ascii="宋体" w:hAnsi="宋体" w:eastAsia="宋体" w:cs="宋体"/>
        </w:rPr>
        <w:t>24.1磋商小组、采购人和代理机构工作人员、相关监督人员等与评审工作有关的人员，对评审情况以及在评审过程中获悉的国家秘密、商业秘密负有保密责任。</w:t>
      </w:r>
    </w:p>
    <w:p w14:paraId="59D9855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24.2在评审过程中，供应商不得以任何行为影响磋商评审过程，否则其响应文件将被作为无效响应文件。</w:t>
      </w:r>
    </w:p>
    <w:p w14:paraId="36DF5A40">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24.3在项目评审期间，代理机构将设专门人员与供应商联系。</w:t>
      </w:r>
    </w:p>
    <w:p w14:paraId="3D155FF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24.4 采购人及代理机构和磋商小组不向未成交的供应商解释未成交原因，也不公布评审过程中的相关细节。</w:t>
      </w:r>
    </w:p>
    <w:p w14:paraId="00DD77A3">
      <w:pPr>
        <w:pStyle w:val="32"/>
        <w:keepNext/>
        <w:keepLines/>
        <w:spacing w:beforeAutospacing="0" w:afterAutospacing="0" w:line="360" w:lineRule="auto"/>
        <w:ind w:firstLine="420"/>
        <w:jc w:val="both"/>
        <w:rPr>
          <w:rFonts w:hint="eastAsia" w:ascii="宋体" w:hAnsi="宋体" w:eastAsia="宋体" w:cs="宋体"/>
        </w:rPr>
      </w:pPr>
      <w:bookmarkStart w:id="109" w:name="_Toc513029232"/>
      <w:bookmarkStart w:id="110" w:name="_Toc20823304"/>
      <w:bookmarkStart w:id="111" w:name="_Toc16938548"/>
      <w:r>
        <w:rPr>
          <w:rFonts w:hint="eastAsia" w:ascii="宋体" w:hAnsi="宋体" w:eastAsia="宋体" w:cs="宋体"/>
        </w:rPr>
        <w:t>25、评审过程中的澄清</w:t>
      </w:r>
      <w:bookmarkEnd w:id="109"/>
      <w:bookmarkEnd w:id="110"/>
      <w:bookmarkEnd w:id="111"/>
    </w:p>
    <w:p w14:paraId="3722EE5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B41A243">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磋商小组并非对每个供应商都作澄清要求。</w:t>
      </w:r>
    </w:p>
    <w:p w14:paraId="3235BBE3">
      <w:pPr>
        <w:pStyle w:val="32"/>
        <w:spacing w:beforeAutospacing="0" w:afterAutospacing="0" w:line="360" w:lineRule="auto"/>
        <w:jc w:val="both"/>
        <w:rPr>
          <w:rFonts w:hint="eastAsia" w:ascii="宋体" w:hAnsi="宋体" w:eastAsia="宋体" w:cs="宋体"/>
        </w:rPr>
      </w:pPr>
      <w:r>
        <w:rPr>
          <w:rFonts w:hint="eastAsia" w:ascii="宋体" w:hAnsi="宋体" w:eastAsia="宋体" w:cs="宋体"/>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5324AB1">
      <w:pPr>
        <w:pStyle w:val="32"/>
        <w:spacing w:beforeAutospacing="0" w:afterAutospacing="0" w:line="360" w:lineRule="auto"/>
        <w:jc w:val="both"/>
        <w:rPr>
          <w:rFonts w:hint="eastAsia" w:ascii="宋体" w:hAnsi="宋体" w:eastAsia="宋体" w:cs="宋体"/>
        </w:rPr>
      </w:pPr>
      <w:r>
        <w:rPr>
          <w:rFonts w:hint="eastAsia" w:ascii="宋体" w:hAnsi="宋体" w:eastAsia="宋体" w:cs="宋体"/>
        </w:rPr>
        <w:t>  25.3接到磋商小组澄清、说明和更正要求的供应商如未按规定</w:t>
      </w:r>
      <w:r>
        <w:rPr>
          <w:rFonts w:hint="eastAsia" w:ascii="宋体" w:hAnsi="宋体" w:eastAsia="宋体" w:cs="宋体"/>
          <w:lang w:val="en-US" w:eastAsia="zh-CN"/>
        </w:rPr>
        <w:t>作</w:t>
      </w:r>
      <w:r>
        <w:rPr>
          <w:rFonts w:hint="eastAsia" w:ascii="宋体" w:hAnsi="宋体" w:eastAsia="宋体" w:cs="宋体"/>
        </w:rPr>
        <w:t>出澄清、说明和更正，其风险由供应商自行承担。</w:t>
      </w:r>
    </w:p>
    <w:p w14:paraId="715D534E">
      <w:pPr>
        <w:pStyle w:val="32"/>
        <w:keepNext/>
        <w:keepLines/>
        <w:spacing w:beforeAutospacing="0" w:afterAutospacing="0" w:line="360" w:lineRule="auto"/>
        <w:ind w:firstLine="420"/>
        <w:jc w:val="both"/>
        <w:rPr>
          <w:rFonts w:hint="eastAsia" w:ascii="宋体" w:hAnsi="宋体" w:eastAsia="宋体" w:cs="宋体"/>
        </w:rPr>
      </w:pPr>
      <w:bookmarkStart w:id="112" w:name="_Toc513029233"/>
      <w:bookmarkStart w:id="113" w:name="_Toc20823305"/>
      <w:bookmarkStart w:id="114" w:name="_Toc16938549"/>
      <w:r>
        <w:rPr>
          <w:rFonts w:hint="eastAsia" w:ascii="宋体" w:hAnsi="宋体" w:eastAsia="宋体" w:cs="宋体"/>
        </w:rPr>
        <w:t>26、对响应文件的审</w:t>
      </w:r>
      <w:bookmarkEnd w:id="112"/>
      <w:bookmarkEnd w:id="113"/>
      <w:bookmarkEnd w:id="114"/>
      <w:r>
        <w:rPr>
          <w:rFonts w:hint="eastAsia" w:ascii="宋体" w:hAnsi="宋体" w:eastAsia="宋体" w:cs="宋体"/>
        </w:rPr>
        <w:t>查</w:t>
      </w:r>
    </w:p>
    <w:p w14:paraId="4F8F5D8A">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26.1响应文件审查分为资格审查和符合性审查。</w:t>
      </w:r>
    </w:p>
    <w:p w14:paraId="26B25E50">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26.1.1资格审查：由磋商小组依据法律法规和磋商文件的规定，对响应文件中的资格证明文件进行审查，以确定供应商是否具备参加磋商的资格。</w:t>
      </w:r>
    </w:p>
    <w:p w14:paraId="65249B27">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磋商小组在进行资格审查的同时，将在“信用中国”网站（www.creditchina.gov.cn）查询供应商的信用记录，以确定供应商是否具备磋商资格,查询结果留存并归档。</w:t>
      </w:r>
    </w:p>
    <w:p w14:paraId="5CB4C798">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26.1.2 符合性审查：依据磋商文件的规定，由磋商小组从响应文件的有效性、完整性和对磋商文件的响应程度进行审查，以确定是否对磋商文件的实质性要求作出响应。</w:t>
      </w:r>
    </w:p>
    <w:p w14:paraId="7D0872A9">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26.1.3 未通过资格审查或符合性审查的供应商，磋商小组将在苏采云系统中告知未通过资格审查或符合性审查的原因，评审结束后，磋商小组将不再告知未通过资格审查或符合性审查的原因。</w:t>
      </w:r>
    </w:p>
    <w:p w14:paraId="76535978">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26.2在详细评审之前，磋商小组将首先审查每份响应文件是否实质性响应了磋商文件的要求。实质性响应的响应文件应该是与磋商文件要求的条款、条件和规格相符，没有重大偏离或保留。</w:t>
      </w:r>
    </w:p>
    <w:p w14:paraId="1B0A71D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49A3D2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26.3未实质性响应磋商文件的情形</w:t>
      </w:r>
    </w:p>
    <w:p w14:paraId="52A27D98">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26.3.1供应商在苏采云系统规定的时间内未成功解密电子响应文件的。</w:t>
      </w:r>
    </w:p>
    <w:p w14:paraId="214822B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26.3.2供应商未按照磋商文件要求上传电子响应文件的。</w:t>
      </w:r>
    </w:p>
    <w:p w14:paraId="3C208520">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26.3.3同一供应商提交两个（含两个）以上不同的响应文件或者最后报价的。</w:t>
      </w:r>
    </w:p>
    <w:p w14:paraId="7728E3E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26.3.4供应商不具备磋商文件中规定资格要求的。</w:t>
      </w:r>
    </w:p>
    <w:p w14:paraId="669BCF10">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26.3.5供应商的最后报价超过了采购预算。</w:t>
      </w:r>
    </w:p>
    <w:p w14:paraId="380BF1EF">
      <w:pPr>
        <w:pStyle w:val="32"/>
        <w:spacing w:beforeAutospacing="0" w:afterAutospacing="0" w:line="360" w:lineRule="auto"/>
        <w:ind w:firstLine="480"/>
        <w:jc w:val="both"/>
        <w:rPr>
          <w:rFonts w:hint="eastAsia" w:ascii="宋体" w:hAnsi="宋体" w:eastAsia="宋体" w:cs="宋体"/>
          <w:u w:val="single"/>
        </w:rPr>
      </w:pPr>
      <w:r>
        <w:rPr>
          <w:rFonts w:hint="eastAsia" w:ascii="宋体" w:hAnsi="宋体" w:eastAsia="宋体" w:cs="宋体"/>
        </w:rPr>
        <w:t>26.3.6不符合磋商文件中规定的实质性要求和条件的</w:t>
      </w:r>
      <w:r>
        <w:rPr>
          <w:rFonts w:hint="eastAsia" w:ascii="宋体" w:hAnsi="宋体" w:eastAsia="宋体" w:cs="宋体"/>
          <w:iCs/>
        </w:rPr>
        <w:t>。</w:t>
      </w:r>
    </w:p>
    <w:p w14:paraId="36F1EB3C">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533CD4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26.3.8响应文件含有采购人不能接受的附加条件的。</w:t>
      </w:r>
    </w:p>
    <w:p w14:paraId="28CDF6C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78359216">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26.3.10响应文件未按照磋商文件要求加盖CA电子公章的。</w:t>
      </w:r>
    </w:p>
    <w:p w14:paraId="263F3208">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26.4未实质性响应磋商文件的响应文件按无效响应处理。</w:t>
      </w:r>
    </w:p>
    <w:p w14:paraId="50AEEEC7">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26.5如果响应文件实质上没有响应磋商文件的要求，磋商小组将予以拒绝，供应商不得通过修改或撤销不</w:t>
      </w:r>
      <w:r>
        <w:rPr>
          <w:rFonts w:hint="eastAsia" w:ascii="宋体" w:hAnsi="宋体" w:eastAsia="宋体" w:cs="宋体"/>
          <w:lang w:val="en-US" w:eastAsia="zh-CN"/>
        </w:rPr>
        <w:t>符</w:t>
      </w:r>
      <w:r>
        <w:rPr>
          <w:rFonts w:hint="eastAsia" w:ascii="宋体" w:hAnsi="宋体" w:eastAsia="宋体" w:cs="宋体"/>
        </w:rPr>
        <w:t>合要求的偏离或保留而使其成为实质性响应的文件。</w:t>
      </w:r>
    </w:p>
    <w:p w14:paraId="3253904E">
      <w:pPr>
        <w:pStyle w:val="32"/>
        <w:keepNext/>
        <w:keepLines/>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26.6供应商在项目评审全过程中应保持</w:t>
      </w:r>
      <w:r>
        <w:rPr>
          <w:rFonts w:hint="eastAsia" w:ascii="宋体" w:hAnsi="宋体" w:eastAsia="宋体" w:cs="宋体"/>
          <w:color w:val="auto"/>
          <w:sz w:val="24"/>
          <w:szCs w:val="24"/>
          <w:highlight w:val="none"/>
          <w:lang w:eastAsia="zh-CN"/>
        </w:rPr>
        <w:t>通信畅通</w:t>
      </w:r>
      <w:r>
        <w:rPr>
          <w:rFonts w:hint="eastAsia" w:ascii="宋体" w:hAnsi="宋体" w:eastAsia="宋体" w:cs="宋体"/>
        </w:rPr>
        <w:t>，并安排专人与采购人及代理机构及磋商小组联系。</w:t>
      </w:r>
    </w:p>
    <w:p w14:paraId="590D2889">
      <w:pPr>
        <w:pStyle w:val="32"/>
        <w:keepNext/>
        <w:keepLines/>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27、磋商程序及评审方法和评审标准</w:t>
      </w:r>
    </w:p>
    <w:p w14:paraId="468E8F3E">
      <w:pPr>
        <w:pStyle w:val="32"/>
        <w:tabs>
          <w:tab w:val="left" w:pos="901"/>
        </w:tabs>
        <w:spacing w:beforeAutospacing="0" w:afterAutospacing="0" w:line="360" w:lineRule="auto"/>
        <w:ind w:firstLine="476"/>
        <w:jc w:val="both"/>
        <w:rPr>
          <w:rFonts w:hint="eastAsia" w:ascii="宋体" w:hAnsi="宋体" w:eastAsia="宋体" w:cs="宋体"/>
        </w:rPr>
      </w:pPr>
      <w:r>
        <w:rPr>
          <w:rFonts w:hint="eastAsia" w:ascii="宋体" w:hAnsi="宋体" w:eastAsia="宋体" w:cs="宋体"/>
        </w:rPr>
        <w:t>27.1磋商程序</w:t>
      </w:r>
    </w:p>
    <w:p w14:paraId="5512CBBC">
      <w:pPr>
        <w:pStyle w:val="32"/>
        <w:tabs>
          <w:tab w:val="left" w:pos="901"/>
        </w:tabs>
        <w:spacing w:beforeAutospacing="0" w:afterAutospacing="0" w:line="360" w:lineRule="auto"/>
        <w:ind w:firstLine="478"/>
        <w:jc w:val="both"/>
        <w:rPr>
          <w:rFonts w:hint="eastAsia" w:ascii="宋体" w:hAnsi="宋体" w:eastAsia="宋体" w:cs="宋体"/>
        </w:rPr>
      </w:pPr>
      <w:r>
        <w:rPr>
          <w:rFonts w:hint="eastAsia" w:ascii="宋体" w:hAnsi="宋体" w:eastAsia="宋体" w:cs="宋体"/>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3A1D85F">
      <w:pPr>
        <w:pStyle w:val="32"/>
        <w:tabs>
          <w:tab w:val="left" w:pos="901"/>
        </w:tabs>
        <w:spacing w:beforeAutospacing="0" w:afterAutospacing="0" w:line="360" w:lineRule="auto"/>
        <w:ind w:firstLine="478"/>
        <w:jc w:val="both"/>
        <w:rPr>
          <w:rFonts w:hint="eastAsia" w:ascii="宋体" w:hAnsi="宋体" w:eastAsia="宋体" w:cs="宋体"/>
        </w:rPr>
      </w:pPr>
      <w:r>
        <w:rPr>
          <w:rFonts w:hint="eastAsia" w:ascii="宋体" w:hAnsi="宋体" w:eastAsia="宋体" w:cs="宋体"/>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A8AF5EE">
      <w:pPr>
        <w:pStyle w:val="32"/>
        <w:tabs>
          <w:tab w:val="left" w:pos="901"/>
        </w:tabs>
        <w:spacing w:beforeAutospacing="0" w:afterAutospacing="0" w:line="360" w:lineRule="auto"/>
        <w:ind w:firstLine="478"/>
        <w:jc w:val="both"/>
        <w:rPr>
          <w:rFonts w:hint="eastAsia" w:ascii="宋体" w:hAnsi="宋体" w:eastAsia="宋体" w:cs="宋体"/>
        </w:rPr>
      </w:pPr>
      <w:r>
        <w:rPr>
          <w:rFonts w:hint="eastAsia" w:ascii="宋体" w:hAnsi="宋体" w:eastAsia="宋体" w:cs="宋体"/>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CA74D9C">
      <w:pPr>
        <w:pStyle w:val="32"/>
        <w:tabs>
          <w:tab w:val="left" w:pos="901"/>
        </w:tabs>
        <w:spacing w:beforeAutospacing="0" w:afterAutospacing="0" w:line="360" w:lineRule="auto"/>
        <w:ind w:firstLine="478"/>
        <w:jc w:val="both"/>
        <w:rPr>
          <w:rFonts w:hint="eastAsia" w:ascii="宋体" w:hAnsi="宋体" w:eastAsia="宋体" w:cs="宋体"/>
        </w:rPr>
      </w:pPr>
      <w:r>
        <w:rPr>
          <w:rFonts w:hint="eastAsia" w:ascii="宋体" w:hAnsi="宋体" w:eastAsia="宋体" w:cs="宋体"/>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26F100A">
      <w:pPr>
        <w:pStyle w:val="32"/>
        <w:tabs>
          <w:tab w:val="left" w:pos="901"/>
        </w:tabs>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32C46B83">
      <w:pPr>
        <w:pStyle w:val="32"/>
        <w:tabs>
          <w:tab w:val="left" w:pos="901"/>
        </w:tabs>
        <w:spacing w:beforeAutospacing="0" w:afterAutospacing="0" w:line="360" w:lineRule="auto"/>
        <w:ind w:firstLine="478"/>
        <w:jc w:val="both"/>
        <w:rPr>
          <w:rFonts w:hint="eastAsia" w:ascii="宋体" w:hAnsi="宋体" w:eastAsia="宋体" w:cs="宋体"/>
        </w:rPr>
      </w:pPr>
      <w:r>
        <w:rPr>
          <w:rFonts w:hint="eastAsia" w:ascii="宋体" w:hAnsi="宋体" w:eastAsia="宋体" w:cs="宋体"/>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73B4FB5">
      <w:pPr>
        <w:pStyle w:val="32"/>
        <w:tabs>
          <w:tab w:val="left" w:pos="901"/>
        </w:tabs>
        <w:spacing w:beforeAutospacing="0" w:afterAutospacing="0" w:line="360" w:lineRule="auto"/>
        <w:ind w:firstLine="478"/>
        <w:jc w:val="both"/>
        <w:rPr>
          <w:rFonts w:hint="eastAsia" w:ascii="宋体" w:hAnsi="宋体" w:eastAsia="宋体" w:cs="宋体"/>
        </w:rPr>
      </w:pPr>
      <w:r>
        <w:rPr>
          <w:rFonts w:hint="eastAsia" w:ascii="宋体" w:hAnsi="宋体" w:eastAsia="宋体" w:cs="宋体"/>
        </w:rPr>
        <w:t>27.2 评审方法和评审标准</w:t>
      </w:r>
    </w:p>
    <w:p w14:paraId="64690FF6">
      <w:pPr>
        <w:pStyle w:val="32"/>
        <w:tabs>
          <w:tab w:val="left" w:pos="901"/>
        </w:tabs>
        <w:spacing w:beforeAutospacing="0" w:afterAutospacing="0" w:line="360" w:lineRule="auto"/>
        <w:ind w:firstLine="478"/>
        <w:jc w:val="both"/>
        <w:rPr>
          <w:rFonts w:hint="eastAsia" w:ascii="宋体" w:hAnsi="宋体" w:eastAsia="宋体" w:cs="宋体"/>
        </w:rPr>
      </w:pPr>
      <w:r>
        <w:rPr>
          <w:rFonts w:hint="eastAsia" w:ascii="宋体" w:hAnsi="宋体" w:eastAsia="宋体" w:cs="宋体"/>
        </w:rPr>
        <w:t>27.2.1评审方法。经磋商确定最终采购需求和提交最后报价的供应商后，由磋商小组采用综合评分法对提交最后报价的供应商的响应文件和最后报价进行综合评分。</w:t>
      </w:r>
    </w:p>
    <w:p w14:paraId="3387C0D8">
      <w:pPr>
        <w:pStyle w:val="32"/>
        <w:tabs>
          <w:tab w:val="left" w:pos="901"/>
        </w:tabs>
        <w:spacing w:beforeAutospacing="0" w:afterAutospacing="0" w:line="360" w:lineRule="auto"/>
        <w:ind w:firstLine="478"/>
        <w:jc w:val="both"/>
        <w:rPr>
          <w:rFonts w:hint="eastAsia" w:ascii="宋体" w:hAnsi="宋体" w:eastAsia="宋体" w:cs="宋体"/>
        </w:rPr>
      </w:pPr>
      <w:r>
        <w:rPr>
          <w:rFonts w:hint="eastAsia" w:ascii="宋体" w:hAnsi="宋体" w:eastAsia="宋体" w:cs="宋体"/>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158CB9B">
      <w:pPr>
        <w:pStyle w:val="32"/>
        <w:tabs>
          <w:tab w:val="left" w:pos="901"/>
        </w:tabs>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27.2.2评审标准</w:t>
      </w:r>
    </w:p>
    <w:p w14:paraId="00A3F105">
      <w:pPr>
        <w:pStyle w:val="32"/>
        <w:tabs>
          <w:tab w:val="left" w:pos="901"/>
        </w:tabs>
        <w:spacing w:beforeAutospacing="0" w:afterAutospacing="0" w:line="360" w:lineRule="auto"/>
        <w:ind w:firstLine="478"/>
        <w:jc w:val="both"/>
        <w:rPr>
          <w:rFonts w:hint="eastAsia" w:ascii="宋体" w:hAnsi="宋体" w:eastAsia="宋体" w:cs="宋体"/>
        </w:rPr>
      </w:pPr>
      <w:r>
        <w:rPr>
          <w:rFonts w:hint="eastAsia" w:ascii="宋体" w:hAnsi="宋体" w:eastAsia="宋体" w:cs="宋体"/>
        </w:rPr>
        <w:t>见本磋商文件第五章规定。</w:t>
      </w:r>
    </w:p>
    <w:p w14:paraId="62F8974C">
      <w:pPr>
        <w:pStyle w:val="32"/>
        <w:tabs>
          <w:tab w:val="left" w:pos="901"/>
        </w:tabs>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27.3采购活动终止的情况</w:t>
      </w:r>
    </w:p>
    <w:p w14:paraId="3F87CBC0">
      <w:pPr>
        <w:pStyle w:val="32"/>
        <w:tabs>
          <w:tab w:val="left" w:pos="901"/>
        </w:tabs>
        <w:spacing w:beforeAutospacing="0" w:afterAutospacing="0" w:line="360" w:lineRule="auto"/>
        <w:ind w:firstLine="360"/>
        <w:jc w:val="both"/>
        <w:rPr>
          <w:rFonts w:hint="eastAsia" w:ascii="宋体" w:hAnsi="宋体" w:eastAsia="宋体" w:cs="宋体"/>
        </w:rPr>
      </w:pPr>
      <w:r>
        <w:rPr>
          <w:rFonts w:hint="eastAsia" w:ascii="宋体" w:hAnsi="宋体" w:eastAsia="宋体" w:cs="宋体"/>
        </w:rPr>
        <w:t>出现下列情形之一的，本次竞争性磋商采购活动将被终止：</w:t>
      </w:r>
    </w:p>
    <w:p w14:paraId="6091791A">
      <w:pPr>
        <w:pStyle w:val="32"/>
        <w:tabs>
          <w:tab w:val="left" w:pos="901"/>
        </w:tabs>
        <w:spacing w:beforeAutospacing="0" w:afterAutospacing="0" w:line="360" w:lineRule="auto"/>
        <w:ind w:firstLine="360"/>
        <w:jc w:val="both"/>
        <w:rPr>
          <w:rFonts w:hint="eastAsia" w:ascii="宋体" w:hAnsi="宋体" w:eastAsia="宋体" w:cs="宋体"/>
        </w:rPr>
      </w:pPr>
      <w:r>
        <w:rPr>
          <w:rFonts w:hint="eastAsia" w:ascii="宋体" w:hAnsi="宋体" w:eastAsia="宋体" w:cs="宋体"/>
        </w:rPr>
        <w:t>27.3.1因情况变化，不再符合规定的竞争性磋商采购方式适用情形的。</w:t>
      </w:r>
    </w:p>
    <w:p w14:paraId="480C7F73">
      <w:pPr>
        <w:pStyle w:val="32"/>
        <w:tabs>
          <w:tab w:val="left" w:pos="901"/>
        </w:tabs>
        <w:spacing w:beforeAutospacing="0" w:afterAutospacing="0" w:line="360" w:lineRule="auto"/>
        <w:ind w:firstLine="360"/>
        <w:jc w:val="both"/>
        <w:rPr>
          <w:rFonts w:hint="eastAsia" w:ascii="宋体" w:hAnsi="宋体" w:eastAsia="宋体" w:cs="宋体"/>
        </w:rPr>
      </w:pPr>
      <w:r>
        <w:rPr>
          <w:rFonts w:hint="eastAsia" w:ascii="宋体" w:hAnsi="宋体" w:eastAsia="宋体" w:cs="宋体"/>
        </w:rPr>
        <w:t>27.3.2出现影响采购公正的违法、违规行为的。</w:t>
      </w:r>
    </w:p>
    <w:p w14:paraId="4CC5870C">
      <w:pPr>
        <w:pStyle w:val="32"/>
        <w:tabs>
          <w:tab w:val="left" w:pos="901"/>
        </w:tabs>
        <w:spacing w:beforeAutospacing="0" w:afterAutospacing="0" w:line="360" w:lineRule="auto"/>
        <w:ind w:firstLine="360"/>
        <w:jc w:val="both"/>
        <w:rPr>
          <w:rFonts w:hint="eastAsia" w:ascii="宋体" w:hAnsi="宋体" w:eastAsia="宋体" w:cs="宋体"/>
        </w:rPr>
      </w:pPr>
      <w:r>
        <w:rPr>
          <w:rFonts w:hint="eastAsia" w:ascii="宋体" w:hAnsi="宋体" w:eastAsia="宋体" w:cs="宋体"/>
        </w:rPr>
        <w:t>27.3.3除本磋商文件第二章第27.1.2条第三款规定的情形外，在采购过程中符合要求的供应商或者最后报价未超过采购预算的供应商不足3家的。</w:t>
      </w:r>
    </w:p>
    <w:p w14:paraId="522A2D12">
      <w:pPr>
        <w:pStyle w:val="32"/>
        <w:tabs>
          <w:tab w:val="left" w:pos="901"/>
        </w:tabs>
        <w:spacing w:beforeAutospacing="0" w:afterAutospacing="0" w:line="360" w:lineRule="auto"/>
        <w:ind w:firstLine="360"/>
        <w:jc w:val="both"/>
        <w:rPr>
          <w:rFonts w:hint="eastAsia" w:ascii="宋体" w:hAnsi="宋体" w:eastAsia="宋体" w:cs="宋体"/>
        </w:rPr>
      </w:pPr>
      <w:r>
        <w:rPr>
          <w:rFonts w:hint="eastAsia" w:ascii="宋体" w:hAnsi="宋体" w:eastAsia="宋体" w:cs="宋体"/>
        </w:rPr>
        <w:t>27.3.4在苏采云系统规定时间内成功解密电子响应文件的供应商不足3家的。</w:t>
      </w:r>
    </w:p>
    <w:p w14:paraId="393EFD2A">
      <w:pPr>
        <w:pStyle w:val="32"/>
        <w:keepNext/>
        <w:keepLines/>
        <w:spacing w:before="145" w:beforeAutospacing="0" w:after="145" w:afterAutospacing="0" w:line="276" w:lineRule="auto"/>
        <w:ind w:firstLine="482"/>
        <w:jc w:val="both"/>
        <w:rPr>
          <w:rFonts w:hint="eastAsia" w:ascii="宋体" w:hAnsi="宋体" w:eastAsia="宋体" w:cs="宋体"/>
        </w:rPr>
      </w:pPr>
      <w:bookmarkStart w:id="115" w:name="_Toc20823307"/>
      <w:bookmarkStart w:id="116" w:name="_Toc16938551"/>
      <w:bookmarkStart w:id="117" w:name="_Toc120614219"/>
      <w:bookmarkStart w:id="118" w:name="_Toc513029235"/>
      <w:r>
        <w:rPr>
          <w:rFonts w:hint="eastAsia" w:ascii="宋体" w:hAnsi="宋体" w:eastAsia="宋体" w:cs="宋体"/>
          <w:b/>
        </w:rPr>
        <w:t>六、</w:t>
      </w:r>
      <w:bookmarkEnd w:id="115"/>
      <w:bookmarkEnd w:id="116"/>
      <w:bookmarkEnd w:id="117"/>
      <w:bookmarkEnd w:id="118"/>
      <w:r>
        <w:rPr>
          <w:rFonts w:hint="eastAsia" w:ascii="宋体" w:hAnsi="宋体" w:eastAsia="宋体" w:cs="宋体"/>
          <w:b/>
        </w:rPr>
        <w:t>成交</w:t>
      </w:r>
    </w:p>
    <w:p w14:paraId="3EC843ED">
      <w:pPr>
        <w:pStyle w:val="32"/>
        <w:keepNext/>
        <w:keepLines/>
        <w:spacing w:beforeAutospacing="0" w:afterAutospacing="0" w:line="360" w:lineRule="auto"/>
        <w:ind w:firstLine="480"/>
        <w:jc w:val="both"/>
        <w:rPr>
          <w:rFonts w:hint="eastAsia" w:ascii="宋体" w:hAnsi="宋体" w:eastAsia="宋体" w:cs="宋体"/>
        </w:rPr>
      </w:pPr>
      <w:bookmarkStart w:id="119" w:name="_Toc20823310"/>
      <w:bookmarkStart w:id="120" w:name="_Toc513029238"/>
      <w:bookmarkStart w:id="121" w:name="_Toc16938554"/>
      <w:r>
        <w:rPr>
          <w:rFonts w:hint="eastAsia" w:ascii="宋体" w:hAnsi="宋体" w:eastAsia="宋体" w:cs="宋体"/>
        </w:rPr>
        <w:t>28</w:t>
      </w:r>
      <w:bookmarkEnd w:id="119"/>
      <w:r>
        <w:rPr>
          <w:rFonts w:hint="eastAsia" w:ascii="宋体" w:hAnsi="宋体" w:eastAsia="宋体" w:cs="宋体"/>
          <w:lang w:eastAsia="zh-CN"/>
        </w:rPr>
        <w:t>.</w:t>
      </w:r>
      <w:r>
        <w:rPr>
          <w:rFonts w:hint="eastAsia" w:ascii="宋体" w:hAnsi="宋体" w:eastAsia="宋体" w:cs="宋体"/>
        </w:rPr>
        <w:t>确定</w:t>
      </w:r>
      <w:bookmarkEnd w:id="120"/>
      <w:bookmarkEnd w:id="121"/>
      <w:r>
        <w:rPr>
          <w:rFonts w:hint="eastAsia" w:ascii="宋体" w:hAnsi="宋体" w:eastAsia="宋体" w:cs="宋体"/>
        </w:rPr>
        <w:t>成交单位</w:t>
      </w:r>
    </w:p>
    <w:p w14:paraId="5BF6C281">
      <w:pPr>
        <w:pStyle w:val="32"/>
        <w:tabs>
          <w:tab w:val="left" w:pos="901"/>
        </w:tabs>
        <w:spacing w:beforeAutospacing="0" w:afterAutospacing="0" w:line="360" w:lineRule="auto"/>
        <w:ind w:firstLine="478"/>
        <w:jc w:val="both"/>
        <w:rPr>
          <w:rFonts w:hint="eastAsia" w:ascii="宋体" w:hAnsi="宋体" w:eastAsia="宋体" w:cs="宋体"/>
        </w:rPr>
      </w:pPr>
      <w:r>
        <w:rPr>
          <w:rFonts w:hint="eastAsia" w:ascii="宋体" w:hAnsi="宋体" w:eastAsia="宋体" w:cs="宋体"/>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4BE248D">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2B181AC">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28.2采购人从评审报告提出的成交候选供应商中，按照排序由高到低的原则确定成交供应商。采购人确定成交供应商后，采购人及代理机构将在“中国政府采购网”、“江苏政府采购网”、“盐城市政府采购网”发布成交结果公告，公告期限为1个工作日。</w:t>
      </w:r>
    </w:p>
    <w:p w14:paraId="6CF6EC8D">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28.3若有充分证据证明，成交供应商出现下列情况之一的，一经查实，将被取消成交资格：</w:t>
      </w:r>
    </w:p>
    <w:p w14:paraId="794CEE6A">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28.3.1提供虚假材料谋取成交的。</w:t>
      </w:r>
    </w:p>
    <w:p w14:paraId="14049B4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28.3.2与评审专家、采购人、其他供应商或者采购人及代理机构工作人员恶意串通的。</w:t>
      </w:r>
    </w:p>
    <w:p w14:paraId="66C2EFFF">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28.3.3向评审专家、采购人或代理机构工作人员行贿或者提供其他不正当利益的。</w:t>
      </w:r>
    </w:p>
    <w:p w14:paraId="3886B469">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28.3.4恶意竞争，最后报价明显低于其自身合理成本且又无法提供证明的。</w:t>
      </w:r>
    </w:p>
    <w:p w14:paraId="6DDEB50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28.3.5不满足本磋商文件规定的实质性要求，但在评审过程中又未被磋商小组发现的。</w:t>
      </w:r>
    </w:p>
    <w:p w14:paraId="05DBD49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28.3.6成交后无正当理由拒不与采购人签订政府采购合同或者未按照磋商文件确定的事项签订政府采购合同的。</w:t>
      </w:r>
    </w:p>
    <w:p w14:paraId="134AE1E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28.3.7将政府采购合同转包的。</w:t>
      </w:r>
    </w:p>
    <w:p w14:paraId="44BD922A">
      <w:pPr>
        <w:pStyle w:val="32"/>
        <w:keepNext/>
        <w:keepLines/>
        <w:spacing w:beforeAutospacing="0" w:afterAutospacing="0" w:line="360" w:lineRule="auto"/>
        <w:ind w:firstLine="600"/>
        <w:jc w:val="both"/>
        <w:rPr>
          <w:rFonts w:hint="eastAsia" w:ascii="宋体" w:hAnsi="宋体" w:eastAsia="宋体" w:cs="宋体"/>
        </w:rPr>
      </w:pPr>
      <w:bookmarkStart w:id="122" w:name="_Toc200451960"/>
      <w:r>
        <w:rPr>
          <w:rFonts w:hint="eastAsia" w:ascii="宋体" w:hAnsi="宋体" w:eastAsia="宋体" w:cs="宋体"/>
        </w:rPr>
        <w:t>29、质疑处理</w:t>
      </w:r>
      <w:bookmarkEnd w:id="122"/>
    </w:p>
    <w:p w14:paraId="2E5C3386">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29.1提出质疑的供应商应当是参与所质疑项目采购活动的供应商。潜在供应商依法获取其可质疑的采购文件的，可以对采购文件提出质疑。</w:t>
      </w:r>
    </w:p>
    <w:p w14:paraId="3C685814">
      <w:pPr>
        <w:pStyle w:val="32"/>
        <w:spacing w:beforeAutospacing="0" w:afterAutospacing="0" w:line="440" w:lineRule="exact"/>
        <w:ind w:firstLine="480"/>
        <w:jc w:val="both"/>
        <w:rPr>
          <w:rFonts w:hint="eastAsia" w:ascii="宋体" w:hAnsi="宋体" w:eastAsia="宋体" w:cs="宋体"/>
        </w:rPr>
      </w:pPr>
      <w:r>
        <w:rPr>
          <w:rFonts w:hint="eastAsia" w:ascii="宋体" w:hAnsi="宋体" w:eastAsia="宋体" w:cs="宋体"/>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2D64CB2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29.2.1对可以质疑的采购文件提出质疑的，为收到采购文件之日或者采购文件公告期限届满之日。</w:t>
      </w:r>
    </w:p>
    <w:p w14:paraId="13EC8DC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29.2.2对采购过程提出质疑的，为各采购程序环节结束之日。</w:t>
      </w:r>
    </w:p>
    <w:p w14:paraId="509E6500">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29.2.3对成交结果提出质疑的，为成交结果公告期限届满之日。</w:t>
      </w:r>
    </w:p>
    <w:p w14:paraId="04252CCF">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供应商应当在法定质疑期内一次性提出针对同一采购程序环节的质疑。供应商如在法定期限内对同一采购程序环节提出多次质疑的，代理机构、采购人将只对供应商第一次质疑作出答复。</w:t>
      </w:r>
    </w:p>
    <w:p w14:paraId="573DB6FA">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29.3质疑函必须按照本磋商文件中《质疑函范本》要求的格式和内容进行填写。供应商如组成联合体参加磋商，则《质疑函范本》中要求签字、盖章、加盖公章之处，联合体各方均须按要求签字、盖章、加盖公章。</w:t>
      </w:r>
    </w:p>
    <w:p w14:paraId="0E99063B">
      <w:pPr>
        <w:pBdr>
          <w:top w:val="none" w:color="000000" w:sz="0" w:space="0"/>
          <w:left w:val="none" w:color="000000" w:sz="0" w:space="0"/>
          <w:bottom w:val="none" w:color="000000" w:sz="0" w:space="0"/>
          <w:right w:val="none" w:color="000000" w:sz="0" w:space="0"/>
        </w:pBdr>
        <w:spacing w:line="480" w:lineRule="exact"/>
        <w:ind w:firstLine="480"/>
        <w:rPr>
          <w:rFonts w:hint="eastAsia" w:ascii="宋体" w:hAnsi="宋体" w:eastAsia="宋体" w:cs="宋体"/>
          <w:sz w:val="24"/>
        </w:rPr>
      </w:pPr>
      <w:r>
        <w:rPr>
          <w:rFonts w:hint="eastAsia" w:ascii="宋体" w:hAnsi="宋体" w:eastAsia="宋体" w:cs="宋体"/>
          <w:sz w:val="24"/>
        </w:rPr>
        <w:t>29.4 供应商（含潜在供应商）对采购方式、采购需求、供应商资格条件、评审方法与评审标准、合同文本的询问、质疑请向采购人提出，由采购人负责答复。供应商对其他事项的询问、质疑请向代理机构提出，由代理机构负责答复。</w:t>
      </w:r>
    </w:p>
    <w:p w14:paraId="49787401">
      <w:pPr>
        <w:pBdr>
          <w:top w:val="none" w:color="000000" w:sz="0" w:space="0"/>
          <w:left w:val="none" w:color="000000" w:sz="0" w:space="0"/>
          <w:bottom w:val="none" w:color="000000" w:sz="0" w:space="0"/>
          <w:right w:val="none" w:color="000000" w:sz="0" w:space="0"/>
        </w:pBdr>
        <w:spacing w:line="480" w:lineRule="exact"/>
        <w:ind w:firstLine="480"/>
        <w:rPr>
          <w:rFonts w:hint="eastAsia" w:ascii="宋体" w:hAnsi="宋体" w:eastAsia="宋体" w:cs="宋体"/>
          <w:sz w:val="24"/>
        </w:rPr>
      </w:pPr>
      <w:r>
        <w:rPr>
          <w:rFonts w:hint="eastAsia" w:cs="宋体" w:asciiTheme="minorEastAsia" w:hAnsiTheme="minorEastAsia"/>
          <w:sz w:val="24"/>
        </w:rPr>
        <w:t>采购人及代理公司只接收以纸质原件形式送达的质疑，建议供应商尽量通过邮寄方式提交质疑。</w:t>
      </w:r>
    </w:p>
    <w:p w14:paraId="6257383C">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29.5 以下情形的质疑不予受理</w:t>
      </w:r>
    </w:p>
    <w:p w14:paraId="557F935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29.5.1 内容不符合《政府采购质疑和投诉办法》第十二条规定的质疑。</w:t>
      </w:r>
    </w:p>
    <w:p w14:paraId="736757C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29.5.2 超出政府采购法定期限的质疑。</w:t>
      </w:r>
    </w:p>
    <w:p w14:paraId="6458F97A">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29.5.3 以传真、电子邮件等方式递交的非原件形式的质疑。</w:t>
      </w:r>
    </w:p>
    <w:p w14:paraId="5830A04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29.5.4 未参加磋商活动的供应商或在磋商活动中自身权益未受到损害的供应商所提出的质疑。</w:t>
      </w:r>
    </w:p>
    <w:p w14:paraId="5F87172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29.5.5供应商组成联合体参加磋商，联合体中任何一方或多方未按要求签字、盖章、加盖公章的质疑。</w:t>
      </w:r>
    </w:p>
    <w:p w14:paraId="2D5166B6">
      <w:pPr>
        <w:pStyle w:val="32"/>
        <w:keepNext/>
        <w:keepLines/>
        <w:spacing w:beforeAutospacing="0" w:afterAutospacing="0" w:line="360" w:lineRule="auto"/>
        <w:ind w:firstLine="600"/>
        <w:jc w:val="both"/>
        <w:rPr>
          <w:rFonts w:hint="eastAsia" w:ascii="宋体" w:hAnsi="宋体" w:eastAsia="宋体" w:cs="宋体"/>
        </w:rPr>
      </w:pPr>
      <w:r>
        <w:rPr>
          <w:rFonts w:hint="eastAsia" w:ascii="宋体" w:hAnsi="宋体" w:eastAsia="宋体" w:cs="宋体"/>
        </w:rPr>
        <w:t>29.6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p>
    <w:p w14:paraId="2E04D967">
      <w:pPr>
        <w:pStyle w:val="32"/>
        <w:keepNext/>
        <w:keepLines/>
        <w:spacing w:beforeAutospacing="0" w:afterAutospacing="0" w:line="360" w:lineRule="auto"/>
        <w:ind w:firstLine="600"/>
        <w:jc w:val="both"/>
        <w:rPr>
          <w:rFonts w:hint="eastAsia" w:ascii="宋体" w:hAnsi="宋体" w:eastAsia="宋体" w:cs="宋体"/>
        </w:rPr>
      </w:pPr>
      <w:r>
        <w:rPr>
          <w:rFonts w:hint="eastAsia" w:ascii="宋体" w:hAnsi="宋体" w:eastAsia="宋体" w:cs="宋体"/>
        </w:rPr>
        <w:t>30、成交通知书</w:t>
      </w:r>
    </w:p>
    <w:p w14:paraId="0C5679D7">
      <w:pPr>
        <w:pStyle w:val="32"/>
        <w:spacing w:beforeAutospacing="0" w:afterAutospacing="0" w:line="360" w:lineRule="auto"/>
        <w:ind w:firstLine="600"/>
        <w:jc w:val="both"/>
        <w:rPr>
          <w:rFonts w:hint="eastAsia" w:ascii="宋体" w:hAnsi="宋体" w:eastAsia="宋体" w:cs="宋体"/>
        </w:rPr>
      </w:pPr>
      <w:r>
        <w:rPr>
          <w:rFonts w:hint="eastAsia" w:ascii="宋体" w:hAnsi="宋体" w:eastAsia="宋体" w:cs="宋体"/>
        </w:rPr>
        <w:t>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7C34CF3">
      <w:pPr>
        <w:pStyle w:val="32"/>
        <w:spacing w:beforeAutospacing="0" w:afterAutospacing="0" w:line="360" w:lineRule="auto"/>
        <w:ind w:firstLine="600"/>
        <w:jc w:val="both"/>
        <w:rPr>
          <w:rFonts w:hint="eastAsia" w:ascii="宋体" w:hAnsi="宋体" w:eastAsia="宋体" w:cs="宋体"/>
        </w:rPr>
      </w:pPr>
      <w:r>
        <w:rPr>
          <w:rFonts w:hint="eastAsia" w:ascii="宋体" w:hAnsi="宋体" w:eastAsia="宋体" w:cs="宋体"/>
        </w:rPr>
        <w:t>30.2成交通知书将是合同的一个组成部分。对采购人和成交供应商均具有法律效力。成交通知书发出后，采购人改变成交结果的，或者成交供应商放弃成交项目的，应当依法承担法律责任。</w:t>
      </w:r>
    </w:p>
    <w:p w14:paraId="01D9BB9E">
      <w:pPr>
        <w:pStyle w:val="32"/>
        <w:keepNext/>
        <w:keepLines/>
        <w:spacing w:before="145" w:beforeAutospacing="0" w:after="145" w:afterAutospacing="0" w:line="276" w:lineRule="auto"/>
        <w:jc w:val="both"/>
        <w:rPr>
          <w:rFonts w:hint="eastAsia" w:ascii="宋体" w:hAnsi="宋体" w:eastAsia="宋体" w:cs="宋体"/>
        </w:rPr>
      </w:pPr>
      <w:bookmarkStart w:id="123" w:name="_Toc20823308"/>
      <w:bookmarkStart w:id="124" w:name="_Toc120614220"/>
      <w:bookmarkStart w:id="125" w:name="_Toc16938552"/>
      <w:bookmarkStart w:id="126" w:name="_Toc513029236"/>
      <w:r>
        <w:rPr>
          <w:rFonts w:hint="eastAsia" w:ascii="宋体" w:hAnsi="宋体" w:eastAsia="宋体" w:cs="宋体"/>
          <w:b/>
        </w:rPr>
        <w:t>七、授予合同</w:t>
      </w:r>
      <w:bookmarkEnd w:id="123"/>
      <w:bookmarkEnd w:id="124"/>
      <w:bookmarkEnd w:id="125"/>
      <w:bookmarkEnd w:id="126"/>
    </w:p>
    <w:p w14:paraId="74BDFD25">
      <w:pPr>
        <w:pStyle w:val="32"/>
        <w:keepNext/>
        <w:keepLines/>
        <w:spacing w:beforeAutospacing="0" w:afterAutospacing="0" w:line="360" w:lineRule="auto"/>
        <w:ind w:firstLine="600"/>
        <w:jc w:val="both"/>
        <w:rPr>
          <w:rFonts w:hint="eastAsia" w:ascii="宋体" w:hAnsi="宋体" w:eastAsia="宋体" w:cs="宋体"/>
        </w:rPr>
      </w:pPr>
      <w:bookmarkStart w:id="127" w:name="_Toc513029237"/>
      <w:bookmarkStart w:id="128" w:name="_Toc16938553"/>
      <w:bookmarkStart w:id="129" w:name="_Toc20823309"/>
      <w:r>
        <w:rPr>
          <w:rFonts w:hint="eastAsia" w:ascii="宋体" w:hAnsi="宋体" w:eastAsia="宋体" w:cs="宋体"/>
        </w:rPr>
        <w:t>31.签订合同</w:t>
      </w:r>
      <w:bookmarkEnd w:id="127"/>
      <w:bookmarkEnd w:id="128"/>
      <w:bookmarkEnd w:id="129"/>
    </w:p>
    <w:p w14:paraId="10CEF05B">
      <w:pPr>
        <w:pStyle w:val="32"/>
        <w:spacing w:beforeAutospacing="0" w:afterAutospacing="0" w:line="360" w:lineRule="auto"/>
        <w:ind w:firstLine="600"/>
        <w:jc w:val="both"/>
        <w:rPr>
          <w:rFonts w:hint="eastAsia" w:ascii="宋体" w:hAnsi="宋体" w:eastAsia="宋体" w:cs="宋体"/>
        </w:rPr>
      </w:pPr>
      <w:r>
        <w:rPr>
          <w:rFonts w:hint="eastAsia" w:ascii="宋体" w:hAnsi="宋体" w:eastAsia="宋体" w:cs="宋体"/>
        </w:rPr>
        <w:t>31.l成交供应商应当在成交通知书发出之日起三十日内，按照磋商文件确定的事项与采购人签订政府采购合同。</w:t>
      </w:r>
    </w:p>
    <w:p w14:paraId="33933FDC">
      <w:pPr>
        <w:pStyle w:val="32"/>
        <w:spacing w:beforeAutospacing="0" w:afterAutospacing="0" w:line="360" w:lineRule="auto"/>
        <w:ind w:firstLine="600"/>
        <w:jc w:val="both"/>
        <w:rPr>
          <w:rFonts w:hint="eastAsia" w:ascii="宋体" w:hAnsi="宋体" w:eastAsia="宋体" w:cs="宋体"/>
        </w:rPr>
      </w:pPr>
      <w:r>
        <w:rPr>
          <w:rFonts w:hint="eastAsia" w:ascii="宋体" w:hAnsi="宋体" w:eastAsia="宋体" w:cs="宋体"/>
        </w:rPr>
        <w:t>31.2磋商文件、成交供应商的响应文件及磋商过程中有关澄清、承诺文件均应作为合同附件。</w:t>
      </w:r>
    </w:p>
    <w:p w14:paraId="24B27484">
      <w:pPr>
        <w:pStyle w:val="32"/>
        <w:spacing w:beforeAutospacing="0" w:afterAutospacing="0" w:line="360" w:lineRule="auto"/>
        <w:ind w:firstLine="600"/>
        <w:jc w:val="both"/>
        <w:rPr>
          <w:rFonts w:hint="eastAsia" w:ascii="宋体" w:hAnsi="宋体" w:eastAsia="宋体" w:cs="宋体"/>
        </w:rPr>
      </w:pPr>
      <w:r>
        <w:rPr>
          <w:rFonts w:hint="eastAsia" w:ascii="宋体" w:hAnsi="宋体" w:eastAsia="宋体" w:cs="宋体"/>
        </w:rPr>
        <w:t>31.3 签订合同后，</w:t>
      </w:r>
      <w:r>
        <w:rPr>
          <w:rFonts w:hint="eastAsia" w:ascii="宋体" w:hAnsi="宋体" w:eastAsia="宋体" w:cs="宋体"/>
          <w:i/>
          <w:u w:val="single"/>
        </w:rPr>
        <w:t>成交供应商不得将合同标的进行转包</w:t>
      </w:r>
      <w:r>
        <w:rPr>
          <w:rFonts w:hint="eastAsia" w:ascii="宋体" w:hAnsi="宋体" w:eastAsia="宋体" w:cs="宋体"/>
        </w:rPr>
        <w:t>。未经采购人同意，成交供应商也不得采用分包形式履行合同,否则采购人有权终止合同。转包或分包造成采购人损失的，成交供应商应承担相应赔偿责任。</w:t>
      </w:r>
    </w:p>
    <w:p w14:paraId="7678FADF">
      <w:pPr>
        <w:pStyle w:val="32"/>
        <w:keepNext/>
        <w:keepLines/>
        <w:spacing w:beforeAutospacing="0" w:afterAutospacing="0" w:line="360" w:lineRule="auto"/>
        <w:ind w:firstLine="600"/>
        <w:jc w:val="both"/>
        <w:rPr>
          <w:rFonts w:hint="eastAsia" w:ascii="宋体" w:hAnsi="宋体" w:eastAsia="宋体" w:cs="宋体"/>
        </w:rPr>
      </w:pPr>
      <w:r>
        <w:rPr>
          <w:rFonts w:hint="eastAsia" w:ascii="宋体" w:hAnsi="宋体" w:eastAsia="宋体" w:cs="宋体"/>
        </w:rPr>
        <w:t>32.标的物的追加</w:t>
      </w:r>
    </w:p>
    <w:p w14:paraId="52E35099">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412BAA6">
      <w:pPr>
        <w:pStyle w:val="32"/>
        <w:spacing w:beforeAutospacing="0" w:afterAutospacing="0" w:line="360" w:lineRule="auto"/>
        <w:ind w:left="474"/>
        <w:jc w:val="both"/>
        <w:rPr>
          <w:rFonts w:hint="eastAsia" w:ascii="宋体" w:hAnsi="宋体" w:eastAsia="宋体" w:cs="宋体"/>
        </w:rPr>
      </w:pPr>
      <w:r>
        <w:rPr>
          <w:rFonts w:hint="eastAsia" w:ascii="宋体" w:hAnsi="宋体" w:eastAsia="宋体" w:cs="宋体"/>
        </w:rPr>
        <w:t>33.政府采购政策功能落实</w:t>
      </w:r>
    </w:p>
    <w:p w14:paraId="32FC189A">
      <w:pPr>
        <w:pStyle w:val="32"/>
        <w:keepNext/>
        <w:keepLines/>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33.1政府采购线上合同信用融资政策</w:t>
      </w:r>
    </w:p>
    <w:p w14:paraId="5B065DC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根据《转发江苏省财政厅 中国人民银行南京分行&lt;关于深入推进政府采购线上合同信用融资工作的通知&gt;的通知》（盐财购〔2021〕20号）规定，</w:t>
      </w:r>
      <w:r>
        <w:rPr>
          <w:rFonts w:hint="eastAsia" w:ascii="宋体" w:hAnsi="宋体" w:eastAsia="宋体" w:cs="宋体"/>
          <w:lang w:val="en-US" w:eastAsia="zh-CN"/>
        </w:rPr>
        <w:t>成交</w:t>
      </w:r>
      <w:r>
        <w:rPr>
          <w:rFonts w:hint="eastAsia" w:ascii="宋体" w:hAnsi="宋体" w:eastAsia="宋体" w:cs="宋体"/>
        </w:rPr>
        <w:t>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35864F94">
      <w:pPr>
        <w:tabs>
          <w:tab w:val="left" w:pos="1381"/>
        </w:tabs>
        <w:spacing w:line="360" w:lineRule="auto"/>
        <w:ind w:firstLine="482"/>
        <w:rPr>
          <w:rFonts w:hint="eastAsia" w:ascii="宋体" w:hAnsi="宋体" w:eastAsia="宋体" w:cs="宋体"/>
          <w:sz w:val="24"/>
        </w:rPr>
      </w:pPr>
      <w:r>
        <w:rPr>
          <w:rFonts w:hint="eastAsia" w:ascii="宋体" w:hAnsi="宋体" w:eastAsia="宋体" w:cs="宋体"/>
          <w:sz w:val="24"/>
        </w:rPr>
        <w:t>33.2进口产品</w:t>
      </w:r>
    </w:p>
    <w:p w14:paraId="03D58C3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D112EA3">
      <w:pPr>
        <w:tabs>
          <w:tab w:val="left" w:pos="1381"/>
        </w:tabs>
        <w:spacing w:line="360" w:lineRule="auto"/>
        <w:ind w:firstLine="482"/>
        <w:rPr>
          <w:rFonts w:hint="eastAsia" w:ascii="宋体" w:hAnsi="宋体" w:eastAsia="宋体" w:cs="宋体"/>
          <w:sz w:val="24"/>
        </w:rPr>
      </w:pPr>
      <w:r>
        <w:rPr>
          <w:rFonts w:hint="eastAsia" w:ascii="宋体" w:hAnsi="宋体" w:eastAsia="宋体" w:cs="宋体"/>
          <w:sz w:val="24"/>
        </w:rPr>
        <w:t>33.3中小企业、监狱企业及残疾人福利性单位</w:t>
      </w:r>
    </w:p>
    <w:p w14:paraId="6C7329E8">
      <w:pPr>
        <w:spacing w:line="360" w:lineRule="auto"/>
        <w:ind w:firstLine="480"/>
        <w:rPr>
          <w:rFonts w:hint="eastAsia" w:ascii="宋体" w:hAnsi="宋体" w:eastAsia="宋体" w:cs="宋体"/>
          <w:sz w:val="24"/>
        </w:rPr>
      </w:pPr>
      <w:r>
        <w:rPr>
          <w:rFonts w:hint="eastAsia" w:ascii="宋体" w:hAnsi="宋体" w:eastAsia="宋体" w:cs="宋体"/>
          <w:sz w:val="24"/>
        </w:rPr>
        <w:t>33.3.1中小企业定义：</w:t>
      </w:r>
    </w:p>
    <w:p w14:paraId="0D7A21FA">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1ECD27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33.3.2供应商提供的货物、工程或者服务符合下列情形的，享受中小企业扶持政策：</w:t>
      </w:r>
    </w:p>
    <w:p w14:paraId="55ED4BD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33.3.2.1在货物采购项目中，货物由中小企业制造，即货物由中小企业生产且使用该中小企业商号或者注册商标；</w:t>
      </w:r>
    </w:p>
    <w:p w14:paraId="083FBC4F">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33.3.2.2在工程采购项目中，工程由中小企业承建，即工程施工单位为中小企业；</w:t>
      </w:r>
    </w:p>
    <w:p w14:paraId="5EC79053">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33.3.2.3在服务采购项目中，服务由中小企业承接，即提供服务的人员为中小企业依照《中华人民共和国劳动合同法》订立劳动合同的从业人员。</w:t>
      </w:r>
    </w:p>
    <w:p w14:paraId="38202E6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33.3.3在货物采购项目中，供应商提供的货物既有中小企业制造货物，也有大型企业制造货物的，不享受中小企业扶持政策。</w:t>
      </w:r>
    </w:p>
    <w:p w14:paraId="395F014D">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33.3.4以联合体形式参加政府采购活动，联合体各方均为中小企业的，联合体视同中小企业。其中，联合体各方均为小微企业的，联合体视同小微企业。</w:t>
      </w:r>
    </w:p>
    <w:p w14:paraId="08EECF37">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0B4E64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33.3.6残疾人福利单位定义：享受政府采购支持政策的残疾人福利性单位应当同时满足以下条件：</w:t>
      </w:r>
    </w:p>
    <w:p w14:paraId="2B5F2C56">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33.3.6.1安置的残疾人占本单位在职职工人数的比例不低于25%（含25%），并且安置的残疾人人数不少于10 人（含10 人）；</w:t>
      </w:r>
    </w:p>
    <w:p w14:paraId="6C756E3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33.3.6.2依法与安置的每位残疾人签订了一年以上（含一年）的劳动合同或服务协议；</w:t>
      </w:r>
    </w:p>
    <w:p w14:paraId="3902364F">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33.3.6.3为安置的每位残疾人按月足额缴纳了基本养老保险、基本医疗保险、失业保险、工伤保险和生育保险等社会保险费；</w:t>
      </w:r>
    </w:p>
    <w:p w14:paraId="49BE8FE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33.3.6.4通过银行等金融机构向安置的每位残疾人，按月支付了不低于单位所在区县适用的经省级人民政府批准的月最低工资标准的工资；</w:t>
      </w:r>
    </w:p>
    <w:p w14:paraId="4BA88708">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33.3.6.5提供本单位制造的货物、承担的工程或者服务（以下简称产品），或者提供其他残疾人福利性单位制造的货物（不包括使用非残疾人福利性单位注册商标的货物）；</w:t>
      </w:r>
    </w:p>
    <w:p w14:paraId="0C685F6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E515A0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33.3.7本项目是否专门面向中小企业预留采购份额见第一章《竞争性磋商公告》。</w:t>
      </w:r>
    </w:p>
    <w:p w14:paraId="083301E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33.3.8采购标的对应的中小企业划分标准所属行业见第四章《采购需求》。</w:t>
      </w:r>
    </w:p>
    <w:p w14:paraId="637AFB79">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33.3.9小微企业价格评审优惠的政策：见第五章《评标方法和评标标准》。</w:t>
      </w:r>
    </w:p>
    <w:p w14:paraId="0BB64541">
      <w:pPr>
        <w:tabs>
          <w:tab w:val="left" w:pos="1381"/>
        </w:tabs>
        <w:spacing w:line="360" w:lineRule="auto"/>
        <w:ind w:firstLine="482"/>
        <w:rPr>
          <w:rFonts w:hint="eastAsia" w:ascii="宋体" w:hAnsi="宋体" w:eastAsia="宋体" w:cs="宋体"/>
          <w:sz w:val="24"/>
        </w:rPr>
      </w:pPr>
      <w:r>
        <w:rPr>
          <w:rFonts w:hint="eastAsia" w:ascii="宋体" w:hAnsi="宋体" w:eastAsia="宋体" w:cs="宋体"/>
          <w:sz w:val="24"/>
        </w:rPr>
        <w:t>33.4政府采购节能产品、环境标志产品</w:t>
      </w:r>
    </w:p>
    <w:p w14:paraId="758472AD">
      <w:pPr>
        <w:spacing w:line="360" w:lineRule="auto"/>
        <w:ind w:firstLine="480"/>
        <w:rPr>
          <w:rFonts w:hint="eastAsia" w:ascii="宋体" w:hAnsi="宋体" w:eastAsia="宋体" w:cs="宋体"/>
          <w:sz w:val="24"/>
        </w:rPr>
      </w:pPr>
      <w:r>
        <w:rPr>
          <w:rFonts w:hint="eastAsia" w:ascii="宋体" w:hAnsi="宋体" w:eastAsia="宋体" w:cs="宋体"/>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如属政府强制采购产品未提供认证证书的或认证证书提供不全的将视为未实质性响应采购要求</w:t>
      </w:r>
      <w:r>
        <w:rPr>
          <w:rFonts w:hint="eastAsia" w:ascii="宋体" w:hAnsi="宋体" w:eastAsia="宋体" w:cs="宋体"/>
          <w:i/>
          <w:sz w:val="24"/>
        </w:rPr>
        <w:t>。</w:t>
      </w:r>
      <w:r>
        <w:rPr>
          <w:rFonts w:hint="eastAsia" w:ascii="宋体" w:hAnsi="宋体" w:eastAsia="宋体" w:cs="宋体"/>
          <w:sz w:val="24"/>
        </w:rPr>
        <w:t>其他条件相同情况下，应当优先采购节能产品、环境标志产品。</w:t>
      </w:r>
    </w:p>
    <w:p w14:paraId="5855FA1A">
      <w:pPr>
        <w:spacing w:line="360" w:lineRule="auto"/>
        <w:ind w:firstLine="480"/>
        <w:rPr>
          <w:rFonts w:hint="eastAsia" w:ascii="宋体" w:hAnsi="宋体" w:eastAsia="宋体" w:cs="宋体"/>
          <w:sz w:val="24"/>
        </w:rPr>
      </w:pPr>
      <w:r>
        <w:rPr>
          <w:rFonts w:hint="eastAsia" w:ascii="宋体" w:hAnsi="宋体" w:eastAsia="宋体" w:cs="宋体"/>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310106E">
      <w:pPr>
        <w:tabs>
          <w:tab w:val="left" w:pos="1381"/>
        </w:tabs>
        <w:spacing w:line="360" w:lineRule="auto"/>
        <w:ind w:firstLine="482"/>
        <w:rPr>
          <w:rFonts w:hint="eastAsia" w:ascii="宋体" w:hAnsi="宋体" w:eastAsia="宋体" w:cs="宋体"/>
          <w:sz w:val="24"/>
        </w:rPr>
      </w:pPr>
      <w:r>
        <w:rPr>
          <w:rFonts w:hint="eastAsia" w:ascii="宋体" w:hAnsi="宋体" w:eastAsia="宋体" w:cs="宋体"/>
          <w:sz w:val="24"/>
        </w:rPr>
        <w:t>33.5绿色包装</w:t>
      </w:r>
    </w:p>
    <w:p w14:paraId="5824E4F9">
      <w:pPr>
        <w:spacing w:line="360" w:lineRule="auto"/>
        <w:ind w:firstLine="480"/>
        <w:rPr>
          <w:rFonts w:hint="eastAsia" w:ascii="宋体" w:hAnsi="宋体" w:eastAsia="宋体" w:cs="宋体"/>
          <w:sz w:val="24"/>
        </w:rPr>
      </w:pPr>
      <w:r>
        <w:rPr>
          <w:rFonts w:hint="eastAsia" w:ascii="宋体" w:hAnsi="宋体" w:eastAsia="宋体" w:cs="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5A89B68">
      <w:pPr>
        <w:tabs>
          <w:tab w:val="left" w:pos="1381"/>
        </w:tabs>
        <w:spacing w:line="360" w:lineRule="auto"/>
        <w:ind w:firstLine="482"/>
        <w:rPr>
          <w:rFonts w:hint="eastAsia" w:ascii="宋体" w:hAnsi="宋体" w:eastAsia="宋体" w:cs="宋体"/>
          <w:sz w:val="24"/>
        </w:rPr>
      </w:pPr>
      <w:r>
        <w:rPr>
          <w:rFonts w:hint="eastAsia" w:ascii="宋体" w:hAnsi="宋体" w:eastAsia="宋体" w:cs="宋体"/>
          <w:sz w:val="24"/>
        </w:rPr>
        <w:t>33.6政府采购创新产品</w:t>
      </w:r>
    </w:p>
    <w:p w14:paraId="25D9AF49">
      <w:pPr>
        <w:pBdr>
          <w:top w:val="none" w:color="000000" w:sz="0" w:space="0"/>
          <w:left w:val="none" w:color="000000" w:sz="0" w:space="0"/>
          <w:bottom w:val="none" w:color="000000" w:sz="0" w:space="0"/>
          <w:right w:val="none" w:color="000000" w:sz="0" w:space="0"/>
        </w:pBdr>
        <w:spacing w:line="360" w:lineRule="auto"/>
        <w:ind w:firstLine="478"/>
        <w:rPr>
          <w:rFonts w:hint="eastAsia" w:ascii="宋体" w:hAnsi="宋体" w:eastAsia="宋体" w:cs="宋体"/>
          <w:color w:val="000000"/>
          <w:sz w:val="24"/>
        </w:rPr>
      </w:pPr>
      <w:r>
        <w:rPr>
          <w:rFonts w:hint="eastAsia" w:ascii="宋体" w:hAnsi="宋体" w:eastAsia="宋体" w:cs="宋体"/>
          <w:sz w:val="24"/>
        </w:rPr>
        <w:t>采购人优先采购各级政府部门公开发布的有效期内的创新产品、创新服务、首台套、首购首用等《目录》的创新产品</w:t>
      </w:r>
      <w:r>
        <w:rPr>
          <w:rFonts w:hint="eastAsia" w:ascii="宋体" w:hAnsi="宋体" w:eastAsia="宋体" w:cs="宋体"/>
          <w:color w:val="000000"/>
          <w:sz w:val="24"/>
        </w:rPr>
        <w:t>。</w:t>
      </w:r>
    </w:p>
    <w:p w14:paraId="6E0E4792">
      <w:pPr>
        <w:tabs>
          <w:tab w:val="left" w:pos="1381"/>
        </w:tabs>
        <w:spacing w:line="360" w:lineRule="auto"/>
        <w:ind w:firstLine="482"/>
        <w:rPr>
          <w:rFonts w:hint="eastAsia" w:ascii="宋体" w:hAnsi="宋体" w:eastAsia="宋体" w:cs="宋体"/>
          <w:sz w:val="24"/>
        </w:rPr>
      </w:pPr>
      <w:r>
        <w:rPr>
          <w:rFonts w:hint="eastAsia" w:ascii="宋体" w:hAnsi="宋体" w:eastAsia="宋体" w:cs="宋体"/>
          <w:sz w:val="24"/>
        </w:rPr>
        <w:t xml:space="preserve">33.7绿色数据中心政策 </w:t>
      </w:r>
    </w:p>
    <w:p w14:paraId="4D0F4F65">
      <w:pPr>
        <w:spacing w:line="360" w:lineRule="auto"/>
        <w:ind w:firstLine="480"/>
        <w:rPr>
          <w:rFonts w:hint="eastAsia" w:ascii="宋体" w:hAnsi="宋体" w:eastAsia="宋体" w:cs="宋体"/>
          <w:sz w:val="24"/>
        </w:rPr>
      </w:pPr>
      <w:r>
        <w:rPr>
          <w:rFonts w:hint="eastAsia" w:ascii="宋体" w:hAnsi="宋体" w:eastAsia="宋体" w:cs="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950C32B">
      <w:pPr>
        <w:tabs>
          <w:tab w:val="left" w:pos="1381"/>
        </w:tabs>
        <w:spacing w:line="360" w:lineRule="auto"/>
        <w:ind w:firstLine="482"/>
        <w:rPr>
          <w:rFonts w:hint="eastAsia" w:ascii="宋体" w:hAnsi="宋体" w:eastAsia="宋体" w:cs="宋体"/>
          <w:sz w:val="24"/>
        </w:rPr>
      </w:pPr>
      <w:r>
        <w:rPr>
          <w:rFonts w:hint="eastAsia" w:ascii="宋体" w:hAnsi="宋体" w:eastAsia="宋体" w:cs="宋体"/>
          <w:sz w:val="24"/>
        </w:rPr>
        <w:t>33.8履约保证金政策</w:t>
      </w:r>
    </w:p>
    <w:p w14:paraId="17E2480C">
      <w:pPr>
        <w:pStyle w:val="192"/>
        <w:spacing w:after="0" w:line="360" w:lineRule="auto"/>
        <w:ind w:left="0" w:firstLine="560"/>
        <w:rPr>
          <w:rFonts w:hint="eastAsia" w:ascii="宋体" w:hAnsi="宋体" w:eastAsia="宋体" w:cs="宋体"/>
          <w:sz w:val="24"/>
        </w:rPr>
      </w:pPr>
      <w:r>
        <w:rPr>
          <w:rFonts w:hint="eastAsia" w:ascii="宋体" w:hAnsi="宋体" w:eastAsia="宋体" w:cs="宋体"/>
          <w:sz w:val="24"/>
        </w:rPr>
        <w:t>确需收取履约保证金的，履约保证金的缴纳形式：</w:t>
      </w:r>
    </w:p>
    <w:p w14:paraId="311489CD">
      <w:pPr>
        <w:spacing w:line="360" w:lineRule="auto"/>
        <w:ind w:firstLine="480"/>
        <w:rPr>
          <w:rFonts w:hint="eastAsia" w:ascii="宋体" w:hAnsi="宋体" w:eastAsia="宋体" w:cs="宋体"/>
          <w:sz w:val="24"/>
        </w:rPr>
      </w:pPr>
      <w:r>
        <w:rPr>
          <w:rFonts w:hint="eastAsia" w:ascii="宋体" w:hAnsi="宋体" w:eastAsia="宋体" w:cs="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F46FAD5">
      <w:pPr>
        <w:spacing w:line="360" w:lineRule="auto"/>
        <w:ind w:firstLine="480"/>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p>
    <w:p w14:paraId="0D7FFE70">
      <w:pPr>
        <w:spacing w:line="360" w:lineRule="auto"/>
        <w:ind w:firstLine="480"/>
        <w:rPr>
          <w:rFonts w:hint="eastAsia" w:ascii="宋体" w:hAnsi="宋体" w:eastAsia="宋体" w:cs="宋体"/>
          <w:sz w:val="24"/>
        </w:rPr>
      </w:pPr>
      <w:r>
        <w:rPr>
          <w:rFonts w:hint="eastAsia" w:ascii="宋体" w:hAnsi="宋体" w:eastAsia="宋体" w:cs="宋体"/>
          <w:sz w:val="24"/>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7740E973">
      <w:pPr>
        <w:tabs>
          <w:tab w:val="left" w:pos="1381"/>
        </w:tabs>
        <w:spacing w:line="360" w:lineRule="auto"/>
        <w:ind w:firstLine="482"/>
        <w:rPr>
          <w:rFonts w:hint="eastAsia" w:ascii="宋体" w:hAnsi="宋体" w:eastAsia="宋体" w:cs="宋体"/>
          <w:sz w:val="24"/>
        </w:rPr>
      </w:pPr>
      <w:r>
        <w:rPr>
          <w:rFonts w:hint="eastAsia" w:ascii="宋体" w:hAnsi="宋体" w:eastAsia="宋体" w:cs="宋体"/>
          <w:sz w:val="24"/>
        </w:rPr>
        <w:t>34. 预付款制度</w:t>
      </w:r>
    </w:p>
    <w:p w14:paraId="0F3FC2E0">
      <w:pPr>
        <w:spacing w:line="360" w:lineRule="auto"/>
        <w:ind w:firstLine="480"/>
        <w:rPr>
          <w:rFonts w:hint="eastAsia" w:ascii="宋体" w:hAnsi="宋体" w:eastAsia="宋体" w:cs="宋体"/>
          <w:sz w:val="24"/>
        </w:rPr>
      </w:pPr>
      <w:r>
        <w:rPr>
          <w:rFonts w:hint="eastAsia" w:ascii="宋体" w:hAnsi="宋体" w:eastAsia="宋体" w:cs="宋体"/>
          <w:sz w:val="24"/>
        </w:rPr>
        <w:t>本项目落实预付款制度，预付款比例为_</w:t>
      </w:r>
      <w:r>
        <w:rPr>
          <w:rFonts w:hint="eastAsia" w:ascii="宋体" w:hAnsi="宋体" w:eastAsia="宋体" w:cs="宋体"/>
          <w:sz w:val="24"/>
          <w:u w:val="single"/>
        </w:rPr>
        <w:t>30</w:t>
      </w:r>
      <w:r>
        <w:rPr>
          <w:rFonts w:hint="eastAsia" w:ascii="宋体" w:hAnsi="宋体" w:eastAsia="宋体" w:cs="宋体"/>
          <w:sz w:val="24"/>
        </w:rPr>
        <w:t>_%。在签订合同时，中标、成交供应商明确书面表示无需预付款或者主动要求降低预付款比例的，采购人可就预付款比例作相应调整。</w:t>
      </w:r>
    </w:p>
    <w:p w14:paraId="1BDC8A56">
      <w:pPr>
        <w:numPr>
          <w:ilvl w:val="0"/>
          <w:numId w:val="0"/>
        </w:num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lang w:val="en-US" w:eastAsia="zh-CN"/>
        </w:rPr>
        <w:t>35.</w:t>
      </w:r>
      <w:r>
        <w:rPr>
          <w:rFonts w:hint="eastAsia" w:ascii="宋体" w:hAnsi="宋体" w:eastAsia="宋体" w:cs="宋体"/>
          <w:color w:val="auto"/>
          <w:sz w:val="24"/>
          <w:highlight w:val="none"/>
          <w:lang w:val="en-US" w:eastAsia="zh-CN"/>
        </w:rPr>
        <w:t>实施本国产品标准及相关政策</w:t>
      </w:r>
    </w:p>
    <w:p w14:paraId="50A18DB3">
      <w:pPr>
        <w:numPr>
          <w:ilvl w:val="0"/>
          <w:numId w:val="0"/>
        </w:numPr>
        <w:spacing w:line="360" w:lineRule="auto"/>
        <w:ind w:firstLine="480"/>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政府采购活动中既有本国产品又有非本国产品参与竞争的，依法对本国产品给予价格评审优惠，对本国产品的报价给予20%的价格扣除，用扣除后的价格参与评审。</w:t>
      </w:r>
    </w:p>
    <w:p w14:paraId="4B9D85AA">
      <w:pPr>
        <w:numPr>
          <w:ilvl w:val="0"/>
          <w:numId w:val="0"/>
        </w:numPr>
        <w:spacing w:line="360" w:lineRule="auto"/>
        <w:ind w:firstLine="480"/>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1CA645C">
      <w:pPr>
        <w:pageBreakBefore w:val="0"/>
        <w:widowControl w:val="0"/>
        <w:spacing w:line="360" w:lineRule="auto"/>
        <w:ind w:firstLine="48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6DB3A82">
      <w:pPr>
        <w:pageBreakBefore w:val="0"/>
        <w:widowControl w:val="0"/>
        <w:spacing w:line="360" w:lineRule="auto"/>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A28338E">
      <w:pPr>
        <w:numPr>
          <w:ilvl w:val="0"/>
          <w:numId w:val="0"/>
        </w:num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本项目专门面向本国产品（须提供本国产品标准的声明函，并加盖公章），供应商应对其提供的产品出具《关于符合本国产品标准的声明函》(样式见附件)</w:t>
      </w:r>
    </w:p>
    <w:p w14:paraId="0107F346">
      <w:pPr>
        <w:pStyle w:val="12"/>
        <w:rPr>
          <w:rFonts w:hint="default" w:eastAsia="宋体"/>
          <w:lang w:val="en-US" w:eastAsia="zh-CN"/>
        </w:rPr>
      </w:pPr>
    </w:p>
    <w:p w14:paraId="21883A77">
      <w:pPr>
        <w:keepNext w:val="0"/>
        <w:keepLines w:val="0"/>
        <w:pageBreakBefore/>
        <w:widowControl/>
        <w:jc w:val="center"/>
        <w:rPr>
          <w:rFonts w:hint="eastAsia" w:ascii="仿宋" w:hAnsi="仿宋" w:eastAsia="仿宋" w:cs="仿宋"/>
          <w:color w:val="000000" w:themeColor="text1"/>
          <w:sz w:val="24"/>
          <w14:textFill>
            <w14:solidFill>
              <w14:schemeClr w14:val="tx1"/>
            </w14:solidFill>
          </w14:textFill>
        </w:rPr>
      </w:pPr>
      <w:r>
        <w:rPr>
          <w:rFonts w:hint="eastAsia" w:ascii="黑体" w:hAnsi="宋体" w:eastAsia="黑体" w:cs="黑体"/>
          <w:color w:val="000000" w:themeColor="text1"/>
          <w:sz w:val="44"/>
          <w:szCs w:val="44"/>
          <w14:textFill>
            <w14:solidFill>
              <w14:schemeClr w14:val="tx1"/>
            </w14:solidFill>
          </w14:textFill>
        </w:rPr>
        <w:t>第三章  合同文本</w:t>
      </w:r>
    </w:p>
    <w:p w14:paraId="16C94B42">
      <w:pPr>
        <w:pStyle w:val="32"/>
        <w:spacing w:beforeAutospacing="0" w:afterAutospacing="0" w:line="0" w:lineRule="atLeas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以下为成交后签</w:t>
      </w:r>
      <w:r>
        <w:rPr>
          <w:rFonts w:hint="eastAsia" w:ascii="宋体" w:hAnsi="宋体" w:eastAsia="宋体" w:cs="宋体"/>
          <w:color w:val="000000" w:themeColor="text1"/>
          <w:lang w:val="en-US" w:eastAsia="zh-CN"/>
          <w14:textFill>
            <w14:solidFill>
              <w14:schemeClr w14:val="tx1"/>
            </w14:solidFill>
          </w14:textFill>
        </w:rPr>
        <w:t>订</w:t>
      </w:r>
      <w:r>
        <w:rPr>
          <w:rFonts w:hint="eastAsia" w:ascii="宋体" w:hAnsi="宋体" w:eastAsia="宋体" w:cs="宋体"/>
          <w:color w:val="000000" w:themeColor="text1"/>
          <w14:textFill>
            <w14:solidFill>
              <w14:schemeClr w14:val="tx1"/>
            </w14:solidFill>
          </w14:textFill>
        </w:rPr>
        <w:t>本项目合同的通用条款，成交供应商不得提出实质性的修改。</w:t>
      </w:r>
      <w:r>
        <w:rPr>
          <w:color w:val="000000" w:themeColor="text1"/>
          <w14:textFill>
            <w14:solidFill>
              <w14:schemeClr w14:val="tx1"/>
            </w14:solidFill>
          </w14:textFill>
        </w:rPr>
        <w:t> </w:t>
      </w:r>
    </w:p>
    <w:p w14:paraId="7F8A5797">
      <w:pPr>
        <w:pStyle w:val="32"/>
        <w:spacing w:before="145" w:beforeAutospacing="0" w:after="145" w:afterAutospacing="0"/>
        <w:jc w:val="center"/>
        <w:rPr>
          <w:color w:val="000000" w:themeColor="text1"/>
          <w14:textFill>
            <w14:solidFill>
              <w14:schemeClr w14:val="tx1"/>
            </w14:solidFill>
          </w14:textFill>
        </w:rPr>
      </w:pPr>
      <w:bookmarkStart w:id="130" w:name="_Toc479757211"/>
      <w:bookmarkStart w:id="131" w:name="_Toc462564139"/>
      <w:bookmarkStart w:id="132" w:name="_Toc20823346"/>
      <w:bookmarkStart w:id="133" w:name="_Toc16938590"/>
      <w:bookmarkStart w:id="134" w:name="_Toc120614244"/>
      <w:r>
        <w:rPr>
          <w:rFonts w:hint="eastAsia" w:ascii="宋体" w:hAnsi="宋体" w:eastAsia="宋体" w:cs="宋体"/>
          <w:b/>
          <w:color w:val="000000" w:themeColor="text1"/>
          <w:sz w:val="30"/>
          <w:szCs w:val="30"/>
          <w14:textFill>
            <w14:solidFill>
              <w14:schemeClr w14:val="tx1"/>
            </w14:solidFill>
          </w14:textFill>
        </w:rPr>
        <w:t>政府采购合同（合同编号）</w:t>
      </w:r>
    </w:p>
    <w:p w14:paraId="19601590">
      <w:pPr>
        <w:pStyle w:val="32"/>
        <w:spacing w:before="120" w:beforeAutospacing="0" w:after="120" w:afterAutospacing="0" w:line="42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项目名称：                          </w:t>
      </w:r>
    </w:p>
    <w:p w14:paraId="4ED1BF98">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项目编号：</w:t>
      </w:r>
    </w:p>
    <w:p w14:paraId="6B961D14">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甲方：（买方）_________</w:t>
      </w:r>
    </w:p>
    <w:p w14:paraId="5A59E3F8">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乙方：（卖方）_________</w:t>
      </w:r>
    </w:p>
    <w:p w14:paraId="55EB9CA8">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甲、乙双方根据</w:t>
      </w:r>
      <w:r>
        <w:rPr>
          <w:rFonts w:hint="eastAsia" w:ascii="宋体" w:hAnsi="宋体" w:eastAsia="宋体" w:cs="宋体"/>
          <w:color w:val="000000" w:themeColor="text1"/>
          <w:u w:val="single"/>
          <w14:textFill>
            <w14:solidFill>
              <w14:schemeClr w14:val="tx1"/>
            </w14:solidFill>
          </w14:textFill>
        </w:rPr>
        <w:t> </w:t>
      </w:r>
      <w:r>
        <w:rPr>
          <w:rFonts w:hint="eastAsia" w:ascii="仿宋" w:hAnsi="仿宋" w:eastAsia="仿宋" w:cs="仿宋"/>
          <w:sz w:val="28"/>
          <w:szCs w:val="28"/>
          <w:u w:val="single"/>
          <w:lang w:eastAsia="zh-CN"/>
        </w:rPr>
        <w:t>响水工业经济区环保管家综合服务项目</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竞争性磋商的结果，签署本合同。</w:t>
      </w:r>
    </w:p>
    <w:p w14:paraId="468555B2">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一、合同内容</w:t>
      </w:r>
    </w:p>
    <w:p w14:paraId="0FF577C9">
      <w:pPr>
        <w:pStyle w:val="32"/>
        <w:spacing w:before="120" w:beforeAutospacing="0" w:after="120" w:afterAutospacing="0" w:line="420" w:lineRule="exact"/>
        <w:ind w:firstLine="480"/>
        <w:jc w:val="both"/>
        <w:rPr>
          <w:rFonts w:hint="default"/>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 </w:t>
      </w:r>
      <w:r>
        <w:rPr>
          <w:rFonts w:hint="default" w:ascii="宋体" w:hAnsi="宋体" w:eastAsia="宋体" w:cs="宋体"/>
          <w:color w:val="000000" w:themeColor="text1"/>
          <w:highlight w:val="none"/>
          <w:lang w:val="en-US"/>
          <w14:textFill>
            <w14:solidFill>
              <w14:schemeClr w14:val="tx1"/>
            </w14:solidFill>
          </w14:textFill>
        </w:rPr>
        <w:t>标的名称：</w:t>
      </w:r>
    </w:p>
    <w:p w14:paraId="1D36742A">
      <w:pPr>
        <w:pStyle w:val="32"/>
        <w:spacing w:before="120" w:beforeAutospacing="0" w:after="120" w:afterAutospacing="0" w:line="420" w:lineRule="exac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lang w:val="en-US" w:eastAsia="zh-CN"/>
          <w14:textFill>
            <w14:solidFill>
              <w14:schemeClr w14:val="tx1"/>
            </w14:solidFill>
          </w14:textFill>
        </w:rPr>
        <w:t>服务</w:t>
      </w:r>
      <w:r>
        <w:rPr>
          <w:rFonts w:hint="eastAsia" w:ascii="宋体" w:hAnsi="宋体" w:eastAsia="宋体" w:cs="宋体"/>
          <w:color w:val="000000" w:themeColor="text1"/>
          <w14:textFill>
            <w14:solidFill>
              <w14:schemeClr w14:val="tx1"/>
            </w14:solidFill>
          </w14:textFill>
        </w:rPr>
        <w:t>期限：</w:t>
      </w:r>
      <w:r>
        <w:rPr>
          <w:rFonts w:hint="eastAsia" w:asciiTheme="minorEastAsia" w:hAnsiTheme="minorEastAsia" w:eastAsiaTheme="minorEastAsia" w:cstheme="minorEastAsia"/>
          <w:color w:val="auto"/>
          <w:sz w:val="24"/>
          <w:highlight w:val="none"/>
          <w:lang w:eastAsia="zh-CN"/>
        </w:rPr>
        <w:t>自签订合同之日起两年</w:t>
      </w:r>
      <w:r>
        <w:rPr>
          <w:rFonts w:hint="eastAsia" w:ascii="宋体" w:hAnsi="宋体" w:eastAsia="宋体" w:cs="宋体"/>
          <w:color w:val="000000" w:themeColor="text1"/>
          <w14:textFill>
            <w14:solidFill>
              <w14:schemeClr w14:val="tx1"/>
            </w14:solidFill>
          </w14:textFill>
        </w:rPr>
        <w:t>。</w:t>
      </w:r>
    </w:p>
    <w:p w14:paraId="5C42A42E">
      <w:pPr>
        <w:pStyle w:val="32"/>
        <w:spacing w:before="120" w:beforeAutospacing="0" w:after="120" w:afterAutospacing="0" w:line="420" w:lineRule="exact"/>
        <w:ind w:firstLine="480"/>
        <w:jc w:val="both"/>
        <w:rPr>
          <w:rFonts w:hint="default" w:eastAsia="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lang w:val="en-US" w:eastAsia="zh-CN"/>
          <w14:textFill>
            <w14:solidFill>
              <w14:schemeClr w14:val="tx1"/>
            </w14:solidFill>
          </w14:textFill>
        </w:rPr>
        <w:t>3服务内容及要求</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详见第四章《采购需求》。</w:t>
      </w:r>
    </w:p>
    <w:p w14:paraId="793621CE">
      <w:pPr>
        <w:pStyle w:val="32"/>
        <w:spacing w:before="120" w:beforeAutospacing="0" w:after="120" w:afterAutospacing="0" w:line="420" w:lineRule="exact"/>
        <w:ind w:firstLine="480"/>
        <w:jc w:val="both"/>
        <w:rPr>
          <w:rFonts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lang w:val="en-US"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 xml:space="preserve"> 履行地点：响水县境内。</w:t>
      </w:r>
    </w:p>
    <w:p w14:paraId="53E50D61">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二、合同金额</w:t>
      </w:r>
    </w:p>
    <w:p w14:paraId="74E6E778">
      <w:pPr>
        <w:pStyle w:val="32"/>
        <w:spacing w:beforeAutospacing="0" w:afterAutospacing="0" w:line="500" w:lineRule="exact"/>
        <w:ind w:firstLine="480"/>
        <w:rPr>
          <w:rFonts w:hint="eastAsia" w:ascii="宋体" w:hAnsi="宋体" w:eastAsia="宋体" w:cs="宋体"/>
        </w:rPr>
      </w:pPr>
      <w:r>
        <w:rPr>
          <w:rFonts w:hint="eastAsia" w:ascii="宋体" w:hAnsi="宋体" w:eastAsia="宋体" w:cs="宋体"/>
        </w:rPr>
        <w:t>2.1本合同金额为（大写）：___________________</w:t>
      </w:r>
      <w:r>
        <w:rPr>
          <w:rFonts w:hint="eastAsia" w:ascii="宋体" w:hAnsi="宋体" w:eastAsia="宋体" w:cs="宋体"/>
          <w:lang w:val="en-US" w:eastAsia="zh-CN"/>
        </w:rPr>
        <w:t>元</w:t>
      </w:r>
      <w:r>
        <w:rPr>
          <w:rFonts w:hint="eastAsia" w:ascii="宋体" w:hAnsi="宋体" w:eastAsia="宋体" w:cs="宋体"/>
        </w:rPr>
        <w:t>（_______________元）人民币或其他币种。</w:t>
      </w:r>
    </w:p>
    <w:p w14:paraId="4006ADAA">
      <w:pPr>
        <w:pStyle w:val="32"/>
        <w:spacing w:beforeAutospacing="0" w:afterAutospacing="0" w:line="500" w:lineRule="exact"/>
        <w:ind w:firstLine="480"/>
        <w:rPr>
          <w:rFonts w:hint="eastAsia" w:ascii="宋体" w:hAnsi="宋体" w:eastAsia="宋体" w:cs="宋体"/>
          <w:b/>
          <w:bCs/>
          <w:lang w:eastAsia="zh-CN"/>
        </w:rPr>
      </w:pPr>
      <w:r>
        <w:rPr>
          <w:rFonts w:hint="eastAsia" w:ascii="宋体" w:hAnsi="宋体" w:eastAsia="宋体" w:cs="宋体"/>
        </w:rPr>
        <w:t>注：</w:t>
      </w:r>
      <w:r>
        <w:rPr>
          <w:rFonts w:hint="eastAsia" w:ascii="宋体" w:hAnsi="宋体" w:eastAsia="宋体" w:cs="宋体"/>
          <w:b/>
          <w:bCs/>
        </w:rPr>
        <w:t>实际结算金额按甲方考</w:t>
      </w:r>
      <w:r>
        <w:rPr>
          <w:rFonts w:hint="eastAsia" w:ascii="宋体" w:hAnsi="宋体" w:eastAsia="宋体" w:cs="宋体"/>
          <w:b/>
          <w:bCs/>
          <w:lang w:val="en-US" w:eastAsia="zh-CN"/>
        </w:rPr>
        <w:t>核</w:t>
      </w:r>
      <w:r>
        <w:rPr>
          <w:rFonts w:hint="eastAsia" w:ascii="宋体" w:hAnsi="宋体" w:eastAsia="宋体" w:cs="宋体"/>
          <w:b/>
          <w:bCs/>
        </w:rPr>
        <w:t>结果确定。</w:t>
      </w:r>
      <w:r>
        <w:rPr>
          <w:rFonts w:hint="eastAsia" w:ascii="宋体" w:hAnsi="宋体" w:eastAsia="宋体" w:cs="宋体"/>
          <w:b/>
          <w:bCs/>
          <w:lang w:eastAsia="zh-CN"/>
        </w:rPr>
        <w:t>（</w:t>
      </w:r>
      <w:r>
        <w:rPr>
          <w:rFonts w:hint="eastAsia" w:ascii="宋体" w:hAnsi="宋体" w:eastAsia="宋体" w:cs="宋体"/>
          <w:b/>
          <w:bCs/>
          <w:lang w:val="en-US" w:eastAsia="zh-CN"/>
        </w:rPr>
        <w:t>考核评分表见附件1</w:t>
      </w:r>
      <w:r>
        <w:rPr>
          <w:rFonts w:hint="eastAsia" w:ascii="宋体" w:hAnsi="宋体" w:eastAsia="宋体" w:cs="宋体"/>
          <w:b/>
          <w:bCs/>
          <w:lang w:eastAsia="zh-CN"/>
        </w:rPr>
        <w:t>）</w:t>
      </w:r>
    </w:p>
    <w:p w14:paraId="38E357A6">
      <w:pPr>
        <w:pStyle w:val="19"/>
        <w:keepNext w:val="0"/>
        <w:keepLines w:val="0"/>
        <w:pageBreakBefore w:val="0"/>
        <w:widowControl w:val="0"/>
        <w:spacing w:line="360" w:lineRule="auto"/>
        <w:ind w:firstLine="480"/>
        <w:rPr>
          <w:rFonts w:hint="eastAsia" w:ascii="宋体" w:hAnsi="宋体" w:eastAsia="宋体" w:cs="宋体"/>
        </w:rPr>
      </w:pPr>
      <w:r>
        <w:rPr>
          <w:rFonts w:hint="eastAsia" w:ascii="宋体" w:hAnsi="宋体" w:eastAsia="宋体" w:cs="宋体"/>
          <w:sz w:val="24"/>
          <w:szCs w:val="24"/>
          <w:lang w:val="en-US" w:eastAsia="zh-CN" w:bidi="ar-SA"/>
        </w:rPr>
        <w:t>2.2</w:t>
      </w:r>
      <w:r>
        <w:rPr>
          <w:rFonts w:hint="eastAsia" w:asciiTheme="minorEastAsia" w:hAnsiTheme="minorEastAsia" w:eastAsiaTheme="minorEastAsia" w:cstheme="minorEastAsia"/>
          <w:bCs/>
          <w:color w:val="auto"/>
          <w:sz w:val="24"/>
          <w:highlight w:val="none"/>
        </w:rPr>
        <w:t>合同款包括运营</w:t>
      </w:r>
      <w:r>
        <w:rPr>
          <w:rFonts w:hint="eastAsia" w:asciiTheme="minorEastAsia" w:hAnsiTheme="minorEastAsia" w:eastAsiaTheme="minorEastAsia" w:cstheme="minorEastAsia"/>
          <w:bCs/>
          <w:color w:val="auto"/>
          <w:sz w:val="24"/>
          <w:highlight w:val="none"/>
          <w:lang w:eastAsia="zh-CN"/>
        </w:rPr>
        <w:t>服务</w:t>
      </w:r>
      <w:r>
        <w:rPr>
          <w:rFonts w:hint="eastAsia" w:asciiTheme="minorEastAsia" w:hAnsiTheme="minorEastAsia" w:eastAsiaTheme="minorEastAsia" w:cstheme="minorEastAsia"/>
          <w:bCs/>
          <w:color w:val="auto"/>
          <w:sz w:val="24"/>
          <w:highlight w:val="none"/>
        </w:rPr>
        <w:t>所需的一切费用，包括但不限于：（服务人员工资、社会福利费、保险、公司管理费、利润、外勤等特殊津贴费、专业服务人员驻场跟踪服务费、税金等）、可报销费用（指服务人员为执行本项目服务任务而发生的工作费用，包括国际与国内交通费</w:t>
      </w:r>
      <w:r>
        <w:rPr>
          <w:rFonts w:hint="eastAsia" w:eastAsia="宋体" w:asciiTheme="minorEastAsia" w:hAnsiTheme="minorEastAsia" w:cstheme="minorEastAsia"/>
          <w:bCs/>
          <w:color w:val="auto"/>
          <w:sz w:val="24"/>
          <w:highlight w:val="none"/>
          <w:lang w:eastAsia="zh-CN"/>
        </w:rPr>
        <w:t>、</w:t>
      </w:r>
      <w:r>
        <w:rPr>
          <w:rFonts w:hint="eastAsia" w:asciiTheme="minorEastAsia" w:hAnsiTheme="minorEastAsia" w:eastAsiaTheme="minorEastAsia" w:cstheme="minorEastAsia"/>
          <w:bCs/>
          <w:color w:val="auto"/>
          <w:sz w:val="24"/>
          <w:highlight w:val="none"/>
        </w:rPr>
        <w:t>旅行费、食宿费、通讯费、各种资料的编制、打印、复印和传递费、办公设备和用品费、设施费）、材料收集费、调研费、协调费、咨询费、审查费、专家评审费、会务费、出版费、研究费、售后服务、设备投入、管理费、利润、税金、</w:t>
      </w:r>
      <w:r>
        <w:rPr>
          <w:rFonts w:hint="eastAsia" w:eastAsia="宋体" w:asciiTheme="minorEastAsia" w:hAnsiTheme="minorEastAsia" w:cstheme="minorEastAsia"/>
          <w:bCs/>
          <w:color w:val="auto"/>
          <w:sz w:val="24"/>
          <w:highlight w:val="none"/>
          <w:lang w:val="en-US" w:eastAsia="zh-CN"/>
        </w:rPr>
        <w:t>招标</w:t>
      </w:r>
      <w:r>
        <w:rPr>
          <w:rFonts w:hint="eastAsia" w:asciiTheme="minorEastAsia" w:hAnsiTheme="minorEastAsia" w:eastAsiaTheme="minorEastAsia" w:cstheme="minorEastAsia"/>
          <w:bCs/>
          <w:color w:val="auto"/>
          <w:sz w:val="24"/>
          <w:highlight w:val="none"/>
        </w:rPr>
        <w:t>代理费、交易服务费等政策性文件规定的各项所需的全部费用和不可预见费用（指在酬金和可报销费用之外，在执行本项目服务任务的过程中所发生的额外的其他所有费用）</w:t>
      </w:r>
      <w:r>
        <w:rPr>
          <w:rFonts w:hint="eastAsia" w:asciiTheme="minorEastAsia" w:hAnsiTheme="minorEastAsia" w:eastAsiaTheme="minorEastAsia" w:cstheme="minorEastAsia"/>
          <w:color w:val="auto"/>
          <w:sz w:val="24"/>
          <w:highlight w:val="none"/>
        </w:rPr>
        <w:t>。</w:t>
      </w:r>
    </w:p>
    <w:p w14:paraId="0A1E6975">
      <w:pPr>
        <w:spacing w:line="420" w:lineRule="exact"/>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2.3</w:t>
      </w:r>
      <w:bookmarkStart w:id="135" w:name="_Hlk2258479"/>
      <w:r>
        <w:rPr>
          <w:rFonts w:hint="eastAsia" w:ascii="宋体" w:hAnsi="宋体"/>
          <w:color w:val="000000" w:themeColor="text1"/>
          <w:sz w:val="24"/>
          <w14:textFill>
            <w14:solidFill>
              <w14:schemeClr w14:val="tx1"/>
            </w14:solidFill>
          </w14:textFill>
        </w:rPr>
        <w:t>乙方</w:t>
      </w:r>
      <w:bookmarkEnd w:id="135"/>
      <w:r>
        <w:rPr>
          <w:rFonts w:hint="eastAsia" w:ascii="宋体" w:hAnsi="宋体"/>
          <w:color w:val="000000" w:themeColor="text1"/>
          <w:sz w:val="24"/>
          <w14:textFill>
            <w14:solidFill>
              <w14:schemeClr w14:val="tx1"/>
            </w14:solidFill>
          </w14:textFill>
        </w:rPr>
        <w:t>在履行合同过程中，所发生的全部生产、生活费用均由乙方负责。</w:t>
      </w:r>
    </w:p>
    <w:p w14:paraId="2040460F">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三、技术资料</w:t>
      </w:r>
    </w:p>
    <w:p w14:paraId="641D3837">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3.1乙方应按磋商文件规定的时间向甲方提供与合同标的有关的技术资料。</w:t>
      </w:r>
    </w:p>
    <w:p w14:paraId="0D3A7EF8">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EDA1C35">
      <w:pPr>
        <w:pStyle w:val="32"/>
        <w:spacing w:before="120" w:beforeAutospacing="0" w:after="120" w:afterAutospacing="0" w:line="420" w:lineRule="exact"/>
        <w:ind w:left="412" w:hanging="412"/>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四、知识产权</w:t>
      </w:r>
    </w:p>
    <w:p w14:paraId="6EAEB320">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4.1乙方应保证甲方在使用、接受本合同标的或其任何一部分时不受第三方提出侵犯其专利权、版权、商标权和工业设计权等知识产权的起诉。一旦出现侵权，由乙方负全部责任。</w:t>
      </w:r>
    </w:p>
    <w:p w14:paraId="262FB3BF">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五、产权担保</w:t>
      </w:r>
    </w:p>
    <w:p w14:paraId="481F1A22">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5.1 乙方保证所交付的合同标的的所有权完全属于乙方且无任何抵押、查封等产权瑕疵。</w:t>
      </w:r>
    </w:p>
    <w:p w14:paraId="44DF048F">
      <w:pPr>
        <w:pStyle w:val="32"/>
        <w:spacing w:before="120" w:beforeAutospacing="0" w:after="120" w:afterAutospacing="0" w:line="420" w:lineRule="exact"/>
        <w:ind w:left="410" w:hanging="410"/>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六、履约保证金</w:t>
      </w:r>
    </w:p>
    <w:p w14:paraId="1018865B">
      <w:pPr>
        <w:pStyle w:val="32"/>
        <w:spacing w:before="120" w:beforeAutospacing="0" w:after="120" w:afterAutospacing="0" w:line="420" w:lineRule="exact"/>
        <w:ind w:left="428" w:firstLine="14"/>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6.1 乙方交纳人民币_________元作为本合同的履约保证金。</w:t>
      </w:r>
    </w:p>
    <w:p w14:paraId="460CFE7F">
      <w:pPr>
        <w:pStyle w:val="32"/>
        <w:spacing w:before="120" w:beforeAutospacing="0" w:after="120" w:afterAutospacing="0" w:line="420" w:lineRule="exact"/>
        <w:ind w:firstLine="24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（备注：履约保证金金额为合同金额的10%，采购人应当对AA评级及以上政府采购供应商（需提供信用管理部门备案的第三方信用报告）免收履约保证金或降低履约保证金缴纳比例。）</w:t>
      </w:r>
    </w:p>
    <w:p w14:paraId="67D34772">
      <w:pPr>
        <w:pStyle w:val="32"/>
        <w:spacing w:before="120" w:beforeAutospacing="0" w:after="120" w:afterAutospacing="0" w:line="420" w:lineRule="exac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6.2确需收取履约保证金的，履约保证金的缴纳形式：</w:t>
      </w:r>
    </w:p>
    <w:p w14:paraId="6AA3E621">
      <w:pPr>
        <w:pStyle w:val="32"/>
        <w:spacing w:before="120" w:beforeAutospacing="0" w:after="120" w:afterAutospacing="0" w:line="420" w:lineRule="exac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9020E90">
      <w:pPr>
        <w:pStyle w:val="32"/>
        <w:spacing w:before="120" w:beforeAutospacing="0" w:after="120" w:afterAutospacing="0" w:line="420" w:lineRule="exac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6.2.2 如以履约保函（保险）形式缴纳履约保证金，供应商可通过政府采购电子履约保函（保险）平台（www.jsdzbh.com）在线申请履约保函（保险）。</w:t>
      </w:r>
    </w:p>
    <w:p w14:paraId="06A4C788">
      <w:pPr>
        <w:pStyle w:val="32"/>
        <w:spacing w:before="120" w:beforeAutospacing="0" w:after="120" w:afterAutospacing="0" w:line="420" w:lineRule="exact"/>
        <w:ind w:left="428" w:firstLine="14"/>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6.3合同履行结束后，甲方应及时退还交纳的履约保证金。</w:t>
      </w:r>
    </w:p>
    <w:p w14:paraId="3AEF6E6E">
      <w:pPr>
        <w:spacing w:line="420" w:lineRule="exact"/>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6.4履约保证金的退还：</w:t>
      </w:r>
    </w:p>
    <w:p w14:paraId="18E38662">
      <w:pPr>
        <w:spacing w:line="420" w:lineRule="exact"/>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6.4.1方式：</w:t>
      </w:r>
      <w:r>
        <w:rPr>
          <w:rFonts w:hint="eastAsia" w:ascii="宋体" w:hAnsi="宋体" w:cs="宋体"/>
          <w:color w:val="000000" w:themeColor="text1"/>
          <w:sz w:val="24"/>
          <w14:textFill>
            <w14:solidFill>
              <w14:schemeClr w14:val="tx1"/>
            </w14:solidFill>
          </w14:textFill>
        </w:rPr>
        <w:t>连同银行同期存款利息</w:t>
      </w:r>
      <w:r>
        <w:rPr>
          <w:rFonts w:hint="eastAsia" w:ascii="宋体" w:hAnsi="宋体" w:eastAsia="宋体" w:cs="宋体"/>
          <w:color w:val="000000" w:themeColor="text1"/>
          <w:sz w:val="24"/>
          <w14:textFill>
            <w14:solidFill>
              <w14:schemeClr w14:val="tx1"/>
            </w14:solidFill>
          </w14:textFill>
        </w:rPr>
        <w:t>退还至供应商缴纳履约保证金的账户。如为保函，在到期时自行失效。</w:t>
      </w:r>
    </w:p>
    <w:p w14:paraId="725022FF">
      <w:pPr>
        <w:spacing w:line="420" w:lineRule="exact"/>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6.4.2时间：验收合格且采购人收到发票后30日内。</w:t>
      </w:r>
    </w:p>
    <w:p w14:paraId="105604AE">
      <w:pPr>
        <w:spacing w:line="420" w:lineRule="exact"/>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6.4.3条件：按合同要求全部履约完成并经采购人验收合格，且采购人收到成交供应商出具的发票。</w:t>
      </w:r>
    </w:p>
    <w:p w14:paraId="34A51B08">
      <w:pPr>
        <w:spacing w:line="420" w:lineRule="exact"/>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6.4.4不予退还情形：</w:t>
      </w:r>
    </w:p>
    <w:p w14:paraId="7ED57756">
      <w:pPr>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除不可抗力情况外，供应商出现下列情形之一的，其履约保证金，采购人将视情节决定不予退还或部分不予退还。</w:t>
      </w:r>
    </w:p>
    <w:p w14:paraId="421D5311">
      <w:pPr>
        <w:spacing w:line="420" w:lineRule="exact"/>
        <w:ind w:firstLine="24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（1）成交供应商无正当理由拒绝签订合同的，或者在签订合同时向采购人提出附加条件或者更改合同实质性内容要求的；</w:t>
      </w:r>
    </w:p>
    <w:p w14:paraId="3FEA448B">
      <w:pPr>
        <w:spacing w:line="420" w:lineRule="exact"/>
        <w:ind w:firstLine="24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（2）成交供应商不履行与采购人订立的合同的；</w:t>
      </w:r>
    </w:p>
    <w:p w14:paraId="3FFA1FC7">
      <w:pPr>
        <w:spacing w:line="420" w:lineRule="exact"/>
        <w:ind w:firstLine="24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（3）成交供应商所供货物或服务不符合招标文件规定要求的；</w:t>
      </w:r>
    </w:p>
    <w:p w14:paraId="19878CBB">
      <w:pPr>
        <w:spacing w:line="420" w:lineRule="exact"/>
        <w:ind w:firstLine="24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（4）成交供应商采取欺骗、弄虚作假方式投标的或与其它供应商串通投标的；</w:t>
      </w:r>
    </w:p>
    <w:p w14:paraId="40437124">
      <w:pPr>
        <w:spacing w:line="420" w:lineRule="exact"/>
        <w:ind w:firstLine="24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（5）成交供应商将合同内容转包、违法分包的；</w:t>
      </w:r>
    </w:p>
    <w:p w14:paraId="1AA7B1D6">
      <w:pPr>
        <w:spacing w:line="420" w:lineRule="exact"/>
        <w:ind w:firstLine="24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（6）成交供应商故意捏造事实或伪造证明材料，进行虚假恶意投诉或反映的。</w:t>
      </w:r>
    </w:p>
    <w:p w14:paraId="0C60C335">
      <w:pPr>
        <w:spacing w:line="420" w:lineRule="exact"/>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6.4.5逾期退还的违约责任：采购人逾期无故未退还履约保证金的，按中国人民银行同期贷款基准利率上浮20%后的利率支付超期资金占用费，但因供应商自身原因导致无法及时退还的除外。</w:t>
      </w:r>
    </w:p>
    <w:p w14:paraId="459755AA">
      <w:pPr>
        <w:pStyle w:val="32"/>
        <w:spacing w:before="145" w:beforeAutospacing="0" w:after="145"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七、合同转包或分包</w:t>
      </w:r>
    </w:p>
    <w:p w14:paraId="72EFCCFA">
      <w:pPr>
        <w:pStyle w:val="32"/>
        <w:spacing w:before="145" w:beforeAutospacing="0" w:after="145"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7.1乙方不得将合同标的转包给他人履行。</w:t>
      </w:r>
    </w:p>
    <w:p w14:paraId="1351047D">
      <w:pPr>
        <w:pStyle w:val="32"/>
        <w:spacing w:before="145" w:beforeAutospacing="0" w:after="145"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7.2乙方不得将合同标的分包给他人履行。</w:t>
      </w:r>
    </w:p>
    <w:p w14:paraId="4C42DDCF">
      <w:pPr>
        <w:pStyle w:val="32"/>
        <w:spacing w:before="145" w:beforeAutospacing="0" w:after="145"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7.3乙方如有转包或分包行为，甲方有权解除合同。</w:t>
      </w:r>
    </w:p>
    <w:p w14:paraId="41BB1E7B">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八、合同款项支付</w:t>
      </w:r>
    </w:p>
    <w:p w14:paraId="445E2F5E">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8.1合同款项的支付方式及进度安排</w:t>
      </w:r>
    </w:p>
    <w:p w14:paraId="0E7C7391">
      <w:pPr>
        <w:pStyle w:val="32"/>
        <w:spacing w:before="120" w:beforeAutospacing="0" w:after="120" w:afterAutospacing="0" w:line="420" w:lineRule="exac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8.1.1 预付款支付时间：合同签订后，</w:t>
      </w:r>
      <w:r>
        <w:rPr>
          <w:rFonts w:hint="eastAsia" w:ascii="宋体" w:hAnsi="宋体" w:eastAsia="宋体" w:cs="宋体"/>
          <w:color w:val="000000" w:themeColor="text1"/>
          <w:lang w:val="en-US" w:eastAsia="zh-CN"/>
          <w14:textFill>
            <w14:solidFill>
              <w14:schemeClr w14:val="tx1"/>
            </w14:solidFill>
          </w14:textFill>
        </w:rPr>
        <w:t>甲方</w:t>
      </w:r>
      <w:r>
        <w:rPr>
          <w:rFonts w:hint="eastAsia" w:ascii="宋体" w:hAnsi="宋体" w:eastAsia="宋体" w:cs="宋体"/>
          <w:color w:val="000000" w:themeColor="text1"/>
          <w14:textFill>
            <w14:solidFill>
              <w14:schemeClr w14:val="tx1"/>
            </w14:solidFill>
          </w14:textFill>
        </w:rPr>
        <w:t>收到预付款发票后，预付款支付比例：</w:t>
      </w:r>
      <w:r>
        <w:rPr>
          <w:rFonts w:hint="eastAsia" w:ascii="宋体" w:hAnsi="宋体" w:eastAsia="宋体" w:cs="宋体"/>
          <w:color w:val="000000" w:themeColor="text1"/>
          <w:u w:val="single"/>
          <w14:textFill>
            <w14:solidFill>
              <w14:schemeClr w14:val="tx1"/>
            </w14:solidFill>
          </w14:textFill>
        </w:rPr>
        <w:t>合同金额的30%</w:t>
      </w:r>
      <w:r>
        <w:rPr>
          <w:rFonts w:hint="eastAsia" w:ascii="宋体" w:hAnsi="宋体" w:eastAsia="宋体" w:cs="宋体"/>
          <w:color w:val="000000" w:themeColor="text1"/>
          <w14:textFill>
            <w14:solidFill>
              <w14:schemeClr w14:val="tx1"/>
            </w14:solidFill>
          </w14:textFill>
        </w:rPr>
        <w:t>。</w:t>
      </w:r>
    </w:p>
    <w:p w14:paraId="1C0E9D77">
      <w:pPr>
        <w:pStyle w:val="32"/>
        <w:spacing w:before="120" w:beforeAutospacing="0" w:after="120" w:afterAutospacing="0" w:line="420" w:lineRule="exact"/>
        <w:ind w:firstLine="24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（备注：在签订合同时，供应商明确表示无需预付款或者主动要求降低预付款比例的，采购人可不适用前述规定。）</w:t>
      </w:r>
    </w:p>
    <w:p w14:paraId="26B95260">
      <w:pPr>
        <w:pStyle w:val="32"/>
        <w:spacing w:before="120" w:beforeAutospacing="0" w:after="120" w:afterAutospacing="0" w:line="420" w:lineRule="exact"/>
        <w:ind w:firstLine="24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8.1.2</w:t>
      </w:r>
      <w:r>
        <w:rPr>
          <w:rFonts w:hint="eastAsia" w:ascii="宋体" w:hAnsi="宋体" w:eastAsia="宋体" w:cs="宋体"/>
          <w:color w:val="000000" w:themeColor="text1"/>
          <w:highlight w:val="none"/>
          <w14:textFill>
            <w14:solidFill>
              <w14:schemeClr w14:val="tx1"/>
            </w14:solidFill>
          </w14:textFill>
        </w:rPr>
        <w:t>服务满</w:t>
      </w:r>
      <w:r>
        <w:rPr>
          <w:rFonts w:hint="eastAsia" w:ascii="宋体" w:hAnsi="宋体" w:eastAsia="宋体" w:cs="宋体"/>
          <w:color w:val="000000" w:themeColor="text1"/>
          <w:highlight w:val="none"/>
          <w:lang w:val="en-US" w:eastAsia="zh-CN"/>
          <w14:textFill>
            <w14:solidFill>
              <w14:schemeClr w14:val="tx1"/>
            </w14:solidFill>
          </w14:textFill>
        </w:rPr>
        <w:t>1年</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甲方</w:t>
      </w:r>
      <w:r>
        <w:rPr>
          <w:rFonts w:hint="eastAsia" w:ascii="宋体" w:hAnsi="宋体" w:eastAsia="宋体" w:cs="宋体"/>
          <w:color w:val="000000" w:themeColor="text1"/>
          <w:highlight w:val="none"/>
          <w14:textFill>
            <w14:solidFill>
              <w14:schemeClr w14:val="tx1"/>
            </w14:solidFill>
          </w14:textFill>
        </w:rPr>
        <w:t>收到发票后</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付款至合同总金额</w:t>
      </w:r>
      <w:r>
        <w:rPr>
          <w:rFonts w:hint="eastAsia" w:ascii="宋体" w:hAnsi="宋体" w:eastAsia="宋体" w:cs="宋体"/>
          <w:color w:val="000000" w:themeColor="text1"/>
          <w:highlight w:val="none"/>
          <w:lang w:val="en-US" w:eastAsia="zh-CN"/>
          <w14:textFill>
            <w14:solidFill>
              <w14:schemeClr w14:val="tx1"/>
            </w14:solidFill>
          </w14:textFill>
        </w:rPr>
        <w:t>的5</w:t>
      </w:r>
      <w:r>
        <w:rPr>
          <w:rFonts w:hint="eastAsia" w:ascii="宋体" w:hAnsi="宋体" w:eastAsia="宋体" w:cs="宋体"/>
          <w:color w:val="000000" w:themeColor="text1"/>
          <w:highlight w:val="none"/>
          <w14:textFill>
            <w14:solidFill>
              <w14:schemeClr w14:val="tx1"/>
            </w14:solidFill>
          </w14:textFill>
        </w:rPr>
        <w:t>0%</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含预付款</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p>
    <w:p w14:paraId="4248B97C">
      <w:pPr>
        <w:pStyle w:val="32"/>
        <w:spacing w:before="120" w:beforeAutospacing="0" w:after="120" w:afterAutospacing="0" w:line="420" w:lineRule="exact"/>
        <w:ind w:firstLine="24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8.1.3</w:t>
      </w:r>
      <w:r>
        <w:rPr>
          <w:rFonts w:hint="eastAsia" w:ascii="宋体" w:hAnsi="宋体" w:eastAsia="宋体" w:cs="宋体"/>
          <w:color w:val="000000" w:themeColor="text1"/>
          <w:highlight w:val="none"/>
          <w14:textFill>
            <w14:solidFill>
              <w14:schemeClr w14:val="tx1"/>
            </w14:solidFill>
          </w14:textFill>
        </w:rPr>
        <w:t>服务满</w:t>
      </w:r>
      <w:r>
        <w:rPr>
          <w:rFonts w:hint="eastAsia" w:ascii="宋体" w:hAnsi="宋体" w:eastAsia="宋体" w:cs="宋体"/>
          <w:color w:val="000000" w:themeColor="text1"/>
          <w:highlight w:val="none"/>
          <w:lang w:val="en-US" w:eastAsia="zh-CN"/>
          <w14:textFill>
            <w14:solidFill>
              <w14:schemeClr w14:val="tx1"/>
            </w14:solidFill>
          </w14:textFill>
        </w:rPr>
        <w:t>1年半</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甲方</w:t>
      </w:r>
      <w:r>
        <w:rPr>
          <w:rFonts w:hint="eastAsia" w:ascii="宋体" w:hAnsi="宋体" w:eastAsia="宋体" w:cs="宋体"/>
          <w:color w:val="000000" w:themeColor="text1"/>
          <w:highlight w:val="none"/>
          <w14:textFill>
            <w14:solidFill>
              <w14:schemeClr w14:val="tx1"/>
            </w14:solidFill>
          </w14:textFill>
        </w:rPr>
        <w:t>收到发票后</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支</w:t>
      </w:r>
      <w:r>
        <w:rPr>
          <w:rFonts w:hint="eastAsia" w:ascii="宋体" w:hAnsi="宋体" w:eastAsia="宋体" w:cs="宋体"/>
          <w:color w:val="000000" w:themeColor="text1"/>
          <w:highlight w:val="none"/>
          <w14:textFill>
            <w14:solidFill>
              <w14:schemeClr w14:val="tx1"/>
            </w14:solidFill>
          </w14:textFill>
        </w:rPr>
        <w:t>付合同总金额</w:t>
      </w:r>
      <w:r>
        <w:rPr>
          <w:rFonts w:hint="eastAsia" w:ascii="宋体" w:hAnsi="宋体" w:eastAsia="宋体" w:cs="宋体"/>
          <w:color w:val="000000" w:themeColor="text1"/>
          <w:highlight w:val="none"/>
          <w:lang w:val="en-US" w:eastAsia="zh-CN"/>
          <w14:textFill>
            <w14:solidFill>
              <w14:schemeClr w14:val="tx1"/>
            </w14:solidFill>
          </w14:textFill>
        </w:rPr>
        <w:t>的25</w:t>
      </w:r>
      <w:r>
        <w:rPr>
          <w:rFonts w:hint="eastAsia" w:ascii="宋体" w:hAnsi="宋体" w:eastAsia="宋体" w:cs="宋体"/>
          <w:color w:val="000000" w:themeColor="text1"/>
          <w:highlight w:val="none"/>
          <w14:textFill>
            <w14:solidFill>
              <w14:schemeClr w14:val="tx1"/>
            </w14:solidFill>
          </w14:textFill>
        </w:rPr>
        <w:t>%；</w:t>
      </w:r>
    </w:p>
    <w:p w14:paraId="5BC1F51A">
      <w:pPr>
        <w:pStyle w:val="32"/>
        <w:spacing w:before="120" w:beforeAutospacing="0" w:after="120" w:afterAutospacing="0" w:line="420" w:lineRule="exact"/>
        <w:ind w:firstLine="24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8.1.4</w:t>
      </w:r>
      <w:r>
        <w:rPr>
          <w:rFonts w:hint="eastAsia" w:ascii="宋体" w:hAnsi="宋体" w:eastAsia="宋体" w:cs="宋体"/>
          <w:color w:val="000000" w:themeColor="text1"/>
          <w14:textFill>
            <w14:solidFill>
              <w14:schemeClr w14:val="tx1"/>
            </w14:solidFill>
          </w14:textFill>
        </w:rPr>
        <w:t>服务期限满</w:t>
      </w:r>
      <w:r>
        <w:rPr>
          <w:rFonts w:hint="eastAsia" w:ascii="宋体" w:hAnsi="宋体" w:eastAsia="宋体" w:cs="宋体"/>
          <w:color w:val="000000" w:themeColor="text1"/>
          <w:lang w:val="en-US" w:eastAsia="zh-CN"/>
          <w14:textFill>
            <w14:solidFill>
              <w14:schemeClr w14:val="tx1"/>
            </w14:solidFill>
          </w14:textFill>
        </w:rPr>
        <w:t>2年</w:t>
      </w:r>
      <w:r>
        <w:rPr>
          <w:rFonts w:hint="eastAsia" w:ascii="宋体" w:hAnsi="宋体" w:eastAsia="宋体" w:cs="宋体"/>
          <w:color w:val="000000" w:themeColor="text1"/>
          <w14:textFill>
            <w14:solidFill>
              <w14:schemeClr w14:val="tx1"/>
            </w14:solidFill>
          </w14:textFill>
        </w:rPr>
        <w:t>，依据全程考核结果核算后，甲方一次性付清剩余款项。</w:t>
      </w:r>
    </w:p>
    <w:p w14:paraId="44E58FF4">
      <w:pPr>
        <w:pStyle w:val="32"/>
        <w:spacing w:before="120" w:beforeAutospacing="0" w:after="120" w:afterAutospacing="0" w:line="420" w:lineRule="exact"/>
        <w:ind w:firstLine="240"/>
        <w:jc w:val="both"/>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考核扣款规则：考核合格基准分为80分，每</w:t>
      </w:r>
      <w:r>
        <w:rPr>
          <w:rFonts w:hint="eastAsia" w:ascii="宋体" w:hAnsi="宋体" w:eastAsia="宋体" w:cs="宋体"/>
          <w:b/>
          <w:bCs/>
          <w:color w:val="000000" w:themeColor="text1"/>
          <w:lang w:val="en-US" w:eastAsia="zh-CN"/>
          <w14:textFill>
            <w14:solidFill>
              <w14:schemeClr w14:val="tx1"/>
            </w14:solidFill>
          </w14:textFill>
        </w:rPr>
        <w:t>1</w:t>
      </w:r>
      <w:r>
        <w:rPr>
          <w:rFonts w:hint="eastAsia" w:ascii="宋体" w:hAnsi="宋体" w:eastAsia="宋体" w:cs="宋体"/>
          <w:b/>
          <w:bCs/>
          <w:color w:val="000000" w:themeColor="text1"/>
          <w14:textFill>
            <w14:solidFill>
              <w14:schemeClr w14:val="tx1"/>
            </w14:solidFill>
          </w14:textFill>
        </w:rPr>
        <w:t>年开展一次考核；单次考核得分低于80分的，每低1分扣除服务费500元，款</w:t>
      </w:r>
      <w:r>
        <w:rPr>
          <w:rFonts w:hint="eastAsia" w:ascii="宋体" w:hAnsi="宋体" w:eastAsia="宋体" w:cs="宋体"/>
          <w:b/>
          <w:bCs/>
          <w:color w:val="000000" w:themeColor="text1"/>
          <w:lang w:val="en-US" w:eastAsia="zh-CN"/>
          <w14:textFill>
            <w14:solidFill>
              <w14:schemeClr w14:val="tx1"/>
            </w14:solidFill>
          </w14:textFill>
        </w:rPr>
        <w:t>项</w:t>
      </w:r>
      <w:r>
        <w:rPr>
          <w:rFonts w:hint="eastAsia" w:ascii="宋体" w:hAnsi="宋体" w:eastAsia="宋体" w:cs="宋体"/>
          <w:b/>
          <w:bCs/>
          <w:color w:val="000000" w:themeColor="text1"/>
          <w14:textFill>
            <w14:solidFill>
              <w14:schemeClr w14:val="tx1"/>
            </w14:solidFill>
          </w14:textFill>
        </w:rPr>
        <w:t>直接从</w:t>
      </w:r>
      <w:r>
        <w:rPr>
          <w:rFonts w:hint="eastAsia" w:ascii="宋体" w:hAnsi="宋体" w:eastAsia="宋体" w:cs="宋体"/>
          <w:b/>
          <w:bCs/>
          <w:color w:val="000000" w:themeColor="text1"/>
          <w:lang w:val="en-US" w:eastAsia="zh-CN"/>
          <w14:textFill>
            <w14:solidFill>
              <w14:schemeClr w14:val="tx1"/>
            </w14:solidFill>
          </w14:textFill>
        </w:rPr>
        <w:t>剩余</w:t>
      </w:r>
      <w:r>
        <w:rPr>
          <w:rFonts w:hint="eastAsia" w:ascii="宋体" w:hAnsi="宋体" w:eastAsia="宋体" w:cs="宋体"/>
          <w:b/>
          <w:bCs/>
          <w:color w:val="000000" w:themeColor="text1"/>
          <w14:textFill>
            <w14:solidFill>
              <w14:schemeClr w14:val="tx1"/>
            </w14:solidFill>
          </w14:textFill>
        </w:rPr>
        <w:t>服务费中扣</w:t>
      </w:r>
      <w:r>
        <w:rPr>
          <w:rFonts w:hint="eastAsia" w:ascii="宋体" w:hAnsi="宋体" w:eastAsia="宋体" w:cs="宋体"/>
          <w:b/>
          <w:bCs/>
          <w:color w:val="000000" w:themeColor="text1"/>
          <w:lang w:val="en-US" w:eastAsia="zh-CN"/>
          <w14:textFill>
            <w14:solidFill>
              <w14:schemeClr w14:val="tx1"/>
            </w14:solidFill>
          </w14:textFill>
        </w:rPr>
        <w:t>除</w:t>
      </w:r>
      <w:r>
        <w:rPr>
          <w:rFonts w:hint="eastAsia" w:ascii="宋体" w:hAnsi="宋体" w:eastAsia="宋体" w:cs="宋体"/>
          <w:b/>
          <w:bCs/>
          <w:color w:val="000000" w:themeColor="text1"/>
          <w14:textFill>
            <w14:solidFill>
              <w14:schemeClr w14:val="tx1"/>
            </w14:solidFill>
          </w14:textFill>
        </w:rPr>
        <w:t>。</w:t>
      </w:r>
    </w:p>
    <w:p w14:paraId="4E975350">
      <w:pPr>
        <w:pStyle w:val="32"/>
        <w:spacing w:before="145" w:beforeAutospacing="0" w:after="145"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九、税费</w:t>
      </w:r>
    </w:p>
    <w:p w14:paraId="2CD157A2">
      <w:pPr>
        <w:pStyle w:val="32"/>
        <w:spacing w:before="145" w:beforeAutospacing="0" w:after="145"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9.1本合同执行中相关的一切税费均由乙方负担。</w:t>
      </w:r>
    </w:p>
    <w:p w14:paraId="1911BD87">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十、项目验收</w:t>
      </w:r>
    </w:p>
    <w:p w14:paraId="2CEAC471">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10.1 甲方依法组织履约验收工作。</w:t>
      </w:r>
    </w:p>
    <w:p w14:paraId="0D2EB819">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F918302">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10.3 对于实际使用人和甲方分离的项目，甲方邀请实际使用人参与验收。</w:t>
      </w:r>
    </w:p>
    <w:p w14:paraId="69DAEE1F">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10.4 如有必要，甲方邀请参加本项目的其他供应商或第三方专业机构及专家参与验收，相关意见将作为验收书的参考资料。</w:t>
      </w:r>
    </w:p>
    <w:p w14:paraId="2B7CFEDF">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10.5 甲方成立验收小组，按照采购合同的约定对乙方的履约情况进行验收。验收时</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甲方按照采购合同的约定对每一项技术、服务、安全标准的履约情况进行确认。验收结束后</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验收小组出具验收书</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列明各项标准的验收情况及项目总体评价</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由验收双方共同签署。验收结果与采购合同约定的资金支付及履约保证金返还条件挂钩。履约验收的各项资料存档备查。</w:t>
      </w:r>
    </w:p>
    <w:p w14:paraId="4EA51C73">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10.6 验收合格的项目</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甲方将及时报告本级财政部门。</w:t>
      </w:r>
    </w:p>
    <w:p w14:paraId="4E456F9C">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十一、违约责任</w:t>
      </w:r>
    </w:p>
    <w:p w14:paraId="360E0718">
      <w:pPr>
        <w:spacing w:line="500" w:lineRule="exact"/>
        <w:ind w:firstLine="480"/>
        <w:jc w:val="left"/>
        <w:rPr>
          <w:rFonts w:hint="eastAsia" w:ascii="宋体" w:hAnsi="宋体" w:eastAsia="宋体" w:cs="楷体"/>
          <w:sz w:val="24"/>
        </w:rPr>
      </w:pPr>
      <w:r>
        <w:rPr>
          <w:rFonts w:hint="eastAsia" w:ascii="宋体" w:hAnsi="宋体" w:eastAsia="宋体" w:cs="楷体"/>
          <w:sz w:val="24"/>
          <w:lang w:val="en-US" w:eastAsia="zh-CN"/>
        </w:rPr>
        <w:t>11</w:t>
      </w:r>
      <w:r>
        <w:rPr>
          <w:rFonts w:hint="eastAsia" w:ascii="宋体" w:hAnsi="宋体" w:eastAsia="宋体" w:cs="楷体"/>
          <w:sz w:val="24"/>
        </w:rPr>
        <w:t>.1甲方</w:t>
      </w:r>
      <w:r>
        <w:rPr>
          <w:rFonts w:hint="eastAsia" w:ascii="宋体" w:hAnsi="宋体" w:eastAsia="宋体" w:cs="楷体"/>
          <w:sz w:val="24"/>
          <w:lang w:val="en-US" w:eastAsia="zh-CN"/>
        </w:rPr>
        <w:t>提前</w:t>
      </w:r>
      <w:r>
        <w:rPr>
          <w:rFonts w:hint="eastAsia" w:ascii="宋体" w:hAnsi="宋体" w:eastAsia="宋体" w:cs="楷体"/>
          <w:sz w:val="24"/>
        </w:rPr>
        <w:t>终止乙方开展服务的，</w:t>
      </w:r>
      <w:r>
        <w:rPr>
          <w:rFonts w:hint="eastAsia" w:ascii="宋体" w:hAnsi="宋体" w:eastAsia="宋体" w:cs="楷体"/>
          <w:sz w:val="24"/>
          <w:lang w:val="en-US" w:eastAsia="zh-CN"/>
        </w:rPr>
        <w:t>应提前30日通知乙方，双方在30日内完成工作交接和考核，并根据考核结果结算、支付服务费用</w:t>
      </w:r>
      <w:r>
        <w:rPr>
          <w:rFonts w:hint="eastAsia" w:ascii="宋体" w:hAnsi="宋体" w:eastAsia="宋体" w:cs="楷体"/>
          <w:sz w:val="24"/>
        </w:rPr>
        <w:t>。</w:t>
      </w:r>
    </w:p>
    <w:p w14:paraId="2629E177">
      <w:pPr>
        <w:spacing w:line="500" w:lineRule="exact"/>
        <w:ind w:firstLine="480"/>
        <w:jc w:val="left"/>
        <w:rPr>
          <w:color w:val="000000" w:themeColor="text1"/>
          <w14:textFill>
            <w14:solidFill>
              <w14:schemeClr w14:val="tx1"/>
            </w14:solidFill>
          </w14:textFill>
        </w:rPr>
      </w:pPr>
      <w:r>
        <w:rPr>
          <w:rFonts w:hint="eastAsia" w:ascii="宋体" w:hAnsi="宋体" w:eastAsia="宋体" w:cs="楷体"/>
          <w:sz w:val="24"/>
          <w:lang w:val="en-US" w:eastAsia="zh-CN"/>
        </w:rPr>
        <w:t>11</w:t>
      </w:r>
      <w:r>
        <w:rPr>
          <w:rFonts w:hint="eastAsia" w:ascii="宋体" w:hAnsi="宋体" w:eastAsia="宋体" w:cs="楷体"/>
          <w:sz w:val="24"/>
        </w:rPr>
        <w:t>.2</w:t>
      </w:r>
      <w:r>
        <w:rPr>
          <w:rFonts w:hint="eastAsia" w:ascii="宋体" w:hAnsi="宋体" w:eastAsia="宋体" w:cs="楷体"/>
          <w:sz w:val="24"/>
          <w:lang w:eastAsia="zh-CN"/>
        </w:rPr>
        <w:t xml:space="preserve"> </w:t>
      </w:r>
      <w:r>
        <w:rPr>
          <w:rFonts w:hint="eastAsia" w:ascii="宋体" w:hAnsi="宋体" w:eastAsia="宋体" w:cs="楷体"/>
          <w:sz w:val="24"/>
        </w:rPr>
        <w:t>由于乙方原因</w:t>
      </w:r>
      <w:r>
        <w:rPr>
          <w:rFonts w:hint="default" w:ascii="宋体" w:hAnsi="宋体" w:eastAsia="宋体" w:cs="楷体"/>
          <w:sz w:val="24"/>
          <w:lang w:val="en-US"/>
        </w:rPr>
        <w:t>导致本合同未能履行或未能继续履行的</w:t>
      </w:r>
      <w:r>
        <w:rPr>
          <w:rFonts w:hint="eastAsia" w:ascii="宋体" w:hAnsi="宋体" w:eastAsia="宋体" w:cs="楷体"/>
          <w:sz w:val="24"/>
        </w:rPr>
        <w:t>（超过合同规定期限7日以上），乙方按未履行相应价款百分之五承担违约金，如违约金不能弥补甲方经济损失，对于不足部分乙方承担赔偿责任。</w:t>
      </w:r>
    </w:p>
    <w:p w14:paraId="20E53DD1">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11</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乙方</w:t>
      </w:r>
      <w:r>
        <w:rPr>
          <w:rFonts w:hint="eastAsia" w:ascii="宋体" w:hAnsi="宋体" w:eastAsia="宋体" w:cs="楷体"/>
          <w:sz w:val="24"/>
          <w:lang w:val="en-US" w:eastAsia="zh-CN"/>
        </w:rPr>
        <w:t>未按第四章《采购需求》提供服务，经甲方二次催告仍不能整改到位的，甲方有权解除合同</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乙方应按甲方要求期限移交已经完成的服务成果，双方就乙方提供的服务进行考核并结算服务费用，如乙方服务给甲方造成的直接经济损失的，甲方有权从服务费用中扣减。</w:t>
      </w:r>
    </w:p>
    <w:p w14:paraId="667E15CF">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十二、不可抗力事件处理</w:t>
      </w:r>
    </w:p>
    <w:p w14:paraId="425A6853">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12.1 在合同有效期内，任何一方因不可抗力事件导致不能履行合同，则合同履行期可延长，其延长期与不可抗力影响期相同。</w:t>
      </w:r>
    </w:p>
    <w:p w14:paraId="1A325A79">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12.2 不可抗力事件发生后，应立即通知对方，并寄送有关权威机构出具的证明。</w:t>
      </w:r>
    </w:p>
    <w:p w14:paraId="56D76C19">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12.3 不可抗力事件延续120天以上，双方应通过友好协商，确定是否继续履行合同。</w:t>
      </w:r>
    </w:p>
    <w:p w14:paraId="01180E4C">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十三、解决争议的方法</w:t>
      </w:r>
    </w:p>
    <w:p w14:paraId="12327C00">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13.1双方在签订、履行合同中所发生的一切争议，应通过友好协商解决。如协商不成，由甲方住所地人民法院管辖。</w:t>
      </w:r>
    </w:p>
    <w:p w14:paraId="0743F0DF">
      <w:pPr>
        <w:pStyle w:val="32"/>
        <w:spacing w:before="120" w:beforeAutospacing="0" w:after="120" w:afterAutospacing="0" w:line="420" w:lineRule="exact"/>
        <w:jc w:val="both"/>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十四、合同生效及其它</w:t>
      </w:r>
    </w:p>
    <w:p w14:paraId="173FCDF8">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14.1 合同经双方法定代表人或授权委托代表人签字并加盖单位公章后生效。</w:t>
      </w:r>
    </w:p>
    <w:p w14:paraId="6C321FFF">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14.2本合同未尽事宜，遵照《民法典》《政府采购法》有关条文执行。</w:t>
      </w:r>
    </w:p>
    <w:p w14:paraId="5C2556EB">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14.3 本合同正本一式六份，具有同等法律效力，甲方、乙方及财政监管部门各执二份。</w:t>
      </w:r>
    </w:p>
    <w:p w14:paraId="2825D49B">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甲方：                        乙方： </w:t>
      </w:r>
    </w:p>
    <w:p w14:paraId="7F8D84F2">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地址： </w:t>
      </w:r>
    </w:p>
    <w:p w14:paraId="632AF16D">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法定代表人或授权代表：        法定代表人或授权代表：</w:t>
      </w:r>
    </w:p>
    <w:p w14:paraId="59567F5F">
      <w:pPr>
        <w:pStyle w:val="32"/>
        <w:spacing w:before="120" w:beforeAutospacing="0" w:after="120" w:afterAutospacing="0" w:line="420" w:lineRule="exact"/>
        <w:ind w:firstLine="48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              联系电话：          </w:t>
      </w:r>
    </w:p>
    <w:p w14:paraId="740E15DE">
      <w:pPr>
        <w:pStyle w:val="32"/>
        <w:spacing w:beforeAutospacing="0" w:afterAutospacing="0" w:line="420" w:lineRule="exact"/>
        <w:ind w:firstLine="420"/>
        <w:jc w:val="right"/>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签订日期：      年    月   日</w:t>
      </w:r>
    </w:p>
    <w:p w14:paraId="60653E45">
      <w:pPr>
        <w:rPr>
          <w:color w:val="000000" w:themeColor="text1"/>
          <w14:textFill>
            <w14:solidFill>
              <w14:schemeClr w14:val="tx1"/>
            </w14:solidFill>
          </w14:textFill>
        </w:rPr>
      </w:pPr>
      <w:bookmarkStart w:id="136" w:name="_Toc11758"/>
    </w:p>
    <w:p w14:paraId="73CA82BB">
      <w:pPr>
        <w:rPr>
          <w:color w:val="000000" w:themeColor="text1"/>
          <w14:textFill>
            <w14:solidFill>
              <w14:schemeClr w14:val="tx1"/>
            </w14:solidFill>
          </w14:textFill>
        </w:rPr>
      </w:pPr>
    </w:p>
    <w:p w14:paraId="464A7A4B">
      <w:pPr>
        <w:rPr>
          <w:color w:val="000000" w:themeColor="text1"/>
          <w14:textFill>
            <w14:solidFill>
              <w14:schemeClr w14:val="tx1"/>
            </w14:solidFill>
          </w14:textFill>
        </w:rPr>
      </w:pPr>
    </w:p>
    <w:p w14:paraId="06C3A79A">
      <w:pPr>
        <w:rPr>
          <w:color w:val="000000" w:themeColor="text1"/>
          <w14:textFill>
            <w14:solidFill>
              <w14:schemeClr w14:val="tx1"/>
            </w14:solidFill>
          </w14:textFill>
        </w:rPr>
      </w:pPr>
    </w:p>
    <w:p w14:paraId="25D0DB17">
      <w:pPr>
        <w:rPr>
          <w:color w:val="000000" w:themeColor="text1"/>
          <w14:textFill>
            <w14:solidFill>
              <w14:schemeClr w14:val="tx1"/>
            </w14:solidFill>
          </w14:textFill>
        </w:rPr>
      </w:pPr>
    </w:p>
    <w:p w14:paraId="705B6B25">
      <w:pPr>
        <w:rPr>
          <w:color w:val="000000" w:themeColor="text1"/>
          <w14:textFill>
            <w14:solidFill>
              <w14:schemeClr w14:val="tx1"/>
            </w14:solidFill>
          </w14:textFill>
        </w:rPr>
      </w:pPr>
    </w:p>
    <w:p w14:paraId="1B0A2C64">
      <w:pPr>
        <w:rPr>
          <w:color w:val="000000" w:themeColor="text1"/>
          <w14:textFill>
            <w14:solidFill>
              <w14:schemeClr w14:val="tx1"/>
            </w14:solidFill>
          </w14:textFill>
        </w:rPr>
      </w:pPr>
    </w:p>
    <w:p w14:paraId="667EE2A1">
      <w:pPr>
        <w:rPr>
          <w:color w:val="000000" w:themeColor="text1"/>
          <w14:textFill>
            <w14:solidFill>
              <w14:schemeClr w14:val="tx1"/>
            </w14:solidFill>
          </w14:textFill>
        </w:rPr>
      </w:pPr>
    </w:p>
    <w:p w14:paraId="75E2B9D3">
      <w:pPr>
        <w:rPr>
          <w:color w:val="000000" w:themeColor="text1"/>
          <w14:textFill>
            <w14:solidFill>
              <w14:schemeClr w14:val="tx1"/>
            </w14:solidFill>
          </w14:textFill>
        </w:rPr>
      </w:pPr>
    </w:p>
    <w:p w14:paraId="31770DB0">
      <w:pPr>
        <w:rPr>
          <w:color w:val="000000" w:themeColor="text1"/>
          <w14:textFill>
            <w14:solidFill>
              <w14:schemeClr w14:val="tx1"/>
            </w14:solidFill>
          </w14:textFill>
        </w:rPr>
      </w:pPr>
    </w:p>
    <w:p w14:paraId="0F7352BB">
      <w:pPr>
        <w:rPr>
          <w:color w:val="000000" w:themeColor="text1"/>
          <w14:textFill>
            <w14:solidFill>
              <w14:schemeClr w14:val="tx1"/>
            </w14:solidFill>
          </w14:textFill>
        </w:rPr>
      </w:pPr>
    </w:p>
    <w:p w14:paraId="710BA4F8">
      <w:pPr>
        <w:rPr>
          <w:color w:val="000000" w:themeColor="text1"/>
          <w14:textFill>
            <w14:solidFill>
              <w14:schemeClr w14:val="tx1"/>
            </w14:solidFill>
          </w14:textFill>
        </w:rPr>
      </w:pPr>
    </w:p>
    <w:p w14:paraId="37E6631F">
      <w:pPr>
        <w:rPr>
          <w:color w:val="000000" w:themeColor="text1"/>
          <w14:textFill>
            <w14:solidFill>
              <w14:schemeClr w14:val="tx1"/>
            </w14:solidFill>
          </w14:textFill>
        </w:rPr>
      </w:pPr>
    </w:p>
    <w:p w14:paraId="55C02A54">
      <w:pPr>
        <w:rPr>
          <w:color w:val="000000" w:themeColor="text1"/>
          <w14:textFill>
            <w14:solidFill>
              <w14:schemeClr w14:val="tx1"/>
            </w14:solidFill>
          </w14:textFill>
        </w:rPr>
      </w:pPr>
    </w:p>
    <w:p w14:paraId="721DE29B">
      <w:pPr>
        <w:rPr>
          <w:color w:val="000000" w:themeColor="text1"/>
          <w14:textFill>
            <w14:solidFill>
              <w14:schemeClr w14:val="tx1"/>
            </w14:solidFill>
          </w14:textFill>
        </w:rPr>
      </w:pPr>
    </w:p>
    <w:p w14:paraId="0139A464">
      <w:pPr>
        <w:rPr>
          <w:color w:val="000000" w:themeColor="text1"/>
          <w14:textFill>
            <w14:solidFill>
              <w14:schemeClr w14:val="tx1"/>
            </w14:solidFill>
          </w14:textFill>
        </w:rPr>
      </w:pPr>
    </w:p>
    <w:p w14:paraId="7423C7BD">
      <w:pPr>
        <w:rPr>
          <w:color w:val="000000" w:themeColor="text1"/>
          <w14:textFill>
            <w14:solidFill>
              <w14:schemeClr w14:val="tx1"/>
            </w14:solidFill>
          </w14:textFill>
        </w:rPr>
      </w:pPr>
    </w:p>
    <w:p w14:paraId="57C85C51">
      <w:pPr>
        <w:rPr>
          <w:color w:val="000000" w:themeColor="text1"/>
          <w14:textFill>
            <w14:solidFill>
              <w14:schemeClr w14:val="tx1"/>
            </w14:solidFill>
          </w14:textFill>
        </w:rPr>
      </w:pPr>
    </w:p>
    <w:p w14:paraId="335F2800">
      <w:pPr>
        <w:rPr>
          <w:color w:val="000000" w:themeColor="text1"/>
          <w14:textFill>
            <w14:solidFill>
              <w14:schemeClr w14:val="tx1"/>
            </w14:solidFill>
          </w14:textFill>
        </w:rPr>
      </w:pPr>
    </w:p>
    <w:p w14:paraId="74C5C80B">
      <w:pPr>
        <w:rPr>
          <w:color w:val="000000" w:themeColor="text1"/>
          <w14:textFill>
            <w14:solidFill>
              <w14:schemeClr w14:val="tx1"/>
            </w14:solidFill>
          </w14:textFill>
        </w:rPr>
      </w:pPr>
    </w:p>
    <w:p w14:paraId="75E7D910">
      <w:pPr>
        <w:rPr>
          <w:color w:val="000000" w:themeColor="text1"/>
          <w14:textFill>
            <w14:solidFill>
              <w14:schemeClr w14:val="tx1"/>
            </w14:solidFill>
          </w14:textFill>
        </w:rPr>
      </w:pPr>
    </w:p>
    <w:p w14:paraId="1FF3266B">
      <w:pPr>
        <w:rPr>
          <w:color w:val="000000" w:themeColor="text1"/>
          <w14:textFill>
            <w14:solidFill>
              <w14:schemeClr w14:val="tx1"/>
            </w14:solidFill>
          </w14:textFill>
        </w:rPr>
      </w:pPr>
    </w:p>
    <w:p w14:paraId="79878741">
      <w:pPr>
        <w:rPr>
          <w:rFonts w:hint="eastAsia"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附件1</w:t>
      </w:r>
    </w:p>
    <w:p w14:paraId="14438538">
      <w:pPr>
        <w:ind w:firstLine="4498" w:firstLineChars="1400"/>
        <w:rPr>
          <w:rFonts w:hint="eastAsia" w:eastAsia="宋体"/>
          <w:b/>
          <w:bCs/>
          <w:color w:val="000000" w:themeColor="text1"/>
          <w:sz w:val="32"/>
          <w:szCs w:val="40"/>
          <w:lang w:val="en-US" w:eastAsia="zh-CN"/>
          <w14:textFill>
            <w14:solidFill>
              <w14:schemeClr w14:val="tx1"/>
            </w14:solidFill>
          </w14:textFill>
        </w:rPr>
      </w:pPr>
      <w:r>
        <w:rPr>
          <w:rFonts w:hint="eastAsia" w:eastAsia="宋体"/>
          <w:b/>
          <w:bCs/>
          <w:color w:val="000000" w:themeColor="text1"/>
          <w:sz w:val="32"/>
          <w:szCs w:val="40"/>
          <w:lang w:val="en-US" w:eastAsia="zh-CN"/>
          <w14:textFill>
            <w14:solidFill>
              <w14:schemeClr w14:val="tx1"/>
            </w14:solidFill>
          </w14:textFill>
        </w:rPr>
        <w:t>考核评分表</w:t>
      </w:r>
    </w:p>
    <w:p w14:paraId="2A469D70">
      <w:pPr>
        <w:rPr>
          <w:rFonts w:hint="eastAsia" w:eastAsia="宋体"/>
          <w:color w:val="000000" w:themeColor="text1"/>
          <w:lang w:val="en-US" w:eastAsia="zh-CN"/>
          <w14:textFill>
            <w14:solidFill>
              <w14:schemeClr w14:val="tx1"/>
            </w14:solidFill>
          </w14:textFill>
        </w:rPr>
      </w:pPr>
    </w:p>
    <w:tbl>
      <w:tblPr>
        <w:tblStyle w:val="37"/>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3677"/>
        <w:gridCol w:w="794"/>
        <w:gridCol w:w="1702"/>
        <w:gridCol w:w="1240"/>
        <w:gridCol w:w="1233"/>
        <w:gridCol w:w="801"/>
      </w:tblGrid>
      <w:tr w14:paraId="1D1B7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top"/>
          </w:tcPr>
          <w:p w14:paraId="3DDC8EFC">
            <w:pPr>
              <w:pStyle w:val="196"/>
              <w:spacing w:before="306" w:after="0" w:line="221" w:lineRule="auto"/>
              <w:jc w:val="center"/>
              <w:rPr>
                <w:rFonts w:hint="default" w:eastAsia="宋体"/>
                <w:color w:val="000000" w:themeColor="text1"/>
                <w:sz w:val="28"/>
                <w:szCs w:val="28"/>
                <w:vertAlign w:val="baseline"/>
                <w:lang w:val="en-US" w:eastAsia="zh-CN"/>
                <w14:textFill>
                  <w14:solidFill>
                    <w14:schemeClr w14:val="tx1"/>
                  </w14:solidFill>
                </w14:textFill>
              </w:rPr>
            </w:pPr>
            <w:r>
              <w:rPr>
                <w:spacing w:val="11"/>
                <w:sz w:val="24"/>
                <w:szCs w:val="24"/>
              </w:rPr>
              <w:t>序号</w:t>
            </w:r>
          </w:p>
        </w:tc>
        <w:tc>
          <w:tcPr>
            <w:tcW w:w="3677" w:type="dxa"/>
          </w:tcPr>
          <w:p w14:paraId="02652C36">
            <w:pPr>
              <w:spacing w:after="0" w:line="240" w:lineRule="auto"/>
              <w:jc w:val="center"/>
              <w:rPr>
                <w:rFonts w:hint="default" w:eastAsia="宋体"/>
                <w:color w:val="000000" w:themeColor="text1"/>
                <w:vertAlign w:val="baseline"/>
                <w:lang w:val="en-US" w:eastAsia="zh-CN"/>
                <w14:textFill>
                  <w14:solidFill>
                    <w14:schemeClr w14:val="tx1"/>
                  </w14:solidFill>
                </w14:textFill>
              </w:rPr>
            </w:pPr>
            <w:r>
              <w:rPr>
                <w:rFonts w:hint="eastAsia" w:ascii="宋体" w:hAnsi="宋体" w:eastAsia="宋体" w:cs="宋体"/>
                <w:spacing w:val="4"/>
                <w:sz w:val="24"/>
                <w:szCs w:val="24"/>
              </w:rPr>
              <w:t>考核内容</w:t>
            </w:r>
          </w:p>
        </w:tc>
        <w:tc>
          <w:tcPr>
            <w:tcW w:w="794" w:type="dxa"/>
            <w:vAlign w:val="top"/>
          </w:tcPr>
          <w:p w14:paraId="4D593196">
            <w:pPr>
              <w:pStyle w:val="196"/>
              <w:spacing w:before="304" w:after="0" w:line="219" w:lineRule="auto"/>
              <w:jc w:val="center"/>
              <w:rPr>
                <w:rFonts w:hint="default"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分值</w:t>
            </w:r>
          </w:p>
        </w:tc>
        <w:tc>
          <w:tcPr>
            <w:tcW w:w="1702" w:type="dxa"/>
            <w:vAlign w:val="top"/>
          </w:tcPr>
          <w:p w14:paraId="36BB04CA">
            <w:pPr>
              <w:pStyle w:val="196"/>
              <w:spacing w:before="305" w:after="0" w:line="220" w:lineRule="auto"/>
              <w:jc w:val="center"/>
              <w:rPr>
                <w:rFonts w:hint="default"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扣分标准</w:t>
            </w:r>
          </w:p>
        </w:tc>
        <w:tc>
          <w:tcPr>
            <w:tcW w:w="1240" w:type="dxa"/>
            <w:vAlign w:val="top"/>
          </w:tcPr>
          <w:p w14:paraId="778FE396">
            <w:pPr>
              <w:pStyle w:val="196"/>
              <w:spacing w:before="304" w:after="0" w:line="219" w:lineRule="auto"/>
              <w:jc w:val="center"/>
              <w:rPr>
                <w:rFonts w:hint="default"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扣分内容</w:t>
            </w:r>
          </w:p>
        </w:tc>
        <w:tc>
          <w:tcPr>
            <w:tcW w:w="1233" w:type="dxa"/>
            <w:vAlign w:val="top"/>
          </w:tcPr>
          <w:p w14:paraId="188EC448">
            <w:pPr>
              <w:pStyle w:val="196"/>
              <w:spacing w:before="304" w:after="0" w:line="219" w:lineRule="auto"/>
              <w:jc w:val="center"/>
              <w:rPr>
                <w:rFonts w:hint="default"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扣分分值</w:t>
            </w:r>
          </w:p>
        </w:tc>
        <w:tc>
          <w:tcPr>
            <w:tcW w:w="801" w:type="dxa"/>
            <w:vAlign w:val="top"/>
          </w:tcPr>
          <w:p w14:paraId="7E3DF333">
            <w:pPr>
              <w:pStyle w:val="196"/>
              <w:spacing w:before="304" w:after="0" w:line="219" w:lineRule="auto"/>
              <w:jc w:val="center"/>
              <w:rPr>
                <w:rFonts w:hint="default"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得分</w:t>
            </w:r>
          </w:p>
        </w:tc>
      </w:tr>
      <w:tr w14:paraId="0AB1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top"/>
          </w:tcPr>
          <w:p w14:paraId="6A78E9DC">
            <w:pPr>
              <w:spacing w:after="0" w:line="240" w:lineRule="auto"/>
              <w:jc w:val="center"/>
              <w:rPr>
                <w:rFonts w:hint="eastAsia" w:ascii="宋体" w:hAnsi="宋体" w:eastAsia="宋体" w:cs="宋体"/>
                <w:spacing w:val="4"/>
                <w:sz w:val="22"/>
                <w:szCs w:val="22"/>
              </w:rPr>
            </w:pPr>
          </w:p>
          <w:p w14:paraId="260CC523">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1</w:t>
            </w:r>
          </w:p>
        </w:tc>
        <w:tc>
          <w:tcPr>
            <w:tcW w:w="3677" w:type="dxa"/>
          </w:tcPr>
          <w:p w14:paraId="308F687E">
            <w:pPr>
              <w:spacing w:after="0" w:line="240" w:lineRule="auto"/>
              <w:jc w:val="left"/>
              <w:rPr>
                <w:rFonts w:hint="eastAsia" w:ascii="宋体" w:hAnsi="宋体" w:eastAsia="宋体" w:cs="宋体"/>
                <w:spacing w:val="4"/>
                <w:sz w:val="22"/>
                <w:szCs w:val="22"/>
                <w:lang w:val="en-US" w:eastAsia="zh-CN"/>
              </w:rPr>
            </w:pPr>
            <w:r>
              <w:rPr>
                <w:rFonts w:hint="eastAsia" w:ascii="宋体" w:hAnsi="宋体" w:eastAsia="宋体" w:cs="宋体"/>
                <w:spacing w:val="4"/>
                <w:sz w:val="22"/>
                <w:szCs w:val="22"/>
              </w:rPr>
              <w:t>环保咨询及培训：指导企业完善前期环保手续</w:t>
            </w:r>
            <w:r>
              <w:rPr>
                <w:rFonts w:hint="eastAsia" w:ascii="宋体" w:hAnsi="宋体" w:eastAsia="宋体" w:cs="宋体"/>
                <w:spacing w:val="4"/>
                <w:sz w:val="22"/>
                <w:szCs w:val="22"/>
                <w:lang w:eastAsia="zh-CN"/>
              </w:rPr>
              <w:t>（</w:t>
            </w:r>
            <w:r>
              <w:rPr>
                <w:rFonts w:hint="eastAsia" w:ascii="宋体" w:hAnsi="宋体" w:eastAsia="宋体" w:cs="宋体"/>
                <w:spacing w:val="4"/>
                <w:sz w:val="22"/>
                <w:szCs w:val="22"/>
              </w:rPr>
              <w:t>立项、备案、环评、排污许可、验收等</w:t>
            </w:r>
            <w:r>
              <w:rPr>
                <w:rFonts w:hint="eastAsia" w:ascii="宋体" w:hAnsi="宋体" w:eastAsia="宋体" w:cs="宋体"/>
                <w:spacing w:val="4"/>
                <w:sz w:val="22"/>
                <w:szCs w:val="22"/>
                <w:lang w:eastAsia="zh-CN"/>
              </w:rPr>
              <w:t>）</w:t>
            </w:r>
            <w:r>
              <w:rPr>
                <w:rFonts w:hint="eastAsia" w:ascii="宋体" w:hAnsi="宋体" w:eastAsia="宋体" w:cs="宋体"/>
                <w:spacing w:val="4"/>
                <w:sz w:val="22"/>
                <w:szCs w:val="22"/>
              </w:rPr>
              <w:t>、为企业三废治理提供技术支撑</w:t>
            </w:r>
            <w:r>
              <w:rPr>
                <w:rFonts w:hint="eastAsia" w:ascii="宋体" w:hAnsi="宋体" w:eastAsia="宋体" w:cs="宋体"/>
                <w:spacing w:val="4"/>
                <w:sz w:val="22"/>
                <w:szCs w:val="22"/>
                <w:lang w:eastAsia="zh-CN"/>
              </w:rPr>
              <w:t>。</w:t>
            </w:r>
          </w:p>
        </w:tc>
        <w:tc>
          <w:tcPr>
            <w:tcW w:w="794" w:type="dxa"/>
            <w:vAlign w:val="top"/>
          </w:tcPr>
          <w:p w14:paraId="5D8FF9CA">
            <w:pPr>
              <w:spacing w:after="0" w:line="240" w:lineRule="auto"/>
              <w:jc w:val="center"/>
              <w:rPr>
                <w:rFonts w:hint="eastAsia" w:ascii="宋体" w:hAnsi="宋体" w:eastAsia="宋体" w:cs="宋体"/>
                <w:spacing w:val="4"/>
                <w:sz w:val="22"/>
                <w:szCs w:val="22"/>
              </w:rPr>
            </w:pPr>
          </w:p>
          <w:p w14:paraId="7537650B">
            <w:pPr>
              <w:spacing w:after="0" w:line="240" w:lineRule="auto"/>
              <w:jc w:val="center"/>
              <w:rPr>
                <w:rFonts w:hint="eastAsia" w:ascii="宋体" w:hAnsi="宋体" w:eastAsia="宋体" w:cs="宋体"/>
                <w:spacing w:val="4"/>
                <w:sz w:val="22"/>
                <w:szCs w:val="22"/>
              </w:rPr>
            </w:pPr>
          </w:p>
          <w:p w14:paraId="36E5A993">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15</w:t>
            </w:r>
          </w:p>
        </w:tc>
        <w:tc>
          <w:tcPr>
            <w:tcW w:w="1702" w:type="dxa"/>
            <w:vAlign w:val="top"/>
          </w:tcPr>
          <w:p w14:paraId="10809BC7">
            <w:pPr>
              <w:spacing w:after="0" w:line="240" w:lineRule="auto"/>
              <w:jc w:val="left"/>
              <w:rPr>
                <w:rFonts w:hint="eastAsia" w:ascii="宋体" w:hAnsi="宋体" w:eastAsia="宋体" w:cs="宋体"/>
                <w:spacing w:val="4"/>
                <w:sz w:val="22"/>
                <w:szCs w:val="22"/>
                <w:lang w:val="en-US" w:eastAsia="zh-CN"/>
              </w:rPr>
            </w:pPr>
            <w:r>
              <w:rPr>
                <w:rFonts w:hint="eastAsia" w:ascii="宋体" w:hAnsi="宋体" w:eastAsia="宋体" w:cs="宋体"/>
                <w:spacing w:val="4"/>
                <w:sz w:val="22"/>
                <w:szCs w:val="22"/>
              </w:rPr>
              <w:t>按照园区要求开展，有1次</w:t>
            </w:r>
            <w:r>
              <w:rPr>
                <w:rFonts w:hint="eastAsia" w:ascii="宋体" w:hAnsi="宋体" w:eastAsia="宋体" w:cs="宋体"/>
                <w:spacing w:val="4"/>
                <w:sz w:val="22"/>
                <w:szCs w:val="22"/>
                <w:highlight w:val="none"/>
              </w:rPr>
              <w:t>未</w:t>
            </w:r>
            <w:r>
              <w:rPr>
                <w:rFonts w:hint="eastAsia" w:ascii="宋体" w:hAnsi="宋体" w:eastAsia="宋体" w:cs="宋体"/>
                <w:spacing w:val="4"/>
                <w:sz w:val="22"/>
                <w:szCs w:val="22"/>
                <w:highlight w:val="none"/>
                <w:lang w:val="en-US" w:eastAsia="zh-CN"/>
              </w:rPr>
              <w:t>按时</w:t>
            </w:r>
            <w:r>
              <w:rPr>
                <w:rFonts w:hint="eastAsia" w:ascii="宋体" w:hAnsi="宋体" w:eastAsia="宋体" w:cs="宋体"/>
                <w:spacing w:val="4"/>
                <w:sz w:val="22"/>
                <w:szCs w:val="22"/>
                <w:highlight w:val="none"/>
              </w:rPr>
              <w:t>完成</w:t>
            </w:r>
            <w:r>
              <w:rPr>
                <w:rFonts w:hint="eastAsia" w:ascii="宋体" w:hAnsi="宋体" w:eastAsia="宋体" w:cs="宋体"/>
                <w:spacing w:val="4"/>
                <w:sz w:val="22"/>
                <w:szCs w:val="22"/>
              </w:rPr>
              <w:t>扣3分</w:t>
            </w:r>
            <w:r>
              <w:rPr>
                <w:rFonts w:hint="eastAsia" w:ascii="宋体" w:hAnsi="宋体" w:eastAsia="宋体" w:cs="宋体"/>
                <w:spacing w:val="4"/>
                <w:sz w:val="22"/>
                <w:szCs w:val="22"/>
                <w:lang w:eastAsia="zh-CN"/>
              </w:rPr>
              <w:t>。</w:t>
            </w:r>
          </w:p>
        </w:tc>
        <w:tc>
          <w:tcPr>
            <w:tcW w:w="1240" w:type="dxa"/>
          </w:tcPr>
          <w:p w14:paraId="2FDE784C">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1233" w:type="dxa"/>
          </w:tcPr>
          <w:p w14:paraId="22EA0984">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801" w:type="dxa"/>
          </w:tcPr>
          <w:p w14:paraId="4E8258C8">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r>
      <w:tr w14:paraId="49D92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top"/>
          </w:tcPr>
          <w:p w14:paraId="337BEE9E">
            <w:pPr>
              <w:spacing w:after="0" w:line="240" w:lineRule="auto"/>
              <w:jc w:val="center"/>
              <w:rPr>
                <w:rFonts w:hint="eastAsia" w:ascii="宋体" w:hAnsi="宋体" w:eastAsia="宋体" w:cs="宋体"/>
                <w:spacing w:val="4"/>
                <w:sz w:val="22"/>
                <w:szCs w:val="22"/>
              </w:rPr>
            </w:pPr>
          </w:p>
          <w:p w14:paraId="406CD6C6">
            <w:pPr>
              <w:spacing w:after="0" w:line="240" w:lineRule="auto"/>
              <w:jc w:val="center"/>
              <w:rPr>
                <w:rFonts w:hint="eastAsia" w:ascii="宋体" w:hAnsi="宋体" w:eastAsia="宋体" w:cs="宋体"/>
                <w:spacing w:val="4"/>
                <w:sz w:val="22"/>
                <w:szCs w:val="22"/>
              </w:rPr>
            </w:pPr>
          </w:p>
          <w:p w14:paraId="381A3DF4">
            <w:pPr>
              <w:spacing w:after="0" w:line="240" w:lineRule="auto"/>
              <w:jc w:val="center"/>
              <w:rPr>
                <w:rFonts w:hint="eastAsia" w:ascii="宋体" w:hAnsi="宋体" w:eastAsia="宋体" w:cs="宋体"/>
                <w:spacing w:val="4"/>
                <w:sz w:val="22"/>
                <w:szCs w:val="22"/>
              </w:rPr>
            </w:pPr>
          </w:p>
          <w:p w14:paraId="5E64BD5B">
            <w:pPr>
              <w:spacing w:after="0" w:line="240" w:lineRule="auto"/>
              <w:jc w:val="center"/>
              <w:rPr>
                <w:rFonts w:hint="eastAsia" w:ascii="宋体" w:hAnsi="宋体" w:eastAsia="宋体" w:cs="宋体"/>
                <w:spacing w:val="4"/>
                <w:sz w:val="22"/>
                <w:szCs w:val="22"/>
              </w:rPr>
            </w:pPr>
          </w:p>
          <w:p w14:paraId="65838737">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2</w:t>
            </w:r>
          </w:p>
        </w:tc>
        <w:tc>
          <w:tcPr>
            <w:tcW w:w="3677" w:type="dxa"/>
          </w:tcPr>
          <w:p w14:paraId="7798020A">
            <w:pPr>
              <w:spacing w:after="0" w:line="240" w:lineRule="auto"/>
              <w:jc w:val="left"/>
              <w:rPr>
                <w:rFonts w:hint="eastAsia" w:ascii="宋体" w:hAnsi="宋体" w:eastAsia="宋体" w:cs="宋体"/>
                <w:spacing w:val="4"/>
                <w:sz w:val="22"/>
                <w:szCs w:val="22"/>
                <w:lang w:val="en-US" w:eastAsia="zh-CN"/>
              </w:rPr>
            </w:pPr>
            <w:r>
              <w:rPr>
                <w:rFonts w:hint="eastAsia" w:ascii="宋体" w:hAnsi="宋体" w:eastAsia="宋体" w:cs="宋体"/>
                <w:spacing w:val="4"/>
                <w:sz w:val="22"/>
                <w:szCs w:val="22"/>
              </w:rPr>
              <w:t>入园项目审核：协助园区招商引资，完善环保准入条件，完成拟引入企业的环保审核，审核是否符合产业定位，是否满足“三线一单”要求；新项目环评初审意见出具，协助园区出函</w:t>
            </w:r>
            <w:r>
              <w:rPr>
                <w:rFonts w:hint="eastAsia" w:ascii="宋体" w:hAnsi="宋体" w:eastAsia="宋体" w:cs="宋体"/>
                <w:spacing w:val="4"/>
                <w:sz w:val="22"/>
                <w:szCs w:val="22"/>
                <w:lang w:eastAsia="zh-CN"/>
              </w:rPr>
              <w:t>。</w:t>
            </w:r>
          </w:p>
        </w:tc>
        <w:tc>
          <w:tcPr>
            <w:tcW w:w="794" w:type="dxa"/>
            <w:vAlign w:val="top"/>
          </w:tcPr>
          <w:p w14:paraId="567BF434">
            <w:pPr>
              <w:spacing w:after="0" w:line="240" w:lineRule="auto"/>
              <w:jc w:val="center"/>
              <w:rPr>
                <w:rFonts w:hint="eastAsia" w:ascii="宋体" w:hAnsi="宋体" w:eastAsia="宋体" w:cs="宋体"/>
                <w:spacing w:val="4"/>
                <w:sz w:val="22"/>
                <w:szCs w:val="22"/>
              </w:rPr>
            </w:pPr>
          </w:p>
          <w:p w14:paraId="64BD6F94">
            <w:pPr>
              <w:spacing w:after="0" w:line="240" w:lineRule="auto"/>
              <w:jc w:val="center"/>
              <w:rPr>
                <w:rFonts w:hint="eastAsia" w:ascii="宋体" w:hAnsi="宋体" w:eastAsia="宋体" w:cs="宋体"/>
                <w:spacing w:val="4"/>
                <w:sz w:val="22"/>
                <w:szCs w:val="22"/>
              </w:rPr>
            </w:pPr>
          </w:p>
          <w:p w14:paraId="296175EA">
            <w:pPr>
              <w:spacing w:after="0" w:line="240" w:lineRule="auto"/>
              <w:jc w:val="center"/>
              <w:rPr>
                <w:rFonts w:hint="eastAsia" w:ascii="宋体" w:hAnsi="宋体" w:eastAsia="宋体" w:cs="宋体"/>
                <w:spacing w:val="4"/>
                <w:sz w:val="22"/>
                <w:szCs w:val="22"/>
              </w:rPr>
            </w:pPr>
          </w:p>
          <w:p w14:paraId="472FA79D">
            <w:pPr>
              <w:spacing w:after="0" w:line="240" w:lineRule="auto"/>
              <w:jc w:val="center"/>
              <w:rPr>
                <w:rFonts w:hint="eastAsia" w:ascii="宋体" w:hAnsi="宋体" w:eastAsia="宋体" w:cs="宋体"/>
                <w:spacing w:val="4"/>
                <w:sz w:val="22"/>
                <w:szCs w:val="22"/>
              </w:rPr>
            </w:pPr>
          </w:p>
          <w:p w14:paraId="210ADCFD">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15</w:t>
            </w:r>
          </w:p>
        </w:tc>
        <w:tc>
          <w:tcPr>
            <w:tcW w:w="1702" w:type="dxa"/>
            <w:vAlign w:val="top"/>
          </w:tcPr>
          <w:p w14:paraId="1BD90282">
            <w:pPr>
              <w:spacing w:after="0" w:line="240" w:lineRule="auto"/>
              <w:jc w:val="left"/>
              <w:rPr>
                <w:rFonts w:hint="eastAsia" w:ascii="宋体" w:hAnsi="宋体" w:eastAsia="宋体" w:cs="宋体"/>
                <w:spacing w:val="4"/>
                <w:sz w:val="22"/>
                <w:szCs w:val="22"/>
                <w:lang w:val="en-US" w:eastAsia="zh-CN"/>
              </w:rPr>
            </w:pPr>
            <w:r>
              <w:rPr>
                <w:rFonts w:hint="eastAsia" w:ascii="宋体" w:hAnsi="宋体" w:eastAsia="宋体" w:cs="宋体"/>
                <w:spacing w:val="4"/>
                <w:sz w:val="22"/>
                <w:szCs w:val="22"/>
              </w:rPr>
              <w:t>按照园区要求开展，有1次</w:t>
            </w:r>
            <w:r>
              <w:rPr>
                <w:rFonts w:hint="eastAsia" w:ascii="宋体" w:hAnsi="宋体" w:eastAsia="宋体" w:cs="宋体"/>
                <w:spacing w:val="4"/>
                <w:sz w:val="22"/>
                <w:szCs w:val="22"/>
                <w:highlight w:val="none"/>
              </w:rPr>
              <w:t>未</w:t>
            </w:r>
            <w:r>
              <w:rPr>
                <w:rFonts w:hint="eastAsia" w:ascii="宋体" w:hAnsi="宋体" w:eastAsia="宋体" w:cs="宋体"/>
                <w:spacing w:val="4"/>
                <w:sz w:val="22"/>
                <w:szCs w:val="22"/>
                <w:highlight w:val="none"/>
                <w:lang w:val="en-US" w:eastAsia="zh-CN"/>
              </w:rPr>
              <w:t>按时</w:t>
            </w:r>
            <w:r>
              <w:rPr>
                <w:rFonts w:hint="eastAsia" w:ascii="宋体" w:hAnsi="宋体" w:eastAsia="宋体" w:cs="宋体"/>
                <w:spacing w:val="4"/>
                <w:sz w:val="22"/>
                <w:szCs w:val="22"/>
                <w:highlight w:val="none"/>
              </w:rPr>
              <w:t>完成</w:t>
            </w:r>
            <w:r>
              <w:rPr>
                <w:rFonts w:hint="eastAsia" w:ascii="宋体" w:hAnsi="宋体" w:eastAsia="宋体" w:cs="宋体"/>
                <w:spacing w:val="4"/>
                <w:sz w:val="22"/>
                <w:szCs w:val="22"/>
              </w:rPr>
              <w:t>扣3分</w:t>
            </w:r>
            <w:r>
              <w:rPr>
                <w:rFonts w:hint="eastAsia" w:ascii="宋体" w:hAnsi="宋体" w:eastAsia="宋体" w:cs="宋体"/>
                <w:spacing w:val="4"/>
                <w:sz w:val="22"/>
                <w:szCs w:val="22"/>
                <w:lang w:eastAsia="zh-CN"/>
              </w:rPr>
              <w:t>。</w:t>
            </w:r>
          </w:p>
        </w:tc>
        <w:tc>
          <w:tcPr>
            <w:tcW w:w="1240" w:type="dxa"/>
          </w:tcPr>
          <w:p w14:paraId="3DA8DB5B">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1233" w:type="dxa"/>
          </w:tcPr>
          <w:p w14:paraId="4D1D1122">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801" w:type="dxa"/>
          </w:tcPr>
          <w:p w14:paraId="1679EEAF">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r>
      <w:tr w14:paraId="75BC4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top"/>
          </w:tcPr>
          <w:p w14:paraId="5CEEB4C4">
            <w:pPr>
              <w:spacing w:after="0" w:line="240" w:lineRule="auto"/>
              <w:jc w:val="center"/>
              <w:rPr>
                <w:rFonts w:hint="eastAsia" w:ascii="宋体" w:hAnsi="宋体" w:eastAsia="宋体" w:cs="宋体"/>
                <w:spacing w:val="4"/>
                <w:sz w:val="22"/>
                <w:szCs w:val="22"/>
              </w:rPr>
            </w:pPr>
          </w:p>
          <w:p w14:paraId="3EB1AD53">
            <w:pPr>
              <w:spacing w:after="0" w:line="240" w:lineRule="auto"/>
              <w:jc w:val="center"/>
              <w:rPr>
                <w:rFonts w:hint="eastAsia" w:ascii="宋体" w:hAnsi="宋体" w:eastAsia="宋体" w:cs="宋体"/>
                <w:spacing w:val="4"/>
                <w:sz w:val="22"/>
                <w:szCs w:val="22"/>
              </w:rPr>
            </w:pPr>
          </w:p>
          <w:p w14:paraId="65680978">
            <w:pPr>
              <w:spacing w:after="0" w:line="240" w:lineRule="auto"/>
              <w:jc w:val="center"/>
              <w:rPr>
                <w:rFonts w:hint="eastAsia" w:ascii="宋体" w:hAnsi="宋体" w:eastAsia="宋体" w:cs="宋体"/>
                <w:spacing w:val="4"/>
                <w:sz w:val="22"/>
                <w:szCs w:val="22"/>
              </w:rPr>
            </w:pPr>
          </w:p>
          <w:p w14:paraId="3B07D649">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3</w:t>
            </w:r>
          </w:p>
        </w:tc>
        <w:tc>
          <w:tcPr>
            <w:tcW w:w="3677" w:type="dxa"/>
          </w:tcPr>
          <w:p w14:paraId="7EA37BF4">
            <w:pPr>
              <w:pStyle w:val="196"/>
              <w:spacing w:before="120" w:after="0" w:line="220" w:lineRule="auto"/>
              <w:jc w:val="left"/>
              <w:rPr>
                <w:rFonts w:hint="default" w:ascii="宋体" w:hAnsi="宋体" w:eastAsia="宋体" w:cs="宋体"/>
                <w:spacing w:val="4"/>
                <w:sz w:val="22"/>
                <w:szCs w:val="22"/>
                <w:lang w:val="en-US" w:eastAsia="zh-CN" w:bidi="ar-SA"/>
              </w:rPr>
            </w:pPr>
            <w:r>
              <w:rPr>
                <w:rFonts w:hint="eastAsia" w:ascii="宋体" w:hAnsi="宋体" w:eastAsia="宋体" w:cs="宋体"/>
                <w:spacing w:val="4"/>
                <w:sz w:val="22"/>
                <w:szCs w:val="22"/>
                <w:lang w:val="en-US" w:eastAsia="zh-CN" w:bidi="ar-SA"/>
              </w:rPr>
              <w:t>企业环保问题核查：协助企业日常开展企业环保问题核查工作，检查手续、治理设施、台账等问题。</w:t>
            </w:r>
          </w:p>
        </w:tc>
        <w:tc>
          <w:tcPr>
            <w:tcW w:w="794" w:type="dxa"/>
            <w:vAlign w:val="top"/>
          </w:tcPr>
          <w:p w14:paraId="245DA847">
            <w:pPr>
              <w:spacing w:after="0" w:line="240" w:lineRule="auto"/>
              <w:jc w:val="center"/>
              <w:rPr>
                <w:rFonts w:hint="eastAsia" w:ascii="宋体" w:hAnsi="宋体" w:eastAsia="宋体" w:cs="宋体"/>
                <w:spacing w:val="4"/>
                <w:sz w:val="22"/>
                <w:szCs w:val="22"/>
              </w:rPr>
            </w:pPr>
          </w:p>
          <w:p w14:paraId="369B59C0">
            <w:pPr>
              <w:spacing w:after="0" w:line="240" w:lineRule="auto"/>
              <w:jc w:val="center"/>
              <w:rPr>
                <w:rFonts w:hint="eastAsia" w:ascii="宋体" w:hAnsi="宋体" w:eastAsia="宋体" w:cs="宋体"/>
                <w:spacing w:val="4"/>
                <w:sz w:val="22"/>
                <w:szCs w:val="22"/>
              </w:rPr>
            </w:pPr>
          </w:p>
          <w:p w14:paraId="24CCE221">
            <w:pPr>
              <w:spacing w:after="0" w:line="240" w:lineRule="auto"/>
              <w:jc w:val="center"/>
              <w:rPr>
                <w:rFonts w:hint="eastAsia" w:ascii="宋体" w:hAnsi="宋体" w:eastAsia="宋体" w:cs="宋体"/>
                <w:spacing w:val="4"/>
                <w:sz w:val="22"/>
                <w:szCs w:val="22"/>
              </w:rPr>
            </w:pPr>
          </w:p>
          <w:p w14:paraId="2AEF4F56">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15</w:t>
            </w:r>
          </w:p>
        </w:tc>
        <w:tc>
          <w:tcPr>
            <w:tcW w:w="1702" w:type="dxa"/>
            <w:vAlign w:val="top"/>
          </w:tcPr>
          <w:p w14:paraId="5EE96CAB">
            <w:pPr>
              <w:spacing w:after="0" w:line="240" w:lineRule="auto"/>
              <w:jc w:val="left"/>
              <w:rPr>
                <w:rFonts w:hint="eastAsia" w:ascii="宋体" w:hAnsi="宋体" w:eastAsia="宋体" w:cs="宋体"/>
                <w:spacing w:val="4"/>
                <w:sz w:val="22"/>
                <w:szCs w:val="22"/>
                <w:lang w:val="en-US" w:eastAsia="zh-CN"/>
              </w:rPr>
            </w:pPr>
            <w:r>
              <w:rPr>
                <w:rFonts w:hint="eastAsia" w:ascii="宋体" w:hAnsi="宋体" w:eastAsia="宋体" w:cs="宋体"/>
                <w:spacing w:val="4"/>
                <w:sz w:val="22"/>
                <w:szCs w:val="22"/>
              </w:rPr>
              <w:t>按照园区要求开展，有1次</w:t>
            </w:r>
            <w:r>
              <w:rPr>
                <w:rFonts w:hint="eastAsia" w:ascii="宋体" w:hAnsi="宋体" w:eastAsia="宋体" w:cs="宋体"/>
                <w:spacing w:val="4"/>
                <w:sz w:val="22"/>
                <w:szCs w:val="22"/>
                <w:highlight w:val="none"/>
              </w:rPr>
              <w:t>未</w:t>
            </w:r>
            <w:r>
              <w:rPr>
                <w:rFonts w:hint="eastAsia" w:ascii="宋体" w:hAnsi="宋体" w:eastAsia="宋体" w:cs="宋体"/>
                <w:spacing w:val="4"/>
                <w:sz w:val="22"/>
                <w:szCs w:val="22"/>
                <w:highlight w:val="none"/>
                <w:lang w:val="en-US" w:eastAsia="zh-CN"/>
              </w:rPr>
              <w:t>按时</w:t>
            </w:r>
            <w:r>
              <w:rPr>
                <w:rFonts w:hint="eastAsia" w:ascii="宋体" w:hAnsi="宋体" w:eastAsia="宋体" w:cs="宋体"/>
                <w:spacing w:val="4"/>
                <w:sz w:val="22"/>
                <w:szCs w:val="22"/>
                <w:highlight w:val="none"/>
              </w:rPr>
              <w:t>完成</w:t>
            </w:r>
            <w:r>
              <w:rPr>
                <w:rFonts w:hint="eastAsia" w:ascii="宋体" w:hAnsi="宋体" w:eastAsia="宋体" w:cs="宋体"/>
                <w:spacing w:val="4"/>
                <w:sz w:val="22"/>
                <w:szCs w:val="22"/>
              </w:rPr>
              <w:t>扣3分</w:t>
            </w:r>
            <w:r>
              <w:rPr>
                <w:rFonts w:hint="eastAsia" w:ascii="宋体" w:hAnsi="宋体" w:eastAsia="宋体" w:cs="宋体"/>
                <w:spacing w:val="4"/>
                <w:sz w:val="22"/>
                <w:szCs w:val="22"/>
                <w:lang w:eastAsia="zh-CN"/>
              </w:rPr>
              <w:t>。</w:t>
            </w:r>
          </w:p>
        </w:tc>
        <w:tc>
          <w:tcPr>
            <w:tcW w:w="1240" w:type="dxa"/>
          </w:tcPr>
          <w:p w14:paraId="709AE8E5">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1233" w:type="dxa"/>
          </w:tcPr>
          <w:p w14:paraId="654AE879">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801" w:type="dxa"/>
          </w:tcPr>
          <w:p w14:paraId="0A59C44E">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r>
      <w:tr w14:paraId="5E9B8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top"/>
          </w:tcPr>
          <w:p w14:paraId="53DB8E06">
            <w:pPr>
              <w:spacing w:after="0" w:line="240" w:lineRule="auto"/>
              <w:jc w:val="center"/>
              <w:rPr>
                <w:rFonts w:hint="eastAsia" w:ascii="宋体" w:hAnsi="宋体" w:eastAsia="宋体" w:cs="宋体"/>
                <w:spacing w:val="4"/>
                <w:sz w:val="22"/>
                <w:szCs w:val="22"/>
              </w:rPr>
            </w:pPr>
          </w:p>
          <w:p w14:paraId="1C3D7C0F">
            <w:pPr>
              <w:spacing w:after="0" w:line="240" w:lineRule="auto"/>
              <w:jc w:val="center"/>
              <w:rPr>
                <w:rFonts w:hint="eastAsia" w:ascii="宋体" w:hAnsi="宋体" w:eastAsia="宋体" w:cs="宋体"/>
                <w:spacing w:val="4"/>
                <w:sz w:val="22"/>
                <w:szCs w:val="22"/>
              </w:rPr>
            </w:pPr>
          </w:p>
          <w:p w14:paraId="2F0972A6">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4</w:t>
            </w:r>
          </w:p>
        </w:tc>
        <w:tc>
          <w:tcPr>
            <w:tcW w:w="3677" w:type="dxa"/>
          </w:tcPr>
          <w:p w14:paraId="0512E9A9">
            <w:pPr>
              <w:pStyle w:val="196"/>
              <w:spacing w:before="120" w:after="0" w:line="219" w:lineRule="auto"/>
              <w:jc w:val="left"/>
              <w:rPr>
                <w:rFonts w:hint="default" w:ascii="宋体" w:hAnsi="宋体" w:eastAsia="宋体" w:cs="宋体"/>
                <w:spacing w:val="4"/>
                <w:sz w:val="22"/>
                <w:szCs w:val="22"/>
                <w:lang w:val="en-US" w:eastAsia="zh-CN" w:bidi="ar-SA"/>
              </w:rPr>
            </w:pPr>
            <w:r>
              <w:rPr>
                <w:rFonts w:hint="eastAsia" w:ascii="宋体" w:hAnsi="宋体" w:eastAsia="宋体" w:cs="宋体"/>
                <w:spacing w:val="4"/>
                <w:sz w:val="22"/>
                <w:szCs w:val="22"/>
                <w:lang w:val="en-US" w:eastAsia="zh-CN" w:bidi="ar-SA"/>
              </w:rPr>
              <w:t>专项检查完成情况：按照园区要求，开展元旦、五一、国庆3次节前全覆盖检查及复查</w:t>
            </w:r>
            <w:r>
              <w:rPr>
                <w:rFonts w:hint="eastAsia" w:cs="宋体"/>
                <w:spacing w:val="4"/>
                <w:sz w:val="22"/>
                <w:szCs w:val="22"/>
                <w:lang w:val="en-US" w:eastAsia="zh-CN" w:bidi="ar-SA"/>
              </w:rPr>
              <w:t>。</w:t>
            </w:r>
          </w:p>
        </w:tc>
        <w:tc>
          <w:tcPr>
            <w:tcW w:w="794" w:type="dxa"/>
            <w:vAlign w:val="top"/>
          </w:tcPr>
          <w:p w14:paraId="273D0D65">
            <w:pPr>
              <w:spacing w:after="0" w:line="240" w:lineRule="auto"/>
              <w:jc w:val="center"/>
              <w:rPr>
                <w:rFonts w:hint="eastAsia" w:ascii="宋体" w:hAnsi="宋体" w:eastAsia="宋体" w:cs="宋体"/>
                <w:spacing w:val="4"/>
                <w:sz w:val="22"/>
                <w:szCs w:val="22"/>
              </w:rPr>
            </w:pPr>
          </w:p>
          <w:p w14:paraId="77CDABB5">
            <w:pPr>
              <w:spacing w:after="0" w:line="240" w:lineRule="auto"/>
              <w:jc w:val="center"/>
              <w:rPr>
                <w:rFonts w:hint="eastAsia" w:ascii="宋体" w:hAnsi="宋体" w:eastAsia="宋体" w:cs="宋体"/>
                <w:spacing w:val="4"/>
                <w:sz w:val="22"/>
                <w:szCs w:val="22"/>
              </w:rPr>
            </w:pPr>
          </w:p>
          <w:p w14:paraId="429EAA42">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20</w:t>
            </w:r>
          </w:p>
        </w:tc>
        <w:tc>
          <w:tcPr>
            <w:tcW w:w="1702" w:type="dxa"/>
            <w:vAlign w:val="top"/>
          </w:tcPr>
          <w:p w14:paraId="183A2033">
            <w:pPr>
              <w:spacing w:after="0" w:line="240" w:lineRule="auto"/>
              <w:jc w:val="left"/>
              <w:rPr>
                <w:rFonts w:hint="eastAsia" w:ascii="宋体" w:hAnsi="宋体" w:eastAsia="宋体" w:cs="宋体"/>
                <w:spacing w:val="4"/>
                <w:sz w:val="22"/>
                <w:szCs w:val="22"/>
                <w:lang w:val="en-US" w:eastAsia="zh-CN"/>
              </w:rPr>
            </w:pPr>
            <w:r>
              <w:rPr>
                <w:rFonts w:hint="eastAsia" w:ascii="宋体" w:hAnsi="宋体" w:eastAsia="宋体" w:cs="宋体"/>
                <w:spacing w:val="4"/>
                <w:sz w:val="22"/>
                <w:szCs w:val="22"/>
              </w:rPr>
              <w:t>按照园区要求开展，有1次</w:t>
            </w:r>
            <w:r>
              <w:rPr>
                <w:rFonts w:hint="eastAsia" w:ascii="宋体" w:hAnsi="宋体" w:eastAsia="宋体" w:cs="宋体"/>
                <w:spacing w:val="4"/>
                <w:sz w:val="22"/>
                <w:szCs w:val="22"/>
                <w:highlight w:val="none"/>
              </w:rPr>
              <w:t>未</w:t>
            </w:r>
            <w:r>
              <w:rPr>
                <w:rFonts w:hint="eastAsia" w:ascii="宋体" w:hAnsi="宋体" w:eastAsia="宋体" w:cs="宋体"/>
                <w:spacing w:val="4"/>
                <w:sz w:val="22"/>
                <w:szCs w:val="22"/>
                <w:highlight w:val="none"/>
                <w:lang w:val="en-US" w:eastAsia="zh-CN"/>
              </w:rPr>
              <w:t>按时</w:t>
            </w:r>
            <w:r>
              <w:rPr>
                <w:rFonts w:hint="eastAsia" w:ascii="宋体" w:hAnsi="宋体" w:eastAsia="宋体" w:cs="宋体"/>
                <w:spacing w:val="4"/>
                <w:sz w:val="22"/>
                <w:szCs w:val="22"/>
                <w:highlight w:val="none"/>
              </w:rPr>
              <w:t>完成</w:t>
            </w:r>
            <w:r>
              <w:rPr>
                <w:rFonts w:hint="eastAsia" w:ascii="宋体" w:hAnsi="宋体" w:eastAsia="宋体" w:cs="宋体"/>
                <w:spacing w:val="4"/>
                <w:sz w:val="22"/>
                <w:szCs w:val="22"/>
              </w:rPr>
              <w:t>扣5分</w:t>
            </w:r>
            <w:r>
              <w:rPr>
                <w:rFonts w:hint="eastAsia" w:ascii="宋体" w:hAnsi="宋体" w:eastAsia="宋体" w:cs="宋体"/>
                <w:spacing w:val="4"/>
                <w:sz w:val="22"/>
                <w:szCs w:val="22"/>
                <w:lang w:eastAsia="zh-CN"/>
              </w:rPr>
              <w:t>。</w:t>
            </w:r>
          </w:p>
        </w:tc>
        <w:tc>
          <w:tcPr>
            <w:tcW w:w="1240" w:type="dxa"/>
          </w:tcPr>
          <w:p w14:paraId="2D3BB265">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1233" w:type="dxa"/>
          </w:tcPr>
          <w:p w14:paraId="71266B49">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801" w:type="dxa"/>
          </w:tcPr>
          <w:p w14:paraId="7D46B490">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r>
      <w:tr w14:paraId="0ECC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top"/>
          </w:tcPr>
          <w:p w14:paraId="2369C481">
            <w:pPr>
              <w:spacing w:after="0" w:line="240" w:lineRule="auto"/>
              <w:jc w:val="center"/>
              <w:rPr>
                <w:rFonts w:hint="eastAsia" w:ascii="宋体" w:hAnsi="宋体" w:eastAsia="宋体" w:cs="宋体"/>
                <w:spacing w:val="4"/>
                <w:sz w:val="22"/>
                <w:szCs w:val="22"/>
              </w:rPr>
            </w:pPr>
          </w:p>
          <w:p w14:paraId="4C73A107">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5</w:t>
            </w:r>
          </w:p>
        </w:tc>
        <w:tc>
          <w:tcPr>
            <w:tcW w:w="3677" w:type="dxa"/>
          </w:tcPr>
          <w:p w14:paraId="47B8C912">
            <w:pPr>
              <w:pStyle w:val="196"/>
              <w:spacing w:before="275" w:after="0" w:line="219" w:lineRule="auto"/>
              <w:jc w:val="left"/>
              <w:rPr>
                <w:rFonts w:hint="default" w:ascii="宋体" w:hAnsi="宋体" w:eastAsia="宋体" w:cs="宋体"/>
                <w:spacing w:val="4"/>
                <w:sz w:val="22"/>
                <w:szCs w:val="22"/>
                <w:lang w:val="en-US" w:eastAsia="zh-CN" w:bidi="ar-SA"/>
              </w:rPr>
            </w:pPr>
            <w:r>
              <w:rPr>
                <w:rFonts w:hint="eastAsia" w:ascii="宋体" w:hAnsi="宋体" w:eastAsia="宋体" w:cs="宋体"/>
                <w:spacing w:val="4"/>
                <w:sz w:val="22"/>
                <w:szCs w:val="22"/>
                <w:lang w:val="en-US" w:eastAsia="zh-CN" w:bidi="ar-SA"/>
              </w:rPr>
              <w:t>园区环境综合管控：开展园区空气质量环境、水环境、固废环境、噪声环境巡查工作。</w:t>
            </w:r>
          </w:p>
        </w:tc>
        <w:tc>
          <w:tcPr>
            <w:tcW w:w="794" w:type="dxa"/>
            <w:vAlign w:val="top"/>
          </w:tcPr>
          <w:p w14:paraId="50FCE9F0">
            <w:pPr>
              <w:spacing w:after="0" w:line="240" w:lineRule="auto"/>
              <w:jc w:val="center"/>
              <w:rPr>
                <w:rFonts w:hint="eastAsia" w:ascii="宋体" w:hAnsi="宋体" w:eastAsia="宋体" w:cs="宋体"/>
                <w:spacing w:val="4"/>
                <w:sz w:val="22"/>
                <w:szCs w:val="22"/>
              </w:rPr>
            </w:pPr>
          </w:p>
          <w:p w14:paraId="7DAA78E6">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15</w:t>
            </w:r>
          </w:p>
        </w:tc>
        <w:tc>
          <w:tcPr>
            <w:tcW w:w="1702" w:type="dxa"/>
            <w:vAlign w:val="top"/>
          </w:tcPr>
          <w:p w14:paraId="4A8BBE89">
            <w:pPr>
              <w:spacing w:after="0" w:line="240" w:lineRule="auto"/>
              <w:jc w:val="left"/>
              <w:rPr>
                <w:rFonts w:hint="eastAsia" w:ascii="宋体" w:hAnsi="宋体" w:eastAsia="宋体" w:cs="宋体"/>
                <w:spacing w:val="4"/>
                <w:sz w:val="22"/>
                <w:szCs w:val="22"/>
                <w:lang w:val="en-US" w:eastAsia="zh-CN"/>
              </w:rPr>
            </w:pPr>
            <w:r>
              <w:rPr>
                <w:rFonts w:hint="eastAsia" w:ascii="宋体" w:hAnsi="宋体" w:eastAsia="宋体" w:cs="宋体"/>
                <w:spacing w:val="4"/>
                <w:sz w:val="22"/>
                <w:szCs w:val="22"/>
              </w:rPr>
              <w:t>按照园区要求开展，有1次</w:t>
            </w:r>
            <w:r>
              <w:rPr>
                <w:rFonts w:hint="eastAsia" w:ascii="宋体" w:hAnsi="宋体" w:eastAsia="宋体" w:cs="宋体"/>
                <w:spacing w:val="4"/>
                <w:sz w:val="22"/>
                <w:szCs w:val="22"/>
                <w:highlight w:val="none"/>
              </w:rPr>
              <w:t>未</w:t>
            </w:r>
            <w:r>
              <w:rPr>
                <w:rFonts w:hint="eastAsia" w:ascii="宋体" w:hAnsi="宋体" w:eastAsia="宋体" w:cs="宋体"/>
                <w:spacing w:val="4"/>
                <w:sz w:val="22"/>
                <w:szCs w:val="22"/>
                <w:highlight w:val="none"/>
                <w:lang w:val="en-US" w:eastAsia="zh-CN"/>
              </w:rPr>
              <w:t>按时</w:t>
            </w:r>
            <w:r>
              <w:rPr>
                <w:rFonts w:hint="eastAsia" w:ascii="宋体" w:hAnsi="宋体" w:eastAsia="宋体" w:cs="宋体"/>
                <w:spacing w:val="4"/>
                <w:sz w:val="22"/>
                <w:szCs w:val="22"/>
                <w:highlight w:val="none"/>
              </w:rPr>
              <w:t>完成</w:t>
            </w:r>
            <w:r>
              <w:rPr>
                <w:rFonts w:hint="eastAsia" w:ascii="宋体" w:hAnsi="宋体" w:eastAsia="宋体" w:cs="宋体"/>
                <w:spacing w:val="4"/>
                <w:sz w:val="22"/>
                <w:szCs w:val="22"/>
              </w:rPr>
              <w:t>扣3分</w:t>
            </w:r>
            <w:r>
              <w:rPr>
                <w:rFonts w:hint="eastAsia" w:ascii="宋体" w:hAnsi="宋体" w:eastAsia="宋体" w:cs="宋体"/>
                <w:spacing w:val="4"/>
                <w:sz w:val="22"/>
                <w:szCs w:val="22"/>
                <w:lang w:eastAsia="zh-CN"/>
              </w:rPr>
              <w:t>。</w:t>
            </w:r>
          </w:p>
        </w:tc>
        <w:tc>
          <w:tcPr>
            <w:tcW w:w="1240" w:type="dxa"/>
          </w:tcPr>
          <w:p w14:paraId="53996022">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1233" w:type="dxa"/>
          </w:tcPr>
          <w:p w14:paraId="134F509B">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801" w:type="dxa"/>
          </w:tcPr>
          <w:p w14:paraId="7EB2991A">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r>
      <w:tr w14:paraId="2D49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top"/>
          </w:tcPr>
          <w:p w14:paraId="5AD20C73">
            <w:pPr>
              <w:spacing w:after="0" w:line="240" w:lineRule="auto"/>
              <w:jc w:val="center"/>
              <w:rPr>
                <w:rFonts w:hint="eastAsia" w:ascii="宋体" w:hAnsi="宋体" w:eastAsia="宋体" w:cs="宋体"/>
                <w:spacing w:val="4"/>
                <w:sz w:val="22"/>
                <w:szCs w:val="22"/>
              </w:rPr>
            </w:pPr>
          </w:p>
          <w:p w14:paraId="3382F413">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6</w:t>
            </w:r>
          </w:p>
        </w:tc>
        <w:tc>
          <w:tcPr>
            <w:tcW w:w="3677" w:type="dxa"/>
          </w:tcPr>
          <w:p w14:paraId="49D19DDF">
            <w:pPr>
              <w:pStyle w:val="196"/>
              <w:spacing w:before="275" w:after="0" w:line="219" w:lineRule="auto"/>
              <w:jc w:val="left"/>
              <w:rPr>
                <w:rFonts w:hint="default" w:ascii="宋体" w:hAnsi="宋体" w:eastAsia="宋体" w:cs="宋体"/>
                <w:spacing w:val="4"/>
                <w:sz w:val="22"/>
                <w:szCs w:val="22"/>
                <w:lang w:val="en-US" w:eastAsia="zh-CN" w:bidi="ar-SA"/>
              </w:rPr>
            </w:pPr>
            <w:r>
              <w:rPr>
                <w:rFonts w:hint="eastAsia" w:ascii="宋体" w:hAnsi="宋体" w:eastAsia="宋体" w:cs="宋体"/>
                <w:spacing w:val="4"/>
                <w:sz w:val="22"/>
                <w:szCs w:val="22"/>
                <w:lang w:val="en-US" w:eastAsia="zh-CN" w:bidi="ar-SA"/>
              </w:rPr>
              <w:t>环保督察迎查：协助园区开展中央、省级环保督察迎查工作，并协助督察销号材料编制。</w:t>
            </w:r>
          </w:p>
        </w:tc>
        <w:tc>
          <w:tcPr>
            <w:tcW w:w="794" w:type="dxa"/>
            <w:vAlign w:val="top"/>
          </w:tcPr>
          <w:p w14:paraId="24F13BE8">
            <w:pPr>
              <w:spacing w:after="0" w:line="240" w:lineRule="auto"/>
              <w:jc w:val="center"/>
              <w:rPr>
                <w:rFonts w:hint="eastAsia" w:ascii="宋体" w:hAnsi="宋体" w:eastAsia="宋体" w:cs="宋体"/>
                <w:spacing w:val="4"/>
                <w:sz w:val="22"/>
                <w:szCs w:val="22"/>
              </w:rPr>
            </w:pPr>
          </w:p>
          <w:p w14:paraId="5A2342AC">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10</w:t>
            </w:r>
          </w:p>
        </w:tc>
        <w:tc>
          <w:tcPr>
            <w:tcW w:w="1702" w:type="dxa"/>
            <w:vAlign w:val="top"/>
          </w:tcPr>
          <w:p w14:paraId="5E62DA03">
            <w:pPr>
              <w:spacing w:after="0" w:line="240" w:lineRule="auto"/>
              <w:jc w:val="left"/>
              <w:rPr>
                <w:rFonts w:hint="eastAsia" w:ascii="宋体" w:hAnsi="宋体" w:eastAsia="宋体" w:cs="宋体"/>
                <w:spacing w:val="4"/>
                <w:sz w:val="22"/>
                <w:szCs w:val="22"/>
                <w:lang w:val="en-US" w:eastAsia="zh-CN"/>
              </w:rPr>
            </w:pPr>
            <w:r>
              <w:rPr>
                <w:rFonts w:hint="eastAsia" w:ascii="宋体" w:hAnsi="宋体" w:eastAsia="宋体" w:cs="宋体"/>
                <w:spacing w:val="4"/>
                <w:sz w:val="22"/>
                <w:szCs w:val="22"/>
              </w:rPr>
              <w:t>按照园区要求开展，有1次</w:t>
            </w:r>
            <w:r>
              <w:rPr>
                <w:rFonts w:hint="eastAsia" w:ascii="宋体" w:hAnsi="宋体" w:eastAsia="宋体" w:cs="宋体"/>
                <w:spacing w:val="4"/>
                <w:sz w:val="22"/>
                <w:szCs w:val="22"/>
                <w:highlight w:val="none"/>
              </w:rPr>
              <w:t>未</w:t>
            </w:r>
            <w:r>
              <w:rPr>
                <w:rFonts w:hint="eastAsia" w:ascii="宋体" w:hAnsi="宋体" w:eastAsia="宋体" w:cs="宋体"/>
                <w:spacing w:val="4"/>
                <w:sz w:val="22"/>
                <w:szCs w:val="22"/>
                <w:highlight w:val="none"/>
                <w:lang w:val="en-US" w:eastAsia="zh-CN"/>
              </w:rPr>
              <w:t>按时</w:t>
            </w:r>
            <w:r>
              <w:rPr>
                <w:rFonts w:hint="eastAsia" w:ascii="宋体" w:hAnsi="宋体" w:eastAsia="宋体" w:cs="宋体"/>
                <w:spacing w:val="4"/>
                <w:sz w:val="22"/>
                <w:szCs w:val="22"/>
                <w:highlight w:val="none"/>
              </w:rPr>
              <w:t>完成</w:t>
            </w:r>
            <w:r>
              <w:rPr>
                <w:rFonts w:hint="eastAsia" w:ascii="宋体" w:hAnsi="宋体" w:eastAsia="宋体" w:cs="宋体"/>
                <w:spacing w:val="4"/>
                <w:sz w:val="22"/>
                <w:szCs w:val="22"/>
              </w:rPr>
              <w:t>扣5分</w:t>
            </w:r>
            <w:r>
              <w:rPr>
                <w:rFonts w:hint="eastAsia" w:ascii="宋体" w:hAnsi="宋体" w:eastAsia="宋体" w:cs="宋体"/>
                <w:spacing w:val="4"/>
                <w:sz w:val="22"/>
                <w:szCs w:val="22"/>
                <w:lang w:eastAsia="zh-CN"/>
              </w:rPr>
              <w:t>。</w:t>
            </w:r>
          </w:p>
        </w:tc>
        <w:tc>
          <w:tcPr>
            <w:tcW w:w="1240" w:type="dxa"/>
          </w:tcPr>
          <w:p w14:paraId="5BABA761">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1233" w:type="dxa"/>
          </w:tcPr>
          <w:p w14:paraId="3ACEB59D">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801" w:type="dxa"/>
          </w:tcPr>
          <w:p w14:paraId="7E006291">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r>
      <w:tr w14:paraId="3C93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top"/>
          </w:tcPr>
          <w:p w14:paraId="2ECE10E7">
            <w:pPr>
              <w:spacing w:after="0" w:line="240" w:lineRule="auto"/>
              <w:jc w:val="center"/>
              <w:rPr>
                <w:rFonts w:hint="eastAsia" w:ascii="宋体" w:hAnsi="宋体" w:eastAsia="宋体" w:cs="宋体"/>
                <w:spacing w:val="4"/>
                <w:sz w:val="22"/>
                <w:szCs w:val="22"/>
              </w:rPr>
            </w:pPr>
          </w:p>
          <w:p w14:paraId="429590E6">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7</w:t>
            </w:r>
          </w:p>
        </w:tc>
        <w:tc>
          <w:tcPr>
            <w:tcW w:w="3677" w:type="dxa"/>
          </w:tcPr>
          <w:p w14:paraId="5800B2E8">
            <w:pPr>
              <w:pStyle w:val="196"/>
              <w:spacing w:before="275" w:after="0" w:line="219" w:lineRule="auto"/>
              <w:jc w:val="left"/>
              <w:rPr>
                <w:rFonts w:hint="default" w:ascii="宋体" w:hAnsi="宋体" w:eastAsia="宋体" w:cs="宋体"/>
                <w:spacing w:val="4"/>
                <w:sz w:val="22"/>
                <w:szCs w:val="22"/>
                <w:lang w:val="en-US" w:eastAsia="zh-CN" w:bidi="ar-SA"/>
              </w:rPr>
            </w:pPr>
            <w:r>
              <w:rPr>
                <w:rFonts w:hint="eastAsia" w:ascii="宋体" w:hAnsi="宋体" w:eastAsia="宋体" w:cs="宋体"/>
                <w:spacing w:val="4"/>
                <w:sz w:val="22"/>
                <w:szCs w:val="22"/>
                <w:lang w:val="en-US" w:eastAsia="zh-CN" w:bidi="ar-SA"/>
              </w:rPr>
              <w:t>其他事项：协助企业完善“一企一档”动态档案建设，以及信访问题调查。</w:t>
            </w:r>
          </w:p>
        </w:tc>
        <w:tc>
          <w:tcPr>
            <w:tcW w:w="794" w:type="dxa"/>
            <w:vAlign w:val="top"/>
          </w:tcPr>
          <w:p w14:paraId="32F0C39C">
            <w:pPr>
              <w:spacing w:after="0" w:line="240" w:lineRule="auto"/>
              <w:jc w:val="center"/>
              <w:rPr>
                <w:rFonts w:hint="eastAsia" w:ascii="宋体" w:hAnsi="宋体" w:eastAsia="宋体" w:cs="宋体"/>
                <w:spacing w:val="4"/>
                <w:sz w:val="22"/>
                <w:szCs w:val="22"/>
              </w:rPr>
            </w:pPr>
          </w:p>
          <w:p w14:paraId="0B169B4F">
            <w:pPr>
              <w:spacing w:after="0" w:line="240" w:lineRule="auto"/>
              <w:jc w:val="center"/>
              <w:rPr>
                <w:rFonts w:hint="default" w:ascii="宋体" w:hAnsi="宋体" w:eastAsia="宋体" w:cs="宋体"/>
                <w:spacing w:val="4"/>
                <w:sz w:val="22"/>
                <w:szCs w:val="22"/>
                <w:lang w:val="en-US" w:eastAsia="zh-CN"/>
              </w:rPr>
            </w:pPr>
            <w:r>
              <w:rPr>
                <w:rFonts w:hint="eastAsia" w:ascii="宋体" w:hAnsi="宋体" w:eastAsia="宋体" w:cs="宋体"/>
                <w:spacing w:val="4"/>
                <w:sz w:val="22"/>
                <w:szCs w:val="22"/>
              </w:rPr>
              <w:t>10</w:t>
            </w:r>
          </w:p>
        </w:tc>
        <w:tc>
          <w:tcPr>
            <w:tcW w:w="1702" w:type="dxa"/>
            <w:vAlign w:val="top"/>
          </w:tcPr>
          <w:p w14:paraId="70820349">
            <w:pPr>
              <w:spacing w:after="0" w:line="240" w:lineRule="auto"/>
              <w:jc w:val="left"/>
              <w:rPr>
                <w:rFonts w:hint="eastAsia" w:ascii="宋体" w:hAnsi="宋体" w:eastAsia="宋体" w:cs="宋体"/>
                <w:spacing w:val="4"/>
                <w:sz w:val="22"/>
                <w:szCs w:val="22"/>
                <w:lang w:val="en-US" w:eastAsia="zh-CN"/>
              </w:rPr>
            </w:pPr>
            <w:r>
              <w:rPr>
                <w:rFonts w:hint="eastAsia" w:ascii="宋体" w:hAnsi="宋体" w:eastAsia="宋体" w:cs="宋体"/>
                <w:spacing w:val="4"/>
                <w:sz w:val="22"/>
                <w:szCs w:val="22"/>
              </w:rPr>
              <w:t>按照园区要求开展，有1次</w:t>
            </w:r>
            <w:r>
              <w:rPr>
                <w:rFonts w:hint="eastAsia" w:ascii="宋体" w:hAnsi="宋体" w:eastAsia="宋体" w:cs="宋体"/>
                <w:spacing w:val="4"/>
                <w:sz w:val="22"/>
                <w:szCs w:val="22"/>
                <w:highlight w:val="none"/>
              </w:rPr>
              <w:t>未</w:t>
            </w:r>
            <w:r>
              <w:rPr>
                <w:rFonts w:hint="eastAsia" w:ascii="宋体" w:hAnsi="宋体" w:eastAsia="宋体" w:cs="宋体"/>
                <w:spacing w:val="4"/>
                <w:sz w:val="22"/>
                <w:szCs w:val="22"/>
                <w:highlight w:val="none"/>
                <w:lang w:val="en-US" w:eastAsia="zh-CN"/>
              </w:rPr>
              <w:t>按时</w:t>
            </w:r>
            <w:r>
              <w:rPr>
                <w:rFonts w:hint="eastAsia" w:ascii="宋体" w:hAnsi="宋体" w:eastAsia="宋体" w:cs="宋体"/>
                <w:spacing w:val="4"/>
                <w:sz w:val="22"/>
                <w:szCs w:val="22"/>
                <w:highlight w:val="none"/>
              </w:rPr>
              <w:t>完成</w:t>
            </w:r>
            <w:r>
              <w:rPr>
                <w:rFonts w:hint="eastAsia" w:ascii="宋体" w:hAnsi="宋体" w:eastAsia="宋体" w:cs="宋体"/>
                <w:spacing w:val="4"/>
                <w:sz w:val="22"/>
                <w:szCs w:val="22"/>
              </w:rPr>
              <w:t>扣2分</w:t>
            </w:r>
            <w:r>
              <w:rPr>
                <w:rFonts w:hint="eastAsia" w:ascii="宋体" w:hAnsi="宋体" w:eastAsia="宋体" w:cs="宋体"/>
                <w:spacing w:val="4"/>
                <w:sz w:val="22"/>
                <w:szCs w:val="22"/>
                <w:lang w:eastAsia="zh-CN"/>
              </w:rPr>
              <w:t>。</w:t>
            </w:r>
          </w:p>
        </w:tc>
        <w:tc>
          <w:tcPr>
            <w:tcW w:w="1240" w:type="dxa"/>
          </w:tcPr>
          <w:p w14:paraId="536F6BA0">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1233" w:type="dxa"/>
          </w:tcPr>
          <w:p w14:paraId="11A8FFB8">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c>
          <w:tcPr>
            <w:tcW w:w="801" w:type="dxa"/>
          </w:tcPr>
          <w:p w14:paraId="53CADBDD">
            <w:pPr>
              <w:spacing w:after="0" w:line="240" w:lineRule="auto"/>
              <w:jc w:val="center"/>
              <w:rPr>
                <w:rFonts w:hint="default" w:eastAsia="宋体"/>
                <w:color w:val="000000" w:themeColor="text1"/>
                <w:vertAlign w:val="baseline"/>
                <w:lang w:val="en-US" w:eastAsia="zh-CN"/>
                <w14:textFill>
                  <w14:solidFill>
                    <w14:schemeClr w14:val="tx1"/>
                  </w14:solidFill>
                </w14:textFill>
              </w:rPr>
            </w:pPr>
          </w:p>
        </w:tc>
      </w:tr>
    </w:tbl>
    <w:p w14:paraId="070FF260">
      <w:pPr>
        <w:rPr>
          <w:rFonts w:hint="default" w:eastAsia="宋体"/>
          <w:color w:val="000000" w:themeColor="text1"/>
          <w:lang w:val="en-US" w:eastAsia="zh-CN"/>
          <w14:textFill>
            <w14:solidFill>
              <w14:schemeClr w14:val="tx1"/>
            </w14:solidFill>
          </w14:textFill>
        </w:rPr>
        <w:sectPr>
          <w:footerReference r:id="rId4" w:type="default"/>
          <w:pgSz w:w="11906" w:h="16838"/>
          <w:pgMar w:top="1327" w:right="1406" w:bottom="1327" w:left="1406" w:header="851" w:footer="992" w:gutter="0"/>
          <w:pgNumType w:start="1"/>
          <w:cols w:space="0" w:num="1"/>
          <w:docGrid w:linePitch="360" w:charSpace="0"/>
        </w:sectPr>
      </w:pPr>
    </w:p>
    <w:p w14:paraId="4511AD26">
      <w:pPr>
        <w:pStyle w:val="2"/>
        <w:keepNext/>
        <w:keepLines/>
        <w:pageBreakBefore/>
        <w:widowControl w:val="0"/>
        <w:spacing w:before="0" w:after="0" w:line="240" w:lineRule="auto"/>
        <w:jc w:val="center"/>
        <w:rPr>
          <w:rFonts w:hint="eastAsia" w:ascii="宋体" w:hAnsi="宋体" w:eastAsia="宋体" w:cs="宋体"/>
          <w:color w:val="000000" w:themeColor="text1"/>
          <w14:textFill>
            <w14:solidFill>
              <w14:schemeClr w14:val="tx1"/>
            </w14:solidFill>
          </w14:textFill>
        </w:rPr>
      </w:pPr>
      <w:r>
        <w:rPr>
          <w:rFonts w:hint="eastAsia"/>
          <w:color w:val="000000" w:themeColor="text1"/>
          <w:sz w:val="40"/>
          <w:szCs w:val="22"/>
          <w14:textFill>
            <w14:solidFill>
              <w14:schemeClr w14:val="tx1"/>
            </w14:solidFill>
          </w14:textFill>
        </w:rPr>
        <w:t>第</w:t>
      </w:r>
      <w:bookmarkEnd w:id="130"/>
      <w:r>
        <w:rPr>
          <w:rFonts w:hint="eastAsia"/>
          <w:color w:val="000000" w:themeColor="text1"/>
          <w:sz w:val="40"/>
          <w:szCs w:val="22"/>
          <w14:textFill>
            <w14:solidFill>
              <w14:schemeClr w14:val="tx1"/>
            </w14:solidFill>
          </w14:textFill>
        </w:rPr>
        <w:t>四章 采购需求</w:t>
      </w:r>
      <w:bookmarkEnd w:id="131"/>
      <w:bookmarkEnd w:id="132"/>
      <w:bookmarkEnd w:id="133"/>
      <w:bookmarkEnd w:id="134"/>
      <w:bookmarkEnd w:id="136"/>
      <w:bookmarkStart w:id="137" w:name="_Toc49090575"/>
      <w:bookmarkEnd w:id="137"/>
      <w:bookmarkStart w:id="138" w:name="_Toc26554093"/>
      <w:bookmarkEnd w:id="138"/>
    </w:p>
    <w:p w14:paraId="5B747A1E">
      <w:pPr>
        <w:pStyle w:val="32"/>
        <w:spacing w:before="120" w:beforeAutospacing="0" w:after="120" w:afterAutospacing="0" w:line="0" w:lineRule="atLeast"/>
        <w:jc w:val="both"/>
        <w:rPr>
          <w:color w:val="000000" w:themeColor="text1"/>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项目属性：服务类项目</w:t>
      </w:r>
    </w:p>
    <w:p w14:paraId="33A158FD">
      <w:pPr>
        <w:pStyle w:val="35"/>
        <w:numPr>
          <w:ilvl w:val="0"/>
          <w:numId w:val="0"/>
        </w:numPr>
        <w:rPr>
          <w:rFonts w:hint="eastAsia"/>
          <w:b/>
          <w:bCs/>
          <w:color w:val="000000" w:themeColor="text1"/>
          <w:sz w:val="24"/>
          <w:szCs w:val="24"/>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t>一、</w:t>
      </w:r>
      <w:r>
        <w:rPr>
          <w:rFonts w:hint="eastAsia"/>
          <w:b/>
          <w:bCs/>
          <w:color w:val="000000" w:themeColor="text1"/>
          <w:sz w:val="28"/>
          <w:szCs w:val="28"/>
          <w14:textFill>
            <w14:solidFill>
              <w14:schemeClr w14:val="tx1"/>
            </w14:solidFill>
          </w14:textFill>
        </w:rPr>
        <w:t>项目基本情况</w:t>
      </w:r>
    </w:p>
    <w:p w14:paraId="71B0ADAE">
      <w:pPr>
        <w:pStyle w:val="35"/>
        <w:numPr>
          <w:ilvl w:val="0"/>
          <w:numId w:val="0"/>
        </w:numPr>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2016年4月，环境保护部</w:t>
      </w:r>
      <w:r>
        <w:rPr>
          <w:rFonts w:hint="eastAsia"/>
          <w:b w:val="0"/>
          <w:bCs w:val="0"/>
          <w:color w:val="000000" w:themeColor="text1"/>
          <w:sz w:val="24"/>
          <w:szCs w:val="24"/>
          <w:highlight w:val="none"/>
          <w:lang w:eastAsia="zh-CN"/>
          <w14:textFill>
            <w14:solidFill>
              <w14:schemeClr w14:val="tx1"/>
            </w14:solidFill>
          </w14:textFill>
        </w:rPr>
        <w:t>（</w:t>
      </w:r>
      <w:r>
        <w:rPr>
          <w:rFonts w:hint="eastAsia"/>
          <w:b w:val="0"/>
          <w:bCs w:val="0"/>
          <w:color w:val="000000" w:themeColor="text1"/>
          <w:sz w:val="24"/>
          <w:szCs w:val="24"/>
          <w:highlight w:val="none"/>
          <w14:textFill>
            <w14:solidFill>
              <w14:schemeClr w14:val="tx1"/>
            </w14:solidFill>
          </w14:textFill>
        </w:rPr>
        <w:t>现为生态环境部</w:t>
      </w:r>
      <w:r>
        <w:rPr>
          <w:rFonts w:hint="eastAsia"/>
          <w:b w:val="0"/>
          <w:bCs w:val="0"/>
          <w:color w:val="000000" w:themeColor="text1"/>
          <w:sz w:val="24"/>
          <w:szCs w:val="24"/>
          <w:highlight w:val="none"/>
          <w:lang w:eastAsia="zh-CN"/>
          <w14:textFill>
            <w14:solidFill>
              <w14:schemeClr w14:val="tx1"/>
            </w14:solidFill>
          </w14:textFill>
        </w:rPr>
        <w:t>）</w:t>
      </w:r>
      <w:r>
        <w:rPr>
          <w:rFonts w:hint="eastAsia"/>
          <w:b w:val="0"/>
          <w:bCs w:val="0"/>
          <w:color w:val="000000" w:themeColor="text1"/>
          <w:sz w:val="24"/>
          <w:szCs w:val="24"/>
          <w:highlight w:val="none"/>
          <w14:textFill>
            <w14:solidFill>
              <w14:schemeClr w14:val="tx1"/>
            </w14:solidFill>
          </w14:textFill>
        </w:rPr>
        <w:t>《关于积极发挥环境保护作用促进供给侧结构性改革的指导意见》</w:t>
      </w:r>
      <w:r>
        <w:rPr>
          <w:rFonts w:hint="eastAsia"/>
          <w:b w:val="0"/>
          <w:bCs w:val="0"/>
          <w:color w:val="000000" w:themeColor="text1"/>
          <w:sz w:val="24"/>
          <w:szCs w:val="24"/>
          <w:highlight w:val="none"/>
          <w:lang w:eastAsia="zh-CN"/>
          <w14:textFill>
            <w14:solidFill>
              <w14:schemeClr w14:val="tx1"/>
            </w14:solidFill>
          </w14:textFill>
        </w:rPr>
        <w:t>（</w:t>
      </w:r>
      <w:r>
        <w:rPr>
          <w:rFonts w:hint="eastAsia"/>
          <w:b w:val="0"/>
          <w:bCs w:val="0"/>
          <w:color w:val="000000" w:themeColor="text1"/>
          <w:sz w:val="24"/>
          <w:szCs w:val="24"/>
          <w:highlight w:val="none"/>
          <w14:textFill>
            <w14:solidFill>
              <w14:schemeClr w14:val="tx1"/>
            </w14:solidFill>
          </w14:textFill>
        </w:rPr>
        <w:t>环大气〔2016〕45号</w:t>
      </w:r>
      <w:r>
        <w:rPr>
          <w:rFonts w:hint="eastAsia"/>
          <w:b w:val="0"/>
          <w:bCs w:val="0"/>
          <w:color w:val="000000" w:themeColor="text1"/>
          <w:sz w:val="24"/>
          <w:szCs w:val="24"/>
          <w:highlight w:val="none"/>
          <w:lang w:eastAsia="zh-CN"/>
          <w14:textFill>
            <w14:solidFill>
              <w14:schemeClr w14:val="tx1"/>
            </w14:solidFill>
          </w14:textFill>
        </w:rPr>
        <w:t>），</w:t>
      </w:r>
      <w:r>
        <w:rPr>
          <w:rFonts w:hint="eastAsia"/>
          <w:b w:val="0"/>
          <w:bCs w:val="0"/>
          <w:color w:val="000000" w:themeColor="text1"/>
          <w:sz w:val="24"/>
          <w:szCs w:val="24"/>
          <w:highlight w:val="none"/>
          <w14:textFill>
            <w14:solidFill>
              <w14:schemeClr w14:val="tx1"/>
            </w14:solidFill>
          </w14:textFill>
        </w:rPr>
        <w:t>鼓励有条件的工业园区聘请第三方专业环保服务</w:t>
      </w:r>
      <w:r>
        <w:rPr>
          <w:rFonts w:hint="eastAsia"/>
          <w:b w:val="0"/>
          <w:bCs w:val="0"/>
          <w:color w:val="000000" w:themeColor="text1"/>
          <w:sz w:val="24"/>
          <w:szCs w:val="24"/>
          <w:highlight w:val="none"/>
          <w:lang w:val="en-US" w:eastAsia="zh-CN"/>
          <w14:textFill>
            <w14:solidFill>
              <w14:schemeClr w14:val="tx1"/>
            </w14:solidFill>
          </w14:textFill>
        </w:rPr>
        <w:t>机构</w:t>
      </w:r>
      <w:r>
        <w:rPr>
          <w:rFonts w:hint="eastAsia"/>
          <w:b w:val="0"/>
          <w:bCs w:val="0"/>
          <w:color w:val="000000" w:themeColor="text1"/>
          <w:sz w:val="24"/>
          <w:szCs w:val="24"/>
          <w:highlight w:val="none"/>
          <w14:textFill>
            <w14:solidFill>
              <w14:schemeClr w14:val="tx1"/>
            </w14:solidFill>
          </w14:textFill>
        </w:rPr>
        <w:t>作为“环保管家”</w:t>
      </w:r>
      <w:r>
        <w:rPr>
          <w:rFonts w:hint="eastAsia"/>
          <w:b w:val="0"/>
          <w:bCs w:val="0"/>
          <w:color w:val="000000" w:themeColor="text1"/>
          <w:sz w:val="24"/>
          <w:szCs w:val="24"/>
          <w:highlight w:val="none"/>
          <w:lang w:eastAsia="zh-CN"/>
          <w14:textFill>
            <w14:solidFill>
              <w14:schemeClr w14:val="tx1"/>
            </w14:solidFill>
          </w14:textFill>
        </w:rPr>
        <w:t>，</w:t>
      </w:r>
      <w:r>
        <w:rPr>
          <w:rFonts w:hint="eastAsia"/>
          <w:b w:val="0"/>
          <w:bCs w:val="0"/>
          <w:color w:val="000000" w:themeColor="text1"/>
          <w:sz w:val="24"/>
          <w:szCs w:val="24"/>
          <w:highlight w:val="none"/>
          <w14:textFill>
            <w14:solidFill>
              <w14:schemeClr w14:val="tx1"/>
            </w14:solidFill>
          </w14:textFill>
        </w:rPr>
        <w:t>向园区</w:t>
      </w:r>
      <w:r>
        <w:rPr>
          <w:rFonts w:hint="eastAsia"/>
          <w:b w:val="0"/>
          <w:bCs w:val="0"/>
          <w:color w:val="000000" w:themeColor="text1"/>
          <w:sz w:val="24"/>
          <w:szCs w:val="24"/>
          <w:highlight w:val="none"/>
          <w:lang w:val="en-US" w:eastAsia="zh-CN"/>
          <w14:textFill>
            <w14:solidFill>
              <w14:schemeClr w14:val="tx1"/>
            </w14:solidFill>
          </w14:textFill>
        </w:rPr>
        <w:t>提供</w:t>
      </w:r>
      <w:r>
        <w:rPr>
          <w:rFonts w:hint="eastAsia"/>
          <w:b w:val="0"/>
          <w:bCs w:val="0"/>
          <w:color w:val="000000" w:themeColor="text1"/>
          <w:sz w:val="24"/>
          <w:szCs w:val="24"/>
          <w:highlight w:val="none"/>
          <w14:textFill>
            <w14:solidFill>
              <w14:schemeClr w14:val="tx1"/>
            </w14:solidFill>
          </w14:textFill>
        </w:rPr>
        <w:t>一体化环保服务。</w:t>
      </w:r>
    </w:p>
    <w:p w14:paraId="5D530162">
      <w:pPr>
        <w:spacing w:line="480" w:lineRule="exact"/>
        <w:ind w:firstLine="361"/>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故为助力我区生态文明建设和可持续发展，全方位解决园区发展过程中的生态环保问题，拟引入专业第三方环保服务机构开展2年期的园区“环保管家”服务</w:t>
      </w:r>
      <w:r>
        <w:rPr>
          <w:rFonts w:hint="eastAsia"/>
          <w:b w:val="0"/>
          <w:bCs w:val="0"/>
          <w:color w:val="000000" w:themeColor="text1"/>
          <w:sz w:val="24"/>
          <w:szCs w:val="24"/>
          <w:highlight w:val="none"/>
          <w:lang w:eastAsia="zh-CN"/>
          <w14:textFill>
            <w14:solidFill>
              <w14:schemeClr w14:val="tx1"/>
            </w14:solidFill>
          </w14:textFill>
        </w:rPr>
        <w:t>（</w:t>
      </w:r>
      <w:r>
        <w:rPr>
          <w:rFonts w:hint="eastAsia"/>
          <w:b w:val="0"/>
          <w:bCs w:val="0"/>
          <w:color w:val="000000" w:themeColor="text1"/>
          <w:sz w:val="24"/>
          <w:szCs w:val="24"/>
          <w:highlight w:val="none"/>
          <w:lang w:val="en-US" w:eastAsia="zh-CN"/>
          <w14:textFill>
            <w14:solidFill>
              <w14:schemeClr w14:val="tx1"/>
            </w14:solidFill>
          </w14:textFill>
        </w:rPr>
        <w:t>不包含原生态化工园区区域</w:t>
      </w:r>
      <w:r>
        <w:rPr>
          <w:rFonts w:hint="eastAsia"/>
          <w:b w:val="0"/>
          <w:bCs w:val="0"/>
          <w:color w:val="000000" w:themeColor="text1"/>
          <w:sz w:val="24"/>
          <w:szCs w:val="24"/>
          <w:highlight w:val="none"/>
          <w:lang w:eastAsia="zh-CN"/>
          <w14:textFill>
            <w14:solidFill>
              <w14:schemeClr w14:val="tx1"/>
            </w14:solidFill>
          </w14:textFill>
        </w:rPr>
        <w:t>）</w:t>
      </w:r>
      <w:r>
        <w:rPr>
          <w:rFonts w:hint="eastAsia"/>
          <w:b w:val="0"/>
          <w:bCs w:val="0"/>
          <w:color w:val="000000" w:themeColor="text1"/>
          <w:sz w:val="24"/>
          <w:szCs w:val="24"/>
          <w:highlight w:val="none"/>
          <w14:textFill>
            <w14:solidFill>
              <w14:schemeClr w14:val="tx1"/>
            </w14:solidFill>
          </w14:textFill>
        </w:rPr>
        <w:t>，为园区提供全方位、常态化的环保技术支持与管理服务，要求第三方服务机构具备环保管家服务</w:t>
      </w:r>
      <w:r>
        <w:rPr>
          <w:rFonts w:hint="eastAsia"/>
          <w:b w:val="0"/>
          <w:bCs w:val="0"/>
          <w:color w:val="000000" w:themeColor="text1"/>
          <w:sz w:val="24"/>
          <w:szCs w:val="24"/>
          <w:highlight w:val="none"/>
          <w:lang w:eastAsia="zh-CN"/>
          <w14:textFill>
            <w14:solidFill>
              <w14:schemeClr w14:val="tx1"/>
            </w14:solidFill>
          </w14:textFill>
        </w:rPr>
        <w:t>、</w:t>
      </w:r>
      <w:r>
        <w:rPr>
          <w:rFonts w:hint="eastAsia"/>
          <w:b w:val="0"/>
          <w:bCs w:val="0"/>
          <w:color w:val="000000" w:themeColor="text1"/>
          <w:sz w:val="24"/>
          <w:szCs w:val="24"/>
          <w:highlight w:val="none"/>
          <w14:textFill>
            <w14:solidFill>
              <w14:schemeClr w14:val="tx1"/>
            </w14:solidFill>
          </w14:textFill>
        </w:rPr>
        <w:t>无人机巡查、</w:t>
      </w:r>
      <w:r>
        <w:rPr>
          <w:rFonts w:hint="eastAsia"/>
          <w:b w:val="0"/>
          <w:bCs w:val="0"/>
          <w:color w:val="000000" w:themeColor="text1"/>
          <w:sz w:val="24"/>
          <w:szCs w:val="24"/>
          <w:highlight w:val="none"/>
          <w:lang w:val="en-US" w:eastAsia="zh-CN"/>
          <w14:textFill>
            <w14:solidFill>
              <w14:schemeClr w14:val="tx1"/>
            </w14:solidFill>
          </w14:textFill>
        </w:rPr>
        <w:t>水质</w:t>
      </w:r>
      <w:r>
        <w:rPr>
          <w:rFonts w:hint="eastAsia"/>
          <w:b w:val="0"/>
          <w:bCs w:val="0"/>
          <w:color w:val="000000" w:themeColor="text1"/>
          <w:sz w:val="24"/>
          <w:szCs w:val="24"/>
          <w:highlight w:val="none"/>
          <w14:textFill>
            <w14:solidFill>
              <w14:schemeClr w14:val="tx1"/>
            </w14:solidFill>
          </w14:textFill>
        </w:rPr>
        <w:t>检测、大气走航监测等服务能力。</w:t>
      </w:r>
    </w:p>
    <w:p w14:paraId="4EDC83E4">
      <w:pPr>
        <w:spacing w:line="480" w:lineRule="exact"/>
        <w:ind w:firstLine="361"/>
        <w:rPr>
          <w:rFonts w:hint="default" w:ascii="宋体" w:hAnsi="宋体" w:eastAsia="宋体" w:cs="宋体"/>
          <w:color w:val="000000" w:themeColor="text1"/>
          <w:sz w:val="28"/>
          <w:szCs w:val="28"/>
          <w:lang w:val="en-US"/>
          <w14:textFill>
            <w14:solidFill>
              <w14:schemeClr w14:val="tx1"/>
            </w14:solidFill>
          </w14:textFill>
        </w:rPr>
      </w:pPr>
      <w:r>
        <w:rPr>
          <w:rStyle w:val="195"/>
          <w:rFonts w:hint="eastAsia" w:ascii="宋体" w:hAnsi="宋体" w:eastAsia="宋体" w:cs="宋体"/>
          <w:b/>
          <w:color w:val="000000" w:themeColor="text1"/>
          <w:sz w:val="28"/>
          <w:szCs w:val="28"/>
          <w14:textFill>
            <w14:solidFill>
              <w14:schemeClr w14:val="tx1"/>
            </w14:solidFill>
          </w14:textFill>
        </w:rPr>
        <w:t>二、</w:t>
      </w:r>
      <w:r>
        <w:rPr>
          <w:rStyle w:val="195"/>
          <w:rFonts w:hint="eastAsia" w:ascii="宋体" w:hAnsi="宋体" w:eastAsia="宋体" w:cs="宋体"/>
          <w:b/>
          <w:color w:val="000000" w:themeColor="text1"/>
          <w:sz w:val="28"/>
          <w:szCs w:val="28"/>
          <w:lang w:val="en-US"/>
          <w14:textFill>
            <w14:solidFill>
              <w14:schemeClr w14:val="tx1"/>
            </w14:solidFill>
          </w14:textFill>
        </w:rPr>
        <w:t>服务内容</w:t>
      </w:r>
    </w:p>
    <w:p w14:paraId="23EA4FDC">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派遣不少于2名</w:t>
      </w:r>
      <w:r>
        <w:rPr>
          <w:rFonts w:hint="eastAsia" w:ascii="宋体" w:hAnsi="宋体" w:eastAsia="宋体" w:cs="宋体"/>
          <w:b w:val="0"/>
          <w:bCs/>
          <w:color w:val="000000" w:themeColor="text1"/>
          <w:sz w:val="24"/>
          <w:lang w:val="en-US" w:eastAsia="zh-CN"/>
          <w14:textFill>
            <w14:solidFill>
              <w14:schemeClr w14:val="tx1"/>
            </w14:solidFill>
          </w14:textFill>
        </w:rPr>
        <w:t>人员</w:t>
      </w:r>
      <w:r>
        <w:rPr>
          <w:rFonts w:hint="eastAsia" w:ascii="宋体" w:hAnsi="宋体" w:eastAsia="宋体" w:cs="宋体"/>
          <w:b w:val="0"/>
          <w:bCs/>
          <w:color w:val="000000" w:themeColor="text1"/>
          <w:sz w:val="24"/>
          <w14:textFill>
            <w14:solidFill>
              <w14:schemeClr w14:val="tx1"/>
            </w14:solidFill>
          </w14:textFill>
        </w:rPr>
        <w:t>常驻园区，开展“环保管家”服务工作，服务内容包括：环保法律咨询及培训、入园项目审核、企业环保问题核查、节前专项检查、环保督察迎查、园区环境综合管控等。</w:t>
      </w:r>
    </w:p>
    <w:p w14:paraId="62701FDD">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1. 环保法律咨询及培训</w:t>
      </w:r>
    </w:p>
    <w:p w14:paraId="3CF58C53">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1</w:t>
      </w:r>
      <w:r>
        <w:rPr>
          <w:rFonts w:hint="eastAsia" w:ascii="宋体" w:hAnsi="宋体" w:eastAsia="宋体" w:cs="宋体"/>
          <w:b w:val="0"/>
          <w:bCs/>
          <w:color w:val="000000" w:themeColor="text1"/>
          <w:sz w:val="24"/>
          <w:lang w:eastAsia="zh-CN"/>
          <w14:textFill>
            <w14:solidFill>
              <w14:schemeClr w14:val="tx1"/>
            </w14:solidFill>
          </w14:textFill>
        </w:rPr>
        <w:t>）</w:t>
      </w:r>
      <w:r>
        <w:rPr>
          <w:rFonts w:hint="eastAsia" w:ascii="宋体" w:hAnsi="宋体" w:eastAsia="宋体" w:cs="宋体"/>
          <w:b w:val="0"/>
          <w:bCs/>
          <w:color w:val="000000" w:themeColor="text1"/>
          <w:sz w:val="24"/>
          <w14:textFill>
            <w14:solidFill>
              <w14:schemeClr w14:val="tx1"/>
            </w14:solidFill>
          </w14:textFill>
        </w:rPr>
        <w:t>指导帮助园区企业依法建立环保管理制度，并协同实施；</w:t>
      </w:r>
    </w:p>
    <w:p w14:paraId="1AAA37B4">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2</w:t>
      </w:r>
      <w:r>
        <w:rPr>
          <w:rFonts w:hint="eastAsia" w:ascii="宋体" w:hAnsi="宋体" w:eastAsia="宋体" w:cs="宋体"/>
          <w:b w:val="0"/>
          <w:bCs/>
          <w:color w:val="000000" w:themeColor="text1"/>
          <w:sz w:val="24"/>
          <w:lang w:eastAsia="zh-CN"/>
          <w14:textFill>
            <w14:solidFill>
              <w14:schemeClr w14:val="tx1"/>
            </w14:solidFill>
          </w14:textFill>
        </w:rPr>
        <w:t>）</w:t>
      </w:r>
      <w:r>
        <w:rPr>
          <w:rFonts w:hint="eastAsia" w:ascii="宋体" w:hAnsi="宋体" w:eastAsia="宋体" w:cs="宋体"/>
          <w:b w:val="0"/>
          <w:bCs/>
          <w:color w:val="000000" w:themeColor="text1"/>
          <w:sz w:val="24"/>
          <w14:textFill>
            <w14:solidFill>
              <w14:schemeClr w14:val="tx1"/>
            </w14:solidFill>
          </w14:textFill>
        </w:rPr>
        <w:t>协同园区督促指导企业完成各级生态环境部门交办问题整改；</w:t>
      </w:r>
    </w:p>
    <w:p w14:paraId="1566FDF0">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3</w:t>
      </w:r>
      <w:r>
        <w:rPr>
          <w:rFonts w:hint="eastAsia" w:ascii="宋体" w:hAnsi="宋体" w:eastAsia="宋体" w:cs="宋体"/>
          <w:b w:val="0"/>
          <w:bCs/>
          <w:color w:val="000000" w:themeColor="text1"/>
          <w:sz w:val="24"/>
          <w:lang w:eastAsia="zh-CN"/>
          <w14:textFill>
            <w14:solidFill>
              <w14:schemeClr w14:val="tx1"/>
            </w14:solidFill>
          </w14:textFill>
        </w:rPr>
        <w:t>）</w:t>
      </w:r>
      <w:r>
        <w:rPr>
          <w:rFonts w:hint="eastAsia" w:ascii="宋体" w:hAnsi="宋体" w:eastAsia="宋体" w:cs="宋体"/>
          <w:b w:val="0"/>
          <w:bCs/>
          <w:color w:val="000000" w:themeColor="text1"/>
          <w:sz w:val="24"/>
          <w14:textFill>
            <w14:solidFill>
              <w14:schemeClr w14:val="tx1"/>
            </w14:solidFill>
          </w14:textFill>
        </w:rPr>
        <w:t>每季度至少开展1次生态环境保护业务培训。</w:t>
      </w:r>
    </w:p>
    <w:p w14:paraId="612E7B02">
      <w:pPr>
        <w:spacing w:line="520" w:lineRule="exact"/>
        <w:ind w:firstLine="241"/>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2.入园项目审核</w:t>
      </w:r>
    </w:p>
    <w:p w14:paraId="7A8A3C58">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协助园区完成拟招商引入企业的环保审核，审核是否符合产业定位，是否满足“三线一单”要求。</w:t>
      </w:r>
    </w:p>
    <w:p w14:paraId="0614190D">
      <w:pPr>
        <w:spacing w:line="520" w:lineRule="exact"/>
        <w:ind w:firstLine="241"/>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3. 企业环保问题排查</w:t>
      </w:r>
    </w:p>
    <w:p w14:paraId="276466CC">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日常开展企业环保问题核查，巡查企业履行环评及“三 同时”验收情况、排污许可证制度执行情况、污染物治理及 排放情况、污染防治设施运行维护情况、在线监控运维情况， 固废</w:t>
      </w:r>
      <w:r>
        <w:rPr>
          <w:rFonts w:hint="eastAsia" w:ascii="宋体" w:hAnsi="宋体" w:eastAsia="宋体" w:cs="宋体"/>
          <w:b w:val="0"/>
          <w:bCs/>
          <w:color w:val="000000" w:themeColor="text1"/>
          <w:sz w:val="24"/>
          <w:lang w:eastAsia="zh-CN"/>
          <w14:textFill>
            <w14:solidFill>
              <w14:schemeClr w14:val="tx1"/>
            </w14:solidFill>
          </w14:textFill>
        </w:rPr>
        <w:t>（</w:t>
      </w:r>
      <w:r>
        <w:rPr>
          <w:rFonts w:hint="eastAsia" w:ascii="宋体" w:hAnsi="宋体" w:eastAsia="宋体" w:cs="宋体"/>
          <w:b w:val="0"/>
          <w:bCs/>
          <w:color w:val="000000" w:themeColor="text1"/>
          <w:sz w:val="24"/>
          <w14:textFill>
            <w14:solidFill>
              <w14:schemeClr w14:val="tx1"/>
            </w14:solidFill>
          </w14:textFill>
        </w:rPr>
        <w:t>含危险废物</w:t>
      </w:r>
      <w:r>
        <w:rPr>
          <w:rFonts w:hint="eastAsia" w:ascii="宋体" w:hAnsi="宋体" w:eastAsia="宋体" w:cs="宋体"/>
          <w:b w:val="0"/>
          <w:bCs/>
          <w:color w:val="000000" w:themeColor="text1"/>
          <w:sz w:val="24"/>
          <w:lang w:eastAsia="zh-CN"/>
          <w14:textFill>
            <w14:solidFill>
              <w14:schemeClr w14:val="tx1"/>
            </w14:solidFill>
          </w14:textFill>
        </w:rPr>
        <w:t>）</w:t>
      </w:r>
      <w:r>
        <w:rPr>
          <w:rFonts w:hint="eastAsia" w:ascii="宋体" w:hAnsi="宋体" w:eastAsia="宋体" w:cs="宋体"/>
          <w:b w:val="0"/>
          <w:bCs/>
          <w:color w:val="000000" w:themeColor="text1"/>
          <w:sz w:val="24"/>
          <w14:textFill>
            <w14:solidFill>
              <w14:schemeClr w14:val="tx1"/>
            </w14:solidFill>
          </w14:textFill>
        </w:rPr>
        <w:t>规范管理情况、环境应急预案落实情况、 雨污分流情况等，梳理存在的环境问题及隐患，出具巡检报告并提出整改意见，指导督促企业整改，定期复查并出具复查销号建议报告，提交园区环境管理部门。</w:t>
      </w:r>
    </w:p>
    <w:p w14:paraId="56213C90">
      <w:pPr>
        <w:spacing w:line="520" w:lineRule="exact"/>
        <w:ind w:firstLine="241"/>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4.专项检查</w:t>
      </w:r>
    </w:p>
    <w:p w14:paraId="73BE25E3">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开展“元旦”“五一”“国庆”等节日的节前专项检查以及园区及省市县生态环境部门工作安排需要开展的其他专项检查，如固废规范化管理、挥发性有机物治理、土 壤治理、水污染防治、企业雨污分流整治、秋冬季大气污染减排等。</w:t>
      </w:r>
    </w:p>
    <w:p w14:paraId="0AFD6AEE">
      <w:pPr>
        <w:spacing w:line="520" w:lineRule="exact"/>
        <w:ind w:firstLine="241"/>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5.环保督察迎查</w:t>
      </w:r>
    </w:p>
    <w:p w14:paraId="145ECAF5">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选派具有省市督查工作经验或迎检经验的相关专家，协助园区做好中央、省、市各级督查的迎检准备工作，实施园区环境风险点问题专项检查，指导督促企业做好问题整改专 项服务。</w:t>
      </w:r>
    </w:p>
    <w:p w14:paraId="7308D6D6">
      <w:pPr>
        <w:spacing w:line="520" w:lineRule="exact"/>
        <w:ind w:firstLine="241"/>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6.园区环境综合管控</w:t>
      </w:r>
    </w:p>
    <w:p w14:paraId="1A6D257C">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eastAsia="zh-CN"/>
          <w14:textFill>
            <w14:solidFill>
              <w14:schemeClr w14:val="tx1"/>
            </w14:solidFill>
          </w14:textFill>
        </w:rPr>
        <w:t>1）</w:t>
      </w:r>
      <w:r>
        <w:rPr>
          <w:rFonts w:hint="eastAsia" w:ascii="宋体" w:hAnsi="宋体" w:eastAsia="宋体" w:cs="宋体"/>
          <w:b w:val="0"/>
          <w:bCs/>
          <w:color w:val="000000" w:themeColor="text1"/>
          <w:sz w:val="24"/>
          <w14:textFill>
            <w14:solidFill>
              <w14:schemeClr w14:val="tx1"/>
            </w14:solidFill>
          </w14:textFill>
        </w:rPr>
        <w:t>开展水环境管控：协助园区开展重点河道、水域</w:t>
      </w:r>
      <w:r>
        <w:rPr>
          <w:rFonts w:hint="eastAsia" w:ascii="宋体" w:hAnsi="宋体" w:eastAsia="宋体" w:cs="宋体"/>
          <w:b w:val="0"/>
          <w:bCs/>
          <w:color w:val="000000" w:themeColor="text1"/>
          <w:sz w:val="24"/>
          <w:lang w:eastAsia="zh-CN"/>
          <w14:textFill>
            <w14:solidFill>
              <w14:schemeClr w14:val="tx1"/>
            </w14:solidFill>
          </w14:textFill>
        </w:rPr>
        <w:t>的</w:t>
      </w:r>
      <w:r>
        <w:rPr>
          <w:rFonts w:hint="eastAsia" w:ascii="宋体" w:hAnsi="宋体" w:eastAsia="宋体" w:cs="宋体"/>
          <w:b w:val="0"/>
          <w:bCs/>
          <w:color w:val="000000" w:themeColor="text1"/>
          <w:sz w:val="24"/>
          <w14:textFill>
            <w14:solidFill>
              <w14:schemeClr w14:val="tx1"/>
            </w14:solidFill>
          </w14:textFill>
        </w:rPr>
        <w:t>日常巡查、检查及问题调查，</w:t>
      </w:r>
      <w:r>
        <w:rPr>
          <w:rFonts w:hint="eastAsia" w:ascii="宋体" w:hAnsi="宋体" w:eastAsia="宋体" w:cs="宋体"/>
          <w:b w:val="0"/>
          <w:bCs/>
          <w:color w:val="000000" w:themeColor="text1"/>
          <w:sz w:val="24"/>
          <w:highlight w:val="none"/>
          <w:lang w:val="en-US" w:eastAsia="zh-CN"/>
          <w14:textFill>
            <w14:solidFill>
              <w14:schemeClr w14:val="tx1"/>
            </w14:solidFill>
          </w14:textFill>
        </w:rPr>
        <w:t>必要时采集水样进行检测，</w:t>
      </w:r>
      <w:r>
        <w:rPr>
          <w:rFonts w:hint="eastAsia" w:ascii="宋体" w:hAnsi="宋体" w:eastAsia="宋体" w:cs="宋体"/>
          <w:b w:val="0"/>
          <w:bCs/>
          <w:color w:val="000000" w:themeColor="text1"/>
          <w:sz w:val="24"/>
          <w14:textFill>
            <w14:solidFill>
              <w14:schemeClr w14:val="tx1"/>
            </w14:solidFill>
          </w14:textFill>
        </w:rPr>
        <w:t>协助做好问题处理；</w:t>
      </w:r>
    </w:p>
    <w:p w14:paraId="434B7378">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eastAsia="zh-CN"/>
          <w14:textFill>
            <w14:solidFill>
              <w14:schemeClr w14:val="tx1"/>
            </w14:solidFill>
          </w14:textFill>
        </w:rPr>
        <w:t>2）</w:t>
      </w:r>
      <w:r>
        <w:rPr>
          <w:rFonts w:hint="eastAsia" w:ascii="宋体" w:hAnsi="宋体" w:eastAsia="宋体" w:cs="宋体"/>
          <w:b w:val="0"/>
          <w:bCs/>
          <w:color w:val="000000" w:themeColor="text1"/>
          <w:sz w:val="24"/>
          <w14:textFill>
            <w14:solidFill>
              <w14:schemeClr w14:val="tx1"/>
            </w14:solidFill>
          </w14:textFill>
        </w:rPr>
        <w:t>开展大气环境管控：协同园区开展夏季臭氧专项整 治、秋冬季重污染</w:t>
      </w:r>
      <w:r>
        <w:rPr>
          <w:rFonts w:hint="eastAsia" w:ascii="宋体" w:hAnsi="宋体" w:eastAsia="宋体" w:cs="宋体"/>
          <w:b w:val="0"/>
          <w:bCs/>
          <w:color w:val="000000" w:themeColor="text1"/>
          <w:sz w:val="24"/>
          <w:lang w:eastAsia="zh-CN"/>
          <w14:textFill>
            <w14:solidFill>
              <w14:schemeClr w14:val="tx1"/>
            </w14:solidFill>
          </w14:textFill>
        </w:rPr>
        <w:t>天气</w:t>
      </w:r>
      <w:r>
        <w:rPr>
          <w:rFonts w:hint="eastAsia" w:ascii="宋体" w:hAnsi="宋体" w:eastAsia="宋体" w:cs="宋体"/>
          <w:b w:val="0"/>
          <w:bCs/>
          <w:color w:val="000000" w:themeColor="text1"/>
          <w:sz w:val="24"/>
          <w14:textFill>
            <w14:solidFill>
              <w14:schemeClr w14:val="tx1"/>
            </w14:solidFill>
          </w14:textFill>
        </w:rPr>
        <w:t>的大气管控、企业 VOC 整治等工作；协助园区大气网格化监管，</w:t>
      </w:r>
      <w:r>
        <w:rPr>
          <w:rFonts w:hint="eastAsia" w:ascii="宋体" w:hAnsi="宋体" w:eastAsia="宋体" w:cs="宋体"/>
          <w:b w:val="0"/>
          <w:bCs/>
          <w:color w:val="000000" w:themeColor="text1"/>
          <w:sz w:val="24"/>
          <w:lang w:eastAsia="zh-CN"/>
          <w14:textFill>
            <w14:solidFill>
              <w14:schemeClr w14:val="tx1"/>
            </w14:solidFill>
          </w14:textFill>
        </w:rPr>
        <w:t>包括</w:t>
      </w:r>
      <w:r>
        <w:rPr>
          <w:rFonts w:hint="eastAsia" w:ascii="宋体" w:hAnsi="宋体" w:eastAsia="宋体" w:cs="宋体"/>
          <w:b w:val="0"/>
          <w:bCs/>
          <w:color w:val="000000" w:themeColor="text1"/>
          <w:sz w:val="24"/>
          <w14:textFill>
            <w14:solidFill>
              <w14:schemeClr w14:val="tx1"/>
            </w14:solidFill>
          </w14:textFill>
        </w:rPr>
        <w:t>重污染天气的大气走航</w:t>
      </w:r>
      <w:r>
        <w:rPr>
          <w:rFonts w:hint="eastAsia" w:ascii="宋体" w:hAnsi="宋体" w:eastAsia="宋体" w:cs="宋体"/>
          <w:b w:val="0"/>
          <w:bCs/>
          <w:color w:val="000000" w:themeColor="text1"/>
          <w:sz w:val="24"/>
          <w:lang w:eastAsia="zh-CN"/>
          <w14:textFill>
            <w14:solidFill>
              <w14:schemeClr w14:val="tx1"/>
            </w14:solidFill>
          </w14:textFill>
        </w:rPr>
        <w:t>监测</w:t>
      </w:r>
      <w:r>
        <w:rPr>
          <w:rFonts w:hint="eastAsia" w:ascii="宋体" w:hAnsi="宋体" w:eastAsia="宋体" w:cs="宋体"/>
          <w:b w:val="0"/>
          <w:bCs/>
          <w:color w:val="000000" w:themeColor="text1"/>
          <w:sz w:val="24"/>
          <w14:textFill>
            <w14:solidFill>
              <w14:schemeClr w14:val="tx1"/>
            </w14:solidFill>
          </w14:textFill>
        </w:rPr>
        <w:t>；</w:t>
      </w:r>
    </w:p>
    <w:p w14:paraId="2B866760">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eastAsia="zh-CN"/>
          <w14:textFill>
            <w14:solidFill>
              <w14:schemeClr w14:val="tx1"/>
            </w14:solidFill>
          </w14:textFill>
        </w:rPr>
        <w:t>3）</w:t>
      </w:r>
      <w:r>
        <w:rPr>
          <w:rFonts w:hint="eastAsia" w:ascii="宋体" w:hAnsi="宋体" w:eastAsia="宋体" w:cs="宋体"/>
          <w:b w:val="0"/>
          <w:bCs/>
          <w:color w:val="000000" w:themeColor="text1"/>
          <w:sz w:val="24"/>
          <w14:textFill>
            <w14:solidFill>
              <w14:schemeClr w14:val="tx1"/>
            </w14:solidFill>
          </w14:textFill>
        </w:rPr>
        <w:t>开展固废管控：利用无人机定期巡查园区企业空地是否违规堆放固废，为园区固体废弃物的日常监督管理提供技术服务；</w:t>
      </w:r>
    </w:p>
    <w:p w14:paraId="2A9DC924">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eastAsia="zh-CN"/>
          <w14:textFill>
            <w14:solidFill>
              <w14:schemeClr w14:val="tx1"/>
            </w14:solidFill>
          </w14:textFill>
        </w:rPr>
        <w:t>4）</w:t>
      </w:r>
      <w:r>
        <w:rPr>
          <w:rFonts w:hint="eastAsia" w:ascii="宋体" w:hAnsi="宋体" w:eastAsia="宋体" w:cs="宋体"/>
          <w:b w:val="0"/>
          <w:bCs/>
          <w:color w:val="000000" w:themeColor="text1"/>
          <w:sz w:val="24"/>
          <w14:textFill>
            <w14:solidFill>
              <w14:schemeClr w14:val="tx1"/>
            </w14:solidFill>
          </w14:textFill>
        </w:rPr>
        <w:t>声环境监管：</w:t>
      </w:r>
      <w:r>
        <w:rPr>
          <w:rFonts w:hint="eastAsia" w:ascii="宋体" w:hAnsi="宋体" w:eastAsia="宋体" w:cs="宋体"/>
          <w:b w:val="0"/>
          <w:bCs/>
          <w:color w:val="000000" w:themeColor="text1"/>
          <w:sz w:val="24"/>
          <w:lang w:eastAsia="zh-CN"/>
          <w14:textFill>
            <w14:solidFill>
              <w14:schemeClr w14:val="tx1"/>
            </w14:solidFill>
          </w14:textFill>
        </w:rPr>
        <w:t>对园区</w:t>
      </w:r>
      <w:r>
        <w:rPr>
          <w:rFonts w:hint="eastAsia" w:ascii="宋体" w:hAnsi="宋体" w:eastAsia="宋体" w:cs="宋体"/>
          <w:b w:val="0"/>
          <w:bCs/>
          <w:color w:val="000000" w:themeColor="text1"/>
          <w:sz w:val="24"/>
          <w14:textFill>
            <w14:solidFill>
              <w14:schemeClr w14:val="tx1"/>
            </w14:solidFill>
          </w14:textFill>
        </w:rPr>
        <w:t>涉及</w:t>
      </w:r>
      <w:r>
        <w:rPr>
          <w:rFonts w:hint="eastAsia" w:ascii="宋体" w:hAnsi="宋体" w:eastAsia="宋体" w:cs="宋体"/>
          <w:b w:val="0"/>
          <w:bCs/>
          <w:color w:val="000000" w:themeColor="text1"/>
          <w:sz w:val="24"/>
          <w:lang w:eastAsia="zh-CN"/>
          <w14:textFill>
            <w14:solidFill>
              <w14:schemeClr w14:val="tx1"/>
            </w14:solidFill>
          </w14:textFill>
        </w:rPr>
        <w:t>噪声污染</w:t>
      </w:r>
      <w:r>
        <w:rPr>
          <w:rFonts w:hint="eastAsia" w:ascii="宋体" w:hAnsi="宋体" w:eastAsia="宋体" w:cs="宋体"/>
          <w:b w:val="0"/>
          <w:bCs/>
          <w:color w:val="000000" w:themeColor="text1"/>
          <w:sz w:val="24"/>
          <w14:textFill>
            <w14:solidFill>
              <w14:schemeClr w14:val="tx1"/>
            </w14:solidFill>
          </w14:textFill>
        </w:rPr>
        <w:t>企业、点源开展日常帮扶。</w:t>
      </w:r>
    </w:p>
    <w:p w14:paraId="4E2EE44D">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eastAsia="zh-CN"/>
          <w14:textFill>
            <w14:solidFill>
              <w14:schemeClr w14:val="tx1"/>
            </w14:solidFill>
          </w14:textFill>
        </w:rPr>
        <w:t>5）</w:t>
      </w:r>
      <w:r>
        <w:rPr>
          <w:rFonts w:hint="eastAsia" w:ascii="宋体" w:hAnsi="宋体" w:eastAsia="宋体" w:cs="宋体"/>
          <w:b w:val="0"/>
          <w:bCs/>
          <w:color w:val="000000" w:themeColor="text1"/>
          <w:sz w:val="24"/>
          <w14:textFill>
            <w14:solidFill>
              <w14:schemeClr w14:val="tx1"/>
            </w14:solidFill>
          </w14:textFill>
        </w:rPr>
        <w:t>土壤环境</w:t>
      </w:r>
      <w:r>
        <w:rPr>
          <w:rFonts w:hint="eastAsia" w:ascii="宋体" w:hAnsi="宋体" w:eastAsia="宋体" w:cs="宋体"/>
          <w:b w:val="0"/>
          <w:bCs/>
          <w:color w:val="000000" w:themeColor="text1"/>
          <w:sz w:val="24"/>
          <w:lang w:eastAsia="zh-CN"/>
          <w14:textFill>
            <w14:solidFill>
              <w14:schemeClr w14:val="tx1"/>
            </w14:solidFill>
          </w14:textFill>
        </w:rPr>
        <w:t>：为园区</w:t>
      </w:r>
      <w:r>
        <w:rPr>
          <w:rFonts w:hint="eastAsia" w:ascii="宋体" w:hAnsi="宋体" w:eastAsia="宋体" w:cs="宋体"/>
          <w:b w:val="0"/>
          <w:bCs/>
          <w:color w:val="000000" w:themeColor="text1"/>
          <w:sz w:val="24"/>
          <w14:textFill>
            <w14:solidFill>
              <w14:schemeClr w14:val="tx1"/>
            </w14:solidFill>
          </w14:textFill>
        </w:rPr>
        <w:t>土壤环境的日常监督管理提供技术服务，保障土壤环境安全。</w:t>
      </w:r>
    </w:p>
    <w:p w14:paraId="3E4B409C">
      <w:pPr>
        <w:spacing w:line="520" w:lineRule="exact"/>
        <w:ind w:firstLine="241"/>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7.其他事项监管</w:t>
      </w:r>
    </w:p>
    <w:p w14:paraId="4B1A56B2">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eastAsia="zh-CN"/>
          <w14:textFill>
            <w14:solidFill>
              <w14:schemeClr w14:val="tx1"/>
            </w14:solidFill>
          </w14:textFill>
        </w:rPr>
        <w:t>1）</w:t>
      </w:r>
      <w:r>
        <w:rPr>
          <w:rFonts w:hint="eastAsia" w:ascii="宋体" w:hAnsi="宋体" w:eastAsia="宋体" w:cs="宋体"/>
          <w:b w:val="0"/>
          <w:bCs/>
          <w:color w:val="000000" w:themeColor="text1"/>
          <w:sz w:val="24"/>
          <w14:textFill>
            <w14:solidFill>
              <w14:schemeClr w14:val="tx1"/>
            </w14:solidFill>
          </w14:textFill>
        </w:rPr>
        <w:t>协助办理园区环保信访事项，包括夜间信访现场核实等；</w:t>
      </w:r>
    </w:p>
    <w:p w14:paraId="5D6F35F5">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eastAsia="zh-CN"/>
          <w14:textFill>
            <w14:solidFill>
              <w14:schemeClr w14:val="tx1"/>
            </w14:solidFill>
          </w14:textFill>
        </w:rPr>
        <w:t>2）</w:t>
      </w:r>
      <w:r>
        <w:rPr>
          <w:rFonts w:hint="eastAsia" w:ascii="宋体" w:hAnsi="宋体" w:eastAsia="宋体" w:cs="宋体"/>
          <w:b w:val="0"/>
          <w:bCs/>
          <w:color w:val="000000" w:themeColor="text1"/>
          <w:sz w:val="24"/>
          <w14:textFill>
            <w14:solidFill>
              <w14:schemeClr w14:val="tx1"/>
            </w14:solidFill>
          </w14:textFill>
        </w:rPr>
        <w:t>完善一企一档等基础台账及信息化管理；</w:t>
      </w:r>
    </w:p>
    <w:p w14:paraId="501E06BD">
      <w:pPr>
        <w:spacing w:line="520" w:lineRule="exact"/>
        <w:ind w:firstLine="241"/>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eastAsia="zh-CN"/>
          <w14:textFill>
            <w14:solidFill>
              <w14:schemeClr w14:val="tx1"/>
            </w14:solidFill>
          </w14:textFill>
        </w:rPr>
        <w:t>3）</w:t>
      </w:r>
      <w:r>
        <w:rPr>
          <w:rFonts w:hint="eastAsia" w:ascii="宋体" w:hAnsi="宋体" w:eastAsia="宋体" w:cs="宋体"/>
          <w:b w:val="0"/>
          <w:bCs/>
          <w:color w:val="000000" w:themeColor="text1"/>
          <w:sz w:val="24"/>
          <w14:textFill>
            <w14:solidFill>
              <w14:schemeClr w14:val="tx1"/>
            </w14:solidFill>
          </w14:textFill>
        </w:rPr>
        <w:t>园区生态环境部门交办的其他工作任务。</w:t>
      </w:r>
    </w:p>
    <w:p w14:paraId="12D13522">
      <w:pPr>
        <w:spacing w:line="520" w:lineRule="exact"/>
        <w:ind w:firstLine="241"/>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三、服务成果</w:t>
      </w:r>
    </w:p>
    <w:p w14:paraId="1BB4309E">
      <w:pPr>
        <w:ind w:firstLine="482"/>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根据各项工作开展情况，形成日报、周报、月报、年报、巡查报告、专项报告等纸质材料及相关影像资料。</w:t>
      </w:r>
    </w:p>
    <w:p w14:paraId="21DA0A49">
      <w:pPr>
        <w:spacing w:before="258" w:line="209" w:lineRule="auto"/>
        <w:ind w:left="6172"/>
        <w:rPr>
          <w:rFonts w:hint="eastAsia" w:ascii="宋体" w:hAnsi="宋体" w:eastAsia="宋体" w:cs="宋体"/>
          <w:b/>
          <w:bCs/>
          <w:spacing w:val="-3"/>
          <w:sz w:val="48"/>
          <w:szCs w:val="48"/>
          <w:lang w:val="en-US" w:eastAsia="zh-CN"/>
        </w:rPr>
      </w:pPr>
    </w:p>
    <w:p w14:paraId="35DAF8B6">
      <w:pPr>
        <w:spacing w:before="258" w:line="209" w:lineRule="auto"/>
        <w:ind w:left="6172"/>
        <w:rPr>
          <w:rFonts w:hint="eastAsia" w:ascii="宋体" w:hAnsi="宋体" w:eastAsia="宋体" w:cs="宋体"/>
          <w:b/>
          <w:bCs/>
          <w:spacing w:val="-3"/>
          <w:sz w:val="48"/>
          <w:szCs w:val="48"/>
          <w:lang w:val="en-US" w:eastAsia="zh-CN"/>
        </w:rPr>
      </w:pPr>
    </w:p>
    <w:p w14:paraId="37EAAB09">
      <w:pPr>
        <w:spacing w:before="258" w:line="209" w:lineRule="auto"/>
        <w:ind w:left="6172"/>
        <w:rPr>
          <w:rFonts w:hint="eastAsia" w:ascii="宋体" w:hAnsi="宋体" w:eastAsia="宋体" w:cs="宋体"/>
          <w:b/>
          <w:bCs/>
          <w:spacing w:val="-3"/>
          <w:sz w:val="48"/>
          <w:szCs w:val="48"/>
          <w:lang w:val="en-US" w:eastAsia="zh-CN"/>
        </w:rPr>
      </w:pPr>
    </w:p>
    <w:p w14:paraId="7096809F">
      <w:pPr>
        <w:spacing w:before="258" w:line="209" w:lineRule="auto"/>
        <w:ind w:firstLine="4098" w:firstLineChars="1300"/>
        <w:rPr>
          <w:rFonts w:ascii="宋体" w:hAnsi="宋体" w:eastAsia="宋体" w:cs="宋体"/>
          <w:sz w:val="32"/>
          <w:szCs w:val="32"/>
        </w:rPr>
      </w:pPr>
      <w:r>
        <w:rPr>
          <w:rFonts w:hint="eastAsia" w:ascii="宋体" w:hAnsi="宋体" w:eastAsia="宋体" w:cs="宋体"/>
          <w:b/>
          <w:bCs/>
          <w:spacing w:val="-3"/>
          <w:sz w:val="32"/>
          <w:szCs w:val="32"/>
          <w:lang w:val="en-US" w:eastAsia="zh-CN"/>
        </w:rPr>
        <w:t>服务</w:t>
      </w:r>
      <w:r>
        <w:rPr>
          <w:rFonts w:ascii="宋体" w:hAnsi="宋体" w:eastAsia="宋体" w:cs="宋体"/>
          <w:b/>
          <w:bCs/>
          <w:spacing w:val="-3"/>
          <w:sz w:val="32"/>
          <w:szCs w:val="32"/>
        </w:rPr>
        <w:t>清单</w:t>
      </w:r>
    </w:p>
    <w:tbl>
      <w:tblPr>
        <w:tblStyle w:val="201"/>
        <w:tblW w:w="88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4"/>
        <w:gridCol w:w="5068"/>
        <w:gridCol w:w="2634"/>
      </w:tblGrid>
      <w:tr w14:paraId="432E7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89" w:hRule="atLeast"/>
        </w:trPr>
        <w:tc>
          <w:tcPr>
            <w:tcW w:w="1184" w:type="dxa"/>
            <w:vAlign w:val="top"/>
          </w:tcPr>
          <w:p w14:paraId="73ED681F">
            <w:pPr>
              <w:spacing w:line="348" w:lineRule="auto"/>
              <w:rPr>
                <w:rFonts w:ascii="Arial"/>
                <w:sz w:val="21"/>
              </w:rPr>
            </w:pPr>
          </w:p>
          <w:p w14:paraId="11D84048">
            <w:pPr>
              <w:pStyle w:val="196"/>
              <w:spacing w:before="140" w:line="222" w:lineRule="auto"/>
              <w:ind w:left="216"/>
            </w:pPr>
            <w:r>
              <w:rPr>
                <w:spacing w:val="16"/>
              </w:rPr>
              <w:t>序号</w:t>
            </w:r>
          </w:p>
        </w:tc>
        <w:tc>
          <w:tcPr>
            <w:tcW w:w="5068" w:type="dxa"/>
            <w:vAlign w:val="top"/>
          </w:tcPr>
          <w:p w14:paraId="6B393858">
            <w:pPr>
              <w:spacing w:line="362" w:lineRule="auto"/>
              <w:jc w:val="center"/>
              <w:rPr>
                <w:rFonts w:ascii="Arial"/>
                <w:sz w:val="21"/>
              </w:rPr>
            </w:pPr>
          </w:p>
          <w:p w14:paraId="42771A29">
            <w:pPr>
              <w:pStyle w:val="196"/>
              <w:spacing w:before="139" w:line="221" w:lineRule="auto"/>
              <w:jc w:val="center"/>
            </w:pPr>
            <w:r>
              <w:rPr>
                <w:spacing w:val="8"/>
              </w:rPr>
              <w:t>服务内容</w:t>
            </w:r>
          </w:p>
        </w:tc>
        <w:tc>
          <w:tcPr>
            <w:tcW w:w="2634" w:type="dxa"/>
            <w:vAlign w:val="top"/>
          </w:tcPr>
          <w:p w14:paraId="6782B75A">
            <w:pPr>
              <w:spacing w:line="353" w:lineRule="auto"/>
              <w:jc w:val="center"/>
              <w:rPr>
                <w:rFonts w:ascii="Arial"/>
                <w:sz w:val="21"/>
              </w:rPr>
            </w:pPr>
          </w:p>
          <w:p w14:paraId="6C46D2AC">
            <w:pPr>
              <w:pStyle w:val="196"/>
              <w:spacing w:before="139" w:line="221" w:lineRule="auto"/>
              <w:ind w:left="667"/>
              <w:jc w:val="center"/>
            </w:pPr>
            <w:r>
              <w:rPr>
                <w:spacing w:val="11"/>
              </w:rPr>
              <w:t>数量</w:t>
            </w:r>
          </w:p>
        </w:tc>
      </w:tr>
      <w:tr w14:paraId="18CE2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2" w:hRule="atLeast"/>
        </w:trPr>
        <w:tc>
          <w:tcPr>
            <w:tcW w:w="1184" w:type="dxa"/>
            <w:vAlign w:val="top"/>
          </w:tcPr>
          <w:p w14:paraId="7E382667">
            <w:pPr>
              <w:spacing w:line="303" w:lineRule="auto"/>
              <w:rPr>
                <w:rFonts w:ascii="Arial"/>
                <w:sz w:val="21"/>
              </w:rPr>
            </w:pPr>
          </w:p>
          <w:p w14:paraId="18B78E2D">
            <w:pPr>
              <w:pStyle w:val="196"/>
              <w:spacing w:before="139" w:line="229" w:lineRule="auto"/>
              <w:ind w:left="541"/>
            </w:pPr>
            <w:r>
              <w:t>1</w:t>
            </w:r>
          </w:p>
        </w:tc>
        <w:tc>
          <w:tcPr>
            <w:tcW w:w="5068" w:type="dxa"/>
            <w:vAlign w:val="top"/>
          </w:tcPr>
          <w:p w14:paraId="4FB0B92B">
            <w:pPr>
              <w:spacing w:line="260" w:lineRule="auto"/>
              <w:jc w:val="center"/>
              <w:rPr>
                <w:rFonts w:ascii="Arial"/>
                <w:sz w:val="21"/>
              </w:rPr>
            </w:pPr>
          </w:p>
          <w:p w14:paraId="2CD07021">
            <w:pPr>
              <w:pStyle w:val="196"/>
              <w:spacing w:before="140" w:line="222" w:lineRule="auto"/>
              <w:jc w:val="center"/>
            </w:pPr>
            <w:r>
              <w:rPr>
                <w:spacing w:val="10"/>
              </w:rPr>
              <w:t>环保咨询及培训</w:t>
            </w:r>
          </w:p>
        </w:tc>
        <w:tc>
          <w:tcPr>
            <w:tcW w:w="2634" w:type="dxa"/>
            <w:vAlign w:val="top"/>
          </w:tcPr>
          <w:p w14:paraId="55A97BAA">
            <w:pPr>
              <w:spacing w:line="250" w:lineRule="auto"/>
              <w:jc w:val="center"/>
              <w:rPr>
                <w:rFonts w:ascii="Arial"/>
                <w:sz w:val="21"/>
              </w:rPr>
            </w:pPr>
          </w:p>
          <w:p w14:paraId="7D056EF4">
            <w:pPr>
              <w:pStyle w:val="196"/>
              <w:spacing w:before="140" w:line="221" w:lineRule="auto"/>
              <w:ind w:left="775"/>
              <w:jc w:val="center"/>
            </w:pPr>
            <w:r>
              <w:rPr>
                <w:spacing w:val="10"/>
              </w:rPr>
              <w:t>8次</w:t>
            </w:r>
          </w:p>
        </w:tc>
      </w:tr>
      <w:tr w14:paraId="2EBE5D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trPr>
        <w:tc>
          <w:tcPr>
            <w:tcW w:w="1184" w:type="dxa"/>
            <w:vAlign w:val="top"/>
          </w:tcPr>
          <w:p w14:paraId="7FADF4FA">
            <w:pPr>
              <w:spacing w:line="321" w:lineRule="auto"/>
              <w:rPr>
                <w:rFonts w:ascii="Arial"/>
                <w:sz w:val="21"/>
              </w:rPr>
            </w:pPr>
          </w:p>
          <w:p w14:paraId="2AF130D6">
            <w:pPr>
              <w:pStyle w:val="196"/>
              <w:spacing w:before="139" w:line="225" w:lineRule="auto"/>
              <w:ind w:left="541"/>
            </w:pPr>
            <w:r>
              <w:t>2</w:t>
            </w:r>
          </w:p>
        </w:tc>
        <w:tc>
          <w:tcPr>
            <w:tcW w:w="5068" w:type="dxa"/>
            <w:vAlign w:val="top"/>
          </w:tcPr>
          <w:p w14:paraId="5B01378B">
            <w:pPr>
              <w:pStyle w:val="196"/>
              <w:spacing w:before="139" w:line="222" w:lineRule="auto"/>
              <w:ind w:firstLine="294" w:firstLineChars="100"/>
              <w:jc w:val="center"/>
            </w:pPr>
            <w:r>
              <w:rPr>
                <w:rFonts w:hint="eastAsia"/>
                <w:spacing w:val="7"/>
                <w:lang w:val="en-US" w:eastAsia="zh-CN"/>
              </w:rPr>
              <w:t>入园</w:t>
            </w:r>
            <w:r>
              <w:rPr>
                <w:spacing w:val="7"/>
              </w:rPr>
              <w:t>项目审核</w:t>
            </w:r>
          </w:p>
        </w:tc>
        <w:tc>
          <w:tcPr>
            <w:tcW w:w="2634" w:type="dxa"/>
            <w:vAlign w:val="top"/>
          </w:tcPr>
          <w:p w14:paraId="7088A8FC">
            <w:pPr>
              <w:spacing w:line="251" w:lineRule="auto"/>
              <w:jc w:val="center"/>
              <w:rPr>
                <w:rFonts w:ascii="Arial"/>
                <w:sz w:val="21"/>
              </w:rPr>
            </w:pPr>
          </w:p>
          <w:p w14:paraId="2B8A2DB5">
            <w:pPr>
              <w:pStyle w:val="196"/>
              <w:spacing w:before="139" w:line="221" w:lineRule="auto"/>
              <w:ind w:left="775"/>
              <w:jc w:val="center"/>
            </w:pPr>
            <w:r>
              <w:rPr>
                <w:spacing w:val="11"/>
              </w:rPr>
              <w:t>2年</w:t>
            </w:r>
          </w:p>
        </w:tc>
      </w:tr>
      <w:tr w14:paraId="6D10B2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2" w:hRule="atLeast"/>
        </w:trPr>
        <w:tc>
          <w:tcPr>
            <w:tcW w:w="1184" w:type="dxa"/>
            <w:vAlign w:val="top"/>
          </w:tcPr>
          <w:p w14:paraId="69FAF486">
            <w:pPr>
              <w:spacing w:line="305" w:lineRule="auto"/>
              <w:rPr>
                <w:rFonts w:ascii="Arial"/>
                <w:sz w:val="21"/>
              </w:rPr>
            </w:pPr>
          </w:p>
          <w:p w14:paraId="68774932">
            <w:pPr>
              <w:pStyle w:val="196"/>
              <w:spacing w:before="140" w:line="228" w:lineRule="auto"/>
              <w:ind w:left="541"/>
            </w:pPr>
            <w:r>
              <w:t>3</w:t>
            </w:r>
          </w:p>
        </w:tc>
        <w:tc>
          <w:tcPr>
            <w:tcW w:w="5068" w:type="dxa"/>
            <w:vAlign w:val="top"/>
          </w:tcPr>
          <w:p w14:paraId="729A9C54">
            <w:pPr>
              <w:pStyle w:val="196"/>
              <w:spacing w:before="140" w:line="222" w:lineRule="auto"/>
              <w:jc w:val="center"/>
            </w:pPr>
            <w:r>
              <w:rPr>
                <w:spacing w:val="6"/>
              </w:rPr>
              <w:t>企业环保问题核查</w:t>
            </w:r>
          </w:p>
        </w:tc>
        <w:tc>
          <w:tcPr>
            <w:tcW w:w="2634" w:type="dxa"/>
            <w:vAlign w:val="top"/>
          </w:tcPr>
          <w:p w14:paraId="0674026B">
            <w:pPr>
              <w:spacing w:line="251" w:lineRule="auto"/>
              <w:jc w:val="center"/>
              <w:rPr>
                <w:rFonts w:ascii="Arial"/>
                <w:sz w:val="21"/>
              </w:rPr>
            </w:pPr>
          </w:p>
          <w:p w14:paraId="7BF07623">
            <w:pPr>
              <w:pStyle w:val="196"/>
              <w:spacing w:before="140" w:line="221" w:lineRule="auto"/>
              <w:ind w:left="550"/>
              <w:jc w:val="center"/>
            </w:pPr>
            <w:r>
              <w:rPr>
                <w:rFonts w:hint="eastAsia"/>
                <w:spacing w:val="-12"/>
                <w:lang w:val="en-US" w:eastAsia="zh-CN"/>
              </w:rPr>
              <w:t>24</w:t>
            </w:r>
            <w:r>
              <w:rPr>
                <w:spacing w:val="-12"/>
              </w:rPr>
              <w:t>次</w:t>
            </w:r>
          </w:p>
        </w:tc>
      </w:tr>
      <w:tr w14:paraId="68DD0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6" w:hRule="atLeast"/>
        </w:trPr>
        <w:tc>
          <w:tcPr>
            <w:tcW w:w="1184" w:type="dxa"/>
            <w:vAlign w:val="top"/>
          </w:tcPr>
          <w:p w14:paraId="6F85EFE9">
            <w:pPr>
              <w:spacing w:line="269" w:lineRule="auto"/>
              <w:rPr>
                <w:rFonts w:ascii="Arial"/>
                <w:sz w:val="21"/>
              </w:rPr>
            </w:pPr>
          </w:p>
          <w:p w14:paraId="2438A243">
            <w:pPr>
              <w:spacing w:line="269" w:lineRule="auto"/>
              <w:rPr>
                <w:rFonts w:ascii="Arial"/>
                <w:sz w:val="21"/>
              </w:rPr>
            </w:pPr>
          </w:p>
          <w:p w14:paraId="154CCF53">
            <w:pPr>
              <w:spacing w:line="270" w:lineRule="auto"/>
              <w:rPr>
                <w:rFonts w:ascii="Arial"/>
                <w:sz w:val="21"/>
              </w:rPr>
            </w:pPr>
          </w:p>
          <w:p w14:paraId="459581D4">
            <w:pPr>
              <w:pStyle w:val="196"/>
              <w:spacing w:before="140" w:line="242" w:lineRule="auto"/>
              <w:ind w:left="541"/>
            </w:pPr>
            <w:r>
              <w:t>4</w:t>
            </w:r>
          </w:p>
        </w:tc>
        <w:tc>
          <w:tcPr>
            <w:tcW w:w="5068" w:type="dxa"/>
            <w:vAlign w:val="top"/>
          </w:tcPr>
          <w:p w14:paraId="67E81FD1">
            <w:pPr>
              <w:pStyle w:val="196"/>
              <w:spacing w:before="140" w:line="221" w:lineRule="auto"/>
              <w:jc w:val="center"/>
              <w:rPr>
                <w:rFonts w:hint="eastAsia" w:eastAsia="宋体"/>
                <w:lang w:eastAsia="zh-CN"/>
              </w:rPr>
            </w:pPr>
            <w:r>
              <w:rPr>
                <w:spacing w:val="3"/>
              </w:rPr>
              <w:t>专项检查</w:t>
            </w:r>
            <w:r>
              <w:rPr>
                <w:rFonts w:hint="eastAsia"/>
                <w:spacing w:val="3"/>
                <w:lang w:eastAsia="zh-CN"/>
              </w:rPr>
              <w:t>（</w:t>
            </w:r>
            <w:r>
              <w:rPr>
                <w:spacing w:val="3"/>
              </w:rPr>
              <w:t>五一、国</w:t>
            </w:r>
            <w:r>
              <w:rPr>
                <w:rFonts w:hint="eastAsia"/>
                <w:spacing w:val="3"/>
                <w:lang w:val="en-US" w:eastAsia="zh-CN"/>
              </w:rPr>
              <w:t>庆</w:t>
            </w:r>
            <w:r>
              <w:rPr>
                <w:spacing w:val="3"/>
              </w:rPr>
              <w:t>、元旦及其他</w:t>
            </w:r>
            <w:r>
              <w:rPr>
                <w:spacing w:val="22"/>
              </w:rPr>
              <w:t>专项检查</w:t>
            </w:r>
            <w:r>
              <w:rPr>
                <w:rFonts w:hint="eastAsia"/>
                <w:spacing w:val="22"/>
                <w:lang w:eastAsia="zh-CN"/>
              </w:rPr>
              <w:t>）</w:t>
            </w:r>
          </w:p>
        </w:tc>
        <w:tc>
          <w:tcPr>
            <w:tcW w:w="2634" w:type="dxa"/>
            <w:vAlign w:val="top"/>
          </w:tcPr>
          <w:p w14:paraId="4EEFB8FB">
            <w:pPr>
              <w:spacing w:line="248" w:lineRule="auto"/>
              <w:jc w:val="center"/>
              <w:rPr>
                <w:rFonts w:ascii="Arial"/>
                <w:sz w:val="21"/>
              </w:rPr>
            </w:pPr>
          </w:p>
          <w:p w14:paraId="7E5F0556">
            <w:pPr>
              <w:spacing w:line="248" w:lineRule="auto"/>
              <w:jc w:val="center"/>
              <w:rPr>
                <w:rFonts w:ascii="Arial"/>
                <w:sz w:val="21"/>
              </w:rPr>
            </w:pPr>
          </w:p>
          <w:p w14:paraId="5CABCD6C">
            <w:pPr>
              <w:spacing w:line="249" w:lineRule="auto"/>
              <w:jc w:val="center"/>
              <w:rPr>
                <w:rFonts w:ascii="Arial"/>
                <w:sz w:val="21"/>
              </w:rPr>
            </w:pPr>
          </w:p>
          <w:p w14:paraId="4EF21E69">
            <w:pPr>
              <w:pStyle w:val="196"/>
              <w:spacing w:before="140" w:line="221" w:lineRule="auto"/>
              <w:ind w:left="775"/>
              <w:jc w:val="center"/>
            </w:pPr>
            <w:r>
              <w:rPr>
                <w:spacing w:val="10"/>
              </w:rPr>
              <w:t>6次</w:t>
            </w:r>
          </w:p>
        </w:tc>
      </w:tr>
      <w:tr w14:paraId="4CE7BB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2" w:hRule="atLeast"/>
        </w:trPr>
        <w:tc>
          <w:tcPr>
            <w:tcW w:w="1184" w:type="dxa"/>
            <w:vAlign w:val="top"/>
          </w:tcPr>
          <w:p w14:paraId="37479F89">
            <w:pPr>
              <w:spacing w:line="323" w:lineRule="auto"/>
              <w:rPr>
                <w:rFonts w:ascii="Arial"/>
                <w:sz w:val="21"/>
              </w:rPr>
            </w:pPr>
          </w:p>
          <w:p w14:paraId="0AE043C8">
            <w:pPr>
              <w:pStyle w:val="196"/>
              <w:spacing w:before="140" w:line="220" w:lineRule="auto"/>
              <w:ind w:left="541"/>
            </w:pPr>
            <w:r>
              <w:t>5</w:t>
            </w:r>
          </w:p>
        </w:tc>
        <w:tc>
          <w:tcPr>
            <w:tcW w:w="5068" w:type="dxa"/>
            <w:vAlign w:val="top"/>
          </w:tcPr>
          <w:p w14:paraId="346572F0">
            <w:pPr>
              <w:spacing w:line="261" w:lineRule="auto"/>
              <w:jc w:val="center"/>
              <w:rPr>
                <w:rFonts w:ascii="Arial"/>
                <w:sz w:val="21"/>
              </w:rPr>
            </w:pPr>
          </w:p>
          <w:p w14:paraId="4530760B">
            <w:pPr>
              <w:pStyle w:val="196"/>
              <w:spacing w:before="140" w:line="221" w:lineRule="auto"/>
              <w:jc w:val="center"/>
            </w:pPr>
            <w:r>
              <w:rPr>
                <w:rFonts w:hint="eastAsia"/>
                <w:spacing w:val="7"/>
                <w:lang w:val="en-US" w:eastAsia="zh-CN"/>
              </w:rPr>
              <w:t>环</w:t>
            </w:r>
            <w:r>
              <w:rPr>
                <w:spacing w:val="7"/>
              </w:rPr>
              <w:t>保督察迎查</w:t>
            </w:r>
          </w:p>
        </w:tc>
        <w:tc>
          <w:tcPr>
            <w:tcW w:w="2634" w:type="dxa"/>
            <w:vAlign w:val="top"/>
          </w:tcPr>
          <w:p w14:paraId="44A76D5A">
            <w:pPr>
              <w:spacing w:line="270" w:lineRule="auto"/>
              <w:jc w:val="center"/>
              <w:rPr>
                <w:rFonts w:ascii="Arial"/>
                <w:sz w:val="21"/>
              </w:rPr>
            </w:pPr>
          </w:p>
          <w:p w14:paraId="6BAA6873">
            <w:pPr>
              <w:pStyle w:val="196"/>
              <w:spacing w:before="140" w:line="221" w:lineRule="auto"/>
              <w:ind w:left="775"/>
              <w:jc w:val="center"/>
            </w:pPr>
            <w:r>
              <w:rPr>
                <w:spacing w:val="11"/>
              </w:rPr>
              <w:t>2年</w:t>
            </w:r>
          </w:p>
        </w:tc>
      </w:tr>
      <w:tr w14:paraId="19EE33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7" w:hRule="atLeast"/>
        </w:trPr>
        <w:tc>
          <w:tcPr>
            <w:tcW w:w="1184" w:type="dxa"/>
            <w:vAlign w:val="top"/>
          </w:tcPr>
          <w:p w14:paraId="4DDFC04D">
            <w:pPr>
              <w:spacing w:line="272" w:lineRule="auto"/>
              <w:rPr>
                <w:rFonts w:ascii="Arial"/>
                <w:sz w:val="21"/>
              </w:rPr>
            </w:pPr>
          </w:p>
          <w:p w14:paraId="0D46517E">
            <w:pPr>
              <w:spacing w:line="272" w:lineRule="auto"/>
              <w:rPr>
                <w:rFonts w:ascii="Arial"/>
                <w:sz w:val="21"/>
              </w:rPr>
            </w:pPr>
          </w:p>
          <w:p w14:paraId="6FA94AA9">
            <w:pPr>
              <w:spacing w:line="273" w:lineRule="auto"/>
              <w:rPr>
                <w:rFonts w:ascii="Arial"/>
                <w:sz w:val="21"/>
              </w:rPr>
            </w:pPr>
          </w:p>
          <w:p w14:paraId="4D1C5778">
            <w:pPr>
              <w:pStyle w:val="196"/>
              <w:spacing w:before="140" w:line="241" w:lineRule="auto"/>
              <w:ind w:left="541"/>
            </w:pPr>
            <w:r>
              <w:t>6</w:t>
            </w:r>
          </w:p>
        </w:tc>
        <w:tc>
          <w:tcPr>
            <w:tcW w:w="5068" w:type="dxa"/>
            <w:vAlign w:val="top"/>
          </w:tcPr>
          <w:p w14:paraId="7B18D285">
            <w:pPr>
              <w:spacing w:line="279" w:lineRule="auto"/>
              <w:jc w:val="center"/>
              <w:rPr>
                <w:rFonts w:ascii="Arial"/>
                <w:sz w:val="21"/>
              </w:rPr>
            </w:pPr>
          </w:p>
          <w:p w14:paraId="1B051477">
            <w:pPr>
              <w:pStyle w:val="196"/>
              <w:spacing w:before="140" w:line="221" w:lineRule="auto"/>
              <w:ind w:left="312"/>
              <w:jc w:val="center"/>
              <w:rPr>
                <w:rFonts w:hint="eastAsia" w:eastAsia="宋体"/>
                <w:lang w:eastAsia="zh-CN"/>
              </w:rPr>
            </w:pPr>
            <w:r>
              <w:rPr>
                <w:spacing w:val="16"/>
              </w:rPr>
              <w:t>园区环境综合管控</w:t>
            </w:r>
            <w:r>
              <w:rPr>
                <w:rFonts w:hint="eastAsia"/>
                <w:spacing w:val="16"/>
                <w:lang w:eastAsia="zh-CN"/>
              </w:rPr>
              <w:t>（</w:t>
            </w:r>
            <w:r>
              <w:rPr>
                <w:spacing w:val="16"/>
              </w:rPr>
              <w:t>大气、水环境、</w:t>
            </w:r>
            <w:r>
              <w:rPr>
                <w:spacing w:val="13"/>
              </w:rPr>
              <w:t>固废、噪声、土</w:t>
            </w:r>
            <w:r>
              <w:rPr>
                <w:rFonts w:hint="eastAsia"/>
                <w:spacing w:val="13"/>
                <w:lang w:val="en-US" w:eastAsia="zh-CN"/>
              </w:rPr>
              <w:t>壤</w:t>
            </w:r>
            <w:r>
              <w:rPr>
                <w:rFonts w:hint="eastAsia"/>
                <w:spacing w:val="13"/>
                <w:lang w:eastAsia="zh-CN"/>
              </w:rPr>
              <w:t>）</w:t>
            </w:r>
          </w:p>
        </w:tc>
        <w:tc>
          <w:tcPr>
            <w:tcW w:w="2634" w:type="dxa"/>
            <w:vAlign w:val="top"/>
          </w:tcPr>
          <w:p w14:paraId="36951438">
            <w:pPr>
              <w:spacing w:line="245" w:lineRule="auto"/>
              <w:jc w:val="center"/>
              <w:rPr>
                <w:rFonts w:ascii="Arial"/>
                <w:sz w:val="21"/>
              </w:rPr>
            </w:pPr>
          </w:p>
          <w:p w14:paraId="683AC75C">
            <w:pPr>
              <w:spacing w:line="246" w:lineRule="auto"/>
              <w:jc w:val="center"/>
              <w:rPr>
                <w:rFonts w:ascii="Arial"/>
                <w:sz w:val="21"/>
              </w:rPr>
            </w:pPr>
          </w:p>
          <w:p w14:paraId="1A418B5C">
            <w:pPr>
              <w:spacing w:line="246" w:lineRule="auto"/>
              <w:jc w:val="center"/>
              <w:rPr>
                <w:rFonts w:ascii="Arial"/>
                <w:sz w:val="21"/>
              </w:rPr>
            </w:pPr>
          </w:p>
          <w:p w14:paraId="6D6B79DB">
            <w:pPr>
              <w:pStyle w:val="196"/>
              <w:spacing w:before="140" w:line="221" w:lineRule="auto"/>
              <w:ind w:left="775"/>
              <w:jc w:val="center"/>
            </w:pPr>
            <w:r>
              <w:rPr>
                <w:spacing w:val="11"/>
              </w:rPr>
              <w:t>2年</w:t>
            </w:r>
          </w:p>
        </w:tc>
      </w:tr>
      <w:tr w14:paraId="5537B1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9" w:hRule="atLeast"/>
        </w:trPr>
        <w:tc>
          <w:tcPr>
            <w:tcW w:w="1184" w:type="dxa"/>
            <w:vAlign w:val="top"/>
          </w:tcPr>
          <w:p w14:paraId="651DAB60">
            <w:pPr>
              <w:spacing w:line="269" w:lineRule="auto"/>
              <w:rPr>
                <w:rFonts w:ascii="Arial"/>
                <w:sz w:val="21"/>
              </w:rPr>
            </w:pPr>
          </w:p>
          <w:p w14:paraId="292E6286">
            <w:pPr>
              <w:spacing w:line="270" w:lineRule="auto"/>
              <w:rPr>
                <w:rFonts w:ascii="Arial"/>
                <w:sz w:val="21"/>
              </w:rPr>
            </w:pPr>
          </w:p>
          <w:p w14:paraId="1B562483">
            <w:pPr>
              <w:spacing w:line="270" w:lineRule="auto"/>
              <w:rPr>
                <w:rFonts w:ascii="Arial"/>
                <w:sz w:val="21"/>
              </w:rPr>
            </w:pPr>
          </w:p>
          <w:p w14:paraId="0E2E8FC5">
            <w:pPr>
              <w:pStyle w:val="196"/>
              <w:spacing w:before="139" w:line="241" w:lineRule="auto"/>
              <w:ind w:left="541"/>
            </w:pPr>
            <w:r>
              <w:t>7</w:t>
            </w:r>
          </w:p>
        </w:tc>
        <w:tc>
          <w:tcPr>
            <w:tcW w:w="5068" w:type="dxa"/>
            <w:vAlign w:val="top"/>
          </w:tcPr>
          <w:p w14:paraId="6EAF04C3">
            <w:pPr>
              <w:spacing w:line="244" w:lineRule="auto"/>
              <w:jc w:val="center"/>
              <w:rPr>
                <w:rFonts w:ascii="Arial"/>
                <w:sz w:val="21"/>
              </w:rPr>
            </w:pPr>
          </w:p>
          <w:p w14:paraId="7A8397EA">
            <w:pPr>
              <w:pStyle w:val="196"/>
              <w:spacing w:before="140" w:line="221" w:lineRule="auto"/>
              <w:ind w:left="312"/>
              <w:jc w:val="center"/>
              <w:rPr>
                <w:rFonts w:hint="eastAsia" w:eastAsia="宋体"/>
                <w:lang w:eastAsia="zh-CN"/>
              </w:rPr>
            </w:pPr>
            <w:r>
              <w:rPr>
                <w:spacing w:val="6"/>
              </w:rPr>
              <w:t>其他事项监管</w:t>
            </w:r>
            <w:r>
              <w:rPr>
                <w:rFonts w:hint="eastAsia"/>
                <w:spacing w:val="6"/>
                <w:lang w:eastAsia="zh-CN"/>
              </w:rPr>
              <w:t>（</w:t>
            </w:r>
            <w:r>
              <w:rPr>
                <w:spacing w:val="6"/>
              </w:rPr>
              <w:t>信访调查、“一企一</w:t>
            </w:r>
            <w:r>
              <w:rPr>
                <w:spacing w:val="19"/>
              </w:rPr>
              <w:t>档”更新等</w:t>
            </w:r>
            <w:r>
              <w:rPr>
                <w:rFonts w:hint="eastAsia"/>
                <w:spacing w:val="19"/>
                <w:lang w:eastAsia="zh-CN"/>
              </w:rPr>
              <w:t>）</w:t>
            </w:r>
          </w:p>
        </w:tc>
        <w:tc>
          <w:tcPr>
            <w:tcW w:w="2634" w:type="dxa"/>
            <w:vAlign w:val="top"/>
          </w:tcPr>
          <w:p w14:paraId="440935EE">
            <w:pPr>
              <w:jc w:val="center"/>
              <w:rPr>
                <w:rFonts w:ascii="Arial"/>
                <w:sz w:val="21"/>
              </w:rPr>
            </w:pPr>
          </w:p>
          <w:p w14:paraId="6DC88A9F">
            <w:pPr>
              <w:jc w:val="center"/>
              <w:rPr>
                <w:rFonts w:ascii="Arial"/>
                <w:sz w:val="21"/>
              </w:rPr>
            </w:pPr>
          </w:p>
          <w:p w14:paraId="4B85162F">
            <w:pPr>
              <w:jc w:val="center"/>
              <w:rPr>
                <w:rFonts w:ascii="Arial"/>
                <w:sz w:val="21"/>
              </w:rPr>
            </w:pPr>
          </w:p>
          <w:p w14:paraId="45AB2614">
            <w:pPr>
              <w:pStyle w:val="196"/>
              <w:spacing w:before="140" w:line="221" w:lineRule="auto"/>
              <w:ind w:left="775"/>
              <w:jc w:val="center"/>
            </w:pPr>
            <w:r>
              <w:rPr>
                <w:spacing w:val="11"/>
              </w:rPr>
              <w:t>2年</w:t>
            </w:r>
          </w:p>
        </w:tc>
      </w:tr>
    </w:tbl>
    <w:p w14:paraId="33B369B9">
      <w:pPr>
        <w:ind w:firstLine="482"/>
        <w:rPr>
          <w:rFonts w:hint="eastAsia" w:ascii="宋体" w:hAnsi="宋体" w:eastAsia="宋体" w:cs="宋体"/>
          <w:b/>
          <w:bCs/>
          <w:color w:val="000000" w:themeColor="text1"/>
          <w:sz w:val="24"/>
          <w14:textFill>
            <w14:solidFill>
              <w14:schemeClr w14:val="tx1"/>
            </w14:solidFill>
          </w14:textFill>
        </w:rPr>
      </w:pPr>
    </w:p>
    <w:p w14:paraId="4CB5FCE2">
      <w:pPr>
        <w:numPr>
          <w:ilvl w:val="0"/>
          <w:numId w:val="2"/>
        </w:numPr>
        <w:spacing w:line="560" w:lineRule="atLeast"/>
        <w:ind w:firstLine="482" w:firstLineChars="200"/>
        <w:rPr>
          <w:rFonts w:hint="eastAsia" w:ascii="宋体" w:hAnsi="宋体"/>
          <w:b/>
          <w:bCs/>
          <w:kern w:val="0"/>
          <w:sz w:val="24"/>
          <w:szCs w:val="22"/>
          <w:highlight w:val="none"/>
          <w:shd w:val="clear" w:color="auto" w:fill="FFFFFF"/>
        </w:rPr>
      </w:pPr>
      <w:r>
        <w:rPr>
          <w:rFonts w:hint="eastAsia" w:ascii="宋体" w:hAnsi="宋体" w:eastAsia="宋体"/>
          <w:b/>
          <w:bCs/>
          <w:kern w:val="0"/>
          <w:sz w:val="24"/>
          <w:szCs w:val="22"/>
          <w:highlight w:val="none"/>
          <w:shd w:val="clear" w:color="auto" w:fill="FFFFFF"/>
          <w:lang w:val="en-US" w:eastAsia="zh-CN"/>
        </w:rPr>
        <w:t>其他要求</w:t>
      </w:r>
    </w:p>
    <w:p w14:paraId="442AD668">
      <w:pPr>
        <w:numPr>
          <w:ilvl w:val="0"/>
          <w:numId w:val="0"/>
        </w:numPr>
        <w:spacing w:line="520" w:lineRule="exac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一</w:t>
      </w:r>
      <w:r>
        <w:rPr>
          <w:rFonts w:hint="eastAsia" w:ascii="宋体" w:hAnsi="宋体" w:eastAsia="宋体" w:cs="宋体"/>
          <w:bCs/>
          <w:sz w:val="24"/>
        </w:rPr>
        <w:t>）本项目为</w:t>
      </w:r>
      <w:r>
        <w:rPr>
          <w:rFonts w:hint="eastAsia" w:ascii="宋体" w:hAnsi="宋体" w:eastAsia="宋体" w:cs="宋体"/>
          <w:bCs/>
          <w:sz w:val="24"/>
          <w:lang w:eastAsia="zh-CN"/>
        </w:rPr>
        <w:t>响水工业经济区环保管家综合服务项目</w:t>
      </w:r>
      <w:r>
        <w:rPr>
          <w:rFonts w:hint="eastAsia" w:ascii="宋体" w:hAnsi="宋体" w:eastAsia="宋体" w:cs="宋体"/>
          <w:bCs/>
          <w:sz w:val="24"/>
        </w:rPr>
        <w:t>，</w:t>
      </w:r>
      <w:r>
        <w:rPr>
          <w:rFonts w:hint="eastAsia" w:ascii="宋体" w:hAnsi="宋体" w:eastAsia="宋体" w:cs="宋体"/>
          <w:bCs/>
          <w:sz w:val="24"/>
          <w:lang w:eastAsia="zh-CN"/>
        </w:rPr>
        <w:t>项目涉及供应商</w:t>
      </w:r>
      <w:r>
        <w:rPr>
          <w:rFonts w:hint="eastAsia" w:ascii="宋体" w:hAnsi="宋体" w:eastAsia="宋体" w:cs="宋体"/>
          <w:bCs/>
          <w:sz w:val="24"/>
          <w:lang w:val="en-US" w:eastAsia="zh-CN"/>
        </w:rPr>
        <w:t>应</w:t>
      </w:r>
      <w:r>
        <w:rPr>
          <w:rFonts w:hint="eastAsia" w:ascii="宋体" w:hAnsi="宋体" w:eastAsia="宋体" w:cs="宋体"/>
          <w:bCs/>
          <w:sz w:val="24"/>
          <w:lang w:eastAsia="zh-CN"/>
        </w:rPr>
        <w:t>具备良好的质量管理体系及环境管理体系，规范日常管理与服务，积极保障员工职业健康和安全，</w:t>
      </w:r>
      <w:r>
        <w:rPr>
          <w:rFonts w:hint="eastAsia" w:ascii="宋体" w:hAnsi="宋体" w:eastAsia="宋体" w:cs="宋体"/>
          <w:bCs/>
          <w:sz w:val="24"/>
          <w:lang w:val="en-US" w:eastAsia="zh-CN"/>
        </w:rPr>
        <w:t>以保障项目高质量</w:t>
      </w:r>
      <w:r>
        <w:rPr>
          <w:rFonts w:hint="eastAsia" w:ascii="宋体" w:hAnsi="宋体" w:eastAsia="宋体" w:cs="宋体"/>
          <w:bCs/>
          <w:sz w:val="24"/>
        </w:rPr>
        <w:t>实施</w:t>
      </w:r>
      <w:r>
        <w:rPr>
          <w:rFonts w:hint="eastAsia" w:ascii="宋体" w:hAnsi="宋体" w:eastAsia="宋体" w:cs="宋体"/>
          <w:bCs/>
          <w:sz w:val="24"/>
          <w:lang w:eastAsia="zh-CN"/>
        </w:rPr>
        <w:t>。</w:t>
      </w:r>
      <w:r>
        <w:rPr>
          <w:rFonts w:hint="eastAsia" w:ascii="宋体" w:hAnsi="宋体" w:eastAsia="宋体" w:cs="宋体"/>
          <w:bCs/>
          <w:sz w:val="24"/>
          <w:lang w:val="en-US" w:eastAsia="zh-CN"/>
        </w:rPr>
        <w:t>供应商具备</w:t>
      </w:r>
      <w:r>
        <w:rPr>
          <w:rFonts w:hint="eastAsia" w:ascii="宋体" w:hAnsi="宋体" w:eastAsia="宋体" w:cs="宋体"/>
          <w:bCs/>
          <w:sz w:val="24"/>
        </w:rPr>
        <w:t>质量管理体系认证证书、环境管理安全体系认证证书、职业健康安全管理体系认证证书的优先。</w:t>
      </w:r>
    </w:p>
    <w:p w14:paraId="4AF6DCAB">
      <w:pPr>
        <w:numPr>
          <w:ilvl w:val="0"/>
          <w:numId w:val="0"/>
        </w:numPr>
        <w:spacing w:line="520" w:lineRule="exac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二</w:t>
      </w:r>
      <w:r>
        <w:rPr>
          <w:rFonts w:hint="eastAsia" w:ascii="宋体" w:hAnsi="宋体" w:eastAsia="宋体" w:cs="宋体"/>
          <w:bCs/>
          <w:sz w:val="24"/>
        </w:rPr>
        <w:t>）投标供应商</w:t>
      </w:r>
      <w:r>
        <w:rPr>
          <w:rFonts w:hint="eastAsia" w:ascii="宋体" w:hAnsi="宋体" w:eastAsia="宋体" w:cs="宋体"/>
          <w:bCs/>
          <w:sz w:val="24"/>
          <w:lang w:val="en-US" w:eastAsia="zh-CN"/>
        </w:rPr>
        <w:t>应</w:t>
      </w:r>
      <w:r>
        <w:rPr>
          <w:rFonts w:hint="eastAsia" w:ascii="宋体" w:hAnsi="宋体" w:eastAsia="宋体" w:cs="宋体"/>
          <w:bCs/>
          <w:sz w:val="24"/>
        </w:rPr>
        <w:t>具备丰富的</w:t>
      </w:r>
      <w:r>
        <w:rPr>
          <w:rFonts w:hint="eastAsia" w:ascii="宋体" w:hAnsi="宋体" w:eastAsia="宋体" w:cs="宋体"/>
          <w:bCs/>
          <w:sz w:val="24"/>
          <w:lang w:val="en-US" w:eastAsia="zh-CN"/>
        </w:rPr>
        <w:t>环保管家服务</w:t>
      </w:r>
      <w:r>
        <w:rPr>
          <w:rFonts w:hint="eastAsia" w:ascii="宋体" w:hAnsi="宋体" w:eastAsia="宋体" w:cs="宋体"/>
          <w:bCs/>
          <w:sz w:val="24"/>
        </w:rPr>
        <w:t>经验，供应商自</w:t>
      </w:r>
      <w:r>
        <w:rPr>
          <w:rFonts w:hint="eastAsia" w:ascii="宋体" w:hAnsi="宋体" w:eastAsia="宋体" w:cs="宋体"/>
          <w:bCs/>
          <w:sz w:val="24"/>
          <w:lang w:val="en-US" w:eastAsia="zh-CN"/>
        </w:rPr>
        <w:t>2021年1月1日（以合同签订时间为准）以来承接过类似服务业绩的</w:t>
      </w:r>
      <w:r>
        <w:rPr>
          <w:rFonts w:hint="eastAsia" w:ascii="宋体" w:hAnsi="宋体" w:eastAsia="宋体" w:cs="宋体"/>
          <w:bCs/>
          <w:sz w:val="24"/>
        </w:rPr>
        <w:t>优先。</w:t>
      </w:r>
    </w:p>
    <w:p w14:paraId="37B26564">
      <w:pPr>
        <w:spacing w:line="520" w:lineRule="exact"/>
        <w:rPr>
          <w:rFonts w:hint="eastAsia" w:ascii="宋体" w:hAnsi="宋体" w:eastAsia="宋体" w:cs="宋体"/>
          <w:bCs/>
          <w:sz w:val="24"/>
        </w:rPr>
      </w:pPr>
      <w:r>
        <w:rPr>
          <w:rFonts w:hint="eastAsia" w:ascii="宋体" w:hAnsi="宋体" w:eastAsia="宋体" w:cs="宋体"/>
          <w:b/>
          <w:bCs w:val="0"/>
          <w:sz w:val="24"/>
        </w:rPr>
        <w:t>（</w:t>
      </w:r>
      <w:r>
        <w:rPr>
          <w:rFonts w:hint="eastAsia" w:ascii="宋体" w:hAnsi="宋体" w:eastAsia="宋体" w:cs="宋体"/>
          <w:b/>
          <w:bCs w:val="0"/>
          <w:sz w:val="24"/>
          <w:lang w:val="en-US" w:eastAsia="zh-CN"/>
        </w:rPr>
        <w:t>三</w:t>
      </w:r>
      <w:r>
        <w:rPr>
          <w:rFonts w:hint="eastAsia" w:ascii="宋体" w:hAnsi="宋体" w:eastAsia="宋体" w:cs="宋体"/>
          <w:b/>
          <w:bCs w:val="0"/>
          <w:sz w:val="24"/>
        </w:rPr>
        <w:t>）</w:t>
      </w:r>
      <w:r>
        <w:rPr>
          <w:rFonts w:hint="eastAsia" w:ascii="宋体" w:hAnsi="宋体" w:eastAsia="宋体" w:cs="宋体"/>
          <w:b/>
          <w:bCs w:val="0"/>
          <w:sz w:val="24"/>
          <w:lang w:val="en-US" w:eastAsia="zh-CN"/>
        </w:rPr>
        <w:t>技术</w:t>
      </w:r>
      <w:r>
        <w:rPr>
          <w:rFonts w:hint="eastAsia" w:ascii="宋体" w:hAnsi="宋体" w:eastAsia="宋体" w:cs="宋体"/>
          <w:b/>
          <w:bCs w:val="0"/>
          <w:sz w:val="24"/>
        </w:rPr>
        <w:t>方案</w:t>
      </w:r>
    </w:p>
    <w:p w14:paraId="7587D20F">
      <w:pPr>
        <w:spacing w:line="520" w:lineRule="exact"/>
        <w:ind w:firstLine="480"/>
        <w:rPr>
          <w:rFonts w:hint="eastAsia" w:ascii="宋体" w:hAnsi="宋体" w:eastAsia="宋体" w:cs="宋体"/>
          <w:bCs/>
          <w:sz w:val="24"/>
        </w:rPr>
      </w:pPr>
      <w:r>
        <w:rPr>
          <w:rFonts w:hint="eastAsia" w:ascii="宋体" w:hAnsi="宋体" w:eastAsia="宋体" w:cs="宋体"/>
          <w:bCs/>
          <w:sz w:val="24"/>
        </w:rPr>
        <w:t>供应商应根据采购需求和本项目实际，制</w:t>
      </w:r>
      <w:r>
        <w:rPr>
          <w:rFonts w:hint="eastAsia" w:ascii="宋体" w:hAnsi="宋体" w:eastAsia="宋体" w:cs="宋体"/>
          <w:bCs/>
          <w:sz w:val="24"/>
          <w:lang w:val="en-US" w:eastAsia="zh-CN"/>
        </w:rPr>
        <w:t>定</w:t>
      </w:r>
      <w:r>
        <w:rPr>
          <w:rFonts w:hint="eastAsia" w:ascii="宋体" w:hAnsi="宋体" w:eastAsia="宋体" w:cs="宋体"/>
          <w:bCs/>
          <w:sz w:val="24"/>
        </w:rPr>
        <w:t>相应的</w:t>
      </w:r>
      <w:r>
        <w:rPr>
          <w:rFonts w:hint="eastAsia" w:ascii="宋体" w:hAnsi="宋体" w:eastAsia="宋体" w:cs="宋体"/>
          <w:bCs/>
          <w:sz w:val="24"/>
          <w:lang w:val="en-US" w:eastAsia="zh-CN"/>
        </w:rPr>
        <w:t>技术</w:t>
      </w:r>
      <w:r>
        <w:rPr>
          <w:rFonts w:hint="eastAsia" w:ascii="宋体" w:hAnsi="宋体" w:eastAsia="宋体" w:cs="宋体"/>
          <w:bCs/>
          <w:sz w:val="24"/>
        </w:rPr>
        <w:t>方案包括但不限于以下内容：</w:t>
      </w:r>
    </w:p>
    <w:p w14:paraId="37E85DC7">
      <w:pPr>
        <w:spacing w:line="520" w:lineRule="exact"/>
        <w:ind w:firstLine="480"/>
        <w:rPr>
          <w:rFonts w:hint="eastAsia" w:ascii="宋体" w:hAnsi="宋体" w:eastAsia="宋体" w:cs="宋体"/>
          <w:bCs/>
          <w:sz w:val="24"/>
          <w:lang w:eastAsia="zh-CN"/>
        </w:rPr>
      </w:pPr>
      <w:r>
        <w:rPr>
          <w:rFonts w:hint="eastAsia" w:ascii="宋体" w:hAnsi="宋体" w:eastAsia="宋体" w:cs="宋体"/>
          <w:b/>
          <w:bCs w:val="0"/>
          <w:sz w:val="24"/>
          <w:lang w:val="en-US" w:eastAsia="zh-CN"/>
        </w:rPr>
        <w:t>1、</w:t>
      </w:r>
      <w:r>
        <w:rPr>
          <w:rFonts w:hint="eastAsia" w:ascii="宋体" w:hAnsi="宋体" w:eastAsia="宋体" w:cs="宋体"/>
          <w:b/>
          <w:bCs w:val="0"/>
          <w:sz w:val="24"/>
        </w:rPr>
        <w:t>项目认识与背景现状理解</w:t>
      </w:r>
      <w:r>
        <w:rPr>
          <w:rFonts w:hint="eastAsia" w:ascii="宋体" w:hAnsi="宋体" w:eastAsia="宋体" w:cs="宋体"/>
          <w:b/>
          <w:bCs w:val="0"/>
          <w:sz w:val="24"/>
          <w:lang w:eastAsia="zh-CN"/>
        </w:rPr>
        <w:t>：</w:t>
      </w:r>
    </w:p>
    <w:p w14:paraId="31298C5F">
      <w:pPr>
        <w:spacing w:line="520" w:lineRule="exact"/>
        <w:ind w:firstLine="480"/>
        <w:rPr>
          <w:rFonts w:hint="eastAsia" w:ascii="宋体" w:hAnsi="宋体" w:eastAsia="宋体" w:cs="宋体"/>
          <w:bCs/>
          <w:sz w:val="24"/>
        </w:rPr>
      </w:pPr>
      <w:r>
        <w:rPr>
          <w:rFonts w:hint="eastAsia" w:ascii="宋体" w:hAnsi="宋体" w:eastAsia="宋体" w:cs="宋体"/>
          <w:bCs/>
          <w:sz w:val="24"/>
        </w:rPr>
        <w:t>供应商对园区整体情况的调研深度，包</w:t>
      </w:r>
      <w:r>
        <w:rPr>
          <w:rFonts w:hint="eastAsia" w:ascii="宋体" w:hAnsi="宋体" w:eastAsia="宋体" w:cs="宋体"/>
          <w:bCs/>
          <w:sz w:val="24"/>
          <w:lang w:val="en-US" w:eastAsia="zh-CN"/>
        </w:rPr>
        <w:t>括</w:t>
      </w:r>
      <w:r>
        <w:rPr>
          <w:rFonts w:hint="eastAsia" w:ascii="宋体" w:hAnsi="宋体" w:eastAsia="宋体" w:cs="宋体"/>
          <w:bCs/>
          <w:sz w:val="24"/>
        </w:rPr>
        <w:t>但不限于：园区产业规划、主导产业、企业类型分布、环保基础设施配套、企业污染防治现状、园区近年环保问题、属地监管要求。</w:t>
      </w:r>
    </w:p>
    <w:p w14:paraId="465A1DE3">
      <w:pPr>
        <w:spacing w:line="520" w:lineRule="exact"/>
        <w:ind w:firstLine="480"/>
        <w:rPr>
          <w:rFonts w:hint="eastAsia" w:ascii="宋体" w:hAnsi="宋体" w:eastAsia="宋体" w:cs="宋体"/>
          <w:b/>
          <w:bCs w:val="0"/>
          <w:sz w:val="24"/>
          <w:lang w:eastAsia="zh-CN"/>
        </w:rPr>
      </w:pPr>
      <w:r>
        <w:rPr>
          <w:rFonts w:hint="eastAsia" w:ascii="宋体" w:hAnsi="宋体" w:eastAsia="宋体" w:cs="宋体"/>
          <w:b/>
          <w:bCs w:val="0"/>
          <w:sz w:val="24"/>
          <w:lang w:val="en-US" w:eastAsia="zh-CN"/>
        </w:rPr>
        <w:t>2、</w:t>
      </w:r>
      <w:r>
        <w:rPr>
          <w:rFonts w:hint="eastAsia" w:ascii="宋体" w:hAnsi="宋体" w:eastAsia="宋体" w:cs="宋体"/>
          <w:b/>
          <w:bCs w:val="0"/>
          <w:sz w:val="24"/>
        </w:rPr>
        <w:t>总体服务方案</w:t>
      </w:r>
      <w:r>
        <w:rPr>
          <w:rFonts w:hint="eastAsia" w:ascii="宋体" w:hAnsi="宋体" w:eastAsia="宋体" w:cs="宋体"/>
          <w:b/>
          <w:bCs w:val="0"/>
          <w:sz w:val="24"/>
          <w:lang w:eastAsia="zh-CN"/>
        </w:rPr>
        <w:t>：</w:t>
      </w:r>
    </w:p>
    <w:p w14:paraId="2FC3D1C5">
      <w:pPr>
        <w:spacing w:line="520" w:lineRule="exact"/>
        <w:ind w:firstLine="480"/>
        <w:rPr>
          <w:rFonts w:hint="eastAsia" w:ascii="宋体" w:hAnsi="宋体" w:eastAsia="宋体" w:cs="宋体"/>
          <w:bCs/>
          <w:sz w:val="24"/>
        </w:rPr>
      </w:pPr>
      <w:r>
        <w:rPr>
          <w:rFonts w:hint="eastAsia" w:ascii="宋体" w:hAnsi="宋体" w:eastAsia="宋体" w:cs="宋体"/>
          <w:sz w:val="24"/>
          <w:szCs w:val="24"/>
        </w:rPr>
        <w:t>供应商应根据采购需求和本项目实际</w:t>
      </w:r>
      <w:r>
        <w:rPr>
          <w:rFonts w:hint="eastAsia" w:ascii="宋体" w:hAnsi="宋体" w:eastAsia="宋体" w:cs="宋体"/>
          <w:bCs/>
          <w:sz w:val="24"/>
        </w:rPr>
        <w:t>制</w:t>
      </w:r>
      <w:r>
        <w:rPr>
          <w:rFonts w:hint="eastAsia" w:ascii="宋体" w:hAnsi="宋体" w:eastAsia="宋体" w:cs="宋体"/>
          <w:bCs/>
          <w:sz w:val="24"/>
          <w:lang w:val="en-US" w:eastAsia="zh-CN"/>
        </w:rPr>
        <w:t>定</w:t>
      </w:r>
      <w:r>
        <w:rPr>
          <w:rFonts w:hint="eastAsia" w:ascii="宋体" w:hAnsi="宋体" w:eastAsia="宋体" w:cs="宋体"/>
          <w:sz w:val="24"/>
          <w:szCs w:val="24"/>
        </w:rPr>
        <w:t>总体服务方案，</w:t>
      </w:r>
      <w:r>
        <w:rPr>
          <w:rFonts w:hint="eastAsia" w:ascii="宋体" w:hAnsi="宋体" w:eastAsia="宋体" w:cs="宋体"/>
          <w:bCs/>
          <w:sz w:val="24"/>
          <w:lang w:val="en-US" w:eastAsia="zh-CN"/>
        </w:rPr>
        <w:t>总</w:t>
      </w:r>
      <w:r>
        <w:rPr>
          <w:rFonts w:hint="eastAsia" w:ascii="宋体" w:hAnsi="宋体" w:eastAsia="宋体" w:cs="宋体"/>
          <w:bCs/>
          <w:sz w:val="24"/>
        </w:rPr>
        <w:t>体服务</w:t>
      </w:r>
      <w:r>
        <w:rPr>
          <w:rFonts w:hint="eastAsia" w:ascii="宋体" w:hAnsi="宋体" w:eastAsia="宋体" w:cs="宋体"/>
          <w:bCs/>
          <w:sz w:val="24"/>
          <w:lang w:val="en-US" w:eastAsia="zh-CN"/>
        </w:rPr>
        <w:t>方案应具备</w:t>
      </w:r>
      <w:r>
        <w:rPr>
          <w:rFonts w:hint="eastAsia" w:ascii="宋体" w:hAnsi="宋体" w:eastAsia="宋体" w:cs="宋体"/>
          <w:bCs/>
          <w:sz w:val="24"/>
        </w:rPr>
        <w:t>完整性、全覆盖性、落地性，</w:t>
      </w:r>
      <w:r>
        <w:rPr>
          <w:rFonts w:hint="eastAsia" w:ascii="宋体" w:hAnsi="宋体" w:eastAsia="宋体" w:cs="宋体"/>
          <w:bCs/>
          <w:sz w:val="24"/>
          <w:lang w:val="en-US" w:eastAsia="zh-CN"/>
        </w:rPr>
        <w:t>方案内容</w:t>
      </w:r>
      <w:r>
        <w:rPr>
          <w:rFonts w:hint="eastAsia" w:ascii="宋体" w:hAnsi="宋体" w:eastAsia="宋体" w:cs="宋体"/>
          <w:bCs/>
          <w:sz w:val="24"/>
        </w:rPr>
        <w:t>包</w:t>
      </w:r>
      <w:r>
        <w:rPr>
          <w:rFonts w:hint="eastAsia" w:ascii="宋体" w:hAnsi="宋体" w:eastAsia="宋体" w:cs="宋体"/>
          <w:bCs/>
          <w:sz w:val="24"/>
          <w:lang w:val="en-US" w:eastAsia="zh-CN"/>
        </w:rPr>
        <w:t>括</w:t>
      </w:r>
      <w:r>
        <w:rPr>
          <w:rFonts w:hint="eastAsia" w:ascii="宋体" w:hAnsi="宋体" w:eastAsia="宋体" w:cs="宋体"/>
          <w:bCs/>
          <w:sz w:val="24"/>
        </w:rPr>
        <w:t xml:space="preserve">但不限于：日常巡查、企业帮扶、台账规范、政策宣贯、隐患排查、迎检保障、资料整编、月度 </w:t>
      </w:r>
      <w:r>
        <w:rPr>
          <w:rFonts w:hint="eastAsia" w:ascii="宋体" w:hAnsi="宋体" w:eastAsia="宋体" w:cs="宋体"/>
          <w:bCs/>
          <w:sz w:val="24"/>
          <w:lang w:val="en-US" w:eastAsia="zh-CN"/>
        </w:rPr>
        <w:t>/</w:t>
      </w:r>
      <w:r>
        <w:rPr>
          <w:rFonts w:hint="eastAsia" w:ascii="宋体" w:hAnsi="宋体" w:eastAsia="宋体" w:cs="宋体"/>
          <w:bCs/>
          <w:sz w:val="24"/>
        </w:rPr>
        <w:t>季度研判。</w:t>
      </w:r>
    </w:p>
    <w:p w14:paraId="321311AC">
      <w:pPr>
        <w:spacing w:line="520" w:lineRule="exact"/>
        <w:ind w:firstLine="480"/>
        <w:rPr>
          <w:rFonts w:hint="eastAsia" w:ascii="宋体" w:hAnsi="宋体" w:eastAsia="宋体" w:cs="宋体"/>
          <w:b/>
          <w:bCs w:val="0"/>
          <w:sz w:val="24"/>
          <w:lang w:eastAsia="zh-CN"/>
        </w:rPr>
      </w:pPr>
      <w:r>
        <w:rPr>
          <w:rFonts w:hint="eastAsia" w:ascii="宋体" w:hAnsi="宋体" w:eastAsia="宋体" w:cs="宋体"/>
          <w:b/>
          <w:bCs w:val="0"/>
          <w:sz w:val="24"/>
          <w:lang w:val="en-US" w:eastAsia="zh-CN"/>
        </w:rPr>
        <w:t>3、</w:t>
      </w:r>
      <w:r>
        <w:rPr>
          <w:rFonts w:hint="eastAsia" w:ascii="宋体" w:hAnsi="宋体" w:eastAsia="宋体" w:cs="宋体"/>
          <w:b/>
          <w:bCs w:val="0"/>
          <w:sz w:val="24"/>
        </w:rPr>
        <w:t>项目重难点分析及针对性应对措施</w:t>
      </w:r>
      <w:r>
        <w:rPr>
          <w:rFonts w:hint="eastAsia" w:ascii="宋体" w:hAnsi="宋体" w:eastAsia="宋体" w:cs="宋体"/>
          <w:b/>
          <w:bCs w:val="0"/>
          <w:sz w:val="24"/>
          <w:lang w:eastAsia="zh-CN"/>
        </w:rPr>
        <w:t>：</w:t>
      </w:r>
    </w:p>
    <w:p w14:paraId="25044F44">
      <w:pPr>
        <w:spacing w:line="520" w:lineRule="exact"/>
        <w:ind w:firstLine="480"/>
        <w:rPr>
          <w:rFonts w:hint="eastAsia" w:ascii="宋体" w:hAnsi="宋体" w:eastAsia="宋体" w:cs="宋体"/>
          <w:bCs/>
          <w:sz w:val="24"/>
        </w:rPr>
      </w:pPr>
      <w:r>
        <w:rPr>
          <w:rFonts w:hint="eastAsia" w:ascii="宋体" w:hAnsi="宋体" w:eastAsia="宋体" w:cs="宋体"/>
          <w:bCs/>
          <w:sz w:val="24"/>
        </w:rPr>
        <w:tab/>
      </w:r>
      <w:r>
        <w:rPr>
          <w:rFonts w:hint="eastAsia" w:ascii="宋体" w:hAnsi="宋体" w:eastAsia="宋体" w:cs="宋体"/>
          <w:sz w:val="24"/>
          <w:szCs w:val="24"/>
        </w:rPr>
        <w:t>供应商应根据采购需求和本项目实际，</w:t>
      </w:r>
      <w:r>
        <w:rPr>
          <w:rFonts w:hint="eastAsia" w:ascii="宋体" w:hAnsi="宋体" w:eastAsia="宋体" w:cs="宋体"/>
          <w:bCs/>
          <w:sz w:val="24"/>
        </w:rPr>
        <w:t>明确列出本项目重难点，并逐条对应专属解决措施。包括但不限于：精准识别园区企业合规参差不齐、无组织污染难管控、隐患闭环难、迎检压力大</w:t>
      </w:r>
      <w:r>
        <w:rPr>
          <w:rFonts w:hint="eastAsia" w:eastAsia="宋体"/>
          <w:color w:val="000000" w:themeColor="text1"/>
          <w:highlight w:val="none"/>
          <w:lang w:val="en-US" w:eastAsia="zh-CN"/>
          <w14:textFill>
            <w14:solidFill>
              <w14:schemeClr w14:val="tx1"/>
            </w14:solidFill>
          </w14:textFill>
        </w:rPr>
        <w:t>等问题</w:t>
      </w:r>
      <w:r>
        <w:rPr>
          <w:rFonts w:hint="eastAsia" w:ascii="宋体" w:hAnsi="宋体" w:eastAsia="宋体" w:cs="宋体"/>
          <w:bCs/>
          <w:sz w:val="24"/>
        </w:rPr>
        <w:t>。</w:t>
      </w:r>
    </w:p>
    <w:p w14:paraId="22B011CB">
      <w:pPr>
        <w:spacing w:line="520" w:lineRule="exact"/>
        <w:ind w:firstLine="480"/>
        <w:rPr>
          <w:rFonts w:hint="eastAsia" w:ascii="宋体" w:hAnsi="宋体" w:eastAsia="宋体" w:cs="宋体"/>
          <w:bCs/>
          <w:sz w:val="24"/>
          <w:lang w:eastAsia="zh-CN"/>
        </w:rPr>
      </w:pPr>
      <w:r>
        <w:rPr>
          <w:rFonts w:hint="eastAsia" w:ascii="宋体" w:hAnsi="宋体" w:eastAsia="宋体" w:cs="宋体"/>
          <w:b/>
          <w:bCs w:val="0"/>
          <w:sz w:val="24"/>
          <w:lang w:val="en-US" w:eastAsia="zh-CN"/>
        </w:rPr>
        <w:t>4、</w:t>
      </w:r>
      <w:r>
        <w:rPr>
          <w:rFonts w:hint="eastAsia" w:ascii="宋体" w:hAnsi="宋体" w:eastAsia="宋体" w:cs="宋体"/>
          <w:b/>
          <w:bCs w:val="0"/>
          <w:sz w:val="24"/>
        </w:rPr>
        <w:t>总体技术支持、实施计划与进度保障</w:t>
      </w:r>
      <w:r>
        <w:rPr>
          <w:rFonts w:hint="eastAsia" w:ascii="宋体" w:hAnsi="宋体" w:eastAsia="宋体" w:cs="宋体"/>
          <w:b/>
          <w:bCs w:val="0"/>
          <w:sz w:val="24"/>
          <w:lang w:eastAsia="zh-CN"/>
        </w:rPr>
        <w:t>：</w:t>
      </w:r>
    </w:p>
    <w:p w14:paraId="373463CF">
      <w:pPr>
        <w:spacing w:line="520" w:lineRule="exact"/>
        <w:ind w:firstLine="480"/>
        <w:rPr>
          <w:rFonts w:hint="eastAsia" w:ascii="宋体" w:hAnsi="宋体" w:eastAsia="宋体" w:cs="宋体"/>
          <w:bCs/>
          <w:sz w:val="24"/>
        </w:rPr>
      </w:pPr>
      <w:r>
        <w:rPr>
          <w:rFonts w:hint="eastAsia" w:ascii="宋体" w:hAnsi="宋体" w:eastAsia="宋体" w:cs="宋体"/>
          <w:bCs/>
          <w:sz w:val="24"/>
        </w:rPr>
        <w:tab/>
      </w:r>
      <w:r>
        <w:rPr>
          <w:rFonts w:hint="eastAsia" w:ascii="宋体" w:hAnsi="宋体" w:eastAsia="宋体" w:cs="宋体"/>
          <w:sz w:val="24"/>
          <w:szCs w:val="24"/>
        </w:rPr>
        <w:t>供应商应根据采购需求和本项目实际，提供</w:t>
      </w:r>
      <w:r>
        <w:rPr>
          <w:rFonts w:hint="eastAsia" w:ascii="宋体" w:hAnsi="宋体" w:eastAsia="宋体" w:cs="宋体"/>
          <w:bCs/>
          <w:sz w:val="24"/>
        </w:rPr>
        <w:t>总体技术支持、实施计划与进度保障措施,包</w:t>
      </w:r>
      <w:r>
        <w:rPr>
          <w:rFonts w:hint="eastAsia" w:ascii="宋体" w:hAnsi="宋体" w:eastAsia="宋体" w:cs="宋体"/>
          <w:bCs/>
          <w:sz w:val="24"/>
          <w:lang w:val="en-US" w:eastAsia="zh-CN"/>
        </w:rPr>
        <w:t>括</w:t>
      </w:r>
      <w:r>
        <w:rPr>
          <w:rFonts w:hint="eastAsia" w:ascii="宋体" w:hAnsi="宋体" w:eastAsia="宋体" w:cs="宋体"/>
          <w:bCs/>
          <w:sz w:val="24"/>
        </w:rPr>
        <w:t>但不限于：考核服务标准化、三级审核、质量自查、整改闭环、人员管理、履约考核、服务改进机制。</w:t>
      </w:r>
    </w:p>
    <w:p w14:paraId="6B9D04E1">
      <w:pPr>
        <w:spacing w:line="520" w:lineRule="exact"/>
        <w:ind w:firstLine="480"/>
        <w:rPr>
          <w:rFonts w:hint="eastAsia" w:ascii="宋体" w:hAnsi="宋体" w:eastAsia="宋体" w:cs="宋体"/>
          <w:b/>
          <w:bCs w:val="0"/>
          <w:sz w:val="24"/>
          <w:lang w:eastAsia="zh-CN"/>
        </w:rPr>
      </w:pPr>
      <w:r>
        <w:rPr>
          <w:rFonts w:hint="eastAsia" w:ascii="宋体" w:hAnsi="宋体" w:eastAsia="宋体" w:cs="宋体"/>
          <w:b/>
          <w:bCs w:val="0"/>
          <w:sz w:val="24"/>
          <w:lang w:val="en-US" w:eastAsia="zh-CN"/>
        </w:rPr>
        <w:t>5、</w:t>
      </w:r>
      <w:r>
        <w:rPr>
          <w:rFonts w:hint="eastAsia" w:ascii="宋体" w:hAnsi="宋体" w:eastAsia="宋体" w:cs="宋体"/>
          <w:b/>
          <w:bCs w:val="0"/>
          <w:sz w:val="24"/>
        </w:rPr>
        <w:t>应急保障与服务措施</w:t>
      </w:r>
      <w:r>
        <w:rPr>
          <w:rFonts w:hint="eastAsia" w:ascii="宋体" w:hAnsi="宋体" w:eastAsia="宋体" w:cs="宋体"/>
          <w:b/>
          <w:bCs w:val="0"/>
          <w:sz w:val="24"/>
          <w:lang w:eastAsia="zh-CN"/>
        </w:rPr>
        <w:t>：</w:t>
      </w:r>
    </w:p>
    <w:p w14:paraId="4B647BCA">
      <w:pPr>
        <w:spacing w:line="520" w:lineRule="exact"/>
        <w:ind w:firstLine="480"/>
        <w:rPr>
          <w:rFonts w:hint="eastAsia" w:ascii="宋体" w:hAnsi="宋体" w:eastAsia="宋体" w:cs="宋体"/>
          <w:bCs/>
          <w:sz w:val="24"/>
        </w:rPr>
      </w:pPr>
      <w:r>
        <w:rPr>
          <w:rFonts w:hint="eastAsia" w:ascii="宋体" w:hAnsi="宋体" w:eastAsia="宋体" w:cs="宋体"/>
          <w:bCs/>
          <w:sz w:val="24"/>
        </w:rPr>
        <w:tab/>
      </w:r>
      <w:r>
        <w:rPr>
          <w:rFonts w:hint="eastAsia" w:ascii="宋体" w:hAnsi="宋体" w:eastAsia="宋体" w:cs="宋体"/>
          <w:sz w:val="24"/>
          <w:szCs w:val="24"/>
        </w:rPr>
        <w:t>供应商应根据采购需求和本项目实际，提供</w:t>
      </w:r>
      <w:r>
        <w:rPr>
          <w:rFonts w:hint="eastAsia" w:ascii="宋体" w:hAnsi="宋体" w:eastAsia="宋体" w:cs="宋体"/>
          <w:bCs/>
          <w:sz w:val="24"/>
        </w:rPr>
        <w:t>应急保障与服务措施,包</w:t>
      </w:r>
      <w:r>
        <w:rPr>
          <w:rFonts w:hint="eastAsia" w:ascii="宋体" w:hAnsi="宋体" w:eastAsia="宋体" w:cs="宋体"/>
          <w:bCs/>
          <w:sz w:val="24"/>
          <w:lang w:val="en-US" w:eastAsia="zh-CN"/>
        </w:rPr>
        <w:t>括</w:t>
      </w:r>
      <w:r>
        <w:rPr>
          <w:rFonts w:hint="eastAsia" w:ascii="宋体" w:hAnsi="宋体" w:eastAsia="宋体" w:cs="宋体"/>
          <w:bCs/>
          <w:sz w:val="24"/>
        </w:rPr>
        <w:t>但不限于：具备完善的突发环境事件</w:t>
      </w:r>
      <w:r>
        <w:rPr>
          <w:rFonts w:hint="eastAsia" w:ascii="宋体" w:hAnsi="宋体" w:eastAsia="宋体" w:cs="宋体"/>
          <w:bCs/>
          <w:sz w:val="24"/>
          <w:lang w:val="en-US" w:eastAsia="zh-CN"/>
        </w:rPr>
        <w:t>应急</w:t>
      </w:r>
      <w:r>
        <w:rPr>
          <w:rFonts w:hint="eastAsia" w:ascii="宋体" w:hAnsi="宋体" w:eastAsia="宋体" w:cs="宋体"/>
          <w:bCs/>
          <w:sz w:val="24"/>
        </w:rPr>
        <w:t>响应、隐患应急处置、节假日值守、加急迎检保障机制。</w:t>
      </w:r>
    </w:p>
    <w:p w14:paraId="087DC43A">
      <w:pPr>
        <w:ind w:firstLine="482"/>
        <w:rPr>
          <w:rFonts w:hint="eastAsia" w:ascii="宋体" w:hAnsi="宋体" w:eastAsia="宋体" w:cs="宋体"/>
          <w:b/>
          <w:bCs/>
          <w:color w:val="000000" w:themeColor="text1"/>
          <w:sz w:val="24"/>
          <w:highlight w:val="yellow"/>
          <w14:textFill>
            <w14:solidFill>
              <w14:schemeClr w14:val="tx1"/>
            </w14:solidFill>
          </w14:textFill>
        </w:rPr>
      </w:pPr>
    </w:p>
    <w:p w14:paraId="1256228C">
      <w:pPr>
        <w:spacing w:line="400" w:lineRule="exact"/>
        <w:ind w:firstLine="361"/>
        <w:rPr>
          <w:color w:val="000000" w:themeColor="text1"/>
          <w14:textFill>
            <w14:solidFill>
              <w14:schemeClr w14:val="tx1"/>
            </w14:solidFill>
          </w14:textFill>
        </w:rPr>
      </w:pPr>
      <w:r>
        <w:rPr>
          <w:rStyle w:val="195"/>
          <w:rFonts w:hint="eastAsia" w:ascii="宋体" w:hAnsi="宋体" w:eastAsia="宋体" w:cs="Times New Roman"/>
          <w:b/>
          <w:color w:val="000000" w:themeColor="text1"/>
          <w:sz w:val="24"/>
          <w14:textFill>
            <w14:solidFill>
              <w14:schemeClr w14:val="tx1"/>
            </w14:solidFill>
          </w14:textFill>
        </w:rPr>
        <w:t>五、采购标的对应的中小企业划分标准所属行业一览表</w:t>
      </w:r>
    </w:p>
    <w:tbl>
      <w:tblPr>
        <w:tblStyle w:val="36"/>
        <w:tblW w:w="911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3387"/>
        <w:gridCol w:w="4852"/>
      </w:tblGrid>
      <w:tr w14:paraId="3E176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CellSpacing w:w="0" w:type="dxa"/>
          <w:jc w:val="center"/>
        </w:trPr>
        <w:tc>
          <w:tcPr>
            <w:tcW w:w="876" w:type="dxa"/>
            <w:shd w:val="clear" w:color="auto" w:fill="auto"/>
            <w:noWrap w:val="0"/>
            <w:vAlign w:val="center"/>
          </w:tcPr>
          <w:p w14:paraId="056D90C7">
            <w:pPr>
              <w:pStyle w:val="32"/>
              <w:spacing w:beforeAutospacing="0" w:afterAutospacing="0" w:line="0" w:lineRule="atLeast"/>
              <w:jc w:val="center"/>
              <w:rPr>
                <w:rStyle w:val="195"/>
                <w:rFonts w:hint="eastAsia" w:ascii="宋体" w:hAnsi="宋体" w:eastAsia="宋体"/>
                <w:b/>
                <w:bCs/>
                <w:color w:val="000000" w:themeColor="text1"/>
                <w:szCs w:val="21"/>
                <w14:textFill>
                  <w14:solidFill>
                    <w14:schemeClr w14:val="tx1"/>
                  </w14:solidFill>
                </w14:textFill>
              </w:rPr>
            </w:pPr>
            <w:r>
              <w:rPr>
                <w:rStyle w:val="195"/>
                <w:rFonts w:hint="eastAsia" w:ascii="宋体" w:hAnsi="宋体" w:eastAsia="宋体"/>
                <w:b/>
                <w:bCs/>
                <w:color w:val="000000" w:themeColor="text1"/>
                <w:szCs w:val="21"/>
                <w14:textFill>
                  <w14:solidFill>
                    <w14:schemeClr w14:val="tx1"/>
                  </w14:solidFill>
                </w14:textFill>
              </w:rPr>
              <w:t>序号</w:t>
            </w:r>
          </w:p>
        </w:tc>
        <w:tc>
          <w:tcPr>
            <w:tcW w:w="3387" w:type="dxa"/>
            <w:shd w:val="clear" w:color="auto" w:fill="auto"/>
            <w:noWrap w:val="0"/>
            <w:vAlign w:val="center"/>
          </w:tcPr>
          <w:p w14:paraId="536003DF">
            <w:pPr>
              <w:pStyle w:val="32"/>
              <w:spacing w:beforeAutospacing="0" w:afterAutospacing="0" w:line="0" w:lineRule="atLeast"/>
              <w:jc w:val="center"/>
              <w:rPr>
                <w:rStyle w:val="195"/>
                <w:rFonts w:hint="eastAsia" w:ascii="宋体" w:hAnsi="宋体" w:eastAsia="宋体"/>
                <w:b/>
                <w:bCs/>
                <w:color w:val="000000" w:themeColor="text1"/>
                <w:szCs w:val="21"/>
                <w14:textFill>
                  <w14:solidFill>
                    <w14:schemeClr w14:val="tx1"/>
                  </w14:solidFill>
                </w14:textFill>
              </w:rPr>
            </w:pPr>
            <w:r>
              <w:rPr>
                <w:rStyle w:val="195"/>
                <w:rFonts w:hint="eastAsia" w:ascii="宋体" w:hAnsi="宋体" w:eastAsia="宋体"/>
                <w:b/>
                <w:bCs/>
                <w:color w:val="000000" w:themeColor="text1"/>
                <w:szCs w:val="21"/>
                <w14:textFill>
                  <w14:solidFill>
                    <w14:schemeClr w14:val="tx1"/>
                  </w14:solidFill>
                </w14:textFill>
              </w:rPr>
              <w:t>采购标的</w:t>
            </w:r>
          </w:p>
        </w:tc>
        <w:tc>
          <w:tcPr>
            <w:tcW w:w="4852" w:type="dxa"/>
            <w:shd w:val="clear" w:color="auto" w:fill="auto"/>
            <w:noWrap w:val="0"/>
            <w:vAlign w:val="center"/>
          </w:tcPr>
          <w:p w14:paraId="0C570F9D">
            <w:pPr>
              <w:pStyle w:val="32"/>
              <w:spacing w:beforeAutospacing="0" w:afterAutospacing="0" w:line="0" w:lineRule="atLeast"/>
              <w:jc w:val="center"/>
              <w:rPr>
                <w:rStyle w:val="195"/>
                <w:rFonts w:hint="eastAsia" w:ascii="宋体" w:hAnsi="宋体" w:eastAsia="宋体"/>
                <w:b/>
                <w:bCs/>
                <w:color w:val="000000" w:themeColor="text1"/>
                <w:szCs w:val="21"/>
                <w14:textFill>
                  <w14:solidFill>
                    <w14:schemeClr w14:val="tx1"/>
                  </w14:solidFill>
                </w14:textFill>
              </w:rPr>
            </w:pPr>
            <w:r>
              <w:rPr>
                <w:rStyle w:val="195"/>
                <w:rFonts w:hint="eastAsia" w:ascii="宋体" w:hAnsi="宋体" w:eastAsia="宋体"/>
                <w:b/>
                <w:bCs/>
                <w:color w:val="000000" w:themeColor="text1"/>
                <w:szCs w:val="21"/>
                <w14:textFill>
                  <w14:solidFill>
                    <w14:schemeClr w14:val="tx1"/>
                  </w14:solidFill>
                </w14:textFill>
              </w:rPr>
              <w:t>对应中小企业划分标准所属行业</w:t>
            </w:r>
          </w:p>
        </w:tc>
      </w:tr>
      <w:tr w14:paraId="15999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CellSpacing w:w="0" w:type="dxa"/>
          <w:jc w:val="center"/>
        </w:trPr>
        <w:tc>
          <w:tcPr>
            <w:tcW w:w="876" w:type="dxa"/>
            <w:shd w:val="clear" w:color="auto" w:fill="auto"/>
            <w:noWrap w:val="0"/>
            <w:vAlign w:val="center"/>
          </w:tcPr>
          <w:p w14:paraId="5A19FB5F">
            <w:pPr>
              <w:pStyle w:val="32"/>
              <w:spacing w:beforeAutospacing="0" w:afterAutospacing="0" w:line="0" w:lineRule="atLeast"/>
              <w:jc w:val="center"/>
              <w:rPr>
                <w:rStyle w:val="195"/>
                <w:rFonts w:hint="eastAsia" w:ascii="宋体" w:hAnsi="宋体" w:eastAsia="宋体"/>
                <w:color w:val="000000" w:themeColor="text1"/>
                <w:szCs w:val="21"/>
                <w14:textFill>
                  <w14:solidFill>
                    <w14:schemeClr w14:val="tx1"/>
                  </w14:solidFill>
                </w14:textFill>
              </w:rPr>
            </w:pPr>
            <w:r>
              <w:rPr>
                <w:rStyle w:val="195"/>
                <w:rFonts w:hint="eastAsia" w:ascii="宋体" w:hAnsi="宋体" w:eastAsia="宋体"/>
                <w:color w:val="000000" w:themeColor="text1"/>
                <w:szCs w:val="21"/>
                <w14:textFill>
                  <w14:solidFill>
                    <w14:schemeClr w14:val="tx1"/>
                  </w14:solidFill>
                </w14:textFill>
              </w:rPr>
              <w:t>1</w:t>
            </w:r>
          </w:p>
        </w:tc>
        <w:tc>
          <w:tcPr>
            <w:tcW w:w="3387" w:type="dxa"/>
            <w:shd w:val="clear" w:color="auto" w:fill="auto"/>
            <w:noWrap w:val="0"/>
            <w:vAlign w:val="center"/>
          </w:tcPr>
          <w:p w14:paraId="54229E33">
            <w:pPr>
              <w:pStyle w:val="32"/>
              <w:spacing w:beforeAutospacing="0" w:afterAutospacing="0" w:line="0" w:lineRule="atLeast"/>
              <w:jc w:val="center"/>
              <w:rPr>
                <w:rStyle w:val="195"/>
                <w:rFonts w:hint="eastAsia" w:ascii="宋体" w:hAnsi="宋体" w:eastAsia="宋体"/>
                <w:color w:val="000000" w:themeColor="text1"/>
                <w:szCs w:val="21"/>
                <w14:textFill>
                  <w14:solidFill>
                    <w14:schemeClr w14:val="tx1"/>
                  </w14:solidFill>
                </w14:textFill>
              </w:rPr>
            </w:pPr>
            <w:r>
              <w:rPr>
                <w:rStyle w:val="195"/>
                <w:rFonts w:hint="eastAsia" w:ascii="宋体" w:hAnsi="宋体" w:eastAsia="宋体" w:cs="Times New Roman"/>
                <w:color w:val="000000" w:themeColor="text1"/>
                <w:szCs w:val="21"/>
                <w:lang w:eastAsia="zh-CN"/>
                <w14:textFill>
                  <w14:solidFill>
                    <w14:schemeClr w14:val="tx1"/>
                  </w14:solidFill>
                </w14:textFill>
              </w:rPr>
              <w:t>响水工业经济区环保管家综合服务项目</w:t>
            </w:r>
            <w:r>
              <w:rPr>
                <w:rStyle w:val="195"/>
                <w:rFonts w:hint="eastAsia" w:ascii="宋体" w:hAnsi="宋体" w:eastAsia="宋体" w:cs="Times New Roman"/>
                <w:color w:val="000000" w:themeColor="text1"/>
                <w:szCs w:val="21"/>
                <w14:textFill>
                  <w14:solidFill>
                    <w14:schemeClr w14:val="tx1"/>
                  </w14:solidFill>
                </w14:textFill>
              </w:rPr>
              <w:t> </w:t>
            </w:r>
          </w:p>
        </w:tc>
        <w:tc>
          <w:tcPr>
            <w:tcW w:w="4852" w:type="dxa"/>
            <w:shd w:val="clear" w:color="auto" w:fill="auto"/>
            <w:noWrap w:val="0"/>
            <w:vAlign w:val="center"/>
          </w:tcPr>
          <w:p w14:paraId="45F6DB39">
            <w:pPr>
              <w:pStyle w:val="32"/>
              <w:spacing w:beforeAutospacing="0" w:afterAutospacing="0" w:line="0" w:lineRule="atLeast"/>
              <w:jc w:val="center"/>
              <w:rPr>
                <w:rStyle w:val="195"/>
                <w:rFonts w:hint="eastAsia" w:ascii="宋体" w:hAnsi="宋体" w:eastAsia="宋体"/>
                <w:color w:val="000000" w:themeColor="text1"/>
                <w:szCs w:val="21"/>
                <w14:textFill>
                  <w14:solidFill>
                    <w14:schemeClr w14:val="tx1"/>
                  </w14:solidFill>
                </w14:textFill>
              </w:rPr>
            </w:pPr>
            <w:r>
              <w:rPr>
                <w:rStyle w:val="195"/>
                <w:rFonts w:hint="eastAsia" w:ascii="宋体" w:hAnsi="宋体" w:eastAsia="宋体"/>
                <w:color w:val="000000" w:themeColor="text1"/>
                <w:szCs w:val="21"/>
                <w14:textFill>
                  <w14:solidFill>
                    <w14:schemeClr w14:val="tx1"/>
                  </w14:solidFill>
                </w14:textFill>
              </w:rPr>
              <w:t>其他未列明行业</w:t>
            </w:r>
            <w:r>
              <w:rPr>
                <w:rStyle w:val="195"/>
                <w:rFonts w:ascii="宋体" w:hAnsi="宋体" w:eastAsia="宋体"/>
                <w:color w:val="000000" w:themeColor="text1"/>
                <w:szCs w:val="21"/>
                <w14:textFill>
                  <w14:solidFill>
                    <w14:schemeClr w14:val="tx1"/>
                  </w14:solidFill>
                </w14:textFill>
              </w:rPr>
              <w:t> </w:t>
            </w:r>
          </w:p>
        </w:tc>
      </w:tr>
    </w:tbl>
    <w:p w14:paraId="14D264E8">
      <w:pPr>
        <w:keepNext w:val="0"/>
        <w:keepLines w:val="0"/>
        <w:pageBreakBefore/>
        <w:widowControl w:val="0"/>
        <w:ind w:firstLine="2241" w:firstLineChars="700"/>
        <w:jc w:val="both"/>
      </w:pPr>
      <w:r>
        <w:rPr>
          <w:rFonts w:hint="eastAsia"/>
          <w:b/>
          <w:sz w:val="32"/>
          <w:szCs w:val="32"/>
        </w:rPr>
        <w:t>第五章   评审方法与评审标准</w:t>
      </w:r>
    </w:p>
    <w:p w14:paraId="1F7E2EF5">
      <w:pPr>
        <w:tabs>
          <w:tab w:val="left" w:pos="2460"/>
        </w:tabs>
        <w:spacing w:line="440" w:lineRule="exact"/>
        <w:ind w:firstLine="482"/>
        <w:outlineLvl w:val="1"/>
        <w:rPr>
          <w:rFonts w:hint="eastAsia" w:cs="宋体" w:asciiTheme="minorEastAsia" w:hAnsiTheme="minorEastAsia"/>
          <w:b/>
          <w:bCs/>
          <w:sz w:val="24"/>
        </w:rPr>
      </w:pPr>
      <w:r>
        <w:t> </w:t>
      </w:r>
      <w:r>
        <w:rPr>
          <w:rFonts w:hint="eastAsia" w:cs="宋体" w:asciiTheme="minorEastAsia" w:hAnsiTheme="minorEastAsia"/>
          <w:b/>
          <w:bCs/>
          <w:sz w:val="24"/>
        </w:rPr>
        <w:t>一、磋商小组</w:t>
      </w:r>
    </w:p>
    <w:p w14:paraId="5449F791">
      <w:pPr>
        <w:spacing w:line="440" w:lineRule="exact"/>
        <w:ind w:firstLine="480"/>
        <w:rPr>
          <w:rFonts w:hint="eastAsia" w:cs="宋体" w:asciiTheme="minorEastAsia" w:hAnsiTheme="minorEastAsia"/>
          <w:bCs/>
          <w:sz w:val="24"/>
        </w:rPr>
      </w:pPr>
      <w:r>
        <w:rPr>
          <w:rFonts w:hint="eastAsia" w:cs="宋体" w:asciiTheme="minorEastAsia" w:hAnsiTheme="minorEastAsia"/>
          <w:bCs/>
          <w:sz w:val="24"/>
        </w:rPr>
        <w:t>本采购项目磋商小组的评委由相关的专家、采购人代表等有关人员构成。</w:t>
      </w:r>
    </w:p>
    <w:p w14:paraId="34940876">
      <w:pPr>
        <w:tabs>
          <w:tab w:val="left" w:pos="2460"/>
        </w:tabs>
        <w:spacing w:line="440" w:lineRule="exact"/>
        <w:ind w:firstLine="482"/>
        <w:outlineLvl w:val="1"/>
        <w:rPr>
          <w:rFonts w:hint="eastAsia" w:cs="宋体" w:asciiTheme="minorEastAsia" w:hAnsiTheme="minorEastAsia"/>
          <w:b/>
          <w:bCs/>
          <w:sz w:val="24"/>
        </w:rPr>
      </w:pPr>
      <w:r>
        <w:rPr>
          <w:rFonts w:hint="eastAsia" w:cs="宋体" w:asciiTheme="minorEastAsia" w:hAnsiTheme="minorEastAsia"/>
          <w:b/>
          <w:bCs/>
          <w:sz w:val="24"/>
        </w:rPr>
        <w:t>二、定标原则</w:t>
      </w:r>
    </w:p>
    <w:p w14:paraId="686BA9E1">
      <w:pPr>
        <w:spacing w:line="440" w:lineRule="exact"/>
        <w:ind w:firstLine="480"/>
        <w:rPr>
          <w:rFonts w:hint="eastAsia" w:cs="宋体" w:asciiTheme="minorEastAsia" w:hAnsiTheme="minorEastAsia"/>
          <w:bCs/>
          <w:sz w:val="24"/>
        </w:rPr>
      </w:pPr>
      <w:r>
        <w:rPr>
          <w:rFonts w:hint="eastAsia" w:cs="宋体" w:asciiTheme="minorEastAsia" w:hAnsiTheme="minorEastAsia"/>
          <w:bCs/>
          <w:sz w:val="24"/>
        </w:rPr>
        <w:t>经磋商确定最终采购需求和提交最后报价的供应商后，由磋商小组采用综合评分法对提交最后报价的供应商的响应文件和最后报价进行综合评分。</w:t>
      </w:r>
    </w:p>
    <w:p w14:paraId="7F0E4BCD">
      <w:pPr>
        <w:spacing w:line="440" w:lineRule="exact"/>
        <w:ind w:firstLine="480"/>
        <w:rPr>
          <w:rFonts w:hint="eastAsia" w:cs="宋体" w:asciiTheme="minorEastAsia" w:hAnsiTheme="minorEastAsia"/>
          <w:bCs/>
          <w:sz w:val="24"/>
        </w:rPr>
      </w:pPr>
      <w:r>
        <w:rPr>
          <w:rFonts w:hint="eastAsia" w:cs="宋体" w:asciiTheme="minorEastAsia" w:hAnsiTheme="minorEastAsia"/>
          <w:bCs/>
          <w:sz w:val="24"/>
        </w:rPr>
        <w:t>综合评分法，是指响应文件满足磋商文件全部实质性要求，磋商小组按评审因素的量化指标评审，根据总得分高低排列各供应商次序（评审得分相同的，按照最后报价由低到高的顺序推荐。评审得分且最后报价相同的，按照技术指标优劣顺序推荐），得分最高的供应商为成交候选供应商的评审方法，本项目选取1名成交候选人。</w:t>
      </w:r>
    </w:p>
    <w:p w14:paraId="2968DC82">
      <w:pPr>
        <w:pStyle w:val="32"/>
        <w:spacing w:before="120" w:beforeAutospacing="0" w:after="120" w:afterAutospacing="0" w:line="440" w:lineRule="exact"/>
        <w:ind w:firstLine="441"/>
      </w:pPr>
      <w:r>
        <w:rPr>
          <w:rFonts w:hint="eastAsia" w:ascii="宋体" w:hAnsi="宋体" w:eastAsia="宋体" w:cs="宋体"/>
          <w:b/>
        </w:rPr>
        <w:t>政府采购政策功能落实</w:t>
      </w:r>
    </w:p>
    <w:p w14:paraId="5B335CAE">
      <w:pPr>
        <w:pStyle w:val="32"/>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14:paraId="6F6DE220">
      <w:pPr>
        <w:pStyle w:val="202"/>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（1）本项目若不专门面向中小企业采购，对</w:t>
      </w:r>
      <w:r>
        <w:rPr>
          <w:rFonts w:hint="eastAsia" w:ascii="宋体" w:hAnsi="宋体" w:eastAsia="宋体" w:cs="宋体"/>
          <w:color w:val="auto"/>
          <w:sz w:val="24"/>
          <w:szCs w:val="24"/>
          <w:highlight w:val="none"/>
          <w:lang w:val="en-US" w:eastAsia="zh-CN"/>
        </w:rPr>
        <w:t>符合规定的</w:t>
      </w:r>
      <w:r>
        <w:rPr>
          <w:rFonts w:hint="eastAsia" w:ascii="宋体" w:hAnsi="宋体" w:eastAsia="宋体" w:cs="宋体"/>
          <w:color w:val="auto"/>
          <w:sz w:val="24"/>
          <w:szCs w:val="24"/>
          <w:highlight w:val="none"/>
        </w:rPr>
        <w:t>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给予价格扣除。</w:t>
      </w:r>
    </w:p>
    <w:p w14:paraId="135F3B4B">
      <w:pPr>
        <w:pStyle w:val="32"/>
        <w:spacing w:before="120" w:beforeAutospacing="0" w:after="120" w:afterAutospacing="0" w:line="0" w:lineRule="atLeas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p>
    <w:p w14:paraId="6808D1B1">
      <w:pPr>
        <w:pStyle w:val="32"/>
        <w:spacing w:before="120" w:beforeAutospacing="0" w:after="120" w:afterAutospacing="0" w:line="0" w:lineRule="atLeas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064503E0">
      <w:pPr>
        <w:pStyle w:val="32"/>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14:paraId="4EA18523">
      <w:pPr>
        <w:pStyle w:val="32"/>
        <w:spacing w:before="120" w:beforeAutospacing="0" w:after="120" w:afterAutospacing="0" w:line="0" w:lineRule="atLeas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的价格扣除，用扣除后的价格参与评审。</w:t>
      </w:r>
    </w:p>
    <w:p w14:paraId="185D6843">
      <w:pPr>
        <w:pStyle w:val="32"/>
        <w:spacing w:before="120" w:beforeAutospacing="0" w:after="120" w:afterAutospacing="0" w:line="0" w:lineRule="atLeas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文件的要求提供《残疾人福利性单位声明函》。</w:t>
      </w:r>
    </w:p>
    <w:p w14:paraId="1E0BA94A">
      <w:pPr>
        <w:pStyle w:val="32"/>
        <w:spacing w:before="120" w:beforeAutospacing="0" w:after="120" w:afterAutospacing="0" w:line="0" w:lineRule="atLeas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3F62933B">
      <w:pPr>
        <w:pStyle w:val="32"/>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3、监狱和戒毒企业价格扣除</w:t>
      </w:r>
    </w:p>
    <w:p w14:paraId="5FC8C63D">
      <w:pPr>
        <w:pStyle w:val="32"/>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的价格扣除，用扣除后的价格参与评审。</w:t>
      </w:r>
    </w:p>
    <w:p w14:paraId="59B8EFC6">
      <w:pPr>
        <w:pStyle w:val="32"/>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E0A149F">
      <w:pPr>
        <w:pStyle w:val="32"/>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w:t>
      </w:r>
      <w:r>
        <w:rPr>
          <w:rFonts w:hint="eastAsia" w:ascii="宋体" w:hAnsi="宋体" w:eastAsia="宋体" w:cs="宋体"/>
          <w:color w:val="auto"/>
          <w:sz w:val="24"/>
          <w:szCs w:val="24"/>
          <w:highlight w:val="none"/>
          <w:lang w:eastAsia="zh-CN"/>
        </w:rPr>
        <w:t>〔2014〕68号</w:t>
      </w:r>
      <w:r>
        <w:rPr>
          <w:rFonts w:hint="eastAsia" w:ascii="宋体" w:hAnsi="宋体" w:eastAsia="宋体" w:cs="宋体"/>
          <w:color w:val="auto"/>
          <w:sz w:val="24"/>
          <w:szCs w:val="24"/>
          <w:highlight w:val="none"/>
        </w:rPr>
        <w:t>）。</w:t>
      </w:r>
    </w:p>
    <w:p w14:paraId="28829AAC">
      <w:pPr>
        <w:pStyle w:val="32"/>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55DDCA61">
      <w:pPr>
        <w:pStyle w:val="3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6%</w:t>
      </w:r>
      <w:r>
        <w:rPr>
          <w:rFonts w:hint="eastAsia" w:ascii="宋体" w:hAnsi="宋体" w:eastAsia="宋体" w:cs="宋体"/>
          <w:color w:val="auto"/>
          <w:sz w:val="24"/>
          <w:szCs w:val="24"/>
          <w:highlight w:val="none"/>
        </w:rPr>
        <w:t>的价格扣除，用扣除后的价格参与评审。</w:t>
      </w:r>
    </w:p>
    <w:p w14:paraId="6EE2EE2C">
      <w:pPr>
        <w:pStyle w:val="3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6、联合体各方均为小型、微型企业（残疾人福利单位、监狱企业）的，联合体享受</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价格扣除，用扣除后的价格参与评审。</w:t>
      </w:r>
    </w:p>
    <w:p w14:paraId="2FCF8D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462411F4">
      <w:pPr>
        <w:tabs>
          <w:tab w:val="left" w:pos="2460"/>
        </w:tabs>
        <w:spacing w:line="420" w:lineRule="exact"/>
        <w:ind w:firstLine="482"/>
        <w:outlineLvl w:val="1"/>
        <w:rPr>
          <w:rFonts w:hint="eastAsia" w:cs="宋体" w:asciiTheme="minorEastAsia" w:hAnsiTheme="minorEastAsia"/>
          <w:b/>
          <w:bCs/>
          <w:sz w:val="24"/>
        </w:rPr>
      </w:pPr>
      <w:r>
        <w:rPr>
          <w:rFonts w:hint="eastAsia" w:cs="宋体" w:asciiTheme="minorEastAsia" w:hAnsiTheme="minorEastAsia"/>
          <w:b/>
          <w:bCs/>
          <w:sz w:val="24"/>
        </w:rPr>
        <w:t>三、评</w:t>
      </w:r>
      <w:r>
        <w:rPr>
          <w:rFonts w:hint="eastAsia" w:eastAsia="宋体" w:cs="宋体" w:asciiTheme="minorEastAsia" w:hAnsiTheme="minorEastAsia"/>
          <w:b/>
          <w:bCs/>
          <w:sz w:val="24"/>
          <w:lang w:val="en-US" w:eastAsia="zh-CN"/>
        </w:rPr>
        <w:t>审</w:t>
      </w:r>
      <w:r>
        <w:rPr>
          <w:rFonts w:hint="eastAsia" w:cs="宋体" w:asciiTheme="minorEastAsia" w:hAnsiTheme="minorEastAsia"/>
          <w:b/>
          <w:bCs/>
          <w:sz w:val="24"/>
        </w:rPr>
        <w:t>标准</w:t>
      </w:r>
    </w:p>
    <w:p w14:paraId="70B5601A">
      <w:pPr>
        <w:ind w:firstLine="482"/>
        <w:rPr>
          <w:rFonts w:hint="eastAsia" w:ascii="宋体" w:hAnsi="宋体" w:cs="宋体"/>
          <w:bCs/>
          <w:sz w:val="24"/>
        </w:rPr>
      </w:pPr>
      <w:r>
        <w:rPr>
          <w:rFonts w:asciiTheme="minorEastAsia" w:hAnsiTheme="minorEastAsia"/>
          <w:b/>
          <w:sz w:val="24"/>
          <w:szCs w:val="21"/>
        </w:rPr>
        <w:t>本项目评分总分值为100分。</w:t>
      </w:r>
      <w:r>
        <w:rPr>
          <w:rFonts w:hint="eastAsia" w:ascii="宋体" w:hAnsi="宋体" w:cs="宋体"/>
          <w:bCs/>
          <w:sz w:val="24"/>
        </w:rPr>
        <w:t>评标时，</w:t>
      </w:r>
      <w:r>
        <w:rPr>
          <w:rFonts w:hint="eastAsia" w:ascii="宋体" w:hAnsi="宋体" w:eastAsia="宋体" w:cs="宋体"/>
          <w:bCs/>
          <w:sz w:val="24"/>
          <w:lang w:eastAsia="zh-CN"/>
        </w:rPr>
        <w:t>磋商小组</w:t>
      </w:r>
      <w:r>
        <w:rPr>
          <w:rFonts w:hint="eastAsia" w:ascii="宋体" w:hAnsi="宋体" w:cs="宋体"/>
          <w:bCs/>
          <w:sz w:val="24"/>
        </w:rPr>
        <w:t>各成员独立对每个有效供应商的标书进行评价、打分，然后汇总，按算术平均方法，计算出每个供应商的得分。</w:t>
      </w:r>
    </w:p>
    <w:tbl>
      <w:tblPr>
        <w:tblStyle w:val="37"/>
        <w:tblpPr w:leftFromText="180" w:rightFromText="180" w:vertAnchor="text" w:horzAnchor="page" w:tblpX="1875" w:tblpY="62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1418"/>
        <w:gridCol w:w="5646"/>
      </w:tblGrid>
      <w:tr w14:paraId="6FD9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2720" w:type="dxa"/>
            <w:gridSpan w:val="2"/>
            <w:vAlign w:val="center"/>
          </w:tcPr>
          <w:p w14:paraId="3FFD23EF">
            <w:pPr>
              <w:spacing w:after="0" w:line="240" w:lineRule="auto"/>
              <w:jc w:val="center"/>
              <w:rPr>
                <w:rFonts w:hint="eastAsia" w:ascii="方正黑体_GBK" w:hAnsi="方正黑体_GBK" w:eastAsia="方正黑体_GBK" w:cs="方正黑体_GBK"/>
                <w:vertAlign w:val="baseline"/>
                <w:lang w:val="en-US" w:eastAsia="zh-CN"/>
              </w:rPr>
            </w:pPr>
            <w:r>
              <w:rPr>
                <w:rFonts w:hint="eastAsia" w:ascii="方正黑体_GBK" w:hAnsi="方正黑体_GBK" w:eastAsia="方正黑体_GBK" w:cs="方正黑体_GBK"/>
                <w:vertAlign w:val="baseline"/>
                <w:lang w:val="en-US" w:eastAsia="zh-CN"/>
              </w:rPr>
              <w:t>评分项</w:t>
            </w:r>
          </w:p>
        </w:tc>
        <w:tc>
          <w:tcPr>
            <w:tcW w:w="5646" w:type="dxa"/>
            <w:vAlign w:val="center"/>
          </w:tcPr>
          <w:p w14:paraId="591EDFB0">
            <w:pPr>
              <w:spacing w:after="0" w:line="240" w:lineRule="auto"/>
              <w:jc w:val="center"/>
              <w:rPr>
                <w:rFonts w:hint="eastAsia" w:ascii="方正黑体_GBK" w:hAnsi="方正黑体_GBK" w:eastAsia="方正黑体_GBK" w:cs="方正黑体_GBK"/>
                <w:vertAlign w:val="baseline"/>
                <w:lang w:val="en-US" w:eastAsia="zh-CN"/>
              </w:rPr>
            </w:pPr>
            <w:r>
              <w:rPr>
                <w:rFonts w:hint="eastAsia" w:ascii="方正黑体_GBK" w:hAnsi="方正黑体_GBK" w:eastAsia="方正黑体_GBK" w:cs="方正黑体_GBK"/>
                <w:vertAlign w:val="baseline"/>
                <w:lang w:val="en-US" w:eastAsia="zh-CN"/>
              </w:rPr>
              <w:t>评分标准</w:t>
            </w:r>
          </w:p>
        </w:tc>
      </w:tr>
      <w:tr w14:paraId="67E61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0" w:type="dxa"/>
            <w:gridSpan w:val="2"/>
            <w:vAlign w:val="center"/>
          </w:tcPr>
          <w:p w14:paraId="2C2862E5">
            <w:pPr>
              <w:spacing w:after="0" w:line="240" w:lineRule="auto"/>
              <w:jc w:val="center"/>
              <w:rPr>
                <w:rFonts w:hint="eastAsia"/>
                <w:vertAlign w:val="baseline"/>
              </w:rPr>
            </w:pPr>
            <w:r>
              <w:rPr>
                <w:rFonts w:hint="eastAsia"/>
                <w:vertAlign w:val="baseline"/>
              </w:rPr>
              <w:t>投标报价</w:t>
            </w:r>
          </w:p>
          <w:p w14:paraId="5BE94F34">
            <w:pPr>
              <w:spacing w:after="0" w:line="240" w:lineRule="auto"/>
              <w:jc w:val="center"/>
              <w:rPr>
                <w:vertAlign w:val="baseline"/>
              </w:rPr>
            </w:pPr>
            <w:r>
              <w:rPr>
                <w:rFonts w:hint="eastAsia"/>
                <w:vertAlign w:val="baseline"/>
              </w:rPr>
              <w:t>（10分）</w:t>
            </w:r>
          </w:p>
        </w:tc>
        <w:tc>
          <w:tcPr>
            <w:tcW w:w="5646" w:type="dxa"/>
            <w:vAlign w:val="center"/>
          </w:tcPr>
          <w:p w14:paraId="7ED497F9">
            <w:pPr>
              <w:spacing w:after="0" w:line="300" w:lineRule="exact"/>
              <w:jc w:val="left"/>
              <w:rPr>
                <w:rFonts w:hint="eastAsia" w:ascii="宋体" w:hAnsi="宋体" w:eastAsia="宋体" w:cs="宋体"/>
                <w:color w:val="auto"/>
                <w:spacing w:val="-1"/>
                <w:sz w:val="21"/>
                <w:szCs w:val="21"/>
                <w:highlight w:val="none"/>
              </w:rPr>
            </w:pPr>
            <w:r>
              <w:rPr>
                <w:rFonts w:hint="eastAsia" w:ascii="宋体" w:hAnsi="宋体" w:eastAsia="宋体" w:cs="宋体"/>
                <w:color w:val="auto"/>
                <w:spacing w:val="5"/>
                <w:sz w:val="21"/>
                <w:szCs w:val="21"/>
                <w:highlight w:val="none"/>
              </w:rPr>
              <w:t>价格分统一采用低价优先法计算，即满足磋商文件要求且最后报价最低的供应商的价格为磋商基准价，其价格分为满分。其他供应商的价格分统</w:t>
            </w:r>
            <w:r>
              <w:rPr>
                <w:rFonts w:hint="eastAsia" w:ascii="宋体" w:hAnsi="宋体" w:eastAsia="宋体" w:cs="宋体"/>
                <w:color w:val="auto"/>
                <w:spacing w:val="-1"/>
                <w:sz w:val="21"/>
                <w:szCs w:val="21"/>
                <w:highlight w:val="none"/>
              </w:rPr>
              <w:t>一按照下列公式计算：磋商报价得分=（磋商基准价/最后磋商报价）×</w:t>
            </w:r>
            <w:r>
              <w:rPr>
                <w:rFonts w:hint="eastAsia" w:ascii="宋体" w:hAnsi="宋体" w:eastAsia="宋体" w:cs="宋体"/>
                <w:color w:val="auto"/>
                <w:spacing w:val="-1"/>
                <w:sz w:val="21"/>
                <w:szCs w:val="21"/>
                <w:highlight w:val="none"/>
                <w:lang w:val="en-US" w:eastAsia="zh-CN"/>
              </w:rPr>
              <w:t>10</w:t>
            </w:r>
            <w:r>
              <w:rPr>
                <w:rFonts w:hint="eastAsia" w:ascii="宋体" w:hAnsi="宋体" w:eastAsia="宋体" w:cs="宋体"/>
                <w:color w:val="auto"/>
                <w:spacing w:val="-1"/>
                <w:sz w:val="21"/>
                <w:szCs w:val="21"/>
                <w:highlight w:val="none"/>
              </w:rPr>
              <w:t>（计算结果四舍五入，小数点保留两位。）</w:t>
            </w:r>
          </w:p>
          <w:p w14:paraId="0BFFE3D7">
            <w:pPr>
              <w:spacing w:after="0" w:line="240" w:lineRule="auto"/>
              <w:jc w:val="both"/>
              <w:rPr>
                <w:vertAlign w:val="baseline"/>
              </w:rPr>
            </w:pPr>
            <w:r>
              <w:rPr>
                <w:rFonts w:hint="eastAsia" w:ascii="宋体" w:hAnsi="宋体" w:eastAsia="宋体" w:cs="宋体"/>
                <w:b/>
                <w:bCs/>
                <w:i w:val="0"/>
                <w:color w:val="000000"/>
                <w:sz w:val="21"/>
                <w:szCs w:val="21"/>
                <w:u w:val="none"/>
                <w:lang w:val="en-US" w:eastAsia="zh-CN" w:bidi="ar"/>
              </w:rPr>
              <w:t>本项目对小型和微型企业产品给予20%的扣除价格，用扣除后的价格参与评审。</w:t>
            </w:r>
          </w:p>
        </w:tc>
      </w:tr>
      <w:tr w14:paraId="73521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2" w:type="dxa"/>
            <w:vMerge w:val="restart"/>
            <w:vAlign w:val="center"/>
          </w:tcPr>
          <w:p w14:paraId="4F639D28">
            <w:pPr>
              <w:spacing w:after="0" w:line="240" w:lineRule="auto"/>
              <w:jc w:val="center"/>
              <w:rPr>
                <w:rFonts w:hint="eastAsia"/>
                <w:color w:val="FF0000"/>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color w:val="FF0000"/>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商务部分</w:t>
            </w:r>
          </w:p>
          <w:p w14:paraId="0A6DE9CA">
            <w:pPr>
              <w:spacing w:after="0" w:line="240" w:lineRule="auto"/>
              <w:jc w:val="center"/>
              <w:rPr>
                <w:rFonts w:hint="eastAsia"/>
                <w:color w:val="FF0000"/>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color w:val="FF0000"/>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（41分）</w:t>
            </w:r>
          </w:p>
        </w:tc>
        <w:tc>
          <w:tcPr>
            <w:tcW w:w="1418" w:type="dxa"/>
            <w:vMerge w:val="restart"/>
            <w:vAlign w:val="center"/>
          </w:tcPr>
          <w:p w14:paraId="0D1CF26A">
            <w:pPr>
              <w:spacing w:after="0" w:line="240" w:lineRule="auto"/>
              <w:jc w:val="center"/>
              <w:rPr>
                <w:rFonts w:hint="default" w:eastAsiaTheme="minorEastAsia"/>
                <w:color w:val="FF0000"/>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default" w:eastAsiaTheme="minorEastAsia"/>
                <w:color w:val="FF0000"/>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项目组成员</w:t>
            </w:r>
          </w:p>
          <w:p w14:paraId="45BF22C0">
            <w:pPr>
              <w:spacing w:after="0" w:line="240" w:lineRule="auto"/>
              <w:jc w:val="center"/>
              <w:rPr>
                <w:rFonts w:hint="default" w:eastAsiaTheme="minorEastAsia"/>
                <w:color w:val="FF0000"/>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default" w:eastAsiaTheme="minorEastAsia"/>
                <w:color w:val="FF0000"/>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color w:val="FF0000"/>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default" w:eastAsiaTheme="minorEastAsia"/>
                <w:color w:val="FF0000"/>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w:t>
            </w:r>
          </w:p>
        </w:tc>
        <w:tc>
          <w:tcPr>
            <w:tcW w:w="5646" w:type="dxa"/>
            <w:vAlign w:val="center"/>
          </w:tcPr>
          <w:p w14:paraId="01BA876D">
            <w:pPr>
              <w:spacing w:after="0" w:line="300" w:lineRule="exact"/>
              <w:jc w:val="left"/>
              <w:rPr>
                <w:rFonts w:hint="eastAsia" w:ascii="宋体" w:hAnsi="宋体" w:eastAsia="宋体" w:cs="宋体"/>
                <w:color w:val="auto"/>
                <w:spacing w:val="5"/>
                <w:sz w:val="21"/>
                <w:szCs w:val="21"/>
                <w:highlight w:val="none"/>
              </w:rPr>
            </w:pPr>
            <w:r>
              <w:rPr>
                <w:rFonts w:hint="eastAsia"/>
                <w:highlight w:val="none"/>
              </w:rPr>
              <w:t>项目负责人具有环境类专业博士学位的得2分，硕士学位的得1分；</w:t>
            </w:r>
            <w:r>
              <w:rPr>
                <w:highlight w:val="none"/>
              </w:rPr>
              <w:t>具有</w:t>
            </w:r>
            <w:bookmarkStart w:id="139" w:name="OLE_LINK4"/>
            <w:r>
              <w:rPr>
                <w:highlight w:val="none"/>
              </w:rPr>
              <w:t>环境保护类</w:t>
            </w:r>
            <w:r>
              <w:rPr>
                <w:rFonts w:hint="eastAsia"/>
                <w:highlight w:val="none"/>
              </w:rPr>
              <w:t>正</w:t>
            </w:r>
            <w:r>
              <w:rPr>
                <w:highlight w:val="none"/>
              </w:rPr>
              <w:t>高级职称的得</w:t>
            </w:r>
            <w:r>
              <w:rPr>
                <w:rFonts w:hint="eastAsia"/>
                <w:highlight w:val="none"/>
              </w:rPr>
              <w:t>2</w:t>
            </w:r>
            <w:r>
              <w:rPr>
                <w:highlight w:val="none"/>
              </w:rPr>
              <w:t>分</w:t>
            </w:r>
            <w:bookmarkEnd w:id="139"/>
            <w:r>
              <w:rPr>
                <w:rFonts w:hint="eastAsia"/>
                <w:highlight w:val="none"/>
              </w:rPr>
              <w:t>；具有</w:t>
            </w:r>
            <w:bookmarkStart w:id="140" w:name="OLE_LINK7"/>
            <w:bookmarkStart w:id="141" w:name="OLE_LINK5"/>
            <w:r>
              <w:rPr>
                <w:highlight w:val="none"/>
              </w:rPr>
              <w:t>环境保护类</w:t>
            </w:r>
            <w:bookmarkEnd w:id="140"/>
            <w:r>
              <w:rPr>
                <w:rFonts w:hint="eastAsia"/>
                <w:highlight w:val="none"/>
              </w:rPr>
              <w:t>副</w:t>
            </w:r>
            <w:r>
              <w:rPr>
                <w:highlight w:val="none"/>
              </w:rPr>
              <w:t>高级职称的得</w:t>
            </w:r>
            <w:r>
              <w:rPr>
                <w:rFonts w:hint="eastAsia"/>
                <w:highlight w:val="none"/>
              </w:rPr>
              <w:t>1</w:t>
            </w:r>
            <w:r>
              <w:rPr>
                <w:highlight w:val="none"/>
              </w:rPr>
              <w:t>分</w:t>
            </w:r>
            <w:bookmarkEnd w:id="141"/>
            <w:r>
              <w:rPr>
                <w:rFonts w:hint="eastAsia"/>
                <w:highlight w:val="none"/>
              </w:rPr>
              <w:t>；本项最高得4分。</w:t>
            </w:r>
          </w:p>
          <w:p w14:paraId="4D3CB203">
            <w:pPr>
              <w:pStyle w:val="192"/>
              <w:spacing w:line="240" w:lineRule="auto"/>
              <w:ind w:left="0" w:firstLine="0"/>
              <w:rPr>
                <w:color w:val="FF0000"/>
                <w:vertAlign w:val="baseline"/>
              </w:rPr>
            </w:pPr>
            <w:r>
              <w:rPr>
                <w:rFonts w:hint="eastAsia" w:ascii="宋体" w:hAnsi="宋体" w:eastAsia="宋体" w:cs="宋体"/>
                <w:b/>
                <w:bCs/>
                <w:color w:val="000000" w:themeColor="text1"/>
                <w:szCs w:val="21"/>
                <w:highlight w:val="none"/>
                <w:lang w:val="en-US" w:eastAsia="zh-CN"/>
                <w14:textFill>
                  <w14:solidFill>
                    <w14:schemeClr w14:val="tx1"/>
                  </w14:solidFill>
                </w14:textFill>
              </w:rPr>
              <w:t>注：</w:t>
            </w:r>
            <w:r>
              <w:rPr>
                <w:rFonts w:hint="eastAsia" w:ascii="宋体" w:hAnsi="宋体" w:cs="宋体"/>
                <w:b/>
                <w:bCs/>
                <w:color w:val="000000" w:themeColor="text1"/>
                <w:sz w:val="21"/>
                <w:szCs w:val="21"/>
                <w:highlight w:val="none"/>
                <w:lang w:bidi="ar"/>
                <w14:textFill>
                  <w14:solidFill>
                    <w14:schemeClr w14:val="tx1"/>
                  </w14:solidFill>
                </w14:textFill>
              </w:rPr>
              <w:t>投标时</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须</w:t>
            </w:r>
            <w:r>
              <w:rPr>
                <w:rFonts w:hint="eastAsia" w:ascii="宋体" w:hAnsi="宋体" w:cs="宋体"/>
                <w:b/>
                <w:bCs/>
                <w:color w:val="000000" w:themeColor="text1"/>
                <w:sz w:val="21"/>
                <w:szCs w:val="21"/>
                <w:highlight w:val="none"/>
                <w:lang w:bidi="ar"/>
                <w14:textFill>
                  <w14:solidFill>
                    <w14:schemeClr w14:val="tx1"/>
                  </w14:solidFill>
                </w14:textFill>
              </w:rPr>
              <w:t>提供相关人员的证书</w:t>
            </w:r>
            <w:r>
              <w:rPr>
                <w:rFonts w:hint="eastAsia" w:ascii="宋体" w:hAnsi="宋体" w:cs="宋体"/>
                <w:b/>
                <w:bCs/>
                <w:color w:val="000000" w:themeColor="text1"/>
                <w:sz w:val="21"/>
                <w:szCs w:val="21"/>
                <w:highlight w:val="none"/>
                <w14:textFill>
                  <w14:solidFill>
                    <w14:schemeClr w14:val="tx1"/>
                  </w14:solidFill>
                </w14:textFill>
              </w:rPr>
              <w:t>原件彩色扫描件</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同时还须提供</w:t>
            </w:r>
            <w:r>
              <w:rPr>
                <w:rFonts w:hint="eastAsia" w:ascii="宋体" w:hAnsi="宋体" w:cs="宋体"/>
                <w:b/>
                <w:bCs/>
                <w:color w:val="000000" w:themeColor="text1"/>
                <w:sz w:val="21"/>
                <w:szCs w:val="21"/>
                <w:highlight w:val="none"/>
                <w:lang w:bidi="ar"/>
                <w14:textFill>
                  <w14:solidFill>
                    <w14:schemeClr w14:val="tx1"/>
                  </w14:solidFill>
                </w14:textFill>
              </w:rPr>
              <w:t>202</w:t>
            </w:r>
            <w:r>
              <w:rPr>
                <w:rFonts w:hint="eastAsia" w:ascii="宋体" w:hAnsi="宋体" w:cs="宋体"/>
                <w:b/>
                <w:bCs/>
                <w:color w:val="000000" w:themeColor="text1"/>
                <w:sz w:val="21"/>
                <w:szCs w:val="21"/>
                <w:highlight w:val="none"/>
                <w:lang w:val="en-US" w:eastAsia="zh-CN" w:bidi="ar"/>
                <w14:textFill>
                  <w14:solidFill>
                    <w14:schemeClr w14:val="tx1"/>
                  </w14:solidFill>
                </w14:textFill>
              </w:rPr>
              <w:t>6</w:t>
            </w:r>
            <w:r>
              <w:rPr>
                <w:rFonts w:hint="eastAsia" w:ascii="宋体" w:hAnsi="宋体" w:cs="宋体"/>
                <w:b/>
                <w:bCs/>
                <w:color w:val="000000" w:themeColor="text1"/>
                <w:sz w:val="21"/>
                <w:szCs w:val="21"/>
                <w:highlight w:val="none"/>
                <w:lang w:bidi="ar"/>
                <w14:textFill>
                  <w14:solidFill>
                    <w14:schemeClr w14:val="tx1"/>
                  </w14:solidFill>
                </w14:textFill>
              </w:rPr>
              <w:t>年</w:t>
            </w:r>
            <w:r>
              <w:rPr>
                <w:rFonts w:hint="eastAsia" w:ascii="宋体" w:hAnsi="宋体" w:cs="宋体"/>
                <w:b/>
                <w:bCs/>
                <w:color w:val="000000" w:themeColor="text1"/>
                <w:sz w:val="21"/>
                <w:szCs w:val="21"/>
                <w:highlight w:val="none"/>
                <w:lang w:val="en-US" w:eastAsia="zh-CN" w:bidi="ar"/>
                <w14:textFill>
                  <w14:solidFill>
                    <w14:schemeClr w14:val="tx1"/>
                  </w14:solidFill>
                </w14:textFill>
              </w:rPr>
              <w:t>4</w:t>
            </w:r>
            <w:r>
              <w:rPr>
                <w:rFonts w:hint="eastAsia" w:ascii="宋体" w:hAnsi="宋体" w:cs="宋体"/>
                <w:b/>
                <w:bCs/>
                <w:color w:val="000000" w:themeColor="text1"/>
                <w:sz w:val="21"/>
                <w:szCs w:val="21"/>
                <w:highlight w:val="none"/>
                <w:lang w:bidi="ar"/>
                <w14:textFill>
                  <w14:solidFill>
                    <w14:schemeClr w14:val="tx1"/>
                  </w14:solidFill>
                </w14:textFill>
              </w:rPr>
              <w:t>月以来任意一个月投标人为其缴纳</w:t>
            </w:r>
            <w:r>
              <w:rPr>
                <w:rFonts w:hint="eastAsia" w:asciiTheme="minorEastAsia" w:hAnsiTheme="minorEastAsia" w:cstheme="minorEastAsia"/>
                <w:b/>
                <w:bCs/>
                <w:color w:val="000000" w:themeColor="text1"/>
                <w:szCs w:val="21"/>
                <w:highlight w:val="none"/>
                <w14:textFill>
                  <w14:solidFill>
                    <w14:schemeClr w14:val="tx1"/>
                  </w14:solidFill>
                </w14:textFill>
              </w:rPr>
              <w:t>养老保险参保缴费证明（带二维码）</w:t>
            </w:r>
            <w:r>
              <w:rPr>
                <w:rFonts w:hint="eastAsia" w:eastAsia="宋体" w:asciiTheme="minorEastAsia" w:hAnsiTheme="minorEastAsia" w:cstheme="minorEastAsia"/>
                <w:b/>
                <w:bCs/>
                <w:color w:val="000000" w:themeColor="text1"/>
                <w:szCs w:val="21"/>
                <w:highlight w:val="none"/>
                <w:lang w:val="en-US" w:eastAsia="zh-CN"/>
                <w14:textFill>
                  <w14:solidFill>
                    <w14:schemeClr w14:val="tx1"/>
                  </w14:solidFill>
                </w14:textFill>
              </w:rPr>
              <w:t>原件彩色</w:t>
            </w:r>
            <w:r>
              <w:rPr>
                <w:rFonts w:hint="eastAsia" w:asciiTheme="minorEastAsia" w:hAnsiTheme="minorEastAsia" w:cstheme="minorEastAsia"/>
                <w:b/>
                <w:bCs/>
                <w:color w:val="000000" w:themeColor="text1"/>
                <w:szCs w:val="21"/>
                <w:highlight w:val="none"/>
                <w14:textFill>
                  <w14:solidFill>
                    <w14:schemeClr w14:val="tx1"/>
                  </w14:solidFill>
                </w14:textFill>
              </w:rPr>
              <w:t>扫描件</w:t>
            </w:r>
            <w:r>
              <w:rPr>
                <w:rFonts w:hint="eastAsia" w:eastAsia="宋体" w:asciiTheme="minorEastAsia" w:hAnsiTheme="minorEastAsia" w:cstheme="minorEastAsia"/>
                <w:b/>
                <w:bCs/>
                <w:color w:val="000000" w:themeColor="text1"/>
                <w:szCs w:val="21"/>
                <w:highlight w:val="none"/>
                <w:lang w:eastAsia="zh-CN"/>
                <w14:textFill>
                  <w14:solidFill>
                    <w14:schemeClr w14:val="tx1"/>
                  </w14:solidFill>
                </w14:textFill>
              </w:rPr>
              <w:t>，</w:t>
            </w:r>
            <w:r>
              <w:rPr>
                <w:rFonts w:ascii="宋体" w:hAnsi="宋体" w:eastAsia="宋体" w:cs="宋体"/>
                <w:b/>
                <w:bCs/>
                <w:color w:val="000000" w:themeColor="text1"/>
                <w:sz w:val="21"/>
                <w:highlight w:val="none"/>
                <w14:textFill>
                  <w14:solidFill>
                    <w14:schemeClr w14:val="tx1"/>
                  </w14:solidFill>
                </w14:textFill>
              </w:rPr>
              <w:t>否则</w:t>
            </w:r>
            <w:r>
              <w:rPr>
                <w:rFonts w:hint="eastAsia" w:ascii="宋体" w:hAnsi="宋体" w:eastAsia="宋体" w:cs="宋体"/>
                <w:b/>
                <w:bCs/>
                <w:color w:val="000000" w:themeColor="text1"/>
                <w:sz w:val="21"/>
                <w:highlight w:val="none"/>
                <w:lang w:val="en-US" w:eastAsia="zh-CN"/>
                <w14:textFill>
                  <w14:solidFill>
                    <w14:schemeClr w14:val="tx1"/>
                  </w14:solidFill>
                </w14:textFill>
              </w:rPr>
              <w:t>不予认可</w:t>
            </w:r>
            <w:r>
              <w:rPr>
                <w:rFonts w:hint="eastAsia" w:ascii="宋体" w:hAnsi="宋体" w:cs="宋体"/>
                <w:b/>
                <w:bCs/>
                <w:color w:val="000000" w:themeColor="text1"/>
                <w:sz w:val="21"/>
                <w:szCs w:val="21"/>
                <w:highlight w:val="none"/>
                <w:lang w:bidi="ar"/>
                <w14:textFill>
                  <w14:solidFill>
                    <w14:schemeClr w14:val="tx1"/>
                  </w14:solidFill>
                </w14:textFill>
              </w:rPr>
              <w:t>。</w:t>
            </w:r>
          </w:p>
        </w:tc>
      </w:tr>
      <w:tr w14:paraId="41077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2" w:type="dxa"/>
            <w:vMerge w:val="continue"/>
            <w:vAlign w:val="center"/>
          </w:tcPr>
          <w:p w14:paraId="39902189">
            <w:pPr>
              <w:spacing w:after="0" w:line="240" w:lineRule="auto"/>
              <w:jc w:val="center"/>
              <w:rPr>
                <w:color w:val="FF0000"/>
                <w:vertAlign w:val="baseline"/>
              </w:rPr>
            </w:pPr>
          </w:p>
        </w:tc>
        <w:tc>
          <w:tcPr>
            <w:tcW w:w="1418" w:type="dxa"/>
            <w:vMerge w:val="continue"/>
            <w:vAlign w:val="center"/>
          </w:tcPr>
          <w:p w14:paraId="7B97DEB0">
            <w:pPr>
              <w:spacing w:after="0" w:line="240" w:lineRule="auto"/>
              <w:jc w:val="center"/>
              <w:rPr>
                <w:color w:val="FF0000"/>
                <w:vertAlign w:val="baseline"/>
              </w:rPr>
            </w:pPr>
          </w:p>
        </w:tc>
        <w:tc>
          <w:tcPr>
            <w:tcW w:w="5646" w:type="dxa"/>
            <w:vAlign w:val="center"/>
          </w:tcPr>
          <w:p w14:paraId="4FE723BE">
            <w:pPr>
              <w:spacing w:after="0" w:line="240" w:lineRule="auto"/>
              <w:jc w:val="both"/>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项目组成员</w:t>
            </w:r>
            <w:r>
              <w:rPr>
                <w:rFonts w:hint="eastAsia" w:ascii="宋体" w:hAnsi="宋体" w:eastAsia="宋体" w:cs="宋体"/>
                <w:b/>
                <w:bCs/>
                <w:color w:val="auto"/>
                <w:spacing w:val="5"/>
                <w:sz w:val="21"/>
                <w:szCs w:val="21"/>
                <w:highlight w:val="none"/>
                <w:lang w:eastAsia="zh-CN"/>
              </w:rPr>
              <w:t>（</w:t>
            </w:r>
            <w:r>
              <w:rPr>
                <w:rFonts w:hint="eastAsia" w:ascii="宋体" w:hAnsi="宋体" w:eastAsia="宋体" w:cs="宋体"/>
                <w:b/>
                <w:bCs/>
                <w:color w:val="auto"/>
                <w:spacing w:val="5"/>
                <w:sz w:val="21"/>
                <w:szCs w:val="21"/>
                <w:highlight w:val="none"/>
                <w:lang w:val="en-US" w:eastAsia="zh-CN"/>
              </w:rPr>
              <w:t>不包含</w:t>
            </w:r>
            <w:r>
              <w:rPr>
                <w:rFonts w:hint="eastAsia" w:ascii="宋体" w:hAnsi="宋体" w:eastAsia="宋体" w:cs="宋体"/>
                <w:b/>
                <w:bCs/>
                <w:color w:val="auto"/>
                <w:spacing w:val="5"/>
                <w:sz w:val="21"/>
                <w:szCs w:val="21"/>
                <w:highlight w:val="none"/>
              </w:rPr>
              <w:t>项目组负责人</w:t>
            </w:r>
            <w:r>
              <w:rPr>
                <w:rFonts w:hint="eastAsia" w:ascii="宋体" w:hAnsi="宋体" w:eastAsia="宋体" w:cs="宋体"/>
                <w:b/>
                <w:bCs/>
                <w:color w:val="auto"/>
                <w:spacing w:val="5"/>
                <w:sz w:val="21"/>
                <w:szCs w:val="21"/>
                <w:highlight w:val="none"/>
                <w:lang w:val="en-US" w:eastAsia="zh-CN"/>
              </w:rPr>
              <w:t>及驻点人员</w:t>
            </w:r>
            <w:r>
              <w:rPr>
                <w:rFonts w:hint="eastAsia" w:ascii="宋体" w:hAnsi="宋体" w:eastAsia="宋体" w:cs="宋体"/>
                <w:b/>
                <w:bCs/>
                <w:color w:val="auto"/>
                <w:spacing w:val="5"/>
                <w:sz w:val="21"/>
                <w:szCs w:val="21"/>
                <w:highlight w:val="none"/>
                <w:lang w:eastAsia="zh-CN"/>
              </w:rPr>
              <w:t>）</w:t>
            </w:r>
            <w:r>
              <w:rPr>
                <w:rFonts w:hint="eastAsia" w:ascii="宋体" w:hAnsi="宋体" w:eastAsia="宋体" w:cs="宋体"/>
                <w:color w:val="auto"/>
                <w:spacing w:val="5"/>
                <w:sz w:val="21"/>
                <w:szCs w:val="21"/>
                <w:highlight w:val="none"/>
              </w:rPr>
              <w:t>具有环境保护类正高级职称的，每有一人得</w:t>
            </w:r>
            <w:r>
              <w:rPr>
                <w:rFonts w:hint="eastAsia" w:ascii="宋体" w:hAnsi="宋体" w:eastAsia="宋体" w:cs="宋体"/>
                <w:color w:val="auto"/>
                <w:spacing w:val="5"/>
                <w:sz w:val="21"/>
                <w:szCs w:val="21"/>
                <w:highlight w:val="none"/>
                <w:lang w:val="en-US" w:eastAsia="zh-CN"/>
              </w:rPr>
              <w:t>2</w:t>
            </w:r>
            <w:r>
              <w:rPr>
                <w:rFonts w:hint="eastAsia" w:ascii="宋体" w:hAnsi="宋体" w:eastAsia="宋体" w:cs="宋体"/>
                <w:color w:val="auto"/>
                <w:spacing w:val="5"/>
                <w:sz w:val="21"/>
                <w:szCs w:val="21"/>
                <w:highlight w:val="none"/>
              </w:rPr>
              <w:t>分；环境保护类副高级职称的，每有一人得1分；具有环境保护类中级职称的，每有一人得0.5分，本项最高得</w:t>
            </w:r>
            <w:r>
              <w:rPr>
                <w:rFonts w:hint="eastAsia" w:ascii="宋体" w:hAnsi="宋体" w:eastAsia="宋体" w:cs="宋体"/>
                <w:color w:val="auto"/>
                <w:spacing w:val="5"/>
                <w:sz w:val="21"/>
                <w:szCs w:val="21"/>
                <w:highlight w:val="none"/>
                <w:lang w:val="en-US" w:eastAsia="zh-CN"/>
              </w:rPr>
              <w:t>6</w:t>
            </w:r>
            <w:r>
              <w:rPr>
                <w:rFonts w:hint="eastAsia" w:ascii="宋体" w:hAnsi="宋体" w:eastAsia="宋体" w:cs="宋体"/>
                <w:color w:val="auto"/>
                <w:spacing w:val="5"/>
                <w:sz w:val="21"/>
                <w:szCs w:val="21"/>
                <w:highlight w:val="none"/>
              </w:rPr>
              <w:t>分。</w:t>
            </w:r>
          </w:p>
          <w:p w14:paraId="06D81C71">
            <w:pPr>
              <w:spacing w:after="0" w:line="240" w:lineRule="auto"/>
              <w:jc w:val="both"/>
              <w:rPr>
                <w:rFonts w:hint="eastAsia" w:ascii="宋体" w:hAnsi="宋体" w:cs="宋体"/>
                <w:b/>
                <w:bCs/>
                <w:color w:val="000000"/>
                <w:sz w:val="21"/>
                <w:szCs w:val="21"/>
                <w:lang w:bidi="ar"/>
              </w:rPr>
            </w:pPr>
            <w:r>
              <w:rPr>
                <w:rFonts w:hint="eastAsia" w:ascii="宋体" w:hAnsi="宋体" w:cs="宋体"/>
                <w:b/>
                <w:bCs/>
                <w:color w:val="000000"/>
                <w:sz w:val="21"/>
                <w:szCs w:val="21"/>
                <w:lang w:bidi="ar"/>
              </w:rPr>
              <w:t>人员不重复</w:t>
            </w:r>
            <w:r>
              <w:rPr>
                <w:rFonts w:hint="eastAsia" w:ascii="宋体" w:hAnsi="宋体" w:eastAsia="宋体" w:cs="宋体"/>
                <w:b/>
                <w:bCs/>
                <w:color w:val="000000"/>
                <w:sz w:val="21"/>
                <w:szCs w:val="21"/>
                <w:lang w:val="en-US" w:eastAsia="zh-CN" w:bidi="ar"/>
              </w:rPr>
              <w:t>计分</w:t>
            </w:r>
            <w:r>
              <w:rPr>
                <w:rFonts w:hint="eastAsia" w:ascii="宋体" w:hAnsi="宋体" w:cs="宋体"/>
                <w:b/>
                <w:bCs/>
                <w:color w:val="000000"/>
                <w:sz w:val="21"/>
                <w:szCs w:val="21"/>
                <w:lang w:bidi="ar"/>
              </w:rPr>
              <w:t>，重复按1次计分。</w:t>
            </w:r>
          </w:p>
          <w:p w14:paraId="1F9F68B0">
            <w:pPr>
              <w:spacing w:after="0" w:line="240" w:lineRule="auto"/>
              <w:jc w:val="both"/>
              <w:rPr>
                <w:color w:val="FF0000"/>
                <w:vertAlign w:val="baseli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注：</w:t>
            </w:r>
            <w:r>
              <w:rPr>
                <w:rFonts w:hint="eastAsia" w:ascii="宋体" w:hAnsi="宋体" w:cs="宋体"/>
                <w:b/>
                <w:bCs/>
                <w:color w:val="000000" w:themeColor="text1"/>
                <w:sz w:val="21"/>
                <w:szCs w:val="21"/>
                <w:highlight w:val="none"/>
                <w:lang w:bidi="ar"/>
                <w14:textFill>
                  <w14:solidFill>
                    <w14:schemeClr w14:val="tx1"/>
                  </w14:solidFill>
                </w14:textFill>
              </w:rPr>
              <w:t>投标时</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须</w:t>
            </w:r>
            <w:r>
              <w:rPr>
                <w:rFonts w:hint="eastAsia" w:ascii="宋体" w:hAnsi="宋体" w:cs="宋体"/>
                <w:b/>
                <w:bCs/>
                <w:color w:val="000000" w:themeColor="text1"/>
                <w:sz w:val="21"/>
                <w:szCs w:val="21"/>
                <w:highlight w:val="none"/>
                <w:lang w:bidi="ar"/>
                <w14:textFill>
                  <w14:solidFill>
                    <w14:schemeClr w14:val="tx1"/>
                  </w14:solidFill>
                </w14:textFill>
              </w:rPr>
              <w:t>提供相关人员的证书</w:t>
            </w:r>
            <w:r>
              <w:rPr>
                <w:rFonts w:hint="eastAsia" w:ascii="宋体" w:hAnsi="宋体" w:cs="宋体"/>
                <w:b/>
                <w:bCs/>
                <w:color w:val="000000" w:themeColor="text1"/>
                <w:sz w:val="21"/>
                <w:szCs w:val="21"/>
                <w:highlight w:val="none"/>
                <w14:textFill>
                  <w14:solidFill>
                    <w14:schemeClr w14:val="tx1"/>
                  </w14:solidFill>
                </w14:textFill>
              </w:rPr>
              <w:t>原件彩色扫描件</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同时还须提供</w:t>
            </w:r>
            <w:r>
              <w:rPr>
                <w:rFonts w:hint="eastAsia" w:ascii="宋体" w:hAnsi="宋体" w:cs="宋体"/>
                <w:b/>
                <w:bCs/>
                <w:color w:val="000000" w:themeColor="text1"/>
                <w:sz w:val="21"/>
                <w:szCs w:val="21"/>
                <w:highlight w:val="none"/>
                <w:lang w:bidi="ar"/>
                <w14:textFill>
                  <w14:solidFill>
                    <w14:schemeClr w14:val="tx1"/>
                  </w14:solidFill>
                </w14:textFill>
              </w:rPr>
              <w:t>202</w:t>
            </w:r>
            <w:r>
              <w:rPr>
                <w:rFonts w:hint="eastAsia" w:ascii="宋体" w:hAnsi="宋体" w:cs="宋体"/>
                <w:b/>
                <w:bCs/>
                <w:color w:val="000000" w:themeColor="text1"/>
                <w:sz w:val="21"/>
                <w:szCs w:val="21"/>
                <w:highlight w:val="none"/>
                <w:lang w:val="en-US" w:eastAsia="zh-CN" w:bidi="ar"/>
                <w14:textFill>
                  <w14:solidFill>
                    <w14:schemeClr w14:val="tx1"/>
                  </w14:solidFill>
                </w14:textFill>
              </w:rPr>
              <w:t>6</w:t>
            </w:r>
            <w:r>
              <w:rPr>
                <w:rFonts w:hint="eastAsia" w:ascii="宋体" w:hAnsi="宋体" w:cs="宋体"/>
                <w:b/>
                <w:bCs/>
                <w:color w:val="000000" w:themeColor="text1"/>
                <w:sz w:val="21"/>
                <w:szCs w:val="21"/>
                <w:highlight w:val="none"/>
                <w:lang w:bidi="ar"/>
                <w14:textFill>
                  <w14:solidFill>
                    <w14:schemeClr w14:val="tx1"/>
                  </w14:solidFill>
                </w14:textFill>
              </w:rPr>
              <w:t>年</w:t>
            </w:r>
            <w:r>
              <w:rPr>
                <w:rFonts w:hint="eastAsia" w:ascii="宋体" w:hAnsi="宋体" w:cs="宋体"/>
                <w:b/>
                <w:bCs/>
                <w:color w:val="000000" w:themeColor="text1"/>
                <w:sz w:val="21"/>
                <w:szCs w:val="21"/>
                <w:highlight w:val="none"/>
                <w:lang w:val="en-US" w:eastAsia="zh-CN" w:bidi="ar"/>
                <w14:textFill>
                  <w14:solidFill>
                    <w14:schemeClr w14:val="tx1"/>
                  </w14:solidFill>
                </w14:textFill>
              </w:rPr>
              <w:t>4</w:t>
            </w:r>
            <w:r>
              <w:rPr>
                <w:rFonts w:hint="eastAsia" w:ascii="宋体" w:hAnsi="宋体" w:cs="宋体"/>
                <w:b/>
                <w:bCs/>
                <w:color w:val="000000" w:themeColor="text1"/>
                <w:sz w:val="21"/>
                <w:szCs w:val="21"/>
                <w:highlight w:val="none"/>
                <w:lang w:bidi="ar"/>
                <w14:textFill>
                  <w14:solidFill>
                    <w14:schemeClr w14:val="tx1"/>
                  </w14:solidFill>
                </w14:textFill>
              </w:rPr>
              <w:t>月以来任意一个月投标人为其缴纳</w:t>
            </w:r>
            <w:r>
              <w:rPr>
                <w:rFonts w:hint="eastAsia" w:asciiTheme="minorEastAsia" w:hAnsiTheme="minorEastAsia" w:cstheme="minorEastAsia"/>
                <w:b/>
                <w:bCs/>
                <w:color w:val="000000" w:themeColor="text1"/>
                <w:szCs w:val="21"/>
                <w:highlight w:val="none"/>
                <w14:textFill>
                  <w14:solidFill>
                    <w14:schemeClr w14:val="tx1"/>
                  </w14:solidFill>
                </w14:textFill>
              </w:rPr>
              <w:t>养老保险参保缴费证明（带二维码）</w:t>
            </w:r>
            <w:r>
              <w:rPr>
                <w:rFonts w:hint="eastAsia" w:eastAsia="宋体" w:asciiTheme="minorEastAsia" w:hAnsiTheme="minorEastAsia" w:cstheme="minorEastAsia"/>
                <w:b/>
                <w:bCs/>
                <w:color w:val="000000" w:themeColor="text1"/>
                <w:szCs w:val="21"/>
                <w:highlight w:val="none"/>
                <w:lang w:val="en-US" w:eastAsia="zh-CN"/>
                <w14:textFill>
                  <w14:solidFill>
                    <w14:schemeClr w14:val="tx1"/>
                  </w14:solidFill>
                </w14:textFill>
              </w:rPr>
              <w:t>原件彩色</w:t>
            </w:r>
            <w:r>
              <w:rPr>
                <w:rFonts w:hint="eastAsia" w:asciiTheme="minorEastAsia" w:hAnsiTheme="minorEastAsia" w:cstheme="minorEastAsia"/>
                <w:b/>
                <w:bCs/>
                <w:color w:val="000000" w:themeColor="text1"/>
                <w:szCs w:val="21"/>
                <w:highlight w:val="none"/>
                <w14:textFill>
                  <w14:solidFill>
                    <w14:schemeClr w14:val="tx1"/>
                  </w14:solidFill>
                </w14:textFill>
              </w:rPr>
              <w:t>扫描件</w:t>
            </w:r>
            <w:r>
              <w:rPr>
                <w:rFonts w:hint="eastAsia" w:eastAsia="宋体" w:asciiTheme="minorEastAsia" w:hAnsiTheme="minorEastAsia" w:cstheme="minorEastAsia"/>
                <w:b/>
                <w:bCs/>
                <w:color w:val="000000" w:themeColor="text1"/>
                <w:szCs w:val="21"/>
                <w:highlight w:val="none"/>
                <w:lang w:eastAsia="zh-CN"/>
                <w14:textFill>
                  <w14:solidFill>
                    <w14:schemeClr w14:val="tx1"/>
                  </w14:solidFill>
                </w14:textFill>
              </w:rPr>
              <w:t>，</w:t>
            </w:r>
            <w:r>
              <w:rPr>
                <w:rFonts w:ascii="宋体" w:hAnsi="宋体" w:eastAsia="宋体" w:cs="宋体"/>
                <w:b/>
                <w:bCs/>
                <w:color w:val="000000" w:themeColor="text1"/>
                <w:sz w:val="21"/>
                <w:highlight w:val="none"/>
                <w14:textFill>
                  <w14:solidFill>
                    <w14:schemeClr w14:val="tx1"/>
                  </w14:solidFill>
                </w14:textFill>
              </w:rPr>
              <w:t>否则</w:t>
            </w:r>
            <w:r>
              <w:rPr>
                <w:rFonts w:hint="eastAsia" w:ascii="宋体" w:hAnsi="宋体" w:eastAsia="宋体" w:cs="宋体"/>
                <w:b/>
                <w:bCs/>
                <w:color w:val="000000" w:themeColor="text1"/>
                <w:sz w:val="21"/>
                <w:highlight w:val="none"/>
                <w:lang w:val="en-US" w:eastAsia="zh-CN"/>
                <w14:textFill>
                  <w14:solidFill>
                    <w14:schemeClr w14:val="tx1"/>
                  </w14:solidFill>
                </w14:textFill>
              </w:rPr>
              <w:t>不予认可</w:t>
            </w:r>
            <w:r>
              <w:rPr>
                <w:rFonts w:hint="eastAsia" w:ascii="宋体" w:hAnsi="宋体" w:cs="宋体"/>
                <w:b/>
                <w:bCs/>
                <w:color w:val="000000" w:themeColor="text1"/>
                <w:sz w:val="21"/>
                <w:szCs w:val="21"/>
                <w:highlight w:val="none"/>
                <w:lang w:bidi="ar"/>
                <w14:textFill>
                  <w14:solidFill>
                    <w14:schemeClr w14:val="tx1"/>
                  </w14:solidFill>
                </w14:textFill>
              </w:rPr>
              <w:t>。</w:t>
            </w:r>
          </w:p>
        </w:tc>
      </w:tr>
      <w:tr w14:paraId="1F1E9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2" w:type="dxa"/>
            <w:vMerge w:val="continue"/>
            <w:vAlign w:val="center"/>
          </w:tcPr>
          <w:p w14:paraId="02BE35FB">
            <w:pPr>
              <w:spacing w:after="0" w:line="240" w:lineRule="auto"/>
              <w:jc w:val="center"/>
              <w:rPr>
                <w:color w:val="FF0000"/>
                <w:vertAlign w:val="baseline"/>
              </w:rPr>
            </w:pPr>
          </w:p>
        </w:tc>
        <w:tc>
          <w:tcPr>
            <w:tcW w:w="1418" w:type="dxa"/>
            <w:vMerge w:val="continue"/>
            <w:vAlign w:val="center"/>
          </w:tcPr>
          <w:p w14:paraId="0615AA88">
            <w:pPr>
              <w:spacing w:after="0" w:line="240" w:lineRule="auto"/>
              <w:jc w:val="center"/>
              <w:rPr>
                <w:color w:val="FF0000"/>
                <w:vertAlign w:val="baseline"/>
              </w:rPr>
            </w:pPr>
          </w:p>
        </w:tc>
        <w:tc>
          <w:tcPr>
            <w:tcW w:w="5646" w:type="dxa"/>
            <w:vAlign w:val="center"/>
          </w:tcPr>
          <w:p w14:paraId="614B4FFF">
            <w:pPr>
              <w:spacing w:after="0" w:line="240" w:lineRule="auto"/>
              <w:jc w:val="both"/>
              <w:rPr>
                <w:rFonts w:hint="eastAsia" w:eastAsia="宋体"/>
                <w:color w:val="FF0000"/>
                <w:vertAlign w:val="baseli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pacing w:val="5"/>
                <w:sz w:val="21"/>
                <w:szCs w:val="21"/>
                <w:highlight w:val="none"/>
              </w:rPr>
              <w:t>项目要求至少2人驻点，项目执行期间，未经采购人允许，不得更换</w:t>
            </w:r>
            <w:r>
              <w:rPr>
                <w:rFonts w:hint="eastAsia" w:ascii="宋体" w:hAnsi="宋体" w:eastAsia="宋体" w:cs="宋体"/>
                <w:color w:val="auto"/>
                <w:spacing w:val="5"/>
                <w:sz w:val="21"/>
                <w:szCs w:val="21"/>
                <w:highlight w:val="none"/>
                <w:lang w:eastAsia="zh-CN"/>
              </w:rPr>
              <w:t>。</w:t>
            </w:r>
            <w:r>
              <w:rPr>
                <w:rFonts w:hint="eastAsia" w:ascii="宋体" w:hAnsi="宋体" w:eastAsia="宋体" w:cs="宋体"/>
                <w:color w:val="auto"/>
                <w:spacing w:val="5"/>
                <w:sz w:val="21"/>
                <w:szCs w:val="21"/>
                <w:highlight w:val="none"/>
              </w:rPr>
              <w:t>驻点人员具有硕士及以上学历且具有环境保护类中级及以上职称，每有一人得1分；本项最高得</w:t>
            </w:r>
            <w:r>
              <w:rPr>
                <w:rFonts w:hint="eastAsia" w:ascii="宋体" w:hAnsi="宋体" w:eastAsia="宋体" w:cs="宋体"/>
                <w:color w:val="auto"/>
                <w:spacing w:val="5"/>
                <w:sz w:val="21"/>
                <w:szCs w:val="21"/>
                <w:highlight w:val="none"/>
                <w:lang w:val="en-US" w:eastAsia="zh-CN"/>
              </w:rPr>
              <w:t>2</w:t>
            </w:r>
            <w:r>
              <w:rPr>
                <w:rFonts w:hint="eastAsia" w:ascii="宋体" w:hAnsi="宋体" w:eastAsia="宋体" w:cs="宋体"/>
                <w:color w:val="auto"/>
                <w:spacing w:val="5"/>
                <w:sz w:val="21"/>
                <w:szCs w:val="21"/>
                <w:highlight w:val="none"/>
              </w:rPr>
              <w:t>分。</w:t>
            </w:r>
            <w:r>
              <w:rPr>
                <w:rFonts w:hint="eastAsia" w:ascii="宋体" w:hAnsi="宋体" w:eastAsia="宋体" w:cs="宋体"/>
                <w:color w:val="auto"/>
                <w:spacing w:val="5"/>
                <w:sz w:val="21"/>
                <w:szCs w:val="21"/>
                <w:highlight w:val="none"/>
                <w:lang w:eastAsia="zh-CN"/>
              </w:rPr>
              <w:t>（</w:t>
            </w:r>
            <w:r>
              <w:rPr>
                <w:rFonts w:hint="eastAsia" w:ascii="宋体" w:hAnsi="宋体" w:eastAsia="宋体" w:cs="宋体"/>
                <w:color w:val="auto"/>
                <w:spacing w:val="5"/>
                <w:sz w:val="21"/>
                <w:szCs w:val="21"/>
                <w:highlight w:val="none"/>
              </w:rPr>
              <w:t>驻点人员</w:t>
            </w:r>
            <w:r>
              <w:rPr>
                <w:rFonts w:hint="eastAsia" w:ascii="宋体" w:hAnsi="宋体" w:eastAsia="宋体" w:cs="宋体"/>
                <w:color w:val="auto"/>
                <w:spacing w:val="5"/>
                <w:sz w:val="21"/>
                <w:szCs w:val="21"/>
                <w:highlight w:val="none"/>
                <w:lang w:val="en-US" w:eastAsia="zh-CN"/>
              </w:rPr>
              <w:t>须</w:t>
            </w:r>
            <w:r>
              <w:rPr>
                <w:rFonts w:hint="eastAsia" w:ascii="宋体" w:hAnsi="宋体" w:eastAsia="宋体" w:cs="宋体"/>
                <w:color w:val="auto"/>
                <w:spacing w:val="5"/>
                <w:sz w:val="21"/>
                <w:szCs w:val="21"/>
                <w:highlight w:val="none"/>
              </w:rPr>
              <w:t>与投标时一致。</w:t>
            </w:r>
            <w:r>
              <w:rPr>
                <w:rFonts w:hint="eastAsia" w:ascii="宋体" w:hAnsi="宋体" w:eastAsia="宋体" w:cs="宋体"/>
                <w:color w:val="auto"/>
                <w:spacing w:val="5"/>
                <w:sz w:val="21"/>
                <w:szCs w:val="21"/>
                <w:highlight w:val="none"/>
                <w:lang w:eastAsia="zh-CN"/>
              </w:rPr>
              <w:t>）</w:t>
            </w:r>
          </w:p>
          <w:p w14:paraId="3E8AAECD">
            <w:pPr>
              <w:spacing w:after="0" w:line="240" w:lineRule="auto"/>
              <w:jc w:val="both"/>
              <w:rPr>
                <w:color w:val="FF0000"/>
                <w:vertAlign w:val="baseline"/>
              </w:rPr>
            </w:pPr>
            <w:r>
              <w:rPr>
                <w:rFonts w:hint="eastAsia" w:ascii="宋体" w:hAnsi="宋体" w:eastAsia="宋体" w:cs="宋体"/>
                <w:b/>
                <w:bCs/>
                <w:color w:val="000000" w:themeColor="text1"/>
                <w:szCs w:val="21"/>
                <w:highlight w:val="none"/>
                <w:lang w:val="en-US" w:eastAsia="zh-CN"/>
                <w14:textFill>
                  <w14:solidFill>
                    <w14:schemeClr w14:val="tx1"/>
                  </w14:solidFill>
                </w14:textFill>
              </w:rPr>
              <w:t>注：</w:t>
            </w:r>
            <w:r>
              <w:rPr>
                <w:rFonts w:hint="eastAsia" w:ascii="宋体" w:hAnsi="宋体" w:cs="宋体"/>
                <w:b/>
                <w:bCs/>
                <w:color w:val="000000" w:themeColor="text1"/>
                <w:sz w:val="21"/>
                <w:szCs w:val="21"/>
                <w:highlight w:val="none"/>
                <w:lang w:bidi="ar"/>
                <w14:textFill>
                  <w14:solidFill>
                    <w14:schemeClr w14:val="tx1"/>
                  </w14:solidFill>
                </w14:textFill>
              </w:rPr>
              <w:t>投标时</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须</w:t>
            </w:r>
            <w:r>
              <w:rPr>
                <w:rFonts w:hint="eastAsia" w:ascii="宋体" w:hAnsi="宋体" w:cs="宋体"/>
                <w:b/>
                <w:bCs/>
                <w:color w:val="000000" w:themeColor="text1"/>
                <w:sz w:val="21"/>
                <w:szCs w:val="21"/>
                <w:highlight w:val="none"/>
                <w:lang w:bidi="ar"/>
                <w14:textFill>
                  <w14:solidFill>
                    <w14:schemeClr w14:val="tx1"/>
                  </w14:solidFill>
                </w14:textFill>
              </w:rPr>
              <w:t>提供相关人员的证书</w:t>
            </w:r>
            <w:r>
              <w:rPr>
                <w:rFonts w:hint="eastAsia" w:ascii="宋体" w:hAnsi="宋体" w:cs="宋体"/>
                <w:b/>
                <w:bCs/>
                <w:color w:val="000000" w:themeColor="text1"/>
                <w:sz w:val="21"/>
                <w:szCs w:val="21"/>
                <w:highlight w:val="none"/>
                <w14:textFill>
                  <w14:solidFill>
                    <w14:schemeClr w14:val="tx1"/>
                  </w14:solidFill>
                </w14:textFill>
              </w:rPr>
              <w:t>原件彩色扫描件</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同时还须提供</w:t>
            </w:r>
            <w:r>
              <w:rPr>
                <w:rFonts w:hint="eastAsia" w:ascii="宋体" w:hAnsi="宋体" w:cs="宋体"/>
                <w:b/>
                <w:bCs/>
                <w:color w:val="000000" w:themeColor="text1"/>
                <w:sz w:val="21"/>
                <w:szCs w:val="21"/>
                <w:highlight w:val="none"/>
                <w:lang w:bidi="ar"/>
                <w14:textFill>
                  <w14:solidFill>
                    <w14:schemeClr w14:val="tx1"/>
                  </w14:solidFill>
                </w14:textFill>
              </w:rPr>
              <w:t>202</w:t>
            </w:r>
            <w:r>
              <w:rPr>
                <w:rFonts w:hint="eastAsia" w:ascii="宋体" w:hAnsi="宋体" w:cs="宋体"/>
                <w:b/>
                <w:bCs/>
                <w:color w:val="000000" w:themeColor="text1"/>
                <w:sz w:val="21"/>
                <w:szCs w:val="21"/>
                <w:highlight w:val="none"/>
                <w:lang w:val="en-US" w:eastAsia="zh-CN" w:bidi="ar"/>
                <w14:textFill>
                  <w14:solidFill>
                    <w14:schemeClr w14:val="tx1"/>
                  </w14:solidFill>
                </w14:textFill>
              </w:rPr>
              <w:t>6</w:t>
            </w:r>
            <w:r>
              <w:rPr>
                <w:rFonts w:hint="eastAsia" w:ascii="宋体" w:hAnsi="宋体" w:cs="宋体"/>
                <w:b/>
                <w:bCs/>
                <w:color w:val="000000" w:themeColor="text1"/>
                <w:sz w:val="21"/>
                <w:szCs w:val="21"/>
                <w:highlight w:val="none"/>
                <w:lang w:bidi="ar"/>
                <w14:textFill>
                  <w14:solidFill>
                    <w14:schemeClr w14:val="tx1"/>
                  </w14:solidFill>
                </w14:textFill>
              </w:rPr>
              <w:t>年</w:t>
            </w:r>
            <w:r>
              <w:rPr>
                <w:rFonts w:hint="eastAsia" w:ascii="宋体" w:hAnsi="宋体" w:cs="宋体"/>
                <w:b/>
                <w:bCs/>
                <w:color w:val="000000" w:themeColor="text1"/>
                <w:sz w:val="21"/>
                <w:szCs w:val="21"/>
                <w:highlight w:val="none"/>
                <w:lang w:val="en-US" w:eastAsia="zh-CN" w:bidi="ar"/>
                <w14:textFill>
                  <w14:solidFill>
                    <w14:schemeClr w14:val="tx1"/>
                  </w14:solidFill>
                </w14:textFill>
              </w:rPr>
              <w:t>4</w:t>
            </w:r>
            <w:r>
              <w:rPr>
                <w:rFonts w:hint="eastAsia" w:ascii="宋体" w:hAnsi="宋体" w:cs="宋体"/>
                <w:b/>
                <w:bCs/>
                <w:color w:val="000000" w:themeColor="text1"/>
                <w:sz w:val="21"/>
                <w:szCs w:val="21"/>
                <w:highlight w:val="none"/>
                <w:lang w:bidi="ar"/>
                <w14:textFill>
                  <w14:solidFill>
                    <w14:schemeClr w14:val="tx1"/>
                  </w14:solidFill>
                </w14:textFill>
              </w:rPr>
              <w:t>月以来任意一个月投标人为其缴纳</w:t>
            </w:r>
            <w:r>
              <w:rPr>
                <w:rFonts w:hint="eastAsia" w:asciiTheme="minorEastAsia" w:hAnsiTheme="minorEastAsia" w:cstheme="minorEastAsia"/>
                <w:b/>
                <w:bCs/>
                <w:color w:val="000000" w:themeColor="text1"/>
                <w:szCs w:val="21"/>
                <w:highlight w:val="none"/>
                <w14:textFill>
                  <w14:solidFill>
                    <w14:schemeClr w14:val="tx1"/>
                  </w14:solidFill>
                </w14:textFill>
              </w:rPr>
              <w:t>养老保险参保缴费证明（带二维码）</w:t>
            </w:r>
            <w:r>
              <w:rPr>
                <w:rFonts w:hint="eastAsia" w:eastAsia="宋体" w:asciiTheme="minorEastAsia" w:hAnsiTheme="minorEastAsia" w:cstheme="minorEastAsia"/>
                <w:b/>
                <w:bCs/>
                <w:color w:val="000000" w:themeColor="text1"/>
                <w:szCs w:val="21"/>
                <w:highlight w:val="none"/>
                <w:lang w:val="en-US" w:eastAsia="zh-CN"/>
                <w14:textFill>
                  <w14:solidFill>
                    <w14:schemeClr w14:val="tx1"/>
                  </w14:solidFill>
                </w14:textFill>
              </w:rPr>
              <w:t>原件彩色</w:t>
            </w:r>
            <w:r>
              <w:rPr>
                <w:rFonts w:hint="eastAsia" w:asciiTheme="minorEastAsia" w:hAnsiTheme="minorEastAsia" w:cstheme="minorEastAsia"/>
                <w:b/>
                <w:bCs/>
                <w:color w:val="000000" w:themeColor="text1"/>
                <w:szCs w:val="21"/>
                <w:highlight w:val="none"/>
                <w14:textFill>
                  <w14:solidFill>
                    <w14:schemeClr w14:val="tx1"/>
                  </w14:solidFill>
                </w14:textFill>
              </w:rPr>
              <w:t>扫描件</w:t>
            </w:r>
            <w:r>
              <w:rPr>
                <w:rFonts w:hint="eastAsia" w:eastAsia="宋体" w:asciiTheme="minorEastAsia" w:hAnsiTheme="minorEastAsia" w:cstheme="minorEastAsia"/>
                <w:b/>
                <w:bCs/>
                <w:color w:val="000000" w:themeColor="text1"/>
                <w:szCs w:val="21"/>
                <w:highlight w:val="none"/>
                <w:lang w:eastAsia="zh-CN"/>
                <w14:textFill>
                  <w14:solidFill>
                    <w14:schemeClr w14:val="tx1"/>
                  </w14:solidFill>
                </w14:textFill>
              </w:rPr>
              <w:t>，</w:t>
            </w:r>
            <w:r>
              <w:rPr>
                <w:rFonts w:ascii="宋体" w:hAnsi="宋体" w:eastAsia="宋体" w:cs="宋体"/>
                <w:b/>
                <w:bCs/>
                <w:color w:val="000000" w:themeColor="text1"/>
                <w:sz w:val="21"/>
                <w:highlight w:val="none"/>
                <w14:textFill>
                  <w14:solidFill>
                    <w14:schemeClr w14:val="tx1"/>
                  </w14:solidFill>
                </w14:textFill>
              </w:rPr>
              <w:t>否则</w:t>
            </w:r>
            <w:r>
              <w:rPr>
                <w:rFonts w:hint="eastAsia" w:ascii="宋体" w:hAnsi="宋体" w:eastAsia="宋体" w:cs="宋体"/>
                <w:b/>
                <w:bCs/>
                <w:color w:val="000000" w:themeColor="text1"/>
                <w:sz w:val="21"/>
                <w:highlight w:val="none"/>
                <w:lang w:val="en-US" w:eastAsia="zh-CN"/>
                <w14:textFill>
                  <w14:solidFill>
                    <w14:schemeClr w14:val="tx1"/>
                  </w14:solidFill>
                </w14:textFill>
              </w:rPr>
              <w:t>不予认可</w:t>
            </w:r>
            <w:r>
              <w:rPr>
                <w:rFonts w:hint="eastAsia" w:ascii="宋体" w:hAnsi="宋体" w:cs="宋体"/>
                <w:b/>
                <w:bCs/>
                <w:color w:val="000000" w:themeColor="text1"/>
                <w:sz w:val="21"/>
                <w:szCs w:val="21"/>
                <w:highlight w:val="none"/>
                <w:lang w:bidi="ar"/>
                <w14:textFill>
                  <w14:solidFill>
                    <w14:schemeClr w14:val="tx1"/>
                  </w14:solidFill>
                </w14:textFill>
              </w:rPr>
              <w:t>。</w:t>
            </w:r>
          </w:p>
        </w:tc>
      </w:tr>
      <w:tr w14:paraId="37466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2" w:type="dxa"/>
            <w:vMerge w:val="continue"/>
            <w:vAlign w:val="center"/>
          </w:tcPr>
          <w:p w14:paraId="46C5540B">
            <w:pPr>
              <w:spacing w:after="0" w:line="240" w:lineRule="auto"/>
              <w:jc w:val="center"/>
              <w:rPr>
                <w:color w:val="FF0000"/>
                <w:vertAlign w:val="baseline"/>
              </w:rPr>
            </w:pPr>
          </w:p>
        </w:tc>
        <w:tc>
          <w:tcPr>
            <w:tcW w:w="1418" w:type="dxa"/>
            <w:vAlign w:val="center"/>
          </w:tcPr>
          <w:p w14:paraId="1F2AFA74">
            <w:pPr>
              <w:spacing w:after="0" w:line="240" w:lineRule="auto"/>
              <w:jc w:val="center"/>
              <w:rPr>
                <w:rFonts w:hint="eastAsia"/>
                <w:color w:val="000000" w:themeColor="text1"/>
                <w:vertAlign w:val="baseline"/>
                <w14:textFill>
                  <w14:solidFill>
                    <w14:schemeClr w14:val="tx1"/>
                  </w14:solidFill>
                </w14:textFill>
              </w:rPr>
            </w:pPr>
            <w:r>
              <w:rPr>
                <w:rFonts w:hint="eastAsia"/>
                <w:color w:val="000000" w:themeColor="text1"/>
                <w:vertAlign w:val="baseline"/>
                <w14:textFill>
                  <w14:solidFill>
                    <w14:schemeClr w14:val="tx1"/>
                  </w14:solidFill>
                </w14:textFill>
              </w:rPr>
              <w:t>管理体系</w:t>
            </w:r>
          </w:p>
          <w:p w14:paraId="0AAD9660">
            <w:pPr>
              <w:spacing w:after="0" w:line="240" w:lineRule="auto"/>
              <w:jc w:val="center"/>
              <w:rPr>
                <w:color w:val="000000" w:themeColor="text1"/>
                <w:vertAlign w:val="baseline"/>
                <w14:textFill>
                  <w14:solidFill>
                    <w14:schemeClr w14:val="tx1"/>
                  </w14:solidFill>
                </w14:textFill>
              </w:rPr>
            </w:pPr>
            <w:r>
              <w:rPr>
                <w:rFonts w:hint="eastAsia"/>
                <w:color w:val="000000" w:themeColor="text1"/>
                <w:vertAlign w:val="baseline"/>
                <w14:textFill>
                  <w14:solidFill>
                    <w14:schemeClr w14:val="tx1"/>
                  </w14:solidFill>
                </w14:textFill>
              </w:rPr>
              <w:t>（</w:t>
            </w:r>
            <w:r>
              <w:rPr>
                <w:rFonts w:hint="eastAsia" w:eastAsia="宋体"/>
                <w:color w:val="000000" w:themeColor="text1"/>
                <w:vertAlign w:val="baseline"/>
                <w:lang w:val="en-US" w:eastAsia="zh-CN"/>
                <w14:textFill>
                  <w14:solidFill>
                    <w14:schemeClr w14:val="tx1"/>
                  </w14:solidFill>
                </w14:textFill>
              </w:rPr>
              <w:t>6</w:t>
            </w:r>
            <w:r>
              <w:rPr>
                <w:rFonts w:hint="eastAsia"/>
                <w:color w:val="000000" w:themeColor="text1"/>
                <w:vertAlign w:val="baseline"/>
                <w14:textFill>
                  <w14:solidFill>
                    <w14:schemeClr w14:val="tx1"/>
                  </w14:solidFill>
                </w14:textFill>
              </w:rPr>
              <w:t>分）</w:t>
            </w:r>
          </w:p>
        </w:tc>
        <w:tc>
          <w:tcPr>
            <w:tcW w:w="5646" w:type="dxa"/>
            <w:vAlign w:val="center"/>
          </w:tcPr>
          <w:p w14:paraId="0BE0E13C">
            <w:pPr>
              <w:spacing w:after="0" w:line="240" w:lineRule="auto"/>
              <w:jc w:val="both"/>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投标人具有质量管理体系认证证书、环境管理体系认证证书、职业健康安全管理体系证书，每提供一个证书得2分，最高得</w:t>
            </w:r>
            <w:r>
              <w:rPr>
                <w:rFonts w:hint="eastAsia" w:ascii="宋体" w:hAnsi="宋体" w:eastAsia="宋体" w:cs="宋体"/>
                <w:color w:val="auto"/>
                <w:spacing w:val="5"/>
                <w:sz w:val="21"/>
                <w:szCs w:val="21"/>
                <w:highlight w:val="none"/>
                <w:lang w:val="en-US" w:eastAsia="zh-CN"/>
              </w:rPr>
              <w:t>6</w:t>
            </w:r>
            <w:r>
              <w:rPr>
                <w:rFonts w:hint="eastAsia" w:ascii="宋体" w:hAnsi="宋体" w:eastAsia="宋体" w:cs="宋体"/>
                <w:color w:val="auto"/>
                <w:spacing w:val="5"/>
                <w:sz w:val="21"/>
                <w:szCs w:val="21"/>
                <w:highlight w:val="none"/>
              </w:rPr>
              <w:t>分。</w:t>
            </w:r>
          </w:p>
          <w:p w14:paraId="150154A6">
            <w:pPr>
              <w:spacing w:after="0" w:line="240" w:lineRule="auto"/>
              <w:jc w:val="both"/>
              <w:rPr>
                <w:color w:val="FF0000"/>
                <w:vertAlign w:val="baseline"/>
              </w:rPr>
            </w:pPr>
            <w:r>
              <w:rPr>
                <w:rFonts w:hint="eastAsia" w:ascii="宋体" w:hAnsi="宋体" w:cs="宋体"/>
                <w:b/>
                <w:bCs/>
                <w:color w:val="000000"/>
                <w:sz w:val="21"/>
                <w:szCs w:val="21"/>
                <w:lang w:bidi="ar"/>
              </w:rPr>
              <w:t>投标时须提供</w:t>
            </w:r>
            <w:r>
              <w:rPr>
                <w:rFonts w:hint="eastAsia" w:ascii="宋体" w:hAnsi="宋体" w:eastAsia="宋体" w:cs="宋体"/>
                <w:b/>
                <w:bCs/>
                <w:color w:val="000000"/>
                <w:sz w:val="21"/>
                <w:szCs w:val="21"/>
                <w:lang w:val="en-US" w:eastAsia="zh-CN" w:bidi="ar"/>
              </w:rPr>
              <w:t>在</w:t>
            </w:r>
            <w:r>
              <w:rPr>
                <w:rFonts w:hint="eastAsia" w:ascii="宋体" w:hAnsi="宋体" w:cs="宋体"/>
                <w:b/>
                <w:bCs/>
                <w:color w:val="000000"/>
                <w:sz w:val="21"/>
                <w:szCs w:val="21"/>
                <w:lang w:bidi="ar"/>
              </w:rPr>
              <w:t>有效期内的证书原件彩色扫描件，未提供的不得分</w:t>
            </w:r>
            <w:r>
              <w:rPr>
                <w:rFonts w:hint="eastAsia" w:ascii="宋体" w:hAnsi="宋体" w:cs="宋体"/>
                <w:b/>
                <w:bCs/>
                <w:color w:val="000000"/>
                <w:sz w:val="21"/>
                <w:szCs w:val="21"/>
                <w:lang w:eastAsia="zh-CN" w:bidi="ar"/>
              </w:rPr>
              <w:t>。</w:t>
            </w:r>
          </w:p>
        </w:tc>
      </w:tr>
      <w:tr w14:paraId="3299D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2" w:type="dxa"/>
            <w:vMerge w:val="continue"/>
            <w:vAlign w:val="center"/>
          </w:tcPr>
          <w:p w14:paraId="1F1484DA">
            <w:pPr>
              <w:spacing w:after="0" w:line="240" w:lineRule="auto"/>
              <w:jc w:val="center"/>
              <w:rPr>
                <w:color w:val="FF0000"/>
                <w:vertAlign w:val="baseline"/>
              </w:rPr>
            </w:pPr>
          </w:p>
        </w:tc>
        <w:tc>
          <w:tcPr>
            <w:tcW w:w="1418" w:type="dxa"/>
            <w:vAlign w:val="center"/>
          </w:tcPr>
          <w:p w14:paraId="717446BA">
            <w:pPr>
              <w:spacing w:after="0" w:line="240" w:lineRule="auto"/>
              <w:jc w:val="center"/>
              <w:rPr>
                <w:rFonts w:hint="eastAsia"/>
                <w:color w:val="000000" w:themeColor="text1"/>
                <w:vertAlign w:val="baseline"/>
                <w14:textFill>
                  <w14:solidFill>
                    <w14:schemeClr w14:val="tx1"/>
                  </w14:solidFill>
                </w14:textFill>
              </w:rPr>
            </w:pPr>
            <w:r>
              <w:rPr>
                <w:rFonts w:hint="eastAsia"/>
                <w:color w:val="000000" w:themeColor="text1"/>
                <w:vertAlign w:val="baseline"/>
                <w14:textFill>
                  <w14:solidFill>
                    <w14:schemeClr w14:val="tx1"/>
                  </w14:solidFill>
                </w14:textFill>
              </w:rPr>
              <w:t>服务资质</w:t>
            </w:r>
          </w:p>
          <w:p w14:paraId="09556254">
            <w:pPr>
              <w:spacing w:after="0" w:line="240" w:lineRule="auto"/>
              <w:jc w:val="center"/>
              <w:rPr>
                <w:color w:val="000000" w:themeColor="text1"/>
                <w:vertAlign w:val="baseline"/>
                <w14:textFill>
                  <w14:solidFill>
                    <w14:schemeClr w14:val="tx1"/>
                  </w14:solidFill>
                </w14:textFill>
              </w:rPr>
            </w:pPr>
            <w:r>
              <w:rPr>
                <w:rFonts w:hint="eastAsia"/>
                <w:color w:val="000000" w:themeColor="text1"/>
                <w:vertAlign w:val="baseline"/>
                <w14:textFill>
                  <w14:solidFill>
                    <w14:schemeClr w14:val="tx1"/>
                  </w14:solidFill>
                </w14:textFill>
              </w:rPr>
              <w:t>（</w:t>
            </w:r>
            <w:r>
              <w:rPr>
                <w:rFonts w:hint="eastAsia" w:eastAsia="宋体"/>
                <w:color w:val="000000" w:themeColor="text1"/>
                <w:vertAlign w:val="baseline"/>
                <w:lang w:val="en-US" w:eastAsia="zh-CN"/>
                <w14:textFill>
                  <w14:solidFill>
                    <w14:schemeClr w14:val="tx1"/>
                  </w14:solidFill>
                </w14:textFill>
              </w:rPr>
              <w:t>3</w:t>
            </w:r>
            <w:r>
              <w:rPr>
                <w:rFonts w:hint="eastAsia"/>
                <w:color w:val="000000" w:themeColor="text1"/>
                <w:vertAlign w:val="baseline"/>
                <w14:textFill>
                  <w14:solidFill>
                    <w14:schemeClr w14:val="tx1"/>
                  </w14:solidFill>
                </w14:textFill>
              </w:rPr>
              <w:t>分）</w:t>
            </w:r>
          </w:p>
        </w:tc>
        <w:tc>
          <w:tcPr>
            <w:tcW w:w="5646" w:type="dxa"/>
            <w:vAlign w:val="center"/>
          </w:tcPr>
          <w:p w14:paraId="584B5F3B">
            <w:pPr>
              <w:spacing w:after="0" w:line="240" w:lineRule="auto"/>
              <w:jc w:val="both"/>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投标人具有环保管家服务资质一级的得</w:t>
            </w:r>
            <w:r>
              <w:rPr>
                <w:rFonts w:hint="eastAsia" w:ascii="宋体" w:hAnsi="宋体" w:eastAsia="宋体" w:cs="宋体"/>
                <w:color w:val="auto"/>
                <w:spacing w:val="5"/>
                <w:sz w:val="21"/>
                <w:szCs w:val="21"/>
                <w:highlight w:val="none"/>
                <w:lang w:val="en-US" w:eastAsia="zh-CN"/>
              </w:rPr>
              <w:t>3</w:t>
            </w:r>
            <w:r>
              <w:rPr>
                <w:rFonts w:hint="eastAsia" w:ascii="宋体" w:hAnsi="宋体" w:eastAsia="宋体" w:cs="宋体"/>
                <w:color w:val="auto"/>
                <w:spacing w:val="5"/>
                <w:sz w:val="21"/>
                <w:szCs w:val="21"/>
                <w:highlight w:val="none"/>
              </w:rPr>
              <w:t>分；二级得</w:t>
            </w:r>
            <w:r>
              <w:rPr>
                <w:rFonts w:hint="eastAsia" w:ascii="宋体" w:hAnsi="宋体" w:eastAsia="宋体" w:cs="宋体"/>
                <w:color w:val="auto"/>
                <w:spacing w:val="5"/>
                <w:sz w:val="21"/>
                <w:szCs w:val="21"/>
                <w:highlight w:val="none"/>
                <w:lang w:val="en-US" w:eastAsia="zh-CN"/>
              </w:rPr>
              <w:t>2</w:t>
            </w:r>
            <w:r>
              <w:rPr>
                <w:rFonts w:hint="eastAsia" w:ascii="宋体" w:hAnsi="宋体" w:eastAsia="宋体" w:cs="宋体"/>
                <w:color w:val="auto"/>
                <w:spacing w:val="5"/>
                <w:sz w:val="21"/>
                <w:szCs w:val="21"/>
                <w:highlight w:val="none"/>
              </w:rPr>
              <w:t>分；三级得</w:t>
            </w:r>
            <w:r>
              <w:rPr>
                <w:rFonts w:hint="eastAsia" w:ascii="宋体" w:hAnsi="宋体" w:eastAsia="宋体" w:cs="宋体"/>
                <w:color w:val="auto"/>
                <w:spacing w:val="5"/>
                <w:sz w:val="21"/>
                <w:szCs w:val="21"/>
                <w:highlight w:val="none"/>
                <w:lang w:val="en-US" w:eastAsia="zh-CN"/>
              </w:rPr>
              <w:t>1</w:t>
            </w:r>
            <w:r>
              <w:rPr>
                <w:rFonts w:hint="eastAsia" w:ascii="宋体" w:hAnsi="宋体" w:eastAsia="宋体" w:cs="宋体"/>
                <w:color w:val="auto"/>
                <w:spacing w:val="5"/>
                <w:sz w:val="21"/>
                <w:szCs w:val="21"/>
                <w:highlight w:val="none"/>
              </w:rPr>
              <w:t>分，本项最高得</w:t>
            </w:r>
            <w:r>
              <w:rPr>
                <w:rFonts w:hint="eastAsia" w:ascii="宋体" w:hAnsi="宋体" w:eastAsia="宋体" w:cs="宋体"/>
                <w:color w:val="auto"/>
                <w:spacing w:val="5"/>
                <w:sz w:val="21"/>
                <w:szCs w:val="21"/>
                <w:highlight w:val="none"/>
                <w:lang w:val="en-US" w:eastAsia="zh-CN"/>
              </w:rPr>
              <w:t>3</w:t>
            </w:r>
            <w:r>
              <w:rPr>
                <w:rFonts w:hint="eastAsia" w:ascii="宋体" w:hAnsi="宋体" w:eastAsia="宋体" w:cs="宋体"/>
                <w:color w:val="auto"/>
                <w:spacing w:val="5"/>
                <w:sz w:val="21"/>
                <w:szCs w:val="21"/>
                <w:highlight w:val="none"/>
              </w:rPr>
              <w:t>分</w:t>
            </w:r>
            <w:r>
              <w:rPr>
                <w:rFonts w:hint="eastAsia" w:ascii="宋体" w:hAnsi="宋体" w:eastAsia="宋体" w:cs="宋体"/>
                <w:color w:val="auto"/>
                <w:spacing w:val="5"/>
                <w:sz w:val="21"/>
                <w:szCs w:val="21"/>
                <w:highlight w:val="none"/>
                <w:lang w:eastAsia="zh-CN"/>
              </w:rPr>
              <w:t>。</w:t>
            </w:r>
          </w:p>
          <w:p w14:paraId="5612350B">
            <w:pPr>
              <w:spacing w:after="0" w:line="240" w:lineRule="auto"/>
              <w:jc w:val="both"/>
              <w:rPr>
                <w:rFonts w:hint="eastAsia" w:eastAsia="宋体"/>
                <w:color w:val="FF0000"/>
                <w:vertAlign w:val="baseline"/>
                <w:lang w:eastAsia="zh-CN"/>
              </w:rPr>
            </w:pPr>
            <w:r>
              <w:rPr>
                <w:rFonts w:hint="eastAsia" w:ascii="宋体" w:hAnsi="宋体" w:cs="宋体"/>
                <w:b/>
                <w:bCs/>
                <w:color w:val="000000"/>
                <w:sz w:val="21"/>
                <w:szCs w:val="21"/>
                <w:lang w:bidi="ar"/>
              </w:rPr>
              <w:t>投标时须提供</w:t>
            </w:r>
            <w:r>
              <w:rPr>
                <w:rFonts w:hint="eastAsia" w:ascii="宋体" w:hAnsi="宋体" w:eastAsia="宋体" w:cs="宋体"/>
                <w:b/>
                <w:bCs/>
                <w:color w:val="000000"/>
                <w:sz w:val="21"/>
                <w:szCs w:val="21"/>
                <w:lang w:val="en-US" w:eastAsia="zh-CN" w:bidi="ar"/>
              </w:rPr>
              <w:t>在</w:t>
            </w:r>
            <w:r>
              <w:rPr>
                <w:rFonts w:hint="eastAsia" w:ascii="宋体" w:hAnsi="宋体" w:cs="宋体"/>
                <w:b/>
                <w:bCs/>
                <w:color w:val="000000"/>
                <w:sz w:val="21"/>
                <w:szCs w:val="21"/>
                <w:lang w:bidi="ar"/>
              </w:rPr>
              <w:t>有效期内的证书原件彩色扫描件，未提供的不得分</w:t>
            </w:r>
            <w:r>
              <w:rPr>
                <w:rFonts w:hint="eastAsia" w:ascii="宋体" w:hAnsi="宋体" w:cs="宋体"/>
                <w:b/>
                <w:bCs/>
                <w:color w:val="000000"/>
                <w:sz w:val="21"/>
                <w:szCs w:val="21"/>
                <w:lang w:eastAsia="zh-CN" w:bidi="ar"/>
              </w:rPr>
              <w:t>。</w:t>
            </w:r>
          </w:p>
        </w:tc>
      </w:tr>
      <w:tr w14:paraId="64892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2" w:type="dxa"/>
            <w:vMerge w:val="continue"/>
            <w:vAlign w:val="center"/>
          </w:tcPr>
          <w:p w14:paraId="1A20BDD0">
            <w:pPr>
              <w:spacing w:after="0" w:line="240" w:lineRule="auto"/>
              <w:jc w:val="center"/>
              <w:rPr>
                <w:color w:val="FF0000"/>
                <w:vertAlign w:val="baseline"/>
              </w:rPr>
            </w:pPr>
          </w:p>
        </w:tc>
        <w:tc>
          <w:tcPr>
            <w:tcW w:w="1418" w:type="dxa"/>
            <w:vAlign w:val="center"/>
          </w:tcPr>
          <w:p w14:paraId="3EBC2081">
            <w:pPr>
              <w:adjustRightInd w:val="0"/>
              <w:snapToGrid w:val="0"/>
              <w:spacing w:after="0" w:line="240" w:lineRule="auto"/>
              <w:jc w:val="center"/>
              <w:rPr>
                <w:highlight w:val="none"/>
              </w:rPr>
            </w:pPr>
            <w:r>
              <w:rPr>
                <w:rFonts w:hint="eastAsia"/>
                <w:highlight w:val="none"/>
              </w:rPr>
              <w:t>应急处置能力</w:t>
            </w:r>
          </w:p>
          <w:p w14:paraId="5EF42F75">
            <w:pPr>
              <w:adjustRightInd w:val="0"/>
              <w:snapToGrid w:val="0"/>
              <w:spacing w:after="0" w:line="240" w:lineRule="auto"/>
              <w:jc w:val="center"/>
              <w:rPr>
                <w:rFonts w:hint="eastAsia"/>
                <w:color w:val="000000" w:themeColor="text1"/>
                <w:highlight w:val="none"/>
                <w:vertAlign w:val="baseline"/>
                <w14:textFill>
                  <w14:solidFill>
                    <w14:schemeClr w14:val="tx1"/>
                  </w14:solidFill>
                </w14:textFill>
              </w:rPr>
            </w:pPr>
            <w:r>
              <w:rPr>
                <w:rFonts w:hint="eastAsia"/>
                <w:highlight w:val="none"/>
              </w:rPr>
              <w:t>（</w:t>
            </w:r>
            <w:r>
              <w:rPr>
                <w:rFonts w:hint="eastAsia" w:eastAsia="宋体"/>
                <w:highlight w:val="none"/>
                <w:lang w:val="en-US" w:eastAsia="zh-CN"/>
              </w:rPr>
              <w:t>3</w:t>
            </w:r>
            <w:r>
              <w:rPr>
                <w:rFonts w:hint="eastAsia"/>
                <w:highlight w:val="none"/>
              </w:rPr>
              <w:t>分）</w:t>
            </w:r>
          </w:p>
        </w:tc>
        <w:tc>
          <w:tcPr>
            <w:tcW w:w="5646" w:type="dxa"/>
            <w:vAlign w:val="center"/>
          </w:tcPr>
          <w:p w14:paraId="12582AA8">
            <w:pPr>
              <w:adjustRightInd w:val="0"/>
              <w:snapToGrid w:val="0"/>
              <w:spacing w:after="0" w:line="240" w:lineRule="auto"/>
              <w:rPr>
                <w:rFonts w:hint="eastAsia"/>
                <w:highlight w:val="none"/>
              </w:rPr>
            </w:pPr>
            <w:r>
              <w:rPr>
                <w:rFonts w:hint="eastAsia" w:eastAsia="宋体"/>
                <w:highlight w:val="none"/>
                <w:lang w:val="en-US" w:eastAsia="zh-CN"/>
              </w:rPr>
              <w:t>供应商</w:t>
            </w:r>
            <w:r>
              <w:rPr>
                <w:rFonts w:hint="eastAsia"/>
                <w:highlight w:val="none"/>
              </w:rPr>
              <w:t>具备园区突发环境处置能力，</w:t>
            </w:r>
            <w:r>
              <w:rPr>
                <w:rFonts w:hint="eastAsia" w:eastAsia="宋体"/>
                <w:highlight w:val="none"/>
                <w:lang w:val="en-US" w:eastAsia="zh-CN"/>
              </w:rPr>
              <w:t>供应商</w:t>
            </w:r>
            <w:r>
              <w:rPr>
                <w:rFonts w:hint="eastAsia"/>
                <w:highlight w:val="none"/>
              </w:rPr>
              <w:t>属于省级或以上环境应急与事故调查中心备案的环境应急处置队伍单位的，得</w:t>
            </w:r>
            <w:r>
              <w:rPr>
                <w:rFonts w:hint="eastAsia" w:eastAsia="宋体"/>
                <w:highlight w:val="none"/>
                <w:lang w:val="en-US" w:eastAsia="zh-CN"/>
              </w:rPr>
              <w:t>3</w:t>
            </w:r>
            <w:r>
              <w:rPr>
                <w:rFonts w:hint="eastAsia"/>
                <w:highlight w:val="none"/>
              </w:rPr>
              <w:t>分；</w:t>
            </w:r>
            <w:r>
              <w:rPr>
                <w:rFonts w:hint="eastAsia" w:eastAsia="宋体"/>
                <w:highlight w:val="none"/>
                <w:lang w:val="en-US" w:eastAsia="zh-CN"/>
              </w:rPr>
              <w:t>供应商</w:t>
            </w:r>
            <w:r>
              <w:rPr>
                <w:rFonts w:hint="eastAsia"/>
                <w:highlight w:val="none"/>
              </w:rPr>
              <w:t>属于市级环境应急与事故调查中心备案的环境应急处置队伍单位的，得1</w:t>
            </w:r>
            <w:r>
              <w:rPr>
                <w:rFonts w:hint="eastAsia" w:eastAsia="宋体"/>
                <w:highlight w:val="none"/>
                <w:lang w:val="en-US" w:eastAsia="zh-CN"/>
              </w:rPr>
              <w:t>.5</w:t>
            </w:r>
            <w:r>
              <w:rPr>
                <w:rFonts w:hint="eastAsia"/>
                <w:highlight w:val="none"/>
              </w:rPr>
              <w:t>分，本项最高得</w:t>
            </w:r>
            <w:r>
              <w:rPr>
                <w:rFonts w:hint="eastAsia" w:eastAsia="宋体"/>
                <w:highlight w:val="none"/>
                <w:lang w:val="en-US" w:eastAsia="zh-CN"/>
              </w:rPr>
              <w:t>3</w:t>
            </w:r>
            <w:r>
              <w:rPr>
                <w:rFonts w:hint="eastAsia"/>
                <w:highlight w:val="none"/>
              </w:rPr>
              <w:t>分。</w:t>
            </w:r>
          </w:p>
          <w:p w14:paraId="473C4FA0">
            <w:pPr>
              <w:adjustRightInd w:val="0"/>
              <w:snapToGrid w:val="0"/>
              <w:spacing w:after="0" w:line="240" w:lineRule="auto"/>
              <w:rPr>
                <w:rFonts w:hint="eastAsia" w:ascii="宋体" w:hAnsi="宋体" w:cs="宋体"/>
                <w:b/>
                <w:bCs/>
                <w:color w:val="000000"/>
                <w:sz w:val="21"/>
                <w:szCs w:val="21"/>
                <w:highlight w:val="none"/>
                <w:lang w:bidi="ar"/>
              </w:rPr>
            </w:pPr>
            <w:r>
              <w:rPr>
                <w:rFonts w:hint="eastAsia" w:ascii="宋体" w:hAnsi="宋体" w:cs="宋体"/>
                <w:b/>
                <w:bCs/>
                <w:color w:val="000000"/>
                <w:sz w:val="21"/>
                <w:szCs w:val="21"/>
                <w:lang w:bidi="ar"/>
              </w:rPr>
              <w:t>投标时须提供</w:t>
            </w:r>
            <w:r>
              <w:rPr>
                <w:rFonts w:hint="eastAsia" w:ascii="宋体" w:hAnsi="宋体" w:cs="宋体"/>
                <w:b/>
                <w:bCs/>
                <w:color w:val="000000"/>
                <w:sz w:val="21"/>
                <w:szCs w:val="21"/>
                <w:lang w:val="en-US" w:eastAsia="zh-CN" w:bidi="ar"/>
              </w:rPr>
              <w:t>相关</w:t>
            </w:r>
            <w:r>
              <w:rPr>
                <w:rFonts w:hint="eastAsia" w:ascii="宋体" w:hAnsi="宋体" w:cs="宋体"/>
                <w:b/>
                <w:bCs/>
                <w:color w:val="000000"/>
                <w:sz w:val="21"/>
                <w:szCs w:val="21"/>
                <w:lang w:bidi="ar"/>
              </w:rPr>
              <w:t>证</w:t>
            </w:r>
            <w:r>
              <w:rPr>
                <w:rFonts w:hint="eastAsia" w:ascii="宋体" w:hAnsi="宋体" w:cs="宋体"/>
                <w:b/>
                <w:bCs/>
                <w:color w:val="000000"/>
                <w:sz w:val="21"/>
                <w:szCs w:val="21"/>
                <w:lang w:val="en-US" w:eastAsia="zh-CN" w:bidi="ar"/>
              </w:rPr>
              <w:t>明材料</w:t>
            </w:r>
            <w:r>
              <w:rPr>
                <w:rFonts w:hint="eastAsia" w:ascii="宋体" w:hAnsi="宋体" w:cs="宋体"/>
                <w:b/>
                <w:bCs/>
                <w:color w:val="000000"/>
                <w:sz w:val="21"/>
                <w:szCs w:val="21"/>
                <w:lang w:bidi="ar"/>
              </w:rPr>
              <w:t>原件彩色扫描件，</w:t>
            </w:r>
            <w:r>
              <w:rPr>
                <w:rFonts w:hint="eastAsia" w:ascii="宋体" w:hAnsi="宋体" w:cs="宋体"/>
                <w:b/>
                <w:bCs/>
                <w:color w:val="000000"/>
                <w:sz w:val="21"/>
                <w:szCs w:val="21"/>
                <w:highlight w:val="none"/>
                <w:lang w:bidi="ar"/>
              </w:rPr>
              <w:t>未提供的不得分</w:t>
            </w:r>
            <w:r>
              <w:rPr>
                <w:rFonts w:hint="eastAsia" w:ascii="宋体" w:hAnsi="宋体" w:cs="宋体"/>
                <w:b/>
                <w:bCs/>
                <w:color w:val="000000"/>
                <w:sz w:val="21"/>
                <w:szCs w:val="21"/>
                <w:highlight w:val="none"/>
                <w:lang w:eastAsia="zh-CN" w:bidi="ar"/>
              </w:rPr>
              <w:t>。</w:t>
            </w:r>
          </w:p>
        </w:tc>
      </w:tr>
      <w:tr w14:paraId="444F6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0" w:hRule="atLeast"/>
        </w:trPr>
        <w:tc>
          <w:tcPr>
            <w:tcW w:w="1302" w:type="dxa"/>
            <w:vMerge w:val="continue"/>
            <w:vAlign w:val="center"/>
          </w:tcPr>
          <w:p w14:paraId="55C23754">
            <w:pPr>
              <w:spacing w:after="0" w:line="240" w:lineRule="auto"/>
              <w:jc w:val="center"/>
              <w:rPr>
                <w:color w:val="FF0000"/>
                <w:vertAlign w:val="baseline"/>
              </w:rPr>
            </w:pPr>
          </w:p>
        </w:tc>
        <w:tc>
          <w:tcPr>
            <w:tcW w:w="1418" w:type="dxa"/>
            <w:vAlign w:val="center"/>
          </w:tcPr>
          <w:p w14:paraId="6C1573CE">
            <w:pPr>
              <w:spacing w:after="0" w:line="240" w:lineRule="auto"/>
              <w:jc w:val="center"/>
              <w:rPr>
                <w:rFonts w:hint="eastAsia"/>
                <w:vertAlign w:val="baseline"/>
              </w:rPr>
            </w:pPr>
            <w:r>
              <w:rPr>
                <w:rFonts w:hint="eastAsia"/>
                <w:vertAlign w:val="baseline"/>
              </w:rPr>
              <w:t>监测巡查能力</w:t>
            </w:r>
          </w:p>
          <w:p w14:paraId="48F750CD">
            <w:pPr>
              <w:adjustRightInd w:val="0"/>
              <w:snapToGrid w:val="0"/>
              <w:spacing w:after="0" w:line="240" w:lineRule="auto"/>
              <w:jc w:val="center"/>
              <w:rPr>
                <w:rFonts w:hint="eastAsia"/>
                <w:highlight w:val="none"/>
              </w:rPr>
            </w:pPr>
            <w:r>
              <w:rPr>
                <w:rFonts w:hint="eastAsia"/>
                <w:vertAlign w:val="baseline"/>
              </w:rPr>
              <w:t>（</w:t>
            </w:r>
            <w:r>
              <w:rPr>
                <w:rFonts w:hint="eastAsia" w:eastAsia="宋体"/>
                <w:vertAlign w:val="baseline"/>
                <w:lang w:val="en-US" w:eastAsia="zh-CN"/>
              </w:rPr>
              <w:t>7</w:t>
            </w:r>
            <w:r>
              <w:rPr>
                <w:rFonts w:hint="eastAsia"/>
                <w:vertAlign w:val="baseline"/>
              </w:rPr>
              <w:t>分）</w:t>
            </w:r>
          </w:p>
        </w:tc>
        <w:tc>
          <w:tcPr>
            <w:tcW w:w="5646" w:type="dxa"/>
            <w:vAlign w:val="center"/>
          </w:tcPr>
          <w:p w14:paraId="4CF1D89A">
            <w:pPr>
              <w:adjustRightInd w:val="0"/>
              <w:snapToGrid w:val="0"/>
              <w:spacing w:after="0" w:line="240" w:lineRule="auto"/>
              <w:rPr>
                <w:rFonts w:hint="eastAsia"/>
                <w:highlight w:val="none"/>
              </w:rPr>
            </w:pPr>
            <w:r>
              <w:rPr>
                <w:rFonts w:hint="eastAsia"/>
                <w:highlight w:val="none"/>
                <w:lang w:val="en-US" w:eastAsia="zh-CN"/>
              </w:rPr>
              <w:t>1.供应商</w:t>
            </w:r>
            <w:r>
              <w:rPr>
                <w:rFonts w:hint="eastAsia"/>
                <w:highlight w:val="none"/>
              </w:rPr>
              <w:t>具备巡查支撑能力：驻点配备巡航无人机的，每有</w:t>
            </w:r>
            <w:r>
              <w:rPr>
                <w:rFonts w:hint="eastAsia" w:ascii="宋体" w:hAnsi="宋体" w:eastAsia="宋体" w:cs="宋体"/>
                <w:b w:val="0"/>
                <w:bCs w:val="0"/>
                <w:highlight w:val="none"/>
              </w:rPr>
              <w:t>1</w:t>
            </w:r>
            <w:r>
              <w:rPr>
                <w:rFonts w:hint="eastAsia"/>
                <w:highlight w:val="none"/>
              </w:rPr>
              <w:t>台得</w:t>
            </w:r>
            <w:r>
              <w:rPr>
                <w:rFonts w:hint="eastAsia" w:ascii="宋体" w:hAnsi="宋体" w:eastAsia="宋体" w:cs="宋体"/>
                <w:highlight w:val="none"/>
              </w:rPr>
              <w:t>1</w:t>
            </w:r>
            <w:r>
              <w:rPr>
                <w:rFonts w:hint="eastAsia"/>
                <w:highlight w:val="none"/>
              </w:rPr>
              <w:t>分，本项最高</w:t>
            </w:r>
            <w:r>
              <w:rPr>
                <w:rFonts w:hint="eastAsia" w:eastAsia="宋体"/>
                <w:highlight w:val="none"/>
                <w:lang w:val="en-US" w:eastAsia="zh-CN"/>
              </w:rPr>
              <w:t>得</w:t>
            </w:r>
            <w:r>
              <w:rPr>
                <w:rFonts w:hint="eastAsia" w:ascii="宋体" w:hAnsi="宋体" w:eastAsia="宋体" w:cs="宋体"/>
                <w:highlight w:val="none"/>
              </w:rPr>
              <w:t>2</w:t>
            </w:r>
            <w:r>
              <w:rPr>
                <w:rFonts w:hint="eastAsia"/>
                <w:highlight w:val="none"/>
              </w:rPr>
              <w:t>分。</w:t>
            </w:r>
          </w:p>
          <w:p w14:paraId="3377999D">
            <w:pPr>
              <w:adjustRightInd w:val="0"/>
              <w:snapToGrid w:val="0"/>
              <w:spacing w:after="0" w:line="240" w:lineRule="auto"/>
              <w:rPr>
                <w:rFonts w:hint="eastAsia"/>
                <w:highlight w:val="none"/>
              </w:rPr>
            </w:pPr>
            <w:r>
              <w:rPr>
                <w:rFonts w:hint="eastAsia"/>
                <w:highlight w:val="none"/>
                <w:lang w:val="en-US" w:eastAsia="zh-CN"/>
              </w:rPr>
              <w:t>2.</w:t>
            </w:r>
            <w:r>
              <w:rPr>
                <w:rFonts w:hint="eastAsia" w:eastAsia="宋体"/>
                <w:highlight w:val="none"/>
                <w:lang w:val="en-US" w:eastAsia="zh-CN"/>
              </w:rPr>
              <w:t>供应商</w:t>
            </w:r>
            <w:r>
              <w:rPr>
                <w:rFonts w:hint="eastAsia"/>
                <w:highlight w:val="none"/>
              </w:rPr>
              <w:t>具备重污染天气时的多源监测能力：具备VOCs和常规六参数（PM2.5</w:t>
            </w:r>
            <w:r>
              <w:rPr>
                <w:rFonts w:hint="eastAsia"/>
                <w:highlight w:val="none"/>
                <w:lang w:eastAsia="zh-CN"/>
              </w:rPr>
              <w:t>、</w:t>
            </w:r>
            <w:r>
              <w:rPr>
                <w:rFonts w:hint="eastAsia"/>
                <w:highlight w:val="none"/>
              </w:rPr>
              <w:t>PM10</w:t>
            </w:r>
            <w:r>
              <w:rPr>
                <w:rFonts w:hint="eastAsia"/>
                <w:highlight w:val="none"/>
                <w:lang w:eastAsia="zh-CN"/>
              </w:rPr>
              <w:t>、</w:t>
            </w:r>
            <w:r>
              <w:rPr>
                <w:rFonts w:hint="eastAsia"/>
                <w:highlight w:val="none"/>
              </w:rPr>
              <w:t>臭氧</w:t>
            </w:r>
            <w:r>
              <w:rPr>
                <w:rFonts w:hint="eastAsia" w:eastAsia="宋体"/>
                <w:highlight w:val="none"/>
                <w:lang w:eastAsia="zh-CN"/>
              </w:rPr>
              <w:t>、</w:t>
            </w:r>
            <w:r>
              <w:rPr>
                <w:rFonts w:hint="eastAsia"/>
                <w:highlight w:val="none"/>
              </w:rPr>
              <w:t>二氧化硫</w:t>
            </w:r>
            <w:r>
              <w:rPr>
                <w:rFonts w:hint="eastAsia" w:eastAsia="宋体"/>
                <w:highlight w:val="none"/>
                <w:lang w:eastAsia="zh-CN"/>
              </w:rPr>
              <w:t>、</w:t>
            </w:r>
            <w:r>
              <w:rPr>
                <w:rFonts w:hint="eastAsia"/>
                <w:highlight w:val="none"/>
              </w:rPr>
              <w:t>一氧化碳</w:t>
            </w:r>
            <w:r>
              <w:rPr>
                <w:rFonts w:hint="eastAsia" w:eastAsia="宋体"/>
                <w:highlight w:val="none"/>
                <w:lang w:eastAsia="zh-CN"/>
              </w:rPr>
              <w:t>、</w:t>
            </w:r>
            <w:r>
              <w:rPr>
                <w:rFonts w:hint="eastAsia"/>
                <w:highlight w:val="none"/>
              </w:rPr>
              <w:t>二氧化氮）监测能力的大气走航监测设备的，得3分，本项最高</w:t>
            </w:r>
            <w:r>
              <w:rPr>
                <w:rFonts w:hint="eastAsia" w:eastAsia="宋体"/>
                <w:highlight w:val="none"/>
                <w:lang w:val="en-US" w:eastAsia="zh-CN"/>
              </w:rPr>
              <w:t>得</w:t>
            </w:r>
            <w:r>
              <w:rPr>
                <w:rFonts w:hint="eastAsia"/>
                <w:highlight w:val="none"/>
              </w:rPr>
              <w:t>3分。</w:t>
            </w:r>
          </w:p>
          <w:p w14:paraId="4F76CA3F">
            <w:pPr>
              <w:adjustRightInd w:val="0"/>
              <w:snapToGrid w:val="0"/>
              <w:spacing w:after="0" w:line="240" w:lineRule="auto"/>
              <w:rPr>
                <w:rFonts w:hint="eastAsia" w:eastAsia="宋体"/>
                <w:highlight w:val="none"/>
                <w:lang w:eastAsia="zh-CN"/>
              </w:rPr>
            </w:pPr>
            <w:r>
              <w:rPr>
                <w:rFonts w:hint="eastAsia"/>
                <w:highlight w:val="none"/>
                <w:lang w:val="en-US" w:eastAsia="zh-CN"/>
              </w:rPr>
              <w:t>3.</w:t>
            </w:r>
            <w:r>
              <w:rPr>
                <w:rFonts w:hint="eastAsia" w:eastAsia="宋体"/>
                <w:highlight w:val="none"/>
                <w:lang w:val="en-US" w:eastAsia="zh-CN"/>
              </w:rPr>
              <w:t>供应商</w:t>
            </w:r>
            <w:r>
              <w:rPr>
                <w:rFonts w:hint="eastAsia"/>
                <w:highlight w:val="none"/>
              </w:rPr>
              <w:t>具备具多参数水质测定仪（包括但不限于pH、溶解氧、氧化还原电位）的，得2分</w:t>
            </w:r>
            <w:r>
              <w:rPr>
                <w:rFonts w:hint="eastAsia" w:eastAsia="宋体"/>
                <w:highlight w:val="none"/>
                <w:lang w:eastAsia="zh-CN"/>
              </w:rPr>
              <w:t>。</w:t>
            </w:r>
          </w:p>
          <w:p w14:paraId="409AED92">
            <w:pPr>
              <w:pStyle w:val="192"/>
              <w:spacing w:line="240" w:lineRule="auto"/>
              <w:ind w:left="0" w:firstLine="0"/>
              <w:rPr>
                <w:rFonts w:hint="eastAsia" w:eastAsia="宋体" w:asciiTheme="minorEastAsia" w:hAnsiTheme="minorEastAsia" w:cstheme="minorEastAsia"/>
                <w:b/>
                <w:bCs/>
                <w:szCs w:val="21"/>
                <w:highlight w:val="none"/>
                <w:lang w:val="en-US" w:eastAsia="zh-CN"/>
              </w:rPr>
            </w:pPr>
            <w:r>
              <w:rPr>
                <w:rFonts w:hint="eastAsia" w:ascii="宋体" w:hAnsi="宋体" w:eastAsia="宋体" w:cs="宋体"/>
                <w:b/>
                <w:bCs/>
                <w:szCs w:val="21"/>
                <w:highlight w:val="none"/>
                <w:lang w:val="en-US" w:eastAsia="zh-CN"/>
              </w:rPr>
              <w:t>注：1.</w:t>
            </w:r>
            <w:r>
              <w:rPr>
                <w:rFonts w:hint="eastAsia" w:eastAsia="宋体" w:asciiTheme="minorEastAsia" w:hAnsiTheme="minorEastAsia" w:cstheme="minorEastAsia"/>
                <w:b/>
                <w:bCs/>
                <w:szCs w:val="21"/>
                <w:highlight w:val="none"/>
                <w:lang w:val="en-US" w:eastAsia="zh-CN"/>
              </w:rPr>
              <w:t>以上设备如为供应商自有的，投标时须提供设备购买发票原件彩色扫描件及设备参数的证明材料，未提供或提供不全的不得分。</w:t>
            </w:r>
          </w:p>
          <w:p w14:paraId="0933804E">
            <w:pPr>
              <w:pStyle w:val="192"/>
              <w:spacing w:line="240" w:lineRule="auto"/>
              <w:ind w:left="0" w:firstLine="0"/>
              <w:rPr>
                <w:rFonts w:hint="eastAsia" w:eastAsia="宋体" w:asciiTheme="minorEastAsia" w:hAnsiTheme="minorEastAsia" w:cstheme="minorEastAsia"/>
                <w:b/>
                <w:bCs/>
                <w:szCs w:val="21"/>
                <w:highlight w:val="none"/>
                <w:lang w:val="en-US" w:eastAsia="zh-CN"/>
              </w:rPr>
            </w:pPr>
            <w:r>
              <w:rPr>
                <w:rFonts w:hint="eastAsia" w:ascii="宋体" w:hAnsi="宋体" w:eastAsia="宋体" w:cs="宋体"/>
                <w:b/>
                <w:bCs/>
                <w:szCs w:val="21"/>
                <w:highlight w:val="none"/>
                <w:lang w:val="en-US" w:eastAsia="zh-CN"/>
              </w:rPr>
              <w:t>2.</w:t>
            </w:r>
            <w:r>
              <w:rPr>
                <w:rFonts w:hint="eastAsia" w:eastAsia="宋体" w:asciiTheme="minorEastAsia" w:hAnsiTheme="minorEastAsia" w:cstheme="minorEastAsia"/>
                <w:b/>
                <w:bCs/>
                <w:szCs w:val="21"/>
                <w:highlight w:val="none"/>
                <w:lang w:val="en-US" w:eastAsia="zh-CN"/>
              </w:rPr>
              <w:t>如承诺中标后且在合同签订前购置到位或租赁到位的，须在响应文件中提供承诺函（承诺函格式自拟，承诺函须包含完整的设备配置清单），否则不得分。</w:t>
            </w:r>
          </w:p>
          <w:p w14:paraId="096078C9">
            <w:pPr>
              <w:pStyle w:val="192"/>
              <w:spacing w:line="240" w:lineRule="auto"/>
              <w:ind w:left="0" w:firstLine="0"/>
              <w:rPr>
                <w:rFonts w:hint="eastAsia"/>
                <w:vertAlign w:val="baseline"/>
              </w:rPr>
            </w:pPr>
            <w:r>
              <w:rPr>
                <w:rFonts w:hint="eastAsia" w:eastAsia="宋体" w:asciiTheme="minorEastAsia" w:hAnsiTheme="minorEastAsia" w:cstheme="minorEastAsia"/>
                <w:b/>
                <w:bCs/>
                <w:szCs w:val="21"/>
                <w:highlight w:val="none"/>
                <w:lang w:val="en-US" w:eastAsia="zh-CN"/>
              </w:rPr>
              <w:t>承诺购置设备的，须提供购买发票；承诺租赁设备的须提供租赁协议等证明材料；如签订合同时购置不到位或租赁不到位的，视为自动放弃成交资格。</w:t>
            </w:r>
          </w:p>
        </w:tc>
      </w:tr>
      <w:tr w14:paraId="3CFE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2" w:type="dxa"/>
            <w:vMerge w:val="continue"/>
            <w:vAlign w:val="center"/>
          </w:tcPr>
          <w:p w14:paraId="700531DF">
            <w:pPr>
              <w:spacing w:after="0" w:line="240" w:lineRule="auto"/>
              <w:jc w:val="center"/>
              <w:rPr>
                <w:color w:val="FF0000"/>
                <w:vertAlign w:val="baseline"/>
              </w:rPr>
            </w:pPr>
          </w:p>
        </w:tc>
        <w:tc>
          <w:tcPr>
            <w:tcW w:w="1418" w:type="dxa"/>
            <w:vAlign w:val="center"/>
          </w:tcPr>
          <w:p w14:paraId="4AD593C4">
            <w:pPr>
              <w:spacing w:after="0" w:line="240" w:lineRule="auto"/>
              <w:jc w:val="center"/>
              <w:rPr>
                <w:rFonts w:hint="eastAsia"/>
                <w:color w:val="000000" w:themeColor="text1"/>
                <w:vertAlign w:val="baseline"/>
                <w14:textFill>
                  <w14:solidFill>
                    <w14:schemeClr w14:val="tx1"/>
                  </w14:solidFill>
                </w14:textFill>
              </w:rPr>
            </w:pPr>
            <w:r>
              <w:rPr>
                <w:rFonts w:hint="eastAsia"/>
                <w:color w:val="000000" w:themeColor="text1"/>
                <w:vertAlign w:val="baseline"/>
                <w14:textFill>
                  <w14:solidFill>
                    <w14:schemeClr w14:val="tx1"/>
                  </w14:solidFill>
                </w14:textFill>
              </w:rPr>
              <w:t>业绩</w:t>
            </w:r>
          </w:p>
          <w:p w14:paraId="7612CD1B">
            <w:pPr>
              <w:spacing w:after="0" w:line="240" w:lineRule="auto"/>
              <w:jc w:val="center"/>
              <w:rPr>
                <w:color w:val="000000" w:themeColor="text1"/>
                <w:vertAlign w:val="baseline"/>
                <w14:textFill>
                  <w14:solidFill>
                    <w14:schemeClr w14:val="tx1"/>
                  </w14:solidFill>
                </w14:textFill>
              </w:rPr>
            </w:pPr>
            <w:r>
              <w:rPr>
                <w:rFonts w:hint="eastAsia"/>
                <w:color w:val="000000" w:themeColor="text1"/>
                <w:vertAlign w:val="baseline"/>
                <w14:textFill>
                  <w14:solidFill>
                    <w14:schemeClr w14:val="tx1"/>
                  </w14:solidFill>
                </w14:textFill>
              </w:rPr>
              <w:t>（10分）</w:t>
            </w:r>
          </w:p>
        </w:tc>
        <w:tc>
          <w:tcPr>
            <w:tcW w:w="5646" w:type="dxa"/>
            <w:vAlign w:val="center"/>
          </w:tcPr>
          <w:p w14:paraId="4FB535A9">
            <w:pPr>
              <w:pStyle w:val="192"/>
              <w:spacing w:line="240" w:lineRule="auto"/>
              <w:ind w:left="0" w:firstLine="0"/>
              <w:rPr>
                <w:rFonts w:hint="eastAsia" w:ascii="宋体" w:hAnsi="宋体" w:eastAsia="宋体" w:cs="宋体"/>
                <w:color w:val="auto"/>
                <w:spacing w:val="5"/>
                <w:sz w:val="21"/>
                <w:szCs w:val="21"/>
                <w:highlight w:val="none"/>
                <w:lang w:val="en-US" w:eastAsia="zh-CN" w:bidi="ar-SA"/>
              </w:rPr>
            </w:pPr>
            <w:r>
              <w:rPr>
                <w:rFonts w:hint="eastAsia" w:ascii="宋体" w:hAnsi="宋体" w:eastAsia="宋体" w:cs="宋体"/>
                <w:color w:val="auto"/>
                <w:spacing w:val="5"/>
                <w:sz w:val="21"/>
                <w:szCs w:val="21"/>
                <w:highlight w:val="none"/>
                <w:lang w:val="en-US" w:eastAsia="zh-CN" w:bidi="ar-SA"/>
              </w:rPr>
              <w:t>提供自2021年1月1日（以合同签订时间为准）以来承接过类似服务业绩的，每提供一份得2分,最高得10分。</w:t>
            </w:r>
          </w:p>
          <w:p w14:paraId="05F23C2C">
            <w:pPr>
              <w:pStyle w:val="192"/>
              <w:spacing w:line="240" w:lineRule="auto"/>
              <w:ind w:left="0" w:firstLine="0"/>
              <w:rPr>
                <w:color w:val="FF0000"/>
                <w:vertAlign w:val="baseline"/>
              </w:rPr>
            </w:pPr>
            <w:r>
              <w:rPr>
                <w:rFonts w:hint="eastAsia" w:ascii="宋体" w:hAnsi="宋体" w:eastAsia="宋体" w:cs="宋体"/>
                <w:b/>
                <w:bCs/>
                <w:color w:val="000000" w:themeColor="text1"/>
                <w:spacing w:val="5"/>
                <w:sz w:val="21"/>
                <w:szCs w:val="21"/>
                <w:highlight w:val="none"/>
                <w:shd w:val="clear"/>
                <w:lang w:val="en-US" w:eastAsia="zh-CN" w:bidi="ar-SA"/>
                <w14:textFill>
                  <w14:solidFill>
                    <w14:schemeClr w14:val="tx1"/>
                  </w14:solidFill>
                </w14:textFill>
              </w:rPr>
              <w:t>注：上述类似业绩合同是指与本项目采购需求服务内容和服务范围相关。业绩合同须体现甲乙双方单位名称、项目名称及服务内容，若提供的合同没有明确、缺项、含糊不清，造成无法确定相关信息的，则不予认可。响应文件中须提供符合上述业绩要求的合同原件彩色扫描件。</w:t>
            </w:r>
          </w:p>
        </w:tc>
      </w:tr>
      <w:tr w14:paraId="0C527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2" w:type="dxa"/>
            <w:vMerge w:val="restart"/>
            <w:vAlign w:val="center"/>
          </w:tcPr>
          <w:p w14:paraId="367817B4">
            <w:pPr>
              <w:spacing w:after="0" w:line="240" w:lineRule="auto"/>
              <w:jc w:val="center"/>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技术方案</w:t>
            </w:r>
          </w:p>
          <w:p w14:paraId="46DBFB13">
            <w:pPr>
              <w:spacing w:after="0" w:line="240" w:lineRule="auto"/>
              <w:jc w:val="center"/>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（49分）</w:t>
            </w:r>
          </w:p>
        </w:tc>
        <w:tc>
          <w:tcPr>
            <w:tcW w:w="1418" w:type="dxa"/>
            <w:vAlign w:val="center"/>
          </w:tcPr>
          <w:p w14:paraId="50117CE7">
            <w:pPr>
              <w:adjustRightInd w:val="0"/>
              <w:snapToGrid w:val="0"/>
              <w:spacing w:after="0" w:line="24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项目认识与背景现状理解</w:t>
            </w:r>
          </w:p>
          <w:p w14:paraId="7B620460">
            <w:pPr>
              <w:spacing w:after="0" w:line="240" w:lineRule="auto"/>
              <w:jc w:val="center"/>
              <w:rPr>
                <w:color w:val="000000" w:themeColor="text1"/>
                <w:highlight w:val="none"/>
                <w:vertAlign w:val="baseline"/>
                <w14:textFill>
                  <w14:solidFill>
                    <w14:schemeClr w14:val="tx1"/>
                  </w14:solidFill>
                </w14:textFill>
              </w:rPr>
            </w:pPr>
            <w:r>
              <w:rPr>
                <w:rFonts w:hint="eastAsia"/>
                <w:color w:val="000000" w:themeColor="text1"/>
                <w:highlight w:val="none"/>
                <w14:textFill>
                  <w14:solidFill>
                    <w14:schemeClr w14:val="tx1"/>
                  </w14:solidFill>
                </w14:textFill>
              </w:rPr>
              <w:t>（10分）</w:t>
            </w:r>
          </w:p>
        </w:tc>
        <w:tc>
          <w:tcPr>
            <w:tcW w:w="5646" w:type="dxa"/>
            <w:vAlign w:val="center"/>
          </w:tcPr>
          <w:p w14:paraId="388815EE">
            <w:pPr>
              <w:adjustRightInd w:val="0"/>
              <w:snapToGrid w:val="0"/>
              <w:spacing w:after="0" w:line="240" w:lineRule="auto"/>
              <w:rPr>
                <w:rFonts w:hint="eastAsia"/>
                <w:color w:val="000000" w:themeColor="text1"/>
                <w:highlight w:val="none"/>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供应商</w:t>
            </w:r>
            <w:r>
              <w:rPr>
                <w:rFonts w:hint="eastAsia"/>
                <w:color w:val="000000" w:themeColor="text1"/>
                <w:highlight w:val="none"/>
                <w14:textFill>
                  <w14:solidFill>
                    <w14:schemeClr w14:val="tx1"/>
                  </w14:solidFill>
                </w14:textFill>
              </w:rPr>
              <w:t>对园区整体情况的调研深度，</w:t>
            </w:r>
            <w:r>
              <w:rPr>
                <w:rFonts w:hint="eastAsia" w:ascii="宋体" w:hAnsi="宋体" w:eastAsia="宋体" w:cs="宋体"/>
                <w:color w:val="000000" w:themeColor="text1"/>
                <w:szCs w:val="21"/>
                <w:highlight w:val="none"/>
                <w14:textFill>
                  <w14:solidFill>
                    <w14:schemeClr w14:val="tx1"/>
                  </w14:solidFill>
                </w14:textFill>
              </w:rPr>
              <w:t>包</w:t>
            </w:r>
            <w:r>
              <w:rPr>
                <w:rFonts w:hint="eastAsia" w:ascii="宋体" w:hAnsi="宋体" w:eastAsia="宋体" w:cs="宋体"/>
                <w:color w:val="000000" w:themeColor="text1"/>
                <w:szCs w:val="21"/>
                <w:highlight w:val="none"/>
                <w:lang w:val="en-US" w:eastAsia="zh-CN"/>
                <w14:textFill>
                  <w14:solidFill>
                    <w14:schemeClr w14:val="tx1"/>
                  </w14:solidFill>
                </w14:textFill>
              </w:rPr>
              <w:t>括</w:t>
            </w:r>
            <w:r>
              <w:rPr>
                <w:rFonts w:hint="eastAsia" w:ascii="宋体" w:hAnsi="宋体" w:eastAsia="宋体" w:cs="宋体"/>
                <w:color w:val="000000" w:themeColor="text1"/>
                <w:szCs w:val="21"/>
                <w:highlight w:val="none"/>
                <w14:textFill>
                  <w14:solidFill>
                    <w14:schemeClr w14:val="tx1"/>
                  </w14:solidFill>
                </w14:textFill>
              </w:rPr>
              <w:t>但不限于</w:t>
            </w:r>
            <w:r>
              <w:rPr>
                <w:rFonts w:hint="eastAsia"/>
                <w:color w:val="000000" w:themeColor="text1"/>
                <w:highlight w:val="none"/>
                <w14:textFill>
                  <w14:solidFill>
                    <w14:schemeClr w14:val="tx1"/>
                  </w14:solidFill>
                </w14:textFill>
              </w:rPr>
              <w:t>：园区产业规划、主导产业、企业类型分布、环保基础设施配套、企业污染防治现状、园区近年环保问题、属地监管要求。</w:t>
            </w:r>
            <w:r>
              <w:rPr>
                <w:rFonts w:hint="eastAsia" w:ascii="宋体" w:hAnsi="宋体" w:cs="宋体"/>
                <w:b/>
                <w:bCs w:val="0"/>
                <w:color w:val="000000" w:themeColor="text1"/>
                <w:sz w:val="21"/>
                <w:szCs w:val="21"/>
                <w:highlight w:val="none"/>
                <w14:textFill>
                  <w14:solidFill>
                    <w14:schemeClr w14:val="tx1"/>
                  </w14:solidFill>
                </w14:textFill>
              </w:rPr>
              <w:t>方案</w:t>
            </w:r>
            <w:r>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t>优于</w:t>
            </w:r>
            <w:r>
              <w:rPr>
                <w:rFonts w:hint="eastAsia" w:ascii="宋体" w:hAnsi="宋体" w:cs="宋体"/>
                <w:b/>
                <w:bCs w:val="0"/>
                <w:color w:val="000000" w:themeColor="text1"/>
                <w:sz w:val="21"/>
                <w:szCs w:val="21"/>
                <w:highlight w:val="none"/>
                <w14:textFill>
                  <w14:solidFill>
                    <w14:schemeClr w14:val="tx1"/>
                  </w14:solidFill>
                </w14:textFill>
              </w:rPr>
              <w:t>招标文件要求的</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lang w:val="en-US" w:eastAsia="zh-CN"/>
                <w14:textFill>
                  <w14:solidFill>
                    <w14:schemeClr w14:val="tx1"/>
                  </w14:solidFill>
                </w14:textFill>
              </w:rPr>
              <w:t>得10分</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方案符合招标文件要求的</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得</w:t>
            </w:r>
            <w:r>
              <w:rPr>
                <w:rFonts w:hint="eastAsia" w:ascii="宋体" w:hAnsi="宋体" w:cs="宋体"/>
                <w:b/>
                <w:bCs w:val="0"/>
                <w:color w:val="000000" w:themeColor="text1"/>
                <w:sz w:val="21"/>
                <w:szCs w:val="21"/>
                <w:highlight w:val="none"/>
                <w:lang w:val="en-US" w:eastAsia="zh-CN"/>
                <w14:textFill>
                  <w14:solidFill>
                    <w14:schemeClr w14:val="tx1"/>
                  </w14:solidFill>
                </w14:textFill>
              </w:rPr>
              <w:t>7</w:t>
            </w:r>
            <w:r>
              <w:rPr>
                <w:rFonts w:hint="eastAsia" w:ascii="宋体" w:hAnsi="宋体" w:cs="宋体"/>
                <w:b/>
                <w:bCs w:val="0"/>
                <w:color w:val="000000" w:themeColor="text1"/>
                <w:sz w:val="21"/>
                <w:szCs w:val="21"/>
                <w:highlight w:val="none"/>
                <w14:textFill>
                  <w14:solidFill>
                    <w14:schemeClr w14:val="tx1"/>
                  </w14:solidFill>
                </w14:textFill>
              </w:rPr>
              <w:t>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方案不符合招标文件要求的</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得</w:t>
            </w:r>
            <w:r>
              <w:rPr>
                <w:rFonts w:hint="eastAsia" w:ascii="宋体" w:hAnsi="宋体" w:cs="宋体"/>
                <w:b/>
                <w:bCs w:val="0"/>
                <w:color w:val="000000" w:themeColor="text1"/>
                <w:sz w:val="21"/>
                <w:szCs w:val="21"/>
                <w:highlight w:val="none"/>
                <w:lang w:val="en-US" w:eastAsia="zh-CN"/>
                <w14:textFill>
                  <w14:solidFill>
                    <w14:schemeClr w14:val="tx1"/>
                  </w14:solidFill>
                </w14:textFill>
              </w:rPr>
              <w:t>2</w:t>
            </w:r>
            <w:r>
              <w:rPr>
                <w:rFonts w:hint="eastAsia" w:ascii="宋体" w:hAnsi="宋体" w:cs="宋体"/>
                <w:b/>
                <w:bCs w:val="0"/>
                <w:color w:val="000000" w:themeColor="text1"/>
                <w:sz w:val="21"/>
                <w:szCs w:val="21"/>
                <w:highlight w:val="none"/>
                <w14:textFill>
                  <w14:solidFill>
                    <w14:schemeClr w14:val="tx1"/>
                  </w14:solidFill>
                </w14:textFill>
              </w:rPr>
              <w:t>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未提供的不得分</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本项最高得</w:t>
            </w:r>
            <w:r>
              <w:rPr>
                <w:rFonts w:hint="eastAsia" w:ascii="宋体" w:hAnsi="宋体" w:cs="宋体"/>
                <w:b/>
                <w:bCs w:val="0"/>
                <w:color w:val="000000" w:themeColor="text1"/>
                <w:sz w:val="21"/>
                <w:szCs w:val="21"/>
                <w:highlight w:val="none"/>
                <w:lang w:val="en-US" w:eastAsia="zh-CN"/>
                <w14:textFill>
                  <w14:solidFill>
                    <w14:schemeClr w14:val="tx1"/>
                  </w14:solidFill>
                </w14:textFill>
              </w:rPr>
              <w:t>10</w:t>
            </w:r>
            <w:r>
              <w:rPr>
                <w:rFonts w:hint="eastAsia" w:ascii="宋体" w:hAnsi="宋体" w:cs="宋体"/>
                <w:b/>
                <w:bCs w:val="0"/>
                <w:color w:val="000000" w:themeColor="text1"/>
                <w:sz w:val="21"/>
                <w:szCs w:val="21"/>
                <w:highlight w:val="none"/>
                <w14:textFill>
                  <w14:solidFill>
                    <w14:schemeClr w14:val="tx1"/>
                  </w14:solidFill>
                </w14:textFill>
              </w:rPr>
              <w:t>分。</w:t>
            </w:r>
          </w:p>
          <w:p w14:paraId="12494D8E">
            <w:pPr>
              <w:spacing w:after="0" w:line="240" w:lineRule="auto"/>
              <w:jc w:val="both"/>
              <w:rPr>
                <w:color w:val="000000" w:themeColor="text1"/>
                <w:highlight w:val="none"/>
                <w:vertAlign w:val="baseline"/>
                <w14:textFill>
                  <w14:solidFill>
                    <w14:schemeClr w14:val="tx1"/>
                  </w14:solidFill>
                </w14:textFill>
              </w:rPr>
            </w:pPr>
          </w:p>
        </w:tc>
      </w:tr>
      <w:tr w14:paraId="1CD7B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2" w:type="dxa"/>
            <w:vMerge w:val="continue"/>
            <w:vAlign w:val="center"/>
          </w:tcPr>
          <w:p w14:paraId="410C1AE6">
            <w:pPr>
              <w:spacing w:after="0" w:line="240" w:lineRule="auto"/>
              <w:jc w:val="center"/>
              <w:rPr>
                <w:color w:val="000000" w:themeColor="text1"/>
                <w:highlight w:val="none"/>
                <w:vertAlign w:val="baseline"/>
                <w14:textFill>
                  <w14:solidFill>
                    <w14:schemeClr w14:val="tx1"/>
                  </w14:solidFill>
                </w14:textFill>
              </w:rPr>
            </w:pPr>
          </w:p>
        </w:tc>
        <w:tc>
          <w:tcPr>
            <w:tcW w:w="1418" w:type="dxa"/>
            <w:shd w:val="clear" w:color="auto" w:fill="auto"/>
            <w:vAlign w:val="center"/>
          </w:tcPr>
          <w:p w14:paraId="2EFAA277">
            <w:pPr>
              <w:spacing w:after="0" w:line="240" w:lineRule="auto"/>
              <w:jc w:val="center"/>
              <w:rPr>
                <w:rFonts w:hint="eastAsia"/>
                <w:color w:val="000000" w:themeColor="text1"/>
                <w:highlight w:val="none"/>
                <w:vertAlign w:val="baseline"/>
                <w14:textFill>
                  <w14:solidFill>
                    <w14:schemeClr w14:val="tx1"/>
                  </w14:solidFill>
                </w14:textFill>
              </w:rPr>
            </w:pPr>
            <w:r>
              <w:rPr>
                <w:rFonts w:hint="eastAsia"/>
                <w:color w:val="000000" w:themeColor="text1"/>
                <w:highlight w:val="none"/>
                <w:vertAlign w:val="baseline"/>
                <w14:textFill>
                  <w14:solidFill>
                    <w14:schemeClr w14:val="tx1"/>
                  </w14:solidFill>
                </w14:textFill>
              </w:rPr>
              <w:t>总体服务方案</w:t>
            </w:r>
          </w:p>
          <w:p w14:paraId="3A5C80F8">
            <w:pPr>
              <w:spacing w:after="0" w:line="240" w:lineRule="auto"/>
              <w:jc w:val="center"/>
              <w:rPr>
                <w:rFonts w:asciiTheme="minorHAnsi" w:hAnsiTheme="minorHAnsi" w:eastAsiaTheme="minorEastAsia" w:cstheme="minorBidi"/>
                <w:color w:val="000000" w:themeColor="text1"/>
                <w:kern w:val="2"/>
                <w:sz w:val="21"/>
                <w:szCs w:val="24"/>
                <w:highlight w:val="none"/>
                <w:vertAlign w:val="baseline"/>
                <w:lang w:val="en-US" w:eastAsia="zh-CN" w:bidi="ar-SA"/>
                <w14:textFill>
                  <w14:solidFill>
                    <w14:schemeClr w14:val="tx1"/>
                  </w14:solidFill>
                </w14:textFill>
              </w:rPr>
            </w:pPr>
            <w:r>
              <w:rPr>
                <w:rFonts w:hint="eastAsia"/>
                <w:color w:val="000000" w:themeColor="text1"/>
                <w:highlight w:val="none"/>
                <w:vertAlign w:val="baseline"/>
                <w14:textFill>
                  <w14:solidFill>
                    <w14:schemeClr w14:val="tx1"/>
                  </w14:solidFill>
                </w14:textFill>
              </w:rPr>
              <w:t>（10分）</w:t>
            </w:r>
          </w:p>
        </w:tc>
        <w:tc>
          <w:tcPr>
            <w:tcW w:w="5646" w:type="dxa"/>
            <w:vAlign w:val="center"/>
          </w:tcPr>
          <w:p w14:paraId="38F77FC8">
            <w:pPr>
              <w:adjustRightInd w:val="0"/>
              <w:snapToGrid w:val="0"/>
              <w:spacing w:after="0"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总</w:t>
            </w:r>
            <w:r>
              <w:rPr>
                <w:rFonts w:hint="eastAsia"/>
                <w:color w:val="000000" w:themeColor="text1"/>
                <w:highlight w:val="none"/>
                <w14:textFill>
                  <w14:solidFill>
                    <w14:schemeClr w14:val="tx1"/>
                  </w14:solidFill>
                </w14:textFill>
              </w:rPr>
              <w:t>体服务</w:t>
            </w:r>
            <w:r>
              <w:rPr>
                <w:rFonts w:hint="eastAsia"/>
                <w:color w:val="000000" w:themeColor="text1"/>
                <w:highlight w:val="none"/>
                <w:lang w:val="en-US" w:eastAsia="zh-CN"/>
                <w14:textFill>
                  <w14:solidFill>
                    <w14:schemeClr w14:val="tx1"/>
                  </w14:solidFill>
                </w14:textFill>
              </w:rPr>
              <w:t>方案应具备</w:t>
            </w:r>
            <w:r>
              <w:rPr>
                <w:rFonts w:hint="eastAsia"/>
                <w:color w:val="000000" w:themeColor="text1"/>
                <w:highlight w:val="none"/>
                <w14:textFill>
                  <w14:solidFill>
                    <w14:schemeClr w14:val="tx1"/>
                  </w14:solidFill>
                </w14:textFill>
              </w:rPr>
              <w:t>完整性、全覆盖性、落地性，</w:t>
            </w:r>
            <w:r>
              <w:rPr>
                <w:rFonts w:hint="eastAsia"/>
                <w:color w:val="000000" w:themeColor="text1"/>
                <w:highlight w:val="none"/>
                <w:lang w:val="en-US" w:eastAsia="zh-CN"/>
                <w14:textFill>
                  <w14:solidFill>
                    <w14:schemeClr w14:val="tx1"/>
                  </w14:solidFill>
                </w14:textFill>
              </w:rPr>
              <w:t>方案内容</w:t>
            </w:r>
            <w:r>
              <w:rPr>
                <w:rFonts w:hint="eastAsia" w:eastAsia="宋体"/>
                <w:color w:val="000000" w:themeColor="text1"/>
                <w:highlight w:val="none"/>
                <w:lang w:val="en-US" w:eastAsia="zh-CN"/>
                <w14:textFill>
                  <w14:solidFill>
                    <w14:schemeClr w14:val="tx1"/>
                  </w14:solidFill>
                </w14:textFill>
              </w:rPr>
              <w:t>包括</w:t>
            </w:r>
            <w:r>
              <w:rPr>
                <w:rFonts w:hint="eastAsia"/>
                <w:color w:val="000000" w:themeColor="text1"/>
                <w:highlight w:val="none"/>
                <w14:textFill>
                  <w14:solidFill>
                    <w14:schemeClr w14:val="tx1"/>
                  </w14:solidFill>
                </w14:textFill>
              </w:rPr>
              <w:t>但不限于：日常巡查、企业帮扶、台账规范、政策宣贯、隐患排查、迎检保障、资料整编、月度 / 季度研判。</w:t>
            </w:r>
          </w:p>
          <w:p w14:paraId="4D54958A">
            <w:pPr>
              <w:adjustRightInd w:val="0"/>
              <w:snapToGrid w:val="0"/>
              <w:spacing w:after="0" w:line="240" w:lineRule="auto"/>
              <w:rPr>
                <w:color w:val="000000" w:themeColor="text1"/>
                <w:highlight w:val="none"/>
                <w:vertAlign w:val="baseline"/>
                <w14:textFill>
                  <w14:solidFill>
                    <w14:schemeClr w14:val="tx1"/>
                  </w14:solidFill>
                </w14:textFill>
              </w:rPr>
            </w:pPr>
            <w:r>
              <w:rPr>
                <w:rFonts w:hint="eastAsia" w:ascii="宋体" w:hAnsi="宋体" w:cs="宋体"/>
                <w:b/>
                <w:bCs w:val="0"/>
                <w:color w:val="000000" w:themeColor="text1"/>
                <w:sz w:val="21"/>
                <w:szCs w:val="21"/>
                <w:highlight w:val="none"/>
                <w14:textFill>
                  <w14:solidFill>
                    <w14:schemeClr w14:val="tx1"/>
                  </w14:solidFill>
                </w14:textFill>
              </w:rPr>
              <w:t>方案</w:t>
            </w:r>
            <w:r>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t>优于</w:t>
            </w:r>
            <w:r>
              <w:rPr>
                <w:rFonts w:hint="eastAsia" w:ascii="宋体" w:hAnsi="宋体" w:cs="宋体"/>
                <w:b/>
                <w:bCs w:val="0"/>
                <w:color w:val="000000" w:themeColor="text1"/>
                <w:sz w:val="21"/>
                <w:szCs w:val="21"/>
                <w:highlight w:val="none"/>
                <w14:textFill>
                  <w14:solidFill>
                    <w14:schemeClr w14:val="tx1"/>
                  </w14:solidFill>
                </w14:textFill>
              </w:rPr>
              <w:t>招标文件要求的</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lang w:val="en-US" w:eastAsia="zh-CN"/>
                <w14:textFill>
                  <w14:solidFill>
                    <w14:schemeClr w14:val="tx1"/>
                  </w14:solidFill>
                </w14:textFill>
              </w:rPr>
              <w:t>得10分</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方案符合招标文件要求的</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得</w:t>
            </w:r>
            <w:r>
              <w:rPr>
                <w:rFonts w:hint="eastAsia" w:ascii="宋体" w:hAnsi="宋体" w:cs="宋体"/>
                <w:b/>
                <w:bCs w:val="0"/>
                <w:color w:val="000000" w:themeColor="text1"/>
                <w:sz w:val="21"/>
                <w:szCs w:val="21"/>
                <w:highlight w:val="none"/>
                <w:lang w:val="en-US" w:eastAsia="zh-CN"/>
                <w14:textFill>
                  <w14:solidFill>
                    <w14:schemeClr w14:val="tx1"/>
                  </w14:solidFill>
                </w14:textFill>
              </w:rPr>
              <w:t>7</w:t>
            </w:r>
            <w:r>
              <w:rPr>
                <w:rFonts w:hint="eastAsia" w:ascii="宋体" w:hAnsi="宋体" w:cs="宋体"/>
                <w:b/>
                <w:bCs w:val="0"/>
                <w:color w:val="000000" w:themeColor="text1"/>
                <w:sz w:val="21"/>
                <w:szCs w:val="21"/>
                <w:highlight w:val="none"/>
                <w14:textFill>
                  <w14:solidFill>
                    <w14:schemeClr w14:val="tx1"/>
                  </w14:solidFill>
                </w14:textFill>
              </w:rPr>
              <w:t>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方案不符合招标文件要求的</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得</w:t>
            </w:r>
            <w:r>
              <w:rPr>
                <w:rFonts w:hint="eastAsia" w:ascii="宋体" w:hAnsi="宋体" w:cs="宋体"/>
                <w:b/>
                <w:bCs w:val="0"/>
                <w:color w:val="000000" w:themeColor="text1"/>
                <w:sz w:val="21"/>
                <w:szCs w:val="21"/>
                <w:highlight w:val="none"/>
                <w:lang w:val="en-US" w:eastAsia="zh-CN"/>
                <w14:textFill>
                  <w14:solidFill>
                    <w14:schemeClr w14:val="tx1"/>
                  </w14:solidFill>
                </w14:textFill>
              </w:rPr>
              <w:t>2</w:t>
            </w:r>
            <w:r>
              <w:rPr>
                <w:rFonts w:hint="eastAsia" w:ascii="宋体" w:hAnsi="宋体" w:cs="宋体"/>
                <w:b/>
                <w:bCs w:val="0"/>
                <w:color w:val="000000" w:themeColor="text1"/>
                <w:sz w:val="21"/>
                <w:szCs w:val="21"/>
                <w:highlight w:val="none"/>
                <w14:textFill>
                  <w14:solidFill>
                    <w14:schemeClr w14:val="tx1"/>
                  </w14:solidFill>
                </w14:textFill>
              </w:rPr>
              <w:t>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未提供的不得分</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本项最高得</w:t>
            </w:r>
            <w:r>
              <w:rPr>
                <w:rFonts w:hint="eastAsia" w:ascii="宋体" w:hAnsi="宋体" w:cs="宋体"/>
                <w:b/>
                <w:bCs w:val="0"/>
                <w:color w:val="000000" w:themeColor="text1"/>
                <w:sz w:val="21"/>
                <w:szCs w:val="21"/>
                <w:highlight w:val="none"/>
                <w:lang w:val="en-US" w:eastAsia="zh-CN"/>
                <w14:textFill>
                  <w14:solidFill>
                    <w14:schemeClr w14:val="tx1"/>
                  </w14:solidFill>
                </w14:textFill>
              </w:rPr>
              <w:t>10</w:t>
            </w:r>
            <w:r>
              <w:rPr>
                <w:rFonts w:hint="eastAsia" w:ascii="宋体" w:hAnsi="宋体" w:cs="宋体"/>
                <w:b/>
                <w:bCs w:val="0"/>
                <w:color w:val="000000" w:themeColor="text1"/>
                <w:sz w:val="21"/>
                <w:szCs w:val="21"/>
                <w:highlight w:val="none"/>
                <w14:textFill>
                  <w14:solidFill>
                    <w14:schemeClr w14:val="tx1"/>
                  </w14:solidFill>
                </w14:textFill>
              </w:rPr>
              <w:t>分。</w:t>
            </w:r>
          </w:p>
        </w:tc>
      </w:tr>
      <w:tr w14:paraId="6644D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2" w:type="dxa"/>
            <w:vMerge w:val="continue"/>
            <w:vAlign w:val="center"/>
          </w:tcPr>
          <w:p w14:paraId="6ED199AE">
            <w:pPr>
              <w:spacing w:after="0" w:line="240" w:lineRule="auto"/>
              <w:jc w:val="center"/>
              <w:rPr>
                <w:color w:val="000000" w:themeColor="text1"/>
                <w:highlight w:val="none"/>
                <w:vertAlign w:val="baseline"/>
                <w14:textFill>
                  <w14:solidFill>
                    <w14:schemeClr w14:val="tx1"/>
                  </w14:solidFill>
                </w14:textFill>
              </w:rPr>
            </w:pPr>
          </w:p>
        </w:tc>
        <w:tc>
          <w:tcPr>
            <w:tcW w:w="1418" w:type="dxa"/>
            <w:shd w:val="clear" w:color="auto" w:fill="auto"/>
            <w:vAlign w:val="center"/>
          </w:tcPr>
          <w:p w14:paraId="00F89FF5">
            <w:pPr>
              <w:spacing w:after="0" w:line="240" w:lineRule="auto"/>
              <w:jc w:val="center"/>
              <w:rPr>
                <w:rFonts w:hint="eastAsia"/>
                <w:color w:val="000000" w:themeColor="text1"/>
                <w:highlight w:val="none"/>
                <w:vertAlign w:val="baseline"/>
                <w14:textFill>
                  <w14:solidFill>
                    <w14:schemeClr w14:val="tx1"/>
                  </w14:solidFill>
                </w14:textFill>
              </w:rPr>
            </w:pPr>
            <w:r>
              <w:rPr>
                <w:color w:val="000000" w:themeColor="text1"/>
                <w:highlight w:val="none"/>
                <w14:textFill>
                  <w14:solidFill>
                    <w14:schemeClr w14:val="tx1"/>
                  </w14:solidFill>
                </w14:textFill>
              </w:rPr>
              <w:t>项目重难点分析及针对性应对措施</w:t>
            </w:r>
          </w:p>
          <w:p w14:paraId="5756458C">
            <w:pPr>
              <w:spacing w:after="0" w:line="240" w:lineRule="auto"/>
              <w:jc w:val="center"/>
              <w:rPr>
                <w:rFonts w:asciiTheme="minorHAnsi" w:hAnsiTheme="minorHAnsi" w:eastAsiaTheme="minorEastAsia" w:cstheme="minorBidi"/>
                <w:color w:val="000000" w:themeColor="text1"/>
                <w:kern w:val="2"/>
                <w:sz w:val="21"/>
                <w:szCs w:val="24"/>
                <w:highlight w:val="none"/>
                <w:vertAlign w:val="baseline"/>
                <w:lang w:val="en-US" w:eastAsia="zh-CN" w:bidi="ar-SA"/>
                <w14:textFill>
                  <w14:solidFill>
                    <w14:schemeClr w14:val="tx1"/>
                  </w14:solidFill>
                </w14:textFill>
              </w:rPr>
            </w:pPr>
            <w:r>
              <w:rPr>
                <w:rFonts w:hint="eastAsia"/>
                <w:color w:val="000000" w:themeColor="text1"/>
                <w:highlight w:val="none"/>
                <w:vertAlign w:val="baseline"/>
                <w14:textFill>
                  <w14:solidFill>
                    <w14:schemeClr w14:val="tx1"/>
                  </w14:solidFill>
                </w14:textFill>
              </w:rPr>
              <w:t>（</w:t>
            </w:r>
            <w:r>
              <w:rPr>
                <w:rFonts w:hint="eastAsia" w:eastAsia="宋体"/>
                <w:color w:val="000000" w:themeColor="text1"/>
                <w:highlight w:val="none"/>
                <w:vertAlign w:val="baseline"/>
                <w:lang w:val="en-US" w:eastAsia="zh-CN"/>
                <w14:textFill>
                  <w14:solidFill>
                    <w14:schemeClr w14:val="tx1"/>
                  </w14:solidFill>
                </w14:textFill>
              </w:rPr>
              <w:t>10</w:t>
            </w:r>
            <w:r>
              <w:rPr>
                <w:rFonts w:hint="eastAsia"/>
                <w:color w:val="000000" w:themeColor="text1"/>
                <w:highlight w:val="none"/>
                <w:vertAlign w:val="baseline"/>
                <w14:textFill>
                  <w14:solidFill>
                    <w14:schemeClr w14:val="tx1"/>
                  </w14:solidFill>
                </w14:textFill>
              </w:rPr>
              <w:t>分）</w:t>
            </w:r>
          </w:p>
        </w:tc>
        <w:tc>
          <w:tcPr>
            <w:tcW w:w="5646" w:type="dxa"/>
            <w:vAlign w:val="center"/>
          </w:tcPr>
          <w:p w14:paraId="3E0FEB3F">
            <w:pPr>
              <w:adjustRightInd w:val="0"/>
              <w:snapToGrid w:val="0"/>
              <w:spacing w:after="0"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明确列出本项目重难点，并逐条对应专属解决措施。</w:t>
            </w:r>
          </w:p>
          <w:p w14:paraId="39900B93">
            <w:pPr>
              <w:adjustRightInd w:val="0"/>
              <w:snapToGrid w:val="0"/>
              <w:spacing w:after="0" w:line="240" w:lineRule="auto"/>
              <w:rPr>
                <w:color w:val="000000" w:themeColor="text1"/>
                <w:highlight w:val="none"/>
                <w:vertAlign w:val="baseline"/>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包括但不限于：</w:t>
            </w:r>
            <w:r>
              <w:rPr>
                <w:rFonts w:hint="eastAsia"/>
                <w:color w:val="000000" w:themeColor="text1"/>
                <w:highlight w:val="none"/>
                <w14:textFill>
                  <w14:solidFill>
                    <w14:schemeClr w14:val="tx1"/>
                  </w14:solidFill>
                </w14:textFill>
              </w:rPr>
              <w:t>精准识别园区企业合规参差不齐、无组织污染难管控、隐患闭环难、迎检压力大</w:t>
            </w:r>
            <w:r>
              <w:rPr>
                <w:rFonts w:hint="eastAsia" w:eastAsia="宋体"/>
                <w:color w:val="000000" w:themeColor="text1"/>
                <w:highlight w:val="none"/>
                <w:lang w:val="en-US" w:eastAsia="zh-CN"/>
                <w14:textFill>
                  <w14:solidFill>
                    <w14:schemeClr w14:val="tx1"/>
                  </w14:solidFill>
                </w14:textFill>
              </w:rPr>
              <w:t>等问题</w:t>
            </w:r>
            <w:r>
              <w:rPr>
                <w:rFonts w:hint="eastAsia"/>
                <w:color w:val="000000" w:themeColor="text1"/>
                <w:highlight w:val="none"/>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方案</w:t>
            </w:r>
            <w:r>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t>优于</w:t>
            </w:r>
            <w:r>
              <w:rPr>
                <w:rFonts w:hint="eastAsia" w:ascii="宋体" w:hAnsi="宋体" w:cs="宋体"/>
                <w:b/>
                <w:bCs w:val="0"/>
                <w:color w:val="000000" w:themeColor="text1"/>
                <w:sz w:val="21"/>
                <w:szCs w:val="21"/>
                <w:highlight w:val="none"/>
                <w14:textFill>
                  <w14:solidFill>
                    <w14:schemeClr w14:val="tx1"/>
                  </w14:solidFill>
                </w14:textFill>
              </w:rPr>
              <w:t>招标文件要求的</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lang w:val="en-US" w:eastAsia="zh-CN"/>
                <w14:textFill>
                  <w14:solidFill>
                    <w14:schemeClr w14:val="tx1"/>
                  </w14:solidFill>
                </w14:textFill>
              </w:rPr>
              <w:t>得10分</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方案符合招标文件要求的</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得</w:t>
            </w:r>
            <w:r>
              <w:rPr>
                <w:rFonts w:hint="eastAsia" w:ascii="宋体" w:hAnsi="宋体" w:cs="宋体"/>
                <w:b/>
                <w:bCs w:val="0"/>
                <w:color w:val="000000" w:themeColor="text1"/>
                <w:sz w:val="21"/>
                <w:szCs w:val="21"/>
                <w:highlight w:val="none"/>
                <w:lang w:val="en-US" w:eastAsia="zh-CN"/>
                <w14:textFill>
                  <w14:solidFill>
                    <w14:schemeClr w14:val="tx1"/>
                  </w14:solidFill>
                </w14:textFill>
              </w:rPr>
              <w:t>7</w:t>
            </w:r>
            <w:r>
              <w:rPr>
                <w:rFonts w:hint="eastAsia" w:ascii="宋体" w:hAnsi="宋体" w:cs="宋体"/>
                <w:b/>
                <w:bCs w:val="0"/>
                <w:color w:val="000000" w:themeColor="text1"/>
                <w:sz w:val="21"/>
                <w:szCs w:val="21"/>
                <w:highlight w:val="none"/>
                <w14:textFill>
                  <w14:solidFill>
                    <w14:schemeClr w14:val="tx1"/>
                  </w14:solidFill>
                </w14:textFill>
              </w:rPr>
              <w:t>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方案不符合招标文件要求的</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得</w:t>
            </w:r>
            <w:r>
              <w:rPr>
                <w:rFonts w:hint="eastAsia" w:ascii="宋体" w:hAnsi="宋体" w:cs="宋体"/>
                <w:b/>
                <w:bCs w:val="0"/>
                <w:color w:val="000000" w:themeColor="text1"/>
                <w:sz w:val="21"/>
                <w:szCs w:val="21"/>
                <w:highlight w:val="none"/>
                <w:lang w:val="en-US" w:eastAsia="zh-CN"/>
                <w14:textFill>
                  <w14:solidFill>
                    <w14:schemeClr w14:val="tx1"/>
                  </w14:solidFill>
                </w14:textFill>
              </w:rPr>
              <w:t>2</w:t>
            </w:r>
            <w:r>
              <w:rPr>
                <w:rFonts w:hint="eastAsia" w:ascii="宋体" w:hAnsi="宋体" w:cs="宋体"/>
                <w:b/>
                <w:bCs w:val="0"/>
                <w:color w:val="000000" w:themeColor="text1"/>
                <w:sz w:val="21"/>
                <w:szCs w:val="21"/>
                <w:highlight w:val="none"/>
                <w14:textFill>
                  <w14:solidFill>
                    <w14:schemeClr w14:val="tx1"/>
                  </w14:solidFill>
                </w14:textFill>
              </w:rPr>
              <w:t>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未提供的不得分</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本项最高得</w:t>
            </w:r>
            <w:r>
              <w:rPr>
                <w:rFonts w:hint="eastAsia" w:ascii="宋体" w:hAnsi="宋体" w:cs="宋体"/>
                <w:b/>
                <w:bCs w:val="0"/>
                <w:color w:val="000000" w:themeColor="text1"/>
                <w:sz w:val="21"/>
                <w:szCs w:val="21"/>
                <w:highlight w:val="none"/>
                <w:lang w:val="en-US" w:eastAsia="zh-CN"/>
                <w14:textFill>
                  <w14:solidFill>
                    <w14:schemeClr w14:val="tx1"/>
                  </w14:solidFill>
                </w14:textFill>
              </w:rPr>
              <w:t>10</w:t>
            </w:r>
            <w:r>
              <w:rPr>
                <w:rFonts w:hint="eastAsia" w:ascii="宋体" w:hAnsi="宋体" w:cs="宋体"/>
                <w:b/>
                <w:bCs w:val="0"/>
                <w:color w:val="000000" w:themeColor="text1"/>
                <w:sz w:val="21"/>
                <w:szCs w:val="21"/>
                <w:highlight w:val="none"/>
                <w14:textFill>
                  <w14:solidFill>
                    <w14:schemeClr w14:val="tx1"/>
                  </w14:solidFill>
                </w14:textFill>
              </w:rPr>
              <w:t>分。</w:t>
            </w:r>
          </w:p>
        </w:tc>
      </w:tr>
      <w:tr w14:paraId="37A86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2" w:type="dxa"/>
            <w:vMerge w:val="continue"/>
            <w:vAlign w:val="center"/>
          </w:tcPr>
          <w:p w14:paraId="5DD37CC1">
            <w:pPr>
              <w:spacing w:after="0" w:line="240" w:lineRule="auto"/>
              <w:jc w:val="center"/>
              <w:rPr>
                <w:color w:val="000000" w:themeColor="text1"/>
                <w:highlight w:val="none"/>
                <w:vertAlign w:val="baseline"/>
                <w14:textFill>
                  <w14:solidFill>
                    <w14:schemeClr w14:val="tx1"/>
                  </w14:solidFill>
                </w14:textFill>
              </w:rPr>
            </w:pPr>
          </w:p>
        </w:tc>
        <w:tc>
          <w:tcPr>
            <w:tcW w:w="1418" w:type="dxa"/>
            <w:shd w:val="clear" w:color="auto" w:fill="auto"/>
            <w:vAlign w:val="center"/>
          </w:tcPr>
          <w:p w14:paraId="723E18B1">
            <w:pPr>
              <w:adjustRightInd w:val="0"/>
              <w:snapToGrid w:val="0"/>
              <w:spacing w:after="0" w:line="240" w:lineRule="auto"/>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总体技术支持、实施计划与进度保障</w:t>
            </w:r>
          </w:p>
          <w:p w14:paraId="37628659">
            <w:pPr>
              <w:spacing w:after="0" w:line="240" w:lineRule="auto"/>
              <w:jc w:val="center"/>
              <w:rPr>
                <w:rFonts w:hint="eastAsia"/>
                <w:color w:val="000000" w:themeColor="text1"/>
                <w:highlight w:val="none"/>
                <w:vertAlign w:val="baseline"/>
                <w14:textFill>
                  <w14:solidFill>
                    <w14:schemeClr w14:val="tx1"/>
                  </w14:solidFill>
                </w14:textFill>
              </w:rPr>
            </w:pPr>
          </w:p>
          <w:p w14:paraId="60195BAE">
            <w:pPr>
              <w:spacing w:after="0" w:line="240" w:lineRule="auto"/>
              <w:jc w:val="center"/>
              <w:rPr>
                <w:rFonts w:asciiTheme="minorHAnsi" w:hAnsiTheme="minorHAnsi" w:eastAsiaTheme="minorEastAsia" w:cstheme="minorBidi"/>
                <w:color w:val="000000" w:themeColor="text1"/>
                <w:kern w:val="2"/>
                <w:sz w:val="21"/>
                <w:szCs w:val="24"/>
                <w:highlight w:val="none"/>
                <w:vertAlign w:val="baseline"/>
                <w:lang w:val="en-US" w:eastAsia="zh-CN" w:bidi="ar-SA"/>
                <w14:textFill>
                  <w14:solidFill>
                    <w14:schemeClr w14:val="tx1"/>
                  </w14:solidFill>
                </w14:textFill>
              </w:rPr>
            </w:pPr>
            <w:r>
              <w:rPr>
                <w:rFonts w:hint="eastAsia"/>
                <w:color w:val="000000" w:themeColor="text1"/>
                <w:highlight w:val="none"/>
                <w:vertAlign w:val="baseline"/>
                <w14:textFill>
                  <w14:solidFill>
                    <w14:schemeClr w14:val="tx1"/>
                  </w14:solidFill>
                </w14:textFill>
              </w:rPr>
              <w:t>（</w:t>
            </w:r>
            <w:r>
              <w:rPr>
                <w:rFonts w:hint="eastAsia" w:eastAsia="宋体"/>
                <w:color w:val="000000" w:themeColor="text1"/>
                <w:highlight w:val="none"/>
                <w:vertAlign w:val="baseline"/>
                <w:lang w:val="en-US" w:eastAsia="zh-CN"/>
                <w14:textFill>
                  <w14:solidFill>
                    <w14:schemeClr w14:val="tx1"/>
                  </w14:solidFill>
                </w14:textFill>
              </w:rPr>
              <w:t>10</w:t>
            </w:r>
            <w:r>
              <w:rPr>
                <w:rFonts w:hint="eastAsia"/>
                <w:color w:val="000000" w:themeColor="text1"/>
                <w:highlight w:val="none"/>
                <w:vertAlign w:val="baseline"/>
                <w14:textFill>
                  <w14:solidFill>
                    <w14:schemeClr w14:val="tx1"/>
                  </w14:solidFill>
                </w14:textFill>
              </w:rPr>
              <w:t>分）</w:t>
            </w:r>
          </w:p>
        </w:tc>
        <w:tc>
          <w:tcPr>
            <w:tcW w:w="5646" w:type="dxa"/>
            <w:vAlign w:val="center"/>
          </w:tcPr>
          <w:p w14:paraId="4F26891A">
            <w:pPr>
              <w:adjustRightInd w:val="0"/>
              <w:snapToGrid w:val="0"/>
              <w:spacing w:after="0" w:line="240" w:lineRule="auto"/>
              <w:jc w:val="both"/>
              <w:rPr>
                <w:color w:val="000000" w:themeColor="text1"/>
                <w:highlight w:val="none"/>
                <w:vertAlign w:val="baseline"/>
                <w14:textFill>
                  <w14:solidFill>
                    <w14:schemeClr w14:val="tx1"/>
                  </w14:solidFill>
                </w14:textFill>
              </w:rPr>
            </w:pPr>
            <w:r>
              <w:rPr>
                <w:color w:val="000000" w:themeColor="text1"/>
                <w:highlight w:val="none"/>
                <w14:textFill>
                  <w14:solidFill>
                    <w14:schemeClr w14:val="tx1"/>
                  </w14:solidFill>
                </w14:textFill>
              </w:rPr>
              <w:t>总体技术支持、实施计划与进度保障</w:t>
            </w:r>
            <w:r>
              <w:rPr>
                <w:rFonts w:hint="eastAsia"/>
                <w:color w:val="000000" w:themeColor="text1"/>
                <w:highlight w:val="none"/>
                <w14:textFill>
                  <w14:solidFill>
                    <w14:schemeClr w14:val="tx1"/>
                  </w14:solidFill>
                </w14:textFill>
              </w:rPr>
              <w:t>措施</w:t>
            </w:r>
            <w:r>
              <w:rPr>
                <w:rFonts w:hint="eastAsia" w:eastAsia="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包</w:t>
            </w:r>
            <w:r>
              <w:rPr>
                <w:rFonts w:hint="eastAsia" w:ascii="宋体" w:hAnsi="宋体" w:eastAsia="宋体" w:cs="宋体"/>
                <w:color w:val="000000" w:themeColor="text1"/>
                <w:szCs w:val="21"/>
                <w:highlight w:val="none"/>
                <w:lang w:val="en-US" w:eastAsia="zh-CN"/>
                <w14:textFill>
                  <w14:solidFill>
                    <w14:schemeClr w14:val="tx1"/>
                  </w14:solidFill>
                </w14:textFill>
              </w:rPr>
              <w:t>括</w:t>
            </w:r>
            <w:r>
              <w:rPr>
                <w:rFonts w:hint="eastAsia" w:ascii="宋体" w:hAnsi="宋体" w:eastAsia="宋体" w:cs="宋体"/>
                <w:color w:val="000000" w:themeColor="text1"/>
                <w:szCs w:val="21"/>
                <w:highlight w:val="none"/>
                <w14:textFill>
                  <w14:solidFill>
                    <w14:schemeClr w14:val="tx1"/>
                  </w14:solidFill>
                </w14:textFill>
              </w:rPr>
              <w:t>但不限于</w:t>
            </w:r>
            <w:r>
              <w:rPr>
                <w:rFonts w:hint="eastAsia"/>
                <w:color w:val="000000" w:themeColor="text1"/>
                <w:highlight w:val="none"/>
                <w14:textFill>
                  <w14:solidFill>
                    <w14:schemeClr w14:val="tx1"/>
                  </w14:solidFill>
                </w14:textFill>
              </w:rPr>
              <w:t>：</w:t>
            </w:r>
            <w:r>
              <w:rPr>
                <w:rFonts w:hint="eastAsia"/>
                <w:color w:val="000000" w:themeColor="text1"/>
                <w:highlight w:val="none"/>
                <w:shd w:val="clear"/>
                <w14:textFill>
                  <w14:solidFill>
                    <w14:schemeClr w14:val="tx1"/>
                  </w14:solidFill>
                </w14:textFill>
              </w:rPr>
              <w:t>考核服务标准化、三级审核、质量自查、整改闭环、人员管理、履约考核、服务改进机制。</w:t>
            </w:r>
            <w:r>
              <w:rPr>
                <w:rFonts w:hint="eastAsia" w:ascii="宋体" w:hAnsi="宋体" w:cs="宋体"/>
                <w:b/>
                <w:bCs w:val="0"/>
                <w:color w:val="000000" w:themeColor="text1"/>
                <w:sz w:val="21"/>
                <w:szCs w:val="21"/>
                <w:highlight w:val="none"/>
                <w14:textFill>
                  <w14:solidFill>
                    <w14:schemeClr w14:val="tx1"/>
                  </w14:solidFill>
                </w14:textFill>
              </w:rPr>
              <w:t>方案</w:t>
            </w:r>
            <w:r>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t>优于</w:t>
            </w:r>
            <w:r>
              <w:rPr>
                <w:rFonts w:hint="eastAsia" w:ascii="宋体" w:hAnsi="宋体" w:cs="宋体"/>
                <w:b/>
                <w:bCs w:val="0"/>
                <w:color w:val="000000" w:themeColor="text1"/>
                <w:sz w:val="21"/>
                <w:szCs w:val="21"/>
                <w:highlight w:val="none"/>
                <w14:textFill>
                  <w14:solidFill>
                    <w14:schemeClr w14:val="tx1"/>
                  </w14:solidFill>
                </w14:textFill>
              </w:rPr>
              <w:t>招标文件要求的</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lang w:val="en-US" w:eastAsia="zh-CN"/>
                <w14:textFill>
                  <w14:solidFill>
                    <w14:schemeClr w14:val="tx1"/>
                  </w14:solidFill>
                </w14:textFill>
              </w:rPr>
              <w:t>得10分</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方案符合招标文件要求的</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得</w:t>
            </w:r>
            <w:r>
              <w:rPr>
                <w:rFonts w:hint="eastAsia" w:ascii="宋体" w:hAnsi="宋体" w:cs="宋体"/>
                <w:b/>
                <w:bCs w:val="0"/>
                <w:color w:val="000000" w:themeColor="text1"/>
                <w:sz w:val="21"/>
                <w:szCs w:val="21"/>
                <w:highlight w:val="none"/>
                <w:lang w:val="en-US" w:eastAsia="zh-CN"/>
                <w14:textFill>
                  <w14:solidFill>
                    <w14:schemeClr w14:val="tx1"/>
                  </w14:solidFill>
                </w14:textFill>
              </w:rPr>
              <w:t>7</w:t>
            </w:r>
            <w:r>
              <w:rPr>
                <w:rFonts w:hint="eastAsia" w:ascii="宋体" w:hAnsi="宋体" w:cs="宋体"/>
                <w:b/>
                <w:bCs w:val="0"/>
                <w:color w:val="000000" w:themeColor="text1"/>
                <w:sz w:val="21"/>
                <w:szCs w:val="21"/>
                <w:highlight w:val="none"/>
                <w14:textFill>
                  <w14:solidFill>
                    <w14:schemeClr w14:val="tx1"/>
                  </w14:solidFill>
                </w14:textFill>
              </w:rPr>
              <w:t>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方案不符合招标文件要求的</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得</w:t>
            </w:r>
            <w:r>
              <w:rPr>
                <w:rFonts w:hint="eastAsia" w:ascii="宋体" w:hAnsi="宋体" w:cs="宋体"/>
                <w:b/>
                <w:bCs w:val="0"/>
                <w:color w:val="000000" w:themeColor="text1"/>
                <w:sz w:val="21"/>
                <w:szCs w:val="21"/>
                <w:highlight w:val="none"/>
                <w:lang w:val="en-US" w:eastAsia="zh-CN"/>
                <w14:textFill>
                  <w14:solidFill>
                    <w14:schemeClr w14:val="tx1"/>
                  </w14:solidFill>
                </w14:textFill>
              </w:rPr>
              <w:t>2</w:t>
            </w:r>
            <w:r>
              <w:rPr>
                <w:rFonts w:hint="eastAsia" w:ascii="宋体" w:hAnsi="宋体" w:cs="宋体"/>
                <w:b/>
                <w:bCs w:val="0"/>
                <w:color w:val="000000" w:themeColor="text1"/>
                <w:sz w:val="21"/>
                <w:szCs w:val="21"/>
                <w:highlight w:val="none"/>
                <w14:textFill>
                  <w14:solidFill>
                    <w14:schemeClr w14:val="tx1"/>
                  </w14:solidFill>
                </w14:textFill>
              </w:rPr>
              <w:t>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未提供的不得分</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本项最高得</w:t>
            </w:r>
            <w:r>
              <w:rPr>
                <w:rFonts w:hint="eastAsia" w:ascii="宋体" w:hAnsi="宋体" w:cs="宋体"/>
                <w:b/>
                <w:bCs w:val="0"/>
                <w:color w:val="000000" w:themeColor="text1"/>
                <w:sz w:val="21"/>
                <w:szCs w:val="21"/>
                <w:highlight w:val="none"/>
                <w:lang w:val="en-US" w:eastAsia="zh-CN"/>
                <w14:textFill>
                  <w14:solidFill>
                    <w14:schemeClr w14:val="tx1"/>
                  </w14:solidFill>
                </w14:textFill>
              </w:rPr>
              <w:t>10</w:t>
            </w:r>
            <w:r>
              <w:rPr>
                <w:rFonts w:hint="eastAsia" w:ascii="宋体" w:hAnsi="宋体" w:cs="宋体"/>
                <w:b/>
                <w:bCs w:val="0"/>
                <w:color w:val="000000" w:themeColor="text1"/>
                <w:sz w:val="21"/>
                <w:szCs w:val="21"/>
                <w:highlight w:val="none"/>
                <w14:textFill>
                  <w14:solidFill>
                    <w14:schemeClr w14:val="tx1"/>
                  </w14:solidFill>
                </w14:textFill>
              </w:rPr>
              <w:t>分。</w:t>
            </w:r>
          </w:p>
        </w:tc>
      </w:tr>
      <w:tr w14:paraId="3DC6F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2" w:type="dxa"/>
            <w:vMerge w:val="continue"/>
            <w:vAlign w:val="center"/>
          </w:tcPr>
          <w:p w14:paraId="16A31FCF">
            <w:pPr>
              <w:spacing w:after="0" w:line="240" w:lineRule="auto"/>
              <w:jc w:val="center"/>
              <w:rPr>
                <w:color w:val="000000" w:themeColor="text1"/>
                <w:highlight w:val="none"/>
                <w:vertAlign w:val="baseline"/>
                <w14:textFill>
                  <w14:solidFill>
                    <w14:schemeClr w14:val="tx1"/>
                  </w14:solidFill>
                </w14:textFill>
              </w:rPr>
            </w:pPr>
          </w:p>
        </w:tc>
        <w:tc>
          <w:tcPr>
            <w:tcW w:w="1418" w:type="dxa"/>
            <w:shd w:val="clear" w:color="auto" w:fill="auto"/>
            <w:vAlign w:val="center"/>
          </w:tcPr>
          <w:p w14:paraId="5AAD157F">
            <w:pPr>
              <w:spacing w:after="0" w:line="240" w:lineRule="auto"/>
              <w:jc w:val="center"/>
              <w:rPr>
                <w:rFonts w:asciiTheme="minorHAnsi" w:hAnsiTheme="minorHAnsi" w:eastAsiaTheme="minorEastAsia" w:cstheme="minorBidi"/>
                <w:color w:val="000000" w:themeColor="text1"/>
                <w:kern w:val="2"/>
                <w:sz w:val="21"/>
                <w:szCs w:val="24"/>
                <w:highlight w:val="none"/>
                <w:vertAlign w:val="baseline"/>
                <w:lang w:val="en-US" w:eastAsia="zh-CN" w:bidi="ar-SA"/>
                <w14:textFill>
                  <w14:solidFill>
                    <w14:schemeClr w14:val="tx1"/>
                  </w14:solidFill>
                </w14:textFill>
              </w:rPr>
            </w:pPr>
            <w:r>
              <w:rPr>
                <w:color w:val="000000" w:themeColor="text1"/>
                <w:highlight w:val="none"/>
                <w14:textFill>
                  <w14:solidFill>
                    <w14:schemeClr w14:val="tx1"/>
                  </w14:solidFill>
                </w14:textFill>
              </w:rPr>
              <w:t>应急保障与服务</w:t>
            </w:r>
            <w:r>
              <w:rPr>
                <w:rFonts w:hint="eastAsia"/>
                <w:color w:val="000000" w:themeColor="text1"/>
                <w:highlight w:val="none"/>
                <w14:textFill>
                  <w14:solidFill>
                    <w14:schemeClr w14:val="tx1"/>
                  </w14:solidFill>
                </w14:textFill>
              </w:rPr>
              <w:t>措施</w:t>
            </w:r>
            <w:r>
              <w:rPr>
                <w:rFonts w:hint="eastAsia"/>
                <w:color w:val="000000" w:themeColor="text1"/>
                <w:highlight w:val="none"/>
                <w:vertAlign w:val="baseline"/>
                <w14:textFill>
                  <w14:solidFill>
                    <w14:schemeClr w14:val="tx1"/>
                  </w14:solidFill>
                </w14:textFill>
              </w:rPr>
              <w:t>（</w:t>
            </w:r>
            <w:r>
              <w:rPr>
                <w:rFonts w:hint="eastAsia" w:eastAsia="宋体"/>
                <w:color w:val="000000" w:themeColor="text1"/>
                <w:highlight w:val="none"/>
                <w:vertAlign w:val="baseline"/>
                <w:lang w:val="en-US" w:eastAsia="zh-CN"/>
                <w14:textFill>
                  <w14:solidFill>
                    <w14:schemeClr w14:val="tx1"/>
                  </w14:solidFill>
                </w14:textFill>
              </w:rPr>
              <w:t>9</w:t>
            </w:r>
            <w:r>
              <w:rPr>
                <w:rFonts w:hint="eastAsia"/>
                <w:color w:val="000000" w:themeColor="text1"/>
                <w:highlight w:val="none"/>
                <w:vertAlign w:val="baseline"/>
                <w14:textFill>
                  <w14:solidFill>
                    <w14:schemeClr w14:val="tx1"/>
                  </w14:solidFill>
                </w14:textFill>
              </w:rPr>
              <w:t>分）</w:t>
            </w:r>
          </w:p>
        </w:tc>
        <w:tc>
          <w:tcPr>
            <w:tcW w:w="5646" w:type="dxa"/>
            <w:vAlign w:val="center"/>
          </w:tcPr>
          <w:p w14:paraId="467A16B0">
            <w:pPr>
              <w:adjustRightInd w:val="0"/>
              <w:snapToGrid w:val="0"/>
              <w:spacing w:after="0" w:line="240" w:lineRule="auto"/>
              <w:rPr>
                <w:color w:val="000000" w:themeColor="text1"/>
                <w:highlight w:val="none"/>
                <w:vertAlign w:val="baseline"/>
                <w14:textFill>
                  <w14:solidFill>
                    <w14:schemeClr w14:val="tx1"/>
                  </w14:solidFill>
                </w14:textFill>
              </w:rPr>
            </w:pPr>
            <w:r>
              <w:rPr>
                <w:color w:val="000000" w:themeColor="text1"/>
                <w:highlight w:val="none"/>
                <w14:textFill>
                  <w14:solidFill>
                    <w14:schemeClr w14:val="tx1"/>
                  </w14:solidFill>
                </w14:textFill>
              </w:rPr>
              <w:t>应急保障与服务</w:t>
            </w:r>
            <w:r>
              <w:rPr>
                <w:rFonts w:hint="eastAsia"/>
                <w:color w:val="000000" w:themeColor="text1"/>
                <w:highlight w:val="none"/>
                <w14:textFill>
                  <w14:solidFill>
                    <w14:schemeClr w14:val="tx1"/>
                  </w14:solidFill>
                </w14:textFill>
              </w:rPr>
              <w:t>措施</w:t>
            </w:r>
            <w:r>
              <w:rPr>
                <w:rFonts w:hint="eastAsia" w:eastAsia="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包</w:t>
            </w:r>
            <w:r>
              <w:rPr>
                <w:rFonts w:hint="eastAsia" w:ascii="宋体" w:hAnsi="宋体" w:eastAsia="宋体" w:cs="宋体"/>
                <w:color w:val="000000" w:themeColor="text1"/>
                <w:szCs w:val="21"/>
                <w:highlight w:val="none"/>
                <w:lang w:val="en-US" w:eastAsia="zh-CN"/>
                <w14:textFill>
                  <w14:solidFill>
                    <w14:schemeClr w14:val="tx1"/>
                  </w14:solidFill>
                </w14:textFill>
              </w:rPr>
              <w:t>括</w:t>
            </w:r>
            <w:r>
              <w:rPr>
                <w:rFonts w:hint="eastAsia" w:ascii="宋体" w:hAnsi="宋体" w:eastAsia="宋体" w:cs="宋体"/>
                <w:color w:val="000000" w:themeColor="text1"/>
                <w:szCs w:val="21"/>
                <w:highlight w:val="none"/>
                <w14:textFill>
                  <w14:solidFill>
                    <w14:schemeClr w14:val="tx1"/>
                  </w14:solidFill>
                </w14:textFill>
              </w:rPr>
              <w:t>但不限于</w:t>
            </w:r>
            <w:r>
              <w:rPr>
                <w:rFonts w:hint="eastAsia"/>
                <w:color w:val="000000" w:themeColor="text1"/>
                <w:highlight w:val="none"/>
                <w14:textFill>
                  <w14:solidFill>
                    <w14:schemeClr w14:val="tx1"/>
                  </w14:solidFill>
                </w14:textFill>
              </w:rPr>
              <w:t>：具备完善的突发环境事件</w:t>
            </w:r>
            <w:r>
              <w:rPr>
                <w:rFonts w:hint="eastAsia" w:eastAsia="宋体"/>
                <w:color w:val="000000" w:themeColor="text1"/>
                <w:highlight w:val="none"/>
                <w:lang w:val="en-US" w:eastAsia="zh-CN"/>
                <w14:textFill>
                  <w14:solidFill>
                    <w14:schemeClr w14:val="tx1"/>
                  </w14:solidFill>
                </w14:textFill>
              </w:rPr>
              <w:t>应急</w:t>
            </w:r>
            <w:r>
              <w:rPr>
                <w:rFonts w:hint="eastAsia"/>
                <w:color w:val="000000" w:themeColor="text1"/>
                <w:highlight w:val="none"/>
                <w14:textFill>
                  <w14:solidFill>
                    <w14:schemeClr w14:val="tx1"/>
                  </w14:solidFill>
                </w14:textFill>
              </w:rPr>
              <w:t>响应、隐患应急处置、节假日值守、加急迎检保障机制。</w:t>
            </w:r>
            <w:r>
              <w:rPr>
                <w:rFonts w:hint="eastAsia" w:ascii="宋体" w:hAnsi="宋体" w:cs="宋体"/>
                <w:b/>
                <w:bCs w:val="0"/>
                <w:color w:val="000000" w:themeColor="text1"/>
                <w:sz w:val="21"/>
                <w:szCs w:val="21"/>
                <w:highlight w:val="none"/>
                <w14:textFill>
                  <w14:solidFill>
                    <w14:schemeClr w14:val="tx1"/>
                  </w14:solidFill>
                </w14:textFill>
              </w:rPr>
              <w:t>方案</w:t>
            </w:r>
            <w:r>
              <w:rPr>
                <w:rFonts w:hint="eastAsia" w:ascii="宋体" w:hAnsi="宋体" w:eastAsia="宋体" w:cs="宋体"/>
                <w:b/>
                <w:bCs w:val="0"/>
                <w:i w:val="0"/>
                <w:color w:val="000000" w:themeColor="text1"/>
                <w:sz w:val="21"/>
                <w:szCs w:val="21"/>
                <w:highlight w:val="none"/>
                <w:u w:val="none"/>
                <w:lang w:val="en-US" w:eastAsia="zh-CN" w:bidi="ar"/>
                <w14:textFill>
                  <w14:solidFill>
                    <w14:schemeClr w14:val="tx1"/>
                  </w14:solidFill>
                </w14:textFill>
              </w:rPr>
              <w:t>优于</w:t>
            </w:r>
            <w:r>
              <w:rPr>
                <w:rFonts w:hint="eastAsia" w:ascii="宋体" w:hAnsi="宋体" w:cs="宋体"/>
                <w:b/>
                <w:bCs w:val="0"/>
                <w:color w:val="000000" w:themeColor="text1"/>
                <w:sz w:val="21"/>
                <w:szCs w:val="21"/>
                <w:highlight w:val="none"/>
                <w14:textFill>
                  <w14:solidFill>
                    <w14:schemeClr w14:val="tx1"/>
                  </w14:solidFill>
                </w14:textFill>
              </w:rPr>
              <w:t>招标文件要求的</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lang w:val="en-US" w:eastAsia="zh-CN"/>
                <w14:textFill>
                  <w14:solidFill>
                    <w14:schemeClr w14:val="tx1"/>
                  </w14:solidFill>
                </w14:textFill>
              </w:rPr>
              <w:t>得9分</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方案符合招标文件要求的</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得</w:t>
            </w:r>
            <w:r>
              <w:rPr>
                <w:rFonts w:hint="eastAsia" w:ascii="宋体" w:hAnsi="宋体" w:cs="宋体"/>
                <w:b/>
                <w:bCs w:val="0"/>
                <w:color w:val="000000" w:themeColor="text1"/>
                <w:sz w:val="21"/>
                <w:szCs w:val="21"/>
                <w:highlight w:val="none"/>
                <w:lang w:val="en-US" w:eastAsia="zh-CN"/>
                <w14:textFill>
                  <w14:solidFill>
                    <w14:schemeClr w14:val="tx1"/>
                  </w14:solidFill>
                </w14:textFill>
              </w:rPr>
              <w:t>6</w:t>
            </w:r>
            <w:r>
              <w:rPr>
                <w:rFonts w:hint="eastAsia" w:ascii="宋体" w:hAnsi="宋体" w:cs="宋体"/>
                <w:b/>
                <w:bCs w:val="0"/>
                <w:color w:val="000000" w:themeColor="text1"/>
                <w:sz w:val="21"/>
                <w:szCs w:val="21"/>
                <w:highlight w:val="none"/>
                <w14:textFill>
                  <w14:solidFill>
                    <w14:schemeClr w14:val="tx1"/>
                  </w14:solidFill>
                </w14:textFill>
              </w:rPr>
              <w:t>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方案不符合招标文件要求的</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得</w:t>
            </w:r>
            <w:r>
              <w:rPr>
                <w:rFonts w:hint="eastAsia" w:ascii="宋体" w:hAnsi="宋体" w:cs="宋体"/>
                <w:b/>
                <w:bCs w:val="0"/>
                <w:color w:val="000000" w:themeColor="text1"/>
                <w:sz w:val="21"/>
                <w:szCs w:val="21"/>
                <w:highlight w:val="none"/>
                <w:lang w:val="en-US" w:eastAsia="zh-CN"/>
                <w14:textFill>
                  <w14:solidFill>
                    <w14:schemeClr w14:val="tx1"/>
                  </w14:solidFill>
                </w14:textFill>
              </w:rPr>
              <w:t>2</w:t>
            </w:r>
            <w:r>
              <w:rPr>
                <w:rFonts w:hint="eastAsia" w:ascii="宋体" w:hAnsi="宋体" w:cs="宋体"/>
                <w:b/>
                <w:bCs w:val="0"/>
                <w:color w:val="000000" w:themeColor="text1"/>
                <w:sz w:val="21"/>
                <w:szCs w:val="21"/>
                <w:highlight w:val="none"/>
                <w14:textFill>
                  <w14:solidFill>
                    <w14:schemeClr w14:val="tx1"/>
                  </w14:solidFill>
                </w14:textFill>
              </w:rPr>
              <w:t>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未提供的不得分</w:t>
            </w:r>
            <w:r>
              <w:rPr>
                <w:rFonts w:hint="eastAsia" w:ascii="宋体" w:hAnsi="宋体" w:cs="宋体"/>
                <w:b/>
                <w:bCs w:val="0"/>
                <w:color w:val="000000" w:themeColor="text1"/>
                <w:sz w:val="21"/>
                <w:szCs w:val="21"/>
                <w:highlight w:val="none"/>
                <w:lang w:eastAsia="zh-CN"/>
                <w14:textFill>
                  <w14:solidFill>
                    <w14:schemeClr w14:val="tx1"/>
                  </w14:solidFill>
                </w14:textFill>
              </w:rPr>
              <w:t>。</w:t>
            </w:r>
            <w:r>
              <w:rPr>
                <w:rFonts w:hint="eastAsia" w:ascii="宋体" w:hAnsi="宋体" w:cs="宋体"/>
                <w:b/>
                <w:bCs w:val="0"/>
                <w:color w:val="000000" w:themeColor="text1"/>
                <w:sz w:val="21"/>
                <w:szCs w:val="21"/>
                <w:highlight w:val="none"/>
                <w14:textFill>
                  <w14:solidFill>
                    <w14:schemeClr w14:val="tx1"/>
                  </w14:solidFill>
                </w14:textFill>
              </w:rPr>
              <w:t>本项最高得</w:t>
            </w:r>
            <w:r>
              <w:rPr>
                <w:rFonts w:hint="eastAsia" w:ascii="宋体" w:hAnsi="宋体" w:cs="宋体"/>
                <w:b/>
                <w:bCs w:val="0"/>
                <w:color w:val="000000" w:themeColor="text1"/>
                <w:sz w:val="21"/>
                <w:szCs w:val="21"/>
                <w:highlight w:val="none"/>
                <w:lang w:val="en-US" w:eastAsia="zh-CN"/>
                <w14:textFill>
                  <w14:solidFill>
                    <w14:schemeClr w14:val="tx1"/>
                  </w14:solidFill>
                </w14:textFill>
              </w:rPr>
              <w:t>9</w:t>
            </w:r>
            <w:r>
              <w:rPr>
                <w:rFonts w:hint="eastAsia" w:ascii="宋体" w:hAnsi="宋体" w:cs="宋体"/>
                <w:b/>
                <w:bCs w:val="0"/>
                <w:color w:val="000000" w:themeColor="text1"/>
                <w:sz w:val="21"/>
                <w:szCs w:val="21"/>
                <w:highlight w:val="none"/>
                <w14:textFill>
                  <w14:solidFill>
                    <w14:schemeClr w14:val="tx1"/>
                  </w14:solidFill>
                </w14:textFill>
              </w:rPr>
              <w:t>分。</w:t>
            </w:r>
          </w:p>
        </w:tc>
      </w:tr>
    </w:tbl>
    <w:p w14:paraId="7A33B400">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p>
    <w:p w14:paraId="47FE619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供应商提供的方案能全部响应要求，提出和本项目实施相关的更为细致、有针对性、切实可行、要求之外的内容的，可视为优于；方案能响应要求的可视为符合；方案对于要求的响应不完全或者负偏离要求的，视为不符合。具体由评审委员会评审。</w:t>
      </w:r>
    </w:p>
    <w:p w14:paraId="727B9F8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sz w:val="24"/>
        </w:rPr>
      </w:pPr>
      <w:r>
        <w:rPr>
          <w:rFonts w:hint="eastAsia" w:ascii="宋体" w:hAnsi="宋体"/>
          <w:sz w:val="24"/>
        </w:rPr>
        <w:t>1.针对评分标准中评分的每一条，供应商均应提供相关资料并作出相应说明供评委评判，不提供相关资料的视为不具备该项得分的条件。</w:t>
      </w:r>
    </w:p>
    <w:p w14:paraId="7F55A487">
      <w:pPr>
        <w:spacing w:line="480" w:lineRule="exact"/>
        <w:ind w:firstLine="480"/>
        <w:rPr>
          <w:rFonts w:hint="eastAsia" w:ascii="宋体" w:hAnsi="宋体"/>
          <w:sz w:val="24"/>
        </w:rPr>
      </w:pPr>
      <w:r>
        <w:rPr>
          <w:rFonts w:hint="eastAsia" w:ascii="宋体" w:hAnsi="宋体"/>
          <w:sz w:val="24"/>
        </w:rPr>
        <w:t>2.响应文件提交截止时间后不得修改或补充响应文件。</w:t>
      </w:r>
    </w:p>
    <w:p w14:paraId="50BAEE64">
      <w:pPr>
        <w:spacing w:line="480" w:lineRule="exact"/>
        <w:ind w:firstLine="480"/>
        <w:rPr>
          <w:rFonts w:hint="eastAsia" w:ascii="宋体" w:hAnsi="宋体"/>
          <w:sz w:val="24"/>
        </w:rPr>
      </w:pPr>
      <w:r>
        <w:rPr>
          <w:rFonts w:hint="eastAsia" w:ascii="宋体" w:hAnsi="宋体"/>
          <w:sz w:val="24"/>
        </w:rPr>
        <w:t>3.供应商的最终得分为所有评委打分的平均值，计算结果保留至小数点后两位。</w:t>
      </w:r>
    </w:p>
    <w:p w14:paraId="36AB033F">
      <w:pPr>
        <w:spacing w:line="480" w:lineRule="exact"/>
        <w:ind w:firstLine="480"/>
      </w:pPr>
      <w:r>
        <w:rPr>
          <w:rFonts w:hint="eastAsia" w:ascii="宋体" w:hAnsi="宋体"/>
          <w:sz w:val="24"/>
        </w:rPr>
        <w:t>4.供应商必须保证全部投标资料的真实性，如有虚假或对招标文件所要求说明的情况故意隐瞒或虚报，视为不实质性响应文件，为无效投标，已成交的将取消成交资格，按“提供虚假材料谋取</w:t>
      </w:r>
      <w:r>
        <w:rPr>
          <w:rFonts w:hint="eastAsia" w:ascii="宋体" w:hAnsi="宋体" w:eastAsia="宋体"/>
          <w:sz w:val="24"/>
          <w:lang w:val="en-US" w:eastAsia="zh-CN"/>
        </w:rPr>
        <w:t>中标、</w:t>
      </w:r>
      <w:r>
        <w:rPr>
          <w:rFonts w:hint="eastAsia" w:ascii="宋体" w:hAnsi="宋体"/>
          <w:sz w:val="24"/>
        </w:rPr>
        <w:t>成交</w:t>
      </w:r>
      <w:r>
        <w:rPr>
          <w:rFonts w:hint="eastAsia" w:ascii="宋体" w:hAnsi="宋体" w:eastAsia="宋体"/>
          <w:sz w:val="24"/>
          <w:lang w:val="en-US" w:eastAsia="zh-CN"/>
        </w:rPr>
        <w:t>的</w:t>
      </w:r>
      <w:r>
        <w:rPr>
          <w:rFonts w:hint="eastAsia" w:ascii="宋体" w:hAnsi="宋体"/>
          <w:sz w:val="24"/>
        </w:rPr>
        <w:t>”相关处理办法处理。</w:t>
      </w:r>
      <w:r>
        <w:t> </w:t>
      </w:r>
    </w:p>
    <w:p w14:paraId="4782AAC3">
      <w:pPr>
        <w:pStyle w:val="2"/>
        <w:keepNext/>
        <w:keepLines/>
        <w:pageBreakBefore/>
        <w:widowControl w:val="0"/>
        <w:spacing w:before="0" w:after="0" w:line="360" w:lineRule="auto"/>
        <w:jc w:val="center"/>
        <w:rPr>
          <w:rFonts w:hint="eastAsia" w:ascii="宋体" w:hAnsi="宋体" w:eastAsia="宋体" w:cs="宋体"/>
          <w:sz w:val="32"/>
          <w:szCs w:val="32"/>
        </w:rPr>
      </w:pPr>
      <w:r>
        <w:rPr>
          <w:rFonts w:hint="eastAsia" w:ascii="宋体" w:hAnsi="宋体" w:eastAsia="宋体" w:cs="宋体"/>
          <w:sz w:val="32"/>
          <w:szCs w:val="32"/>
        </w:rPr>
        <w:t>第六章   响应文件格式</w:t>
      </w:r>
    </w:p>
    <w:p w14:paraId="16D4505A">
      <w:pPr>
        <w:pStyle w:val="32"/>
        <w:spacing w:beforeAutospacing="0" w:afterAutospacing="0"/>
        <w:jc w:val="center"/>
        <w:rPr>
          <w:rFonts w:hint="eastAsia" w:ascii="宋体" w:hAnsi="宋体" w:eastAsia="宋体" w:cs="宋体"/>
          <w:b/>
          <w:sz w:val="72"/>
          <w:szCs w:val="72"/>
        </w:rPr>
      </w:pPr>
    </w:p>
    <w:p w14:paraId="46E74621">
      <w:pPr>
        <w:pStyle w:val="32"/>
        <w:spacing w:beforeAutospacing="0" w:afterAutospacing="0"/>
        <w:jc w:val="center"/>
        <w:rPr>
          <w:rFonts w:hint="eastAsia" w:ascii="宋体" w:hAnsi="宋体" w:eastAsia="宋体" w:cs="宋体"/>
          <w:b/>
          <w:sz w:val="72"/>
          <w:szCs w:val="72"/>
        </w:rPr>
      </w:pPr>
    </w:p>
    <w:p w14:paraId="36D944E6">
      <w:pPr>
        <w:pStyle w:val="32"/>
        <w:spacing w:beforeAutospacing="0" w:afterAutospacing="0"/>
        <w:jc w:val="center"/>
        <w:rPr>
          <w:rFonts w:hint="eastAsia" w:ascii="宋体" w:hAnsi="宋体" w:eastAsia="宋体" w:cs="宋体"/>
          <w:b/>
          <w:sz w:val="72"/>
          <w:szCs w:val="72"/>
        </w:rPr>
      </w:pPr>
    </w:p>
    <w:p w14:paraId="02D74DA5">
      <w:pPr>
        <w:pStyle w:val="32"/>
        <w:spacing w:beforeAutospacing="0" w:afterAutospacing="0"/>
        <w:jc w:val="center"/>
        <w:rPr>
          <w:rFonts w:hint="eastAsia" w:ascii="宋体" w:hAnsi="宋体" w:eastAsia="宋体" w:cs="宋体"/>
          <w:b/>
          <w:sz w:val="72"/>
          <w:szCs w:val="72"/>
        </w:rPr>
      </w:pPr>
    </w:p>
    <w:p w14:paraId="425AF6B8">
      <w:pPr>
        <w:pStyle w:val="32"/>
        <w:spacing w:beforeAutospacing="0" w:afterAutospacing="0"/>
        <w:jc w:val="center"/>
        <w:rPr>
          <w:rFonts w:hint="eastAsia" w:ascii="宋体" w:hAnsi="宋体" w:eastAsia="宋体" w:cs="宋体"/>
          <w:b/>
          <w:sz w:val="72"/>
          <w:szCs w:val="72"/>
        </w:rPr>
      </w:pPr>
    </w:p>
    <w:p w14:paraId="19475C77">
      <w:pPr>
        <w:pStyle w:val="32"/>
        <w:spacing w:beforeAutospacing="0" w:afterAutospacing="0"/>
        <w:jc w:val="center"/>
        <w:rPr>
          <w:rFonts w:hint="eastAsia" w:ascii="宋体" w:hAnsi="宋体" w:eastAsia="宋体" w:cs="宋体"/>
        </w:rPr>
      </w:pPr>
      <w:r>
        <w:rPr>
          <w:rFonts w:hint="eastAsia" w:ascii="宋体" w:hAnsi="宋体" w:eastAsia="宋体" w:cs="宋体"/>
          <w:b/>
          <w:sz w:val="72"/>
          <w:szCs w:val="72"/>
        </w:rPr>
        <w:t>响  应  文  件</w:t>
      </w:r>
    </w:p>
    <w:p w14:paraId="218D4FDC">
      <w:pPr>
        <w:pStyle w:val="32"/>
        <w:spacing w:beforeAutospacing="0" w:afterAutospacing="0"/>
        <w:jc w:val="center"/>
        <w:rPr>
          <w:rFonts w:hint="eastAsia" w:ascii="宋体" w:hAnsi="宋体" w:eastAsia="宋体" w:cs="宋体"/>
        </w:rPr>
      </w:pPr>
      <w:r>
        <w:rPr>
          <w:rFonts w:hint="eastAsia" w:ascii="宋体" w:hAnsi="宋体" w:eastAsia="宋体" w:cs="宋体"/>
        </w:rPr>
        <w:t> </w:t>
      </w:r>
    </w:p>
    <w:p w14:paraId="7FAB60EC">
      <w:pPr>
        <w:pStyle w:val="32"/>
        <w:spacing w:beforeAutospacing="0" w:afterAutospacing="0"/>
        <w:jc w:val="center"/>
        <w:rPr>
          <w:rFonts w:hint="eastAsia" w:ascii="宋体" w:hAnsi="宋体" w:eastAsia="宋体" w:cs="宋体"/>
        </w:rPr>
      </w:pPr>
      <w:r>
        <w:rPr>
          <w:rFonts w:hint="eastAsia" w:ascii="宋体" w:hAnsi="宋体" w:eastAsia="宋体" w:cs="宋体"/>
        </w:rPr>
        <w:t> </w:t>
      </w:r>
    </w:p>
    <w:p w14:paraId="037F0007">
      <w:pPr>
        <w:pStyle w:val="32"/>
        <w:spacing w:beforeAutospacing="0" w:afterAutospacing="0"/>
        <w:jc w:val="center"/>
        <w:rPr>
          <w:rFonts w:hint="eastAsia" w:ascii="宋体" w:hAnsi="宋体" w:eastAsia="宋体" w:cs="宋体"/>
        </w:rPr>
      </w:pPr>
      <w:r>
        <w:rPr>
          <w:rFonts w:hint="eastAsia" w:ascii="宋体" w:hAnsi="宋体" w:eastAsia="宋体" w:cs="宋体"/>
        </w:rPr>
        <w:t> </w:t>
      </w:r>
    </w:p>
    <w:p w14:paraId="393B20A1">
      <w:pPr>
        <w:pStyle w:val="32"/>
        <w:spacing w:beforeAutospacing="0" w:afterAutospacing="0"/>
        <w:jc w:val="center"/>
        <w:rPr>
          <w:rFonts w:hint="eastAsia" w:ascii="宋体" w:hAnsi="宋体" w:eastAsia="宋体" w:cs="宋体"/>
        </w:rPr>
      </w:pPr>
      <w:r>
        <w:rPr>
          <w:rFonts w:hint="eastAsia" w:ascii="宋体" w:hAnsi="宋体" w:eastAsia="宋体" w:cs="宋体"/>
        </w:rPr>
        <w:t> </w:t>
      </w:r>
    </w:p>
    <w:p w14:paraId="61228C97">
      <w:pPr>
        <w:pStyle w:val="32"/>
        <w:spacing w:beforeAutospacing="0" w:afterAutospacing="0"/>
        <w:jc w:val="center"/>
        <w:rPr>
          <w:rFonts w:hint="eastAsia" w:ascii="宋体" w:hAnsi="宋体" w:eastAsia="宋体" w:cs="宋体"/>
        </w:rPr>
      </w:pPr>
      <w:r>
        <w:rPr>
          <w:rFonts w:hint="eastAsia" w:ascii="宋体" w:hAnsi="宋体" w:eastAsia="宋体" w:cs="宋体"/>
        </w:rPr>
        <w:t> </w:t>
      </w:r>
    </w:p>
    <w:p w14:paraId="3FE11D2A">
      <w:pPr>
        <w:pStyle w:val="32"/>
        <w:spacing w:beforeAutospacing="0" w:afterAutospacing="0"/>
        <w:ind w:firstLine="1084"/>
        <w:jc w:val="both"/>
        <w:rPr>
          <w:rFonts w:hint="eastAsia" w:ascii="宋体" w:hAnsi="宋体" w:eastAsia="宋体" w:cs="宋体"/>
        </w:rPr>
      </w:pPr>
      <w:r>
        <w:rPr>
          <w:rFonts w:hint="eastAsia" w:ascii="宋体" w:hAnsi="宋体" w:eastAsia="宋体" w:cs="宋体"/>
          <w:b/>
          <w:sz w:val="36"/>
          <w:szCs w:val="36"/>
        </w:rPr>
        <w:t>项 目名 称：</w:t>
      </w:r>
      <w:r>
        <w:rPr>
          <w:rFonts w:hint="eastAsia" w:ascii="宋体" w:hAnsi="宋体" w:eastAsia="宋体" w:cs="宋体"/>
          <w:b/>
          <w:sz w:val="36"/>
          <w:szCs w:val="36"/>
          <w:u w:val="single"/>
        </w:rPr>
        <w:t xml:space="preserve">               </w:t>
      </w:r>
    </w:p>
    <w:p w14:paraId="0587AB78">
      <w:pPr>
        <w:pStyle w:val="32"/>
        <w:spacing w:beforeAutospacing="0" w:afterAutospacing="0"/>
        <w:ind w:firstLine="1084"/>
        <w:jc w:val="both"/>
        <w:rPr>
          <w:rFonts w:hint="eastAsia" w:ascii="宋体" w:hAnsi="宋体" w:eastAsia="宋体" w:cs="宋体"/>
        </w:rPr>
      </w:pPr>
      <w:r>
        <w:rPr>
          <w:rFonts w:hint="eastAsia" w:ascii="宋体" w:hAnsi="宋体" w:eastAsia="宋体" w:cs="宋体"/>
          <w:b/>
          <w:sz w:val="36"/>
          <w:szCs w:val="36"/>
        </w:rPr>
        <w:t>项 目编 号：</w:t>
      </w:r>
      <w:r>
        <w:rPr>
          <w:rFonts w:hint="eastAsia" w:ascii="宋体" w:hAnsi="宋体" w:eastAsia="宋体" w:cs="宋体"/>
          <w:b/>
          <w:sz w:val="36"/>
          <w:szCs w:val="36"/>
          <w:u w:val="single"/>
        </w:rPr>
        <w:t xml:space="preserve">               </w:t>
      </w:r>
    </w:p>
    <w:p w14:paraId="524D9A41">
      <w:pPr>
        <w:pStyle w:val="32"/>
        <w:spacing w:beforeAutospacing="0" w:afterAutospacing="0"/>
        <w:jc w:val="both"/>
        <w:rPr>
          <w:rFonts w:hint="eastAsia" w:ascii="宋体" w:hAnsi="宋体" w:eastAsia="宋体" w:cs="宋体"/>
        </w:rPr>
      </w:pPr>
      <w:r>
        <w:rPr>
          <w:rFonts w:hint="eastAsia" w:ascii="宋体" w:hAnsi="宋体" w:eastAsia="宋体" w:cs="宋体"/>
          <w:b/>
          <w:sz w:val="36"/>
          <w:szCs w:val="36"/>
        </w:rPr>
        <w:t>      供应商名称：</w:t>
      </w:r>
      <w:r>
        <w:rPr>
          <w:rFonts w:hint="eastAsia" w:ascii="宋体" w:hAnsi="宋体" w:eastAsia="宋体" w:cs="宋体"/>
          <w:b/>
          <w:sz w:val="36"/>
          <w:szCs w:val="36"/>
          <w:u w:val="single"/>
        </w:rPr>
        <w:t xml:space="preserve">   （加盖CA电子公章）       </w:t>
      </w:r>
    </w:p>
    <w:p w14:paraId="4E117956">
      <w:pPr>
        <w:pStyle w:val="32"/>
        <w:spacing w:beforeAutospacing="0" w:afterAutospacing="0"/>
        <w:jc w:val="both"/>
        <w:rPr>
          <w:rFonts w:hint="eastAsia" w:ascii="宋体" w:hAnsi="宋体" w:eastAsia="宋体" w:cs="宋体"/>
        </w:rPr>
      </w:pPr>
      <w:r>
        <w:rPr>
          <w:rFonts w:hint="eastAsia" w:ascii="宋体" w:hAnsi="宋体" w:eastAsia="宋体" w:cs="宋体"/>
          <w:b/>
          <w:sz w:val="36"/>
          <w:szCs w:val="36"/>
        </w:rPr>
        <w:t>      日   期：</w:t>
      </w:r>
      <w:r>
        <w:rPr>
          <w:rFonts w:hint="eastAsia" w:ascii="宋体" w:hAnsi="宋体" w:eastAsia="宋体" w:cs="宋体"/>
          <w:b/>
          <w:sz w:val="36"/>
          <w:szCs w:val="36"/>
          <w:u w:val="single"/>
        </w:rPr>
        <w:t>                  </w:t>
      </w:r>
    </w:p>
    <w:p w14:paraId="7A1AD54B">
      <w:pPr>
        <w:pStyle w:val="32"/>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2DA520CB">
      <w:pPr>
        <w:pStyle w:val="32"/>
        <w:spacing w:beforeAutospacing="0" w:afterAutospacing="0" w:line="0" w:lineRule="atLeast"/>
        <w:jc w:val="center"/>
        <w:rPr>
          <w:rFonts w:hint="eastAsia" w:ascii="宋体" w:hAnsi="宋体" w:eastAsia="宋体" w:cs="宋体"/>
          <w:b/>
          <w:sz w:val="32"/>
          <w:szCs w:val="32"/>
        </w:rPr>
      </w:pPr>
    </w:p>
    <w:p w14:paraId="0087D550">
      <w:pPr>
        <w:pStyle w:val="32"/>
        <w:spacing w:beforeAutospacing="0" w:afterAutospacing="0" w:line="0" w:lineRule="atLeast"/>
        <w:jc w:val="center"/>
        <w:rPr>
          <w:rFonts w:hint="eastAsia" w:ascii="宋体" w:hAnsi="宋体" w:eastAsia="宋体" w:cs="宋体"/>
          <w:b/>
          <w:sz w:val="32"/>
          <w:szCs w:val="32"/>
        </w:rPr>
      </w:pPr>
    </w:p>
    <w:p w14:paraId="152A42DA">
      <w:pPr>
        <w:pStyle w:val="32"/>
        <w:spacing w:beforeAutospacing="0" w:afterAutospacing="0" w:line="0" w:lineRule="atLeast"/>
        <w:jc w:val="center"/>
        <w:rPr>
          <w:rFonts w:hint="eastAsia" w:ascii="宋体" w:hAnsi="宋体" w:eastAsia="宋体" w:cs="宋体"/>
          <w:b/>
          <w:sz w:val="32"/>
          <w:szCs w:val="32"/>
        </w:rPr>
      </w:pPr>
    </w:p>
    <w:p w14:paraId="653116AD">
      <w:pPr>
        <w:pStyle w:val="32"/>
        <w:spacing w:beforeAutospacing="0" w:afterAutospacing="0" w:line="0" w:lineRule="atLeast"/>
        <w:jc w:val="center"/>
        <w:rPr>
          <w:rFonts w:hint="eastAsia" w:ascii="宋体" w:hAnsi="宋体" w:eastAsia="宋体" w:cs="宋体"/>
          <w:b/>
          <w:sz w:val="32"/>
          <w:szCs w:val="32"/>
        </w:rPr>
      </w:pPr>
    </w:p>
    <w:p w14:paraId="3A3F4C27">
      <w:pPr>
        <w:pStyle w:val="32"/>
        <w:spacing w:beforeAutospacing="0" w:afterAutospacing="0" w:line="0" w:lineRule="atLeast"/>
        <w:jc w:val="center"/>
        <w:rPr>
          <w:rFonts w:hint="eastAsia" w:ascii="宋体" w:hAnsi="宋体" w:eastAsia="宋体" w:cs="宋体"/>
          <w:b/>
          <w:sz w:val="32"/>
          <w:szCs w:val="32"/>
        </w:rPr>
      </w:pPr>
    </w:p>
    <w:p w14:paraId="7BA0F26B">
      <w:pPr>
        <w:pStyle w:val="32"/>
        <w:spacing w:beforeAutospacing="0" w:afterAutospacing="0" w:line="0" w:lineRule="atLeast"/>
        <w:jc w:val="center"/>
        <w:rPr>
          <w:rFonts w:hint="eastAsia" w:ascii="宋体" w:hAnsi="宋体" w:eastAsia="宋体" w:cs="宋体"/>
          <w:b/>
          <w:sz w:val="32"/>
          <w:szCs w:val="32"/>
        </w:rPr>
      </w:pPr>
    </w:p>
    <w:p w14:paraId="09CAA998">
      <w:pPr>
        <w:pStyle w:val="32"/>
        <w:spacing w:beforeAutospacing="0" w:afterAutospacing="0" w:line="0" w:lineRule="atLeast"/>
        <w:jc w:val="both"/>
        <w:rPr>
          <w:rFonts w:hint="eastAsia" w:ascii="宋体" w:hAnsi="宋体" w:eastAsia="宋体" w:cs="宋体"/>
          <w:b/>
          <w:sz w:val="32"/>
          <w:szCs w:val="32"/>
        </w:rPr>
      </w:pPr>
    </w:p>
    <w:p w14:paraId="00A85F16">
      <w:pPr>
        <w:pStyle w:val="32"/>
        <w:spacing w:beforeAutospacing="0" w:afterAutospacing="0" w:line="0" w:lineRule="atLeast"/>
        <w:jc w:val="center"/>
        <w:rPr>
          <w:rFonts w:hint="eastAsia" w:ascii="宋体" w:hAnsi="宋体" w:eastAsia="宋体" w:cs="宋体"/>
          <w:b/>
          <w:sz w:val="32"/>
          <w:szCs w:val="32"/>
        </w:rPr>
      </w:pPr>
    </w:p>
    <w:p w14:paraId="0ACEC703">
      <w:pPr>
        <w:rPr>
          <w:rFonts w:hint="eastAsia" w:ascii="宋体" w:hAnsi="宋体" w:eastAsia="宋体" w:cs="宋体"/>
          <w:b/>
          <w:bCs/>
          <w:sz w:val="32"/>
          <w:szCs w:val="32"/>
        </w:rPr>
      </w:pPr>
      <w:r>
        <w:rPr>
          <w:rFonts w:hint="eastAsia" w:ascii="宋体" w:hAnsi="宋体" w:eastAsia="宋体" w:cs="宋体"/>
          <w:b/>
          <w:sz w:val="32"/>
          <w:szCs w:val="32"/>
        </w:rPr>
        <w:br w:type="page" w:clear="all"/>
      </w:r>
    </w:p>
    <w:p w14:paraId="02B36714">
      <w:pPr>
        <w:pStyle w:val="32"/>
        <w:spacing w:beforeAutospacing="0" w:afterAutospacing="0" w:line="0" w:lineRule="atLeast"/>
        <w:jc w:val="center"/>
        <w:rPr>
          <w:rFonts w:hint="eastAsia" w:ascii="宋体" w:hAnsi="宋体" w:eastAsia="宋体" w:cs="宋体"/>
          <w:b/>
          <w:color w:val="000000" w:themeColor="text1"/>
          <w:sz w:val="32"/>
          <w:szCs w:val="32"/>
          <w14:textFill>
            <w14:solidFill>
              <w14:schemeClr w14:val="tx1"/>
            </w14:solidFill>
          </w14:textFill>
        </w:rPr>
      </w:pPr>
    </w:p>
    <w:p w14:paraId="2887B878">
      <w:pPr>
        <w:pStyle w:val="32"/>
        <w:spacing w:beforeAutospacing="0" w:afterAutospacing="0" w:line="0" w:lineRule="atLeast"/>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响应文件目录</w:t>
      </w:r>
    </w:p>
    <w:p w14:paraId="138E170E">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17937B5D">
      <w:pPr>
        <w:pStyle w:val="32"/>
        <w:spacing w:beforeAutospacing="0" w:afterAutospacing="0" w:line="360" w:lineRule="auto"/>
        <w:ind w:left="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一、法人或者其他组织的营业执照等证明文件，自然人的身份证明</w:t>
      </w:r>
    </w:p>
    <w:p w14:paraId="18EA4F20">
      <w:pPr>
        <w:pStyle w:val="32"/>
        <w:spacing w:beforeAutospacing="0" w:afterAutospacing="0" w:line="360" w:lineRule="auto"/>
        <w:ind w:left="480"/>
        <w:jc w:val="both"/>
        <w:rPr>
          <w:rFonts w:hint="eastAsia" w:ascii="宋体" w:hAnsi="宋体" w:eastAsia="宋体" w:cs="宋体"/>
          <w:i/>
          <w:color w:val="000000" w:themeColor="text1"/>
          <w:u w:val="single"/>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二、上一年度的财务状况报告（至少提供资产负债表、利润表、现金流量表，磋商供应商成立不满一年无需提供）</w:t>
      </w:r>
    </w:p>
    <w:p w14:paraId="25D54230">
      <w:pPr>
        <w:pStyle w:val="32"/>
        <w:spacing w:beforeAutospacing="0" w:afterAutospacing="0" w:line="360" w:lineRule="auto"/>
        <w:ind w:left="480"/>
        <w:jc w:val="both"/>
        <w:rPr>
          <w:rFonts w:hint="eastAsia" w:ascii="宋体" w:hAnsi="宋体" w:eastAsia="宋体" w:cs="宋体"/>
          <w:i/>
          <w:color w:val="000000" w:themeColor="text1"/>
          <w:u w:val="single"/>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三、具备履行合同所必需的设备和专业技术能力的书面声明</w:t>
      </w:r>
    </w:p>
    <w:p w14:paraId="1F70B5E7">
      <w:pPr>
        <w:pStyle w:val="32"/>
        <w:spacing w:beforeAutospacing="0" w:afterAutospacing="0" w:line="360" w:lineRule="auto"/>
        <w:ind w:left="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41B2419D">
      <w:pPr>
        <w:pStyle w:val="32"/>
        <w:spacing w:beforeAutospacing="0" w:afterAutospacing="0" w:line="360"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五、参加政府采购活动前 3 年内在经营活动中没有重大违法记录的书面声明</w:t>
      </w:r>
    </w:p>
    <w:p w14:paraId="1F7E6DC4">
      <w:pPr>
        <w:pStyle w:val="32"/>
        <w:spacing w:beforeAutospacing="0" w:afterAutospacing="0" w:line="360"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六、特定资格要求的证明文件（如果本项目设置特定资格要求，则需要提供）</w:t>
      </w:r>
    </w:p>
    <w:p w14:paraId="7C822061">
      <w:pPr>
        <w:pStyle w:val="32"/>
        <w:spacing w:beforeAutospacing="0" w:afterAutospacing="0" w:line="360"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七、法人授权书</w:t>
      </w:r>
    </w:p>
    <w:p w14:paraId="0AF98F09">
      <w:pPr>
        <w:pStyle w:val="32"/>
        <w:spacing w:beforeAutospacing="0" w:afterAutospacing="0" w:line="360"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八、磋商响应函</w:t>
      </w:r>
    </w:p>
    <w:p w14:paraId="2A884909">
      <w:pPr>
        <w:pStyle w:val="32"/>
        <w:spacing w:beforeAutospacing="0" w:afterAutospacing="0" w:line="360"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九、小微企业声明函</w:t>
      </w:r>
    </w:p>
    <w:p w14:paraId="5B50D9FE">
      <w:pPr>
        <w:pStyle w:val="32"/>
        <w:spacing w:beforeAutospacing="0" w:afterAutospacing="0" w:line="360" w:lineRule="auto"/>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十、残疾人福利性单位声明函</w:t>
      </w:r>
    </w:p>
    <w:p w14:paraId="6A771FFA">
      <w:pPr>
        <w:pStyle w:val="32"/>
        <w:spacing w:beforeAutospacing="0" w:afterAutospacing="0" w:line="360" w:lineRule="auto"/>
        <w:ind w:firstLine="480"/>
        <w:jc w:val="both"/>
        <w:rPr>
          <w:rFonts w:ascii="宋体" w:hAnsi="宋体"/>
          <w:color w:val="000000" w:themeColor="text1"/>
          <w:szCs w:val="21"/>
          <w14:textFill>
            <w14:solidFill>
              <w14:schemeClr w14:val="tx1"/>
            </w14:solidFill>
          </w14:textFill>
        </w:rPr>
      </w:pPr>
      <w:r>
        <w:rPr>
          <w:rFonts w:hint="eastAsia" w:ascii="宋体" w:hAnsi="宋体" w:eastAsia="宋体" w:cs="宋体"/>
          <w:lang w:val="en-US" w:eastAsia="zh-CN"/>
        </w:rPr>
        <w:t>十一、本国产品标准的声明函</w:t>
      </w:r>
    </w:p>
    <w:p w14:paraId="4724D9E0">
      <w:pPr>
        <w:spacing w:line="360" w:lineRule="auto"/>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十二、开标一览表</w:t>
      </w:r>
    </w:p>
    <w:p w14:paraId="53638048">
      <w:pPr>
        <w:spacing w:line="360" w:lineRule="auto"/>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十三、技术要求响应及偏离表</w:t>
      </w:r>
    </w:p>
    <w:p w14:paraId="0260FC18">
      <w:pPr>
        <w:spacing w:line="360" w:lineRule="auto"/>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十四、商务要求响应及偏离表</w:t>
      </w:r>
    </w:p>
    <w:p w14:paraId="0E3DAA00">
      <w:pPr>
        <w:ind w:firstLine="480" w:firstLineChars="20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十五、项目组成员表</w:t>
      </w:r>
    </w:p>
    <w:p w14:paraId="5C6C13EF">
      <w:pPr>
        <w:spacing w:line="360" w:lineRule="auto"/>
        <w:rPr>
          <w:rFonts w:hint="eastAsia" w:ascii="宋体" w:hAnsi="宋体" w:eastAsia="宋体" w:cs="宋体"/>
          <w:sz w:val="24"/>
          <w:szCs w:val="24"/>
          <w:lang w:val="en-US" w:eastAsia="zh-CN" w:bidi="ar-SA"/>
        </w:rPr>
      </w:pPr>
    </w:p>
    <w:p w14:paraId="0282F167">
      <w:pPr>
        <w:spacing w:line="360" w:lineRule="auto"/>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十六、技术方案等</w:t>
      </w:r>
    </w:p>
    <w:p w14:paraId="6BF09DC4">
      <w:pPr>
        <w:pStyle w:val="32"/>
        <w:spacing w:beforeAutospacing="0" w:afterAutospacing="0" w:line="360" w:lineRule="auto"/>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十七、响水县政府采购事前信用承诺书</w:t>
      </w:r>
    </w:p>
    <w:p w14:paraId="2E573924">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p>
    <w:p w14:paraId="144856BB">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3DA3B8BC">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649FEF85">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70EFA8B4">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4B769341">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p>
    <w:p w14:paraId="65E8537B">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p>
    <w:p w14:paraId="48C2A039">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p>
    <w:p w14:paraId="76DF4803">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p>
    <w:p w14:paraId="08C6FA6D">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p>
    <w:p w14:paraId="6BB7E11A">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p>
    <w:p w14:paraId="0A21529E">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p>
    <w:p w14:paraId="36DE129D">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p>
    <w:p w14:paraId="328D58F9">
      <w:pPr>
        <w:pStyle w:val="32"/>
        <w:spacing w:beforeAutospacing="0" w:afterAutospacing="0" w:line="0" w:lineRule="atLeast"/>
        <w:jc w:val="both"/>
        <w:rPr>
          <w:rFonts w:hint="eastAsia" w:ascii="宋体" w:hAnsi="宋体" w:eastAsia="宋体" w:cs="宋体"/>
          <w:color w:val="000000" w:themeColor="text1"/>
          <w14:textFill>
            <w14:solidFill>
              <w14:schemeClr w14:val="tx1"/>
            </w14:solidFill>
          </w14:textFill>
        </w:rPr>
      </w:pPr>
    </w:p>
    <w:p w14:paraId="5615D1A2">
      <w:pPr>
        <w:pStyle w:val="32"/>
        <w:spacing w:beforeAutospacing="0" w:afterAutospacing="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一、法人或者其他组织的营业执照等证明文件，自然人的身份证明</w:t>
      </w:r>
    </w:p>
    <w:p w14:paraId="286A05C3">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069D94C3">
      <w:pPr>
        <w:pStyle w:val="32"/>
        <w:spacing w:beforeAutospacing="0" w:afterAutospacing="0"/>
        <w:jc w:val="both"/>
        <w:rPr>
          <w:rFonts w:hint="eastAsia" w:ascii="宋体" w:hAnsi="宋体" w:eastAsia="宋体" w:cs="宋体"/>
          <w:i/>
          <w:color w:val="000000" w:themeColor="text1"/>
          <w:sz w:val="32"/>
          <w:szCs w:val="32"/>
          <w:u w:val="single"/>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二、上一年度的财务状况报告</w:t>
      </w:r>
    </w:p>
    <w:p w14:paraId="184BC992">
      <w:pPr>
        <w:pStyle w:val="32"/>
        <w:spacing w:beforeAutospacing="0" w:afterAutospacing="0" w:line="360" w:lineRule="auto"/>
        <w:ind w:left="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（至少提供资产负债表、利润表、现金流量表，磋商供应商成立不满一年无需提供）</w:t>
      </w:r>
    </w:p>
    <w:p w14:paraId="2B096B34">
      <w:pPr>
        <w:pStyle w:val="32"/>
        <w:spacing w:beforeAutospacing="0" w:afterAutospacing="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1FB1C05F">
      <w:pPr>
        <w:pStyle w:val="32"/>
        <w:spacing w:beforeAutospacing="0" w:afterAutospacing="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三、具备履行合同所必需的设备和专业技术能力的书面声明</w:t>
      </w:r>
    </w:p>
    <w:p w14:paraId="1FB1047A">
      <w:pPr>
        <w:pStyle w:val="32"/>
        <w:spacing w:beforeAutospacing="0" w:afterAutospacing="0" w:line="0" w:lineRule="atLeast"/>
        <w:ind w:firstLine="492"/>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5033FAF7">
      <w:pPr>
        <w:pStyle w:val="32"/>
        <w:spacing w:beforeAutospacing="0" w:afterAutospacing="0" w:line="0" w:lineRule="atLeast"/>
        <w:ind w:firstLine="492"/>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主要设备有：</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w:t>
      </w:r>
    </w:p>
    <w:p w14:paraId="7161CDDA">
      <w:pPr>
        <w:pStyle w:val="32"/>
        <w:spacing w:beforeAutospacing="0" w:afterAutospacing="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主要专业技术能力有：</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w:t>
      </w:r>
    </w:p>
    <w:p w14:paraId="4A4A04DF">
      <w:pPr>
        <w:pStyle w:val="32"/>
        <w:spacing w:beforeAutospacing="0" w:afterAutospacing="0"/>
        <w:jc w:val="both"/>
        <w:rPr>
          <w:rFonts w:hint="eastAsia" w:ascii="宋体" w:hAnsi="宋体" w:eastAsia="宋体" w:cs="宋体"/>
          <w:color w:val="000000" w:themeColor="text1"/>
          <w14:textFill>
            <w14:solidFill>
              <w14:schemeClr w14:val="tx1"/>
            </w14:solidFill>
          </w14:textFill>
        </w:rPr>
      </w:pPr>
    </w:p>
    <w:p w14:paraId="20541E1E">
      <w:pPr>
        <w:pStyle w:val="32"/>
        <w:spacing w:beforeAutospacing="0" w:afterAutospacing="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四、依法缴纳税收和社会保障资金的相关材料</w:t>
      </w:r>
    </w:p>
    <w:p w14:paraId="27AB0FBB">
      <w:pPr>
        <w:pStyle w:val="32"/>
        <w:spacing w:beforeAutospacing="0" w:afterAutospacing="0"/>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提供提交响应文件截止时间前一年内至少一个月依法缴纳税收及缴纳社会保障资金的证明材料。供应商依法享受缓缴、免缴税收、社会保障资金的提供证明材料。</w:t>
      </w:r>
    </w:p>
    <w:p w14:paraId="6947A5EA">
      <w:pPr>
        <w:pStyle w:val="32"/>
        <w:spacing w:beforeAutospacing="0" w:afterAutospacing="0" w:line="0" w:lineRule="atLeas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p>
    <w:p w14:paraId="7D41602E">
      <w:pPr>
        <w:pStyle w:val="32"/>
        <w:spacing w:beforeAutospacing="0" w:afterAutospacing="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42A2F154">
      <w:pPr>
        <w:pStyle w:val="32"/>
        <w:spacing w:beforeAutospacing="0" w:afterAutospacing="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五、参加政府采购活动前 3 年内在经营活动中没有重大违法记录的书面声明</w:t>
      </w:r>
    </w:p>
    <w:p w14:paraId="1EA8EA37">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声  明</w:t>
      </w:r>
    </w:p>
    <w:p w14:paraId="6CBD5865">
      <w:pPr>
        <w:pStyle w:val="32"/>
        <w:spacing w:beforeAutospacing="0" w:afterAutospacing="0" w:line="0" w:lineRule="atLeas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1F92C8C9">
      <w:pPr>
        <w:pStyle w:val="32"/>
        <w:spacing w:beforeAutospacing="0" w:afterAutospacing="0"/>
        <w:jc w:val="both"/>
        <w:rPr>
          <w:rFonts w:hint="eastAsia" w:ascii="宋体" w:hAnsi="宋体" w:eastAsia="宋体" w:cs="宋体"/>
          <w:color w:val="000000" w:themeColor="text1"/>
          <w14:textFill>
            <w14:solidFill>
              <w14:schemeClr w14:val="tx1"/>
            </w14:solidFill>
          </w14:textFill>
        </w:rPr>
      </w:pPr>
    </w:p>
    <w:p w14:paraId="0265478B">
      <w:pPr>
        <w:pStyle w:val="32"/>
        <w:spacing w:beforeAutospacing="0" w:afterAutospacing="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六、特定资格要求的证明文件</w:t>
      </w:r>
    </w:p>
    <w:p w14:paraId="2D69A983">
      <w:pPr>
        <w:pStyle w:val="32"/>
        <w:spacing w:beforeAutospacing="0" w:afterAutospacing="0"/>
        <w:jc w:val="center"/>
        <w:rPr>
          <w:rFonts w:hint="eastAsia" w:ascii="宋体" w:hAnsi="宋体" w:eastAsia="宋体" w:cs="宋体"/>
          <w:i/>
          <w:color w:val="000000" w:themeColor="text1"/>
          <w:sz w:val="32"/>
          <w:szCs w:val="32"/>
          <w:u w:val="single"/>
          <w14:textFill>
            <w14:solidFill>
              <w14:schemeClr w14:val="tx1"/>
            </w14:solidFill>
          </w14:textFill>
        </w:rPr>
      </w:pPr>
      <w:bookmarkStart w:id="142" w:name="_Toc120614284"/>
    </w:p>
    <w:p w14:paraId="32FD4C19">
      <w:pPr>
        <w:pStyle w:val="32"/>
        <w:spacing w:beforeAutospacing="0" w:afterAutospacing="0"/>
        <w:jc w:val="center"/>
        <w:rPr>
          <w:rFonts w:hint="eastAsia" w:ascii="宋体" w:hAnsi="宋体" w:eastAsia="宋体" w:cs="宋体"/>
          <w:i/>
          <w:color w:val="000000" w:themeColor="text1"/>
          <w:sz w:val="32"/>
          <w:szCs w:val="32"/>
          <w:u w:val="single"/>
          <w14:textFill>
            <w14:solidFill>
              <w14:schemeClr w14:val="tx1"/>
            </w14:solidFill>
          </w14:textFill>
        </w:rPr>
      </w:pPr>
    </w:p>
    <w:p w14:paraId="028569E1">
      <w:pPr>
        <w:pStyle w:val="32"/>
        <w:spacing w:beforeAutospacing="0" w:afterAutospacing="0"/>
        <w:jc w:val="center"/>
        <w:rPr>
          <w:rFonts w:hint="eastAsia" w:ascii="宋体" w:hAnsi="宋体" w:eastAsia="宋体" w:cs="宋体"/>
          <w:i/>
          <w:color w:val="000000" w:themeColor="text1"/>
          <w:sz w:val="32"/>
          <w:szCs w:val="32"/>
          <w:u w:val="single"/>
          <w14:textFill>
            <w14:solidFill>
              <w14:schemeClr w14:val="tx1"/>
            </w14:solidFill>
          </w14:textFill>
        </w:rPr>
      </w:pPr>
    </w:p>
    <w:p w14:paraId="4F50127A">
      <w:pPr>
        <w:pStyle w:val="32"/>
        <w:spacing w:beforeAutospacing="0" w:afterAutospacing="0"/>
        <w:jc w:val="center"/>
        <w:rPr>
          <w:rFonts w:hint="eastAsia" w:ascii="宋体" w:hAnsi="宋体" w:eastAsia="宋体" w:cs="宋体"/>
          <w:i/>
          <w:color w:val="000000" w:themeColor="text1"/>
          <w:sz w:val="32"/>
          <w:szCs w:val="32"/>
          <w:u w:val="single"/>
          <w14:textFill>
            <w14:solidFill>
              <w14:schemeClr w14:val="tx1"/>
            </w14:solidFill>
          </w14:textFill>
        </w:rPr>
      </w:pPr>
    </w:p>
    <w:p w14:paraId="489E19AB">
      <w:pPr>
        <w:pStyle w:val="32"/>
        <w:spacing w:beforeAutospacing="0" w:afterAutospacing="0"/>
        <w:jc w:val="both"/>
        <w:rPr>
          <w:rFonts w:hint="eastAsia" w:ascii="宋体" w:hAnsi="宋体" w:eastAsia="宋体" w:cs="宋体"/>
          <w:b/>
          <w:bCs/>
          <w:i/>
          <w:color w:val="000000" w:themeColor="text1"/>
          <w:sz w:val="32"/>
          <w:szCs w:val="32"/>
          <w:u w:val="single"/>
          <w14:textFill>
            <w14:solidFill>
              <w14:schemeClr w14:val="tx1"/>
            </w14:solidFill>
          </w14:textFill>
        </w:rPr>
      </w:pPr>
    </w:p>
    <w:p w14:paraId="4A3F58F5">
      <w:pPr>
        <w:pStyle w:val="32"/>
        <w:spacing w:beforeAutospacing="0" w:afterAutospacing="0"/>
        <w:jc w:val="both"/>
        <w:rPr>
          <w:rFonts w:hint="eastAsia" w:ascii="宋体" w:hAnsi="宋体" w:eastAsia="宋体" w:cs="宋体"/>
          <w:b/>
          <w:bCs/>
          <w:i/>
          <w:color w:val="000000" w:themeColor="text1"/>
          <w:sz w:val="32"/>
          <w:szCs w:val="32"/>
          <w:u w:val="single"/>
          <w14:textFill>
            <w14:solidFill>
              <w14:schemeClr w14:val="tx1"/>
            </w14:solidFill>
          </w14:textFill>
        </w:rPr>
      </w:pPr>
    </w:p>
    <w:p w14:paraId="636E853E">
      <w:pPr>
        <w:pStyle w:val="32"/>
        <w:spacing w:beforeAutospacing="0" w:afterAutospacing="0"/>
        <w:jc w:val="both"/>
        <w:rPr>
          <w:rFonts w:hint="eastAsia" w:ascii="宋体" w:hAnsi="宋体" w:eastAsia="宋体" w:cs="宋体"/>
          <w:b/>
          <w:bCs/>
          <w:i/>
          <w:color w:val="000000" w:themeColor="text1"/>
          <w:sz w:val="32"/>
          <w:szCs w:val="32"/>
          <w:u w:val="single"/>
          <w14:textFill>
            <w14:solidFill>
              <w14:schemeClr w14:val="tx1"/>
            </w14:solidFill>
          </w14:textFill>
        </w:rPr>
      </w:pPr>
    </w:p>
    <w:p w14:paraId="577E57FC">
      <w:pPr>
        <w:pStyle w:val="32"/>
        <w:spacing w:beforeAutospacing="0" w:afterAutospacing="0"/>
        <w:jc w:val="both"/>
        <w:rPr>
          <w:rFonts w:hint="eastAsia" w:ascii="宋体" w:hAnsi="宋体" w:eastAsia="宋体" w:cs="宋体"/>
          <w:b/>
          <w:bCs/>
          <w:i/>
          <w:color w:val="000000" w:themeColor="text1"/>
          <w:sz w:val="32"/>
          <w:szCs w:val="32"/>
          <w:u w:val="single"/>
          <w14:textFill>
            <w14:solidFill>
              <w14:schemeClr w14:val="tx1"/>
            </w14:solidFill>
          </w14:textFill>
        </w:rPr>
      </w:pPr>
    </w:p>
    <w:p w14:paraId="3EAB23EC">
      <w:pPr>
        <w:pStyle w:val="32"/>
        <w:spacing w:beforeAutospacing="0" w:afterAutospacing="0"/>
        <w:jc w:val="both"/>
        <w:rPr>
          <w:rFonts w:hint="eastAsia" w:ascii="宋体" w:hAnsi="宋体" w:eastAsia="宋体" w:cs="宋体"/>
          <w:b/>
          <w:bCs/>
          <w:i/>
          <w:color w:val="000000" w:themeColor="text1"/>
          <w:sz w:val="32"/>
          <w:szCs w:val="32"/>
          <w:u w:val="single"/>
          <w14:textFill>
            <w14:solidFill>
              <w14:schemeClr w14:val="tx1"/>
            </w14:solidFill>
          </w14:textFill>
        </w:rPr>
      </w:pPr>
    </w:p>
    <w:p w14:paraId="4671FF68">
      <w:pPr>
        <w:pStyle w:val="32"/>
        <w:spacing w:beforeAutospacing="0" w:afterAutospacing="0"/>
        <w:jc w:val="center"/>
        <w:rPr>
          <w:rFonts w:hint="eastAsia" w:ascii="宋体" w:hAnsi="宋体" w:eastAsia="宋体" w:cs="宋体"/>
          <w:b/>
          <w:bCs/>
          <w:i/>
          <w:color w:val="000000" w:themeColor="text1"/>
          <w:sz w:val="32"/>
          <w:szCs w:val="32"/>
          <w:u w:val="single"/>
          <w14:textFill>
            <w14:solidFill>
              <w14:schemeClr w14:val="tx1"/>
            </w14:solidFill>
          </w14:textFill>
        </w:rPr>
      </w:pPr>
    </w:p>
    <w:p w14:paraId="120A47F3">
      <w:pPr>
        <w:pStyle w:val="32"/>
        <w:spacing w:beforeAutospacing="0" w:afterAutospacing="0"/>
        <w:jc w:val="center"/>
        <w:rPr>
          <w:rFonts w:hint="eastAsia" w:ascii="宋体" w:hAnsi="宋体" w:eastAsia="宋体" w:cs="宋体"/>
          <w:b/>
          <w:bCs/>
          <w:i/>
          <w:color w:val="000000" w:themeColor="text1"/>
          <w:sz w:val="32"/>
          <w:szCs w:val="32"/>
          <w:u w:val="single"/>
          <w14:textFill>
            <w14:solidFill>
              <w14:schemeClr w14:val="tx1"/>
            </w14:solidFill>
          </w14:textFill>
        </w:rPr>
      </w:pPr>
      <w:bookmarkStart w:id="143" w:name="_Hlt26955070"/>
      <w:bookmarkStart w:id="144" w:name="_格式3__银行出具的资信证明"/>
      <w:bookmarkStart w:id="145" w:name="_Hlt26671380"/>
      <w:r>
        <w:rPr>
          <w:rFonts w:hint="eastAsia" w:ascii="宋体" w:hAnsi="宋体" w:eastAsia="宋体" w:cs="宋体"/>
          <w:b/>
          <w:bCs/>
          <w:i/>
          <w:color w:val="000000" w:themeColor="text1"/>
          <w:sz w:val="32"/>
          <w:szCs w:val="32"/>
          <w:u w:val="single"/>
          <w14:textFill>
            <w14:solidFill>
              <w14:schemeClr w14:val="tx1"/>
            </w14:solidFill>
          </w14:textFill>
        </w:rPr>
        <w:t>七、法人授权书</w:t>
      </w:r>
    </w:p>
    <w:p w14:paraId="25F3A4EB">
      <w:pPr>
        <w:pStyle w:val="32"/>
        <w:tabs>
          <w:tab w:val="left" w:pos="360"/>
        </w:tabs>
        <w:spacing w:beforeAutospacing="0" w:afterAutospacing="0" w:line="440" w:lineRule="exact"/>
        <w:ind w:firstLine="482"/>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本授权书声明：____________（供应商名称）授权________________（被授权人的姓名）为我方就JSZC-</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号项目采购活动的合法代理人，以本单位名义全权处理一切与该项目采购有关的事务。</w:t>
      </w:r>
    </w:p>
    <w:p w14:paraId="13BCEB53">
      <w:pPr>
        <w:pStyle w:val="32"/>
        <w:spacing w:beforeAutospacing="0" w:afterAutospacing="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38C8E4DD">
      <w:pPr>
        <w:pStyle w:val="32"/>
        <w:tabs>
          <w:tab w:val="left" w:pos="360"/>
        </w:tabs>
        <w:spacing w:beforeAutospacing="0" w:afterAutospacing="0" w:line="44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本授权书于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日起生效，特此声明。</w:t>
      </w:r>
    </w:p>
    <w:p w14:paraId="182E67BE">
      <w:pPr>
        <w:pStyle w:val="32"/>
        <w:tabs>
          <w:tab w:val="left" w:pos="360"/>
        </w:tabs>
        <w:spacing w:beforeAutospacing="0" w:afterAutospacing="0" w:line="440" w:lineRule="exact"/>
        <w:ind w:firstLine="480"/>
        <w:rPr>
          <w:rFonts w:hint="eastAsia" w:ascii="宋体" w:hAnsi="宋体" w:eastAsia="宋体" w:cs="宋体"/>
          <w:color w:val="000000" w:themeColor="text1"/>
          <w14:textFill>
            <w14:solidFill>
              <w14:schemeClr w14:val="tx1"/>
            </w14:solidFill>
          </w14:textFill>
        </w:rPr>
      </w:pPr>
    </w:p>
    <w:p w14:paraId="26CB352B">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被授权人身份证号码：</w:t>
      </w:r>
      <w:r>
        <w:rPr>
          <w:rFonts w:hint="eastAsia" w:ascii="宋体" w:hAnsi="宋体" w:eastAsia="宋体" w:cs="宋体"/>
          <w:color w:val="000000" w:themeColor="text1"/>
          <w:sz w:val="24"/>
          <w:szCs w:val="32"/>
          <w:u w:val="single"/>
          <w14:textFill>
            <w14:solidFill>
              <w14:schemeClr w14:val="tx1"/>
            </w14:solidFill>
          </w14:textFill>
        </w:rPr>
        <w:t xml:space="preserve">            </w:t>
      </w:r>
      <w:r>
        <w:rPr>
          <w:rFonts w:hint="eastAsia" w:ascii="宋体" w:hAnsi="宋体" w:cs="宋体"/>
          <w:color w:val="000000" w:themeColor="text1"/>
          <w:sz w:val="24"/>
          <w:szCs w:val="32"/>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p>
    <w:p w14:paraId="03B8BDD7">
      <w:pPr>
        <w:pStyle w:val="32"/>
        <w:tabs>
          <w:tab w:val="left" w:pos="360"/>
        </w:tabs>
        <w:spacing w:beforeAutospacing="0" w:afterAutospacing="0"/>
        <w:rPr>
          <w:rFonts w:hint="eastAsia" w:ascii="宋体" w:hAnsi="宋体" w:eastAsia="宋体" w:cs="宋体"/>
          <w:color w:val="000000" w:themeColor="text1"/>
          <w14:textFill>
            <w14:solidFill>
              <w14:schemeClr w14:val="tx1"/>
            </w14:solidFill>
          </w14:textFill>
        </w:rPr>
      </w:pPr>
    </w:p>
    <w:p w14:paraId="1EDA3CA2">
      <w:pPr>
        <w:pStyle w:val="32"/>
        <w:tabs>
          <w:tab w:val="left" w:pos="360"/>
        </w:tabs>
        <w:spacing w:beforeAutospacing="0" w:afterAutospacing="0" w:line="44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被授权人联系电话（手机）：</w:t>
      </w:r>
      <w:r>
        <w:rPr>
          <w:rFonts w:hint="eastAsia" w:ascii="宋体" w:hAnsi="宋体" w:eastAsia="宋体" w:cs="宋体"/>
          <w:color w:val="000000" w:themeColor="text1"/>
          <w:u w:val="single"/>
          <w14:textFill>
            <w14:solidFill>
              <w14:schemeClr w14:val="tx1"/>
            </w14:solidFill>
          </w14:textFill>
        </w:rPr>
        <w:t xml:space="preserve">               </w:t>
      </w:r>
    </w:p>
    <w:p w14:paraId="178084D7">
      <w:pPr>
        <w:pStyle w:val="32"/>
        <w:tabs>
          <w:tab w:val="left" w:pos="360"/>
        </w:tabs>
        <w:spacing w:beforeAutospacing="0" w:afterAutospacing="0"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p>
    <w:p w14:paraId="4686C4EB">
      <w:pPr>
        <w:pStyle w:val="32"/>
        <w:tabs>
          <w:tab w:val="left" w:pos="360"/>
        </w:tabs>
        <w:spacing w:beforeAutospacing="0" w:afterAutospacing="0" w:line="440" w:lineRule="exact"/>
        <w:ind w:firstLine="48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授权单位名称：</w:t>
      </w:r>
      <w:r>
        <w:rPr>
          <w:rFonts w:hint="eastAsia" w:ascii="宋体" w:hAnsi="宋体" w:eastAsia="宋体" w:cs="宋体"/>
          <w:color w:val="000000" w:themeColor="text1"/>
          <w:u w:val="single"/>
          <w14:textFill>
            <w14:solidFill>
              <w14:schemeClr w14:val="tx1"/>
            </w14:solidFill>
          </w14:textFill>
        </w:rPr>
        <w:t>（加盖CA电子公章）</w:t>
      </w:r>
    </w:p>
    <w:p w14:paraId="6B2DDD7B">
      <w:pPr>
        <w:pStyle w:val="32"/>
        <w:tabs>
          <w:tab w:val="left" w:pos="360"/>
        </w:tabs>
        <w:spacing w:beforeAutospacing="0" w:afterAutospacing="0" w:line="440" w:lineRule="exact"/>
        <w:ind w:firstLine="480"/>
        <w:rPr>
          <w:rFonts w:hint="eastAsia" w:ascii="宋体" w:hAnsi="宋体" w:eastAsia="宋体" w:cs="宋体"/>
          <w:color w:val="000000" w:themeColor="text1"/>
          <w14:textFill>
            <w14:solidFill>
              <w14:schemeClr w14:val="tx1"/>
            </w14:solidFill>
          </w14:textFill>
        </w:rPr>
      </w:pPr>
    </w:p>
    <w:p w14:paraId="56732027">
      <w:pPr>
        <w:pStyle w:val="32"/>
        <w:tabs>
          <w:tab w:val="left" w:pos="360"/>
        </w:tabs>
        <w:spacing w:beforeAutospacing="0" w:afterAutospacing="0" w:line="440" w:lineRule="exact"/>
        <w:ind w:firstLine="48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单位地址：</w:t>
      </w:r>
      <w:r>
        <w:rPr>
          <w:rFonts w:hint="eastAsia" w:ascii="宋体" w:hAnsi="宋体" w:eastAsia="宋体" w:cs="宋体"/>
          <w:color w:val="000000" w:themeColor="text1"/>
          <w:u w:val="single"/>
          <w14:textFill>
            <w14:solidFill>
              <w14:schemeClr w14:val="tx1"/>
            </w14:solidFill>
          </w14:textFill>
        </w:rPr>
        <w:t xml:space="preserve">                 </w:t>
      </w:r>
    </w:p>
    <w:p w14:paraId="27D12509">
      <w:pPr>
        <w:pStyle w:val="32"/>
        <w:tabs>
          <w:tab w:val="left" w:pos="360"/>
        </w:tabs>
        <w:spacing w:beforeAutospacing="0" w:afterAutospacing="0" w:line="440" w:lineRule="exact"/>
        <w:ind w:firstLine="480"/>
        <w:rPr>
          <w:rFonts w:hint="eastAsia" w:ascii="宋体" w:hAnsi="宋体" w:eastAsia="宋体" w:cs="宋体"/>
          <w:color w:val="000000" w:themeColor="text1"/>
          <w14:textFill>
            <w14:solidFill>
              <w14:schemeClr w14:val="tx1"/>
            </w14:solidFill>
          </w14:textFill>
        </w:rPr>
      </w:pPr>
    </w:p>
    <w:p w14:paraId="6B48A120">
      <w:pPr>
        <w:pStyle w:val="32"/>
        <w:spacing w:beforeAutospacing="0" w:afterAutospacing="0"/>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日期：</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w:t>
      </w:r>
    </w:p>
    <w:p w14:paraId="5C4DC4DF">
      <w:pPr>
        <w:pStyle w:val="32"/>
        <w:keepNext/>
        <w:keepLines/>
        <w:spacing w:beforeAutospacing="0" w:afterAutospacing="0" w:line="416" w:lineRule="auto"/>
        <w:ind w:firstLine="339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br w:type="page" w:clear="all"/>
      </w:r>
      <w:r>
        <w:rPr>
          <w:rFonts w:hint="eastAsia" w:ascii="宋体" w:hAnsi="宋体" w:eastAsia="宋体" w:cs="宋体"/>
          <w:b/>
          <w:bCs/>
          <w:i/>
          <w:color w:val="000000" w:themeColor="text1"/>
          <w:sz w:val="32"/>
          <w:szCs w:val="32"/>
          <w:u w:val="single"/>
          <w14:textFill>
            <w14:solidFill>
              <w14:schemeClr w14:val="tx1"/>
            </w14:solidFill>
          </w14:textFill>
        </w:rPr>
        <w:t>八、磋商响应函</w:t>
      </w:r>
    </w:p>
    <w:p w14:paraId="6599526C">
      <w:pPr>
        <w:pStyle w:val="32"/>
        <w:spacing w:beforeAutospacing="0" w:afterAutospacing="0" w:line="460" w:lineRule="exact"/>
        <w:rPr>
          <w:rFonts w:hint="eastAsia" w:ascii="宋体" w:hAnsi="宋体" w:eastAsia="宋体" w:cs="宋体"/>
          <w:color w:val="000000" w:themeColor="text1"/>
          <w:u w:val="single"/>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致：</w:t>
      </w:r>
      <w:r>
        <w:rPr>
          <w:rFonts w:hint="eastAsia" w:ascii="宋体" w:hAnsi="宋体" w:eastAsia="宋体" w:cs="宋体"/>
          <w:color w:val="000000" w:themeColor="text1"/>
          <w:u w:val="single"/>
          <w:lang w:eastAsia="zh-CN"/>
          <w14:textFill>
            <w14:solidFill>
              <w14:schemeClr w14:val="tx1"/>
            </w14:solidFill>
          </w14:textFill>
        </w:rPr>
        <w:t>江苏响水经济开发区管理委员会</w:t>
      </w:r>
    </w:p>
    <w:p w14:paraId="5ACC345E">
      <w:pPr>
        <w:pStyle w:val="32"/>
        <w:spacing w:beforeAutospacing="0" w:afterAutospacing="0" w:line="46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根据贵方的</w:t>
      </w:r>
      <w:r>
        <w:rPr>
          <w:rFonts w:hint="eastAsia" w:ascii="宋体" w:hAnsi="宋体" w:eastAsia="宋体" w:cs="宋体"/>
          <w:b/>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号磋商文件，正式授权下述签字人______(姓名)代表我方______________（供应商的名称），全权处理本次项目磋商的有关事宜。</w:t>
      </w:r>
    </w:p>
    <w:p w14:paraId="7B8821E5">
      <w:pPr>
        <w:pStyle w:val="32"/>
        <w:spacing w:beforeAutospacing="0" w:afterAutospacing="0" w:line="46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据此函，__________签字人兹宣布同意如下：</w:t>
      </w:r>
    </w:p>
    <w:p w14:paraId="6EF82D01">
      <w:pPr>
        <w:pStyle w:val="32"/>
        <w:spacing w:beforeAutospacing="0" w:afterAutospacing="0" w:line="46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1.按磋商文件规定的各项要求，向买方提供所需货物、服务（包含与货物相关的服务及与服务相关的货物）。</w:t>
      </w:r>
    </w:p>
    <w:p w14:paraId="49C403F9">
      <w:pPr>
        <w:pStyle w:val="32"/>
        <w:spacing w:beforeAutospacing="0" w:afterAutospacing="0" w:line="46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2.我们完全理解贵方不一定将合同授予最低报价的供应商。</w:t>
      </w:r>
    </w:p>
    <w:p w14:paraId="1B0BDC50">
      <w:pPr>
        <w:pStyle w:val="32"/>
        <w:spacing w:beforeAutospacing="0" w:afterAutospacing="0" w:line="46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3.我们已详细审核全部磋商文件及其有效补充文件，我们知道必须放弃提出含糊不清或误解问题的权利。</w:t>
      </w:r>
    </w:p>
    <w:p w14:paraId="29F5B9ED">
      <w:pPr>
        <w:pStyle w:val="32"/>
        <w:spacing w:beforeAutospacing="0" w:afterAutospacing="0" w:line="46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4.我们同意从规定的开标日期起遵循本响应文件，并在规定的磋商有效期期满之前均具有约束力。</w:t>
      </w:r>
    </w:p>
    <w:p w14:paraId="249A2F1E">
      <w:pPr>
        <w:pStyle w:val="32"/>
        <w:spacing w:beforeAutospacing="0" w:afterAutospacing="0" w:line="46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5.同意向贵方提供贵方可能另外要求的与磋商有关的任何证据或资料，并保证我方已提供和将要提供的文件是真实的、准确的。</w:t>
      </w:r>
    </w:p>
    <w:p w14:paraId="460F578D">
      <w:pPr>
        <w:pStyle w:val="32"/>
        <w:spacing w:beforeAutospacing="0" w:afterAutospacing="0" w:line="46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6.一旦我方成交</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我方将根据磋商文件的规定，严格履行合同的责任和义务,并保证在磋商文件规定的时间</w:t>
      </w:r>
      <w:r>
        <w:rPr>
          <w:rFonts w:hint="eastAsia" w:ascii="宋体" w:hAnsi="宋体" w:eastAsia="宋体" w:cs="宋体"/>
          <w:color w:val="000000" w:themeColor="text1"/>
          <w:lang w:val="en-US" w:eastAsia="zh-CN"/>
          <w14:textFill>
            <w14:solidFill>
              <w14:schemeClr w14:val="tx1"/>
            </w14:solidFill>
          </w14:textFill>
        </w:rPr>
        <w:t>内</w:t>
      </w:r>
      <w:r>
        <w:rPr>
          <w:rFonts w:hint="eastAsia" w:ascii="宋体" w:hAnsi="宋体" w:eastAsia="宋体" w:cs="宋体"/>
          <w:color w:val="000000" w:themeColor="text1"/>
          <w14:textFill>
            <w14:solidFill>
              <w14:schemeClr w14:val="tx1"/>
            </w14:solidFill>
          </w14:textFill>
        </w:rPr>
        <w:t>完成项目，交付买方验收、使用。</w:t>
      </w:r>
    </w:p>
    <w:p w14:paraId="6740A51B">
      <w:pPr>
        <w:pStyle w:val="32"/>
        <w:spacing w:beforeAutospacing="0" w:afterAutospacing="0" w:line="460" w:lineRule="exact"/>
        <w:ind w:left="42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7.我方与本磋商有关的正式通讯地址为：</w:t>
      </w:r>
    </w:p>
    <w:p w14:paraId="1131E6F3">
      <w:pPr>
        <w:pStyle w:val="32"/>
        <w:spacing w:beforeAutospacing="0" w:afterAutospacing="0" w:line="460" w:lineRule="exact"/>
        <w:ind w:left="420"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          址：</w:t>
      </w:r>
    </w:p>
    <w:p w14:paraId="6A7818F1">
      <w:pPr>
        <w:pStyle w:val="32"/>
        <w:spacing w:beforeAutospacing="0" w:afterAutospacing="0" w:line="460" w:lineRule="exact"/>
        <w:ind w:left="420"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邮          编：</w:t>
      </w:r>
    </w:p>
    <w:p w14:paraId="2BCB4940">
      <w:pPr>
        <w:pStyle w:val="32"/>
        <w:spacing w:beforeAutospacing="0" w:afterAutospacing="0" w:line="460" w:lineRule="exact"/>
        <w:ind w:left="420"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          话：</w:t>
      </w:r>
    </w:p>
    <w:p w14:paraId="147D91D9">
      <w:pPr>
        <w:pStyle w:val="32"/>
        <w:spacing w:beforeAutospacing="0" w:afterAutospacing="0" w:line="460" w:lineRule="exact"/>
        <w:ind w:left="420"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传          真：</w:t>
      </w:r>
    </w:p>
    <w:p w14:paraId="556EA32C">
      <w:pPr>
        <w:pStyle w:val="32"/>
        <w:spacing w:beforeAutospacing="0" w:afterAutospacing="0" w:line="460" w:lineRule="exact"/>
        <w:ind w:left="420"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供应商开户行：</w:t>
      </w:r>
    </w:p>
    <w:p w14:paraId="0A550ED7">
      <w:pPr>
        <w:pStyle w:val="32"/>
        <w:spacing w:beforeAutospacing="0" w:afterAutospacing="0" w:line="460" w:lineRule="exact"/>
        <w:ind w:left="420"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账          号： </w:t>
      </w:r>
    </w:p>
    <w:p w14:paraId="7DC68CEE">
      <w:pPr>
        <w:pStyle w:val="32"/>
        <w:spacing w:beforeAutospacing="0" w:afterAutospacing="0" w:line="460" w:lineRule="exact"/>
        <w:ind w:left="420"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日           期：________年____月____日</w:t>
      </w:r>
    </w:p>
    <w:p w14:paraId="2D939FC5">
      <w:pPr>
        <w:pStyle w:val="32"/>
        <w:spacing w:beforeAutospacing="0" w:afterAutospacing="0" w:line="0" w:lineRule="atLeast"/>
        <w:ind w:left="420" w:firstLine="480"/>
        <w:rPr>
          <w:rFonts w:hint="eastAsia" w:ascii="宋体" w:hAnsi="宋体" w:eastAsia="宋体" w:cs="宋体"/>
          <w:color w:val="000000" w:themeColor="text1"/>
          <w14:textFill>
            <w14:solidFill>
              <w14:schemeClr w14:val="tx1"/>
            </w14:solidFill>
          </w14:textFill>
        </w:rPr>
      </w:pPr>
    </w:p>
    <w:p w14:paraId="7EA2D668">
      <w:pPr>
        <w:pStyle w:val="32"/>
        <w:spacing w:beforeAutospacing="0" w:afterAutospacing="0" w:line="0" w:lineRule="atLeast"/>
        <w:ind w:firstLine="24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249EF4A5">
      <w:pPr>
        <w:pStyle w:val="32"/>
        <w:spacing w:beforeAutospacing="0" w:afterAutospacing="0" w:line="0" w:lineRule="atLeast"/>
        <w:ind w:firstLine="240"/>
        <w:jc w:val="center"/>
        <w:rPr>
          <w:rFonts w:hint="eastAsia" w:ascii="宋体" w:hAnsi="宋体" w:eastAsia="宋体" w:cs="宋体"/>
          <w:color w:val="000000" w:themeColor="text1"/>
          <w14:textFill>
            <w14:solidFill>
              <w14:schemeClr w14:val="tx1"/>
            </w14:solidFill>
          </w14:textFill>
        </w:rPr>
      </w:pPr>
    </w:p>
    <w:p w14:paraId="2AB92A57">
      <w:pPr>
        <w:pStyle w:val="32"/>
        <w:spacing w:beforeAutospacing="0" w:afterAutospacing="0" w:line="0" w:lineRule="atLeast"/>
        <w:ind w:firstLine="240"/>
        <w:jc w:val="center"/>
        <w:rPr>
          <w:rFonts w:hint="eastAsia" w:ascii="宋体" w:hAnsi="宋体" w:eastAsia="宋体" w:cs="宋体"/>
          <w:color w:val="000000" w:themeColor="text1"/>
          <w14:textFill>
            <w14:solidFill>
              <w14:schemeClr w14:val="tx1"/>
            </w14:solidFill>
          </w14:textFill>
        </w:rPr>
      </w:pPr>
    </w:p>
    <w:p w14:paraId="439987D6">
      <w:pPr>
        <w:pStyle w:val="32"/>
        <w:spacing w:beforeAutospacing="0" w:afterAutospacing="0" w:line="0" w:lineRule="atLeast"/>
        <w:ind w:firstLine="240"/>
        <w:jc w:val="center"/>
        <w:rPr>
          <w:rFonts w:hint="eastAsia" w:ascii="宋体" w:hAnsi="宋体" w:eastAsia="宋体" w:cs="宋体"/>
          <w:color w:val="000000" w:themeColor="text1"/>
          <w14:textFill>
            <w14:solidFill>
              <w14:schemeClr w14:val="tx1"/>
            </w14:solidFill>
          </w14:textFill>
        </w:rPr>
      </w:pPr>
    </w:p>
    <w:p w14:paraId="31BC079A">
      <w:pPr>
        <w:pStyle w:val="32"/>
        <w:spacing w:beforeAutospacing="0" w:afterAutospacing="0" w:line="0" w:lineRule="atLeast"/>
        <w:ind w:firstLine="240"/>
        <w:jc w:val="center"/>
        <w:rPr>
          <w:rFonts w:hint="eastAsia" w:ascii="宋体" w:hAnsi="宋体" w:eastAsia="宋体" w:cs="宋体"/>
          <w:color w:val="000000" w:themeColor="text1"/>
          <w14:textFill>
            <w14:solidFill>
              <w14:schemeClr w14:val="tx1"/>
            </w14:solidFill>
          </w14:textFill>
        </w:rPr>
      </w:pPr>
    </w:p>
    <w:p w14:paraId="4064FBB9">
      <w:pPr>
        <w:pStyle w:val="32"/>
        <w:spacing w:beforeAutospacing="0" w:afterAutospacing="0" w:line="0" w:lineRule="atLeast"/>
        <w:ind w:firstLine="240"/>
        <w:jc w:val="center"/>
        <w:rPr>
          <w:rFonts w:hint="eastAsia" w:ascii="宋体" w:hAnsi="宋体" w:eastAsia="宋体" w:cs="宋体"/>
          <w:color w:val="000000" w:themeColor="text1"/>
          <w14:textFill>
            <w14:solidFill>
              <w14:schemeClr w14:val="tx1"/>
            </w14:solidFill>
          </w14:textFill>
        </w:rPr>
      </w:pPr>
    </w:p>
    <w:p w14:paraId="66D61057">
      <w:pPr>
        <w:pStyle w:val="32"/>
        <w:spacing w:beforeAutospacing="0" w:afterAutospacing="0" w:line="0" w:lineRule="atLeast"/>
        <w:ind w:firstLine="240"/>
        <w:jc w:val="center"/>
        <w:rPr>
          <w:rFonts w:hint="eastAsia" w:ascii="宋体" w:hAnsi="宋体" w:eastAsia="宋体" w:cs="宋体"/>
          <w:color w:val="000000" w:themeColor="text1"/>
          <w14:textFill>
            <w14:solidFill>
              <w14:schemeClr w14:val="tx1"/>
            </w14:solidFill>
          </w14:textFill>
        </w:rPr>
      </w:pPr>
    </w:p>
    <w:p w14:paraId="6A35935F">
      <w:pPr>
        <w:pStyle w:val="32"/>
        <w:spacing w:beforeAutospacing="0" w:afterAutospacing="0" w:line="0" w:lineRule="atLeast"/>
        <w:ind w:firstLine="240"/>
        <w:jc w:val="center"/>
        <w:rPr>
          <w:rFonts w:hint="eastAsia" w:ascii="宋体" w:hAnsi="宋体" w:eastAsia="宋体" w:cs="宋体"/>
          <w:color w:val="000000" w:themeColor="text1"/>
          <w14:textFill>
            <w14:solidFill>
              <w14:schemeClr w14:val="tx1"/>
            </w14:solidFill>
          </w14:textFill>
        </w:rPr>
      </w:pPr>
    </w:p>
    <w:p w14:paraId="65FA8127">
      <w:pPr>
        <w:pStyle w:val="32"/>
        <w:keepNext/>
        <w:keepLines/>
        <w:spacing w:beforeAutospacing="0" w:afterAutospacing="0" w:line="416" w:lineRule="auto"/>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iCs/>
          <w:color w:val="000000" w:themeColor="text1"/>
          <w:sz w:val="32"/>
          <w:szCs w:val="32"/>
          <w14:textFill>
            <w14:solidFill>
              <w14:schemeClr w14:val="tx1"/>
            </w14:solidFill>
          </w14:textFill>
        </w:rPr>
        <w:t>九、</w:t>
      </w:r>
      <w:r>
        <w:rPr>
          <w:rFonts w:hint="eastAsia" w:ascii="宋体" w:hAnsi="宋体" w:eastAsia="宋体" w:cs="宋体"/>
          <w:b/>
          <w:iCs/>
          <w:color w:val="000000" w:themeColor="text1"/>
          <w:sz w:val="32"/>
          <w:szCs w:val="32"/>
          <w:lang w:val="en-US" w:eastAsia="zh-CN"/>
          <w14:textFill>
            <w14:solidFill>
              <w14:schemeClr w14:val="tx1"/>
            </w14:solidFill>
          </w14:textFill>
        </w:rPr>
        <w:t>中</w:t>
      </w:r>
      <w:r>
        <w:rPr>
          <w:rFonts w:hint="eastAsia" w:ascii="宋体" w:hAnsi="宋体" w:eastAsia="宋体" w:cs="宋体"/>
          <w:b/>
          <w:iCs/>
          <w:color w:val="000000" w:themeColor="text1"/>
          <w:sz w:val="32"/>
          <w:szCs w:val="32"/>
          <w14:textFill>
            <w14:solidFill>
              <w14:schemeClr w14:val="tx1"/>
            </w14:solidFill>
          </w14:textFill>
        </w:rPr>
        <w:t>小微企业声明函（服务）</w:t>
      </w:r>
    </w:p>
    <w:p w14:paraId="00CAC762">
      <w:pPr>
        <w:pStyle w:val="32"/>
        <w:spacing w:beforeAutospacing="0" w:afterAutospacing="0" w:line="460" w:lineRule="exac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本公司（联合体）郑重声明，根据《政府采购促进中小企业发展管理办法》(财库[2020]46号)的规定，本公司（联合体）参加</w:t>
      </w:r>
      <w:r>
        <w:rPr>
          <w:rFonts w:hint="eastAsia" w:ascii="宋体" w:hAnsi="宋体" w:eastAsia="宋体" w:cs="宋体"/>
          <w:color w:val="000000" w:themeColor="text1"/>
          <w:u w:val="single"/>
          <w:lang w:eastAsia="zh-CN"/>
          <w14:textFill>
            <w14:solidFill>
              <w14:schemeClr w14:val="tx1"/>
            </w14:solidFill>
          </w14:textFill>
        </w:rPr>
        <w:t>江苏佳弘项目管理有限公司</w:t>
      </w:r>
      <w:r>
        <w:rPr>
          <w:rFonts w:hint="eastAsia" w:ascii="宋体" w:hAnsi="宋体" w:eastAsia="宋体" w:cs="宋体"/>
          <w:color w:val="000000" w:themeColor="text1"/>
          <w14:textFill>
            <w14:solidFill>
              <w14:schemeClr w14:val="tx1"/>
            </w14:solidFill>
          </w14:textFill>
        </w:rPr>
        <w:t>组织的</w:t>
      </w:r>
      <w:r>
        <w:rPr>
          <w:rFonts w:hint="eastAsia" w:ascii="宋体" w:hAnsi="宋体" w:eastAsia="宋体" w:cs="宋体"/>
          <w:color w:val="000000" w:themeColor="text1"/>
          <w:u w:val="single"/>
          <w:lang w:eastAsia="zh-CN"/>
          <w14:textFill>
            <w14:solidFill>
              <w14:schemeClr w14:val="tx1"/>
            </w14:solidFill>
          </w14:textFill>
        </w:rPr>
        <w:t>（江苏响水经济开发区管理委员会）</w:t>
      </w:r>
      <w:r>
        <w:rPr>
          <w:rFonts w:hint="eastAsia" w:ascii="宋体" w:hAnsi="宋体" w:eastAsia="宋体" w:cs="宋体"/>
          <w:color w:val="000000" w:themeColor="text1"/>
          <w14:textFill>
            <w14:solidFill>
              <w14:schemeClr w14:val="tx1"/>
            </w14:solidFill>
          </w14:textFill>
        </w:rPr>
        <w:t>采购编号为</w:t>
      </w:r>
      <w:r>
        <w:rPr>
          <w:rFonts w:hint="eastAsia"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u w:val="single"/>
          <w:lang w:eastAsia="zh-CN"/>
          <w14:textFill>
            <w14:solidFill>
              <w14:schemeClr w14:val="tx1"/>
            </w14:solidFill>
          </w14:textFill>
        </w:rPr>
        <w:t>（响水工业经济区环保管家综合服务项目）</w:t>
      </w:r>
      <w:r>
        <w:rPr>
          <w:rFonts w:hint="eastAsia" w:ascii="宋体" w:hAnsi="宋体" w:eastAsia="宋体" w:cs="宋体"/>
          <w:color w:val="000000" w:themeColor="text1"/>
          <w14:textFill>
            <w14:solidFill>
              <w14:schemeClr w14:val="tx1"/>
            </w14:solidFill>
          </w14:textFill>
        </w:rPr>
        <w:t>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38FDE63C">
      <w:pPr>
        <w:pStyle w:val="32"/>
        <w:spacing w:beforeAutospacing="0" w:afterAutospacing="0" w:line="460" w:lineRule="exact"/>
        <w:ind w:firstLine="36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u w:val="single"/>
          <w14:textFill>
            <w14:solidFill>
              <w14:schemeClr w14:val="tx1"/>
            </w14:solidFill>
          </w14:textFill>
        </w:rPr>
        <w:t>（标的名称）</w:t>
      </w:r>
      <w:r>
        <w:rPr>
          <w:rFonts w:hint="eastAsia" w:ascii="宋体" w:hAnsi="宋体" w:eastAsia="宋体" w:cs="宋体"/>
          <w:i/>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属于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行业；承接企业为</w:t>
      </w:r>
      <w:r>
        <w:rPr>
          <w:rFonts w:hint="eastAsia" w:ascii="宋体" w:hAnsi="宋体" w:eastAsia="宋体" w:cs="宋体"/>
          <w:color w:val="000000" w:themeColor="text1"/>
          <w:u w:val="single"/>
          <w14:textFill>
            <w14:solidFill>
              <w14:schemeClr w14:val="tx1"/>
            </w14:solidFill>
          </w14:textFill>
        </w:rPr>
        <w:t>（企业名称）</w:t>
      </w:r>
      <w:r>
        <w:rPr>
          <w:rFonts w:hint="eastAsia" w:ascii="宋体" w:hAnsi="宋体" w:eastAsia="宋体" w:cs="宋体"/>
          <w:color w:val="000000" w:themeColor="text1"/>
          <w14:textFill>
            <w14:solidFill>
              <w14:schemeClr w14:val="tx1"/>
            </w14:solidFill>
          </w14:textFill>
        </w:rPr>
        <w:t>，从业人员</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人，营业收入为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万元，资产总额为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万元</w:t>
      </w:r>
      <w:r>
        <w:rPr>
          <w:rFonts w:hint="eastAsia" w:ascii="宋体" w:hAnsi="宋体" w:eastAsia="宋体" w:cs="宋体"/>
          <w:color w:val="000000" w:themeColor="text1"/>
          <w:vertAlign w:val="superscript"/>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，属于</w:t>
      </w:r>
      <w:r>
        <w:rPr>
          <w:rFonts w:hint="eastAsia" w:ascii="宋体" w:hAnsi="宋体" w:eastAsia="宋体" w:cs="宋体"/>
          <w:color w:val="000000" w:themeColor="text1"/>
          <w:u w:val="single"/>
          <w14:textFill>
            <w14:solidFill>
              <w14:schemeClr w14:val="tx1"/>
            </w14:solidFill>
          </w14:textFill>
        </w:rPr>
        <w:t>（中型企业、小型企业、微型企业）；</w:t>
      </w:r>
    </w:p>
    <w:p w14:paraId="3ABD4434">
      <w:pPr>
        <w:pStyle w:val="32"/>
        <w:spacing w:beforeAutospacing="0" w:afterAutospacing="0" w:line="460" w:lineRule="exact"/>
        <w:ind w:firstLine="36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u w:val="single"/>
          <w14:textFill>
            <w14:solidFill>
              <w14:schemeClr w14:val="tx1"/>
            </w14:solidFill>
          </w14:textFill>
        </w:rPr>
        <w:t>（标的名称）</w:t>
      </w:r>
      <w:r>
        <w:rPr>
          <w:rFonts w:hint="eastAsia" w:ascii="宋体" w:hAnsi="宋体" w:eastAsia="宋体" w:cs="宋体"/>
          <w:i/>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属于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行业；承接企业为</w:t>
      </w:r>
      <w:r>
        <w:rPr>
          <w:rFonts w:hint="eastAsia" w:ascii="宋体" w:hAnsi="宋体" w:eastAsia="宋体" w:cs="宋体"/>
          <w:color w:val="000000" w:themeColor="text1"/>
          <w:u w:val="single"/>
          <w14:textFill>
            <w14:solidFill>
              <w14:schemeClr w14:val="tx1"/>
            </w14:solidFill>
          </w14:textFill>
        </w:rPr>
        <w:t>（企业名称）</w:t>
      </w:r>
      <w:r>
        <w:rPr>
          <w:rFonts w:hint="eastAsia" w:ascii="宋体" w:hAnsi="宋体" w:eastAsia="宋体" w:cs="宋体"/>
          <w:color w:val="000000" w:themeColor="text1"/>
          <w14:textFill>
            <w14:solidFill>
              <w14:schemeClr w14:val="tx1"/>
            </w14:solidFill>
          </w14:textFill>
        </w:rPr>
        <w:t>，从业人员</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人，营业收入为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万元，资产总额为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万元</w:t>
      </w:r>
      <w:r>
        <w:rPr>
          <w:rFonts w:hint="eastAsia" w:ascii="宋体" w:hAnsi="宋体" w:eastAsia="宋体" w:cs="宋体"/>
          <w:color w:val="000000" w:themeColor="text1"/>
          <w:vertAlign w:val="superscript"/>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，属于</w:t>
      </w:r>
      <w:r>
        <w:rPr>
          <w:rFonts w:hint="eastAsia" w:ascii="宋体" w:hAnsi="宋体" w:eastAsia="宋体" w:cs="宋体"/>
          <w:color w:val="000000" w:themeColor="text1"/>
          <w:u w:val="single"/>
          <w14:textFill>
            <w14:solidFill>
              <w14:schemeClr w14:val="tx1"/>
            </w14:solidFill>
          </w14:textFill>
        </w:rPr>
        <w:t>（中型企业、小型企业、微型企业）；</w:t>
      </w:r>
    </w:p>
    <w:p w14:paraId="5D207B05">
      <w:pPr>
        <w:pStyle w:val="32"/>
        <w:spacing w:beforeAutospacing="0" w:afterAutospacing="0" w:line="460" w:lineRule="exact"/>
        <w:ind w:firstLine="36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p w14:paraId="7460EEAB">
      <w:pPr>
        <w:pStyle w:val="32"/>
        <w:spacing w:beforeAutospacing="0" w:afterAutospacing="0" w:line="460" w:lineRule="exact"/>
        <w:ind w:firstLine="36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008C15EE">
      <w:pPr>
        <w:pStyle w:val="32"/>
        <w:spacing w:beforeAutospacing="0" w:afterAutospacing="0" w:line="460" w:lineRule="exact"/>
        <w:ind w:firstLine="36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本企业对上述声明内容的真实性负责。如有虚假，将依法承担相应责任</w:t>
      </w:r>
    </w:p>
    <w:p w14:paraId="718CCDD0">
      <w:pPr>
        <w:pStyle w:val="32"/>
        <w:spacing w:beforeAutospacing="0" w:afterAutospacing="0" w:line="460" w:lineRule="exact"/>
        <w:ind w:right="72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04BA9CDC">
      <w:pPr>
        <w:pStyle w:val="32"/>
        <w:spacing w:beforeAutospacing="0" w:afterAutospacing="0" w:line="460" w:lineRule="exact"/>
        <w:ind w:right="180" w:firstLine="360"/>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企业名称（加盖CA电子公章）：</w:t>
      </w:r>
    </w:p>
    <w:p w14:paraId="5DFF042F">
      <w:pPr>
        <w:pStyle w:val="32"/>
        <w:spacing w:beforeAutospacing="0" w:afterAutospacing="0" w:line="460" w:lineRule="exact"/>
        <w:ind w:right="480" w:firstLine="6648"/>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日  期：</w:t>
      </w:r>
    </w:p>
    <w:p w14:paraId="79346AD9">
      <w:pPr>
        <w:pStyle w:val="32"/>
        <w:spacing w:beforeAutospacing="0" w:afterAutospacing="0" w:line="460" w:lineRule="exact"/>
        <w:ind w:firstLine="24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62FCF383">
      <w:pPr>
        <w:pStyle w:val="32"/>
        <w:spacing w:beforeAutospacing="0" w:afterAutospacing="0" w:line="460" w:lineRule="exac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备注1：从业人员、营业收入、资产总额填报上一年度数据，无上一年度数据的新成立企业可不填报。</w:t>
      </w:r>
    </w:p>
    <w:p w14:paraId="43CE1D26">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备注2：供应商如不提供此声明函，价格将不做相应扣除（如项目全面面向中小企业，则资格审查不通过）。</w:t>
      </w:r>
    </w:p>
    <w:p w14:paraId="002BBFD9">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 十、残疾人福利性单位声明函</w:t>
      </w:r>
    </w:p>
    <w:p w14:paraId="506B8C13">
      <w:pPr>
        <w:pStyle w:val="32"/>
        <w:spacing w:beforeAutospacing="0" w:afterAutospacing="0" w:line="0" w:lineRule="atLeast"/>
        <w:ind w:firstLine="480"/>
        <w:jc w:val="both"/>
        <w:rPr>
          <w:rFonts w:hint="eastAsia" w:ascii="宋体" w:hAnsi="宋体" w:eastAsia="宋体" w:cs="宋体"/>
          <w:color w:val="000000" w:themeColor="text1"/>
          <w14:textFill>
            <w14:solidFill>
              <w14:schemeClr w14:val="tx1"/>
            </w14:solidFill>
          </w14:textFill>
        </w:rPr>
      </w:pPr>
    </w:p>
    <w:p w14:paraId="3A9FD9A7">
      <w:pPr>
        <w:pStyle w:val="32"/>
        <w:spacing w:beforeAutospacing="0" w:afterAutospacing="0" w:line="460" w:lineRule="exac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项目采购活动提供本单位制造的货物，或者提供其他残疾人福利性单位制造的货物（不包括使用非残疾人福利性单位注册商标的货物）。</w:t>
      </w:r>
    </w:p>
    <w:p w14:paraId="688DE1EE">
      <w:pPr>
        <w:pStyle w:val="32"/>
        <w:spacing w:beforeAutospacing="0" w:afterAutospacing="0" w:line="460" w:lineRule="exac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本单位对上述声明的真实性负责。如有虚假，将依法承担相应责任。</w:t>
      </w:r>
    </w:p>
    <w:p w14:paraId="6F8F1921">
      <w:pPr>
        <w:pStyle w:val="32"/>
        <w:spacing w:beforeAutospacing="0" w:afterAutospacing="0" w:line="460" w:lineRule="exac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744614B6">
      <w:pPr>
        <w:pStyle w:val="32"/>
        <w:spacing w:beforeAutospacing="0" w:afterAutospacing="0" w:line="460" w:lineRule="exact"/>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（备注：1、供应商如不提供此声明函，价格将不做相应扣除（如项目全面面向中小企业，则资格审查不通过）。2、中标人为残疾人福利单位的，此声明函将随成交结果同时公告，接受社会监督）</w:t>
      </w:r>
    </w:p>
    <w:p w14:paraId="34803C4F">
      <w:pPr>
        <w:pStyle w:val="32"/>
        <w:spacing w:beforeAutospacing="0" w:afterAutospacing="0" w:line="460" w:lineRule="exact"/>
        <w:ind w:firstLine="624"/>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12A3E079">
      <w:pPr>
        <w:pStyle w:val="32"/>
        <w:tabs>
          <w:tab w:val="left" w:pos="4864"/>
        </w:tabs>
        <w:spacing w:beforeAutospacing="0" w:afterAutospacing="0" w:line="460" w:lineRule="exact"/>
        <w:ind w:right="1560" w:firstLine="624"/>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w:t>
      </w:r>
      <w:r>
        <w:rPr>
          <w:rFonts w:hint="eastAsia" w:ascii="宋体" w:hAnsi="宋体" w:eastAsia="宋体" w:cs="宋体"/>
          <w:color w:val="000000" w:themeColor="text1"/>
          <w14:textFill>
            <w14:solidFill>
              <w14:schemeClr w14:val="tx1"/>
            </w14:solidFill>
          </w14:textFill>
        </w:rPr>
        <w:t>供应商全称（加盖CA电子公章）：</w:t>
      </w:r>
    </w:p>
    <w:p w14:paraId="58BEB94E">
      <w:pPr>
        <w:pStyle w:val="32"/>
        <w:tabs>
          <w:tab w:val="left" w:pos="4864"/>
        </w:tabs>
        <w:spacing w:beforeAutospacing="0" w:afterAutospacing="0" w:line="0" w:lineRule="atLeast"/>
        <w:ind w:right="1560" w:firstLine="48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日  期：</w:t>
      </w:r>
    </w:p>
    <w:p w14:paraId="3815CABD">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2988AEC7">
      <w:pPr>
        <w:pStyle w:val="32"/>
        <w:keepNext w:val="0"/>
        <w:keepLines w:val="0"/>
        <w:pageBreakBefore/>
        <w:widowControl w:val="0"/>
        <w:spacing w:beforeAutospacing="0" w:after="313" w:afterAutospacing="0" w:line="360" w:lineRule="auto"/>
        <w:jc w:val="center"/>
        <w:rPr>
          <w:rFonts w:hint="eastAsia" w:ascii="宋体" w:hAnsi="宋体" w:eastAsia="宋体" w:cs="宋体"/>
          <w:b/>
          <w:sz w:val="32"/>
          <w:szCs w:val="32"/>
        </w:rPr>
      </w:pPr>
      <w:r>
        <w:rPr>
          <w:rFonts w:hint="eastAsia" w:ascii="宋体" w:hAnsi="宋体" w:eastAsia="宋体" w:cs="宋体"/>
          <w:b/>
          <w:sz w:val="32"/>
          <w:szCs w:val="32"/>
          <w:lang w:val="en-US" w:eastAsia="zh-CN"/>
        </w:rPr>
        <w:t>十一、</w:t>
      </w:r>
      <w:r>
        <w:rPr>
          <w:rFonts w:hint="eastAsia" w:ascii="宋体" w:hAnsi="宋体" w:eastAsia="宋体" w:cs="宋体"/>
          <w:b/>
          <w:sz w:val="32"/>
          <w:szCs w:val="32"/>
        </w:rPr>
        <w:t>关于符合本国产品标准的声明函</w:t>
      </w:r>
    </w:p>
    <w:p w14:paraId="62F2867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本公司(单位)郑重声明，根据《国务院办公厅关于在政府采购中实施本国产品标准及相关政策的通知》(国办发(2025)34号)的规定，本公司(单位)提供的以下产品属于本国产品。具体情况如下:</w:t>
      </w:r>
    </w:p>
    <w:p w14:paraId="467BA2EA">
      <w:pPr>
        <w:pStyle w:val="32"/>
        <w:numPr>
          <w:ilvl w:val="0"/>
          <w:numId w:val="3"/>
        </w:numPr>
        <w:spacing w:beforeAutospacing="0" w:afterAutospacing="0" w:line="360" w:lineRule="auto"/>
        <w:ind w:firstLine="480"/>
        <w:jc w:val="both"/>
        <w:rPr>
          <w:rFonts w:hint="eastAsia" w:ascii="宋体" w:hAnsi="宋体" w:eastAsia="宋体" w:cs="宋体"/>
        </w:rPr>
      </w:pPr>
      <w:r>
        <w:rPr>
          <w:rFonts w:hint="eastAsia" w:ascii="宋体" w:hAnsi="宋体" w:eastAsia="宋体" w:cs="宋体"/>
          <w:u w:val="single"/>
          <w:lang w:val="en-US" w:eastAsia="zh-CN"/>
        </w:rPr>
        <w:t xml:space="preserve"> </w:t>
      </w:r>
      <w:r>
        <w:rPr>
          <w:rFonts w:hint="eastAsia" w:ascii="宋体" w:hAnsi="宋体" w:eastAsia="宋体" w:cs="宋体"/>
          <w:u w:val="single"/>
        </w:rPr>
        <w:t>(产品名称1)</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1，</w:t>
      </w:r>
      <w:r>
        <w:rPr>
          <w:rFonts w:hint="eastAsia" w:ascii="宋体" w:hAnsi="宋体" w:eastAsia="宋体" w:cs="宋体"/>
        </w:rPr>
        <w:t>生产厂为</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(厂名)</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   </w:t>
      </w:r>
      <w:r>
        <w:rPr>
          <w:rFonts w:hint="eastAsia" w:ascii="宋体" w:hAnsi="宋体" w:eastAsia="宋体" w:cs="宋体"/>
        </w:rPr>
        <w:t>2,厂址为</w:t>
      </w:r>
      <w:r>
        <w:rPr>
          <w:rFonts w:hint="eastAsia" w:ascii="宋体" w:hAnsi="宋体" w:eastAsia="宋体" w:cs="宋体"/>
          <w:u w:val="single"/>
          <w:lang w:val="en-US" w:eastAsia="zh-CN"/>
        </w:rPr>
        <w:t xml:space="preserve">  </w:t>
      </w:r>
      <w:r>
        <w:rPr>
          <w:rFonts w:hint="eastAsia" w:ascii="宋体" w:hAnsi="宋体" w:eastAsia="宋体" w:cs="宋体"/>
          <w:u w:val="single"/>
        </w:rPr>
        <w:t>(生产厂址)</w:t>
      </w:r>
      <w:r>
        <w:rPr>
          <w:rFonts w:hint="eastAsia" w:ascii="宋体" w:hAnsi="宋体" w:eastAsia="宋体" w:cs="宋体"/>
          <w:u w:val="single"/>
          <w:lang w:val="en-US" w:eastAsia="zh-CN"/>
        </w:rPr>
        <w:t xml:space="preserve">   </w:t>
      </w:r>
      <w:r>
        <w:rPr>
          <w:rFonts w:hint="eastAsia" w:ascii="宋体" w:hAnsi="宋体" w:eastAsia="宋体" w:cs="宋体"/>
        </w:rPr>
        <w:t>。</w:t>
      </w:r>
      <w:r>
        <w:rPr>
          <w:rFonts w:hint="eastAsia" w:ascii="宋体" w:hAnsi="宋体" w:eastAsia="宋体" w:cs="宋体"/>
          <w:u w:val="single"/>
        </w:rPr>
        <w:t>(产品名称1)</w:t>
      </w:r>
      <w:r>
        <w:rPr>
          <w:rFonts w:hint="eastAsia" w:ascii="宋体" w:hAnsi="宋体" w:eastAsia="宋体" w:cs="宋体"/>
          <w:u w:val="single"/>
          <w:lang w:val="en-US" w:eastAsia="zh-CN"/>
        </w:rPr>
        <w:t xml:space="preserve">  </w:t>
      </w:r>
      <w:r>
        <w:rPr>
          <w:rFonts w:hint="eastAsia" w:ascii="宋体" w:hAnsi="宋体" w:eastAsia="宋体" w:cs="宋体"/>
        </w:rPr>
        <w:t>的中国境内生产的组件成本占比</w:t>
      </w:r>
      <w:r>
        <w:rPr>
          <w:rFonts w:hint="eastAsia" w:ascii="宋体" w:hAnsi="宋体" w:eastAsia="宋体" w:cs="宋体"/>
          <w:u w:val="single"/>
          <w:lang w:val="en-US" w:eastAsia="zh-CN"/>
        </w:rPr>
        <w:t xml:space="preserve">  </w:t>
      </w:r>
      <w:r>
        <w:rPr>
          <w:rFonts w:hint="eastAsia" w:ascii="宋体" w:hAnsi="宋体" w:eastAsia="宋体" w:cs="宋体"/>
          <w:u w:val="single"/>
        </w:rPr>
        <w:t>≥(规定比例)</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  </w:t>
      </w:r>
      <w:r>
        <w:rPr>
          <w:rFonts w:hint="eastAsia" w:ascii="宋体" w:hAnsi="宋体" w:eastAsia="宋体" w:cs="宋体"/>
        </w:rPr>
        <w:t>3。</w:t>
      </w:r>
      <w:r>
        <w:rPr>
          <w:rFonts w:hint="eastAsia" w:ascii="宋体" w:hAnsi="宋体" w:eastAsia="宋体" w:cs="宋体"/>
          <w:u w:val="single"/>
          <w:lang w:val="en-US" w:eastAsia="zh-CN"/>
        </w:rPr>
        <w:t xml:space="preserve">  </w:t>
      </w:r>
      <w:r>
        <w:rPr>
          <w:rFonts w:hint="eastAsia" w:ascii="宋体" w:hAnsi="宋体" w:eastAsia="宋体" w:cs="宋体"/>
          <w:u w:val="single"/>
        </w:rPr>
        <w:t>(产品名称1)</w:t>
      </w:r>
      <w:r>
        <w:rPr>
          <w:rFonts w:hint="eastAsia" w:ascii="宋体" w:hAnsi="宋体" w:eastAsia="宋体" w:cs="宋体"/>
          <w:u w:val="single"/>
          <w:lang w:val="en-US" w:eastAsia="zh-CN"/>
        </w:rPr>
        <w:t xml:space="preserve">  </w:t>
      </w:r>
      <w:r>
        <w:rPr>
          <w:rFonts w:hint="eastAsia" w:ascii="宋体" w:hAnsi="宋体" w:eastAsia="宋体" w:cs="宋体"/>
        </w:rPr>
        <w:t>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(关键组件)4</w:t>
      </w:r>
      <w:r>
        <w:rPr>
          <w:rFonts w:hint="eastAsia" w:ascii="宋体" w:hAnsi="宋体" w:eastAsia="宋体" w:cs="宋体"/>
          <w:u w:val="single"/>
          <w:lang w:val="en-US" w:eastAsia="zh-CN"/>
        </w:rPr>
        <w:t xml:space="preserve">  </w:t>
      </w:r>
      <w:r>
        <w:rPr>
          <w:rFonts w:hint="eastAsia" w:ascii="宋体" w:hAnsi="宋体" w:eastAsia="宋体" w:cs="宋体"/>
        </w:rPr>
        <w:t>在中国境内生产。</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(产品名称1)</w:t>
      </w:r>
      <w:r>
        <w:rPr>
          <w:rFonts w:hint="eastAsia" w:ascii="宋体" w:hAnsi="宋体" w:eastAsia="宋体" w:cs="宋体"/>
          <w:u w:val="single"/>
          <w:lang w:val="en-US" w:eastAsia="zh-CN"/>
        </w:rPr>
        <w:t xml:space="preserve">  </w:t>
      </w:r>
      <w:r>
        <w:rPr>
          <w:rFonts w:hint="eastAsia" w:ascii="宋体" w:hAnsi="宋体" w:eastAsia="宋体" w:cs="宋体"/>
        </w:rPr>
        <w:t>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(关键工序)5</w:t>
      </w:r>
      <w:r>
        <w:rPr>
          <w:rFonts w:hint="eastAsia" w:ascii="宋体" w:hAnsi="宋体" w:eastAsia="宋体" w:cs="宋体"/>
          <w:u w:val="single"/>
          <w:lang w:val="en-US" w:eastAsia="zh-CN"/>
        </w:rPr>
        <w:t xml:space="preserve">  </w:t>
      </w:r>
      <w:r>
        <w:rPr>
          <w:rFonts w:hint="eastAsia" w:ascii="宋体" w:hAnsi="宋体" w:eastAsia="宋体" w:cs="宋体"/>
        </w:rPr>
        <w:t>在中国境内完成。</w:t>
      </w:r>
    </w:p>
    <w:p w14:paraId="78DA80E7">
      <w:pPr>
        <w:pStyle w:val="32"/>
        <w:numPr>
          <w:ilvl w:val="0"/>
          <w:numId w:val="3"/>
        </w:numPr>
        <w:spacing w:beforeAutospacing="0" w:afterAutospacing="0" w:line="360" w:lineRule="auto"/>
        <w:ind w:left="0" w:firstLine="480"/>
        <w:jc w:val="both"/>
        <w:rPr>
          <w:rFonts w:hint="eastAsia" w:ascii="宋体" w:hAnsi="宋体" w:eastAsia="宋体" w:cs="宋体"/>
        </w:rPr>
      </w:pPr>
      <w:r>
        <w:rPr>
          <w:rFonts w:hint="eastAsia" w:ascii="宋体" w:hAnsi="宋体" w:eastAsia="宋体" w:cs="宋体"/>
          <w:u w:val="single"/>
          <w:lang w:val="en-US" w:eastAsia="zh-CN"/>
        </w:rPr>
        <w:t xml:space="preserve">  </w:t>
      </w:r>
      <w:r>
        <w:rPr>
          <w:rFonts w:hint="eastAsia" w:ascii="宋体" w:hAnsi="宋体" w:eastAsia="宋体" w:cs="宋体"/>
          <w:u w:val="single"/>
        </w:rPr>
        <w:t>(产品名称2)</w:t>
      </w:r>
      <w:r>
        <w:rPr>
          <w:rFonts w:hint="eastAsia" w:ascii="宋体" w:hAnsi="宋体" w:eastAsia="宋体" w:cs="宋体"/>
          <w:u w:val="single"/>
          <w:lang w:val="en-US" w:eastAsia="zh-CN"/>
        </w:rPr>
        <w:t xml:space="preserve"> </w:t>
      </w:r>
      <w:r>
        <w:rPr>
          <w:rFonts w:hint="eastAsia" w:ascii="宋体" w:hAnsi="宋体" w:eastAsia="宋体" w:cs="宋体"/>
        </w:rPr>
        <w:t>，生产厂为</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(厂名)</w:t>
      </w:r>
      <w:r>
        <w:rPr>
          <w:rFonts w:hint="eastAsia" w:ascii="宋体" w:hAnsi="宋体" w:eastAsia="宋体" w:cs="宋体"/>
          <w:u w:val="single"/>
          <w:lang w:val="en-US" w:eastAsia="zh-CN"/>
        </w:rPr>
        <w:t xml:space="preserve">  </w:t>
      </w:r>
      <w:r>
        <w:rPr>
          <w:rFonts w:hint="eastAsia" w:ascii="宋体" w:hAnsi="宋体" w:eastAsia="宋体" w:cs="宋体"/>
        </w:rPr>
        <w:t>，厂址为</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(生产厂址)</w:t>
      </w:r>
      <w:r>
        <w:rPr>
          <w:rFonts w:hint="eastAsia" w:ascii="宋体" w:hAnsi="宋体" w:eastAsia="宋体" w:cs="宋体"/>
          <w:u w:val="single"/>
          <w:lang w:val="en-US" w:eastAsia="zh-CN"/>
        </w:rPr>
        <w:t xml:space="preserve">  </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(产品名称2)</w:t>
      </w:r>
      <w:r>
        <w:rPr>
          <w:rFonts w:hint="eastAsia" w:ascii="宋体" w:hAnsi="宋体" w:eastAsia="宋体" w:cs="宋体"/>
          <w:u w:val="single"/>
          <w:lang w:val="en-US" w:eastAsia="zh-CN"/>
        </w:rPr>
        <w:t xml:space="preserve"> </w:t>
      </w:r>
      <w:r>
        <w:rPr>
          <w:rFonts w:hint="eastAsia" w:ascii="宋体" w:hAnsi="宋体" w:eastAsia="宋体" w:cs="宋体"/>
        </w:rPr>
        <w:t>的中国境内生产的组件成本占比</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≥(规定比例)</w:t>
      </w:r>
      <w:r>
        <w:rPr>
          <w:rFonts w:hint="eastAsia" w:ascii="宋体" w:hAnsi="宋体" w:eastAsia="宋体" w:cs="宋体"/>
          <w:u w:val="single"/>
          <w:lang w:val="en-US" w:eastAsia="zh-CN"/>
        </w:rPr>
        <w:t xml:space="preserve"> </w:t>
      </w:r>
      <w:r>
        <w:rPr>
          <w:rFonts w:hint="eastAsia" w:ascii="宋体" w:hAnsi="宋体" w:eastAsia="宋体" w:cs="宋体"/>
        </w:rPr>
        <w:t>。</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(产品名称2)</w:t>
      </w:r>
      <w:r>
        <w:rPr>
          <w:rFonts w:hint="eastAsia" w:ascii="宋体" w:hAnsi="宋体" w:eastAsia="宋体" w:cs="宋体"/>
          <w:u w:val="single"/>
          <w:lang w:val="en-US" w:eastAsia="zh-CN"/>
        </w:rPr>
        <w:t xml:space="preserve">  </w:t>
      </w:r>
      <w:r>
        <w:rPr>
          <w:rFonts w:hint="eastAsia" w:ascii="宋体" w:hAnsi="宋体" w:eastAsia="宋体" w:cs="宋体"/>
        </w:rPr>
        <w:t>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(关键组件)</w:t>
      </w:r>
      <w:r>
        <w:rPr>
          <w:rFonts w:hint="eastAsia" w:ascii="宋体" w:hAnsi="宋体" w:eastAsia="宋体" w:cs="宋体"/>
          <w:u w:val="single"/>
          <w:lang w:val="en-US" w:eastAsia="zh-CN"/>
        </w:rPr>
        <w:t xml:space="preserve">  </w:t>
      </w:r>
      <w:r>
        <w:rPr>
          <w:rFonts w:hint="eastAsia" w:ascii="宋体" w:hAnsi="宋体" w:eastAsia="宋体" w:cs="宋体"/>
        </w:rPr>
        <w:t>在中国境内生产。</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(产品名称2)</w:t>
      </w:r>
      <w:r>
        <w:rPr>
          <w:rFonts w:hint="eastAsia" w:ascii="宋体" w:hAnsi="宋体" w:eastAsia="宋体" w:cs="宋体"/>
          <w:u w:val="single"/>
          <w:lang w:val="en-US" w:eastAsia="zh-CN"/>
        </w:rPr>
        <w:t xml:space="preserve">  </w:t>
      </w:r>
      <w:r>
        <w:rPr>
          <w:rFonts w:hint="eastAsia" w:ascii="宋体" w:hAnsi="宋体" w:eastAsia="宋体" w:cs="宋体"/>
        </w:rPr>
        <w:t>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(关键工序)</w:t>
      </w:r>
      <w:r>
        <w:rPr>
          <w:rFonts w:hint="eastAsia" w:ascii="宋体" w:hAnsi="宋体" w:eastAsia="宋体" w:cs="宋体"/>
          <w:u w:val="single"/>
          <w:lang w:val="en-US" w:eastAsia="zh-CN"/>
        </w:rPr>
        <w:t xml:space="preserve">  </w:t>
      </w:r>
      <w:r>
        <w:rPr>
          <w:rFonts w:hint="eastAsia" w:ascii="宋体" w:hAnsi="宋体" w:eastAsia="宋体" w:cs="宋体"/>
        </w:rPr>
        <w:t>在中国境内完成。</w:t>
      </w:r>
    </w:p>
    <w:p w14:paraId="395845E0">
      <w:pPr>
        <w:pStyle w:val="32"/>
        <w:numPr>
          <w:ilvl w:val="0"/>
          <w:numId w:val="0"/>
        </w:numPr>
        <w:spacing w:beforeAutospacing="0" w:afterAutospacing="0" w:line="360" w:lineRule="auto"/>
        <w:ind w:left="480"/>
        <w:jc w:val="both"/>
        <w:rPr>
          <w:rFonts w:hint="eastAsia" w:ascii="宋体" w:hAnsi="宋体" w:eastAsia="宋体" w:cs="宋体"/>
          <w:lang w:eastAsia="zh-CN"/>
        </w:rPr>
      </w:pPr>
      <w:r>
        <w:rPr>
          <w:rFonts w:hint="eastAsia" w:ascii="宋体" w:hAnsi="宋体" w:eastAsia="宋体" w:cs="宋体"/>
          <w:lang w:eastAsia="zh-CN"/>
        </w:rPr>
        <w:t>……</w:t>
      </w:r>
    </w:p>
    <w:p w14:paraId="46FC615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本公司(单位)对上述声明内容的真实性负责。如有虚假，愿承担相应法律责</w:t>
      </w:r>
    </w:p>
    <w:p w14:paraId="3CD33E80">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任。</w:t>
      </w:r>
    </w:p>
    <w:p w14:paraId="0EE423D7">
      <w:pPr>
        <w:pStyle w:val="32"/>
        <w:spacing w:beforeAutospacing="0" w:afterAutospacing="0" w:line="360" w:lineRule="auto"/>
        <w:ind w:firstLine="480"/>
        <w:jc w:val="both"/>
        <w:rPr>
          <w:rFonts w:hint="eastAsia" w:ascii="宋体" w:hAnsi="宋体" w:eastAsia="宋体" w:cs="宋体"/>
        </w:rPr>
      </w:pPr>
    </w:p>
    <w:p w14:paraId="109660F5">
      <w:pPr>
        <w:pStyle w:val="32"/>
        <w:spacing w:beforeAutospacing="0" w:afterAutospacing="0" w:line="360" w:lineRule="auto"/>
        <w:ind w:firstLine="480"/>
        <w:jc w:val="right"/>
        <w:rPr>
          <w:rFonts w:hint="eastAsia" w:ascii="宋体" w:hAnsi="宋体" w:eastAsia="宋体" w:cs="宋体"/>
        </w:rPr>
      </w:pPr>
      <w:r>
        <w:rPr>
          <w:rFonts w:hint="eastAsia" w:ascii="宋体" w:hAnsi="宋体" w:eastAsia="宋体" w:cs="宋体"/>
        </w:rPr>
        <w:t>公司(单位)名称(盖章):</w:t>
      </w:r>
    </w:p>
    <w:p w14:paraId="79233374">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rPr>
        <w:t>日期:</w:t>
      </w:r>
    </w:p>
    <w:p w14:paraId="5EDFC22A">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0BA5A3B8">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2AA13BCE">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7811DAFF">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4BC7DB1C">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510B034B">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7ADD21AA">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4AA878FF">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w:t>
      </w:r>
    </w:p>
    <w:p w14:paraId="417BAE8B">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676683CB">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15FBA60F">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5BA5C3CF">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2021351F">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35AF22C7">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6839F8F1">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5F7B395D">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203D115B">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5F0022EF">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07DF4629">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033C13EA">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6BC274BD">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69F965D2">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2073E6FA">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039F415D">
      <w:pPr>
        <w:pStyle w:val="32"/>
        <w:numPr>
          <w:ilvl w:val="0"/>
          <w:numId w:val="4"/>
        </w:numPr>
        <w:spacing w:beforeAutospacing="0" w:afterAutospacing="0"/>
        <w:ind w:firstLine="2891"/>
        <w:jc w:val="both"/>
        <w:rPr>
          <w:rFonts w:hint="eastAsia" w:ascii="黑体" w:hAnsi="宋体" w:eastAsia="黑体" w:cs="黑体"/>
          <w:b/>
          <w:i/>
          <w:sz w:val="32"/>
          <w:szCs w:val="32"/>
          <w:u w:val="single"/>
        </w:rPr>
      </w:pPr>
      <w:r>
        <w:rPr>
          <w:rFonts w:hint="eastAsia" w:ascii="黑体" w:hAnsi="宋体" w:eastAsia="黑体" w:cs="黑体"/>
          <w:b/>
          <w:i/>
          <w:sz w:val="32"/>
          <w:szCs w:val="32"/>
          <w:u w:val="single"/>
        </w:rPr>
        <w:t>开标一览表</w:t>
      </w:r>
    </w:p>
    <w:p w14:paraId="06EB51CE">
      <w:pPr>
        <w:pStyle w:val="32"/>
        <w:numPr>
          <w:ilvl w:val="0"/>
          <w:numId w:val="0"/>
        </w:numPr>
        <w:spacing w:beforeAutospacing="0" w:afterAutospacing="0"/>
        <w:jc w:val="both"/>
        <w:rPr>
          <w:rFonts w:hint="eastAsia" w:ascii="黑体" w:hAnsi="宋体" w:eastAsia="黑体" w:cs="黑体"/>
          <w:b/>
          <w:i/>
          <w:sz w:val="32"/>
          <w:szCs w:val="32"/>
          <w:u w:val="single"/>
        </w:rPr>
      </w:pPr>
    </w:p>
    <w:p w14:paraId="059FF154">
      <w:pPr>
        <w:pStyle w:val="32"/>
        <w:spacing w:beforeAutospacing="0" w:afterAutospacing="0"/>
        <w:ind w:firstLine="480"/>
        <w:jc w:val="both"/>
      </w:pPr>
      <w:r>
        <w:rPr>
          <w:rFonts w:hint="eastAsia" w:ascii="宋体" w:hAnsi="宋体" w:eastAsia="宋体" w:cs="宋体"/>
        </w:rPr>
        <w:t>投标人全称（加盖CA电子签章）：</w:t>
      </w:r>
    </w:p>
    <w:p w14:paraId="292B76F0">
      <w:pPr>
        <w:pStyle w:val="32"/>
        <w:spacing w:beforeAutospacing="0" w:afterAutospacing="0"/>
        <w:ind w:firstLine="480"/>
        <w:jc w:val="both"/>
      </w:pPr>
      <w:r>
        <w:rPr>
          <w:rFonts w:hint="eastAsia" w:ascii="宋体" w:hAnsi="宋体" w:eastAsia="宋体" w:cs="宋体"/>
        </w:rPr>
        <w:t>项目名称：</w:t>
      </w:r>
    </w:p>
    <w:p w14:paraId="39AD340F">
      <w:pPr>
        <w:pStyle w:val="32"/>
        <w:spacing w:beforeAutospacing="0" w:afterAutospacing="0"/>
        <w:ind w:firstLine="480"/>
        <w:jc w:val="both"/>
        <w:rPr>
          <w:rFonts w:hint="eastAsia" w:ascii="宋体" w:hAnsi="宋体" w:eastAsia="宋体" w:cs="宋体"/>
        </w:rPr>
      </w:pPr>
      <w:r>
        <w:rPr>
          <w:rFonts w:hint="eastAsia" w:ascii="宋体" w:hAnsi="宋体" w:eastAsia="宋体" w:cs="宋体"/>
        </w:rPr>
        <w:t>项目编号：</w:t>
      </w:r>
    </w:p>
    <w:tbl>
      <w:tblPr>
        <w:tblStyle w:val="36"/>
        <w:tblW w:w="8206" w:type="dxa"/>
        <w:tblCellSpacing w:w="0" w:type="dxa"/>
        <w:tblInd w:w="118" w:type="dxa"/>
        <w:tblLayout w:type="fixed"/>
        <w:tblCellMar>
          <w:top w:w="0" w:type="dxa"/>
          <w:left w:w="108" w:type="dxa"/>
          <w:bottom w:w="0" w:type="dxa"/>
          <w:right w:w="108" w:type="dxa"/>
        </w:tblCellMar>
      </w:tblPr>
      <w:tblGrid>
        <w:gridCol w:w="8206"/>
      </w:tblGrid>
      <w:tr w14:paraId="7F4043CC">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20BD1C">
            <w:pPr>
              <w:pStyle w:val="32"/>
              <w:spacing w:beforeAutospacing="0" w:afterAutospacing="0"/>
              <w:jc w:val="center"/>
            </w:pPr>
            <w:r>
              <w:rPr>
                <w:rFonts w:hint="eastAsia" w:ascii="宋体" w:hAnsi="宋体" w:eastAsia="宋体" w:cs="宋体"/>
              </w:rPr>
              <w:t>投标总报价</w:t>
            </w:r>
          </w:p>
        </w:tc>
      </w:tr>
      <w:tr w14:paraId="7E4D903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E2D82F">
            <w:pPr>
              <w:pStyle w:val="32"/>
              <w:spacing w:beforeAutospacing="0" w:afterAutospacing="0" w:line="0" w:lineRule="atLeast"/>
              <w:rPr>
                <w:rFonts w:hint="eastAsia" w:ascii="宋体" w:hAnsi="宋体" w:eastAsia="宋体" w:cs="宋体"/>
              </w:rPr>
            </w:pPr>
            <w:r>
              <w:rPr>
                <w:rFonts w:hint="eastAsia" w:ascii="宋体" w:hAnsi="宋体" w:eastAsia="宋体" w:cs="宋体"/>
              </w:rPr>
              <w:t>大写：</w:t>
            </w:r>
          </w:p>
        </w:tc>
      </w:tr>
      <w:tr w14:paraId="7FE62F88">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CBFC1A">
            <w:pPr>
              <w:pStyle w:val="32"/>
              <w:spacing w:beforeAutospacing="0" w:afterAutospacing="0" w:line="0" w:lineRule="atLeast"/>
            </w:pPr>
            <w:r>
              <w:rPr>
                <w:rFonts w:hint="eastAsia" w:ascii="宋体" w:hAnsi="宋体" w:eastAsia="宋体" w:cs="宋体"/>
              </w:rPr>
              <w:t>小写：                       （人民币：元）</w:t>
            </w:r>
          </w:p>
        </w:tc>
      </w:tr>
    </w:tbl>
    <w:p w14:paraId="10BF36CE">
      <w:pPr>
        <w:pStyle w:val="32"/>
        <w:spacing w:beforeAutospacing="0" w:afterAutospacing="0"/>
        <w:jc w:val="both"/>
      </w:pPr>
      <w:r>
        <w:t> </w:t>
      </w:r>
    </w:p>
    <w:p w14:paraId="693DD2F3">
      <w:pPr>
        <w:pStyle w:val="32"/>
        <w:spacing w:beforeAutospacing="0" w:afterAutospacing="0"/>
        <w:ind w:firstLine="480"/>
        <w:jc w:val="both"/>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17735008">
      <w:pPr>
        <w:pStyle w:val="12"/>
        <w:ind w:firstLine="0"/>
        <w:rPr>
          <w:rFonts w:hint="eastAsia" w:ascii="宋体" w:hAnsi="宋体" w:eastAsia="宋体" w:cs="宋体"/>
          <w:color w:val="000000" w:themeColor="text1"/>
          <w14:textFill>
            <w14:solidFill>
              <w14:schemeClr w14:val="tx1"/>
            </w14:solidFill>
          </w14:textFill>
        </w:rPr>
      </w:pPr>
    </w:p>
    <w:p w14:paraId="7E8C37DC">
      <w:pPr>
        <w:pStyle w:val="32"/>
        <w:spacing w:beforeAutospacing="0" w:afterAutospacing="0" w:line="0" w:lineRule="atLeast"/>
        <w:jc w:val="center"/>
        <w:rPr>
          <w:rFonts w:hint="eastAsia" w:ascii="宋体" w:hAnsi="宋体" w:eastAsia="宋体" w:cs="宋体"/>
          <w:color w:val="000000" w:themeColor="text1"/>
          <w14:textFill>
            <w14:solidFill>
              <w14:schemeClr w14:val="tx1"/>
            </w14:solidFill>
          </w14:textFill>
        </w:rPr>
      </w:pPr>
    </w:p>
    <w:p w14:paraId="027CFC50">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0009C0D8">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1629A146">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609D4C34">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1070E7FC">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149065DC">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0B2B4090">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2450B852">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27A08357">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3D865D59">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121FF15B">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635F41C2">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72D4A0FE">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32FAF123">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148B4516">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349A1738">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5312E06E">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2FAAB712">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5C45398A">
      <w:pPr>
        <w:pStyle w:val="32"/>
        <w:spacing w:beforeAutospacing="0" w:afterAutospacing="0"/>
        <w:jc w:val="center"/>
        <w:rPr>
          <w:color w:val="000000" w:themeColor="text1"/>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t>十</w:t>
      </w:r>
      <w:r>
        <w:rPr>
          <w:rFonts w:hint="eastAsia" w:ascii="黑体" w:hAnsi="宋体" w:eastAsia="黑体" w:cs="黑体"/>
          <w:b/>
          <w:color w:val="000000" w:themeColor="text1"/>
          <w:sz w:val="32"/>
          <w:szCs w:val="32"/>
          <w:lang w:val="en-US" w:eastAsia="zh-CN"/>
          <w14:textFill>
            <w14:solidFill>
              <w14:schemeClr w14:val="tx1"/>
            </w14:solidFill>
          </w14:textFill>
        </w:rPr>
        <w:t>三</w:t>
      </w:r>
      <w:r>
        <w:rPr>
          <w:rFonts w:hint="eastAsia" w:ascii="黑体" w:hAnsi="宋体" w:eastAsia="黑体" w:cs="黑体"/>
          <w:b/>
          <w:color w:val="000000" w:themeColor="text1"/>
          <w:sz w:val="32"/>
          <w:szCs w:val="32"/>
          <w14:textFill>
            <w14:solidFill>
              <w14:schemeClr w14:val="tx1"/>
            </w14:solidFill>
          </w14:textFill>
        </w:rPr>
        <w:t>、技术要求响应及偏离表</w:t>
      </w:r>
    </w:p>
    <w:tbl>
      <w:tblPr>
        <w:tblStyle w:val="36"/>
        <w:tblW w:w="9158" w:type="dxa"/>
        <w:tblCellSpacing w:w="0" w:type="dxa"/>
        <w:tblInd w:w="10" w:type="dxa"/>
        <w:tblLayout w:type="fixed"/>
        <w:tblCellMar>
          <w:top w:w="0" w:type="dxa"/>
          <w:left w:w="108" w:type="dxa"/>
          <w:bottom w:w="0" w:type="dxa"/>
          <w:right w:w="108" w:type="dxa"/>
        </w:tblCellMar>
      </w:tblPr>
      <w:tblGrid>
        <w:gridCol w:w="578"/>
        <w:gridCol w:w="3253"/>
        <w:gridCol w:w="2804"/>
        <w:gridCol w:w="1340"/>
        <w:gridCol w:w="1183"/>
      </w:tblGrid>
      <w:tr w14:paraId="0082D011">
        <w:tblPrEx>
          <w:tblCellMar>
            <w:top w:w="0" w:type="dxa"/>
            <w:left w:w="108" w:type="dxa"/>
            <w:bottom w:w="0" w:type="dxa"/>
            <w:right w:w="108" w:type="dxa"/>
          </w:tblCellMar>
        </w:tblPrEx>
        <w:trPr>
          <w:trHeight w:val="682" w:hRule="atLeast"/>
          <w:tblCellSpacing w:w="0" w:type="dxa"/>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D23217">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32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72414B">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磋商文件要求</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8A2AF9">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响应情况</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4E7D1F">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超出、符合或偏离</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31A65B">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证明</w:t>
            </w:r>
          </w:p>
          <w:p w14:paraId="14747F19">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材料</w:t>
            </w:r>
          </w:p>
        </w:tc>
      </w:tr>
      <w:tr w14:paraId="29F38A92">
        <w:tblPrEx>
          <w:tblCellMar>
            <w:top w:w="0" w:type="dxa"/>
            <w:left w:w="108" w:type="dxa"/>
            <w:bottom w:w="0" w:type="dxa"/>
            <w:right w:w="108" w:type="dxa"/>
          </w:tblCellMar>
        </w:tblPrEx>
        <w:trPr>
          <w:trHeight w:val="700" w:hRule="atLeast"/>
          <w:tblCellSpacing w:w="0" w:type="dxa"/>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E2F8F8">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32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5DAE94">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8EF395">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E17574">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8C2017">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587C540A">
        <w:tblPrEx>
          <w:tblCellMar>
            <w:top w:w="0" w:type="dxa"/>
            <w:left w:w="108" w:type="dxa"/>
            <w:bottom w:w="0" w:type="dxa"/>
            <w:right w:w="108" w:type="dxa"/>
          </w:tblCellMar>
        </w:tblPrEx>
        <w:trPr>
          <w:trHeight w:val="700" w:hRule="atLeast"/>
          <w:tblCellSpacing w:w="0" w:type="dxa"/>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CB86DB">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32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AF5FCA">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016E95">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17DE5">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0B9A5">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6C6FCF88">
        <w:tblPrEx>
          <w:tblCellMar>
            <w:top w:w="0" w:type="dxa"/>
            <w:left w:w="108" w:type="dxa"/>
            <w:bottom w:w="0" w:type="dxa"/>
            <w:right w:w="108" w:type="dxa"/>
          </w:tblCellMar>
        </w:tblPrEx>
        <w:trPr>
          <w:trHeight w:val="700" w:hRule="atLeast"/>
          <w:tblCellSpacing w:w="0" w:type="dxa"/>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C90F0C">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32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1C1DC6">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96921F">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DC55A">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7E67A6">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2A1A6FB4">
        <w:tblPrEx>
          <w:tblCellMar>
            <w:top w:w="0" w:type="dxa"/>
            <w:left w:w="108" w:type="dxa"/>
            <w:bottom w:w="0" w:type="dxa"/>
            <w:right w:w="108" w:type="dxa"/>
          </w:tblCellMar>
        </w:tblPrEx>
        <w:trPr>
          <w:trHeight w:val="700" w:hRule="atLeast"/>
          <w:tblCellSpacing w:w="0" w:type="dxa"/>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3460F6">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32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A8077">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3B9D9">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3F2D4">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A726C2">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1C504ED6">
        <w:tblPrEx>
          <w:tblCellMar>
            <w:top w:w="0" w:type="dxa"/>
            <w:left w:w="108" w:type="dxa"/>
            <w:bottom w:w="0" w:type="dxa"/>
            <w:right w:w="108" w:type="dxa"/>
          </w:tblCellMar>
        </w:tblPrEx>
        <w:trPr>
          <w:trHeight w:val="700" w:hRule="atLeast"/>
          <w:tblCellSpacing w:w="0" w:type="dxa"/>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2D8DB2">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32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C4CA9">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C6B39">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3979C">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7D4E9A">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7BE2AAE8">
        <w:tblPrEx>
          <w:tblCellMar>
            <w:top w:w="0" w:type="dxa"/>
            <w:left w:w="108" w:type="dxa"/>
            <w:bottom w:w="0" w:type="dxa"/>
            <w:right w:w="108" w:type="dxa"/>
          </w:tblCellMar>
        </w:tblPrEx>
        <w:trPr>
          <w:trHeight w:val="700" w:hRule="atLeast"/>
          <w:tblCellSpacing w:w="0" w:type="dxa"/>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F82B7">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32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989138">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918739">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AD96DF">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39D99">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39468B10">
        <w:tblPrEx>
          <w:tblCellMar>
            <w:top w:w="0" w:type="dxa"/>
            <w:left w:w="108" w:type="dxa"/>
            <w:bottom w:w="0" w:type="dxa"/>
            <w:right w:w="108" w:type="dxa"/>
          </w:tblCellMar>
        </w:tblPrEx>
        <w:trPr>
          <w:trHeight w:val="700" w:hRule="atLeast"/>
          <w:tblCellSpacing w:w="0" w:type="dxa"/>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120CE1">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32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A3A099">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FC09F1">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920C95">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7D2041">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1AA5BA1C">
        <w:tblPrEx>
          <w:tblCellMar>
            <w:top w:w="0" w:type="dxa"/>
            <w:left w:w="108" w:type="dxa"/>
            <w:bottom w:w="0" w:type="dxa"/>
            <w:right w:w="108" w:type="dxa"/>
          </w:tblCellMar>
        </w:tblPrEx>
        <w:trPr>
          <w:trHeight w:val="700" w:hRule="atLeast"/>
          <w:tblCellSpacing w:w="0" w:type="dxa"/>
        </w:trPr>
        <w:tc>
          <w:tcPr>
            <w:tcW w:w="5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12941">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32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2B678">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tc>
        <w:tc>
          <w:tcPr>
            <w:tcW w:w="28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55FE29">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CF35A2">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EA1FDA">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bl>
    <w:p w14:paraId="1EF94120">
      <w:pPr>
        <w:pStyle w:val="32"/>
        <w:spacing w:beforeAutospacing="0" w:afterAutospacing="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 行数不够，可自行添加。</w:t>
      </w:r>
    </w:p>
    <w:p w14:paraId="0D298D07">
      <w:pPr>
        <w:widowControl/>
        <w:shd w:val="clear" w:color="auto" w:fill="FFFFFF"/>
        <w:spacing w:line="360" w:lineRule="atLeast"/>
        <w:ind w:firstLine="2520"/>
        <w:jc w:val="right"/>
        <w:rPr>
          <w:rFonts w:ascii="宋体" w:hAnsi="宋体"/>
          <w:color w:val="000000" w:themeColor="text1"/>
          <w:sz w:val="24"/>
          <w:szCs w:val="21"/>
          <w14:textFill>
            <w14:solidFill>
              <w14:schemeClr w14:val="tx1"/>
            </w14:solidFill>
          </w14:textFill>
        </w:rPr>
      </w:pPr>
    </w:p>
    <w:p w14:paraId="100AD22D">
      <w:pPr>
        <w:widowControl/>
        <w:shd w:val="clear" w:color="auto" w:fill="FFFFFF"/>
        <w:spacing w:line="360" w:lineRule="atLeast"/>
        <w:ind w:firstLine="2520"/>
        <w:jc w:val="right"/>
        <w:rPr>
          <w:rFonts w:ascii="宋体" w:hAnsi="宋体"/>
          <w:color w:val="000000" w:themeColor="text1"/>
          <w:sz w:val="24"/>
          <w:szCs w:val="21"/>
          <w14:textFill>
            <w14:solidFill>
              <w14:schemeClr w14:val="tx1"/>
            </w14:solidFill>
          </w14:textFill>
        </w:rPr>
      </w:pPr>
    </w:p>
    <w:p w14:paraId="42861C1B">
      <w:pPr>
        <w:widowControl/>
        <w:shd w:val="clear" w:color="auto" w:fill="FFFFFF"/>
        <w:spacing w:line="360" w:lineRule="atLeast"/>
        <w:ind w:firstLine="2520"/>
        <w:jc w:val="right"/>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供应商全称（加盖CA电子公章）</w:t>
      </w:r>
      <w:r>
        <w:rPr>
          <w:rFonts w:hint="eastAsia" w:ascii="宋体" w:hAnsi="宋体"/>
          <w:color w:val="000000" w:themeColor="text1"/>
          <w:sz w:val="28"/>
          <w:szCs w:val="28"/>
          <w:shd w:val="clear" w:color="auto" w:fill="FFFFFF"/>
          <w14:textFill>
            <w14:solidFill>
              <w14:schemeClr w14:val="tx1"/>
            </w14:solidFill>
          </w14:textFill>
        </w:rPr>
        <w:t>：</w:t>
      </w:r>
    </w:p>
    <w:p w14:paraId="24734D43">
      <w:pPr>
        <w:widowControl/>
        <w:shd w:val="clear" w:color="auto" w:fill="FFFFFF"/>
        <w:spacing w:line="360" w:lineRule="atLeast"/>
        <w:ind w:firstLine="2520"/>
        <w:jc w:val="center"/>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日期：</w:t>
      </w:r>
    </w:p>
    <w:p w14:paraId="1FB002ED">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p w14:paraId="18BD83C0">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7FEDCB1F">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47C9BA51">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4B3790D4">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2954CC0C">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45577C86">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126B6847">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7E9E9D6F">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01BDAA58">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0A6C5D6F">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15ABDBFE">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32C9C329">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104421DB">
      <w:pPr>
        <w:pStyle w:val="32"/>
        <w:spacing w:beforeAutospacing="0" w:afterAutospacing="0"/>
        <w:jc w:val="center"/>
        <w:rPr>
          <w:rFonts w:hint="eastAsia" w:ascii="黑体" w:hAnsi="宋体" w:eastAsia="黑体" w:cs="黑体"/>
          <w:b/>
          <w:color w:val="000000" w:themeColor="text1"/>
          <w:sz w:val="32"/>
          <w:szCs w:val="32"/>
          <w14:textFill>
            <w14:solidFill>
              <w14:schemeClr w14:val="tx1"/>
            </w14:solidFill>
          </w14:textFill>
        </w:rPr>
      </w:pPr>
    </w:p>
    <w:p w14:paraId="71701654">
      <w:pPr>
        <w:pStyle w:val="32"/>
        <w:spacing w:beforeAutospacing="0" w:afterAutospacing="0"/>
        <w:jc w:val="center"/>
        <w:rPr>
          <w:color w:val="000000" w:themeColor="text1"/>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t>十</w:t>
      </w:r>
      <w:r>
        <w:rPr>
          <w:rFonts w:hint="eastAsia" w:ascii="黑体" w:hAnsi="宋体" w:eastAsia="黑体" w:cs="黑体"/>
          <w:b/>
          <w:color w:val="000000" w:themeColor="text1"/>
          <w:sz w:val="32"/>
          <w:szCs w:val="32"/>
          <w:lang w:val="en-US" w:eastAsia="zh-CN"/>
          <w14:textFill>
            <w14:solidFill>
              <w14:schemeClr w14:val="tx1"/>
            </w14:solidFill>
          </w14:textFill>
        </w:rPr>
        <w:t>四</w:t>
      </w:r>
      <w:r>
        <w:rPr>
          <w:rFonts w:hint="eastAsia" w:ascii="黑体" w:hAnsi="宋体" w:eastAsia="黑体" w:cs="黑体"/>
          <w:b/>
          <w:color w:val="000000" w:themeColor="text1"/>
          <w:sz w:val="32"/>
          <w:szCs w:val="32"/>
          <w14:textFill>
            <w14:solidFill>
              <w14:schemeClr w14:val="tx1"/>
            </w14:solidFill>
          </w14:textFill>
        </w:rPr>
        <w:t>、商务要求响应及偏离表</w:t>
      </w:r>
    </w:p>
    <w:tbl>
      <w:tblPr>
        <w:tblStyle w:val="36"/>
        <w:tblW w:w="9178" w:type="dxa"/>
        <w:tblCellSpacing w:w="0" w:type="dxa"/>
        <w:tblInd w:w="10" w:type="dxa"/>
        <w:tblLayout w:type="fixed"/>
        <w:tblCellMar>
          <w:top w:w="0" w:type="dxa"/>
          <w:left w:w="108" w:type="dxa"/>
          <w:bottom w:w="0" w:type="dxa"/>
          <w:right w:w="108" w:type="dxa"/>
        </w:tblCellMar>
      </w:tblPr>
      <w:tblGrid>
        <w:gridCol w:w="579"/>
        <w:gridCol w:w="3260"/>
        <w:gridCol w:w="2810"/>
        <w:gridCol w:w="1343"/>
        <w:gridCol w:w="1186"/>
      </w:tblGrid>
      <w:tr w14:paraId="6A0B4DBA">
        <w:tblPrEx>
          <w:tblCellMar>
            <w:top w:w="0" w:type="dxa"/>
            <w:left w:w="108" w:type="dxa"/>
            <w:bottom w:w="0" w:type="dxa"/>
            <w:right w:w="108" w:type="dxa"/>
          </w:tblCellMar>
        </w:tblPrEx>
        <w:trPr>
          <w:trHeight w:val="641" w:hRule="atLeast"/>
          <w:tblCellSpacing w:w="0" w:type="dxa"/>
        </w:trPr>
        <w:tc>
          <w:tcPr>
            <w:tcW w:w="5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3EF446">
            <w:pPr>
              <w:pStyle w:val="32"/>
              <w:spacing w:beforeAutospacing="0" w:afterAutospacing="0"/>
              <w:jc w:val="center"/>
              <w:rPr>
                <w:color w:val="000000" w:themeColor="text1"/>
                <w14:textFill>
                  <w14:solidFill>
                    <w14:schemeClr w14:val="tx1"/>
                  </w14:solidFill>
                </w14:textFill>
              </w:rPr>
            </w:pPr>
            <w:bookmarkStart w:id="146" w:name="_Hlt26671343"/>
            <w:bookmarkStart w:id="147" w:name="_Hlt26955056"/>
            <w:bookmarkStart w:id="148" w:name="_Hlt26580838"/>
            <w:bookmarkStart w:id="149" w:name="_Hlt26671372"/>
            <w:bookmarkStart w:id="150" w:name="_Hlt26609391"/>
            <w:bookmarkStart w:id="151" w:name="_Hlt24879081"/>
            <w:bookmarkStart w:id="152" w:name="_Hlt26955064"/>
            <w:bookmarkStart w:id="153" w:name="_Hlt26782999"/>
            <w:r>
              <w:rPr>
                <w:rFonts w:hint="eastAsia" w:ascii="宋体" w:hAnsi="宋体" w:eastAsia="宋体" w:cs="宋体"/>
                <w:color w:val="000000" w:themeColor="text1"/>
                <w14:textFill>
                  <w14:solidFill>
                    <w14:schemeClr w14:val="tx1"/>
                  </w14:solidFill>
                </w14:textFill>
              </w:rPr>
              <w:t>序号</w:t>
            </w:r>
            <w:bookmarkEnd w:id="146"/>
            <w:bookmarkEnd w:id="147"/>
            <w:bookmarkEnd w:id="148"/>
            <w:bookmarkEnd w:id="149"/>
            <w:bookmarkEnd w:id="150"/>
            <w:bookmarkEnd w:id="151"/>
            <w:bookmarkEnd w:id="152"/>
            <w:bookmarkEnd w:id="153"/>
          </w:p>
        </w:tc>
        <w:tc>
          <w:tcPr>
            <w:tcW w:w="32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50701">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磋商文件要求</w:t>
            </w:r>
          </w:p>
        </w:tc>
        <w:tc>
          <w:tcPr>
            <w:tcW w:w="2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C5E70">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响应情况</w:t>
            </w:r>
          </w:p>
        </w:tc>
        <w:tc>
          <w:tcPr>
            <w:tcW w:w="13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8859B3">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超出、符合或偏离</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44ABB">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证明</w:t>
            </w:r>
          </w:p>
          <w:p w14:paraId="756107AE">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材料</w:t>
            </w:r>
          </w:p>
        </w:tc>
      </w:tr>
      <w:tr w14:paraId="12B48D6C">
        <w:tblPrEx>
          <w:tblCellMar>
            <w:top w:w="0" w:type="dxa"/>
            <w:left w:w="108" w:type="dxa"/>
            <w:bottom w:w="0" w:type="dxa"/>
            <w:right w:w="108" w:type="dxa"/>
          </w:tblCellMar>
        </w:tblPrEx>
        <w:trPr>
          <w:trHeight w:val="659" w:hRule="atLeast"/>
          <w:tblCellSpacing w:w="0" w:type="dxa"/>
        </w:trPr>
        <w:tc>
          <w:tcPr>
            <w:tcW w:w="5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B057E8">
            <w:pPr>
              <w:pStyle w:val="32"/>
              <w:spacing w:beforeAutospacing="0" w:afterAutospacing="0"/>
              <w:jc w:val="center"/>
              <w:rPr>
                <w:rFonts w:eastAsia="宋体"/>
                <w:color w:val="000000" w:themeColor="text1"/>
                <w14:textFill>
                  <w14:solidFill>
                    <w14:schemeClr w14:val="tx1"/>
                  </w14:solidFill>
                </w14:textFill>
              </w:rPr>
            </w:pPr>
          </w:p>
        </w:tc>
        <w:tc>
          <w:tcPr>
            <w:tcW w:w="32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D19A12">
            <w:pPr>
              <w:spacing w:before="156" w:line="360" w:lineRule="auto"/>
              <w:jc w:val="center"/>
              <w:rPr>
                <w:rFonts w:ascii="Times New Roman" w:hAnsi="Times New Roman"/>
                <w:color w:val="000000" w:themeColor="text1"/>
                <w:szCs w:val="21"/>
                <w14:textFill>
                  <w14:solidFill>
                    <w14:schemeClr w14:val="tx1"/>
                  </w14:solidFill>
                </w14:textFill>
              </w:rPr>
            </w:pPr>
          </w:p>
        </w:tc>
        <w:tc>
          <w:tcPr>
            <w:tcW w:w="2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CC186C">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FD5140">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0335BE">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3C2A4D36">
        <w:tblPrEx>
          <w:tblCellMar>
            <w:top w:w="0" w:type="dxa"/>
            <w:left w:w="108" w:type="dxa"/>
            <w:bottom w:w="0" w:type="dxa"/>
            <w:right w:w="108" w:type="dxa"/>
          </w:tblCellMar>
        </w:tblPrEx>
        <w:trPr>
          <w:trHeight w:val="659" w:hRule="atLeast"/>
          <w:tblCellSpacing w:w="0" w:type="dxa"/>
        </w:trPr>
        <w:tc>
          <w:tcPr>
            <w:tcW w:w="5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5079F8">
            <w:pPr>
              <w:pStyle w:val="32"/>
              <w:spacing w:beforeAutospacing="0" w:afterAutospacing="0"/>
              <w:jc w:val="center"/>
              <w:rPr>
                <w:color w:val="000000" w:themeColor="text1"/>
                <w14:textFill>
                  <w14:solidFill>
                    <w14:schemeClr w14:val="tx1"/>
                  </w14:solidFill>
                </w14:textFill>
              </w:rPr>
            </w:pPr>
          </w:p>
        </w:tc>
        <w:tc>
          <w:tcPr>
            <w:tcW w:w="32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14F4C6">
            <w:pPr>
              <w:spacing w:before="156" w:line="360" w:lineRule="auto"/>
              <w:jc w:val="center"/>
              <w:rPr>
                <w:rFonts w:ascii="Times New Roman" w:hAnsi="Times New Roman" w:eastAsia="宋体"/>
                <w:color w:val="000000" w:themeColor="text1"/>
                <w:szCs w:val="21"/>
                <w14:textFill>
                  <w14:solidFill>
                    <w14:schemeClr w14:val="tx1"/>
                  </w14:solidFill>
                </w14:textFill>
              </w:rPr>
            </w:pPr>
          </w:p>
        </w:tc>
        <w:tc>
          <w:tcPr>
            <w:tcW w:w="2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E3C73A">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871676">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63608">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0C68C022">
        <w:tblPrEx>
          <w:tblCellMar>
            <w:top w:w="0" w:type="dxa"/>
            <w:left w:w="108" w:type="dxa"/>
            <w:bottom w:w="0" w:type="dxa"/>
            <w:right w:w="108" w:type="dxa"/>
          </w:tblCellMar>
        </w:tblPrEx>
        <w:trPr>
          <w:trHeight w:val="659" w:hRule="atLeast"/>
          <w:tblCellSpacing w:w="0" w:type="dxa"/>
        </w:trPr>
        <w:tc>
          <w:tcPr>
            <w:tcW w:w="5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D37A35">
            <w:pPr>
              <w:pStyle w:val="32"/>
              <w:spacing w:beforeAutospacing="0" w:afterAutospacing="0"/>
              <w:jc w:val="center"/>
              <w:rPr>
                <w:rFonts w:eastAsia="宋体"/>
                <w:color w:val="000000" w:themeColor="text1"/>
                <w14:textFill>
                  <w14:solidFill>
                    <w14:schemeClr w14:val="tx1"/>
                  </w14:solidFill>
                </w14:textFill>
              </w:rPr>
            </w:pPr>
          </w:p>
        </w:tc>
        <w:tc>
          <w:tcPr>
            <w:tcW w:w="32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997CB5">
            <w:pPr>
              <w:spacing w:before="156" w:line="360" w:lineRule="auto"/>
              <w:jc w:val="center"/>
              <w:rPr>
                <w:rFonts w:ascii="Times New Roman" w:hAnsi="Times New Roman"/>
                <w:color w:val="000000" w:themeColor="text1"/>
                <w:szCs w:val="21"/>
                <w14:textFill>
                  <w14:solidFill>
                    <w14:schemeClr w14:val="tx1"/>
                  </w14:solidFill>
                </w14:textFill>
              </w:rPr>
            </w:pPr>
          </w:p>
        </w:tc>
        <w:tc>
          <w:tcPr>
            <w:tcW w:w="2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AED04A">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32374">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6A90A">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5A4A8693">
        <w:tblPrEx>
          <w:tblCellMar>
            <w:top w:w="0" w:type="dxa"/>
            <w:left w:w="108" w:type="dxa"/>
            <w:bottom w:w="0" w:type="dxa"/>
            <w:right w:w="108" w:type="dxa"/>
          </w:tblCellMar>
        </w:tblPrEx>
        <w:trPr>
          <w:trHeight w:val="659" w:hRule="atLeast"/>
          <w:tblCellSpacing w:w="0" w:type="dxa"/>
        </w:trPr>
        <w:tc>
          <w:tcPr>
            <w:tcW w:w="5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49EE7B">
            <w:pPr>
              <w:pStyle w:val="32"/>
              <w:spacing w:beforeAutospacing="0" w:afterAutospacing="0"/>
              <w:jc w:val="center"/>
              <w:rPr>
                <w:rFonts w:eastAsia="宋体"/>
                <w:color w:val="000000" w:themeColor="text1"/>
                <w14:textFill>
                  <w14:solidFill>
                    <w14:schemeClr w14:val="tx1"/>
                  </w14:solidFill>
                </w14:textFill>
              </w:rPr>
            </w:pPr>
          </w:p>
        </w:tc>
        <w:tc>
          <w:tcPr>
            <w:tcW w:w="32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CAF1C4">
            <w:pPr>
              <w:spacing w:before="156" w:line="360" w:lineRule="auto"/>
              <w:jc w:val="center"/>
              <w:rPr>
                <w:rFonts w:ascii="Times New Roman" w:hAnsi="Times New Roman"/>
                <w:color w:val="000000" w:themeColor="text1"/>
                <w:szCs w:val="21"/>
                <w14:textFill>
                  <w14:solidFill>
                    <w14:schemeClr w14:val="tx1"/>
                  </w14:solidFill>
                </w14:textFill>
              </w:rPr>
            </w:pPr>
          </w:p>
        </w:tc>
        <w:tc>
          <w:tcPr>
            <w:tcW w:w="2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D19BD5">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29B5B3">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DDC6BB">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2FF3DEB6">
        <w:tblPrEx>
          <w:tblCellMar>
            <w:top w:w="0" w:type="dxa"/>
            <w:left w:w="108" w:type="dxa"/>
            <w:bottom w:w="0" w:type="dxa"/>
            <w:right w:w="108" w:type="dxa"/>
          </w:tblCellMar>
        </w:tblPrEx>
        <w:trPr>
          <w:trHeight w:val="659" w:hRule="atLeast"/>
          <w:tblCellSpacing w:w="0" w:type="dxa"/>
        </w:trPr>
        <w:tc>
          <w:tcPr>
            <w:tcW w:w="5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77C5C">
            <w:pPr>
              <w:pStyle w:val="32"/>
              <w:spacing w:beforeAutospacing="0" w:afterAutospacing="0"/>
              <w:jc w:val="center"/>
              <w:rPr>
                <w:color w:val="000000" w:themeColor="text1"/>
                <w14:textFill>
                  <w14:solidFill>
                    <w14:schemeClr w14:val="tx1"/>
                  </w14:solidFill>
                </w14:textFill>
              </w:rPr>
            </w:pPr>
          </w:p>
        </w:tc>
        <w:tc>
          <w:tcPr>
            <w:tcW w:w="32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80D87D">
            <w:pPr>
              <w:pStyle w:val="32"/>
              <w:spacing w:beforeAutospacing="0" w:afterAutospacing="0"/>
              <w:jc w:val="center"/>
              <w:rPr>
                <w:rFonts w:eastAsia="宋体"/>
                <w:color w:val="000000" w:themeColor="text1"/>
                <w14:textFill>
                  <w14:solidFill>
                    <w14:schemeClr w14:val="tx1"/>
                  </w14:solidFill>
                </w14:textFill>
              </w:rPr>
            </w:pPr>
          </w:p>
        </w:tc>
        <w:tc>
          <w:tcPr>
            <w:tcW w:w="2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E027B8">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4F4D0E">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26D2EA">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762F5593">
        <w:tblPrEx>
          <w:tblCellMar>
            <w:top w:w="0" w:type="dxa"/>
            <w:left w:w="108" w:type="dxa"/>
            <w:bottom w:w="0" w:type="dxa"/>
            <w:right w:w="108" w:type="dxa"/>
          </w:tblCellMar>
        </w:tblPrEx>
        <w:trPr>
          <w:trHeight w:val="659" w:hRule="atLeast"/>
          <w:tblCellSpacing w:w="0" w:type="dxa"/>
        </w:trPr>
        <w:tc>
          <w:tcPr>
            <w:tcW w:w="5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A3AD98">
            <w:pPr>
              <w:pStyle w:val="32"/>
              <w:spacing w:beforeAutospacing="0" w:afterAutospacing="0"/>
              <w:jc w:val="center"/>
              <w:rPr>
                <w:color w:val="000000" w:themeColor="text1"/>
                <w14:textFill>
                  <w14:solidFill>
                    <w14:schemeClr w14:val="tx1"/>
                  </w14:solidFill>
                </w14:textFill>
              </w:rPr>
            </w:pPr>
          </w:p>
        </w:tc>
        <w:tc>
          <w:tcPr>
            <w:tcW w:w="32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83A2D">
            <w:pPr>
              <w:pStyle w:val="32"/>
              <w:spacing w:beforeAutospacing="0" w:afterAutospacing="0"/>
              <w:jc w:val="center"/>
              <w:rPr>
                <w:color w:val="000000" w:themeColor="text1"/>
                <w14:textFill>
                  <w14:solidFill>
                    <w14:schemeClr w14:val="tx1"/>
                  </w14:solidFill>
                </w14:textFill>
              </w:rPr>
            </w:pPr>
          </w:p>
        </w:tc>
        <w:tc>
          <w:tcPr>
            <w:tcW w:w="2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98039D">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30673A">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BF7DB">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0E33F316">
        <w:tblPrEx>
          <w:tblCellMar>
            <w:top w:w="0" w:type="dxa"/>
            <w:left w:w="108" w:type="dxa"/>
            <w:bottom w:w="0" w:type="dxa"/>
            <w:right w:w="108" w:type="dxa"/>
          </w:tblCellMar>
        </w:tblPrEx>
        <w:trPr>
          <w:trHeight w:val="659" w:hRule="atLeast"/>
          <w:tblCellSpacing w:w="0" w:type="dxa"/>
        </w:trPr>
        <w:tc>
          <w:tcPr>
            <w:tcW w:w="5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C10506">
            <w:pPr>
              <w:pStyle w:val="32"/>
              <w:spacing w:beforeAutospacing="0" w:afterAutospacing="0"/>
              <w:jc w:val="center"/>
              <w:rPr>
                <w:color w:val="000000" w:themeColor="text1"/>
                <w14:textFill>
                  <w14:solidFill>
                    <w14:schemeClr w14:val="tx1"/>
                  </w14:solidFill>
                </w14:textFill>
              </w:rPr>
            </w:pPr>
          </w:p>
        </w:tc>
        <w:tc>
          <w:tcPr>
            <w:tcW w:w="32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624F7">
            <w:pPr>
              <w:pStyle w:val="32"/>
              <w:spacing w:beforeAutospacing="0" w:afterAutospacing="0"/>
              <w:jc w:val="center"/>
              <w:rPr>
                <w:color w:val="000000" w:themeColor="text1"/>
                <w14:textFill>
                  <w14:solidFill>
                    <w14:schemeClr w14:val="tx1"/>
                  </w14:solidFill>
                </w14:textFill>
              </w:rPr>
            </w:pPr>
          </w:p>
        </w:tc>
        <w:tc>
          <w:tcPr>
            <w:tcW w:w="2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D43207">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7E47CE">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787C0E">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r w14:paraId="04B59825">
        <w:tblPrEx>
          <w:tblCellMar>
            <w:top w:w="0" w:type="dxa"/>
            <w:left w:w="108" w:type="dxa"/>
            <w:bottom w:w="0" w:type="dxa"/>
            <w:right w:w="108" w:type="dxa"/>
          </w:tblCellMar>
        </w:tblPrEx>
        <w:trPr>
          <w:trHeight w:val="659" w:hRule="atLeast"/>
          <w:tblCellSpacing w:w="0" w:type="dxa"/>
        </w:trPr>
        <w:tc>
          <w:tcPr>
            <w:tcW w:w="5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B18246">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32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A17159">
            <w:pPr>
              <w:pStyle w:val="32"/>
              <w:spacing w:beforeAutospacing="0" w:afterAutospacing="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tc>
        <w:tc>
          <w:tcPr>
            <w:tcW w:w="28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68B59">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3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F6593B">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8E2CD">
            <w:pPr>
              <w:pStyle w:val="32"/>
              <w:spacing w:beforeAutospacing="0" w:afterAutospacing="0"/>
              <w:jc w:val="center"/>
              <w:rPr>
                <w:color w:val="000000" w:themeColor="text1"/>
                <w14:textFill>
                  <w14:solidFill>
                    <w14:schemeClr w14:val="tx1"/>
                  </w14:solidFill>
                </w14:textFill>
              </w:rPr>
            </w:pPr>
            <w:r>
              <w:rPr>
                <w:color w:val="000000" w:themeColor="text1"/>
                <w14:textFill>
                  <w14:solidFill>
                    <w14:schemeClr w14:val="tx1"/>
                  </w14:solidFill>
                </w14:textFill>
              </w:rPr>
              <w:t> </w:t>
            </w:r>
          </w:p>
        </w:tc>
      </w:tr>
    </w:tbl>
    <w:p w14:paraId="25877AB3">
      <w:pPr>
        <w:pStyle w:val="32"/>
        <w:spacing w:beforeAutospacing="0" w:afterAutospacing="0"/>
        <w:jc w:val="both"/>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 行数不够，可自行添加。</w:t>
      </w:r>
    </w:p>
    <w:p w14:paraId="51DDB764">
      <w:pPr>
        <w:widowControl/>
        <w:shd w:val="clear" w:color="auto" w:fill="FFFFFF"/>
        <w:spacing w:line="360" w:lineRule="atLeast"/>
        <w:ind w:firstLine="2520"/>
        <w:jc w:val="right"/>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供应商全称（加盖CA电子公章）</w:t>
      </w:r>
      <w:r>
        <w:rPr>
          <w:rFonts w:hint="eastAsia" w:ascii="宋体" w:hAnsi="宋体"/>
          <w:color w:val="000000" w:themeColor="text1"/>
          <w:sz w:val="28"/>
          <w:szCs w:val="28"/>
          <w:shd w:val="clear" w:color="auto" w:fill="FFFFFF"/>
          <w14:textFill>
            <w14:solidFill>
              <w14:schemeClr w14:val="tx1"/>
            </w14:solidFill>
          </w14:textFill>
        </w:rPr>
        <w:t>：</w:t>
      </w:r>
    </w:p>
    <w:p w14:paraId="3BF8DDB7">
      <w:pPr>
        <w:widowControl/>
        <w:shd w:val="clear" w:color="auto" w:fill="FFFFFF"/>
        <w:spacing w:line="360" w:lineRule="atLeast"/>
        <w:ind w:firstLine="2520"/>
        <w:jc w:val="center"/>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日期：</w:t>
      </w:r>
    </w:p>
    <w:p w14:paraId="49FD77C0">
      <w:pPr>
        <w:jc w:val="center"/>
        <w:rPr>
          <w:rFonts w:hint="eastAsia" w:ascii="黑体" w:hAnsi="黑体" w:eastAsia="黑体"/>
          <w:b/>
          <w:color w:val="000000" w:themeColor="text1"/>
          <w:sz w:val="32"/>
          <w:szCs w:val="32"/>
          <w14:textFill>
            <w14:solidFill>
              <w14:schemeClr w14:val="tx1"/>
            </w14:solidFill>
          </w14:textFill>
        </w:rPr>
      </w:pPr>
    </w:p>
    <w:p w14:paraId="226F2BA4">
      <w:pPr>
        <w:jc w:val="center"/>
        <w:rPr>
          <w:rFonts w:hint="eastAsia" w:ascii="黑体" w:hAnsi="黑体" w:eastAsia="黑体"/>
          <w:b/>
          <w:color w:val="000000" w:themeColor="text1"/>
          <w:sz w:val="32"/>
          <w:szCs w:val="32"/>
          <w14:textFill>
            <w14:solidFill>
              <w14:schemeClr w14:val="tx1"/>
            </w14:solidFill>
          </w14:textFill>
        </w:rPr>
      </w:pPr>
    </w:p>
    <w:p w14:paraId="429AD617">
      <w:pPr>
        <w:jc w:val="center"/>
        <w:rPr>
          <w:rFonts w:hint="eastAsia" w:ascii="黑体" w:hAnsi="黑体" w:eastAsia="黑体"/>
          <w:b/>
          <w:color w:val="000000" w:themeColor="text1"/>
          <w:sz w:val="32"/>
          <w:szCs w:val="32"/>
          <w14:textFill>
            <w14:solidFill>
              <w14:schemeClr w14:val="tx1"/>
            </w14:solidFill>
          </w14:textFill>
        </w:rPr>
      </w:pPr>
    </w:p>
    <w:p w14:paraId="1F721A1A">
      <w:pPr>
        <w:jc w:val="center"/>
        <w:rPr>
          <w:rFonts w:hint="eastAsia" w:ascii="黑体" w:hAnsi="黑体" w:eastAsia="黑体"/>
          <w:b/>
          <w:color w:val="000000" w:themeColor="text1"/>
          <w:sz w:val="32"/>
          <w:szCs w:val="32"/>
          <w14:textFill>
            <w14:solidFill>
              <w14:schemeClr w14:val="tx1"/>
            </w14:solidFill>
          </w14:textFill>
        </w:rPr>
      </w:pPr>
    </w:p>
    <w:p w14:paraId="45743130">
      <w:pPr>
        <w:jc w:val="center"/>
        <w:rPr>
          <w:rFonts w:hint="eastAsia" w:ascii="黑体" w:hAnsi="黑体" w:eastAsia="黑体"/>
          <w:b/>
          <w:color w:val="000000" w:themeColor="text1"/>
          <w:sz w:val="32"/>
          <w:szCs w:val="32"/>
          <w14:textFill>
            <w14:solidFill>
              <w14:schemeClr w14:val="tx1"/>
            </w14:solidFill>
          </w14:textFill>
        </w:rPr>
      </w:pPr>
    </w:p>
    <w:p w14:paraId="0AA408D9">
      <w:pPr>
        <w:jc w:val="center"/>
        <w:rPr>
          <w:rFonts w:hint="eastAsia" w:ascii="黑体" w:hAnsi="黑体" w:eastAsia="黑体"/>
          <w:b/>
          <w:color w:val="000000" w:themeColor="text1"/>
          <w:sz w:val="32"/>
          <w:szCs w:val="32"/>
          <w14:textFill>
            <w14:solidFill>
              <w14:schemeClr w14:val="tx1"/>
            </w14:solidFill>
          </w14:textFill>
        </w:rPr>
      </w:pPr>
    </w:p>
    <w:p w14:paraId="3310690F">
      <w:pPr>
        <w:jc w:val="center"/>
        <w:rPr>
          <w:rFonts w:hint="eastAsia" w:ascii="黑体" w:hAnsi="黑体" w:eastAsia="黑体"/>
          <w:b/>
          <w:color w:val="000000" w:themeColor="text1"/>
          <w:sz w:val="32"/>
          <w:szCs w:val="32"/>
          <w14:textFill>
            <w14:solidFill>
              <w14:schemeClr w14:val="tx1"/>
            </w14:solidFill>
          </w14:textFill>
        </w:rPr>
      </w:pPr>
    </w:p>
    <w:p w14:paraId="1DA88D81">
      <w:pPr>
        <w:jc w:val="center"/>
        <w:rPr>
          <w:rFonts w:hint="eastAsia" w:ascii="黑体" w:hAnsi="黑体" w:eastAsia="黑体"/>
          <w:b/>
          <w:color w:val="000000" w:themeColor="text1"/>
          <w:sz w:val="32"/>
          <w:szCs w:val="32"/>
          <w14:textFill>
            <w14:solidFill>
              <w14:schemeClr w14:val="tx1"/>
            </w14:solidFill>
          </w14:textFill>
        </w:rPr>
      </w:pPr>
    </w:p>
    <w:p w14:paraId="1981261E">
      <w:pPr>
        <w:jc w:val="center"/>
        <w:rPr>
          <w:rFonts w:hint="eastAsia" w:ascii="黑体" w:hAnsi="黑体" w:eastAsia="黑体"/>
          <w:b/>
          <w:color w:val="000000" w:themeColor="text1"/>
          <w:sz w:val="32"/>
          <w:szCs w:val="32"/>
          <w14:textFill>
            <w14:solidFill>
              <w14:schemeClr w14:val="tx1"/>
            </w14:solidFill>
          </w14:textFill>
        </w:rPr>
      </w:pPr>
    </w:p>
    <w:p w14:paraId="31BCB11E">
      <w:pPr>
        <w:jc w:val="center"/>
        <w:rPr>
          <w:rFonts w:hint="eastAsia" w:ascii="黑体" w:hAnsi="黑体" w:eastAsia="黑体"/>
          <w:b/>
          <w:color w:val="000000" w:themeColor="text1"/>
          <w:sz w:val="32"/>
          <w:szCs w:val="32"/>
          <w14:textFill>
            <w14:solidFill>
              <w14:schemeClr w14:val="tx1"/>
            </w14:solidFill>
          </w14:textFill>
        </w:rPr>
      </w:pPr>
    </w:p>
    <w:p w14:paraId="3F21E695">
      <w:pPr>
        <w:jc w:val="center"/>
        <w:rPr>
          <w:rFonts w:hint="eastAsia" w:ascii="黑体" w:hAnsi="黑体" w:eastAsia="黑体"/>
          <w:b/>
          <w:color w:val="000000" w:themeColor="text1"/>
          <w:sz w:val="32"/>
          <w:szCs w:val="32"/>
          <w14:textFill>
            <w14:solidFill>
              <w14:schemeClr w14:val="tx1"/>
            </w14:solidFill>
          </w14:textFill>
        </w:rPr>
      </w:pPr>
    </w:p>
    <w:p w14:paraId="28327BC2">
      <w:pPr>
        <w:jc w:val="center"/>
        <w:rPr>
          <w:rFonts w:hint="eastAsia" w:ascii="黑体" w:hAnsi="黑体" w:eastAsia="黑体"/>
          <w:b/>
          <w:color w:val="000000" w:themeColor="text1"/>
          <w:sz w:val="32"/>
          <w:szCs w:val="32"/>
          <w14:textFill>
            <w14:solidFill>
              <w14:schemeClr w14:val="tx1"/>
            </w14:solidFill>
          </w14:textFill>
        </w:rPr>
      </w:pPr>
    </w:p>
    <w:p w14:paraId="67C59AAB">
      <w:pPr>
        <w:jc w:val="center"/>
        <w:rPr>
          <w:rFonts w:hint="eastAsia" w:ascii="黑体" w:hAnsi="黑体" w:eastAsia="黑体"/>
          <w:b/>
          <w:color w:val="000000" w:themeColor="text1"/>
          <w:sz w:val="32"/>
          <w:szCs w:val="32"/>
          <w14:textFill>
            <w14:solidFill>
              <w14:schemeClr w14:val="tx1"/>
            </w14:solidFill>
          </w14:textFill>
        </w:rPr>
      </w:pPr>
    </w:p>
    <w:p w14:paraId="1A00BBB7">
      <w:pPr>
        <w:jc w:val="center"/>
        <w:rPr>
          <w:rFonts w:hint="eastAsia" w:ascii="黑体" w:hAnsi="黑体" w:eastAsia="黑体"/>
          <w:b/>
          <w:color w:val="000000" w:themeColor="text1"/>
          <w:sz w:val="32"/>
          <w:szCs w:val="32"/>
          <w14:textFill>
            <w14:solidFill>
              <w14:schemeClr w14:val="tx1"/>
            </w14:solidFill>
          </w14:textFill>
        </w:rPr>
      </w:pPr>
    </w:p>
    <w:p w14:paraId="25827299">
      <w:pPr>
        <w:jc w:val="both"/>
        <w:rPr>
          <w:rFonts w:hint="eastAsia" w:ascii="黑体" w:hAnsi="黑体" w:eastAsia="黑体"/>
          <w:b/>
          <w:color w:val="000000" w:themeColor="text1"/>
          <w:sz w:val="32"/>
          <w:szCs w:val="32"/>
          <w14:textFill>
            <w14:solidFill>
              <w14:schemeClr w14:val="tx1"/>
            </w14:solidFill>
          </w14:textFill>
        </w:rPr>
      </w:pPr>
    </w:p>
    <w:p w14:paraId="1430AF55">
      <w:pPr>
        <w:jc w:val="center"/>
        <w:rPr>
          <w:rFonts w:hint="eastAsia" w:ascii="仿宋" w:hAnsi="仿宋" w:eastAsia="仿宋"/>
          <w:color w:val="000000" w:themeColor="text1"/>
          <w:sz w:val="28"/>
          <w:szCs w:val="28"/>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十</w:t>
      </w:r>
      <w:r>
        <w:rPr>
          <w:rFonts w:hint="eastAsia" w:ascii="黑体" w:hAnsi="黑体" w:eastAsia="黑体"/>
          <w:b/>
          <w:color w:val="000000" w:themeColor="text1"/>
          <w:sz w:val="32"/>
          <w:szCs w:val="32"/>
          <w:lang w:val="en-US" w:eastAsia="zh-CN"/>
          <w14:textFill>
            <w14:solidFill>
              <w14:schemeClr w14:val="tx1"/>
            </w14:solidFill>
          </w14:textFill>
        </w:rPr>
        <w:t>五</w:t>
      </w:r>
      <w:r>
        <w:rPr>
          <w:rFonts w:hint="eastAsia" w:ascii="黑体" w:hAnsi="黑体" w:eastAsia="黑体"/>
          <w:b/>
          <w:color w:val="000000" w:themeColor="text1"/>
          <w:sz w:val="32"/>
          <w:szCs w:val="32"/>
          <w14:textFill>
            <w14:solidFill>
              <w14:schemeClr w14:val="tx1"/>
            </w14:solidFill>
          </w14:textFill>
        </w:rPr>
        <w:t>、</w:t>
      </w:r>
      <w:r>
        <w:rPr>
          <w:rFonts w:hint="eastAsia" w:ascii="宋体" w:hAnsi="宋体" w:eastAsia="宋体" w:cs="宋体"/>
          <w:b/>
          <w:color w:val="000000" w:themeColor="text1"/>
          <w:sz w:val="32"/>
          <w:szCs w:val="32"/>
          <w:lang w:val="en-US" w:eastAsia="zh-CN"/>
          <w14:textFill>
            <w14:solidFill>
              <w14:schemeClr w14:val="tx1"/>
            </w14:solidFill>
          </w14:textFill>
        </w:rPr>
        <w:t>项目组成员</w:t>
      </w:r>
      <w:r>
        <w:rPr>
          <w:rFonts w:hint="eastAsia" w:ascii="宋体" w:hAnsi="宋体" w:eastAsia="宋体" w:cs="宋体"/>
          <w:b/>
          <w:color w:val="000000" w:themeColor="text1"/>
          <w:sz w:val="32"/>
          <w:szCs w:val="32"/>
          <w14:textFill>
            <w14:solidFill>
              <w14:schemeClr w14:val="tx1"/>
            </w14:solidFill>
          </w14:textFill>
        </w:rPr>
        <w:t>表</w:t>
      </w:r>
    </w:p>
    <w:p w14:paraId="133E7FF8">
      <w:pPr>
        <w:spacing w:line="440" w:lineRule="exact"/>
        <w:ind w:firstLine="2875"/>
        <w:rPr>
          <w:rFonts w:hint="eastAsia" w:ascii="仿宋" w:hAnsi="仿宋" w:eastAsia="仿宋"/>
          <w:b/>
          <w:color w:val="000000" w:themeColor="text1"/>
          <w:sz w:val="32"/>
          <w:szCs w:val="32"/>
          <w14:textFill>
            <w14:solidFill>
              <w14:schemeClr w14:val="tx1"/>
            </w14:solidFill>
          </w14:textFill>
        </w:rPr>
      </w:pPr>
    </w:p>
    <w:tbl>
      <w:tblPr>
        <w:tblStyle w:val="36"/>
        <w:tblW w:w="9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7"/>
        <w:gridCol w:w="1514"/>
        <w:gridCol w:w="953"/>
        <w:gridCol w:w="1076"/>
        <w:gridCol w:w="1215"/>
        <w:gridCol w:w="1007"/>
        <w:gridCol w:w="1604"/>
        <w:gridCol w:w="1399"/>
      </w:tblGrid>
      <w:tr w14:paraId="30FE5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57" w:type="dxa"/>
            <w:noWrap w:val="0"/>
            <w:vAlign w:val="center"/>
          </w:tcPr>
          <w:p w14:paraId="386EFA68">
            <w:pPr>
              <w:spacing w:line="52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序号</w:t>
            </w:r>
          </w:p>
        </w:tc>
        <w:tc>
          <w:tcPr>
            <w:tcW w:w="1514" w:type="dxa"/>
            <w:noWrap w:val="0"/>
          </w:tcPr>
          <w:p w14:paraId="489BF1FC">
            <w:pPr>
              <w:spacing w:line="52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姓名</w:t>
            </w:r>
          </w:p>
        </w:tc>
        <w:tc>
          <w:tcPr>
            <w:tcW w:w="953" w:type="dxa"/>
            <w:noWrap w:val="0"/>
          </w:tcPr>
          <w:p w14:paraId="47CAA091">
            <w:pPr>
              <w:spacing w:line="52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性别</w:t>
            </w:r>
          </w:p>
        </w:tc>
        <w:tc>
          <w:tcPr>
            <w:tcW w:w="1076" w:type="dxa"/>
            <w:noWrap w:val="0"/>
            <w:vAlign w:val="center"/>
          </w:tcPr>
          <w:p w14:paraId="6994A346">
            <w:pPr>
              <w:spacing w:line="52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年龄</w:t>
            </w:r>
          </w:p>
        </w:tc>
        <w:tc>
          <w:tcPr>
            <w:tcW w:w="1215" w:type="dxa"/>
            <w:noWrap w:val="0"/>
            <w:vAlign w:val="center"/>
          </w:tcPr>
          <w:p w14:paraId="4C3F1AB4">
            <w:pPr>
              <w:spacing w:line="520" w:lineRule="exact"/>
              <w:ind w:firstLine="14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学历</w:t>
            </w:r>
          </w:p>
        </w:tc>
        <w:tc>
          <w:tcPr>
            <w:tcW w:w="1007" w:type="dxa"/>
            <w:noWrap w:val="0"/>
            <w:vAlign w:val="center"/>
          </w:tcPr>
          <w:p w14:paraId="183F2EE2">
            <w:pPr>
              <w:spacing w:line="52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职称</w:t>
            </w:r>
          </w:p>
        </w:tc>
        <w:tc>
          <w:tcPr>
            <w:tcW w:w="1604" w:type="dxa"/>
            <w:noWrap w:val="0"/>
            <w:vAlign w:val="center"/>
          </w:tcPr>
          <w:p w14:paraId="28433B52">
            <w:pPr>
              <w:spacing w:line="52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相关证书</w:t>
            </w:r>
          </w:p>
        </w:tc>
        <w:tc>
          <w:tcPr>
            <w:tcW w:w="1399" w:type="dxa"/>
            <w:noWrap w:val="0"/>
            <w:vAlign w:val="center"/>
          </w:tcPr>
          <w:p w14:paraId="2CBA5529">
            <w:pPr>
              <w:spacing w:line="52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拟任岗位</w:t>
            </w:r>
          </w:p>
        </w:tc>
      </w:tr>
      <w:tr w14:paraId="456B7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757" w:type="dxa"/>
            <w:noWrap w:val="0"/>
          </w:tcPr>
          <w:p w14:paraId="43A0BA5F">
            <w:pPr>
              <w:spacing w:line="52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p>
        </w:tc>
        <w:tc>
          <w:tcPr>
            <w:tcW w:w="1514" w:type="dxa"/>
            <w:noWrap w:val="0"/>
          </w:tcPr>
          <w:p w14:paraId="05E23974">
            <w:pPr>
              <w:spacing w:line="52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项目负责人</w:t>
            </w:r>
          </w:p>
        </w:tc>
        <w:tc>
          <w:tcPr>
            <w:tcW w:w="953" w:type="dxa"/>
            <w:noWrap w:val="0"/>
          </w:tcPr>
          <w:p w14:paraId="01D137FC">
            <w:pPr>
              <w:spacing w:line="520" w:lineRule="exact"/>
              <w:rPr>
                <w:rFonts w:hint="eastAsia" w:ascii="宋体" w:hAnsi="宋体" w:eastAsia="宋体" w:cs="宋体"/>
                <w:color w:val="000000" w:themeColor="text1"/>
                <w:sz w:val="24"/>
                <w14:textFill>
                  <w14:solidFill>
                    <w14:schemeClr w14:val="tx1"/>
                  </w14:solidFill>
                </w14:textFill>
              </w:rPr>
            </w:pPr>
          </w:p>
        </w:tc>
        <w:tc>
          <w:tcPr>
            <w:tcW w:w="1076" w:type="dxa"/>
            <w:noWrap w:val="0"/>
          </w:tcPr>
          <w:p w14:paraId="220BE2BF">
            <w:pPr>
              <w:spacing w:line="520" w:lineRule="exact"/>
              <w:rPr>
                <w:rFonts w:hint="eastAsia" w:ascii="宋体" w:hAnsi="宋体" w:eastAsia="宋体" w:cs="宋体"/>
                <w:color w:val="000000" w:themeColor="text1"/>
                <w:sz w:val="24"/>
                <w14:textFill>
                  <w14:solidFill>
                    <w14:schemeClr w14:val="tx1"/>
                  </w14:solidFill>
                </w14:textFill>
              </w:rPr>
            </w:pPr>
          </w:p>
        </w:tc>
        <w:tc>
          <w:tcPr>
            <w:tcW w:w="1215" w:type="dxa"/>
            <w:noWrap w:val="0"/>
          </w:tcPr>
          <w:p w14:paraId="010286DE">
            <w:pPr>
              <w:spacing w:line="520" w:lineRule="exact"/>
              <w:rPr>
                <w:rFonts w:hint="eastAsia" w:ascii="宋体" w:hAnsi="宋体" w:eastAsia="宋体" w:cs="宋体"/>
                <w:color w:val="000000" w:themeColor="text1"/>
                <w:sz w:val="24"/>
                <w14:textFill>
                  <w14:solidFill>
                    <w14:schemeClr w14:val="tx1"/>
                  </w14:solidFill>
                </w14:textFill>
              </w:rPr>
            </w:pPr>
          </w:p>
        </w:tc>
        <w:tc>
          <w:tcPr>
            <w:tcW w:w="1007" w:type="dxa"/>
            <w:noWrap w:val="0"/>
          </w:tcPr>
          <w:p w14:paraId="0B506080">
            <w:pPr>
              <w:spacing w:line="520" w:lineRule="exact"/>
              <w:rPr>
                <w:rFonts w:hint="eastAsia" w:ascii="宋体" w:hAnsi="宋体" w:eastAsia="宋体" w:cs="宋体"/>
                <w:color w:val="000000" w:themeColor="text1"/>
                <w:sz w:val="24"/>
                <w14:textFill>
                  <w14:solidFill>
                    <w14:schemeClr w14:val="tx1"/>
                  </w14:solidFill>
                </w14:textFill>
              </w:rPr>
            </w:pPr>
          </w:p>
        </w:tc>
        <w:tc>
          <w:tcPr>
            <w:tcW w:w="1604" w:type="dxa"/>
            <w:noWrap w:val="0"/>
          </w:tcPr>
          <w:p w14:paraId="266A54C6">
            <w:pPr>
              <w:spacing w:line="520" w:lineRule="exact"/>
              <w:rPr>
                <w:rFonts w:hint="eastAsia" w:ascii="宋体" w:hAnsi="宋体" w:eastAsia="宋体" w:cs="宋体"/>
                <w:color w:val="000000" w:themeColor="text1"/>
                <w:sz w:val="24"/>
                <w14:textFill>
                  <w14:solidFill>
                    <w14:schemeClr w14:val="tx1"/>
                  </w14:solidFill>
                </w14:textFill>
              </w:rPr>
            </w:pPr>
          </w:p>
        </w:tc>
        <w:tc>
          <w:tcPr>
            <w:tcW w:w="1399" w:type="dxa"/>
            <w:noWrap w:val="0"/>
          </w:tcPr>
          <w:p w14:paraId="04A655E9">
            <w:pPr>
              <w:spacing w:line="520" w:lineRule="exact"/>
              <w:rPr>
                <w:rFonts w:hint="eastAsia" w:ascii="宋体" w:hAnsi="宋体" w:eastAsia="宋体" w:cs="宋体"/>
                <w:color w:val="000000" w:themeColor="text1"/>
                <w:sz w:val="24"/>
                <w14:textFill>
                  <w14:solidFill>
                    <w14:schemeClr w14:val="tx1"/>
                  </w14:solidFill>
                </w14:textFill>
              </w:rPr>
            </w:pPr>
          </w:p>
        </w:tc>
      </w:tr>
      <w:tr w14:paraId="0AF7B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jc w:val="center"/>
        </w:trPr>
        <w:tc>
          <w:tcPr>
            <w:tcW w:w="757" w:type="dxa"/>
            <w:noWrap w:val="0"/>
          </w:tcPr>
          <w:p w14:paraId="76044805">
            <w:pPr>
              <w:spacing w:line="520" w:lineRule="exact"/>
              <w:jc w:val="center"/>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w:t>
            </w:r>
          </w:p>
        </w:tc>
        <w:tc>
          <w:tcPr>
            <w:tcW w:w="1514" w:type="dxa"/>
            <w:noWrap w:val="0"/>
          </w:tcPr>
          <w:p w14:paraId="003BF1EF">
            <w:pPr>
              <w:spacing w:line="520" w:lineRule="exact"/>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w:t>
            </w:r>
          </w:p>
        </w:tc>
        <w:tc>
          <w:tcPr>
            <w:tcW w:w="953" w:type="dxa"/>
            <w:noWrap w:val="0"/>
          </w:tcPr>
          <w:p w14:paraId="32695716">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76" w:type="dxa"/>
            <w:noWrap w:val="0"/>
          </w:tcPr>
          <w:p w14:paraId="4FB880D5">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215" w:type="dxa"/>
            <w:noWrap w:val="0"/>
          </w:tcPr>
          <w:p w14:paraId="2E402AFB">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07" w:type="dxa"/>
            <w:noWrap w:val="0"/>
          </w:tcPr>
          <w:p w14:paraId="432D9076">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604" w:type="dxa"/>
            <w:noWrap w:val="0"/>
          </w:tcPr>
          <w:p w14:paraId="1492D4A9">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399" w:type="dxa"/>
            <w:noWrap w:val="0"/>
          </w:tcPr>
          <w:p w14:paraId="79513D00">
            <w:pPr>
              <w:spacing w:line="520" w:lineRule="exact"/>
              <w:rPr>
                <w:rFonts w:hint="eastAsia" w:ascii="仿宋" w:hAnsi="仿宋" w:eastAsia="仿宋" w:cs="仿宋"/>
                <w:color w:val="000000" w:themeColor="text1"/>
                <w:sz w:val="28"/>
                <w:szCs w:val="28"/>
                <w14:textFill>
                  <w14:solidFill>
                    <w14:schemeClr w14:val="tx1"/>
                  </w14:solidFill>
                </w14:textFill>
              </w:rPr>
            </w:pPr>
          </w:p>
        </w:tc>
      </w:tr>
      <w:tr w14:paraId="440DE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jc w:val="center"/>
        </w:trPr>
        <w:tc>
          <w:tcPr>
            <w:tcW w:w="757" w:type="dxa"/>
            <w:noWrap w:val="0"/>
          </w:tcPr>
          <w:p w14:paraId="0A14A28B">
            <w:pPr>
              <w:spacing w:line="520" w:lineRule="exact"/>
              <w:jc w:val="center"/>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3</w:t>
            </w:r>
          </w:p>
        </w:tc>
        <w:tc>
          <w:tcPr>
            <w:tcW w:w="1514" w:type="dxa"/>
            <w:noWrap w:val="0"/>
          </w:tcPr>
          <w:p w14:paraId="4B2817E2">
            <w:pPr>
              <w:spacing w:line="52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w:t>
            </w:r>
          </w:p>
        </w:tc>
        <w:tc>
          <w:tcPr>
            <w:tcW w:w="953" w:type="dxa"/>
            <w:noWrap w:val="0"/>
          </w:tcPr>
          <w:p w14:paraId="4C08F798">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76" w:type="dxa"/>
            <w:noWrap w:val="0"/>
          </w:tcPr>
          <w:p w14:paraId="00D67694">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215" w:type="dxa"/>
            <w:noWrap w:val="0"/>
          </w:tcPr>
          <w:p w14:paraId="0DB97E54">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07" w:type="dxa"/>
            <w:noWrap w:val="0"/>
          </w:tcPr>
          <w:p w14:paraId="648012C5">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604" w:type="dxa"/>
            <w:noWrap w:val="0"/>
          </w:tcPr>
          <w:p w14:paraId="3F388F91">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399" w:type="dxa"/>
            <w:noWrap w:val="0"/>
          </w:tcPr>
          <w:p w14:paraId="53EC70B2">
            <w:pPr>
              <w:spacing w:line="520" w:lineRule="exact"/>
              <w:rPr>
                <w:rFonts w:hint="eastAsia" w:ascii="仿宋" w:hAnsi="仿宋" w:eastAsia="仿宋" w:cs="仿宋"/>
                <w:color w:val="000000" w:themeColor="text1"/>
                <w:sz w:val="28"/>
                <w:szCs w:val="28"/>
                <w14:textFill>
                  <w14:solidFill>
                    <w14:schemeClr w14:val="tx1"/>
                  </w14:solidFill>
                </w14:textFill>
              </w:rPr>
            </w:pPr>
          </w:p>
        </w:tc>
      </w:tr>
      <w:tr w14:paraId="5F1BE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757" w:type="dxa"/>
            <w:noWrap w:val="0"/>
          </w:tcPr>
          <w:p w14:paraId="3967D96B">
            <w:pPr>
              <w:spacing w:line="520" w:lineRule="exact"/>
              <w:jc w:val="center"/>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4</w:t>
            </w:r>
          </w:p>
        </w:tc>
        <w:tc>
          <w:tcPr>
            <w:tcW w:w="1514" w:type="dxa"/>
            <w:noWrap w:val="0"/>
          </w:tcPr>
          <w:p w14:paraId="62318AAC">
            <w:pPr>
              <w:spacing w:line="52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w:t>
            </w:r>
          </w:p>
        </w:tc>
        <w:tc>
          <w:tcPr>
            <w:tcW w:w="953" w:type="dxa"/>
            <w:noWrap w:val="0"/>
          </w:tcPr>
          <w:p w14:paraId="11EDDD33">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76" w:type="dxa"/>
            <w:noWrap w:val="0"/>
          </w:tcPr>
          <w:p w14:paraId="65520ECC">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215" w:type="dxa"/>
            <w:noWrap w:val="0"/>
          </w:tcPr>
          <w:p w14:paraId="453175A9">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07" w:type="dxa"/>
            <w:noWrap w:val="0"/>
          </w:tcPr>
          <w:p w14:paraId="3B9A64E3">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604" w:type="dxa"/>
            <w:noWrap w:val="0"/>
          </w:tcPr>
          <w:p w14:paraId="37D554C9">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399" w:type="dxa"/>
            <w:noWrap w:val="0"/>
          </w:tcPr>
          <w:p w14:paraId="46368EC4">
            <w:pPr>
              <w:spacing w:line="520" w:lineRule="exact"/>
              <w:rPr>
                <w:rFonts w:hint="eastAsia" w:ascii="仿宋" w:hAnsi="仿宋" w:eastAsia="仿宋" w:cs="仿宋"/>
                <w:color w:val="000000" w:themeColor="text1"/>
                <w:sz w:val="28"/>
                <w:szCs w:val="28"/>
                <w14:textFill>
                  <w14:solidFill>
                    <w14:schemeClr w14:val="tx1"/>
                  </w14:solidFill>
                </w14:textFill>
              </w:rPr>
            </w:pPr>
          </w:p>
        </w:tc>
      </w:tr>
      <w:tr w14:paraId="47D53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57" w:type="dxa"/>
            <w:noWrap w:val="0"/>
          </w:tcPr>
          <w:p w14:paraId="0982EE27">
            <w:pPr>
              <w:spacing w:line="520" w:lineRule="exact"/>
              <w:jc w:val="center"/>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5</w:t>
            </w:r>
          </w:p>
        </w:tc>
        <w:tc>
          <w:tcPr>
            <w:tcW w:w="1514" w:type="dxa"/>
            <w:noWrap w:val="0"/>
          </w:tcPr>
          <w:p w14:paraId="2F578A9E">
            <w:pPr>
              <w:spacing w:line="52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宋体" w:hAnsi="宋体" w:eastAsia="宋体" w:cs="宋体"/>
                <w:color w:val="auto"/>
                <w:spacing w:val="5"/>
                <w:sz w:val="21"/>
                <w:szCs w:val="21"/>
                <w:highlight w:val="none"/>
              </w:rPr>
              <w:t>驻点人员</w:t>
            </w:r>
          </w:p>
        </w:tc>
        <w:tc>
          <w:tcPr>
            <w:tcW w:w="953" w:type="dxa"/>
            <w:noWrap w:val="0"/>
          </w:tcPr>
          <w:p w14:paraId="78704724">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76" w:type="dxa"/>
            <w:noWrap w:val="0"/>
          </w:tcPr>
          <w:p w14:paraId="56FF41D6">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215" w:type="dxa"/>
            <w:noWrap w:val="0"/>
          </w:tcPr>
          <w:p w14:paraId="1C13B0E7">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07" w:type="dxa"/>
            <w:noWrap w:val="0"/>
          </w:tcPr>
          <w:p w14:paraId="3862E2DC">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604" w:type="dxa"/>
            <w:noWrap w:val="0"/>
          </w:tcPr>
          <w:p w14:paraId="7E570CBE">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399" w:type="dxa"/>
            <w:noWrap w:val="0"/>
          </w:tcPr>
          <w:p w14:paraId="4FCBB781">
            <w:pPr>
              <w:spacing w:line="520" w:lineRule="exact"/>
              <w:rPr>
                <w:rFonts w:hint="eastAsia" w:ascii="仿宋" w:hAnsi="仿宋" w:eastAsia="仿宋" w:cs="仿宋"/>
                <w:color w:val="000000" w:themeColor="text1"/>
                <w:sz w:val="28"/>
                <w:szCs w:val="28"/>
                <w14:textFill>
                  <w14:solidFill>
                    <w14:schemeClr w14:val="tx1"/>
                  </w14:solidFill>
                </w14:textFill>
              </w:rPr>
            </w:pPr>
          </w:p>
        </w:tc>
      </w:tr>
      <w:tr w14:paraId="32807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757" w:type="dxa"/>
            <w:noWrap w:val="0"/>
          </w:tcPr>
          <w:p w14:paraId="3521B113">
            <w:pPr>
              <w:spacing w:line="520" w:lineRule="exact"/>
              <w:jc w:val="center"/>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6</w:t>
            </w:r>
          </w:p>
        </w:tc>
        <w:tc>
          <w:tcPr>
            <w:tcW w:w="1514" w:type="dxa"/>
            <w:noWrap w:val="0"/>
          </w:tcPr>
          <w:p w14:paraId="0CC0F5FA">
            <w:pPr>
              <w:spacing w:line="520" w:lineRule="exact"/>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w:t>
            </w:r>
          </w:p>
        </w:tc>
        <w:tc>
          <w:tcPr>
            <w:tcW w:w="953" w:type="dxa"/>
            <w:noWrap w:val="0"/>
          </w:tcPr>
          <w:p w14:paraId="2EE12C19">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76" w:type="dxa"/>
            <w:noWrap w:val="0"/>
          </w:tcPr>
          <w:p w14:paraId="23046DAF">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215" w:type="dxa"/>
            <w:noWrap w:val="0"/>
          </w:tcPr>
          <w:p w14:paraId="5E1B2C6D">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07" w:type="dxa"/>
            <w:noWrap w:val="0"/>
          </w:tcPr>
          <w:p w14:paraId="59B126F2">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604" w:type="dxa"/>
            <w:noWrap w:val="0"/>
          </w:tcPr>
          <w:p w14:paraId="65974D5A">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399" w:type="dxa"/>
            <w:noWrap w:val="0"/>
          </w:tcPr>
          <w:p w14:paraId="07D01D51">
            <w:pPr>
              <w:spacing w:line="520" w:lineRule="exact"/>
              <w:rPr>
                <w:rFonts w:hint="eastAsia" w:ascii="仿宋" w:hAnsi="仿宋" w:eastAsia="仿宋" w:cs="仿宋"/>
                <w:color w:val="000000" w:themeColor="text1"/>
                <w:sz w:val="28"/>
                <w:szCs w:val="28"/>
                <w14:textFill>
                  <w14:solidFill>
                    <w14:schemeClr w14:val="tx1"/>
                  </w14:solidFill>
                </w14:textFill>
              </w:rPr>
            </w:pPr>
          </w:p>
        </w:tc>
      </w:tr>
      <w:tr w14:paraId="06104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757" w:type="dxa"/>
            <w:noWrap w:val="0"/>
          </w:tcPr>
          <w:p w14:paraId="294E7A29">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514" w:type="dxa"/>
            <w:noWrap w:val="0"/>
          </w:tcPr>
          <w:p w14:paraId="39CCA03E">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953" w:type="dxa"/>
            <w:noWrap w:val="0"/>
          </w:tcPr>
          <w:p w14:paraId="4FA84F43">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76" w:type="dxa"/>
            <w:noWrap w:val="0"/>
          </w:tcPr>
          <w:p w14:paraId="72820AFF">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215" w:type="dxa"/>
            <w:noWrap w:val="0"/>
          </w:tcPr>
          <w:p w14:paraId="35AE26A3">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07" w:type="dxa"/>
            <w:noWrap w:val="0"/>
          </w:tcPr>
          <w:p w14:paraId="11E4CD62">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604" w:type="dxa"/>
            <w:noWrap w:val="0"/>
          </w:tcPr>
          <w:p w14:paraId="01E8965D">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399" w:type="dxa"/>
            <w:noWrap w:val="0"/>
          </w:tcPr>
          <w:p w14:paraId="485059CE">
            <w:pPr>
              <w:spacing w:line="520" w:lineRule="exact"/>
              <w:rPr>
                <w:rFonts w:hint="eastAsia" w:ascii="仿宋" w:hAnsi="仿宋" w:eastAsia="仿宋" w:cs="仿宋"/>
                <w:color w:val="000000" w:themeColor="text1"/>
                <w:sz w:val="28"/>
                <w:szCs w:val="28"/>
                <w14:textFill>
                  <w14:solidFill>
                    <w14:schemeClr w14:val="tx1"/>
                  </w14:solidFill>
                </w14:textFill>
              </w:rPr>
            </w:pPr>
          </w:p>
        </w:tc>
      </w:tr>
      <w:tr w14:paraId="08E27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757" w:type="dxa"/>
            <w:noWrap w:val="0"/>
          </w:tcPr>
          <w:p w14:paraId="42B7AC54">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514" w:type="dxa"/>
            <w:noWrap w:val="0"/>
          </w:tcPr>
          <w:p w14:paraId="54A09B18">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953" w:type="dxa"/>
            <w:noWrap w:val="0"/>
          </w:tcPr>
          <w:p w14:paraId="6E73F992">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76" w:type="dxa"/>
            <w:noWrap w:val="0"/>
          </w:tcPr>
          <w:p w14:paraId="3F661F90">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215" w:type="dxa"/>
            <w:noWrap w:val="0"/>
          </w:tcPr>
          <w:p w14:paraId="290E94EC">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07" w:type="dxa"/>
            <w:noWrap w:val="0"/>
          </w:tcPr>
          <w:p w14:paraId="0DF2A045">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604" w:type="dxa"/>
            <w:noWrap w:val="0"/>
          </w:tcPr>
          <w:p w14:paraId="701C8B9A">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399" w:type="dxa"/>
            <w:noWrap w:val="0"/>
          </w:tcPr>
          <w:p w14:paraId="652F535D">
            <w:pPr>
              <w:spacing w:line="520" w:lineRule="exact"/>
              <w:rPr>
                <w:rFonts w:hint="eastAsia" w:ascii="仿宋" w:hAnsi="仿宋" w:eastAsia="仿宋" w:cs="仿宋"/>
                <w:color w:val="000000" w:themeColor="text1"/>
                <w:sz w:val="28"/>
                <w:szCs w:val="28"/>
                <w14:textFill>
                  <w14:solidFill>
                    <w14:schemeClr w14:val="tx1"/>
                  </w14:solidFill>
                </w14:textFill>
              </w:rPr>
            </w:pPr>
          </w:p>
        </w:tc>
      </w:tr>
      <w:tr w14:paraId="02C14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757" w:type="dxa"/>
            <w:noWrap w:val="0"/>
          </w:tcPr>
          <w:p w14:paraId="0A09FAA8">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514" w:type="dxa"/>
            <w:noWrap w:val="0"/>
          </w:tcPr>
          <w:p w14:paraId="58375867">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953" w:type="dxa"/>
            <w:noWrap w:val="0"/>
          </w:tcPr>
          <w:p w14:paraId="166BB915">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76" w:type="dxa"/>
            <w:noWrap w:val="0"/>
          </w:tcPr>
          <w:p w14:paraId="733260F4">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215" w:type="dxa"/>
            <w:noWrap w:val="0"/>
          </w:tcPr>
          <w:p w14:paraId="70159999">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07" w:type="dxa"/>
            <w:noWrap w:val="0"/>
          </w:tcPr>
          <w:p w14:paraId="6F24CDEC">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604" w:type="dxa"/>
            <w:noWrap w:val="0"/>
          </w:tcPr>
          <w:p w14:paraId="190169DA">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399" w:type="dxa"/>
            <w:noWrap w:val="0"/>
          </w:tcPr>
          <w:p w14:paraId="0DBA3BFE">
            <w:pPr>
              <w:spacing w:line="520" w:lineRule="exact"/>
              <w:rPr>
                <w:rFonts w:hint="eastAsia" w:ascii="仿宋" w:hAnsi="仿宋" w:eastAsia="仿宋" w:cs="仿宋"/>
                <w:color w:val="000000" w:themeColor="text1"/>
                <w:sz w:val="28"/>
                <w:szCs w:val="28"/>
                <w14:textFill>
                  <w14:solidFill>
                    <w14:schemeClr w14:val="tx1"/>
                  </w14:solidFill>
                </w14:textFill>
              </w:rPr>
            </w:pPr>
          </w:p>
        </w:tc>
      </w:tr>
      <w:tr w14:paraId="0995C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757" w:type="dxa"/>
            <w:noWrap w:val="0"/>
          </w:tcPr>
          <w:p w14:paraId="407B927E">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514" w:type="dxa"/>
            <w:noWrap w:val="0"/>
          </w:tcPr>
          <w:p w14:paraId="1317B4D4">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953" w:type="dxa"/>
            <w:noWrap w:val="0"/>
          </w:tcPr>
          <w:p w14:paraId="07F1F6D3">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76" w:type="dxa"/>
            <w:noWrap w:val="0"/>
          </w:tcPr>
          <w:p w14:paraId="3F30A454">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215" w:type="dxa"/>
            <w:noWrap w:val="0"/>
          </w:tcPr>
          <w:p w14:paraId="744A58E8">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07" w:type="dxa"/>
            <w:noWrap w:val="0"/>
          </w:tcPr>
          <w:p w14:paraId="49B43A2E">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604" w:type="dxa"/>
            <w:noWrap w:val="0"/>
          </w:tcPr>
          <w:p w14:paraId="680BDB4F">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399" w:type="dxa"/>
            <w:noWrap w:val="0"/>
          </w:tcPr>
          <w:p w14:paraId="49C2C05B">
            <w:pPr>
              <w:spacing w:line="520" w:lineRule="exact"/>
              <w:rPr>
                <w:rFonts w:hint="eastAsia" w:ascii="仿宋" w:hAnsi="仿宋" w:eastAsia="仿宋" w:cs="仿宋"/>
                <w:color w:val="000000" w:themeColor="text1"/>
                <w:sz w:val="28"/>
                <w:szCs w:val="28"/>
                <w14:textFill>
                  <w14:solidFill>
                    <w14:schemeClr w14:val="tx1"/>
                  </w14:solidFill>
                </w14:textFill>
              </w:rPr>
            </w:pPr>
          </w:p>
        </w:tc>
      </w:tr>
      <w:tr w14:paraId="030FC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757" w:type="dxa"/>
            <w:noWrap w:val="0"/>
          </w:tcPr>
          <w:p w14:paraId="2889ED37">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514" w:type="dxa"/>
            <w:noWrap w:val="0"/>
          </w:tcPr>
          <w:p w14:paraId="6839ABB3">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953" w:type="dxa"/>
            <w:noWrap w:val="0"/>
          </w:tcPr>
          <w:p w14:paraId="1A546ECF">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76" w:type="dxa"/>
            <w:noWrap w:val="0"/>
          </w:tcPr>
          <w:p w14:paraId="52FE9E72">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215" w:type="dxa"/>
            <w:noWrap w:val="0"/>
          </w:tcPr>
          <w:p w14:paraId="5F8E660D">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07" w:type="dxa"/>
            <w:noWrap w:val="0"/>
          </w:tcPr>
          <w:p w14:paraId="7584F6B4">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604" w:type="dxa"/>
            <w:noWrap w:val="0"/>
          </w:tcPr>
          <w:p w14:paraId="187DC6E5">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399" w:type="dxa"/>
            <w:noWrap w:val="0"/>
          </w:tcPr>
          <w:p w14:paraId="7A056530">
            <w:pPr>
              <w:spacing w:line="520" w:lineRule="exact"/>
              <w:rPr>
                <w:rFonts w:hint="eastAsia" w:ascii="仿宋" w:hAnsi="仿宋" w:eastAsia="仿宋" w:cs="仿宋"/>
                <w:color w:val="000000" w:themeColor="text1"/>
                <w:sz w:val="28"/>
                <w:szCs w:val="28"/>
                <w14:textFill>
                  <w14:solidFill>
                    <w14:schemeClr w14:val="tx1"/>
                  </w14:solidFill>
                </w14:textFill>
              </w:rPr>
            </w:pPr>
          </w:p>
        </w:tc>
      </w:tr>
      <w:tr w14:paraId="790CC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757" w:type="dxa"/>
            <w:noWrap w:val="0"/>
          </w:tcPr>
          <w:p w14:paraId="21B78E63">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514" w:type="dxa"/>
            <w:noWrap w:val="0"/>
          </w:tcPr>
          <w:p w14:paraId="5FEEE9FE">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953" w:type="dxa"/>
            <w:noWrap w:val="0"/>
          </w:tcPr>
          <w:p w14:paraId="61387770">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76" w:type="dxa"/>
            <w:noWrap w:val="0"/>
          </w:tcPr>
          <w:p w14:paraId="54FACDD2">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215" w:type="dxa"/>
            <w:noWrap w:val="0"/>
          </w:tcPr>
          <w:p w14:paraId="08401DAC">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007" w:type="dxa"/>
            <w:noWrap w:val="0"/>
          </w:tcPr>
          <w:p w14:paraId="1C0D053F">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604" w:type="dxa"/>
            <w:noWrap w:val="0"/>
          </w:tcPr>
          <w:p w14:paraId="5AF2E841">
            <w:pPr>
              <w:spacing w:line="520" w:lineRule="exact"/>
              <w:rPr>
                <w:rFonts w:hint="eastAsia" w:ascii="仿宋" w:hAnsi="仿宋" w:eastAsia="仿宋" w:cs="仿宋"/>
                <w:color w:val="000000" w:themeColor="text1"/>
                <w:sz w:val="28"/>
                <w:szCs w:val="28"/>
                <w14:textFill>
                  <w14:solidFill>
                    <w14:schemeClr w14:val="tx1"/>
                  </w14:solidFill>
                </w14:textFill>
              </w:rPr>
            </w:pPr>
          </w:p>
        </w:tc>
        <w:tc>
          <w:tcPr>
            <w:tcW w:w="1399" w:type="dxa"/>
            <w:noWrap w:val="0"/>
          </w:tcPr>
          <w:p w14:paraId="68A08EA5">
            <w:pPr>
              <w:spacing w:line="520" w:lineRule="exact"/>
              <w:rPr>
                <w:rFonts w:hint="eastAsia" w:ascii="仿宋" w:hAnsi="仿宋" w:eastAsia="仿宋" w:cs="仿宋"/>
                <w:color w:val="000000" w:themeColor="text1"/>
                <w:sz w:val="28"/>
                <w:szCs w:val="28"/>
                <w14:textFill>
                  <w14:solidFill>
                    <w14:schemeClr w14:val="tx1"/>
                  </w14:solidFill>
                </w14:textFill>
              </w:rPr>
            </w:pPr>
          </w:p>
        </w:tc>
      </w:tr>
    </w:tbl>
    <w:p w14:paraId="17FCB145">
      <w:pPr>
        <w:pStyle w:val="35"/>
        <w:ind w:firstLine="0"/>
        <w:rPr>
          <w:rFonts w:eastAsiaTheme="minor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注： 行数不够，可自行添加；</w:t>
      </w:r>
    </w:p>
    <w:p w14:paraId="228B5D0C">
      <w:pPr>
        <w:spacing w:line="440" w:lineRule="exact"/>
        <w:rPr>
          <w:rFonts w:hint="eastAsia" w:ascii="仿宋" w:hAnsi="仿宋" w:eastAsia="仿宋"/>
          <w:b/>
          <w:bCs/>
          <w:color w:val="000000" w:themeColor="text1"/>
          <w:sz w:val="32"/>
          <w:szCs w:val="32"/>
          <w14:textFill>
            <w14:solidFill>
              <w14:schemeClr w14:val="tx1"/>
            </w14:solidFill>
          </w14:textFill>
        </w:rPr>
      </w:pPr>
    </w:p>
    <w:p w14:paraId="3F154383">
      <w:pPr>
        <w:widowControl/>
        <w:shd w:val="clear" w:color="auto" w:fill="FFFFFF"/>
        <w:spacing w:line="360" w:lineRule="atLeast"/>
        <w:ind w:firstLine="2520"/>
        <w:jc w:val="right"/>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供应商全称（加盖CA电子公章）</w:t>
      </w:r>
      <w:r>
        <w:rPr>
          <w:rFonts w:hint="eastAsia" w:ascii="宋体" w:hAnsi="宋体"/>
          <w:color w:val="000000" w:themeColor="text1"/>
          <w:sz w:val="28"/>
          <w:szCs w:val="28"/>
          <w:shd w:val="clear" w:color="auto" w:fill="FFFFFF"/>
          <w14:textFill>
            <w14:solidFill>
              <w14:schemeClr w14:val="tx1"/>
            </w14:solidFill>
          </w14:textFill>
        </w:rPr>
        <w:t>：</w:t>
      </w:r>
    </w:p>
    <w:p w14:paraId="4EAA3BEE">
      <w:pPr>
        <w:widowControl/>
        <w:shd w:val="clear" w:color="auto" w:fill="FFFFFF"/>
        <w:spacing w:line="360" w:lineRule="atLeast"/>
        <w:ind w:firstLine="2520"/>
        <w:jc w:val="center"/>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日期：</w:t>
      </w:r>
    </w:p>
    <w:p w14:paraId="0CE8E27C">
      <w:pPr>
        <w:spacing w:line="440" w:lineRule="exact"/>
        <w:jc w:val="right"/>
        <w:rPr>
          <w:rFonts w:hint="eastAsia" w:ascii="宋体" w:hAnsi="宋体" w:eastAsia="宋体" w:cs="宋体"/>
          <w:color w:val="000000" w:themeColor="text1"/>
          <w:sz w:val="24"/>
          <w14:textFill>
            <w14:solidFill>
              <w14:schemeClr w14:val="tx1"/>
            </w14:solidFill>
          </w14:textFill>
        </w:rPr>
      </w:pPr>
    </w:p>
    <w:p w14:paraId="002A592E">
      <w:pPr>
        <w:jc w:val="center"/>
        <w:rPr>
          <w:rFonts w:ascii="黑体" w:hAnsi="Arial" w:eastAsia="黑体"/>
          <w:b/>
          <w:color w:val="000000" w:themeColor="text1"/>
          <w:sz w:val="36"/>
          <w:szCs w:val="21"/>
          <w14:textFill>
            <w14:solidFill>
              <w14:schemeClr w14:val="tx1"/>
            </w14:solidFill>
          </w14:textFill>
        </w:rPr>
      </w:pPr>
    </w:p>
    <w:p w14:paraId="20C7805D">
      <w:pPr>
        <w:jc w:val="center"/>
        <w:rPr>
          <w:rFonts w:ascii="黑体" w:hAnsi="Arial" w:eastAsia="黑体"/>
          <w:b/>
          <w:color w:val="000000" w:themeColor="text1"/>
          <w:sz w:val="36"/>
          <w:szCs w:val="21"/>
          <w14:textFill>
            <w14:solidFill>
              <w14:schemeClr w14:val="tx1"/>
            </w14:solidFill>
          </w14:textFill>
        </w:rPr>
      </w:pPr>
    </w:p>
    <w:p w14:paraId="22C7B0C5">
      <w:pPr>
        <w:jc w:val="center"/>
        <w:rPr>
          <w:rFonts w:ascii="黑体" w:hAnsi="Arial" w:eastAsia="黑体"/>
          <w:b/>
          <w:color w:val="000000" w:themeColor="text1"/>
          <w:sz w:val="36"/>
          <w:szCs w:val="21"/>
          <w14:textFill>
            <w14:solidFill>
              <w14:schemeClr w14:val="tx1"/>
            </w14:solidFill>
          </w14:textFill>
        </w:rPr>
      </w:pPr>
    </w:p>
    <w:p w14:paraId="1CCADB95">
      <w:pPr>
        <w:tabs>
          <w:tab w:val="left" w:pos="1320"/>
        </w:tabs>
        <w:spacing w:line="420" w:lineRule="exact"/>
        <w:outlineLvl w:val="1"/>
        <w:rPr>
          <w:rFonts w:hint="eastAsia" w:ascii="黑体" w:hAnsi="黑体" w:eastAsia="黑体"/>
          <w:b/>
          <w:color w:val="000000" w:themeColor="text1"/>
          <w:sz w:val="32"/>
          <w:szCs w:val="32"/>
          <w14:textFill>
            <w14:solidFill>
              <w14:schemeClr w14:val="tx1"/>
            </w14:solidFill>
          </w14:textFill>
        </w:rPr>
      </w:pPr>
    </w:p>
    <w:p w14:paraId="2AC8C660">
      <w:pPr>
        <w:tabs>
          <w:tab w:val="left" w:pos="1320"/>
        </w:tabs>
        <w:spacing w:line="420" w:lineRule="exact"/>
        <w:jc w:val="center"/>
        <w:outlineLvl w:val="1"/>
        <w:rPr>
          <w:rFonts w:hint="eastAsia" w:ascii="黑体" w:hAnsi="黑体" w:eastAsia="黑体"/>
          <w:b/>
          <w:color w:val="000000" w:themeColor="text1"/>
          <w:sz w:val="32"/>
          <w:szCs w:val="32"/>
          <w14:textFill>
            <w14:solidFill>
              <w14:schemeClr w14:val="tx1"/>
            </w14:solidFill>
          </w14:textFill>
        </w:rPr>
      </w:pPr>
    </w:p>
    <w:p w14:paraId="0E824568">
      <w:pPr>
        <w:tabs>
          <w:tab w:val="left" w:pos="1320"/>
        </w:tabs>
        <w:spacing w:line="420" w:lineRule="exact"/>
        <w:jc w:val="center"/>
        <w:outlineLvl w:val="1"/>
        <w:rPr>
          <w:rFonts w:hint="eastAsia" w:ascii="黑体" w:hAnsi="黑体" w:eastAsia="黑体"/>
          <w:b/>
          <w:color w:val="000000" w:themeColor="text1"/>
          <w:sz w:val="32"/>
          <w:szCs w:val="32"/>
          <w14:textFill>
            <w14:solidFill>
              <w14:schemeClr w14:val="tx1"/>
            </w14:solidFill>
          </w14:textFill>
        </w:rPr>
      </w:pPr>
    </w:p>
    <w:p w14:paraId="167612E2">
      <w:pPr>
        <w:tabs>
          <w:tab w:val="left" w:pos="1320"/>
        </w:tabs>
        <w:spacing w:line="420" w:lineRule="exact"/>
        <w:jc w:val="center"/>
        <w:outlineLvl w:val="1"/>
        <w:rPr>
          <w:rFonts w:hint="eastAsia" w:ascii="黑体" w:hAnsi="黑体" w:eastAsia="黑体"/>
          <w:b/>
          <w:color w:val="000000" w:themeColor="text1"/>
          <w:sz w:val="32"/>
          <w:szCs w:val="32"/>
          <w14:textFill>
            <w14:solidFill>
              <w14:schemeClr w14:val="tx1"/>
            </w14:solidFill>
          </w14:textFill>
        </w:rPr>
      </w:pPr>
    </w:p>
    <w:p w14:paraId="0380ECFD">
      <w:pPr>
        <w:tabs>
          <w:tab w:val="left" w:pos="1320"/>
        </w:tabs>
        <w:spacing w:line="420" w:lineRule="exact"/>
        <w:outlineLvl w:val="1"/>
        <w:rPr>
          <w:rFonts w:hint="eastAsia" w:ascii="黑体" w:hAnsi="黑体" w:eastAsia="黑体"/>
          <w:b/>
          <w:color w:val="000000" w:themeColor="text1"/>
          <w:sz w:val="32"/>
          <w:szCs w:val="32"/>
          <w14:textFill>
            <w14:solidFill>
              <w14:schemeClr w14:val="tx1"/>
            </w14:solidFill>
          </w14:textFill>
        </w:rPr>
      </w:pPr>
    </w:p>
    <w:p w14:paraId="602046D4">
      <w:pPr>
        <w:jc w:val="center"/>
        <w:rPr>
          <w:rFonts w:ascii="宋体" w:hAnsi="宋体" w:cs="仿宋"/>
          <w:b/>
          <w:bCs/>
          <w:color w:val="000000" w:themeColor="text1"/>
          <w:sz w:val="32"/>
          <w:szCs w:val="32"/>
          <w14:textFill>
            <w14:solidFill>
              <w14:schemeClr w14:val="tx1"/>
            </w14:solidFill>
          </w14:textFill>
        </w:rPr>
      </w:pPr>
    </w:p>
    <w:p w14:paraId="503769E3">
      <w:pPr>
        <w:ind w:firstLine="3077" w:firstLineChars="961"/>
        <w:rPr>
          <w:rFonts w:ascii="宋体"/>
          <w:b/>
          <w:color w:val="000000" w:themeColor="text1"/>
          <w:sz w:val="28"/>
          <w:szCs w:val="28"/>
          <w:shd w:val="clear" w:color="auto" w:fill="FFFFFF"/>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t>十</w:t>
      </w:r>
      <w:r>
        <w:rPr>
          <w:rFonts w:hint="eastAsia" w:ascii="宋体" w:hAnsi="宋体" w:eastAsia="宋体" w:cs="仿宋"/>
          <w:b/>
          <w:bCs/>
          <w:color w:val="000000" w:themeColor="text1"/>
          <w:sz w:val="32"/>
          <w:szCs w:val="32"/>
          <w:lang w:val="en-US" w:eastAsia="zh-CN"/>
          <w14:textFill>
            <w14:solidFill>
              <w14:schemeClr w14:val="tx1"/>
            </w14:solidFill>
          </w14:textFill>
        </w:rPr>
        <w:t>六</w:t>
      </w:r>
      <w:r>
        <w:rPr>
          <w:rFonts w:hint="eastAsia" w:ascii="宋体" w:hAnsi="宋体" w:cs="仿宋"/>
          <w:b/>
          <w:bCs/>
          <w:color w:val="000000" w:themeColor="text1"/>
          <w:sz w:val="32"/>
          <w:szCs w:val="32"/>
          <w14:textFill>
            <w14:solidFill>
              <w14:schemeClr w14:val="tx1"/>
            </w14:solidFill>
          </w14:textFill>
        </w:rPr>
        <w:t>、</w:t>
      </w:r>
      <w:bookmarkStart w:id="154" w:name="_格式2__法定代表人授权书"/>
      <w:bookmarkStart w:id="155" w:name="_Hlt26671374"/>
      <w:bookmarkStart w:id="156" w:name="_Hlt26955066"/>
      <w:bookmarkStart w:id="157" w:name="_Hlt26609389"/>
      <w:bookmarkStart w:id="158" w:name="_Toc462564146"/>
      <w:bookmarkStart w:id="159" w:name="_Hlt26955054"/>
      <w:r>
        <w:rPr>
          <w:rFonts w:hint="eastAsia" w:ascii="黑体" w:hAnsi="宋体" w:eastAsia="黑体" w:cs="黑体"/>
          <w:b/>
          <w:color w:val="auto"/>
          <w:kern w:val="0"/>
          <w:sz w:val="32"/>
          <w:szCs w:val="32"/>
          <w:highlight w:val="none"/>
          <w:lang w:val="en-US" w:eastAsia="zh-CN" w:bidi="ar-SA"/>
        </w:rPr>
        <w:t>技术方案等</w:t>
      </w:r>
    </w:p>
    <w:p w14:paraId="64FFE175">
      <w:pPr>
        <w:spacing w:line="560" w:lineRule="exact"/>
        <w:rPr>
          <w:rFonts w:hint="eastAsia" w:ascii="宋体" w:hAnsi="宋体" w:eastAsia="宋体" w:cs="宋体"/>
          <w:b/>
          <w:color w:val="000000" w:themeColor="text1"/>
          <w:sz w:val="32"/>
          <w:szCs w:val="32"/>
          <w14:textFill>
            <w14:solidFill>
              <w14:schemeClr w14:val="tx1"/>
            </w14:solidFill>
          </w14:textFill>
        </w:rPr>
      </w:pPr>
    </w:p>
    <w:p w14:paraId="754004A6">
      <w:pPr>
        <w:spacing w:line="560" w:lineRule="exact"/>
        <w:rPr>
          <w:rFonts w:hint="eastAsia" w:ascii="宋体" w:hAnsi="宋体" w:eastAsia="宋体" w:cs="宋体"/>
          <w:b/>
          <w:color w:val="000000" w:themeColor="text1"/>
          <w:sz w:val="32"/>
          <w:szCs w:val="32"/>
          <w14:textFill>
            <w14:solidFill>
              <w14:schemeClr w14:val="tx1"/>
            </w14:solidFill>
          </w14:textFill>
        </w:rPr>
      </w:pPr>
    </w:p>
    <w:p w14:paraId="1B74696F">
      <w:pPr>
        <w:spacing w:line="560" w:lineRule="exact"/>
        <w:rPr>
          <w:rFonts w:hint="eastAsia" w:ascii="宋体" w:hAnsi="宋体" w:eastAsia="宋体" w:cs="宋体"/>
          <w:b/>
          <w:color w:val="000000" w:themeColor="text1"/>
          <w:sz w:val="32"/>
          <w:szCs w:val="32"/>
          <w14:textFill>
            <w14:solidFill>
              <w14:schemeClr w14:val="tx1"/>
            </w14:solidFill>
          </w14:textFill>
        </w:rPr>
      </w:pPr>
    </w:p>
    <w:p w14:paraId="28BD1582">
      <w:pPr>
        <w:spacing w:line="560" w:lineRule="exact"/>
        <w:rPr>
          <w:rFonts w:hint="eastAsia" w:ascii="宋体" w:hAnsi="宋体" w:eastAsia="宋体" w:cs="宋体"/>
          <w:b/>
          <w:color w:val="000000" w:themeColor="text1"/>
          <w:sz w:val="32"/>
          <w:szCs w:val="32"/>
          <w14:textFill>
            <w14:solidFill>
              <w14:schemeClr w14:val="tx1"/>
            </w14:solidFill>
          </w14:textFill>
        </w:rPr>
      </w:pPr>
    </w:p>
    <w:p w14:paraId="617F371A">
      <w:pPr>
        <w:spacing w:line="560" w:lineRule="exact"/>
        <w:rPr>
          <w:rFonts w:hint="eastAsia" w:ascii="宋体" w:hAnsi="宋体" w:eastAsia="宋体" w:cs="宋体"/>
          <w:b/>
          <w:color w:val="000000" w:themeColor="text1"/>
          <w:sz w:val="32"/>
          <w:szCs w:val="32"/>
          <w14:textFill>
            <w14:solidFill>
              <w14:schemeClr w14:val="tx1"/>
            </w14:solidFill>
          </w14:textFill>
        </w:rPr>
      </w:pPr>
    </w:p>
    <w:p w14:paraId="3B7FC3FF">
      <w:pPr>
        <w:spacing w:line="560" w:lineRule="exact"/>
        <w:rPr>
          <w:rFonts w:hint="eastAsia" w:ascii="宋体" w:hAnsi="宋体" w:eastAsia="宋体" w:cs="宋体"/>
          <w:b/>
          <w:color w:val="000000" w:themeColor="text1"/>
          <w:sz w:val="32"/>
          <w:szCs w:val="32"/>
          <w14:textFill>
            <w14:solidFill>
              <w14:schemeClr w14:val="tx1"/>
            </w14:solidFill>
          </w14:textFill>
        </w:rPr>
      </w:pPr>
    </w:p>
    <w:p w14:paraId="004900E6">
      <w:pPr>
        <w:jc w:val="center"/>
        <w:rPr>
          <w:rFonts w:hint="eastAsia" w:ascii="宋体" w:hAnsi="宋体" w:eastAsia="宋体" w:cs="宋体"/>
          <w:b/>
          <w:color w:val="000000" w:themeColor="text1"/>
          <w:sz w:val="32"/>
          <w:szCs w:val="32"/>
          <w14:textFill>
            <w14:solidFill>
              <w14:schemeClr w14:val="tx1"/>
            </w14:solidFill>
          </w14:textFill>
        </w:rPr>
      </w:pPr>
    </w:p>
    <w:p w14:paraId="62AE7AFD">
      <w:pPr>
        <w:jc w:val="center"/>
        <w:rPr>
          <w:rFonts w:hint="eastAsia" w:ascii="宋体" w:hAnsi="宋体" w:eastAsia="宋体" w:cs="宋体"/>
          <w:b/>
          <w:color w:val="000000" w:themeColor="text1"/>
          <w:sz w:val="32"/>
          <w:szCs w:val="32"/>
          <w14:textFill>
            <w14:solidFill>
              <w14:schemeClr w14:val="tx1"/>
            </w14:solidFill>
          </w14:textFill>
        </w:rPr>
      </w:pPr>
    </w:p>
    <w:p w14:paraId="6352B5C3">
      <w:pPr>
        <w:jc w:val="center"/>
        <w:rPr>
          <w:rFonts w:hint="eastAsia" w:ascii="宋体" w:hAnsi="宋体" w:eastAsia="宋体" w:cs="宋体"/>
          <w:b/>
          <w:color w:val="000000" w:themeColor="text1"/>
          <w:sz w:val="32"/>
          <w:szCs w:val="32"/>
          <w14:textFill>
            <w14:solidFill>
              <w14:schemeClr w14:val="tx1"/>
            </w14:solidFill>
          </w14:textFill>
        </w:rPr>
      </w:pPr>
    </w:p>
    <w:p w14:paraId="12CA13DA">
      <w:pPr>
        <w:jc w:val="center"/>
        <w:rPr>
          <w:rFonts w:hint="eastAsia" w:ascii="宋体" w:hAnsi="宋体" w:eastAsia="宋体" w:cs="宋体"/>
          <w:b/>
          <w:color w:val="000000" w:themeColor="text1"/>
          <w:sz w:val="32"/>
          <w:szCs w:val="32"/>
          <w14:textFill>
            <w14:solidFill>
              <w14:schemeClr w14:val="tx1"/>
            </w14:solidFill>
          </w14:textFill>
        </w:rPr>
      </w:pPr>
    </w:p>
    <w:p w14:paraId="4B630483">
      <w:pPr>
        <w:jc w:val="center"/>
        <w:rPr>
          <w:rFonts w:hint="eastAsia" w:ascii="宋体" w:hAnsi="宋体" w:eastAsia="宋体" w:cs="宋体"/>
          <w:b/>
          <w:color w:val="000000" w:themeColor="text1"/>
          <w:sz w:val="32"/>
          <w:szCs w:val="32"/>
          <w14:textFill>
            <w14:solidFill>
              <w14:schemeClr w14:val="tx1"/>
            </w14:solidFill>
          </w14:textFill>
        </w:rPr>
      </w:pPr>
    </w:p>
    <w:p w14:paraId="29CAC2F5">
      <w:pPr>
        <w:jc w:val="center"/>
        <w:rPr>
          <w:rFonts w:hint="eastAsia" w:ascii="宋体" w:hAnsi="宋体" w:eastAsia="宋体" w:cs="宋体"/>
          <w:b/>
          <w:color w:val="000000" w:themeColor="text1"/>
          <w:sz w:val="32"/>
          <w:szCs w:val="32"/>
          <w14:textFill>
            <w14:solidFill>
              <w14:schemeClr w14:val="tx1"/>
            </w14:solidFill>
          </w14:textFill>
        </w:rPr>
      </w:pPr>
    </w:p>
    <w:p w14:paraId="6382951F">
      <w:pPr>
        <w:jc w:val="center"/>
        <w:rPr>
          <w:rFonts w:hint="eastAsia" w:ascii="宋体" w:hAnsi="宋体" w:eastAsia="宋体" w:cs="宋体"/>
          <w:b/>
          <w:color w:val="000000" w:themeColor="text1"/>
          <w:sz w:val="32"/>
          <w:szCs w:val="32"/>
          <w14:textFill>
            <w14:solidFill>
              <w14:schemeClr w14:val="tx1"/>
            </w14:solidFill>
          </w14:textFill>
        </w:rPr>
      </w:pPr>
    </w:p>
    <w:p w14:paraId="0D75D513">
      <w:pPr>
        <w:jc w:val="center"/>
        <w:rPr>
          <w:rFonts w:hint="eastAsia" w:ascii="宋体" w:hAnsi="宋体" w:eastAsia="宋体" w:cs="宋体"/>
          <w:b/>
          <w:color w:val="000000" w:themeColor="text1"/>
          <w:sz w:val="32"/>
          <w:szCs w:val="32"/>
          <w14:textFill>
            <w14:solidFill>
              <w14:schemeClr w14:val="tx1"/>
            </w14:solidFill>
          </w14:textFill>
        </w:rPr>
      </w:pPr>
    </w:p>
    <w:p w14:paraId="1A5E68A0">
      <w:pPr>
        <w:jc w:val="center"/>
        <w:rPr>
          <w:rFonts w:hint="eastAsia" w:ascii="宋体" w:hAnsi="宋体" w:eastAsia="宋体" w:cs="宋体"/>
          <w:b/>
          <w:color w:val="000000" w:themeColor="text1"/>
          <w:sz w:val="32"/>
          <w:szCs w:val="32"/>
          <w14:textFill>
            <w14:solidFill>
              <w14:schemeClr w14:val="tx1"/>
            </w14:solidFill>
          </w14:textFill>
        </w:rPr>
      </w:pPr>
    </w:p>
    <w:p w14:paraId="6AB673B3">
      <w:pPr>
        <w:jc w:val="center"/>
        <w:rPr>
          <w:rFonts w:hint="eastAsia" w:ascii="宋体" w:hAnsi="宋体" w:eastAsia="宋体" w:cs="宋体"/>
          <w:b/>
          <w:color w:val="000000" w:themeColor="text1"/>
          <w:sz w:val="32"/>
          <w:szCs w:val="32"/>
          <w14:textFill>
            <w14:solidFill>
              <w14:schemeClr w14:val="tx1"/>
            </w14:solidFill>
          </w14:textFill>
        </w:rPr>
      </w:pPr>
    </w:p>
    <w:p w14:paraId="63696B3C">
      <w:pPr>
        <w:jc w:val="center"/>
        <w:rPr>
          <w:rFonts w:hint="eastAsia" w:ascii="宋体" w:hAnsi="宋体" w:eastAsia="宋体" w:cs="宋体"/>
          <w:b/>
          <w:color w:val="000000" w:themeColor="text1"/>
          <w:sz w:val="32"/>
          <w:szCs w:val="32"/>
          <w14:textFill>
            <w14:solidFill>
              <w14:schemeClr w14:val="tx1"/>
            </w14:solidFill>
          </w14:textFill>
        </w:rPr>
      </w:pPr>
    </w:p>
    <w:p w14:paraId="5C7CE9CA">
      <w:pPr>
        <w:jc w:val="center"/>
        <w:rPr>
          <w:rFonts w:hint="eastAsia" w:ascii="宋体" w:hAnsi="宋体" w:eastAsia="宋体" w:cs="宋体"/>
          <w:b/>
          <w:color w:val="000000" w:themeColor="text1"/>
          <w:sz w:val="32"/>
          <w:szCs w:val="32"/>
          <w14:textFill>
            <w14:solidFill>
              <w14:schemeClr w14:val="tx1"/>
            </w14:solidFill>
          </w14:textFill>
        </w:rPr>
      </w:pPr>
    </w:p>
    <w:p w14:paraId="359D8337">
      <w:pPr>
        <w:jc w:val="center"/>
        <w:rPr>
          <w:rFonts w:hint="eastAsia" w:ascii="宋体" w:hAnsi="宋体" w:eastAsia="宋体" w:cs="宋体"/>
          <w:b/>
          <w:color w:val="000000" w:themeColor="text1"/>
          <w:sz w:val="32"/>
          <w:szCs w:val="32"/>
          <w14:textFill>
            <w14:solidFill>
              <w14:schemeClr w14:val="tx1"/>
            </w14:solidFill>
          </w14:textFill>
        </w:rPr>
      </w:pPr>
    </w:p>
    <w:p w14:paraId="591B4B3C">
      <w:pPr>
        <w:jc w:val="center"/>
        <w:rPr>
          <w:rFonts w:hint="eastAsia" w:ascii="宋体" w:hAnsi="宋体" w:eastAsia="宋体" w:cs="宋体"/>
          <w:b/>
          <w:color w:val="000000" w:themeColor="text1"/>
          <w:sz w:val="32"/>
          <w:szCs w:val="32"/>
          <w14:textFill>
            <w14:solidFill>
              <w14:schemeClr w14:val="tx1"/>
            </w14:solidFill>
          </w14:textFill>
        </w:rPr>
      </w:pPr>
    </w:p>
    <w:p w14:paraId="2AE1FE64">
      <w:pPr>
        <w:jc w:val="center"/>
        <w:rPr>
          <w:rFonts w:hint="eastAsia" w:ascii="宋体" w:hAnsi="宋体" w:eastAsia="宋体" w:cs="宋体"/>
          <w:b/>
          <w:color w:val="000000" w:themeColor="text1"/>
          <w:sz w:val="32"/>
          <w:szCs w:val="32"/>
          <w14:textFill>
            <w14:solidFill>
              <w14:schemeClr w14:val="tx1"/>
            </w14:solidFill>
          </w14:textFill>
        </w:rPr>
      </w:pPr>
    </w:p>
    <w:p w14:paraId="52279250">
      <w:pPr>
        <w:jc w:val="center"/>
        <w:rPr>
          <w:rFonts w:hint="eastAsia" w:ascii="宋体" w:hAnsi="宋体" w:eastAsia="宋体" w:cs="宋体"/>
          <w:b/>
          <w:color w:val="000000" w:themeColor="text1"/>
          <w:sz w:val="32"/>
          <w:szCs w:val="32"/>
          <w14:textFill>
            <w14:solidFill>
              <w14:schemeClr w14:val="tx1"/>
            </w14:solidFill>
          </w14:textFill>
        </w:rPr>
      </w:pPr>
    </w:p>
    <w:p w14:paraId="65C51ADE">
      <w:pPr>
        <w:rPr>
          <w:rFonts w:hint="eastAsia" w:ascii="宋体" w:hAnsi="宋体" w:eastAsia="宋体" w:cs="宋体"/>
          <w:b/>
          <w:color w:val="000000" w:themeColor="text1"/>
          <w:sz w:val="32"/>
          <w:szCs w:val="32"/>
          <w14:textFill>
            <w14:solidFill>
              <w14:schemeClr w14:val="tx1"/>
            </w14:solidFill>
          </w14:textFill>
        </w:rPr>
      </w:pPr>
    </w:p>
    <w:p w14:paraId="69F1F534">
      <w:pPr>
        <w:rPr>
          <w:rFonts w:hint="eastAsia" w:ascii="宋体" w:hAnsi="宋体" w:eastAsia="宋体" w:cs="宋体"/>
          <w:b/>
          <w:color w:val="000000" w:themeColor="text1"/>
          <w:sz w:val="32"/>
          <w:szCs w:val="32"/>
          <w14:textFill>
            <w14:solidFill>
              <w14:schemeClr w14:val="tx1"/>
            </w14:solidFill>
          </w14:textFill>
        </w:rPr>
      </w:pPr>
    </w:p>
    <w:p w14:paraId="3A85DF30">
      <w:pPr>
        <w:rPr>
          <w:rFonts w:hint="eastAsia" w:ascii="宋体" w:hAnsi="宋体" w:eastAsia="宋体" w:cs="宋体"/>
          <w:b/>
          <w:color w:val="000000" w:themeColor="text1"/>
          <w:sz w:val="32"/>
          <w:szCs w:val="32"/>
          <w14:textFill>
            <w14:solidFill>
              <w14:schemeClr w14:val="tx1"/>
            </w14:solidFill>
          </w14:textFill>
        </w:rPr>
      </w:pPr>
    </w:p>
    <w:p w14:paraId="0B7FF27B">
      <w:pPr>
        <w:rPr>
          <w:rFonts w:hint="eastAsia" w:ascii="宋体" w:hAnsi="宋体" w:eastAsia="宋体" w:cs="宋体"/>
          <w:b/>
          <w:color w:val="000000" w:themeColor="text1"/>
          <w:sz w:val="32"/>
          <w:szCs w:val="32"/>
          <w14:textFill>
            <w14:solidFill>
              <w14:schemeClr w14:val="tx1"/>
            </w14:solidFill>
          </w14:textFill>
        </w:rPr>
      </w:pPr>
    </w:p>
    <w:p w14:paraId="3A509077">
      <w:pPr>
        <w:rPr>
          <w:rFonts w:hint="eastAsia" w:ascii="宋体" w:hAnsi="宋体" w:eastAsia="宋体" w:cs="宋体"/>
          <w:b/>
          <w:color w:val="000000" w:themeColor="text1"/>
          <w:sz w:val="32"/>
          <w:szCs w:val="32"/>
          <w14:textFill>
            <w14:solidFill>
              <w14:schemeClr w14:val="tx1"/>
            </w14:solidFill>
          </w14:textFill>
        </w:rPr>
      </w:pPr>
    </w:p>
    <w:p w14:paraId="503B63A1">
      <w:pPr>
        <w:rPr>
          <w:rFonts w:hint="eastAsia" w:ascii="宋体" w:hAnsi="宋体" w:eastAsia="宋体" w:cs="宋体"/>
          <w:b/>
          <w:color w:val="000000" w:themeColor="text1"/>
          <w:sz w:val="32"/>
          <w:szCs w:val="32"/>
          <w14:textFill>
            <w14:solidFill>
              <w14:schemeClr w14:val="tx1"/>
            </w14:solidFill>
          </w14:textFill>
        </w:rPr>
      </w:pPr>
    </w:p>
    <w:p w14:paraId="46AE3A00">
      <w:pPr>
        <w:widowControl/>
        <w:spacing w:before="50" w:after="50"/>
        <w:jc w:val="center"/>
        <w:rPr>
          <w:rFonts w:hint="eastAsia" w:ascii="宋体" w:hAnsi="宋体" w:eastAsia="宋体" w:cs="宋体"/>
          <w:b/>
          <w:color w:val="000000" w:themeColor="text1"/>
          <w:sz w:val="32"/>
          <w:szCs w:val="32"/>
          <w14:textFill>
            <w14:solidFill>
              <w14:schemeClr w14:val="tx1"/>
            </w14:solidFill>
          </w14:textFill>
        </w:rPr>
      </w:pPr>
    </w:p>
    <w:p w14:paraId="12A8E8E3">
      <w:pPr>
        <w:widowControl/>
        <w:spacing w:before="50" w:after="50"/>
        <w:jc w:val="center"/>
        <w:rPr>
          <w:rFonts w:hint="eastAsia" w:ascii="宋体" w:hAnsi="宋体" w:eastAsia="宋体" w:cs="宋体"/>
          <w:b/>
          <w:color w:val="000000" w:themeColor="text1"/>
          <w:sz w:val="32"/>
          <w:szCs w:val="32"/>
          <w14:textFill>
            <w14:solidFill>
              <w14:schemeClr w14:val="tx1"/>
            </w14:solidFill>
          </w14:textFill>
        </w:rPr>
      </w:pPr>
    </w:p>
    <w:p w14:paraId="14D0FDF0">
      <w:pPr>
        <w:widowControl/>
        <w:spacing w:before="50" w:after="5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十</w:t>
      </w:r>
      <w:r>
        <w:rPr>
          <w:rFonts w:hint="eastAsia" w:ascii="宋体" w:hAnsi="宋体" w:eastAsia="宋体" w:cs="宋体"/>
          <w:b/>
          <w:color w:val="000000" w:themeColor="text1"/>
          <w:sz w:val="32"/>
          <w:szCs w:val="32"/>
          <w:lang w:val="en-US" w:eastAsia="zh-CN"/>
          <w14:textFill>
            <w14:solidFill>
              <w14:schemeClr w14:val="tx1"/>
            </w14:solidFill>
          </w14:textFill>
        </w:rPr>
        <w:t>七</w:t>
      </w:r>
      <w:r>
        <w:rPr>
          <w:rFonts w:hint="eastAsia" w:ascii="宋体" w:hAnsi="宋体" w:eastAsia="宋体" w:cs="宋体"/>
          <w:b/>
          <w:color w:val="000000" w:themeColor="text1"/>
          <w:sz w:val="32"/>
          <w:szCs w:val="32"/>
          <w14:textFill>
            <w14:solidFill>
              <w14:schemeClr w14:val="tx1"/>
            </w14:solidFill>
          </w14:textFill>
        </w:rPr>
        <w:t>、响水县政府采购事前信用承诺书</w:t>
      </w:r>
    </w:p>
    <w:p w14:paraId="21F24436">
      <w:pPr>
        <w:widowControl/>
        <w:spacing w:line="499" w:lineRule="atLeas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为营造我市公开、公平、公正、诚实守信的政府采购交易环境，树立诚信守法的供应商形象，本人代表本单位作出以下承诺：</w:t>
      </w:r>
    </w:p>
    <w:p w14:paraId="3D85234D">
      <w:pPr>
        <w:widowControl/>
        <w:spacing w:line="499" w:lineRule="atLeast"/>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（一）本单位对所提交的企（事）业单位基本信息、企（事）业负责人、项目负责人、技术负责人、从业资质和资格、业绩、财务状况、信誉等所有资料，均合法、真实、准确、有效，无任何伪造、修改、虚假成</w:t>
      </w:r>
      <w:r>
        <w:rPr>
          <w:rFonts w:hint="eastAsia" w:ascii="宋体" w:hAnsi="宋体" w:eastAsia="宋体" w:cs="宋体"/>
          <w:color w:val="000000" w:themeColor="text1"/>
          <w:sz w:val="24"/>
          <w:lang w:val="en-US" w:eastAsia="zh-CN"/>
          <w14:textFill>
            <w14:solidFill>
              <w14:schemeClr w14:val="tx1"/>
            </w14:solidFill>
          </w14:textFill>
        </w:rPr>
        <w:t>分</w:t>
      </w:r>
      <w:r>
        <w:rPr>
          <w:rFonts w:hint="eastAsia" w:ascii="宋体" w:hAnsi="宋体" w:eastAsia="宋体" w:cs="宋体"/>
          <w:color w:val="000000" w:themeColor="text1"/>
          <w:sz w:val="24"/>
          <w14:textFill>
            <w14:solidFill>
              <w14:schemeClr w14:val="tx1"/>
            </w14:solidFill>
          </w14:textFill>
        </w:rPr>
        <w:t>，并对所提供资料的真实性负责；</w:t>
      </w:r>
    </w:p>
    <w:p w14:paraId="32F64B40">
      <w:pPr>
        <w:widowControl/>
        <w:spacing w:line="499" w:lineRule="atLeas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（二）本单位无涉及政府采购活动的违法、违规不良记录，我公司及相关负责人无因存在重大隐患整改不力、发生重大社会影响生产安全事故或其他严重违法违规行为而被列入失信联合惩戒的不良记录；</w:t>
      </w:r>
    </w:p>
    <w:p w14:paraId="3558D5E7">
      <w:pPr>
        <w:widowControl/>
        <w:spacing w:line="499" w:lineRule="atLeast"/>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（三）严格依照国家和省、市关于政府采购的法律法规、规章、规范性文件，参加政府采购投标活动；积极履行社会责任，促进廉政建设； </w:t>
      </w:r>
    </w:p>
    <w:p w14:paraId="31503453">
      <w:pPr>
        <w:widowControl/>
        <w:spacing w:line="499" w:lineRule="atLeast"/>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（四）严格遵守即时信息公示规定，及时维护和更新盐城市政府采购网中与本单位相关的信息；</w:t>
      </w:r>
    </w:p>
    <w:p w14:paraId="02465CDF">
      <w:pPr>
        <w:widowControl/>
        <w:spacing w:line="499" w:lineRule="atLeast"/>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5EA495E">
      <w:pPr>
        <w:widowControl/>
        <w:spacing w:line="499" w:lineRule="atLeast"/>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（六）自觉接受政府、行业组织、社会公众、新闻舆论的监督；</w:t>
      </w:r>
    </w:p>
    <w:p w14:paraId="577E9A91">
      <w:pPr>
        <w:widowControl/>
        <w:spacing w:line="499" w:lineRule="atLeast"/>
        <w:ind w:firstLine="48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3825B7B">
      <w:pPr>
        <w:widowControl/>
        <w:spacing w:line="499" w:lineRule="atLeast"/>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（八）本人已认真阅读了上述承诺，并向本单位员工</w:t>
      </w:r>
      <w:r>
        <w:rPr>
          <w:rFonts w:hint="eastAsia" w:ascii="宋体" w:hAnsi="宋体" w:eastAsia="宋体" w:cs="宋体"/>
          <w:color w:val="000000" w:themeColor="text1"/>
          <w:sz w:val="24"/>
          <w:lang w:val="en-US" w:eastAsia="zh-CN"/>
          <w14:textFill>
            <w14:solidFill>
              <w14:schemeClr w14:val="tx1"/>
            </w14:solidFill>
          </w14:textFill>
        </w:rPr>
        <w:t>做</w:t>
      </w:r>
      <w:r>
        <w:rPr>
          <w:rFonts w:hint="eastAsia" w:ascii="宋体" w:hAnsi="宋体" w:eastAsia="宋体" w:cs="宋体"/>
          <w:color w:val="000000" w:themeColor="text1"/>
          <w:sz w:val="24"/>
          <w14:textFill>
            <w14:solidFill>
              <w14:schemeClr w14:val="tx1"/>
            </w14:solidFill>
          </w14:textFill>
        </w:rPr>
        <w:t>了宣传教育。</w:t>
      </w:r>
    </w:p>
    <w:p w14:paraId="4FA395DB">
      <w:pPr>
        <w:widowControl/>
        <w:spacing w:line="499" w:lineRule="atLeast"/>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法定代表人签名：</w:t>
      </w:r>
    </w:p>
    <w:p w14:paraId="6BC0DF0B">
      <w:pPr>
        <w:widowControl/>
        <w:spacing w:line="499"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供应商全称（盖章）：</w:t>
      </w:r>
    </w:p>
    <w:p w14:paraId="44FAF4E7">
      <w:pPr>
        <w:widowControl/>
        <w:spacing w:line="499" w:lineRule="atLeas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年   月  日</w:t>
      </w:r>
    </w:p>
    <w:p w14:paraId="6D8C2CD9">
      <w:pPr>
        <w:pStyle w:val="32"/>
        <w:spacing w:beforeAutospacing="0" w:afterAutospacing="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p>
    <w:p w14:paraId="485553BE">
      <w:pP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p>
    <w:p w14:paraId="03135C96">
      <w:pPr>
        <w:pStyle w:val="32"/>
        <w:spacing w:beforeAutospacing="0" w:afterAutospacing="0"/>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质疑函范本</w:t>
      </w:r>
    </w:p>
    <w:p w14:paraId="412C0609">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一、质疑供应商基本信息</w:t>
      </w:r>
    </w:p>
    <w:p w14:paraId="0375BC03">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质疑供应商：</w:t>
      </w:r>
      <w:r>
        <w:rPr>
          <w:rFonts w:hint="eastAsia" w:ascii="宋体" w:hAnsi="宋体" w:eastAsia="宋体" w:cs="宋体"/>
          <w:color w:val="000000" w:themeColor="text1"/>
          <w:u w:val="single"/>
          <w14:textFill>
            <w14:solidFill>
              <w14:schemeClr w14:val="tx1"/>
            </w14:solidFill>
          </w14:textFill>
        </w:rPr>
        <w:t>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p>
    <w:p w14:paraId="00761260">
      <w:pPr>
        <w:pStyle w:val="32"/>
        <w:spacing w:beforeAutospacing="0" w:afterAutospacing="0" w:line="380" w:lineRule="exact"/>
        <w:jc w:val="both"/>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地址：</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w:t>
      </w:r>
    </w:p>
    <w:p w14:paraId="5AB25E3A">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邮编：</w:t>
      </w:r>
      <w:r>
        <w:rPr>
          <w:rFonts w:hint="eastAsia" w:ascii="宋体" w:hAnsi="宋体" w:eastAsia="宋体" w:cs="宋体"/>
          <w:color w:val="000000" w:themeColor="text1"/>
          <w:u w:val="single"/>
          <w14:textFill>
            <w14:solidFill>
              <w14:schemeClr w14:val="tx1"/>
            </w14:solidFill>
          </w14:textFill>
        </w:rPr>
        <w:t>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p>
    <w:p w14:paraId="769304D1">
      <w:pPr>
        <w:pStyle w:val="32"/>
        <w:spacing w:beforeAutospacing="0" w:afterAutospacing="0" w:line="380" w:lineRule="exact"/>
        <w:jc w:val="both"/>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联系人：</w:t>
      </w:r>
      <w:r>
        <w:rPr>
          <w:rFonts w:hint="eastAsia" w:ascii="宋体" w:hAnsi="宋体" w:eastAsia="宋体" w:cs="宋体"/>
          <w:color w:val="000000" w:themeColor="text1"/>
          <w:u w:val="single"/>
          <w14:textFill>
            <w14:solidFill>
              <w14:schemeClr w14:val="tx1"/>
            </w14:solidFill>
          </w14:textFill>
        </w:rPr>
        <w:t>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p>
    <w:p w14:paraId="3BDA548D">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联系电话：</w:t>
      </w:r>
      <w:r>
        <w:rPr>
          <w:rFonts w:hint="eastAsia" w:ascii="宋体" w:hAnsi="宋体" w:eastAsia="宋体" w:cs="宋体"/>
          <w:color w:val="000000" w:themeColor="text1"/>
          <w:u w:val="single"/>
          <w14:textFill>
            <w14:solidFill>
              <w14:schemeClr w14:val="tx1"/>
            </w14:solidFill>
          </w14:textFill>
        </w:rPr>
        <w:t xml:space="preserve">                                           </w:t>
      </w:r>
    </w:p>
    <w:p w14:paraId="05C90F29">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授权代表：</w:t>
      </w:r>
      <w:r>
        <w:rPr>
          <w:rFonts w:hint="eastAsia" w:ascii="宋体" w:hAnsi="宋体" w:eastAsia="宋体" w:cs="宋体"/>
          <w:color w:val="000000" w:themeColor="text1"/>
          <w:u w:val="single"/>
          <w14:textFill>
            <w14:solidFill>
              <w14:schemeClr w14:val="tx1"/>
            </w14:solidFill>
          </w14:textFill>
        </w:rPr>
        <w:t>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p>
    <w:p w14:paraId="3CFF1569">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联系电话：</w:t>
      </w:r>
      <w:r>
        <w:rPr>
          <w:rFonts w:hint="eastAsia" w:ascii="宋体" w:hAnsi="宋体" w:eastAsia="宋体" w:cs="宋体"/>
          <w:color w:val="000000" w:themeColor="text1"/>
          <w:u w:val="single"/>
          <w14:textFill>
            <w14:solidFill>
              <w14:schemeClr w14:val="tx1"/>
            </w14:solidFill>
          </w14:textFill>
        </w:rPr>
        <w:t>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p>
    <w:p w14:paraId="3F3AB0ED">
      <w:pPr>
        <w:pStyle w:val="32"/>
        <w:spacing w:beforeAutospacing="0" w:afterAutospacing="0" w:line="380" w:lineRule="exact"/>
        <w:jc w:val="both"/>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地址： </w:t>
      </w:r>
      <w:r>
        <w:rPr>
          <w:rFonts w:hint="eastAsia" w:ascii="宋体" w:hAnsi="宋体" w:eastAsia="宋体" w:cs="宋体"/>
          <w:color w:val="000000" w:themeColor="text1"/>
          <w:u w:val="single"/>
          <w14:textFill>
            <w14:solidFill>
              <w14:schemeClr w14:val="tx1"/>
            </w14:solidFill>
          </w14:textFill>
        </w:rPr>
        <w:t>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p>
    <w:p w14:paraId="4FB23879">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邮编：</w:t>
      </w:r>
      <w:r>
        <w:rPr>
          <w:rFonts w:hint="eastAsia" w:ascii="宋体" w:hAnsi="宋体" w:eastAsia="宋体" w:cs="宋体"/>
          <w:color w:val="000000" w:themeColor="text1"/>
          <w:u w:val="single"/>
          <w14:textFill>
            <w14:solidFill>
              <w14:schemeClr w14:val="tx1"/>
            </w14:solidFill>
          </w14:textFill>
        </w:rPr>
        <w:t xml:space="preserve">                                </w:t>
      </w:r>
    </w:p>
    <w:p w14:paraId="23EAD78D">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二、质疑项目基本情况</w:t>
      </w:r>
    </w:p>
    <w:p w14:paraId="2AC1BFD4">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质疑项目的名称：</w:t>
      </w:r>
      <w:r>
        <w:rPr>
          <w:rFonts w:hint="eastAsia" w:ascii="宋体" w:hAnsi="宋体" w:eastAsia="宋体" w:cs="宋体"/>
          <w:color w:val="000000" w:themeColor="text1"/>
          <w:u w:val="single"/>
          <w14:textFill>
            <w14:solidFill>
              <w14:schemeClr w14:val="tx1"/>
            </w14:solidFill>
          </w14:textFill>
        </w:rPr>
        <w:t xml:space="preserve">                            </w:t>
      </w:r>
    </w:p>
    <w:p w14:paraId="14C6D4B5">
      <w:pPr>
        <w:pStyle w:val="32"/>
        <w:spacing w:beforeAutospacing="0" w:afterAutospacing="0" w:line="380" w:lineRule="exact"/>
        <w:jc w:val="both"/>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质疑项目的编号：</w:t>
      </w:r>
      <w:r>
        <w:rPr>
          <w:rFonts w:hint="eastAsia" w:ascii="宋体" w:hAnsi="宋体" w:eastAsia="宋体" w:cs="宋体"/>
          <w:color w:val="000000" w:themeColor="text1"/>
          <w:u w:val="single"/>
          <w14:textFill>
            <w14:solidFill>
              <w14:schemeClr w14:val="tx1"/>
            </w14:solidFill>
          </w14:textFill>
        </w:rPr>
        <w:t xml:space="preserve">                          </w:t>
      </w:r>
    </w:p>
    <w:p w14:paraId="40015CE9">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包号：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p>
    <w:p w14:paraId="23DA9F0B">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采购人名称：</w:t>
      </w:r>
      <w:r>
        <w:rPr>
          <w:rFonts w:hint="eastAsia" w:ascii="宋体" w:hAnsi="宋体" w:eastAsia="宋体" w:cs="宋体"/>
          <w:color w:val="000000" w:themeColor="text1"/>
          <w:u w:val="single"/>
          <w14:textFill>
            <w14:solidFill>
              <w14:schemeClr w14:val="tx1"/>
            </w14:solidFill>
          </w14:textFill>
        </w:rPr>
        <w:t xml:space="preserve">                            </w:t>
      </w:r>
    </w:p>
    <w:p w14:paraId="7F87E819">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采购文件获取日期：</w:t>
      </w:r>
      <w:r>
        <w:rPr>
          <w:rFonts w:hint="eastAsia" w:ascii="宋体" w:hAnsi="宋体" w:eastAsia="宋体" w:cs="宋体"/>
          <w:color w:val="000000" w:themeColor="text1"/>
          <w:u w:val="single"/>
          <w14:textFill>
            <w14:solidFill>
              <w14:schemeClr w14:val="tx1"/>
            </w14:solidFill>
          </w14:textFill>
        </w:rPr>
        <w:t xml:space="preserve">                             </w:t>
      </w:r>
    </w:p>
    <w:p w14:paraId="249AA5F0">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三、质疑事项具体内容</w:t>
      </w:r>
    </w:p>
    <w:p w14:paraId="29751642">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质疑事项1：</w:t>
      </w:r>
      <w:r>
        <w:rPr>
          <w:rFonts w:hint="eastAsia" w:ascii="宋体" w:hAnsi="宋体" w:eastAsia="宋体" w:cs="宋体"/>
          <w:color w:val="000000" w:themeColor="text1"/>
          <w:u w:val="single"/>
          <w14:textFill>
            <w14:solidFill>
              <w14:schemeClr w14:val="tx1"/>
            </w14:solidFill>
          </w14:textFill>
        </w:rPr>
        <w:t xml:space="preserve">                             </w:t>
      </w:r>
    </w:p>
    <w:p w14:paraId="3BF4E3A1">
      <w:pPr>
        <w:pStyle w:val="32"/>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事实依据：</w:t>
      </w:r>
      <w:r>
        <w:rPr>
          <w:rFonts w:hint="eastAsia" w:ascii="宋体" w:hAnsi="宋体" w:eastAsia="宋体" w:cs="宋体"/>
          <w:color w:val="000000" w:themeColor="text1"/>
          <w:u w:val="single"/>
          <w14:textFill>
            <w14:solidFill>
              <w14:schemeClr w14:val="tx1"/>
            </w14:solidFill>
          </w14:textFill>
        </w:rPr>
        <w:t xml:space="preserve">                                                   </w:t>
      </w:r>
    </w:p>
    <w:p w14:paraId="0F061F34">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法律依据：</w:t>
      </w:r>
      <w:r>
        <w:rPr>
          <w:rFonts w:hint="eastAsia" w:ascii="宋体" w:hAnsi="宋体" w:eastAsia="宋体" w:cs="宋体"/>
          <w:color w:val="000000" w:themeColor="text1"/>
          <w:u w:val="single"/>
          <w14:textFill>
            <w14:solidFill>
              <w14:schemeClr w14:val="tx1"/>
            </w14:solidFill>
          </w14:textFill>
        </w:rPr>
        <w:t xml:space="preserve">                                                    </w:t>
      </w:r>
    </w:p>
    <w:p w14:paraId="44506301">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质疑事项2</w:t>
      </w:r>
    </w:p>
    <w:p w14:paraId="4780C8D5">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p w14:paraId="632BA935">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四、与质疑事项相关的质疑请求</w:t>
      </w:r>
    </w:p>
    <w:p w14:paraId="28C21B6C">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请求：</w:t>
      </w:r>
      <w:r>
        <w:rPr>
          <w:rFonts w:hint="eastAsia" w:ascii="宋体" w:hAnsi="宋体" w:eastAsia="宋体" w:cs="宋体"/>
          <w:color w:val="000000" w:themeColor="text1"/>
          <w:u w:val="single"/>
          <w14:textFill>
            <w14:solidFill>
              <w14:schemeClr w14:val="tx1"/>
            </w14:solidFill>
          </w14:textFill>
        </w:rPr>
        <w:t xml:space="preserve">                                                          </w:t>
      </w:r>
    </w:p>
    <w:p w14:paraId="539DA8F0">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签字(签章)：                 公章：               日期：    </w:t>
      </w:r>
    </w:p>
    <w:p w14:paraId="34C1487D">
      <w:pPr>
        <w:pStyle w:val="32"/>
        <w:spacing w:beforeAutospacing="0" w:afterAutospacing="0" w:line="380" w:lineRule="exact"/>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质疑函制作说明：</w:t>
      </w:r>
    </w:p>
    <w:p w14:paraId="3A3FA680">
      <w:pPr>
        <w:pStyle w:val="32"/>
        <w:widowControl/>
        <w:spacing w:beforeAutospacing="0" w:afterAutospacing="0" w:line="38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1.供应商提出质疑时，应提交质疑函和必要的证明材料。</w:t>
      </w:r>
    </w:p>
    <w:p w14:paraId="537F18C7">
      <w:pPr>
        <w:pStyle w:val="32"/>
        <w:widowControl/>
        <w:spacing w:beforeAutospacing="0" w:afterAutospacing="0" w:line="38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6F22CC6">
      <w:pPr>
        <w:pStyle w:val="32"/>
        <w:widowControl/>
        <w:spacing w:beforeAutospacing="0" w:afterAutospacing="0" w:line="38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3.质疑供应商若对项目的某一分包进行质疑，质疑函中应列明具体分包号。</w:t>
      </w:r>
    </w:p>
    <w:p w14:paraId="1662FAFE">
      <w:pPr>
        <w:pStyle w:val="32"/>
        <w:widowControl/>
        <w:spacing w:beforeAutospacing="0" w:afterAutospacing="0" w:line="38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4.质疑函的质疑事项应具体、明确，并有必要的事实依据和法律依据。</w:t>
      </w:r>
    </w:p>
    <w:p w14:paraId="33768D0A">
      <w:pPr>
        <w:pStyle w:val="32"/>
        <w:widowControl/>
        <w:spacing w:beforeAutospacing="0" w:afterAutospacing="0" w:line="380" w:lineRule="exact"/>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5.质疑函的质疑请求应与质疑事项相关。</w:t>
      </w:r>
    </w:p>
    <w:p w14:paraId="2B278D48">
      <w:pPr>
        <w:pStyle w:val="32"/>
        <w:widowControl/>
        <w:spacing w:beforeAutospacing="0" w:afterAutospacing="0" w:line="380" w:lineRule="exact"/>
        <w:ind w:firstLine="480"/>
        <w:rPr>
          <w:rFonts w:hint="eastAsia" w:ascii="宋体" w:hAnsi="宋体" w:cs="宋体"/>
          <w:bCs/>
          <w:sz w:val="24"/>
        </w:rPr>
      </w:pPr>
      <w:r>
        <w:rPr>
          <w:rFonts w:hint="eastAsia" w:ascii="宋体" w:hAnsi="宋体" w:eastAsia="宋体" w:cs="宋体"/>
          <w:color w:val="000000" w:themeColor="text1"/>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bookmarkEnd w:id="142"/>
      <w:bookmarkEnd w:id="143"/>
      <w:bookmarkEnd w:id="144"/>
      <w:bookmarkEnd w:id="145"/>
      <w:bookmarkEnd w:id="154"/>
      <w:bookmarkEnd w:id="155"/>
      <w:bookmarkEnd w:id="156"/>
      <w:bookmarkEnd w:id="157"/>
      <w:bookmarkEnd w:id="158"/>
      <w:bookmarkEnd w:id="159"/>
    </w:p>
    <w:sectPr>
      <w:pgSz w:w="11906" w:h="16838"/>
      <w:pgMar w:top="1327" w:right="1236" w:bottom="1327" w:left="1406"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92543">
    <w:pPr>
      <w:pStyle w:val="22"/>
      <w:tabs>
        <w:tab w:val="left" w:pos="6456"/>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A7302">
    <w:pPr>
      <w:pStyle w:val="22"/>
      <w:tabs>
        <w:tab w:val="clear" w:pos="4153"/>
      </w:tabs>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AB572">
                          <w:pPr>
                            <w:pStyle w:val="2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126AB572">
                    <w:pPr>
                      <w:pStyle w:val="22"/>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F80C01"/>
    <w:multiLevelType w:val="singleLevel"/>
    <w:tmpl w:val="A9F80C01"/>
    <w:lvl w:ilvl="0" w:tentative="0">
      <w:start w:val="12"/>
      <w:numFmt w:val="chineseCounting"/>
      <w:suff w:val="nothing"/>
      <w:lvlText w:val="%1、"/>
      <w:lvlJc w:val="left"/>
      <w:rPr>
        <w:rFonts w:hint="eastAsia"/>
      </w:rPr>
    </w:lvl>
  </w:abstractNum>
  <w:abstractNum w:abstractNumId="1">
    <w:nsid w:val="B43256F6"/>
    <w:multiLevelType w:val="singleLevel"/>
    <w:tmpl w:val="B43256F6"/>
    <w:lvl w:ilvl="0" w:tentative="0">
      <w:start w:val="4"/>
      <w:numFmt w:val="chineseCounting"/>
      <w:suff w:val="nothing"/>
      <w:lvlText w:val="%1、"/>
      <w:lvlJc w:val="left"/>
      <w:rPr>
        <w:rFonts w:hint="eastAsia"/>
      </w:rPr>
    </w:lvl>
  </w:abstractNum>
  <w:abstractNum w:abstractNumId="2">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B166B40"/>
    <w:multiLevelType w:val="singleLevel"/>
    <w:tmpl w:val="1B166B40"/>
    <w:lvl w:ilvl="0" w:tentative="0">
      <w:start w:val="2"/>
      <w:numFmt w:val="decimal"/>
      <w:lvlText w:val="%1."/>
      <w:lvlJc w:val="left"/>
      <w:pPr>
        <w:tabs>
          <w:tab w:val="left" w:pos="312"/>
        </w:tabs>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250D8"/>
    <w:rsid w:val="00BC757B"/>
    <w:rsid w:val="014B08FF"/>
    <w:rsid w:val="01A57A74"/>
    <w:rsid w:val="01B566AA"/>
    <w:rsid w:val="01CB6C90"/>
    <w:rsid w:val="01EC2C01"/>
    <w:rsid w:val="01F1203F"/>
    <w:rsid w:val="027F6AB2"/>
    <w:rsid w:val="02C80F58"/>
    <w:rsid w:val="03060F81"/>
    <w:rsid w:val="030D55EF"/>
    <w:rsid w:val="037F791B"/>
    <w:rsid w:val="03870342"/>
    <w:rsid w:val="038D16A3"/>
    <w:rsid w:val="039E5AFC"/>
    <w:rsid w:val="03A76FAB"/>
    <w:rsid w:val="03E07887"/>
    <w:rsid w:val="04497DD5"/>
    <w:rsid w:val="04637B4D"/>
    <w:rsid w:val="04642012"/>
    <w:rsid w:val="04892F2B"/>
    <w:rsid w:val="04BA4933"/>
    <w:rsid w:val="04DA6FB8"/>
    <w:rsid w:val="05005D80"/>
    <w:rsid w:val="050560EC"/>
    <w:rsid w:val="05B055E3"/>
    <w:rsid w:val="060D0FFA"/>
    <w:rsid w:val="06BA7D75"/>
    <w:rsid w:val="070103DE"/>
    <w:rsid w:val="071B54FD"/>
    <w:rsid w:val="072262F7"/>
    <w:rsid w:val="07395993"/>
    <w:rsid w:val="073C1861"/>
    <w:rsid w:val="075E62DE"/>
    <w:rsid w:val="077946F5"/>
    <w:rsid w:val="07C871CD"/>
    <w:rsid w:val="08C43913"/>
    <w:rsid w:val="09491BC8"/>
    <w:rsid w:val="09515B19"/>
    <w:rsid w:val="09862761"/>
    <w:rsid w:val="09985576"/>
    <w:rsid w:val="09AF4121"/>
    <w:rsid w:val="09AF7805"/>
    <w:rsid w:val="09D45D77"/>
    <w:rsid w:val="09DC2A3C"/>
    <w:rsid w:val="09E638BB"/>
    <w:rsid w:val="0A3463D4"/>
    <w:rsid w:val="0A530F50"/>
    <w:rsid w:val="0A6A44EC"/>
    <w:rsid w:val="0B2543AF"/>
    <w:rsid w:val="0BC96FF0"/>
    <w:rsid w:val="0BCA1FC1"/>
    <w:rsid w:val="0BE676B5"/>
    <w:rsid w:val="0C3D0FB3"/>
    <w:rsid w:val="0C64719F"/>
    <w:rsid w:val="0D47360B"/>
    <w:rsid w:val="0D775A76"/>
    <w:rsid w:val="0DB25F8E"/>
    <w:rsid w:val="0E18729F"/>
    <w:rsid w:val="0EC05120"/>
    <w:rsid w:val="0EC5510F"/>
    <w:rsid w:val="0F0913B0"/>
    <w:rsid w:val="0F923225"/>
    <w:rsid w:val="0FA47B58"/>
    <w:rsid w:val="0FA67D74"/>
    <w:rsid w:val="0FBF604A"/>
    <w:rsid w:val="0FCB77DB"/>
    <w:rsid w:val="0FF46D31"/>
    <w:rsid w:val="0FFE255B"/>
    <w:rsid w:val="100F3B6B"/>
    <w:rsid w:val="104B7B21"/>
    <w:rsid w:val="10734C0B"/>
    <w:rsid w:val="10E2302E"/>
    <w:rsid w:val="11494E5B"/>
    <w:rsid w:val="114D00C2"/>
    <w:rsid w:val="117B6FDE"/>
    <w:rsid w:val="11BD13A5"/>
    <w:rsid w:val="11D748AD"/>
    <w:rsid w:val="122356AC"/>
    <w:rsid w:val="12A66ECC"/>
    <w:rsid w:val="12F64B6E"/>
    <w:rsid w:val="12FB03D7"/>
    <w:rsid w:val="130059ED"/>
    <w:rsid w:val="13852398"/>
    <w:rsid w:val="138A3509"/>
    <w:rsid w:val="13DC7D98"/>
    <w:rsid w:val="148368D6"/>
    <w:rsid w:val="149B534E"/>
    <w:rsid w:val="14AE3227"/>
    <w:rsid w:val="14B46A8F"/>
    <w:rsid w:val="14F67130"/>
    <w:rsid w:val="153656F6"/>
    <w:rsid w:val="15E72E94"/>
    <w:rsid w:val="16271F06"/>
    <w:rsid w:val="176B3F7D"/>
    <w:rsid w:val="177E360D"/>
    <w:rsid w:val="177F0946"/>
    <w:rsid w:val="178F62FF"/>
    <w:rsid w:val="17DF779A"/>
    <w:rsid w:val="17F30151"/>
    <w:rsid w:val="1811244B"/>
    <w:rsid w:val="181A633C"/>
    <w:rsid w:val="18411C4C"/>
    <w:rsid w:val="185C7097"/>
    <w:rsid w:val="187C5B60"/>
    <w:rsid w:val="19722A75"/>
    <w:rsid w:val="197F3ADB"/>
    <w:rsid w:val="198E2D03"/>
    <w:rsid w:val="19A31CEF"/>
    <w:rsid w:val="19DD25E4"/>
    <w:rsid w:val="19DE470C"/>
    <w:rsid w:val="19ED0C23"/>
    <w:rsid w:val="1A815666"/>
    <w:rsid w:val="1AC27A2C"/>
    <w:rsid w:val="1B154000"/>
    <w:rsid w:val="1B5543FC"/>
    <w:rsid w:val="1B5B7BFB"/>
    <w:rsid w:val="1B6A61A2"/>
    <w:rsid w:val="1BD60356"/>
    <w:rsid w:val="1C1F0D18"/>
    <w:rsid w:val="1C9363BF"/>
    <w:rsid w:val="1CFC5477"/>
    <w:rsid w:val="1D81111E"/>
    <w:rsid w:val="1DDB508D"/>
    <w:rsid w:val="1DF63710"/>
    <w:rsid w:val="1EA26876"/>
    <w:rsid w:val="1EEB392A"/>
    <w:rsid w:val="1F520C6C"/>
    <w:rsid w:val="1F604915"/>
    <w:rsid w:val="1F802E8E"/>
    <w:rsid w:val="1F86727A"/>
    <w:rsid w:val="1FD83A4D"/>
    <w:rsid w:val="1FF266BE"/>
    <w:rsid w:val="203901FA"/>
    <w:rsid w:val="205904EB"/>
    <w:rsid w:val="20692E24"/>
    <w:rsid w:val="207A674C"/>
    <w:rsid w:val="21242F74"/>
    <w:rsid w:val="2140457F"/>
    <w:rsid w:val="214F2C62"/>
    <w:rsid w:val="21BC51D5"/>
    <w:rsid w:val="21EC63AB"/>
    <w:rsid w:val="220E0FA3"/>
    <w:rsid w:val="221E4A17"/>
    <w:rsid w:val="22877591"/>
    <w:rsid w:val="228B1CAE"/>
    <w:rsid w:val="22EE61B7"/>
    <w:rsid w:val="231620FB"/>
    <w:rsid w:val="237D2D54"/>
    <w:rsid w:val="23996B1F"/>
    <w:rsid w:val="23A44173"/>
    <w:rsid w:val="23C276AD"/>
    <w:rsid w:val="245E07C6"/>
    <w:rsid w:val="246A39F3"/>
    <w:rsid w:val="2551214B"/>
    <w:rsid w:val="25DC3954"/>
    <w:rsid w:val="25F62AB4"/>
    <w:rsid w:val="26E65FC6"/>
    <w:rsid w:val="27160908"/>
    <w:rsid w:val="27191EED"/>
    <w:rsid w:val="272A41AD"/>
    <w:rsid w:val="272D447F"/>
    <w:rsid w:val="27F71B64"/>
    <w:rsid w:val="28AC1314"/>
    <w:rsid w:val="290A5904"/>
    <w:rsid w:val="29114058"/>
    <w:rsid w:val="293B7327"/>
    <w:rsid w:val="295C0655"/>
    <w:rsid w:val="2960729B"/>
    <w:rsid w:val="29A0718A"/>
    <w:rsid w:val="29E3170A"/>
    <w:rsid w:val="2A4B2CE0"/>
    <w:rsid w:val="2A722EC6"/>
    <w:rsid w:val="2A726D79"/>
    <w:rsid w:val="2AB078A1"/>
    <w:rsid w:val="2AC033A1"/>
    <w:rsid w:val="2AE04519"/>
    <w:rsid w:val="2B080C09"/>
    <w:rsid w:val="2B2C517A"/>
    <w:rsid w:val="2B5D59FE"/>
    <w:rsid w:val="2B603075"/>
    <w:rsid w:val="2B977B28"/>
    <w:rsid w:val="2CDE4E21"/>
    <w:rsid w:val="2D1B36F8"/>
    <w:rsid w:val="2D2C62B2"/>
    <w:rsid w:val="2D781B60"/>
    <w:rsid w:val="2D9A3018"/>
    <w:rsid w:val="2DB44AB6"/>
    <w:rsid w:val="2DC84699"/>
    <w:rsid w:val="2DFE26D1"/>
    <w:rsid w:val="2E690493"/>
    <w:rsid w:val="2ECB20BA"/>
    <w:rsid w:val="2F154177"/>
    <w:rsid w:val="2F3C7955"/>
    <w:rsid w:val="2F48454C"/>
    <w:rsid w:val="2F6D4AF5"/>
    <w:rsid w:val="2F7B4FA2"/>
    <w:rsid w:val="2F7E5AB0"/>
    <w:rsid w:val="2F9E7071"/>
    <w:rsid w:val="2FAD2601"/>
    <w:rsid w:val="302A1EA4"/>
    <w:rsid w:val="303F5ED6"/>
    <w:rsid w:val="30437CE4"/>
    <w:rsid w:val="308560E4"/>
    <w:rsid w:val="308C0468"/>
    <w:rsid w:val="30B70530"/>
    <w:rsid w:val="313034EA"/>
    <w:rsid w:val="31354B69"/>
    <w:rsid w:val="31BA471D"/>
    <w:rsid w:val="325D014F"/>
    <w:rsid w:val="326276D3"/>
    <w:rsid w:val="32FD3242"/>
    <w:rsid w:val="33491B2B"/>
    <w:rsid w:val="337F131A"/>
    <w:rsid w:val="33924683"/>
    <w:rsid w:val="339A2E9C"/>
    <w:rsid w:val="33AE48CC"/>
    <w:rsid w:val="33C323F3"/>
    <w:rsid w:val="33CD48A6"/>
    <w:rsid w:val="33E365F1"/>
    <w:rsid w:val="340F3C54"/>
    <w:rsid w:val="342A06A6"/>
    <w:rsid w:val="351153E0"/>
    <w:rsid w:val="35A37FDB"/>
    <w:rsid w:val="35E7527E"/>
    <w:rsid w:val="35EB79DF"/>
    <w:rsid w:val="360D0303"/>
    <w:rsid w:val="3699568D"/>
    <w:rsid w:val="36AC716F"/>
    <w:rsid w:val="372B2789"/>
    <w:rsid w:val="37607F59"/>
    <w:rsid w:val="37623490"/>
    <w:rsid w:val="37D746BF"/>
    <w:rsid w:val="37F060CF"/>
    <w:rsid w:val="383B2EA0"/>
    <w:rsid w:val="38763ED8"/>
    <w:rsid w:val="39194863"/>
    <w:rsid w:val="39846F28"/>
    <w:rsid w:val="39C742BF"/>
    <w:rsid w:val="3A2D6818"/>
    <w:rsid w:val="3AB467C6"/>
    <w:rsid w:val="3B2220F5"/>
    <w:rsid w:val="3B6C511E"/>
    <w:rsid w:val="3B7F0C1A"/>
    <w:rsid w:val="3B967CDA"/>
    <w:rsid w:val="3BA0301A"/>
    <w:rsid w:val="3BA64AD4"/>
    <w:rsid w:val="3C140102"/>
    <w:rsid w:val="3C2052F0"/>
    <w:rsid w:val="3C5C33E5"/>
    <w:rsid w:val="3C5C5193"/>
    <w:rsid w:val="3CF24BA2"/>
    <w:rsid w:val="3D141F11"/>
    <w:rsid w:val="3DA23079"/>
    <w:rsid w:val="3DB01D85"/>
    <w:rsid w:val="3DBA4867"/>
    <w:rsid w:val="3DD65ED5"/>
    <w:rsid w:val="3E104487"/>
    <w:rsid w:val="3E481E73"/>
    <w:rsid w:val="3E8310FD"/>
    <w:rsid w:val="3F4E6449"/>
    <w:rsid w:val="3F516B05"/>
    <w:rsid w:val="3F7C39B5"/>
    <w:rsid w:val="3FFF2A05"/>
    <w:rsid w:val="40063D93"/>
    <w:rsid w:val="403A795B"/>
    <w:rsid w:val="4079618D"/>
    <w:rsid w:val="409018AF"/>
    <w:rsid w:val="40907B01"/>
    <w:rsid w:val="40F03155"/>
    <w:rsid w:val="40FB76D2"/>
    <w:rsid w:val="41004C87"/>
    <w:rsid w:val="41016309"/>
    <w:rsid w:val="4128702C"/>
    <w:rsid w:val="416C628F"/>
    <w:rsid w:val="417C08E0"/>
    <w:rsid w:val="41B11ADD"/>
    <w:rsid w:val="41E268D8"/>
    <w:rsid w:val="41E55C2A"/>
    <w:rsid w:val="41F8595E"/>
    <w:rsid w:val="42207469"/>
    <w:rsid w:val="425E5B4D"/>
    <w:rsid w:val="42935686"/>
    <w:rsid w:val="42F36125"/>
    <w:rsid w:val="431D08CD"/>
    <w:rsid w:val="434C565B"/>
    <w:rsid w:val="436D4129"/>
    <w:rsid w:val="43892B43"/>
    <w:rsid w:val="43DE769D"/>
    <w:rsid w:val="43E71D40"/>
    <w:rsid w:val="44697720"/>
    <w:rsid w:val="449D27EC"/>
    <w:rsid w:val="44FF2277"/>
    <w:rsid w:val="45796B78"/>
    <w:rsid w:val="458E4A1E"/>
    <w:rsid w:val="45AC301F"/>
    <w:rsid w:val="45C62011"/>
    <w:rsid w:val="4625614E"/>
    <w:rsid w:val="468472C8"/>
    <w:rsid w:val="46AB385D"/>
    <w:rsid w:val="46CC2D7F"/>
    <w:rsid w:val="46DE2AC4"/>
    <w:rsid w:val="46E75FA1"/>
    <w:rsid w:val="472158A5"/>
    <w:rsid w:val="47655843"/>
    <w:rsid w:val="477D428B"/>
    <w:rsid w:val="477D598D"/>
    <w:rsid w:val="47AD0BF7"/>
    <w:rsid w:val="47B143E4"/>
    <w:rsid w:val="47CC1972"/>
    <w:rsid w:val="47DD66CD"/>
    <w:rsid w:val="47F15329"/>
    <w:rsid w:val="47F941DE"/>
    <w:rsid w:val="481B05F8"/>
    <w:rsid w:val="4871215B"/>
    <w:rsid w:val="487D0AD0"/>
    <w:rsid w:val="48AA548E"/>
    <w:rsid w:val="48CA1C78"/>
    <w:rsid w:val="48CD47E5"/>
    <w:rsid w:val="49524C43"/>
    <w:rsid w:val="499C12C5"/>
    <w:rsid w:val="49DE18DD"/>
    <w:rsid w:val="49E35145"/>
    <w:rsid w:val="4A1B1A44"/>
    <w:rsid w:val="4A62250E"/>
    <w:rsid w:val="4A6B6C14"/>
    <w:rsid w:val="4A887BEA"/>
    <w:rsid w:val="4AC4664F"/>
    <w:rsid w:val="4ACE3438"/>
    <w:rsid w:val="4B5670C1"/>
    <w:rsid w:val="4B790FD9"/>
    <w:rsid w:val="4BA12BC2"/>
    <w:rsid w:val="4BC35D95"/>
    <w:rsid w:val="4BD32335"/>
    <w:rsid w:val="4C1A4723"/>
    <w:rsid w:val="4C2065BF"/>
    <w:rsid w:val="4CF85F6B"/>
    <w:rsid w:val="4D145658"/>
    <w:rsid w:val="4D1711C1"/>
    <w:rsid w:val="4D333CEE"/>
    <w:rsid w:val="4D437238"/>
    <w:rsid w:val="4D617EC2"/>
    <w:rsid w:val="4DA93FB0"/>
    <w:rsid w:val="4DD74FC1"/>
    <w:rsid w:val="4DFC67D6"/>
    <w:rsid w:val="4E372EB3"/>
    <w:rsid w:val="4E5110F0"/>
    <w:rsid w:val="4E676C10"/>
    <w:rsid w:val="4EA14F63"/>
    <w:rsid w:val="4F0022F6"/>
    <w:rsid w:val="4FB64E7B"/>
    <w:rsid w:val="502119D7"/>
    <w:rsid w:val="503B2799"/>
    <w:rsid w:val="50C17863"/>
    <w:rsid w:val="50DC644B"/>
    <w:rsid w:val="512C73D2"/>
    <w:rsid w:val="516D4D8C"/>
    <w:rsid w:val="51D04201"/>
    <w:rsid w:val="521074C0"/>
    <w:rsid w:val="523106A6"/>
    <w:rsid w:val="52873ED9"/>
    <w:rsid w:val="52CD0C2F"/>
    <w:rsid w:val="52D93C9C"/>
    <w:rsid w:val="532A5B93"/>
    <w:rsid w:val="53587417"/>
    <w:rsid w:val="53BF1070"/>
    <w:rsid w:val="542F4739"/>
    <w:rsid w:val="54696489"/>
    <w:rsid w:val="5474356A"/>
    <w:rsid w:val="54AA254E"/>
    <w:rsid w:val="54B27BEE"/>
    <w:rsid w:val="55321AED"/>
    <w:rsid w:val="55630EE8"/>
    <w:rsid w:val="55AD03B6"/>
    <w:rsid w:val="55C951EF"/>
    <w:rsid w:val="55DA38A0"/>
    <w:rsid w:val="55DE2B2D"/>
    <w:rsid w:val="55DF0EB7"/>
    <w:rsid w:val="579E5B42"/>
    <w:rsid w:val="57A67AF9"/>
    <w:rsid w:val="57B570EE"/>
    <w:rsid w:val="57E36310"/>
    <w:rsid w:val="581C3D92"/>
    <w:rsid w:val="583E1A0D"/>
    <w:rsid w:val="58B008E9"/>
    <w:rsid w:val="58B05FA8"/>
    <w:rsid w:val="58CB127E"/>
    <w:rsid w:val="58E14F7F"/>
    <w:rsid w:val="58F419FA"/>
    <w:rsid w:val="591D2213"/>
    <w:rsid w:val="592E4385"/>
    <w:rsid w:val="59CA3C2C"/>
    <w:rsid w:val="5A0E6C17"/>
    <w:rsid w:val="5ABB6A87"/>
    <w:rsid w:val="5AE623A0"/>
    <w:rsid w:val="5B191C6E"/>
    <w:rsid w:val="5B780C82"/>
    <w:rsid w:val="5B85605C"/>
    <w:rsid w:val="5B953AB0"/>
    <w:rsid w:val="5B953DC6"/>
    <w:rsid w:val="5BA04C44"/>
    <w:rsid w:val="5C1D44E7"/>
    <w:rsid w:val="5C3911A5"/>
    <w:rsid w:val="5C9F3435"/>
    <w:rsid w:val="5CA263B9"/>
    <w:rsid w:val="5CA91326"/>
    <w:rsid w:val="5CAC13C7"/>
    <w:rsid w:val="5D506D8D"/>
    <w:rsid w:val="5D535CE6"/>
    <w:rsid w:val="5D6B2224"/>
    <w:rsid w:val="5D824DF6"/>
    <w:rsid w:val="5DA16A52"/>
    <w:rsid w:val="5DD10016"/>
    <w:rsid w:val="5E4C10B3"/>
    <w:rsid w:val="5EDF53B5"/>
    <w:rsid w:val="5EF23E8C"/>
    <w:rsid w:val="5F8D1984"/>
    <w:rsid w:val="60145522"/>
    <w:rsid w:val="60255718"/>
    <w:rsid w:val="60D37AAA"/>
    <w:rsid w:val="61135EB8"/>
    <w:rsid w:val="61311B18"/>
    <w:rsid w:val="613175F1"/>
    <w:rsid w:val="61880654"/>
    <w:rsid w:val="62571DD5"/>
    <w:rsid w:val="628726BA"/>
    <w:rsid w:val="62B24C1D"/>
    <w:rsid w:val="62CE6492"/>
    <w:rsid w:val="638E5F67"/>
    <w:rsid w:val="643B6378"/>
    <w:rsid w:val="644A7E43"/>
    <w:rsid w:val="64561788"/>
    <w:rsid w:val="64BE2D8D"/>
    <w:rsid w:val="64C60F42"/>
    <w:rsid w:val="64E831B8"/>
    <w:rsid w:val="65424FBE"/>
    <w:rsid w:val="65680839"/>
    <w:rsid w:val="65975942"/>
    <w:rsid w:val="65A92947"/>
    <w:rsid w:val="65D7216C"/>
    <w:rsid w:val="66091638"/>
    <w:rsid w:val="662A7E07"/>
    <w:rsid w:val="664A412A"/>
    <w:rsid w:val="665C2547"/>
    <w:rsid w:val="66BE68C6"/>
    <w:rsid w:val="66F95EFF"/>
    <w:rsid w:val="671B1623"/>
    <w:rsid w:val="671D35ED"/>
    <w:rsid w:val="677F5452"/>
    <w:rsid w:val="67BC2E06"/>
    <w:rsid w:val="68077DF9"/>
    <w:rsid w:val="68C006D4"/>
    <w:rsid w:val="69470DF5"/>
    <w:rsid w:val="69821E2D"/>
    <w:rsid w:val="69AF0748"/>
    <w:rsid w:val="69DD3414"/>
    <w:rsid w:val="69F94441"/>
    <w:rsid w:val="6A684DAE"/>
    <w:rsid w:val="6AB57FE0"/>
    <w:rsid w:val="6ACB4B63"/>
    <w:rsid w:val="6ACF10A2"/>
    <w:rsid w:val="6B3B04E6"/>
    <w:rsid w:val="6B811C71"/>
    <w:rsid w:val="6BAA1AB7"/>
    <w:rsid w:val="6BC92F70"/>
    <w:rsid w:val="6BFA34E9"/>
    <w:rsid w:val="6C253888"/>
    <w:rsid w:val="6C292A34"/>
    <w:rsid w:val="6C88410E"/>
    <w:rsid w:val="6C9C6D62"/>
    <w:rsid w:val="6CD953E3"/>
    <w:rsid w:val="6D1B3696"/>
    <w:rsid w:val="6D2531FB"/>
    <w:rsid w:val="6D304491"/>
    <w:rsid w:val="6D602485"/>
    <w:rsid w:val="6D7F79FE"/>
    <w:rsid w:val="6D9263B7"/>
    <w:rsid w:val="6DC42A14"/>
    <w:rsid w:val="6DCA3DA3"/>
    <w:rsid w:val="6DCD73EF"/>
    <w:rsid w:val="6DF10A88"/>
    <w:rsid w:val="6E3B3456"/>
    <w:rsid w:val="6EEF1D13"/>
    <w:rsid w:val="6F071B51"/>
    <w:rsid w:val="6F99049D"/>
    <w:rsid w:val="6FFE1E94"/>
    <w:rsid w:val="700E61C9"/>
    <w:rsid w:val="706A281F"/>
    <w:rsid w:val="709A41CE"/>
    <w:rsid w:val="715C7408"/>
    <w:rsid w:val="71B0505E"/>
    <w:rsid w:val="724539F8"/>
    <w:rsid w:val="724C7C71"/>
    <w:rsid w:val="724F1FEB"/>
    <w:rsid w:val="72671307"/>
    <w:rsid w:val="736B3932"/>
    <w:rsid w:val="73BC1BEF"/>
    <w:rsid w:val="73DE5455"/>
    <w:rsid w:val="73ED5998"/>
    <w:rsid w:val="73FC0A2E"/>
    <w:rsid w:val="74211A72"/>
    <w:rsid w:val="74352EB5"/>
    <w:rsid w:val="74AD3C64"/>
    <w:rsid w:val="74BB4445"/>
    <w:rsid w:val="74DA7CA2"/>
    <w:rsid w:val="754C32EF"/>
    <w:rsid w:val="75E023B5"/>
    <w:rsid w:val="75E15658"/>
    <w:rsid w:val="75FD2374"/>
    <w:rsid w:val="764D28FB"/>
    <w:rsid w:val="7671125F"/>
    <w:rsid w:val="76FB22BA"/>
    <w:rsid w:val="777D4287"/>
    <w:rsid w:val="77990593"/>
    <w:rsid w:val="78776F40"/>
    <w:rsid w:val="78B84712"/>
    <w:rsid w:val="78EA52F9"/>
    <w:rsid w:val="78F61EF0"/>
    <w:rsid w:val="794146B9"/>
    <w:rsid w:val="794669D3"/>
    <w:rsid w:val="799E5509"/>
    <w:rsid w:val="79C618C2"/>
    <w:rsid w:val="79CD4E76"/>
    <w:rsid w:val="79E47AF0"/>
    <w:rsid w:val="79EE28B6"/>
    <w:rsid w:val="7A5C3FD5"/>
    <w:rsid w:val="7B5424F8"/>
    <w:rsid w:val="7B825CBD"/>
    <w:rsid w:val="7BD60097"/>
    <w:rsid w:val="7C2E19A1"/>
    <w:rsid w:val="7C881AE4"/>
    <w:rsid w:val="7D29639B"/>
    <w:rsid w:val="7D4E1CA1"/>
    <w:rsid w:val="7D6A6C21"/>
    <w:rsid w:val="7D893333"/>
    <w:rsid w:val="7D955719"/>
    <w:rsid w:val="7DE04732"/>
    <w:rsid w:val="7E400169"/>
    <w:rsid w:val="7E5E656D"/>
    <w:rsid w:val="7E81225C"/>
    <w:rsid w:val="7EAA3560"/>
    <w:rsid w:val="7F413799"/>
    <w:rsid w:val="7F4238C0"/>
    <w:rsid w:val="7F4F5D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sz w:val="44"/>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qFormat/>
    <w:uiPriority w:val="0"/>
  </w:style>
  <w:style w:type="table" w:default="1" w:styleId="36">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Indent"/>
    <w:basedOn w:val="1"/>
    <w:next w:val="15"/>
    <w:qFormat/>
    <w:uiPriority w:val="99"/>
    <w:pPr>
      <w:ind w:firstLine="645"/>
    </w:pPr>
    <w:rPr>
      <w:rFonts w:ascii="楷体_GB2312" w:eastAsia="楷体_GB2312"/>
      <w:sz w:val="32"/>
      <w:szCs w:val="32"/>
    </w:rPr>
  </w:style>
  <w:style w:type="paragraph" w:styleId="15">
    <w:name w:val="envelope return"/>
    <w:basedOn w:val="1"/>
    <w:qFormat/>
    <w:uiPriority w:val="0"/>
    <w:rPr>
      <w:rFonts w:ascii="Arial" w:hAnsi="Arial"/>
    </w:rPr>
  </w:style>
  <w:style w:type="paragraph" w:styleId="16">
    <w:name w:val="index 4"/>
    <w:basedOn w:val="1"/>
    <w:next w:val="1"/>
    <w:unhideWhenUsed/>
    <w:qFormat/>
    <w:uiPriority w:val="99"/>
    <w:pPr>
      <w:ind w:left="600"/>
    </w:pPr>
    <w:rPr>
      <w:rFonts w:ascii="宋体"/>
      <w:b/>
      <w:position w:val="-10"/>
      <w:sz w:val="24"/>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9"/>
    <w:semiHidden/>
    <w:unhideWhenUsed/>
    <w:qFormat/>
    <w:uiPriority w:val="99"/>
    <w:pPr>
      <w:spacing w:after="0" w:line="240" w:lineRule="auto"/>
    </w:pPr>
    <w:rPr>
      <w:sz w:val="20"/>
    </w:rPr>
  </w:style>
  <w:style w:type="paragraph" w:styleId="22">
    <w:name w:val="footer"/>
    <w:basedOn w:val="1"/>
    <w:qFormat/>
    <w:uiPriority w:val="0"/>
    <w:pPr>
      <w:tabs>
        <w:tab w:val="center" w:pos="4153"/>
        <w:tab w:val="right" w:pos="8306"/>
      </w:tabs>
      <w:jc w:val="left"/>
    </w:pPr>
    <w:rPr>
      <w:sz w:val="18"/>
      <w:szCs w:val="18"/>
    </w:rPr>
  </w:style>
  <w:style w:type="paragraph" w:styleId="23">
    <w:name w:val="header"/>
    <w:basedOn w:val="1"/>
    <w:link w:val="60"/>
    <w:unhideWhenUsed/>
    <w:qFormat/>
    <w:uiPriority w:val="99"/>
    <w:pPr>
      <w:tabs>
        <w:tab w:val="center" w:pos="7143"/>
        <w:tab w:val="right" w:pos="14287"/>
      </w:tabs>
      <w:spacing w:after="0" w:line="240" w:lineRule="auto"/>
    </w:pPr>
  </w:style>
  <w:style w:type="paragraph" w:styleId="24">
    <w:name w:val="toc 1"/>
    <w:basedOn w:val="1"/>
    <w:next w:val="1"/>
    <w:qFormat/>
    <w:uiPriority w:val="0"/>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5"/>
    <w:qFormat/>
    <w:uiPriority w:val="11"/>
    <w:pPr>
      <w:spacing w:before="200" w:after="200"/>
    </w:pPr>
    <w:rPr>
      <w:sz w:val="24"/>
      <w:szCs w:val="24"/>
    </w:rPr>
  </w:style>
  <w:style w:type="paragraph" w:styleId="27">
    <w:name w:val="footnote text"/>
    <w:basedOn w:val="1"/>
    <w:link w:val="188"/>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54"/>
    <w:qFormat/>
    <w:uiPriority w:val="10"/>
    <w:pPr>
      <w:spacing w:before="300" w:after="200"/>
      <w:contextualSpacing/>
    </w:pPr>
    <w:rPr>
      <w:sz w:val="48"/>
      <w:szCs w:val="48"/>
    </w:rPr>
  </w:style>
  <w:style w:type="paragraph" w:styleId="34">
    <w:name w:val="Body Text First Indent"/>
    <w:basedOn w:val="1"/>
    <w:unhideWhenUsed/>
    <w:qFormat/>
    <w:uiPriority w:val="99"/>
    <w:pPr>
      <w:ind w:firstLine="420"/>
    </w:pPr>
  </w:style>
  <w:style w:type="paragraph" w:styleId="35">
    <w:name w:val="Body Text First Indent 2"/>
    <w:basedOn w:val="14"/>
    <w:qFormat/>
    <w:uiPriority w:val="99"/>
    <w:pPr>
      <w:spacing w:line="360" w:lineRule="auto"/>
      <w:ind w:firstLine="420"/>
    </w:pPr>
    <w:rPr>
      <w:rFonts w:ascii="宋体" w:hAnsi="宋体" w:eastAsia="宋体"/>
      <w:sz w:val="20"/>
      <w:szCs w:val="20"/>
    </w:rPr>
  </w:style>
  <w:style w:type="table" w:styleId="37">
    <w:name w:val="Table Grid"/>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0"/>
    <w:rPr>
      <w:b/>
    </w:rPr>
  </w:style>
  <w:style w:type="character" w:styleId="40">
    <w:name w:val="endnote reference"/>
    <w:basedOn w:val="38"/>
    <w:semiHidden/>
    <w:unhideWhenUsed/>
    <w:qFormat/>
    <w:uiPriority w:val="99"/>
    <w:rPr>
      <w:vertAlign w:val="superscript"/>
    </w:rPr>
  </w:style>
  <w:style w:type="character" w:styleId="41">
    <w:name w:val="Hyperlink"/>
    <w:unhideWhenUsed/>
    <w:qFormat/>
    <w:uiPriority w:val="99"/>
    <w:rPr>
      <w:color w:val="0026E5" w:themeColor="hyperlink"/>
      <w:u w:val="single"/>
      <w14:textFill>
        <w14:solidFill>
          <w14:schemeClr w14:val="hlink"/>
        </w14:solidFill>
      </w14:textFill>
    </w:rPr>
  </w:style>
  <w:style w:type="character" w:styleId="42">
    <w:name w:val="footnote reference"/>
    <w:basedOn w:val="38"/>
    <w:unhideWhenUsed/>
    <w:qFormat/>
    <w:uiPriority w:val="99"/>
    <w:rPr>
      <w:vertAlign w:val="superscript"/>
    </w:rPr>
  </w:style>
  <w:style w:type="character" w:customStyle="1" w:styleId="43">
    <w:name w:val="Heading 1 Char"/>
    <w:basedOn w:val="38"/>
    <w:qFormat/>
    <w:uiPriority w:val="9"/>
    <w:rPr>
      <w:rFonts w:ascii="Arial" w:hAnsi="Arial" w:eastAsia="Arial" w:cs="Arial"/>
      <w:sz w:val="40"/>
      <w:szCs w:val="40"/>
    </w:rPr>
  </w:style>
  <w:style w:type="character" w:customStyle="1" w:styleId="44">
    <w:name w:val="Heading 2 Char"/>
    <w:basedOn w:val="38"/>
    <w:qFormat/>
    <w:uiPriority w:val="9"/>
    <w:rPr>
      <w:rFonts w:ascii="Arial" w:hAnsi="Arial" w:eastAsia="Arial" w:cs="Arial"/>
      <w:sz w:val="34"/>
    </w:rPr>
  </w:style>
  <w:style w:type="character" w:customStyle="1" w:styleId="45">
    <w:name w:val="Heading 3 Char"/>
    <w:basedOn w:val="38"/>
    <w:qFormat/>
    <w:uiPriority w:val="9"/>
    <w:rPr>
      <w:rFonts w:ascii="Arial" w:hAnsi="Arial" w:eastAsia="Arial" w:cs="Arial"/>
      <w:sz w:val="30"/>
      <w:szCs w:val="30"/>
    </w:rPr>
  </w:style>
  <w:style w:type="character" w:customStyle="1" w:styleId="46">
    <w:name w:val="Heading 4 Char"/>
    <w:basedOn w:val="38"/>
    <w:link w:val="5"/>
    <w:qFormat/>
    <w:uiPriority w:val="9"/>
    <w:rPr>
      <w:rFonts w:ascii="Arial" w:hAnsi="Arial" w:eastAsia="Arial" w:cs="Arial"/>
      <w:b/>
      <w:bCs/>
      <w:sz w:val="26"/>
      <w:szCs w:val="26"/>
    </w:rPr>
  </w:style>
  <w:style w:type="character" w:customStyle="1" w:styleId="47">
    <w:name w:val="Heading 5 Char"/>
    <w:basedOn w:val="38"/>
    <w:link w:val="6"/>
    <w:qFormat/>
    <w:uiPriority w:val="9"/>
    <w:rPr>
      <w:rFonts w:ascii="Arial" w:hAnsi="Arial" w:eastAsia="Arial" w:cs="Arial"/>
      <w:b/>
      <w:bCs/>
      <w:sz w:val="24"/>
      <w:szCs w:val="24"/>
    </w:rPr>
  </w:style>
  <w:style w:type="character" w:customStyle="1" w:styleId="48">
    <w:name w:val="Heading 6 Char"/>
    <w:basedOn w:val="38"/>
    <w:link w:val="7"/>
    <w:qFormat/>
    <w:uiPriority w:val="9"/>
    <w:rPr>
      <w:rFonts w:ascii="Arial" w:hAnsi="Arial" w:eastAsia="Arial" w:cs="Arial"/>
      <w:b/>
      <w:bCs/>
      <w:sz w:val="22"/>
      <w:szCs w:val="22"/>
    </w:rPr>
  </w:style>
  <w:style w:type="character" w:customStyle="1" w:styleId="49">
    <w:name w:val="Heading 7 Char"/>
    <w:basedOn w:val="38"/>
    <w:link w:val="8"/>
    <w:qFormat/>
    <w:uiPriority w:val="9"/>
    <w:rPr>
      <w:rFonts w:ascii="Arial" w:hAnsi="Arial" w:eastAsia="Arial" w:cs="Arial"/>
      <w:b/>
      <w:bCs/>
      <w:i/>
      <w:iCs/>
      <w:sz w:val="22"/>
      <w:szCs w:val="22"/>
    </w:rPr>
  </w:style>
  <w:style w:type="character" w:customStyle="1" w:styleId="50">
    <w:name w:val="Heading 8 Char"/>
    <w:basedOn w:val="38"/>
    <w:link w:val="9"/>
    <w:qFormat/>
    <w:uiPriority w:val="9"/>
    <w:rPr>
      <w:rFonts w:ascii="Arial" w:hAnsi="Arial" w:eastAsia="Arial" w:cs="Arial"/>
      <w:i/>
      <w:iCs/>
      <w:sz w:val="22"/>
      <w:szCs w:val="22"/>
    </w:rPr>
  </w:style>
  <w:style w:type="character" w:customStyle="1" w:styleId="51">
    <w:name w:val="Heading 9 Char"/>
    <w:basedOn w:val="38"/>
    <w:link w:val="10"/>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basedOn w:val="38"/>
    <w:link w:val="33"/>
    <w:qFormat/>
    <w:uiPriority w:val="10"/>
    <w:rPr>
      <w:sz w:val="48"/>
      <w:szCs w:val="48"/>
    </w:rPr>
  </w:style>
  <w:style w:type="character" w:customStyle="1" w:styleId="55">
    <w:name w:val="Subtitle Char"/>
    <w:basedOn w:val="38"/>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8"/>
    <w:link w:val="23"/>
    <w:qFormat/>
    <w:uiPriority w:val="99"/>
  </w:style>
  <w:style w:type="character" w:customStyle="1" w:styleId="61">
    <w:name w:val="Footer Char"/>
    <w:basedOn w:val="38"/>
    <w:qFormat/>
    <w:uiPriority w:val="99"/>
  </w:style>
  <w:style w:type="character" w:customStyle="1" w:styleId="62">
    <w:name w:val="Caption Char"/>
    <w:qFormat/>
    <w:uiPriority w:val="99"/>
  </w:style>
  <w:style w:type="table" w:customStyle="1" w:styleId="63">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1">
    <w:name w:val="Grid Table 1 Light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2">
    <w:name w:val="Grid Table 1 Light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3">
    <w:name w:val="Grid Table 1 Light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4">
    <w:name w:val="Grid Table 1 Light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5">
    <w:name w:val="Grid Table 1 Light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6">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8">
    <w:name w:val="Grid Table 2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9">
    <w:name w:val="Grid Table 2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0">
    <w:name w:val="Grid Table 2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1">
    <w:name w:val="Grid Table 2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2">
    <w:name w:val="Grid Table 2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3">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5">
    <w:name w:val="Grid Table 3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6">
    <w:name w:val="Grid Table 3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7">
    <w:name w:val="Grid Table 3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8">
    <w:name w:val="Grid Table 3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9">
    <w:name w:val="Grid Table 3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0">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6"/>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2">
    <w:name w:val="Grid Table 4 - Accent 2"/>
    <w:basedOn w:val="36"/>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3">
    <w:name w:val="Grid Table 4 - Accent 3"/>
    <w:basedOn w:val="36"/>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4">
    <w:name w:val="Grid Table 4 - Accent 4"/>
    <w:basedOn w:val="36"/>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5">
    <w:name w:val="Grid Table 4 - Accent 5"/>
    <w:basedOn w:val="36"/>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6">
    <w:name w:val="Grid Table 4 - Accent 6"/>
    <w:basedOn w:val="36"/>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7">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9">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0">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1">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2">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3">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4">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6"/>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6"/>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6"/>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0">
    <w:name w:val="Grid Table 6 Colorful - Accent 6"/>
    <w:basedOn w:val="36"/>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1">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6"/>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6"/>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6"/>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6"/>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6"/>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7">
    <w:name w:val="Grid Table 7 Colorful - Accent 6"/>
    <w:basedOn w:val="36"/>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8">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6"/>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0">
    <w:name w:val="List Table 1 Light - Accent 2"/>
    <w:basedOn w:val="36"/>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1">
    <w:name w:val="List Table 1 Light - Accent 3"/>
    <w:basedOn w:val="36"/>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2">
    <w:name w:val="List Table 1 Light - Accent 4"/>
    <w:basedOn w:val="36"/>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3">
    <w:name w:val="List Table 1 Light - Accent 5"/>
    <w:basedOn w:val="36"/>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4">
    <w:name w:val="List Table 1 Light - Accent 6"/>
    <w:basedOn w:val="36"/>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5">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6"/>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7">
    <w:name w:val="List Table 2 - Accent 2"/>
    <w:basedOn w:val="36"/>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8">
    <w:name w:val="List Table 2 - Accent 3"/>
    <w:basedOn w:val="36"/>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9">
    <w:name w:val="List Table 2 - Accent 4"/>
    <w:basedOn w:val="36"/>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0">
    <w:name w:val="List Table 2 - Accent 5"/>
    <w:basedOn w:val="36"/>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1">
    <w:name w:val="List Table 2 - Accent 6"/>
    <w:basedOn w:val="36"/>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2">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6"/>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4">
    <w:name w:val="List Table 3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5">
    <w:name w:val="List Table 3 - Accent 3"/>
    <w:basedOn w:val="36"/>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6">
    <w:name w:val="List Table 3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7">
    <w:name w:val="List Table 3 - Accent 5"/>
    <w:basedOn w:val="36"/>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8">
    <w:name w:val="List Table 3 - Accent 6"/>
    <w:basedOn w:val="36"/>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9">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6"/>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1">
    <w:name w:val="List Table 4 - Accent 2"/>
    <w:basedOn w:val="36"/>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2">
    <w:name w:val="List Table 4 - Accent 3"/>
    <w:basedOn w:val="36"/>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3">
    <w:name w:val="List Table 4 - Accent 4"/>
    <w:basedOn w:val="36"/>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4">
    <w:name w:val="List Table 4 - Accent 5"/>
    <w:basedOn w:val="36"/>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5">
    <w:name w:val="List Table 4 - Accent 6"/>
    <w:basedOn w:val="36"/>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6">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6"/>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8">
    <w:name w:val="List Table 5 Dark - Accent 2"/>
    <w:basedOn w:val="36"/>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9">
    <w:name w:val="List Table 5 Dark - Accent 3"/>
    <w:basedOn w:val="36"/>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0">
    <w:name w:val="List Table 5 Dark - Accent 4"/>
    <w:basedOn w:val="36"/>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1">
    <w:name w:val="List Table 5 Dark - Accent 5"/>
    <w:basedOn w:val="36"/>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2">
    <w:name w:val="List Table 5 Dark - Accent 6"/>
    <w:basedOn w:val="36"/>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3">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6"/>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5">
    <w:name w:val="List Table 6 Colorful - Accent 2"/>
    <w:basedOn w:val="36"/>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6"/>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6"/>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6"/>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6"/>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6"/>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2">
    <w:name w:val="List Table 7 Colorful - Accent 2"/>
    <w:basedOn w:val="36"/>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6"/>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6"/>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6"/>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6"/>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6"/>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9">
    <w:name w:val="Lined - Accent 2"/>
    <w:basedOn w:val="36"/>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0">
    <w:name w:val="Lined - Accent 3"/>
    <w:basedOn w:val="36"/>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1">
    <w:name w:val="Lined - Accent 4"/>
    <w:basedOn w:val="36"/>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2">
    <w:name w:val="Lined - Accent 5"/>
    <w:basedOn w:val="36"/>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3">
    <w:name w:val="Lined - Accent 6"/>
    <w:basedOn w:val="36"/>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4">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6"/>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6">
    <w:name w:val="Bordered &amp; Lined - Accent 2"/>
    <w:basedOn w:val="36"/>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7">
    <w:name w:val="Bordered &amp; Lined - Accent 3"/>
    <w:basedOn w:val="36"/>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8">
    <w:name w:val="Bordered &amp; Lined - Accent 4"/>
    <w:basedOn w:val="36"/>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9">
    <w:name w:val="Bordered &amp; Lined - Accent 5"/>
    <w:basedOn w:val="36"/>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0">
    <w:name w:val="Bordered &amp; Lined - Accent 6"/>
    <w:basedOn w:val="36"/>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1">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3">
    <w:name w:val="Bordered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4">
    <w:name w:val="Bordered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5">
    <w:name w:val="Bordered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6">
    <w:name w:val="Bordered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7">
    <w:name w:val="Bordered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8">
    <w:name w:val="Footnote Text Char"/>
    <w:link w:val="27"/>
    <w:qFormat/>
    <w:uiPriority w:val="99"/>
    <w:rPr>
      <w:sz w:val="18"/>
    </w:rPr>
  </w:style>
  <w:style w:type="character" w:customStyle="1" w:styleId="189">
    <w:name w:val="Endnote Text Char"/>
    <w:link w:val="21"/>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正文文本1"/>
    <w:basedOn w:val="1"/>
    <w:next w:val="1"/>
    <w:qFormat/>
    <w:uiPriority w:val="99"/>
    <w:pPr>
      <w:spacing w:before="129"/>
      <w:ind w:left="100"/>
    </w:pPr>
    <w:rPr>
      <w:sz w:val="18"/>
      <w:szCs w:val="18"/>
    </w:rPr>
  </w:style>
  <w:style w:type="paragraph" w:customStyle="1" w:styleId="192">
    <w:name w:val="正文首行缩进 21"/>
    <w:basedOn w:val="193"/>
    <w:qFormat/>
    <w:uiPriority w:val="0"/>
    <w:pPr>
      <w:ind w:firstLine="420"/>
    </w:pPr>
  </w:style>
  <w:style w:type="paragraph" w:customStyle="1" w:styleId="193">
    <w:name w:val="正文文本缩进1"/>
    <w:basedOn w:val="1"/>
    <w:qFormat/>
    <w:uiPriority w:val="0"/>
    <w:pPr>
      <w:spacing w:after="120"/>
      <w:ind w:left="420"/>
    </w:pPr>
  </w:style>
  <w:style w:type="paragraph" w:customStyle="1" w:styleId="194">
    <w:name w:val="正文格式－文字"/>
    <w:qFormat/>
    <w:uiPriority w:val="0"/>
    <w:pPr>
      <w:spacing w:before="156" w:after="156" w:line="300" w:lineRule="auto"/>
      <w:ind w:firstLine="200"/>
      <w:jc w:val="both"/>
    </w:pPr>
    <w:rPr>
      <w:rFonts w:hint="default" w:ascii="Calibri" w:hAnsi="Calibri" w:eastAsia="宋体" w:cs="Times New Roman"/>
      <w:sz w:val="24"/>
      <w:szCs w:val="24"/>
      <w:lang w:val="en-US" w:eastAsia="zh-CN" w:bidi="ar-SA"/>
    </w:rPr>
  </w:style>
  <w:style w:type="character" w:customStyle="1" w:styleId="195">
    <w:name w:val="NormalCharacter"/>
    <w:semiHidden/>
    <w:qFormat/>
    <w:uiPriority w:val="0"/>
    <w:rPr>
      <w:sz w:val="21"/>
      <w:szCs w:val="24"/>
      <w:lang w:val="en-US" w:eastAsia="zh-CN" w:bidi="ar-SA"/>
    </w:rPr>
  </w:style>
  <w:style w:type="paragraph" w:customStyle="1" w:styleId="196">
    <w:name w:val="Table Text"/>
    <w:basedOn w:val="1"/>
    <w:semiHidden/>
    <w:qFormat/>
    <w:uiPriority w:val="0"/>
    <w:rPr>
      <w:rFonts w:ascii="宋体" w:hAnsi="宋体" w:eastAsia="宋体" w:cs="宋体"/>
      <w:sz w:val="28"/>
      <w:szCs w:val="28"/>
      <w:lang w:eastAsia="en-US"/>
    </w:rPr>
  </w:style>
  <w:style w:type="character" w:customStyle="1" w:styleId="197">
    <w:name w:val="默认段落字体11"/>
    <w:unhideWhenUsed/>
    <w:qFormat/>
    <w:uiPriority w:val="1"/>
  </w:style>
  <w:style w:type="paragraph" w:customStyle="1" w:styleId="198">
    <w:name w:val="Table Paragraph"/>
    <w:basedOn w:val="1"/>
    <w:qFormat/>
    <w:uiPriority w:val="0"/>
    <w:pPr>
      <w:jc w:val="left"/>
    </w:pPr>
    <w:rPr>
      <w:rFonts w:ascii="宋体" w:hAnsi="宋体" w:cs="宋体"/>
      <w:sz w:val="22"/>
      <w:szCs w:val="22"/>
      <w:lang w:val="zh-CN" w:bidi="zh-CN"/>
    </w:rPr>
  </w:style>
  <w:style w:type="paragraph" w:customStyle="1" w:styleId="199">
    <w:name w:val="Default"/>
    <w:basedOn w:val="1"/>
    <w:semiHidden/>
    <w:qFormat/>
    <w:uiPriority w:val="0"/>
    <w:pPr>
      <w:jc w:val="left"/>
    </w:pPr>
    <w:rPr>
      <w:rFonts w:ascii="宋体" w:hAnsi="Calibri" w:cs="宋体"/>
      <w:color w:val="000000"/>
      <w:sz w:val="24"/>
    </w:rPr>
  </w:style>
  <w:style w:type="table" w:customStyle="1" w:styleId="200">
    <w:name w:val="Table 11"/>
    <w:basedOn w:val="36"/>
    <w:qFormat/>
    <w:uiPriority w:val="0"/>
    <w:pPr>
      <w:jc w:val="center"/>
    </w:pPr>
    <w:rPr>
      <w:rFonts w:eastAsia="仿宋_GB2312"/>
      <w:sz w:val="21"/>
      <w14:ligatures w14:val="standardContextual"/>
    </w:rPr>
    <w:tblPr>
      <w:tblBorders>
        <w:top w:val="single" w:color="000000" w:sz="12" w:space="0"/>
        <w:bottom w:val="single" w:color="000000" w:sz="12" w:space="0"/>
        <w:insideH w:val="single" w:color="000000" w:sz="4" w:space="0"/>
        <w:insideV w:val="single" w:color="000000" w:sz="4" w:space="0"/>
      </w:tblBorders>
    </w:tblPr>
    <w:tcPr>
      <w:vAlign w:val="center"/>
    </w:tcPr>
    <w:tblStylePr w:type="firstRow">
      <w:rPr>
        <w:b/>
      </w:rPr>
    </w:tblStylePr>
  </w:style>
  <w:style w:type="table" w:customStyle="1" w:styleId="201">
    <w:name w:val="Table Normal"/>
    <w:semiHidden/>
    <w:unhideWhenUsed/>
    <w:qFormat/>
    <w:uiPriority w:val="0"/>
    <w:tblPr>
      <w:tblCellMar>
        <w:top w:w="0" w:type="dxa"/>
        <w:left w:w="0" w:type="dxa"/>
        <w:bottom w:w="0" w:type="dxa"/>
        <w:right w:w="0" w:type="dxa"/>
      </w:tblCellMar>
    </w:tblPr>
  </w:style>
  <w:style w:type="paragraph" w:customStyle="1" w:styleId="202">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80</Words>
  <Characters>109</Characters>
  <TotalTime>8</TotalTime>
  <ScaleCrop>false</ScaleCrop>
  <LinksUpToDate>false</LinksUpToDate>
  <CharactersWithSpaces>124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2026-04-14T08:13:00Z</dcterms:created>
  <dc:creator>坤仔</dc:creator>
  <cp:lastModifiedBy>Crlng</cp:lastModifiedBy>
  <dcterms:modified xsi:type="dcterms:W3CDTF">2026-09-19T14:27:55Z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9DFE48AFDE1F45BBB85C805EF44F0D81_13</vt:lpwstr>
  </property>
  <property fmtid="{D5CDD505-2E9C-101B-9397-08002B2CF9AE}" pid="4" name="KSOTemplateDocerSaveRecord">
    <vt:lpwstr>eyJoZGlkIjoiM2U1ZDQwY2M5YzhjNTNhMmU2N2ViYWEzZmI0ZDMwNjkiLCJ1c2VySWQiOiIzNDk4MTMxMDcifQ==</vt:lpwstr>
  </property>
</Properties>
</file>