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南通大学附属医院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多模态肿瘤治疗系统</w:t>
      </w:r>
      <w:r>
        <w:rPr>
          <w:rFonts w:ascii="SimSun" w:hAnsi="SimSun" w:eastAsia="SimSun" w:cs="SimSun"/>
          <w:b/>
          <w:color w:val="000000"/>
          <w:sz w:val="44"/>
        </w:rPr>
        <w:t xml:space="preserve">采购项目</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项目编号：JSZC-320000-SHGK-G2026-0103</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采购人：南通大学附属医院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采购代理机构：江苏苏豪创新科技集团高科有限公司</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目  录</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合同文本</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w:t>
      </w:r>
      <w:r/>
    </w:p>
    <w:p>
      <w:pPr>
        <w:numPr>
          <w:ilvl w:val="0"/>
          <w:numId w:val="5"/>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第一章  招标公告</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受[南通大学附属医院]的委托，江苏苏豪创新科技集团高科有限公司就[多模态肿瘤治疗系统采购项目]([JSZC-320000-SHGK-G2026-0103])项目进行公开招标采购，欢迎符合条件的供应商投标。</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南通大学附属医院多模态肿瘤治疗系统采购项目的潜在投标人可在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2026年11月24日14时00分（北京时间）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1.项目编号：JSZC-320000-SHGK-G2026-0103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2.项目名称：南通大学附属医院多模态肿瘤治疗系统采购项目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3.采购需求：</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760"/>
        <w:gridCol w:w="1067"/>
        <w:gridCol w:w="1913"/>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采购预算</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多模态肿瘤治疗系统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480万元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不接受</w:t>
            </w:r>
            <w:r/>
          </w:p>
        </w:tc>
      </w:tr>
    </w:tbl>
    <w:p>
      <w:pPr>
        <w:ind w:left="0" w:right="0" w:firstLine="567"/>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4.最高限价：200万元（投标人投标报价不得超过上述限价金额，否则将作无效标处理）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5.合同履行期限：合同签订之日起60日内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1.1具有独立承担民事责任的能力（提供法人或者其他组织的营业执照等证明文件，自然人的身份证明）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1.2具有良好的商业信誉和健全的财务会计制度（提供上一年度的财务状况报告，成立不满一年不需提供）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有依法缴纳税收和社会保障资金的良好记录（依法纳税凭据：提供参加政府采购活动前半年内（2026年05月-2026年10月）的任一月依法纳税的凭据，如完税凭证或税务机关开具的完税证明（个人所得税除外）；缴纳社会保险的凭据：提供参加政府采购活动前半年内（2026年05月-2026年10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1.4具有履行合同所必需的设备和专业技术能力（提供书面声明）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1.5参加采购活动前3年内在经营活动中没有重大违法记录（提供书面声明）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1.6具备法律、行政法规规定的其他条件的证明材料</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0"/>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（1）投标产品如果属于医疗设备注册/备案范畴的；投标人须根据投标产品的类别，提供有效期内的《医疗器械经营许可证》或者《医疗器械经营备案凭证》（复印件）；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（2）投标产品如果属于医疗设备注册/备案范畴的；投标人须提供投标产品的有效期内的《医疗器械注册证》或者备案凭证（复印件）。</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2026年11月24日14时00分（北京时间）</w:t>
      </w: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1.投标保证金：免收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2.履约保证金：本项目收取合同金额的10%作为履约保证金。</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3.项目演示、样品、答辩等：无。</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4.有关本次招标的事项若存在变动或修改，均以江苏政府采购网发布的更正或补充通知为准，敬请及时关注。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 “苏采云”系统使用相关提醒</w:t>
      </w:r>
      <w:r/>
    </w:p>
    <w:p>
      <w:pPr>
        <w:ind w:left="0" w:right="0" w:firstLine="560"/>
        <w:jc w:val="both"/>
        <w:spacing w:before="240" w:after="160" w:line="47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FangSong" w:hAnsi="FangSong" w:eastAsia="FangSong" w:cs="FangSong"/>
          <w:b/>
          <w:color w:val="000000"/>
          <w:sz w:val="28"/>
        </w:rPr>
        <w:t xml:space="preserve">具体办理指南和操作手册见链接：http://www.ccgp-jiangsu.gov.cn/jiangsu/zlxz/ee/ee3a4bc5a3454aa2b0d9312230633ce9.html。</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6.2领取CA和办理电子签章请至南通市政务服务中心裙楼四楼（南通市公共资源交中心）CA办理窗口办理，详见《江苏省政府采购数字证书(供应商)</w:t>
      </w:r>
      <w:r>
        <w:rPr>
          <w:rFonts w:ascii="SimSun" w:hAnsi="SimSun" w:eastAsia="SimSun" w:cs="SimSun"/>
          <w:color w:val="000000"/>
          <w:sz w:val="28"/>
        </w:rPr>
        <w:t xml:space="preserve"> </w:t>
      </w:r>
      <w:r>
        <w:rPr>
          <w:rFonts w:ascii="FangSong" w:hAnsi="FangSong" w:eastAsia="FangSong" w:cs="FangSong"/>
          <w:color w:val="000000"/>
          <w:sz w:val="28"/>
        </w:rPr>
        <w:t xml:space="preserve">CA及电子签章办理指南》），请及时进行注册并按要求制作、上传电子投标文件。</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rPr>
        <w:t xml:space="preserve">件，截止后下载采购文件，视为非有效参与方式且不做为供应商权益收到损害的证明材料和依据。</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6.4</w:t>
      </w:r>
      <w:r>
        <w:rPr>
          <w:rFonts w:ascii="FangSong" w:hAnsi="FangSong" w:eastAsia="FangSong" w:cs="FangSong"/>
          <w:color w:val="000000"/>
          <w:sz w:val="28"/>
        </w:rPr>
        <w:t xml:space="preserve">开标当天投标供应商应及时登录“苏采云”不见面开标大厅，并在规定时间内自行实施远程解密。</w:t>
      </w:r>
      <w:r>
        <w:rPr>
          <w:rFonts w:ascii="FangSong" w:hAnsi="FangSong" w:eastAsia="FangSong" w:cs="FangSong"/>
          <w:b/>
          <w:color w:val="000000"/>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rPr>
        <w:t xml:space="preserve">因采购人原因或网上招投标平台发生故障，导致无法按时完成响应文件解密或开、评标工作无法进行的，可根据实际情况相应延迟解密时间或调整开、评标时间。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称：南通大学附属医院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址：南通市崇川区西寺路20号</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联系人：施老师、张老师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联系方式：0513-85052089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址：南京市雨花台区软件大道21号苏豪集团C座617室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联系人：吴志叶、吴岢非</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联系方式：025-52875936、025-52875983</w:t>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  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已由采购人计入本项目预算金额中。金额按计价格〔2002〕1980号《招标代理服务收费管理暂行办法》标准的52.67%计取。单个项目代理服务费不足1500元的按1500元收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15日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在投标截止时间前，代理机构可以对招标文件进行修改。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代理机构有权按照法定的要求推迟投标截止日期和开标日期。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投标人提交的投标文件以及投标人与代理机构就有关投标的所有来往通知、函件和文件均应使用简体中文。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投标人按照招标文件规定格式填报投标分项报价表。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13.1投标人需对招标文件中的技术要求与商务要求逐项作出响应或偏离，并说明原因。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13.2投标人需按照招标文件要求，在投标文件中提供与技术要求和商务要求相关的证明材料。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18．电子投标文件的递交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19．投标截止日期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19.1 投标人上传电子投标文件的时间不得迟于招标公告中规定的投标截止时间。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投标人应充分考虑到网络环境、网络带宽等风险因素，如因投标人自身原因造成电子投标文件上传不成功的，按照本招标文件第二章第27.1.2条规定做无效投标处理。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20．投标文件的拒收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代理机构拒绝接收在其规定的投标截止时间后上传的任何投标文件。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21．投标文件的撤回和修改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投标文件的修改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21.2.1投标人可在投标截止时间前，对其电子投标文件进行修改，具体操作方法见《操作手册》。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 在投标截止时间之后，投标人不得对其电子投标文件作任何修改。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22．开标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22.2开标仪式由代理机构组织。苏采云系统将自动对项目进行开标，并宣布各投标人名称和投标价格。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22.3投标人在开标过程中涉及到的投标文件解密、开标结果确认等工作，应按照《操作手册》规定执行。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22.4投标人如果对开标过程和开标记录有疑义，应当根据《操作手册》规定提出，如苏采云系统中《开标记录表》宣布后5分钟内未提出的，视同认可开标结果。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23．评标委员会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23.1开标后，代理机构将立即组织评标委员会（以下简称评委会）进行评标。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评委会由采购人代表和有关技术、经济等方面的专家组成，且人员构成符合政府采购有关规定。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23.3评委会独立工作，负责评审所有投标文件并确定中标侯选人。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24．评标过程的保密与公正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24.1凡是与审查、澄清、评价和比较投标的有关资料以及授标建议等，采购人、评委、代理机构均不得向投标人或与评标无关的其他人员透露。</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24.2在评标过程中，投标人不得以任何行为影响评标过程，否则其投标文件将被作为无效投标文件。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24.3代理机构和评标委员会不向未中标的投标人解释未中标原因，也不公布评标过程中的相关细节。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 采用综合评分法的项目，未中标的投标人可于中标结果公告期限届满之日起通过苏采云系统查看自己的评审得分及排序情况。</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25.1评标期间，评委会对投标文件中含义不明确、同类问题表述不一致或者有明显文字和计算错误的内容，有权要求投标人作出必要的澄清、说明或者补正。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接到评委会澄清、说明和补正要求的投标人如未按规定做出澄清、说明和补正，其风险由投标人自行承担。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26．对投标文件的初审</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26.1投标文件初审分为资格审查和符合性审查。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26.1.1 资格审查：依据法律法规和招标文件的规定，由采购人对投标文件中的资格证明文件进行审查。资格审查的结论，采购人以书面形式向评委会进行反馈。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符合性审查：依据招标文件的规定，由评委会从投标文件的有效性、完整性和对招标文件的响应程度进行审查，以确定是否对招标文件的实质性要求作出响应。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26.3如果投标文件实质上没有响应招标文件的要求，评委会将予以拒绝，投标人不得通过修改或撤销不合要求的偏离或保留而使其投标成为实质性响应的投标。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26.4评委会将对确定为实质性响应的投标进行进一步审核，看其是否有计算上或累加上的算术错误，修正错误的原则如下：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26.7投标人在开、评标全过程中应保持通讯畅通，及时登录苏采云系统查阅、答复相关信息，并安排专人与代理机构及评标委员会联系。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27．无效投标条款和废标条款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27.1无效投标条款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 投标人在苏采云系统规定的时间内未成功解密电子投标文件的。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 投标人未按照招标文件要求上传电子投标文件的。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27.1.3投标人同一分包提交两个（含两个）以上不同的投标报价的。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27.1.4投标人不具备招标文件中规定资格要求的。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27.1.5投标人的报价超过了采购预算或最高限价的。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27.1.6未通过符合性审查的。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27.1.7不符合招标文件中规定的实质性要求的（详见本招标文件第四章采购需求中标有“★”的技术要求及相关商务要求）。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27.1.9 投标文件含有采购人不能接受的附加条件的。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27.1.10</w:t>
      </w:r>
      <w:r>
        <w:rPr>
          <w:rFonts w:ascii="FangSong" w:hAnsi="FangSong" w:eastAsia="FangSong" w:cs="FangSong"/>
          <w:color w:val="ff0000"/>
          <w:sz w:val="28"/>
        </w:rPr>
        <w:t xml:space="preserve">评审过程中出现下列情形之一的，评审委员会应当启动异常低价投标（响应）审查程序：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（1）投标（响应）报价低于全部通过符合性审查供应商投标（响应）报价平均值50%的，即投标（响应）报价＜全部通过符合性审查供应商投标（响应）报价平均值×50%；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（2）投标（响应）报价低于通过符合性审查的次低报价供应商投标（响应）报价50%的，即投标（响应）报价＜通过符合性审查的次低报价供应商投标（响应）报价×50%；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（3）投标（响应）报价低于采购项目最高限价45%的，即投标（响应）报价＜采购项目最高限价×45%；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（4）评审委员会基于专业判断，认为供应商报价过低，有可能影响产品质量或者不能诚信履约的其他情形。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27.1.12 投标文件未按照招标文件要求加盖CA电子公章的。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27.1.13其他法律、法规及本招标文件规定的属无效投标的情形。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27.1.14投标人的商务技术部分得分相差异常悬殊，评标委员会一致认为得分畸低者有可能影响产品质量或者不能诚信履约的。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27.2.1符合专业条件的供应商或者对招标文件作实质响应的供应商不足三家的。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27.2.2出现影响采购公正的违法、违规行为的。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27.2.3因重大变故，采购任务取消的。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27.2.4评标委员会认定招标文件存在歧义、重大缺陷导致评审工作无法进行。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27.2.5 因苏采云系统系统故障原因造成开标不成功的。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投标截止时间结束后参加投标的供应商不足三家的处理：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28．确定中标单位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28.1中标候选人的选取原则和数量见招标文件第五章规定。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采购人应根据评委会推荐的中标候选人确定中标人。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代理机构将在“江苏政府采购网”发布中标公告，公告期限为1个工作日。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若有充分证据证明，中标人出现下列情况之一的，一经查实，将被取消中标资格：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28.4.1提供虚假材料谋取中标的。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28.4.2向采购人、代理机构行贿或者提供其他不正当利益的。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28.4.3属于本文件规定的无效条件，但在评标过程中又未被评委会发现的。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28.4.4与采购人或者其他供应商恶意串通的。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28.4.5采取不正当手段诋毁、排挤其他供应商的。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有下列情形之一的，视为投标人串通投标，投标无效：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28.5.1不同投标人的投标文件由同一单位或者个人编制；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28.5.2不同投标人委托同一单位或者个人办理投标事宜；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不同投标人的投标文件载明的项目管理成员或者联系人员为同一人；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28.5.4不同投标人的投标文件异常一致或者投标报价呈规律性差异；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29．质疑处理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 提出质疑的供应商应当是参与所质疑项目采购活动的供应商。潜在供应商依法获取其可质疑的采购文件的，可以对采购文件提出质疑。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 以下情形的质疑不予受理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29.5.1 内容不符合《政府采购质疑和投诉办法》第十二条规定的质疑。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29.5.2 超出政府采购法定期限的质疑。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29.5.3 以传真、电子邮件等方式递交的非原件形式的质疑。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29.5.4 未参加投标活动的供应商或在投标活动中自身权益未受到损害的供应商所提出的质疑。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29.5.5供应商组成联合体参加投标，联合体中任何一方或多方未按要求签字、盖章、加盖公章的质疑。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30．中标通知书</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签订合同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31.l中标人应当在中标通知书发出之日起三十日内，按照招标文件确定的事项与采购人签订政府采购合同。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31.2招标文件、中标人的投标文件及招标过程中有关澄清、承诺文件均应作为合同附件。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32．货物（包含与货物相关的服务）的追加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33．政府采购履约资金扶持政策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南通大学附属医院采购合同（货物）（合同编号）</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甲、乙双方根据南通大学附属医院</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1.3标的数量（规模）：</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1.4履行时间（期限）：</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1.5履行地点：</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1.7包装方式：</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2.1本合同金额为（大写）：_______圆（___元）人民币或其他币种。</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5.1乙方保证所交付的货物（包含与货物相关的服务）的所有权完全属于乙方且无任何抵押、查封等产权瑕疵。</w:t>
      </w:r>
      <w:r/>
    </w:p>
    <w:p>
      <w:pPr>
        <w:ind w:left="410" w:right="0" w:hanging="41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6.1乙方交纳人民币_________元作为本合同的履约保证金。（不得超过合同金额的10%）</w:t>
      </w:r>
      <w:r/>
    </w:p>
    <w:p>
      <w:pPr>
        <w:ind w:left="408" w:right="0" w:hanging="408"/>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8.1.1预付款支付时间：</w:t>
      </w:r>
      <w:r>
        <w:rPr>
          <w:rFonts w:ascii="SimSun" w:hAnsi="SimSun" w:eastAsia="SimSun" w:cs="SimSun"/>
          <w:color w:val="000000"/>
          <w:sz w:val="24"/>
          <w:u w:val="single"/>
        </w:rPr>
        <w:t xml:space="preserve">合同签订后***日内</w:t>
      </w:r>
      <w:r>
        <w:rPr>
          <w:rFonts w:ascii="SimSun" w:hAnsi="SimSun" w:eastAsia="SimSun" w:cs="SimSun"/>
          <w:color w:val="000000"/>
          <w:sz w:val="24"/>
        </w:rPr>
        <w:t xml:space="preserve">，预付款支付比例：</w:t>
      </w:r>
      <w:r>
        <w:rPr>
          <w:rFonts w:ascii="SimSun" w:hAnsi="SimSun" w:eastAsia="SimSun" w:cs="SimSun"/>
          <w:color w:val="000000"/>
          <w:sz w:val="24"/>
          <w:u w:val="single"/>
        </w:rPr>
        <w:t xml:space="preserve">合同金额的**%</w:t>
      </w:r>
      <w:r>
        <w:rPr>
          <w:rFonts w:ascii="SimSun" w:hAnsi="SimSun" w:eastAsia="SimSun" w:cs="SimSun"/>
          <w:color w:val="000000"/>
          <w:sz w:val="24"/>
        </w:rPr>
        <w:t xml:space="preserve">。</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8.1.2尾款支付时间：产品验收通过,采购人收到发票后</w:t>
      </w:r>
      <w:r>
        <w:rPr>
          <w:rFonts w:ascii="SimSun" w:hAnsi="SimSun" w:eastAsia="SimSun" w:cs="SimSun"/>
          <w:color w:val="000000"/>
          <w:sz w:val="24"/>
          <w:u w:val="single"/>
        </w:rPr>
        <w:t xml:space="preserve">**</w:t>
      </w:r>
      <w:r>
        <w:rPr>
          <w:rFonts w:ascii="SimSun" w:hAnsi="SimSun" w:eastAsia="SimSun" w:cs="SimSun"/>
          <w:color w:val="000000"/>
          <w:sz w:val="24"/>
        </w:rPr>
        <w:t xml:space="preserve">日内，尾款支付比例：</w:t>
      </w:r>
      <w:r>
        <w:rPr>
          <w:rFonts w:ascii="SimSun" w:hAnsi="SimSun" w:eastAsia="SimSun" w:cs="SimSun"/>
          <w:color w:val="000000"/>
          <w:sz w:val="24"/>
          <w:u w:val="single"/>
        </w:rPr>
        <w:t xml:space="preserve">合同金额的**%</w:t>
      </w:r>
      <w:r>
        <w:rPr>
          <w:rFonts w:ascii="SimSun" w:hAnsi="SimSun" w:eastAsia="SimSun" w:cs="SimSun"/>
          <w:color w:val="000000"/>
          <w:sz w:val="24"/>
        </w:rPr>
        <w:t xml:space="preserve">。</w:t>
      </w:r>
      <w:r/>
    </w:p>
    <w:p>
      <w:pPr>
        <w:ind w:left="480" w:right="0" w:hanging="48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8.2当采购数量与实际使用数量不一致时，乙方应根据实际使用量供货，合同的最终结</w:t>
      </w:r>
      <w:r/>
    </w:p>
    <w:p>
      <w:pPr>
        <w:ind w:left="480" w:right="0" w:hanging="48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算金额按实际使用量乘以成交单价进行计算。</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12" w:right="0" w:hanging="412"/>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10.1乙方应按招标文件规定的货物性能、技术要求、质量标准向甲方提供未经使用的全新产品。</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10.2乙方提供的货物在质量期内因货物本身的质量问题发生故障，乙方应负责免费更换。对达不到技术要求者，根据实际情况，经双方协商，可按以下办法处理：</w:t>
      </w:r>
      <w:r/>
    </w:p>
    <w:p>
      <w:pPr>
        <w:ind w:left="0" w:right="0" w:firstLine="424"/>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24"/>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24"/>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10.3如在使用过程中发生质量问题，乙方在接到甲方通知后在_________小时内到达甲方现场。</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10.4在质保期内，乙方应对货物出现的质量及安全问题负责处理解决并承担一切费用。</w:t>
      </w:r>
      <w:r/>
    </w:p>
    <w:p>
      <w:pPr>
        <w:ind w:left="0" w:right="0" w:firstLine="0"/>
        <w:spacing w:before="12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pStyle w:val="732"/>
        <w:ind w:left="0" w:right="0" w:firstLine="0"/>
        <w:spacing w:before="0" w:after="0" w:line="3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3364"/>
        <w:gridCol w:w="2410"/>
        <w:gridCol w:w="2288"/>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是否属于强制环保节能产品</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多模态肿瘤治疗系统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本项目为单一品目采购项目，核心产品为多模态肿瘤治疗系统。</w:t>
      </w:r>
      <w:r/>
    </w:p>
    <w:p>
      <w:pPr>
        <w:pStyle w:val="732"/>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▲用于除空腔肿瘤外的肝、肺实体肿瘤的冷热复合式消融治疗。</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▲具有用于胸部肿瘤的消融功能。</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产品内置的控制系统可以独立控制每个消融针，可以单冷、单热或冷热交替进行，以达到冷冻消融或复温的目的。</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每个消融针的温度可手动控制，根据不同部位病灶的特点，可以手动选择执行的时间以及温度。</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由软件控制工作介质从冷、热罐通过管路到消融针。通路既连接冷冻的介质又连接产热的介质，实现冷冻消融和热消融在同一次消融的同一根消融针内循环。</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▲冷冻工质与存储:通过液氮实现降温，液氮存贮器容量≥20升，支持连续灌注设计</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★通过液氮降温。</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▲治疗温度:复温治疗最高温度≥85℃，低温治疗最低温度≤-170℃，温度控制精度±3℃。</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工质罐集成设计:工质罐内置整合在主机内，可接受术中持续灌注，或外接大容量罐体，以应对高通量患者治疗。</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具备备用电池模块或UPS，在异常掉电的情况下能保证设备正常运行。</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输送管一体化设计，输送液冷、热工质的进流与回流管一体化集成设计到探针输送管内部。</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快插接头，探针输送管与设备，以及消融针与探针输送管之间的连接采用快插接头的方式进行了连接。</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紧急停止功能:有紧急停止键，按下就会立刻关闭阀门停止工作介质输出。报警含高优先级、中优先级、低优先级等不少三个等级，或有故障码提示便于故障及时排除；有声光报警。</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★配置要求</w:t>
      </w:r>
      <w:r/>
    </w:p>
    <w:p>
      <w:pPr>
        <w:numPr>
          <w:ilvl w:val="1"/>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主机1台含显示器</w:t>
      </w:r>
      <w:r/>
    </w:p>
    <w:p>
      <w:pPr>
        <w:numPr>
          <w:ilvl w:val="1"/>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电池或UPS1套</w:t>
      </w:r>
      <w:r/>
    </w:p>
    <w:p>
      <w:pPr>
        <w:numPr>
          <w:ilvl w:val="1"/>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消融针输送管2根</w:t>
      </w:r>
      <w:r/>
    </w:p>
    <w:p>
      <w:pPr>
        <w:numPr>
          <w:ilvl w:val="1"/>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一次性冷热消融针1根</w:t>
      </w:r>
      <w:r/>
    </w:p>
    <w:p>
      <w:pPr>
        <w:numPr>
          <w:ilvl w:val="1"/>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中文使用说明书和简易操作卡各1份。</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2"/>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1932"/>
        <w:gridCol w:w="6581"/>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商务和服务要求</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南通大学附属医院</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待定</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检验方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买方和/或买方委托的监理单位及有关管理部门</w:t>
            </w:r>
            <w:r/>
          </w:p>
        </w:tc>
      </w:tr>
      <w:tr>
        <w:trPr>
          <w:trHeight w:val="1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交货期/交货地点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交货期：合同签订之日起60日内</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交货地点：南通大学附属医院西院区</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1.所有投标产品免费全保五年；</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质保书规定了质保期，且该质保期长于合同约定的，以质保书的规定为准。在产品质保期内，卖方对所供产品的质量负全部责任，包括但不限于免费维修、免费更换和经每年维修达两次仍不能正常使用时及时退货等；产品质保期满后，卖方仍然应当依买方要求履行维修、配件供应等质保义务。</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3.计算时间以签署验收合格文件之日为准。鼓励供应商延长质保期，评标时将考虑此因素。</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1.保修期内卖方保证货物完好率不低于95%，如因货物质量问题导致货物部分或全部功能停用率超过5%（一年按365天计算，每年18天），则每超过一天，质保期延长两周。</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2.质保范围：合同项目下所有货物，包括配套附件、软件等所出现的任何故障及性能偏差。</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3.质保期外如需更换配件,卖方保证先维修后收费，所更换的配件保修不少于一年，软件升级更新免费。</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4.卖方保证对所供设备进行不少于一年四次的免费保养维护及性能检测，并出具相关报告。</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5.卖方保证有充足的备件确保故障设备在接到买方报修电话48小时内现场修复。需返厂维修的设备，卖方承担拆卸、包装、运输及再安装等费用。</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6.卖方保证所有的保养维护工作填写相关技术档案并由双方签字确认。</w:t>
            </w:r>
            <w:r/>
          </w:p>
          <w:p>
            <w:pPr>
              <w:ind w:left="0" w:right="0" w:firstLine="0"/>
              <w:spacing w:before="200" w:after="16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7.卖方应免费提供维修手册等维护维修必需的材料和信息并保证及时提供维修配件。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卖方负责对买方的操作、维修人员在项目所在地进行业务培训。培训应达到能熟练操作，并能排除常见故障的标准；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①验收方式：</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2.卖方负责货物的安装、调试、试用过程中的现场安全管理，若安装、调试及试用过程中发生安全事故，卖方应承担全部责任。</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买卖双方应在安装、调试完成后进行试用，试用不应少于一个月，具体程序由卖方提供并经买卖双方协商一致后确认。在试使用期间，如果未能达到合同约定的要求或者质量标准，或者试用期内因设备本身原因出现故障达两次，卖方则必须无条件换货或退货，由此引起的一切损失由卖方承担。</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以及中文产品质量保证书及中文产品说明书。</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5.如果卖方提供的产品未能达到买方的参数要求、合同约定的要求或者质量标准及因设备本身原因出现故障两次及以上，卖方则必须无条件换货或退货，由此引起的一切损失由卖方承担。</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w:t>
            </w:r>
            <w:r/>
          </w:p>
          <w:p>
            <w:pPr>
              <w:ind w:left="0" w:right="0" w:firstLine="0"/>
              <w:spacing w:before="20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②货物验收标准：</w:t>
            </w:r>
            <w:r/>
          </w:p>
          <w:p>
            <w:pPr>
              <w:ind w:left="0" w:right="0" w:firstLine="0"/>
              <w:spacing w:before="200" w:after="160" w:line="85" w:lineRule="atLeast"/>
              <w:tabs>
                <w:tab w:val="left" w:pos="318"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ind w:left="0" w:right="0" w:firstLine="0"/>
              <w:spacing w:before="200" w:after="160" w:line="85" w:lineRule="atLeast"/>
              <w:tabs>
                <w:tab w:val="left" w:pos="318"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（2）质量要求应达到前述规定的技术标准，且应使买方在质保期及质保期过后的设计寿命周期内能实现正常使用的目的。</w:t>
            </w:r>
            <w:r/>
          </w:p>
          <w:p>
            <w:pPr>
              <w:ind w:left="0" w:right="0" w:firstLine="0"/>
              <w:spacing w:before="200" w:after="160" w:line="85" w:lineRule="atLeast"/>
              <w:tabs>
                <w:tab w:val="left" w:pos="318"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p>
          <w:p>
            <w:pPr>
              <w:ind w:left="0" w:right="0" w:firstLine="0"/>
              <w:spacing w:before="20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③货物性能考核指标：</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不得低于上述货物验收标准中的指标。具体指标签订合同时根据采购文件和投标文件确定。</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2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生产期限不超过设备到货日期前半年。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收到中标通知书后7个工作日内，乙方向甲方缴纳合同总额的10%作为合同履约保证金；货到验收合格，甲方收到乙方开具的发票后一次性付清全款；设备最终验收合格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1"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收取合同金额的10%作为履约保证金，由乙方收到中标通知书后7个工作日内以转账方式转入甲方指定账户，或者以金融机构、担保机构出具的保函等非现金形式提交。超期或未有协商，则视为自动放弃中标资格。</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（2）乙方全面履行合同义务，经甲方验收合格无质量、进度、服务等问题的，甲方应及时退还履约保证金。</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（3）履约保证金退还方式：以转账方式提交履约保证金的，甲方以转账方式原路退还履约保证金；以履约保函方式提交的，甲方向乙方提供验收合格证明、合同履行完成证明等解除担保所需的证明材料。</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（4）履约保证金退还时间：见本章节付款方式部分。</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（5）履约保证金退还条件：最终验收合格，且合同履行期间中标人无违反合同约定的情形的，甲方全额退还履约保证金。</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（6）履约保证金不予退还的情形：</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出现以下情形时，甲方有权全额扣除履约保证金，全额不予退还。甲方有权终止合同，乙方还须承担相应的法律赔偿责任。</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A.签订合同后，乙方不履行合同义务的；</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B.乙方将合同标的货物及其他相关服务进行转包，或未经甲方同意采用分包的形式履行合同的。</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C.因乙方自身原因，无法退还履约保证金的其他情形。</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（8）逾期退还履约保证金的违约责任：采购人若逾期退还履约保证金的，按照逾期部分的每日0.05%支付违约金。</w:t>
            </w:r>
            <w:r/>
          </w:p>
        </w:tc>
      </w:tr>
    </w:tbl>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2"/>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4.1上述中加注“★”符号的关键条款指标为实质性要求，不允许负偏离，否则投标无效；加注“▲”符号的重要条款指标；其他为一般条款指标。</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4.2加注“★”符号的关键条款指标、加注“▲”符号的重要条款指标和一般条款指标要求提供相关材料的，均须提供证明材料，未提供的评委有权认定为负偏离。</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4.3商务要求条款均为实质性要求不允许负偏离，否则投标无效。</w:t>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第五章</w:t>
      </w:r>
      <w:r>
        <w:rPr>
          <w:rFonts w:ascii="Arial" w:hAnsi="Arial" w:eastAsia="Arial" w:cs="Arial"/>
          <w:b/>
          <w:color w:val="000000"/>
          <w:sz w:val="40"/>
        </w:rPr>
        <w:t xml:space="preserve">  </w:t>
      </w:r>
      <w:r>
        <w:rPr>
          <w:rFonts w:ascii="Microsoft YaHei" w:hAnsi="Microsoft YaHei" w:eastAsia="Microsoft YaHei" w:cs="Microsoft YaHei"/>
          <w:b/>
          <w:color w:val="000000"/>
          <w:sz w:val="40"/>
        </w:rPr>
        <w:t xml:space="preserve">评标方法与评标标准</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6、联合体各方均为小型、微型企业（残疾人福利单位、监狱企业）的，联合体享受10%价格扣除，用扣除后的价格参与评审。</w:t>
      </w:r>
      <w:r/>
    </w:p>
    <w:p>
      <w:pPr>
        <w:numPr>
          <w:ilvl w:val="0"/>
          <w:numId w:val="7"/>
        </w:numPr>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采购本国产品的支持政策</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（4）供应商需按照招标文件的要求提供《关于符合本国产品标准的声明函》（以下简称《声明函》），如不提供将不享受本国产品价格评审优惠。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具体要求详见报价表要求。</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2.2响应文件签字、盖章符合文件要求；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numPr>
          <w:ilvl w:val="0"/>
          <w:numId w:val="8"/>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3.1《技术、商务条款偏离表》中★条款出现任何负偏离的。</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12"/>
        <w:spacing w:before="12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660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评委根据投标文件中《技术要求响应及偏离表》，结合投标文件提供的佐证材料等进行评审：</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注“★”号的关键条款指标为实质性相应条款，不接收负偏离，加注“▲”号的重要指标每有一项正偏离或响应加5分，一般指标每有一项正偏离或响应加2分，即完全响应招标文件《第四章：采购需求》二、技术要求的，得满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注：投标人需按照本采购文件第四章的技术要求，在《技术要求响应及偏离表》中如实详细填列所投产品的参数，并按要求提供佐证材料，否则评标委员会有权做负偏离处理。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由评委根据投标文件中提供所投产品的类似医院项目业绩情况进行评审（投标人或其他卖方业绩均有效）：</w:t>
            </w:r>
            <w:r/>
          </w:p>
          <w:p>
            <w:pPr>
              <w:ind w:left="0" w:right="0" w:firstLine="0"/>
              <w:spacing w:before="20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投标人提供自2023年1月1日以来（以合同签字日期为准）所投产品同品牌同型号的同一项目下完整合同及发票（复印件）记为一份业绩，每提供一份业绩得3分，最高得9分，未提供或有缺漏的不得分；</w:t>
            </w:r>
            <w:r>
              <w:rPr>
                <w:rFonts w:ascii="SimSun" w:hAnsi="SimSun" w:eastAsia="SimSun" w:cs="SimSun"/>
                <w:b/>
                <w:color w:val="000000"/>
                <w:sz w:val="24"/>
              </w:rPr>
              <w:t xml:space="preserve">并由投标人提供经营业绩情况说明列表，合同及发票对应内容包括采购方名称、供货规格型号、合同金额、数量、签订时间等。同一采购方业绩不重复得分。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投标人须确保所提供的发票真实有效，二维码及发票号码清晰可辨，所有发票均可通过国家税务总局全国增值税发票查验平台（网址：https://inv-veri.chinatax.gov.cn/）查验。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根据各投标人提供的项目实施方案内容（包括但不限于</w:t>
            </w:r>
            <w:r>
              <w:rPr>
                <w:rFonts w:ascii="SimSun" w:hAnsi="SimSun" w:eastAsia="SimSun" w:cs="SimSun"/>
                <w:b/>
                <w:color w:val="000000"/>
                <w:sz w:val="24"/>
              </w:rPr>
              <w:t xml:space="preserve">a项目整体管理方案、b人员组织管理及架构设置、c项目整体实施进度计划及推进方案</w:t>
            </w:r>
            <w:r>
              <w:rPr>
                <w:rFonts w:ascii="SimSun" w:hAnsi="SimSun" w:eastAsia="SimSun" w:cs="SimSun"/>
                <w:color w:val="000000"/>
                <w:sz w:val="24"/>
              </w:rPr>
              <w:t xml:space="preserve">等）的完备程度及针对性、合理性进行评审：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以上每项内容最多得2分，该项最多得6分。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1、方案内容完整无缺漏，结合采购人实际场景，表述完整、逻辑顺序清晰，符合国家法律法规及行业规范的，得2分；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运输安装调试方案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根据各投标人针对本项目拟定的运输安装调试方案（包括但不限于</w:t>
            </w:r>
            <w:r>
              <w:rPr>
                <w:rFonts w:ascii="SimSun" w:hAnsi="SimSun" w:eastAsia="SimSun" w:cs="SimSun"/>
                <w:b/>
                <w:color w:val="000000"/>
                <w:sz w:val="24"/>
              </w:rPr>
              <w:t xml:space="preserve">a设备出厂质检内容及包装、b设备出库、运输及货物保障、c设备安装及初始化调试、d设备验收检查流程、e运输安全保障方案</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以上每项内容最多得1分，该项最多得5分。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2、方案内容存在缺漏，未结合采购人实际场景，缺乏表述、逻辑顺序，符合国家法律法规，该项得0.5分；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根据各投标人针对本项目拟定的培训方案（包括但不限于</w:t>
            </w:r>
            <w:r>
              <w:rPr>
                <w:rFonts w:ascii="SimSun" w:hAnsi="SimSun" w:eastAsia="SimSun" w:cs="SimSun"/>
                <w:b/>
                <w:color w:val="000000"/>
                <w:sz w:val="24"/>
              </w:rPr>
              <w:t xml:space="preserve">a日常、临时操作培训、b日常维护保养培训、c培训计划及师资安排</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以上每项内容最多得2分，该项最多得6分。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根据各投标人针对本项目拟定的售后服务方案（包括但不限于</w:t>
            </w:r>
            <w:r>
              <w:rPr>
                <w:rFonts w:ascii="SimSun" w:hAnsi="SimSun" w:eastAsia="SimSun" w:cs="SimSun"/>
                <w:b/>
                <w:color w:val="000000"/>
                <w:sz w:val="24"/>
              </w:rPr>
              <w:t xml:space="preserve">a维修响应时间及方式、b应急维修应对措施、c日常维护、巡检、保养方案、d技术服务人员及零配件和维修备品备件的供应保障措施</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以上每项内容最多得2分，该项最多得8分。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bl>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br w:type="page" w:clear="all"/>
      </w:r>
      <w:r/>
    </w:p>
    <w:p>
      <w:pPr>
        <w:pStyle w:val="731"/>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第六章  投标文件格式</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投标文件目录</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二、资格审查内容</w:t>
      </w:r>
      <w:r/>
    </w:p>
    <w:p>
      <w:pPr>
        <w:ind w:left="0" w:right="0" w:firstLine="56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1.投标人符合《政府采购法》第二十二条规定条件（格式见附件5）</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4.中小微企业声明函（格式见附件8）、残疾人福利性单位声明函（格式见附件9）——如为专门面向中小企业采购的项目则必须提供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5.关于符合本国产品标准的声明函（格式见附件10）</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资格审查内容”中1、3条投标人必须在投标文件中提供相关材料，否则作无效投标处理；2条如招标文件要求必须提供相关材料而未提供的，作无效投标处理；4、5条根据政府采购优惠政策落实情况提供。</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三、符合性审查内容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投标人必须对采购需求中的实质性要求逐条做出响应，并按照招标文件要求提供证明材料，否则做无效投标处理，详见第五章。</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3.关于符合本国产品标准的声明函（格式见附件10）</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640"/>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1312"/>
        <w:gridCol w:w="982"/>
        <w:gridCol w:w="1273"/>
        <w:gridCol w:w="1396"/>
        <w:gridCol w:w="778"/>
        <w:gridCol w:w="1038"/>
        <w:gridCol w:w="925"/>
        <w:gridCol w:w="461"/>
        <w:gridCol w:w="700"/>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w:t>
            </w:r>
            <w:r/>
          </w:p>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w:t>
            </w:r>
            <w:r/>
          </w:p>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2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投标总报价（人民币：元）</w:t>
            </w:r>
            <w:r/>
          </w:p>
        </w:tc>
      </w:tr>
      <w:tr>
        <w:trPr>
          <w:trHeight w:val="2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本采购包中提供的符合本国产品标准的产品成本之和占该采购包提供的全部产品成本之和的比例为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3.投标人需认真填写本报价表，尤其注意规格型号的准确填写。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4.项目经办人可以根据项目实际需要对表格结构进行调整。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本采购包中含有多种产品（货物项目和服务项目中涉及的货物）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附件2(2) 质保期满后三年期的备品备件明细表</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质保期满后三年期的备品备件明细表（如适用）</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2221"/>
        <w:gridCol w:w="1304"/>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5" w:firstLine="0"/>
              <w:jc w:val="center"/>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备品备件</w:t>
            </w:r>
            <w:r/>
          </w:p>
          <w:p>
            <w:pPr>
              <w:ind w:left="0" w:right="-5" w:firstLine="0"/>
              <w:jc w:val="center"/>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数量</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单价</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备注</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(如外购请注明产地、制造商)</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ab/>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 </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法定代表人签字/签章或其授权代表签字：</w:t>
      </w:r>
      <w:r>
        <w:rPr>
          <w:rFonts w:ascii="FangSong" w:hAnsi="FangSong" w:eastAsia="FangSong" w:cs="FangSong"/>
          <w:color w:val="000000"/>
          <w:sz w:val="24"/>
          <w:u w:val="single"/>
        </w:rPr>
        <w:t xml:space="preserve"> </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日期：2026年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1.投标人需对技术要求逐条做出明确响应。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附件4-1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1.投标人需对商务要求逐条做出明确响应。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 投标人符合《政府采购法》第二十二条规定条件的证明材料</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一、具有独立承担民事责任的能力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三、有依法缴纳税收和社会保障资金的良好记录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依法纳税凭据：提供参加政府采购活动前半年内（2026年05月-2026年10月）的任一月依法纳税的凭据，如完税凭证或税务机关开具的完税证明（个人所得税除外）；</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缴纳社会保险的凭据：提供参加政府采购活动前半年内（2026年05月-2026年10月）的任一月缴纳社会保险的凭据，如专用收据或社会保险缴纳清单；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依法免税或不需要缴纳社会保障资金的证明文件：如果供应商依法免税或不需要缴纳社会保障资金，则须提供相应的证明文件，以说明其免税或无需缴纳的依据和情况。</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六、具备法律、行政法规规定的其他条件的证明材料</w:t>
      </w:r>
      <w:r/>
    </w:p>
    <w:p>
      <w:pPr>
        <w:ind w:left="0" w:right="0" w:firstLine="560"/>
        <w:jc w:val="center"/>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致：南通大学附属医院</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我公司郑重声明：我公司具有XXXXX项目（项目编号XXXXXX）法律、行政法规规定的其他资格条件。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425"/>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（1）投标产品如果属于医疗设备注册/备案范畴的；投标人须根据投标产品的类别，提供有效期内的《医疗器械经营许可证》或者《医疗器械经营备案凭证》（复印件）；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（2）投标产品如果属于医疗设备注册/备案范畴的；投标人须提供投标产品的有效期内的《医疗器械注册证》或者备案凭证（复印件）；</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根据贵方的JSZC-320***-SHGK-*****-****号招标文件，正式授权下述签字人_____(姓名)代表我方_______（投标人的名称），全权处理本次项目投标的有关事宜。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中小微企业声明函（货物类项目）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采购编号为JSZC-320***-SHGK-*****-****，</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72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80" w:firstLine="420"/>
        <w:jc w:val="right"/>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3.供应商自行勾选制造商的企业规模类型。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附件9残疾人福利性单位声明函</w:t>
      </w:r>
      <w:r/>
    </w:p>
    <w:p>
      <w:pPr>
        <w:ind w:left="561" w:right="0" w:hanging="14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残疾人福利性单位声明函（货物类项目）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SHGK-*****-****的项目采购活动提供本单位制造的货物，或者提供其他残疾人福利性单位制造的货物（不包括使用非残疾人福利性单位注册商标的货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非专门面向中小微型企业采购的项目，供应商如不提供此声明函，价格将不做相应扣除。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873" w:firstLine="584"/>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供应商全称（加盖CA电子章）：</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  期：</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附件10 关于符合本国产品标准的声明函（如适用）</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95469"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72610"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67398"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844234"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67968"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6056"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38911"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89374"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Times New Roman" w:hAnsi="Times New Roman" w:eastAsia="Times New Roman" w:cs="Times New Roma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Times New Roman" w:hAnsi="Times New Roman" w:eastAsia="Times New Roman" w:cs="Times New Roma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Times New Roman" w:hAnsi="Times New Roman" w:eastAsia="Times New Roman" w:cs="Times New Roma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Times New Roman" w:hAnsi="Times New Roman" w:eastAsia="Times New Roman" w:cs="Times New Roma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Times New Roman" w:hAnsi="Times New Roman" w:eastAsia="Times New Roman" w:cs="Times New Roma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49056"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99274"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08813"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94395"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872983"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64772"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89595"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76274"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310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w:t>
      </w:r>
      <w:r>
        <w:rPr>
          <w:rFonts w:ascii="SimSun" w:hAnsi="SimSun" w:eastAsia="SimSun" w:cs="SimSun"/>
          <w:color w:val="000000"/>
          <w:sz w:val="24"/>
          <w:highlight w:val="white"/>
        </w:rPr>
        <w:t xml:space="preserve">用斜线划除的地方无需填写。</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附件11实质性要求响应及偏离表</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3876"/>
        <w:gridCol w:w="2835"/>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附件12授权委托书（如有）</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本授权书声明：____________（投标人名称）授权_____________（授权代表的姓名）为我方就JSZC-320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（加盖CA电子公章）</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(1)本授权委托书之后需附上授权代表身份证复印件。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(2)如果投标人有法定代表人且由其直接参与投标的可以不提供，但必须在营业执照后附法定代表人身份证复印件。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2"/>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附件13相关业绩案例一览表（如有）</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YouYuan">
    <w:panose1 w:val="020105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SimSun">
    <w:panose1 w:val="02010600030101010101"/>
  </w:font>
  <w:font w:name="宋体">
    <w:panose1 w:val="02010600030101010101"/>
  </w:font>
  <w:font w:name="黑体">
    <w:panose1 w:val="02010609060101010101"/>
  </w:font>
  <w:font w:name="楷体_GB2312">
    <w:panose1 w:val="02010609060101010101"/>
  </w:font>
  <w:font w:name="Arial">
    <w:panose1 w:val="020B0604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53"/>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7"/>
      <w:numFmt w:val="decimal"/>
      <w:isLgl w:val="false"/>
      <w:suff w:val="tab"/>
      <w:lvlText w:val="%1、"/>
      <w:lvlJc w:val="left"/>
      <w:pPr>
        <w:ind w:left="644" w:hanging="360"/>
      </w:pPr>
    </w:lvl>
    <w:lvl w:ilvl="1">
      <w:start w:val="1"/>
      <w:numFmt w:val="lowerLetter"/>
      <w:isLgl w:val="false"/>
      <w:suff w:val="tab"/>
      <w:lvlText w:val="%2)"/>
      <w:lvlJc w:val="left"/>
      <w:pPr>
        <w:ind w:left="1164" w:hanging="440"/>
      </w:pPr>
    </w:lvl>
    <w:lvl w:ilvl="2">
      <w:start w:val="1"/>
      <w:numFmt w:val="decimal"/>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decimal"/>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decimal"/>
      <w:isLgl w:val="false"/>
      <w:suff w:val="tab"/>
      <w:lvlText w:val="%9."/>
      <w:lvlJc w:val="right"/>
      <w:pPr>
        <w:ind w:left="4244" w:hanging="440"/>
      </w:pPr>
    </w:lvl>
  </w:abstractNum>
  <w:abstractNum w:abstractNumId="7">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0" w:default="1">
    <w:name w:val="Normal"/>
    <w:next w:val="743"/>
    <w:qFormat/>
    <w:pPr>
      <w:spacing w:after="160" w:line="278" w:lineRule="auto"/>
    </w:pPr>
  </w:style>
  <w:style w:type="paragraph" w:styleId="731">
    <w:name w:val="Heading 1"/>
    <w:basedOn w:val="730"/>
    <w:next w:val="730"/>
    <w:link w:val="810"/>
    <w:uiPriority w:val="9"/>
    <w:qFormat/>
    <w:pPr>
      <w:keepLines/>
      <w:keepNext/>
      <w:spacing w:before="480" w:after="200"/>
      <w:outlineLvl w:val="0"/>
    </w:pPr>
    <w:rPr>
      <w:rFonts w:ascii="Arial" w:hAnsi="Arial" w:eastAsia="Arial" w:cs="Arial"/>
      <w:sz w:val="40"/>
      <w:szCs w:val="40"/>
    </w:rPr>
  </w:style>
  <w:style w:type="paragraph" w:styleId="732">
    <w:name w:val="Heading 2"/>
    <w:next w:val="730"/>
    <w:link w:val="811"/>
    <w:unhideWhenUsed/>
    <w:qFormat/>
    <w:pPr>
      <w:keepLines/>
      <w:keepNext/>
      <w:spacing w:before="360" w:after="200" w:line="278" w:lineRule="auto"/>
      <w:outlineLvl w:val="1"/>
    </w:pPr>
    <w:rPr>
      <w:rFonts w:ascii="Arial" w:hAnsi="Arial" w:eastAsia="Arial" w:cs="Arial"/>
      <w:sz w:val="34"/>
    </w:rPr>
  </w:style>
  <w:style w:type="paragraph" w:styleId="733">
    <w:name w:val="Heading 3"/>
    <w:next w:val="730"/>
    <w:link w:val="812"/>
    <w:uiPriority w:val="9"/>
    <w:unhideWhenUsed/>
    <w:qFormat/>
    <w:pPr>
      <w:keepLines/>
      <w:keepNext/>
      <w:spacing w:before="320" w:after="200" w:line="278" w:lineRule="auto"/>
      <w:outlineLvl w:val="2"/>
    </w:pPr>
    <w:rPr>
      <w:rFonts w:ascii="Arial" w:hAnsi="Arial" w:eastAsia="Arial" w:cs="Arial"/>
      <w:sz w:val="30"/>
      <w:szCs w:val="30"/>
    </w:rPr>
  </w:style>
  <w:style w:type="paragraph" w:styleId="734">
    <w:name w:val="Heading 4"/>
    <w:next w:val="730"/>
    <w:link w:val="813"/>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35">
    <w:name w:val="Heading 5"/>
    <w:next w:val="730"/>
    <w:link w:val="814"/>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36">
    <w:name w:val="Heading 6"/>
    <w:next w:val="730"/>
    <w:link w:val="815"/>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37">
    <w:name w:val="Heading 7"/>
    <w:next w:val="730"/>
    <w:link w:val="816"/>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38">
    <w:name w:val="Heading 8"/>
    <w:next w:val="730"/>
    <w:link w:val="817"/>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39">
    <w:name w:val="Heading 9"/>
    <w:next w:val="730"/>
    <w:link w:val="818"/>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name w:val="Body Text"/>
    <w:basedOn w:val="730"/>
    <w:next w:val="730"/>
    <w:qFormat/>
    <w:rPr>
      <w:rFonts w:ascii="楷体_GB2312" w:hAnsi="Arial" w:eastAsia="楷体_GB2312"/>
      <w:sz w:val="28"/>
      <w:szCs w:val="28"/>
    </w:rPr>
  </w:style>
  <w:style w:type="paragraph" w:styleId="744">
    <w:name w:val="toc 7"/>
    <w:next w:val="730"/>
    <w:uiPriority w:val="39"/>
    <w:unhideWhenUsed/>
    <w:qFormat/>
    <w:pPr>
      <w:ind w:left="1701"/>
      <w:spacing w:after="57" w:line="278" w:lineRule="auto"/>
    </w:pPr>
  </w:style>
  <w:style w:type="paragraph" w:styleId="745">
    <w:name w:val="Caption"/>
    <w:next w:val="730"/>
    <w:uiPriority w:val="35"/>
    <w:semiHidden/>
    <w:unhideWhenUsed/>
    <w:qFormat/>
    <w:pPr>
      <w:spacing w:after="160" w:line="276" w:lineRule="auto"/>
    </w:pPr>
    <w:rPr>
      <w:b/>
      <w:bCs/>
      <w:color w:val="4f81bd" w:themeColor="accent1"/>
      <w:sz w:val="18"/>
      <w:szCs w:val="18"/>
    </w:rPr>
  </w:style>
  <w:style w:type="paragraph" w:styleId="746">
    <w:name w:val="toa heading"/>
    <w:basedOn w:val="730"/>
    <w:next w:val="730"/>
    <w:qFormat/>
    <w:pPr>
      <w:jc w:val="center"/>
      <w:spacing w:before="200" w:after="0" w:line="360" w:lineRule="atLeast"/>
    </w:pPr>
    <w:rPr>
      <w:rFonts w:ascii="Arial" w:hAnsi="Arial" w:eastAsia="黑体" w:cs="Arial"/>
      <w:color w:val="000000"/>
      <w:sz w:val="44"/>
      <w:lang w:eastAsia="en-US"/>
    </w:rPr>
  </w:style>
  <w:style w:type="paragraph" w:styleId="747">
    <w:name w:val="annotation text"/>
    <w:basedOn w:val="730"/>
    <w:link w:val="940"/>
    <w:unhideWhenUsed/>
    <w:qFormat/>
  </w:style>
  <w:style w:type="paragraph" w:styleId="748">
    <w:name w:val="toc 5"/>
    <w:next w:val="730"/>
    <w:uiPriority w:val="39"/>
    <w:unhideWhenUsed/>
    <w:qFormat/>
    <w:pPr>
      <w:ind w:left="1134"/>
      <w:spacing w:after="57" w:line="278" w:lineRule="auto"/>
    </w:pPr>
  </w:style>
  <w:style w:type="paragraph" w:styleId="749">
    <w:name w:val="toc 3"/>
    <w:next w:val="730"/>
    <w:uiPriority w:val="39"/>
    <w:unhideWhenUsed/>
    <w:qFormat/>
    <w:pPr>
      <w:ind w:left="567"/>
      <w:spacing w:after="57" w:line="278" w:lineRule="auto"/>
    </w:pPr>
  </w:style>
  <w:style w:type="paragraph" w:styleId="750">
    <w:name w:val="toc 8"/>
    <w:next w:val="730"/>
    <w:uiPriority w:val="39"/>
    <w:unhideWhenUsed/>
    <w:qFormat/>
    <w:pPr>
      <w:ind w:left="1984"/>
      <w:spacing w:after="57" w:line="278" w:lineRule="auto"/>
    </w:pPr>
  </w:style>
  <w:style w:type="paragraph" w:styleId="751">
    <w:name w:val="endnote text"/>
    <w:link w:val="937"/>
    <w:uiPriority w:val="99"/>
    <w:semiHidden/>
    <w:unhideWhenUsed/>
    <w:qFormat/>
    <w:pPr>
      <w:spacing w:after="160" w:line="278" w:lineRule="auto"/>
    </w:pPr>
  </w:style>
  <w:style w:type="paragraph" w:styleId="752">
    <w:name w:val="Balloon Text"/>
    <w:basedOn w:val="730"/>
    <w:link w:val="942"/>
    <w:uiPriority w:val="99"/>
    <w:semiHidden/>
    <w:unhideWhenUsed/>
    <w:qFormat/>
    <w:rPr>
      <w:sz w:val="18"/>
      <w:szCs w:val="18"/>
    </w:rPr>
  </w:style>
  <w:style w:type="paragraph" w:styleId="753">
    <w:name w:val="Footer"/>
    <w:basedOn w:val="730"/>
    <w:link w:val="829"/>
    <w:uiPriority w:val="99"/>
    <w:unhideWhenUsed/>
    <w:qFormat/>
    <w:pPr>
      <w:tabs>
        <w:tab w:val="center" w:pos="7143" w:leader="none"/>
        <w:tab w:val="right" w:pos="14287" w:leader="none"/>
      </w:tabs>
    </w:pPr>
  </w:style>
  <w:style w:type="paragraph" w:styleId="754">
    <w:name w:val="Header"/>
    <w:basedOn w:val="730"/>
    <w:link w:val="827"/>
    <w:uiPriority w:val="99"/>
    <w:unhideWhenUsed/>
    <w:qFormat/>
    <w:pPr>
      <w:tabs>
        <w:tab w:val="center" w:pos="7143" w:leader="none"/>
        <w:tab w:val="right" w:pos="14287" w:leader="none"/>
      </w:tabs>
    </w:pPr>
  </w:style>
  <w:style w:type="paragraph" w:styleId="755">
    <w:name w:val="toc 1"/>
    <w:next w:val="730"/>
    <w:uiPriority w:val="39"/>
    <w:unhideWhenUsed/>
    <w:qFormat/>
    <w:pPr>
      <w:spacing w:after="57" w:line="278" w:lineRule="auto"/>
    </w:pPr>
  </w:style>
  <w:style w:type="paragraph" w:styleId="756">
    <w:name w:val="toc 4"/>
    <w:next w:val="730"/>
    <w:uiPriority w:val="39"/>
    <w:unhideWhenUsed/>
    <w:qFormat/>
    <w:pPr>
      <w:ind w:left="850"/>
      <w:spacing w:after="57" w:line="278" w:lineRule="auto"/>
    </w:pPr>
  </w:style>
  <w:style w:type="paragraph" w:styleId="757">
    <w:name w:val="Subtitle"/>
    <w:link w:val="822"/>
    <w:uiPriority w:val="11"/>
    <w:qFormat/>
    <w:pPr>
      <w:spacing w:before="200" w:after="200" w:line="278" w:lineRule="auto"/>
    </w:pPr>
    <w:rPr>
      <w:sz w:val="24"/>
      <w:szCs w:val="24"/>
    </w:rPr>
  </w:style>
  <w:style w:type="paragraph" w:styleId="758">
    <w:name w:val="footnote text"/>
    <w:link w:val="936"/>
    <w:uiPriority w:val="99"/>
    <w:semiHidden/>
    <w:unhideWhenUsed/>
    <w:qFormat/>
    <w:pPr>
      <w:spacing w:after="40" w:line="278" w:lineRule="auto"/>
    </w:pPr>
    <w:rPr>
      <w:sz w:val="18"/>
    </w:rPr>
  </w:style>
  <w:style w:type="paragraph" w:styleId="759">
    <w:name w:val="toc 6"/>
    <w:next w:val="730"/>
    <w:uiPriority w:val="39"/>
    <w:unhideWhenUsed/>
    <w:qFormat/>
    <w:pPr>
      <w:ind w:left="1417"/>
      <w:spacing w:after="57" w:line="278" w:lineRule="auto"/>
    </w:pPr>
  </w:style>
  <w:style w:type="paragraph" w:styleId="760">
    <w:name w:val="table of figures"/>
    <w:next w:val="730"/>
    <w:uiPriority w:val="99"/>
    <w:unhideWhenUsed/>
    <w:qFormat/>
    <w:pPr>
      <w:spacing w:after="160" w:line="278" w:lineRule="auto"/>
    </w:pPr>
  </w:style>
  <w:style w:type="paragraph" w:styleId="761">
    <w:name w:val="toc 2"/>
    <w:next w:val="730"/>
    <w:uiPriority w:val="39"/>
    <w:unhideWhenUsed/>
    <w:qFormat/>
    <w:pPr>
      <w:ind w:left="283"/>
      <w:spacing w:after="57" w:line="278" w:lineRule="auto"/>
    </w:pPr>
  </w:style>
  <w:style w:type="paragraph" w:styleId="762">
    <w:name w:val="toc 9"/>
    <w:next w:val="730"/>
    <w:uiPriority w:val="39"/>
    <w:unhideWhenUsed/>
    <w:qFormat/>
    <w:pPr>
      <w:ind w:left="2268"/>
      <w:spacing w:after="57" w:line="278" w:lineRule="auto"/>
    </w:pPr>
  </w:style>
  <w:style w:type="paragraph" w:styleId="763">
    <w:name w:val="Normal (Web)"/>
    <w:basedOn w:val="730"/>
    <w:unhideWhenUsed/>
    <w:qFormat/>
    <w:pPr>
      <w:spacing w:before="100" w:beforeAutospacing="1" w:after="100" w:afterAutospacing="1"/>
    </w:pPr>
    <w:rPr>
      <w:rFonts w:ascii="宋体" w:hAnsi="宋体" w:eastAsia="宋体" w:cs="宋体"/>
      <w:sz w:val="24"/>
      <w:szCs w:val="24"/>
    </w:rPr>
  </w:style>
  <w:style w:type="paragraph" w:styleId="764">
    <w:name w:val="Title"/>
    <w:link w:val="821"/>
    <w:uiPriority w:val="10"/>
    <w:qFormat/>
    <w:pPr>
      <w:contextualSpacing/>
      <w:spacing w:before="300" w:after="200" w:line="278" w:lineRule="auto"/>
    </w:pPr>
    <w:rPr>
      <w:sz w:val="48"/>
      <w:szCs w:val="48"/>
    </w:rPr>
  </w:style>
  <w:style w:type="paragraph" w:styleId="765">
    <w:name w:val="annotation subject"/>
    <w:basedOn w:val="747"/>
    <w:next w:val="747"/>
    <w:link w:val="941"/>
    <w:uiPriority w:val="99"/>
    <w:semiHidden/>
    <w:unhideWhenUsed/>
    <w:qFormat/>
    <w:rPr>
      <w:b/>
      <w:bCs/>
    </w:rPr>
  </w:style>
  <w:style w:type="paragraph" w:styleId="766">
    <w:name w:val="Body Text First Indent"/>
    <w:basedOn w:val="743"/>
    <w:qFormat/>
    <w:pPr>
      <w:ind w:firstLine="420"/>
      <w:spacing w:after="120"/>
    </w:pPr>
    <w:rPr>
      <w:sz w:val="21"/>
      <w:szCs w:val="24"/>
      <w:lang w:val="zh-CN"/>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Emphasis"/>
    <w:qFormat/>
    <w:rPr>
      <w:i/>
    </w:rPr>
  </w:style>
  <w:style w:type="character" w:styleId="770">
    <w:name w:val="Hyperlink"/>
    <w:uiPriority w:val="99"/>
    <w:unhideWhenUsed/>
    <w:qFormat/>
    <w:rPr>
      <w:color w:val="0000ff" w:themeColor="hyperlink"/>
      <w:u w:val="single"/>
    </w:rPr>
  </w:style>
  <w:style w:type="character" w:styleId="771">
    <w:name w:val="annotation reference"/>
    <w:basedOn w:val="740"/>
    <w:unhideWhenUsed/>
    <w:qFormat/>
    <w:rPr>
      <w:sz w:val="21"/>
      <w:szCs w:val="21"/>
    </w:rPr>
  </w:style>
  <w:style w:type="character" w:styleId="772">
    <w:name w:val="footnote reference"/>
    <w:uiPriority w:val="99"/>
    <w:unhideWhenUsed/>
    <w:qFormat/>
    <w:rPr>
      <w:vertAlign w:val="superscript"/>
    </w:rPr>
  </w:style>
  <w:style w:type="character" w:styleId="773" w:customStyle="1">
    <w:name w:val="Heading 1 Char"/>
    <w:basedOn w:val="740"/>
    <w:uiPriority w:val="9"/>
    <w:qFormat/>
    <w:rPr>
      <w:rFonts w:ascii="Arial" w:hAnsi="Arial" w:eastAsia="Arial" w:cs="Arial"/>
      <w:sz w:val="40"/>
      <w:szCs w:val="40"/>
    </w:rPr>
  </w:style>
  <w:style w:type="character" w:styleId="774" w:customStyle="1">
    <w:name w:val="Heading 2 Char"/>
    <w:basedOn w:val="740"/>
    <w:uiPriority w:val="9"/>
    <w:qFormat/>
    <w:rPr>
      <w:rFonts w:ascii="Arial" w:hAnsi="Arial" w:eastAsia="Arial" w:cs="Arial"/>
      <w:sz w:val="34"/>
    </w:rPr>
  </w:style>
  <w:style w:type="character" w:styleId="775" w:customStyle="1">
    <w:name w:val="Heading 3 Char"/>
    <w:basedOn w:val="740"/>
    <w:uiPriority w:val="9"/>
    <w:qFormat/>
    <w:rPr>
      <w:rFonts w:ascii="Arial" w:hAnsi="Arial" w:eastAsia="Arial" w:cs="Arial"/>
      <w:sz w:val="30"/>
      <w:szCs w:val="30"/>
    </w:rPr>
  </w:style>
  <w:style w:type="character" w:styleId="776" w:customStyle="1">
    <w:name w:val="Heading 4 Char"/>
    <w:basedOn w:val="740"/>
    <w:uiPriority w:val="9"/>
    <w:qFormat/>
    <w:rPr>
      <w:rFonts w:ascii="Arial" w:hAnsi="Arial" w:eastAsia="Arial" w:cs="Arial"/>
      <w:b/>
      <w:bCs/>
      <w:sz w:val="26"/>
      <w:szCs w:val="26"/>
    </w:rPr>
  </w:style>
  <w:style w:type="character" w:styleId="777" w:customStyle="1">
    <w:name w:val="Heading 5 Char"/>
    <w:basedOn w:val="740"/>
    <w:uiPriority w:val="9"/>
    <w:qFormat/>
    <w:rPr>
      <w:rFonts w:ascii="Arial" w:hAnsi="Arial" w:eastAsia="Arial" w:cs="Arial"/>
      <w:b/>
      <w:bCs/>
      <w:sz w:val="24"/>
      <w:szCs w:val="24"/>
    </w:rPr>
  </w:style>
  <w:style w:type="character" w:styleId="778" w:customStyle="1">
    <w:name w:val="Heading 6 Char"/>
    <w:basedOn w:val="740"/>
    <w:uiPriority w:val="9"/>
    <w:qFormat/>
    <w:rPr>
      <w:rFonts w:ascii="Arial" w:hAnsi="Arial" w:eastAsia="Arial" w:cs="Arial"/>
      <w:b/>
      <w:bCs/>
      <w:sz w:val="22"/>
      <w:szCs w:val="22"/>
    </w:rPr>
  </w:style>
  <w:style w:type="character" w:styleId="779" w:customStyle="1">
    <w:name w:val="Heading 7 Char"/>
    <w:basedOn w:val="740"/>
    <w:uiPriority w:val="9"/>
    <w:qFormat/>
    <w:rPr>
      <w:rFonts w:ascii="Arial" w:hAnsi="Arial" w:eastAsia="Arial" w:cs="Arial"/>
      <w:b/>
      <w:bCs/>
      <w:i/>
      <w:iCs/>
      <w:sz w:val="22"/>
      <w:szCs w:val="22"/>
    </w:rPr>
  </w:style>
  <w:style w:type="character" w:styleId="780" w:customStyle="1">
    <w:name w:val="Heading 8 Char"/>
    <w:basedOn w:val="740"/>
    <w:uiPriority w:val="9"/>
    <w:qFormat/>
    <w:rPr>
      <w:rFonts w:ascii="Arial" w:hAnsi="Arial" w:eastAsia="Arial" w:cs="Arial"/>
      <w:i/>
      <w:iCs/>
      <w:sz w:val="22"/>
      <w:szCs w:val="22"/>
    </w:rPr>
  </w:style>
  <w:style w:type="character" w:styleId="781" w:customStyle="1">
    <w:name w:val="Heading 9 Char"/>
    <w:basedOn w:val="740"/>
    <w:uiPriority w:val="9"/>
    <w:qFormat/>
    <w:rPr>
      <w:rFonts w:ascii="Arial" w:hAnsi="Arial" w:eastAsia="Arial" w:cs="Arial"/>
      <w:i/>
      <w:iCs/>
      <w:sz w:val="21"/>
      <w:szCs w:val="21"/>
    </w:rPr>
  </w:style>
  <w:style w:type="character" w:styleId="782" w:customStyle="1">
    <w:name w:val="Title Char"/>
    <w:basedOn w:val="740"/>
    <w:uiPriority w:val="10"/>
    <w:qFormat/>
    <w:rPr>
      <w:sz w:val="48"/>
      <w:szCs w:val="48"/>
    </w:rPr>
  </w:style>
  <w:style w:type="character" w:styleId="783" w:customStyle="1">
    <w:name w:val="Subtitle Char"/>
    <w:basedOn w:val="740"/>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Header Char"/>
    <w:basedOn w:val="740"/>
    <w:uiPriority w:val="99"/>
    <w:qFormat/>
  </w:style>
  <w:style w:type="character" w:styleId="787" w:customStyle="1">
    <w:name w:val="Caption Char"/>
    <w:uiPriority w:val="99"/>
    <w:qFormat/>
  </w:style>
  <w:style w:type="table" w:styleId="788"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9"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4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5" w:customStyle="1">
    <w:name w:val="清单表 6 彩色1"/>
    <w:basedOn w:val="74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6" w:customStyle="1">
    <w:name w:val="清单表 7 彩色1"/>
    <w:basedOn w:val="74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
    <w:uiPriority w:val="39"/>
    <w:unhideWhenUsed/>
    <w:qFormat/>
    <w:pPr>
      <w:spacing w:after="160" w:line="278" w:lineRule="auto"/>
    </w:pPr>
  </w:style>
  <w:style w:type="character" w:styleId="810" w:customStyle="1">
    <w:name w:val="标题 1 字符"/>
    <w:link w:val="731"/>
    <w:uiPriority w:val="9"/>
    <w:qFormat/>
    <w:rPr>
      <w:rFonts w:ascii="Arial" w:hAnsi="Arial" w:eastAsia="Arial" w:cs="Arial"/>
      <w:sz w:val="40"/>
      <w:szCs w:val="40"/>
    </w:rPr>
  </w:style>
  <w:style w:type="character" w:styleId="811" w:customStyle="1">
    <w:name w:val="标题 2 字符"/>
    <w:link w:val="732"/>
    <w:qFormat/>
    <w:rPr>
      <w:rFonts w:ascii="Arial" w:hAnsi="Arial" w:eastAsia="Arial" w:cs="Arial"/>
      <w:sz w:val="34"/>
    </w:rPr>
  </w:style>
  <w:style w:type="character" w:styleId="812" w:customStyle="1">
    <w:name w:val="标题 3 字符"/>
    <w:link w:val="733"/>
    <w:uiPriority w:val="9"/>
    <w:qFormat/>
    <w:rPr>
      <w:rFonts w:ascii="Arial" w:hAnsi="Arial" w:eastAsia="Arial" w:cs="Arial"/>
      <w:sz w:val="30"/>
      <w:szCs w:val="30"/>
    </w:rPr>
  </w:style>
  <w:style w:type="character" w:styleId="813" w:customStyle="1">
    <w:name w:val="标题 4 字符"/>
    <w:link w:val="734"/>
    <w:uiPriority w:val="9"/>
    <w:qFormat/>
    <w:rPr>
      <w:rFonts w:ascii="Arial" w:hAnsi="Arial" w:eastAsia="Arial" w:cs="Arial"/>
      <w:b/>
      <w:bCs/>
      <w:sz w:val="26"/>
      <w:szCs w:val="26"/>
    </w:rPr>
  </w:style>
  <w:style w:type="character" w:styleId="814" w:customStyle="1">
    <w:name w:val="标题 5 字符"/>
    <w:link w:val="735"/>
    <w:uiPriority w:val="9"/>
    <w:qFormat/>
    <w:rPr>
      <w:rFonts w:ascii="Arial" w:hAnsi="Arial" w:eastAsia="Arial" w:cs="Arial"/>
      <w:b/>
      <w:bCs/>
      <w:sz w:val="24"/>
      <w:szCs w:val="24"/>
    </w:rPr>
  </w:style>
  <w:style w:type="character" w:styleId="815" w:customStyle="1">
    <w:name w:val="标题 6 字符"/>
    <w:link w:val="736"/>
    <w:uiPriority w:val="9"/>
    <w:qFormat/>
    <w:rPr>
      <w:rFonts w:ascii="Arial" w:hAnsi="Arial" w:eastAsia="Arial" w:cs="Arial"/>
      <w:b/>
      <w:bCs/>
      <w:sz w:val="22"/>
      <w:szCs w:val="22"/>
    </w:rPr>
  </w:style>
  <w:style w:type="character" w:styleId="816" w:customStyle="1">
    <w:name w:val="标题 7 字符"/>
    <w:link w:val="737"/>
    <w:uiPriority w:val="9"/>
    <w:qFormat/>
    <w:rPr>
      <w:rFonts w:ascii="Arial" w:hAnsi="Arial" w:eastAsia="Arial" w:cs="Arial"/>
      <w:b/>
      <w:bCs/>
      <w:i/>
      <w:iCs/>
      <w:sz w:val="22"/>
      <w:szCs w:val="22"/>
    </w:rPr>
  </w:style>
  <w:style w:type="character" w:styleId="817" w:customStyle="1">
    <w:name w:val="标题 8 字符"/>
    <w:link w:val="738"/>
    <w:uiPriority w:val="9"/>
    <w:qFormat/>
    <w:rPr>
      <w:rFonts w:ascii="Arial" w:hAnsi="Arial" w:eastAsia="Arial" w:cs="Arial"/>
      <w:i/>
      <w:iCs/>
      <w:sz w:val="22"/>
      <w:szCs w:val="22"/>
    </w:rPr>
  </w:style>
  <w:style w:type="character" w:styleId="818" w:customStyle="1">
    <w:name w:val="标题 9 字符"/>
    <w:link w:val="739"/>
    <w:uiPriority w:val="9"/>
    <w:qFormat/>
    <w:rPr>
      <w:rFonts w:ascii="Arial" w:hAnsi="Arial" w:eastAsia="Arial" w:cs="Arial"/>
      <w:i/>
      <w:iCs/>
      <w:sz w:val="21"/>
      <w:szCs w:val="21"/>
    </w:rPr>
  </w:style>
  <w:style w:type="paragraph" w:styleId="819">
    <w:name w:val="List Paragraph"/>
    <w:uiPriority w:val="34"/>
    <w:qFormat/>
    <w:pPr>
      <w:contextualSpacing/>
      <w:ind w:left="720"/>
      <w:spacing w:after="160" w:line="278" w:lineRule="auto"/>
    </w:pPr>
  </w:style>
  <w:style w:type="paragraph" w:styleId="820">
    <w:name w:val="No Spacing"/>
    <w:uiPriority w:val="1"/>
    <w:qFormat/>
    <w:pPr>
      <w:spacing w:after="160" w:line="278" w:lineRule="auto"/>
    </w:pPr>
  </w:style>
  <w:style w:type="character" w:styleId="821" w:customStyle="1">
    <w:name w:val="标题 字符"/>
    <w:link w:val="764"/>
    <w:uiPriority w:val="10"/>
    <w:qFormat/>
    <w:rPr>
      <w:sz w:val="48"/>
      <w:szCs w:val="48"/>
    </w:rPr>
  </w:style>
  <w:style w:type="character" w:styleId="822" w:customStyle="1">
    <w:name w:val="副标题 字符"/>
    <w:link w:val="757"/>
    <w:uiPriority w:val="11"/>
    <w:qFormat/>
    <w:rPr>
      <w:sz w:val="24"/>
      <w:szCs w:val="24"/>
    </w:rPr>
  </w:style>
  <w:style w:type="paragraph" w:styleId="823">
    <w:name w:val="Quote"/>
    <w:link w:val="824"/>
    <w:uiPriority w:val="29"/>
    <w:qFormat/>
    <w:pPr>
      <w:ind w:left="720" w:right="720"/>
      <w:spacing w:after="160" w:line="278" w:lineRule="auto"/>
    </w:pPr>
    <w:rPr>
      <w:i/>
    </w:rPr>
  </w:style>
  <w:style w:type="character" w:styleId="824" w:customStyle="1">
    <w:name w:val="引用 字符"/>
    <w:link w:val="823"/>
    <w:uiPriority w:val="29"/>
    <w:qFormat/>
    <w:rPr>
      <w:i/>
    </w:rPr>
  </w:style>
  <w:style w:type="paragraph" w:styleId="825">
    <w:name w:val="Intense Quote"/>
    <w:link w:val="826"/>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眉 字符"/>
    <w:link w:val="754"/>
    <w:uiPriority w:val="99"/>
    <w:qFormat/>
  </w:style>
  <w:style w:type="character" w:styleId="828" w:customStyle="1">
    <w:name w:val="Footer Char"/>
    <w:uiPriority w:val="99"/>
    <w:qFormat/>
  </w:style>
  <w:style w:type="character" w:styleId="829" w:customStyle="1">
    <w:name w:val="页脚 字符"/>
    <w:link w:val="753"/>
    <w:uiPriority w:val="99"/>
    <w:qFormat/>
  </w:style>
  <w:style w:type="table" w:styleId="83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58"/>
    <w:uiPriority w:val="99"/>
    <w:qFormat/>
    <w:rPr>
      <w:sz w:val="18"/>
    </w:rPr>
  </w:style>
  <w:style w:type="character" w:styleId="937" w:customStyle="1">
    <w:name w:val="尾注文本 字符"/>
    <w:link w:val="751"/>
    <w:uiPriority w:val="99"/>
    <w:qFormat/>
    <w:rPr>
      <w:sz w:val="20"/>
    </w:rPr>
  </w:style>
  <w:style w:type="paragraph" w:styleId="938" w:customStyle="1">
    <w:name w:val="TOC 标题11"/>
    <w:uiPriority w:val="39"/>
    <w:unhideWhenUsed/>
    <w:qFormat/>
    <w:pPr>
      <w:spacing w:after="160" w:line="278" w:lineRule="auto"/>
    </w:pPr>
  </w:style>
  <w:style w:type="paragraph" w:styleId="939" w:customStyle="1">
    <w:name w:val="修订1"/>
    <w:hidden/>
    <w:uiPriority w:val="99"/>
    <w:semiHidden/>
    <w:qFormat/>
    <w:pPr>
      <w:spacing w:after="160" w:line="278" w:lineRule="auto"/>
    </w:pPr>
  </w:style>
  <w:style w:type="character" w:styleId="940" w:customStyle="1">
    <w:name w:val="批注文字 字符"/>
    <w:basedOn w:val="740"/>
    <w:link w:val="747"/>
    <w:qFormat/>
  </w:style>
  <w:style w:type="character" w:styleId="941" w:customStyle="1">
    <w:name w:val="批注主题 字符"/>
    <w:basedOn w:val="940"/>
    <w:link w:val="765"/>
    <w:uiPriority w:val="99"/>
    <w:semiHidden/>
    <w:qFormat/>
    <w:rPr>
      <w:b/>
      <w:bCs/>
    </w:rPr>
  </w:style>
  <w:style w:type="character" w:styleId="942" w:customStyle="1">
    <w:name w:val="批注框文本 字符"/>
    <w:basedOn w:val="740"/>
    <w:link w:val="752"/>
    <w:uiPriority w:val="99"/>
    <w:semiHidden/>
    <w:qFormat/>
    <w:rPr>
      <w:sz w:val="18"/>
      <w:szCs w:val="18"/>
    </w:rPr>
  </w:style>
  <w:style w:type="paragraph" w:styleId="943" w:customStyle="1">
    <w:name w:val="修订2"/>
    <w:hidden/>
    <w:uiPriority w:val="99"/>
    <w:unhideWhenUsed/>
    <w:qFormat/>
    <w:pPr>
      <w:spacing w:after="160" w:line="278" w:lineRule="auto"/>
    </w:pPr>
  </w:style>
  <w:style w:type="paragraph" w:styleId="944" w:customStyle="1">
    <w:name w:val="修订3"/>
    <w:hidden/>
    <w:uiPriority w:val="99"/>
    <w:semiHidden/>
    <w:qFormat/>
    <w:pPr>
      <w:spacing w:after="160" w:line="278" w:lineRule="auto"/>
    </w:pPr>
  </w:style>
  <w:style w:type="paragraph" w:styleId="945" w:customStyle="1">
    <w:name w:val="普通正文"/>
    <w:basedOn w:val="730"/>
    <w:qFormat/>
    <w:pPr>
      <w:ind w:firstLine="480"/>
      <w:spacing w:before="120" w:after="120" w:line="360" w:lineRule="auto"/>
    </w:pPr>
    <w:rPr>
      <w:rFonts w:ascii="Arial" w:hAnsi="Arial"/>
      <w:szCs w:val="24"/>
    </w:rPr>
  </w:style>
  <w:style w:type="paragraph" w:styleId="946" w:customStyle="1">
    <w:name w:val="_Style 226"/>
    <w:basedOn w:val="731"/>
    <w:next w:val="730"/>
    <w:qFormat/>
    <w:pPr>
      <w:spacing w:line="276" w:lineRule="auto"/>
      <w:outlineLvl w:val="9"/>
    </w:pPr>
    <w:rPr>
      <w:rFonts w:ascii="Cambria" w:hAnsi="Cambria" w:eastAsia="宋体"/>
      <w:bCs/>
      <w:color w:val="365f91"/>
    </w:rPr>
  </w:style>
  <w:style w:type="paragraph" w:styleId="947" w:customStyle="1">
    <w:name w:val="修订4"/>
    <w:hidden/>
    <w:uiPriority w:val="99"/>
    <w:semiHidden/>
    <w:qFormat/>
    <w:pPr>
      <w:spacing w:after="160" w:line="278" w:lineRule="auto"/>
    </w:pPr>
  </w:style>
  <w:style w:type="paragraph" w:styleId="948" w:customStyle="1">
    <w:name w:val="修订5"/>
    <w:hidden/>
    <w:uiPriority w:val="99"/>
    <w:unhideWhenUsed/>
    <w:qFormat/>
    <w:pPr>
      <w:spacing w:after="160" w:line="278" w:lineRule="auto"/>
    </w:pPr>
  </w:style>
  <w:style w:type="paragraph" w:styleId="949" w:customStyle="1">
    <w:name w:val="修订6"/>
    <w:hidden/>
    <w:uiPriority w:val="99"/>
    <w:semiHidden/>
    <w:qFormat/>
    <w:pPr>
      <w:spacing w:after="160" w:line="278" w:lineRule="auto"/>
    </w:pPr>
  </w:style>
  <w:style w:type="paragraph" w:styleId="950" w:customStyle="1">
    <w:name w:val="修订7"/>
    <w:hidden/>
    <w:uiPriority w:val="99"/>
    <w:semiHidden/>
    <w:qFormat/>
    <w:pPr>
      <w:spacing w:after="160" w:line="278" w:lineRule="auto"/>
    </w:pPr>
  </w:style>
  <w:style w:type="paragraph" w:styleId="951" w:customStyle="1">
    <w:name w:val="修订8"/>
    <w:hidden/>
    <w:uiPriority w:val="99"/>
    <w:semiHidden/>
    <w:qFormat/>
    <w:pPr>
      <w:spacing w:after="160" w:line="278" w:lineRule="auto"/>
    </w:pPr>
  </w:style>
  <w:style w:type="paragraph" w:styleId="952" w:customStyle="1">
    <w:name w:val="Table Text"/>
    <w:basedOn w:val="730"/>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53" w:customStyle="1">
    <w:name w:val="修订9"/>
    <w:hidden/>
    <w:uiPriority w:val="99"/>
    <w:unhideWhenUsed/>
    <w:qFormat/>
    <w:pPr>
      <w:spacing w:after="160" w:line="278" w:lineRule="auto"/>
    </w:pPr>
  </w:style>
  <w:style w:type="paragraph" w:styleId="954" w:customStyle="1">
    <w:name w:val="修订10"/>
    <w:hidden/>
    <w:uiPriority w:val="99"/>
    <w:unhideWhenUsed/>
    <w:qFormat/>
  </w:style>
  <w:style w:type="paragraph" w:styleId="955" w:customStyle="1">
    <w:name w:val="修订11"/>
    <w:hidden/>
    <w:uiPriority w:val="99"/>
    <w:semiHidden/>
    <w:qFormat/>
  </w:style>
  <w:style w:type="paragraph" w:styleId="956" w:customStyle="1">
    <w:name w:val="修订12"/>
    <w:hidden/>
    <w:uiPriority w:val="99"/>
    <w:semiHidden/>
    <w:qFormat/>
  </w:style>
  <w:style w:type="paragraph" w:styleId="957" w:customStyle="1">
    <w:name w:val="修订13"/>
    <w:hidden/>
    <w:uiPriority w:val="99"/>
    <w:unhideWhenUsed/>
  </w:style>
  <w:style w:type="character" w:styleId="958">
    <w:name w:val="Placeholder Text"/>
    <w:basedOn w:val="740"/>
    <w:uiPriority w:val="99"/>
    <w:unhideWhenUsed/>
    <w:rPr>
      <w:color w:val="66666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E3A6DD-5F4D-4B01-B3D8-52A8787F80A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Apache POI</dc:creator>
  <cp:lastModifiedBy>吴岢非</cp:lastModifiedBy>
  <cp:revision>3</cp:revision>
  <dcterms:created xsi:type="dcterms:W3CDTF">2026-10-29T09:00:00Z</dcterms:created>
  <dcterms:modified xsi:type="dcterms:W3CDTF">2026-10-30T02:24:08Z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064DE164F99A40ADAAA50B57C28ED07F_13</vt:lpwstr>
  </property>
  <property fmtid="{D5CDD505-2E9C-101B-9397-08002B2CF9AE}" pid="4" name="KSOTemplateDocerSaveRecord">
    <vt:lpwstr>eyJoZGlkIjoiODUzODAzNjQ1NTk4OWE1ODEyODlkNzkzODE2ZTllMjYiLCJ1c2VySWQiOiIzMTk2NTAxNDYifQ==</vt:lpwstr>
  </property>
</Properties>
</file>