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Cs w:val="26"/>
        </w:rPr>
      </w:pPr>
      <w:r>
        <w:rPr>
          <w:rFonts w:ascii="宋体" w:hAnsi="宋体" w:eastAsia="宋体"/>
          <w:szCs w:val="26"/>
        </w:rPr>
      </w:r>
      <w:r/>
    </w:p>
    <w:p>
      <w:pPr>
        <w:jc w:val="center"/>
        <w:rPr>
          <w:rFonts w:ascii="宋体" w:hAnsi="宋体" w:eastAsia="宋体"/>
          <w:szCs w:val="26"/>
        </w:rPr>
      </w:pPr>
      <w:r>
        <w:rPr>
          <w:rFonts w:ascii="宋体" w:hAnsi="宋体" w:eastAsia="宋体"/>
          <w:szCs w:val="26"/>
        </w:rPr>
      </w:r>
      <w:r/>
    </w:p>
    <w:p>
      <w:pPr>
        <w:jc w:val="center"/>
        <w:rPr>
          <w:rFonts w:ascii="宋体" w:hAnsi="宋体" w:eastAsia="宋体"/>
          <w:szCs w:val="26"/>
        </w:rPr>
      </w:pPr>
      <w:r>
        <w:rPr>
          <w:rFonts w:ascii="宋体" w:hAnsi="宋体" w:eastAsia="宋体"/>
          <w:szCs w:val="26"/>
        </w:rPr>
      </w:r>
      <w:r/>
    </w:p>
    <w:p>
      <w:pPr>
        <w:jc w:val="center"/>
        <w:rPr>
          <w:rFonts w:ascii="宋体" w:hAnsi="宋体" w:eastAsia="宋体"/>
          <w:szCs w:val="26"/>
        </w:rPr>
      </w:pPr>
      <w:r>
        <w:rPr>
          <w:rFonts w:ascii="宋体" w:hAnsi="宋体" w:eastAsia="宋体"/>
          <w:szCs w:val="26"/>
        </w:rPr>
      </w:r>
      <w:r/>
    </w:p>
    <w:p>
      <w:pPr>
        <w:jc w:val="center"/>
        <w:rPr>
          <w:rFonts w:ascii="宋体" w:hAnsi="宋体" w:eastAsia="宋体"/>
          <w:szCs w:val="26"/>
        </w:rPr>
      </w:pPr>
      <w:r>
        <w:rPr>
          <w:rFonts w:ascii="宋体" w:hAnsi="宋体" w:eastAsia="宋体"/>
          <w:szCs w:val="26"/>
        </w:rPr>
      </w:r>
      <w:r/>
    </w:p>
    <w:p>
      <w:pPr>
        <w:jc w:val="center"/>
        <w:rPr>
          <w:rFonts w:ascii="宋体" w:hAnsi="宋体" w:eastAsia="宋体"/>
          <w:szCs w:val="26"/>
        </w:rPr>
      </w:pPr>
      <w:r>
        <w:rPr>
          <w:rFonts w:ascii="宋体" w:hAnsi="宋体" w:eastAsia="宋体"/>
          <w:szCs w:val="26"/>
        </w:rPr>
      </w:r>
      <w:r/>
    </w:p>
    <w:p>
      <w:pPr>
        <w:jc w:val="center"/>
        <w:rPr>
          <w:rFonts w:ascii="宋体" w:hAnsi="宋体" w:eastAsia="宋体"/>
          <w:szCs w:val="26"/>
        </w:rPr>
      </w:pPr>
      <w:r>
        <w:rPr>
          <w:rFonts w:ascii="宋体" w:hAnsi="宋体" w:eastAsia="宋体"/>
          <w:szCs w:val="26"/>
        </w:rPr>
      </w:r>
      <w:r/>
    </w:p>
    <w:p>
      <w:pPr>
        <w:jc w:val="center"/>
        <w:rPr>
          <w:rFonts w:ascii="宋体" w:hAnsi="宋体" w:eastAsia="宋体"/>
          <w:b/>
          <w:sz w:val="72"/>
        </w:rPr>
      </w:pPr>
      <w:r>
        <w:rPr>
          <w:rFonts w:hint="eastAsia" w:ascii="宋体" w:hAnsi="宋体" w:eastAsia="宋体"/>
          <w:b/>
          <w:sz w:val="72"/>
        </w:rPr>
        <w:t xml:space="preserve">苏州市政府采购</w:t>
      </w:r>
      <w:r/>
    </w:p>
    <w:p>
      <w:pPr>
        <w:rPr>
          <w:rFonts w:ascii="宋体" w:hAnsi="宋体" w:eastAsia="宋体"/>
        </w:rPr>
      </w:pPr>
      <w:r>
        <w:rPr>
          <w:rFonts w:ascii="宋体" w:hAnsi="宋体" w:eastAsia="宋体"/>
        </w:rPr>
      </w:r>
      <w:r/>
    </w:p>
    <w:p>
      <w:pPr>
        <w:jc w:val="center"/>
        <w:rPr>
          <w:rFonts w:ascii="宋体" w:hAnsi="宋体" w:eastAsia="宋体"/>
          <w:b/>
          <w:sz w:val="72"/>
        </w:rPr>
      </w:pPr>
      <w:r>
        <w:rPr>
          <w:rFonts w:hint="eastAsia" w:ascii="宋体" w:hAnsi="宋体" w:eastAsia="宋体"/>
          <w:b/>
          <w:sz w:val="72"/>
        </w:rPr>
        <w:t xml:space="preserve">招标文件</w:t>
      </w:r>
      <w:r/>
    </w:p>
    <w:p>
      <w:pPr>
        <w:jc w:val="center"/>
        <w:rPr>
          <w:rFonts w:ascii="宋体" w:hAnsi="宋体" w:eastAsia="宋体"/>
          <w:szCs w:val="26"/>
        </w:rPr>
      </w:pPr>
      <w:r>
        <w:rPr>
          <w:rFonts w:ascii="宋体" w:hAnsi="宋体" w:eastAsia="宋体"/>
          <w:szCs w:val="26"/>
        </w:rPr>
      </w:r>
      <w:r/>
    </w:p>
    <w:p>
      <w:pPr>
        <w:jc w:val="center"/>
        <w:rPr>
          <w:rFonts w:ascii="宋体" w:hAnsi="宋体" w:eastAsia="宋体"/>
          <w:szCs w:val="26"/>
        </w:rPr>
      </w:pPr>
      <w:r>
        <w:rPr>
          <w:rFonts w:ascii="宋体" w:hAnsi="宋体" w:eastAsia="宋体"/>
          <w:szCs w:val="26"/>
        </w:rPr>
      </w:r>
      <w:r/>
    </w:p>
    <w:p>
      <w:pPr>
        <w:ind w:firstLine="1285"/>
        <w:spacing w:line="360" w:lineRule="auto"/>
        <w:rPr>
          <w:rFonts w:ascii="宋体" w:hAnsi="宋体" w:eastAsia="宋体"/>
          <w:b/>
          <w:bCs/>
          <w:sz w:val="32"/>
          <w:highlight w:val="yellow"/>
        </w:rPr>
      </w:pPr>
      <w:r>
        <w:rPr>
          <w:rFonts w:hint="eastAsia" w:ascii="宋体" w:hAnsi="宋体" w:eastAsia="宋体"/>
          <w:b/>
          <w:bCs/>
          <w:sz w:val="32"/>
        </w:rPr>
        <w:t xml:space="preserve">采购编号：JSZC-320500-SZHX-G2026-0035</w:t>
      </w:r>
      <w:r/>
    </w:p>
    <w:p>
      <w:pPr>
        <w:ind w:firstLine="1285"/>
        <w:spacing w:line="360" w:lineRule="auto"/>
        <w:rPr>
          <w:rFonts w:ascii="宋体" w:hAnsi="宋体" w:eastAsia="宋体"/>
          <w:b/>
          <w:bCs/>
          <w:sz w:val="32"/>
        </w:rPr>
      </w:pPr>
      <w:r>
        <w:rPr>
          <w:rFonts w:hint="eastAsia" w:ascii="宋体" w:hAnsi="宋体" w:eastAsia="宋体"/>
          <w:b/>
          <w:bCs/>
          <w:sz w:val="32"/>
        </w:rPr>
        <w:t xml:space="preserve">采购单位：苏州农业职业技术学院</w:t>
      </w:r>
      <w:r/>
    </w:p>
    <w:p>
      <w:pPr>
        <w:ind w:firstLine="1285"/>
        <w:spacing w:line="360" w:lineRule="auto"/>
        <w:rPr>
          <w:rFonts w:ascii="宋体" w:hAnsi="宋体" w:eastAsia="宋体"/>
          <w:b/>
          <w:bCs/>
          <w:sz w:val="32"/>
        </w:rPr>
      </w:pPr>
      <w:r>
        <w:rPr>
          <w:rFonts w:hint="eastAsia" w:ascii="宋体" w:hAnsi="宋体" w:eastAsia="宋体"/>
          <w:b/>
          <w:bCs/>
          <w:sz w:val="32"/>
        </w:rPr>
        <w:t xml:space="preserve">采购内容：数字教学资源制作服务项目</w:t>
      </w:r>
      <w:r/>
    </w:p>
    <w:p>
      <w:pPr>
        <w:ind w:firstLine="1285"/>
        <w:spacing w:line="360" w:lineRule="auto"/>
        <w:rPr>
          <w:rFonts w:ascii="宋体" w:hAnsi="宋体" w:eastAsia="宋体"/>
          <w:b/>
          <w:bCs/>
          <w:sz w:val="32"/>
        </w:rPr>
      </w:pPr>
      <w:r>
        <w:rPr>
          <w:rFonts w:hint="eastAsia" w:ascii="宋体" w:hAnsi="宋体" w:eastAsia="宋体"/>
          <w:b/>
          <w:bCs/>
          <w:sz w:val="32"/>
        </w:rPr>
        <w:t xml:space="preserve">采购类别：服务类</w:t>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 w:val="32"/>
        </w:rPr>
      </w:pPr>
      <w:r>
        <w:rPr>
          <w:rFonts w:hint="eastAsia" w:ascii="宋体" w:hAnsi="宋体" w:eastAsia="宋体"/>
          <w:b/>
          <w:sz w:val="32"/>
        </w:rPr>
        <w:t xml:space="preserve">苏州鸿鑫工程咨询有限公司</w:t>
      </w:r>
      <w:r/>
    </w:p>
    <w:p>
      <w:pPr>
        <w:jc w:val="center"/>
        <w:rPr>
          <w:rFonts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lang w:val="en-US" w:eastAsia="zh-CN"/>
        </w:rPr>
        <w:t xml:space="preserve">十</w:t>
      </w:r>
      <w:r>
        <w:rPr>
          <w:rFonts w:hint="eastAsia" w:ascii="宋体" w:hAnsi="宋体" w:eastAsia="宋体"/>
          <w:b/>
          <w:sz w:val="32"/>
        </w:rPr>
        <w:t xml:space="preserve">月</w:t>
      </w:r>
      <w:r/>
    </w:p>
    <w:p>
      <w:pPr>
        <w:jc w:val="center"/>
        <w:spacing w:line="360" w:lineRule="auto"/>
        <w:rPr>
          <w:rFonts w:ascii="宋体" w:hAnsi="宋体" w:eastAsia="宋体"/>
          <w:b/>
          <w:sz w:val="36"/>
        </w:rPr>
      </w:pPr>
      <w:r>
        <w:rPr>
          <w:rFonts w:ascii="宋体" w:hAnsi="宋体" w:eastAsia="宋体"/>
          <w:b/>
          <w:sz w:val="36"/>
        </w:rPr>
        <w:br w:type="page" w:clear="all"/>
      </w:r>
      <w:r/>
    </w:p>
    <w:p>
      <w:pPr>
        <w:jc w:val="center"/>
        <w:rPr>
          <w:rFonts w:ascii="宋体" w:hAnsi="宋体" w:eastAsia="宋体"/>
          <w:b/>
          <w:sz w:val="28"/>
          <w:szCs w:val="28"/>
        </w:rPr>
      </w:pPr>
      <w:r>
        <w:rPr>
          <w:rFonts w:hint="eastAsia" w:ascii="宋体" w:hAnsi="宋体" w:eastAsia="宋体"/>
          <w:b/>
          <w:sz w:val="28"/>
          <w:szCs w:val="28"/>
        </w:rPr>
        <w:t xml:space="preserve">前附表</w:t>
      </w:r>
      <w:r/>
    </w:p>
    <w:tbl>
      <w:tblPr>
        <w:tblStyle w:val="871"/>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采购内容：数字教学资源制作服务项目</w:t>
            </w:r>
            <w:r/>
          </w:p>
        </w:tc>
      </w:tr>
      <w:tr>
        <w:trPr>
          <w:jc w:val="center"/>
          <w:trHeight w:val="572"/>
        </w:trPr>
        <w:tc>
          <w:tcPr>
            <w:tcW w:w="71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投标文件网上提交截止时间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日9点30分（北京时间）</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投标文件必须在截止时间前完成提交（上传），逾期提交（上传）的投标文件恕不接受。</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开标时间：2026年</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日9点30分（北京时间）</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rPr>
              <w:t xml:space="preserve">“苏采云”系统（网址：http://jszfcg.jsczt.cn/）</w:t>
            </w:r>
            <w:r/>
          </w:p>
          <w:p>
            <w:pP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日9点30分（北京时间）</w:t>
            </w:r>
            <w:r/>
          </w:p>
          <w:p>
            <w:pPr>
              <w:rPr>
                <w:rFonts w:ascii="宋体" w:hAnsi="宋体" w:eastAsia="宋体" w:cs="宋体"/>
                <w:b/>
                <w:bCs/>
                <w:sz w:val="24"/>
                <w:szCs w:val="24"/>
                <w:highlight w:val="none"/>
              </w:rPr>
            </w:pPr>
            <w:r>
              <w:rPr>
                <w:rFonts w:hint="eastAsia" w:ascii="宋体" w:hAnsi="宋体" w:eastAsia="宋体" w:cs="宋体"/>
                <w:sz w:val="24"/>
                <w:szCs w:val="24"/>
                <w:highlight w:val="none"/>
              </w:rPr>
              <w:t xml:space="preserve">评标地点：苏州高新区邓尉路105号狮山科技馆8楼</w:t>
            </w:r>
            <w:r/>
          </w:p>
        </w:tc>
      </w:tr>
      <w:tr>
        <w:trPr>
          <w:jc w:val="center"/>
          <w:trHeight w:val="5032"/>
        </w:trPr>
        <w:tc>
          <w:tcPr>
            <w:tcW w:w="71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本项目代理服务费由招标单位支付。</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收费标准（按以下标准的50%收取）：</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预算金额100万元以下部分，费率为该部分预算金额的1.5%；</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预算金额100万元（含）－500万元部分，费率为该部分预算金额的1.1%；</w:t>
            </w:r>
            <w:r/>
          </w:p>
          <w:p>
            <w:pP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说明：代理服务费以采购预算金额为基数依据，按以上规定的标准和差额定率累进法进行计算后收取。例：如预算金额为150万元，则代理服务费＝100万元以下部分×1.5%×50%＋（150万元－100万元以下部分）×1.1%×50%。</w:t>
            </w:r>
            <w:r/>
          </w:p>
          <w:p>
            <w:pPr>
              <w:tabs>
                <w:tab w:val="left" w:pos="3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如按上述方法计算的金额低于人民币3000元整的，则本项目代理服务费按人民币3000元整计收。</w:t>
            </w:r>
            <w:r/>
          </w:p>
          <w:p>
            <w:pPr>
              <w:tabs>
                <w:tab w:val="left" w:pos="3600" w:leader="none"/>
              </w:tabs>
              <w:rPr>
                <w:rFonts w:ascii="宋体" w:hAnsi="宋体" w:eastAsia="宋体" w:cs="宋体"/>
                <w:sz w:val="24"/>
                <w:szCs w:val="24"/>
                <w:highlight w:val="none"/>
              </w:rPr>
            </w:pPr>
            <w:r>
              <w:rPr>
                <w:rFonts w:hint="eastAsia" w:ascii="宋体" w:hAnsi="宋体" w:eastAsia="宋体"/>
                <w:sz w:val="24"/>
                <w:szCs w:val="24"/>
                <w:highlight w:val="none"/>
              </w:rPr>
              <w:t xml:space="preserve">本项目代理服务费为：第一标段3000元，第二标段3000元，第三标段3000元，第四标段3000元。</w:t>
            </w:r>
            <w:r/>
          </w:p>
          <w:p>
            <w:pPr>
              <w:rPr>
                <w:rFonts w:ascii="宋体" w:hAnsi="宋体" w:eastAsia="宋体"/>
                <w:sz w:val="24"/>
                <w:szCs w:val="24"/>
                <w:highlight w:val="none"/>
              </w:rPr>
            </w:pPr>
            <w:r>
              <w:rPr>
                <w:rFonts w:hint="eastAsia" w:ascii="宋体" w:hAnsi="宋体" w:eastAsia="宋体"/>
                <w:sz w:val="24"/>
                <w:szCs w:val="24"/>
                <w:highlight w:val="none"/>
              </w:rPr>
              <w:t xml:space="preserve">收款单位：苏州鸿鑫工程咨询有限公司</w:t>
            </w:r>
            <w:r/>
          </w:p>
          <w:p>
            <w:pPr>
              <w:rPr>
                <w:rFonts w:ascii="宋体" w:hAnsi="宋体" w:eastAsia="宋体"/>
                <w:sz w:val="24"/>
                <w:szCs w:val="24"/>
                <w:highlight w:val="none"/>
              </w:rPr>
            </w:pPr>
            <w:r>
              <w:rPr>
                <w:rFonts w:hint="eastAsia" w:ascii="宋体" w:hAnsi="宋体" w:eastAsia="宋体"/>
                <w:sz w:val="24"/>
                <w:szCs w:val="24"/>
                <w:highlight w:val="none"/>
              </w:rPr>
              <w:t xml:space="preserve">开户银行：苏州银行相城支行</w:t>
            </w:r>
            <w:r/>
          </w:p>
          <w:p>
            <w:pPr>
              <w:rPr>
                <w:rFonts w:ascii="宋体" w:hAnsi="宋体" w:eastAsia="宋体" w:cs="宋体"/>
                <w:sz w:val="24"/>
                <w:szCs w:val="24"/>
                <w:highlight w:val="none"/>
              </w:rPr>
            </w:pPr>
            <w:r>
              <w:rPr>
                <w:rFonts w:hint="eastAsia" w:ascii="宋体" w:hAnsi="宋体" w:eastAsia="宋体"/>
                <w:sz w:val="24"/>
                <w:szCs w:val="24"/>
                <w:highlight w:val="none"/>
              </w:rPr>
              <w:t xml:space="preserve">银行账号：7066601071120143007269</w:t>
            </w:r>
            <w:r/>
          </w:p>
        </w:tc>
      </w:tr>
      <w:tr>
        <w:trPr>
          <w:jc w:val="center"/>
          <w:trHeight w:val="842"/>
        </w:trPr>
        <w:tc>
          <w:tcPr>
            <w:tcW w:w="71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政府采购管理监督电话：025-83633058。</w:t>
            </w:r>
            <w:r/>
          </w:p>
        </w:tc>
      </w:tr>
    </w:tbl>
    <w:p>
      <w:pPr>
        <w:jc w:val="center"/>
        <w:spacing w:line="360" w:lineRule="auto"/>
        <w:rPr>
          <w:rFonts w:ascii="宋体" w:hAnsi="宋体" w:eastAsia="宋体"/>
          <w:sz w:val="52"/>
          <w:szCs w:val="52"/>
        </w:rPr>
      </w:pPr>
      <w:r>
        <w:rPr>
          <w:rFonts w:ascii="宋体" w:hAnsi="宋体" w:eastAsia="宋体"/>
          <w:sz w:val="52"/>
          <w:szCs w:val="52"/>
        </w:rPr>
      </w:r>
      <w:r/>
    </w:p>
    <w:p>
      <w:pPr>
        <w:jc w:val="left"/>
        <w:widowControl/>
        <w:rPr>
          <w:rFonts w:ascii="宋体" w:hAnsi="宋体" w:eastAsia="宋体"/>
          <w:sz w:val="52"/>
          <w:szCs w:val="52"/>
        </w:rPr>
      </w:pPr>
      <w:r>
        <w:rPr>
          <w:rFonts w:ascii="宋体" w:hAnsi="宋体" w:eastAsia="宋体"/>
          <w:sz w:val="52"/>
          <w:szCs w:val="52"/>
        </w:rPr>
      </w:r>
      <w:r/>
    </w:p>
    <w:p>
      <w:pPr>
        <w:jc w:val="center"/>
        <w:spacing w:line="360" w:lineRule="auto"/>
        <w:rPr>
          <w:rFonts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ascii="宋体" w:hAnsi="宋体" w:eastAsia="宋体"/>
          <w:b/>
          <w:sz w:val="52"/>
          <w:szCs w:val="52"/>
        </w:rPr>
      </w:pPr>
      <w:r>
        <w:rPr>
          <w:rFonts w:ascii="宋体" w:hAnsi="宋体" w:eastAsia="宋体"/>
          <w:b/>
          <w:sz w:val="52"/>
          <w:szCs w:val="52"/>
        </w:rPr>
      </w:r>
      <w:r/>
    </w:p>
    <w:p>
      <w:pPr>
        <w:pStyle w:val="897"/>
        <w:tabs>
          <w:tab w:val="right" w:pos="9032" w:leader="dot"/>
        </w:tabs>
      </w:pPr>
      <w:r/>
      <w:bookmarkStart w:id="76" w:name="_GoBack"/>
      <w:r/>
      <w:bookmarkEnd w:id="76"/>
      <w:r>
        <w:rPr>
          <w:rFonts w:ascii="宋体" w:hAnsi="宋体" w:eastAsia="宋体"/>
          <w:b/>
          <w:bCs/>
          <w:szCs w:val="24"/>
        </w:rPr>
        <w:fldChar w:fldCharType="begin"/>
      </w:r>
      <w:r>
        <w:rPr>
          <w:rFonts w:ascii="宋体" w:hAnsi="宋体" w:eastAsia="宋体"/>
          <w:b/>
          <w:bCs/>
          <w:szCs w:val="24"/>
        </w:rPr>
        <w:instrText xml:space="preserve"> TOC \o "1-1"</w:instrText>
      </w:r>
      <w:r>
        <w:rPr>
          <w:rFonts w:ascii="宋体" w:hAnsi="宋体" w:eastAsia="宋体"/>
          <w:b/>
          <w:bCs/>
          <w:szCs w:val="24"/>
        </w:rPr>
        <w:fldChar w:fldCharType="separate"/>
      </w:r>
      <w:r>
        <w:rPr>
          <w:rFonts w:hint="eastAsia" w:ascii="宋体" w:hAnsi="宋体" w:eastAsia="宋体"/>
        </w:rPr>
        <w:t xml:space="preserve">第一章 招标公告</w:t>
      </w:r>
      <w:r>
        <w:tab/>
      </w:r>
      <w:r>
        <w:fldChar w:fldCharType="begin"/>
      </w:r>
      <w:r>
        <w:instrText xml:space="preserve"> PAGEREF _Toc29310 \h </w:instrText>
      </w:r>
      <w:r>
        <w:fldChar w:fldCharType="separate"/>
      </w:r>
      <w:r>
        <w:t xml:space="preserve">3</w:t>
      </w:r>
      <w:r>
        <w:fldChar w:fldCharType="end"/>
      </w:r>
      <w:r/>
    </w:p>
    <w:p>
      <w:pPr>
        <w:pStyle w:val="897"/>
        <w:tabs>
          <w:tab w:val="right" w:pos="9032" w:leader="dot"/>
        </w:tabs>
      </w:pPr>
      <w:r>
        <w:rPr>
          <w:rFonts w:hint="eastAsia" w:ascii="宋体" w:hAnsi="宋体" w:eastAsia="宋体"/>
        </w:rPr>
        <w:t xml:space="preserve">第二章 投标人须知</w:t>
      </w:r>
      <w:r>
        <w:tab/>
      </w:r>
      <w:r>
        <w:fldChar w:fldCharType="begin"/>
      </w:r>
      <w:r>
        <w:instrText xml:space="preserve"> PAGEREF _Toc24957 \h </w:instrText>
      </w:r>
      <w:r>
        <w:fldChar w:fldCharType="separate"/>
      </w:r>
      <w:r>
        <w:t xml:space="preserve">8</w:t>
      </w:r>
      <w:r>
        <w:fldChar w:fldCharType="end"/>
      </w:r>
      <w:r/>
    </w:p>
    <w:p>
      <w:pPr>
        <w:pStyle w:val="897"/>
        <w:tabs>
          <w:tab w:val="right" w:pos="9032" w:leader="dot"/>
        </w:tabs>
      </w:pPr>
      <w:r>
        <w:rPr>
          <w:rFonts w:hint="eastAsia" w:ascii="宋体" w:hAnsi="宋体" w:eastAsia="宋体"/>
        </w:rPr>
        <w:t xml:space="preserve">第三章 投标文件格式</w:t>
      </w:r>
      <w:r>
        <w:tab/>
      </w:r>
      <w:r>
        <w:fldChar w:fldCharType="begin"/>
      </w:r>
      <w:r>
        <w:instrText xml:space="preserve"> PAGEREF _Toc10050 \h </w:instrText>
      </w:r>
      <w:r>
        <w:fldChar w:fldCharType="separate"/>
      </w:r>
      <w:r>
        <w:t xml:space="preserve">23</w:t>
      </w:r>
      <w:r>
        <w:fldChar w:fldCharType="end"/>
      </w:r>
      <w:r/>
    </w:p>
    <w:p>
      <w:pPr>
        <w:pStyle w:val="897"/>
        <w:tabs>
          <w:tab w:val="right" w:pos="9032" w:leader="dot"/>
        </w:tabs>
      </w:pPr>
      <w:r>
        <w:rPr>
          <w:rFonts w:hint="eastAsia" w:ascii="宋体" w:hAnsi="宋体" w:eastAsia="宋体"/>
        </w:rPr>
        <w:t xml:space="preserve">第四章 招标书</w:t>
      </w:r>
      <w:r>
        <w:tab/>
      </w:r>
      <w:r>
        <w:fldChar w:fldCharType="begin"/>
      </w:r>
      <w:r>
        <w:instrText xml:space="preserve"> PAGEREF _Toc27035 \h </w:instrText>
      </w:r>
      <w:r>
        <w:fldChar w:fldCharType="separate"/>
      </w:r>
      <w:r>
        <w:t xml:space="preserve">39</w:t>
      </w:r>
      <w:r>
        <w:fldChar w:fldCharType="end"/>
      </w:r>
      <w:r/>
    </w:p>
    <w:p>
      <w:pPr>
        <w:pStyle w:val="897"/>
        <w:tabs>
          <w:tab w:val="right" w:pos="9032" w:leader="dot"/>
        </w:tabs>
      </w:pPr>
      <w:r>
        <w:rPr>
          <w:rFonts w:hint="eastAsia" w:ascii="宋体" w:hAnsi="宋体" w:eastAsia="宋体"/>
          <w:szCs w:val="48"/>
        </w:rPr>
        <w:t xml:space="preserve">第五章 合同主要条款</w:t>
      </w:r>
      <w:r>
        <w:tab/>
      </w:r>
      <w:r>
        <w:fldChar w:fldCharType="begin"/>
      </w:r>
      <w:r>
        <w:instrText xml:space="preserve"> PAGEREF _Toc17348 \h </w:instrText>
      </w:r>
      <w:r>
        <w:fldChar w:fldCharType="separate"/>
      </w:r>
      <w:r>
        <w:t xml:space="preserve">81</w:t>
      </w:r>
      <w:r>
        <w:fldChar w:fldCharType="end"/>
      </w:r>
      <w:r/>
    </w:p>
    <w:p>
      <w:pPr>
        <w:pStyle w:val="897"/>
        <w:tabs>
          <w:tab w:val="right" w:pos="9032" w:leader="dot"/>
        </w:tabs>
      </w:pPr>
      <w:r>
        <w:rPr>
          <w:rFonts w:hint="eastAsia" w:ascii="宋体" w:hAnsi="宋体" w:eastAsia="宋体"/>
        </w:rPr>
        <w:t xml:space="preserve">第六章 评分标准</w:t>
      </w:r>
      <w:r>
        <w:tab/>
      </w:r>
      <w:r>
        <w:fldChar w:fldCharType="begin"/>
      </w:r>
      <w:r>
        <w:instrText xml:space="preserve"> PAGEREF _Toc32029 \h </w:instrText>
      </w:r>
      <w:r>
        <w:fldChar w:fldCharType="separate"/>
      </w:r>
      <w:r>
        <w:t xml:space="preserve">91</w:t>
      </w:r>
      <w:r>
        <w:fldChar w:fldCharType="end"/>
      </w:r>
      <w:r/>
    </w:p>
    <w:p>
      <w:pPr>
        <w:pStyle w:val="878"/>
        <w:ind w:firstLine="0"/>
        <w:jc w:val="both"/>
        <w:tabs>
          <w:tab w:val="right" w:pos="9032" w:leader="none"/>
        </w:tabs>
        <w:rPr>
          <w:rFonts w:ascii="宋体" w:hAnsi="宋体" w:eastAsia="宋体"/>
          <w:b/>
          <w:sz w:val="32"/>
          <w:szCs w:val="32"/>
        </w:rPr>
      </w:pPr>
      <w:r>
        <w:rPr>
          <w:rFonts w:ascii="宋体" w:hAnsi="宋体" w:eastAsia="宋体"/>
          <w:bCs/>
          <w:szCs w:val="24"/>
        </w:rPr>
        <w:fldChar w:fldCharType="end"/>
      </w:r>
      <w:r>
        <w:rPr>
          <w:rFonts w:ascii="宋体" w:hAnsi="宋体" w:eastAsia="宋体"/>
          <w:b/>
          <w:sz w:val="32"/>
        </w:rPr>
        <w:br w:type="page" w:clear="all"/>
      </w:r>
      <w:r>
        <w:rPr>
          <w:rFonts w:ascii="宋体" w:hAnsi="宋体" w:eastAsia="宋体"/>
          <w:b/>
          <w:sz w:val="32"/>
        </w:rPr>
        <w:tab/>
      </w:r>
      <w:r/>
    </w:p>
    <w:p>
      <w:pPr>
        <w:rPr>
          <w:rFonts w:ascii="宋体" w:hAnsi="宋体" w:eastAsia="宋体"/>
          <w:b/>
          <w:sz w:val="32"/>
          <w:szCs w:val="32"/>
        </w:rPr>
      </w:pPr>
      <w:r>
        <w:rPr>
          <w:rFonts w:ascii="宋体" w:hAnsi="宋体" w:eastAsia="宋体"/>
          <w:b/>
          <w:sz w:val="32"/>
          <w:szCs w:val="32"/>
        </w:rPr>
      </w:r>
      <w:r/>
    </w:p>
    <w:p>
      <w:pPr>
        <w:rPr>
          <w:rFonts w:ascii="宋体" w:hAnsi="宋体" w:eastAsia="宋体"/>
          <w:b/>
          <w:sz w:val="32"/>
          <w:szCs w:val="32"/>
        </w:rPr>
      </w:pPr>
      <w:r>
        <w:rPr>
          <w:rFonts w:ascii="宋体" w:hAnsi="宋体" w:eastAsia="宋体"/>
          <w:b/>
          <w:sz w:val="32"/>
          <w:szCs w:val="32"/>
        </w:rPr>
      </w:r>
      <w:r/>
    </w:p>
    <w:p>
      <w:pPr>
        <w:rPr>
          <w:rFonts w:ascii="宋体" w:hAnsi="宋体" w:eastAsia="宋体"/>
          <w:b/>
          <w:sz w:val="32"/>
          <w:szCs w:val="32"/>
        </w:rPr>
      </w:pPr>
      <w:r>
        <w:rPr>
          <w:rFonts w:ascii="宋体" w:hAnsi="宋体" w:eastAsia="宋体"/>
          <w:b/>
          <w:sz w:val="32"/>
          <w:szCs w:val="32"/>
        </w:rPr>
      </w:r>
      <w:r/>
    </w:p>
    <w:p>
      <w:pPr>
        <w:rPr>
          <w:rFonts w:ascii="宋体" w:hAnsi="宋体" w:eastAsia="宋体"/>
          <w:sz w:val="32"/>
          <w:szCs w:val="32"/>
        </w:rPr>
      </w:pPr>
      <w:r>
        <w:rPr>
          <w:rFonts w:ascii="宋体" w:hAnsi="宋体" w:eastAsia="宋体"/>
          <w:sz w:val="32"/>
          <w:szCs w:val="32"/>
        </w:rPr>
      </w:r>
      <w:r/>
    </w:p>
    <w:p>
      <w:pPr>
        <w:pStyle w:val="864"/>
        <w:jc w:val="center"/>
        <w:rPr>
          <w:rFonts w:ascii="宋体" w:hAnsi="宋体" w:eastAsia="宋体"/>
          <w:sz w:val="52"/>
        </w:rPr>
      </w:pPr>
      <w:r>
        <w:rPr>
          <w:rFonts w:ascii="宋体" w:hAnsi="宋体" w:eastAsia="宋体"/>
          <w:sz w:val="52"/>
        </w:rPr>
      </w:r>
      <w:r/>
    </w:p>
    <w:p>
      <w:pPr>
        <w:pStyle w:val="864"/>
        <w:jc w:val="center"/>
        <w:rPr>
          <w:rFonts w:ascii="宋体" w:hAnsi="宋体" w:eastAsia="宋体"/>
          <w:sz w:val="52"/>
        </w:rPr>
      </w:pPr>
      <w:r/>
      <w:bookmarkStart w:id="0" w:name="_Toc29310"/>
      <w:r>
        <w:rPr>
          <w:rFonts w:hint="eastAsia" w:ascii="宋体" w:hAnsi="宋体" w:eastAsia="宋体"/>
          <w:sz w:val="52"/>
        </w:rPr>
        <w:t xml:space="preserve">第一章 招标公告</w:t>
      </w:r>
      <w:bookmarkEnd w:id="0"/>
      <w:r/>
      <w:r/>
    </w:p>
    <w:p>
      <w:pPr>
        <w:spacing w:line="360" w:lineRule="auto"/>
        <w:rPr>
          <w:rFonts w:ascii="宋体" w:hAnsi="宋体" w:eastAsia="宋体"/>
          <w:sz w:val="24"/>
          <w:szCs w:val="24"/>
          <w:u w:val="single"/>
        </w:rPr>
      </w:pPr>
      <w:r>
        <w:rPr>
          <w:rFonts w:ascii="宋体" w:hAnsi="宋体" w:eastAsia="宋体"/>
        </w:rPr>
        <w:br w:type="page" w:clear="all"/>
      </w:r>
      <w:r/>
    </w:p>
    <w:p>
      <w:pPr>
        <w:ind w:firstLine="480"/>
        <w:spacing w:line="360" w:lineRule="auto"/>
        <w:rPr>
          <w:rFonts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u w:val="single"/>
        </w:rPr>
        <w:t xml:space="preserve">数字教学资源制作服务项目</w:t>
      </w:r>
      <w:r>
        <w:rPr>
          <w:rFonts w:hint="eastAsia" w:ascii="宋体" w:hAnsi="宋体" w:eastAsia="宋体" w:cs="宋体"/>
          <w:sz w:val="24"/>
          <w:szCs w:val="24"/>
          <w:highlight w:val="none"/>
        </w:rPr>
        <w:t xml:space="preserve">招标项目的潜在投标人应在</w:t>
      </w:r>
      <w:r>
        <w:rPr>
          <w:rFonts w:hint="eastAsia" w:ascii="宋体" w:hAnsi="宋体" w:eastAsia="宋体" w:cs="宋体"/>
          <w:sz w:val="24"/>
          <w:szCs w:val="24"/>
          <w:highlight w:val="none"/>
          <w:u w:val="single"/>
        </w:rPr>
        <w:t xml:space="preserve">“苏采云”系统（网址：http://jszfcg.jsczt.cn/）获取招标文件，并于2026年</w:t>
      </w:r>
      <w:r>
        <w:rPr>
          <w:rFonts w:hint="eastAsia" w:ascii="宋体" w:hAnsi="宋体" w:eastAsia="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日9点30分</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bookmarkStart w:id="1" w:name="_Hlk24379207"/>
      <w:r/>
      <w:r/>
    </w:p>
    <w:p>
      <w:pPr>
        <w:keepLines/>
        <w:keepNext/>
        <w:spacing w:line="360" w:lineRule="auto"/>
        <w:rPr>
          <w:rFonts w:ascii="宋体" w:hAnsi="宋体" w:eastAsia="宋体" w:cs="宋体"/>
          <w:b/>
          <w:sz w:val="24"/>
          <w:szCs w:val="24"/>
          <w:highlight w:val="none"/>
        </w:rPr>
      </w:pPr>
      <w:r/>
      <w:bookmarkStart w:id="2" w:name="_Toc28359002"/>
      <w:r/>
      <w:bookmarkStart w:id="3" w:name="_Toc35393790"/>
      <w:r/>
      <w:bookmarkStart w:id="4" w:name="_Toc28359079"/>
      <w:r/>
      <w:bookmarkStart w:id="5" w:name="_Toc35393621"/>
      <w:r>
        <w:rPr>
          <w:rFonts w:hint="eastAsia" w:ascii="宋体" w:hAnsi="宋体" w:eastAsia="宋体" w:cs="宋体"/>
          <w:b/>
          <w:sz w:val="24"/>
          <w:szCs w:val="24"/>
          <w:highlight w:val="none"/>
        </w:rPr>
        <w:t xml:space="preserve">一、项目基本情况</w:t>
      </w:r>
      <w:bookmarkEnd w:id="2"/>
      <w:r/>
      <w:bookmarkEnd w:id="3"/>
      <w:r/>
      <w:bookmarkEnd w:id="4"/>
      <w:r/>
      <w:bookmarkEnd w:id="5"/>
      <w:r/>
      <w:r/>
    </w:p>
    <w:p>
      <w:pPr>
        <w:ind w:firstLine="480"/>
        <w:spacing w:line="360" w:lineRule="auto"/>
        <w:rPr>
          <w:rFonts w:ascii="宋体" w:hAnsi="宋体" w:eastAsia="宋体" w:cs="宋体"/>
          <w:color w:val="ff0000"/>
          <w:sz w:val="24"/>
          <w:szCs w:val="24"/>
          <w:highlight w:val="none"/>
        </w:rPr>
      </w:pPr>
      <w:r>
        <w:rPr>
          <w:rFonts w:hint="eastAsia" w:ascii="宋体" w:hAnsi="宋体" w:eastAsia="宋体" w:cs="宋体"/>
          <w:sz w:val="24"/>
          <w:szCs w:val="24"/>
          <w:highlight w:val="none"/>
        </w:rPr>
        <w:t xml:space="preserve">1.项目编号：JSZC-320500-SZHX-G2026-0035</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2.项目名称：数字教学资源制作服务项目</w:t>
      </w:r>
      <w:bookmarkEnd w:id="1"/>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3.采购方式：公开招标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4.预算金额：人民币壹佰万元整（￥：1000000.00元）（采购包1：24万元；采购包2：20万元；采购包3：20万元；采购包4：36万元；）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5.最高限价：人民币壹佰万元整（￥：1000000.00元）（采购包1：24万元；采购包2：20万元；采购包3：20万元；采购包4：36万元；）</w:t>
      </w:r>
      <w:r/>
    </w:p>
    <w:p>
      <w:pPr>
        <w:contextualSpacing/>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本项目共分为</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个</w:t>
      </w:r>
      <w:r>
        <w:rPr>
          <w:rFonts w:hint="eastAsia" w:ascii="宋体" w:hAnsi="宋体" w:eastAsia="宋体" w:cs="宋体"/>
          <w:b/>
          <w:bCs/>
          <w:sz w:val="24"/>
          <w:szCs w:val="24"/>
          <w:highlight w:val="none"/>
          <w:lang w:val="en-US" w:eastAsia="zh-CN"/>
        </w:rPr>
        <w:t xml:space="preserve">标段</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按照采购包1、2、3、4的顺序，先开先中；</w:t>
      </w:r>
      <w:r>
        <w:rPr>
          <w:rFonts w:hint="eastAsia" w:ascii="宋体" w:hAnsi="宋体" w:eastAsia="宋体" w:cs="宋体"/>
          <w:b/>
          <w:bCs/>
          <w:sz w:val="24"/>
          <w:szCs w:val="24"/>
          <w:highlight w:val="none"/>
        </w:rPr>
        <w:t xml:space="preserve">本项目投标单位可投报</w:t>
      </w:r>
      <w:r>
        <w:rPr>
          <w:rFonts w:hint="eastAsia" w:ascii="宋体" w:hAnsi="宋体" w:eastAsia="宋体" w:cs="宋体"/>
          <w:b/>
          <w:bCs/>
          <w:sz w:val="24"/>
          <w:szCs w:val="24"/>
          <w:highlight w:val="none"/>
          <w:lang w:val="en-US" w:eastAsia="zh-CN"/>
        </w:rPr>
        <w:t xml:space="preserve">多个或</w:t>
      </w:r>
      <w:r>
        <w:rPr>
          <w:rFonts w:hint="eastAsia" w:ascii="宋体" w:hAnsi="宋体" w:eastAsia="宋体" w:cs="宋体"/>
          <w:b/>
          <w:bCs/>
          <w:sz w:val="24"/>
          <w:szCs w:val="24"/>
          <w:highlight w:val="none"/>
        </w:rPr>
        <w:t xml:space="preserve">所有标段，但只可中其中一个标段，若已中</w:t>
      </w:r>
      <w:r>
        <w:rPr>
          <w:rFonts w:hint="eastAsia" w:ascii="宋体" w:hAnsi="宋体" w:eastAsia="宋体" w:cs="宋体"/>
          <w:b/>
          <w:bCs/>
          <w:sz w:val="24"/>
          <w:szCs w:val="24"/>
          <w:highlight w:val="none"/>
          <w:lang w:val="en-US" w:eastAsia="zh-CN"/>
        </w:rPr>
        <w:t xml:space="preserve">前面的</w:t>
      </w:r>
      <w:r>
        <w:rPr>
          <w:rFonts w:hint="eastAsia" w:ascii="宋体" w:hAnsi="宋体" w:eastAsia="宋体" w:cs="宋体"/>
          <w:b/>
          <w:bCs/>
          <w:sz w:val="24"/>
          <w:szCs w:val="24"/>
          <w:highlight w:val="none"/>
        </w:rPr>
        <w:t xml:space="preserve">标段，则不进入</w:t>
      </w:r>
      <w:r>
        <w:rPr>
          <w:rFonts w:hint="eastAsia" w:ascii="宋体" w:hAnsi="宋体" w:eastAsia="宋体" w:cs="宋体"/>
          <w:b/>
          <w:bCs/>
          <w:sz w:val="24"/>
          <w:szCs w:val="24"/>
          <w:highlight w:val="none"/>
          <w:lang w:val="en-US" w:eastAsia="zh-CN"/>
        </w:rPr>
        <w:t xml:space="preserve">后面的</w:t>
      </w:r>
      <w:r>
        <w:rPr>
          <w:rFonts w:hint="eastAsia" w:ascii="宋体" w:hAnsi="宋体" w:eastAsia="宋体" w:cs="宋体"/>
          <w:b/>
          <w:bCs/>
          <w:sz w:val="24"/>
          <w:szCs w:val="24"/>
          <w:highlight w:val="none"/>
        </w:rPr>
        <w:t xml:space="preserve">标段评审</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进入每个标段评审的实质性响应且具有得标权的投标单位不得少于三家，如不足三家，认定该标段采购失败。已递交某标段投标文件且实质性响应采购需求，但已在</w:t>
      </w:r>
      <w:r>
        <w:rPr>
          <w:rFonts w:hint="eastAsia" w:ascii="宋体" w:hAnsi="宋体" w:eastAsia="宋体" w:cs="宋体"/>
          <w:b/>
          <w:bCs/>
          <w:sz w:val="24"/>
          <w:szCs w:val="24"/>
          <w:highlight w:val="none"/>
          <w:lang w:val="en-US" w:eastAsia="zh-CN"/>
        </w:rPr>
        <w:t xml:space="preserve">前面</w:t>
      </w:r>
      <w:r>
        <w:rPr>
          <w:rFonts w:hint="eastAsia" w:ascii="宋体" w:hAnsi="宋体" w:eastAsia="宋体" w:cs="宋体"/>
          <w:b/>
          <w:bCs/>
          <w:sz w:val="24"/>
          <w:szCs w:val="24"/>
          <w:highlight w:val="none"/>
        </w:rPr>
        <w:t xml:space="preserve">标段评审中获得了招标文件规定的得标上限数的投标单位，不再具有该标段的得标权，不应计入该标段的实质性响应供应商数量内。</w:t>
      </w:r>
      <w:r/>
    </w:p>
    <w:p>
      <w:pPr>
        <w:contextualSpacing/>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采购需求：为了深化教学改革，推动信息技术与教学深度融合，促进课程资源的应用与共享，推进学校数字教学资源建设，帮助我院教师提高信息化教学能力。通过引入先进技术和优质服务，建设一批高质量、系统化、交互性强的数字教学资源，并打造一批具有前瞻性、示范性的创新型智慧课程，全面推动我校教学模式创新、教学质量提升和学习体验优化，为培养高素质技术技能型人才奠定坚实基础。现通过公开招投标的方式选取4家服务单位。</w:t>
      </w:r>
      <w:r/>
    </w:p>
    <w:p>
      <w:pPr>
        <w:contextualSpacing/>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本次建设内容为16门在线课程资源和4门AI智慧课程，分别为第一标段5门课程、第二标段5门课程、第三标段6门课程、第四标段4门AI智慧课程建设。</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7.合同履行期限：</w:t>
      </w:r>
      <w:r>
        <w:rPr>
          <w:rFonts w:hint="eastAsia" w:ascii="宋体" w:hAnsi="宋体" w:eastAsia="宋体" w:cs="宋体"/>
          <w:sz w:val="24"/>
          <w:szCs w:val="24"/>
          <w:highlight w:val="none"/>
          <w:lang w:eastAsia="zh-CN"/>
        </w:rPr>
        <w:t xml:space="preserve">自合同签订之日起2个月</w:t>
      </w:r>
      <w:r>
        <w:rPr>
          <w:rFonts w:hint="eastAsia" w:ascii="宋体" w:hAnsi="宋体" w:eastAsia="宋体" w:cs="宋体"/>
          <w:sz w:val="24"/>
          <w:szCs w:val="24"/>
          <w:highlight w:val="none"/>
        </w:rPr>
        <w:t xml:space="preserve">。</w:t>
      </w:r>
      <w:r/>
    </w:p>
    <w:p>
      <w:pPr>
        <w:contextualSpacing/>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8.本项目不接受联合体投标。</w:t>
      </w:r>
      <w:r/>
    </w:p>
    <w:p>
      <w:pPr>
        <w:spacing w:line="360" w:lineRule="auto"/>
        <w:rPr>
          <w:rFonts w:ascii="宋体" w:hAnsi="宋体" w:eastAsia="宋体" w:cs="宋体"/>
          <w:sz w:val="24"/>
          <w:szCs w:val="24"/>
        </w:rPr>
      </w:pPr>
      <w:r/>
      <w:bookmarkStart w:id="6" w:name="_Toc35393622"/>
      <w:r/>
      <w:bookmarkStart w:id="7" w:name="_Toc28359003"/>
      <w:r/>
      <w:bookmarkStart w:id="8" w:name="_Toc28359080"/>
      <w:r/>
      <w:bookmarkStart w:id="9" w:name="_Toc35393791"/>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ascii="宋体" w:hAnsi="宋体" w:eastAsia="宋体" w:cs="宋体"/>
          <w:sz w:val="24"/>
          <w:szCs w:val="24"/>
        </w:rPr>
      </w:pPr>
      <w:r/>
      <w:bookmarkStart w:id="10" w:name="_Toc28359004"/>
      <w:r/>
      <w:bookmarkStart w:id="11" w:name="_Toc28359081"/>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企业，所属行业为其他未列明行业；投标人必须提供《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3.本项目的特定资格要求：</w:t>
      </w:r>
      <w:bookmarkStart w:id="12" w:name="_Toc35393623"/>
      <w:r/>
      <w:bookmarkStart w:id="13" w:name="_Toc35393792"/>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（1）未被列入失信被执行人、重大税收违法案件当事人名单、政府采购严重失信行为记录名单；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w:t>
      </w:r>
      <w:bookmarkEnd w:id="10"/>
      <w:r/>
      <w:bookmarkEnd w:id="11"/>
      <w:r/>
      <w:bookmarkEnd w:id="12"/>
      <w:r/>
      <w:bookmarkEnd w:id="13"/>
      <w:r>
        <w:rPr>
          <w:rFonts w:hint="eastAsia" w:ascii="宋体" w:hAnsi="宋体" w:eastAsia="宋体" w:cs="宋体"/>
          <w:b/>
          <w:bCs/>
          <w:sz w:val="24"/>
          <w:szCs w:val="24"/>
        </w:rPr>
        <w:t xml:space="preserve">报名及采购文件的获取</w:t>
      </w:r>
      <w:r/>
    </w:p>
    <w:p>
      <w:pPr>
        <w:pStyle w:val="878"/>
        <w:ind w:firstLine="480"/>
        <w:spacing w:line="360" w:lineRule="auto"/>
        <w:rPr>
          <w:rFonts w:ascii="宋体" w:hAnsi="宋体" w:eastAsia="宋体" w:cs="宋体"/>
          <w:b/>
          <w:szCs w:val="24"/>
        </w:rPr>
      </w:pPr>
      <w:r/>
      <w:bookmarkStart w:id="14" w:name="_Toc28359005"/>
      <w:r/>
      <w:bookmarkStart w:id="15" w:name="_Toc28359082"/>
      <w:r/>
      <w:bookmarkStart w:id="16" w:name="_Toc35393624"/>
      <w:r/>
      <w:bookmarkStart w:id="17" w:name="_Toc35393793"/>
      <w:r>
        <w:rPr>
          <w:rFonts w:hint="eastAsia" w:ascii="宋体" w:hAnsi="宋体" w:eastAsia="宋体" w:cs="宋体"/>
          <w:szCs w:val="24"/>
        </w:rPr>
        <w:t xml:space="preserve">1.时间：</w:t>
      </w:r>
      <w:r>
        <w:rPr>
          <w:rFonts w:hint="eastAsia" w:ascii="宋体" w:hAnsi="宋体" w:eastAsia="宋体" w:cs="宋体"/>
          <w:bCs/>
          <w:szCs w:val="24"/>
        </w:rPr>
        <w:t xml:space="preserve">自公告发布之日起5个工作日</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2.地点：“苏采云”系统自行下载采购文件</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3.方式：</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（1）CA证书办理</w:t>
      </w:r>
      <w:r/>
    </w:p>
    <w:p>
      <w:pPr>
        <w:pStyle w:val="878"/>
        <w:ind w:firstLine="480"/>
        <w:spacing w:line="360" w:lineRule="auto"/>
        <w:rPr>
          <w:rFonts w:ascii="宋体" w:hAnsi="宋体" w:eastAsia="宋体" w:cs="宋体"/>
          <w:b/>
          <w:bCs/>
          <w:szCs w:val="24"/>
        </w:rPr>
      </w:pPr>
      <w:r>
        <w:rPr>
          <w:rFonts w:hint="eastAsia" w:ascii="宋体" w:hAnsi="宋体" w:eastAsia="宋体" w:cs="宋体"/>
          <w:bCs/>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Cs w:val="24"/>
        </w:rPr>
        <w:t xml:space="preserve">苏州现场办理地址：苏州高新区邓尉路105号狮山科技馆1楼服务大厅，咨询电话：0512-65737699。</w:t>
      </w:r>
      <w:r/>
    </w:p>
    <w:p>
      <w:pPr>
        <w:pStyle w:val="878"/>
        <w:ind w:firstLine="480"/>
        <w:spacing w:line="360" w:lineRule="auto"/>
        <w:rPr>
          <w:rFonts w:ascii="宋体" w:hAnsi="宋体" w:eastAsia="宋体" w:cs="宋体"/>
          <w:b/>
          <w:szCs w:val="24"/>
        </w:rPr>
      </w:pPr>
      <w:r>
        <w:rPr>
          <w:rFonts w:hint="eastAsia" w:ascii="宋体" w:hAnsi="宋体" w:eastAsia="宋体" w:cs="宋体"/>
          <w:szCs w:val="24"/>
        </w:rPr>
        <w:t xml:space="preserve">（2）参与采购活动</w:t>
      </w:r>
      <w:r/>
    </w:p>
    <w:p>
      <w:pPr>
        <w:pStyle w:val="878"/>
        <w:spacing w:line="360" w:lineRule="auto"/>
        <w:rPr>
          <w:rFonts w:ascii="宋体" w:hAnsi="宋体" w:eastAsia="宋体" w:cs="宋体"/>
          <w:szCs w:val="24"/>
        </w:rPr>
      </w:pPr>
      <w:r>
        <w:rPr>
          <w:rFonts w:hint="eastAsia" w:ascii="宋体" w:hAnsi="宋体" w:eastAsia="宋体" w:cs="宋体"/>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（3）电子投标准备</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Cs w:val="24"/>
        </w:rPr>
        <w:t xml:space="preserve">（具体详见《苏采云系统供应商操作手册》，网址链接https://czju.suzhou.gov.cn/zfcg/html/content/20231220161910031.shtml）</w:t>
      </w:r>
      <w:r>
        <w:rPr>
          <w:rFonts w:hint="eastAsia" w:ascii="宋体" w:hAnsi="宋体" w:eastAsia="宋体" w:cs="宋体"/>
          <w:szCs w:val="24"/>
        </w:rPr>
        <w:t xml:space="preserve">。</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在系统操作过程中如有疑问，请按以下方式联系：</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注册咨询：13914088964；</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CA技术咨询电话：400-608-6099；</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签章使用问题：025-83633811、025-83633812、15380932027、15371015030；</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系统使用指导与咨询：联系电话：13914088964、0512-69820854；智能客服：登录苏采云系统后，联系系统右下方智能客服图标进行咨询。</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4.售价：免费</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rPr>
        <w:t xml:space="preserve">四、提交投</w:t>
      </w:r>
      <w:r>
        <w:rPr>
          <w:rFonts w:hint="eastAsia" w:ascii="宋体" w:hAnsi="宋体" w:eastAsia="宋体" w:cs="宋体"/>
          <w:b/>
          <w:sz w:val="24"/>
          <w:szCs w:val="24"/>
          <w:highlight w:val="none"/>
        </w:rPr>
        <w:t xml:space="preserve">标文件</w:t>
      </w:r>
      <w:bookmarkEnd w:id="14"/>
      <w:r/>
      <w:bookmarkEnd w:id="15"/>
      <w:r>
        <w:rPr>
          <w:rFonts w:hint="eastAsia" w:ascii="宋体" w:hAnsi="宋体" w:eastAsia="宋体" w:cs="宋体"/>
          <w:b/>
          <w:sz w:val="24"/>
          <w:szCs w:val="24"/>
          <w:highlight w:val="none"/>
        </w:rPr>
        <w:t xml:space="preserve">截止时间、开标时间和地点</w:t>
      </w:r>
      <w:bookmarkEnd w:id="16"/>
      <w:r/>
      <w:bookmarkEnd w:id="17"/>
      <w:r/>
      <w:r/>
    </w:p>
    <w:p>
      <w:pPr>
        <w:pStyle w:val="878"/>
        <w:ind w:firstLine="480"/>
        <w:spacing w:line="360" w:lineRule="auto"/>
        <w:rPr>
          <w:rFonts w:ascii="宋体" w:hAnsi="宋体" w:eastAsia="宋体" w:cs="宋体"/>
          <w:szCs w:val="24"/>
          <w:highlight w:val="none"/>
        </w:rPr>
      </w:pPr>
      <w:r/>
      <w:bookmarkStart w:id="18" w:name="_Toc35393794"/>
      <w:r/>
      <w:bookmarkStart w:id="19" w:name="_Toc28359007"/>
      <w:r/>
      <w:bookmarkStart w:id="20" w:name="_Toc35393625"/>
      <w:r/>
      <w:bookmarkStart w:id="21" w:name="_Toc28359084"/>
      <w:r>
        <w:rPr>
          <w:rFonts w:hint="eastAsia" w:ascii="宋体" w:hAnsi="宋体" w:eastAsia="宋体" w:cs="宋体"/>
          <w:szCs w:val="24"/>
          <w:highlight w:val="none"/>
        </w:rPr>
        <w:t xml:space="preserve">1.提交投标文件截止时间：</w:t>
      </w:r>
      <w:r>
        <w:rPr>
          <w:rFonts w:hint="eastAsia" w:ascii="宋体" w:hAnsi="宋体" w:eastAsia="宋体" w:cs="宋体"/>
          <w:szCs w:val="24"/>
          <w:highlight w:val="none"/>
          <w:u w:val="single"/>
        </w:rPr>
        <w:t xml:space="preserve">2026年</w:t>
      </w:r>
      <w:r>
        <w:rPr>
          <w:rFonts w:hint="eastAsia" w:ascii="宋体" w:hAnsi="宋体" w:eastAsia="宋体" w:cs="宋体"/>
          <w:szCs w:val="24"/>
          <w:highlight w:val="none"/>
          <w:u w:val="single"/>
          <w:lang w:val="en-US" w:eastAsia="zh-CN"/>
        </w:rPr>
        <w:t xml:space="preserve">11</w:t>
      </w:r>
      <w:r>
        <w:rPr>
          <w:rFonts w:hint="eastAsia" w:ascii="宋体" w:hAnsi="宋体" w:eastAsia="宋体" w:cs="宋体"/>
          <w:szCs w:val="24"/>
          <w:highlight w:val="none"/>
          <w:u w:val="single"/>
        </w:rPr>
        <w:t xml:space="preserve">月</w:t>
      </w:r>
      <w:r>
        <w:rPr>
          <w:rFonts w:hint="eastAsia" w:ascii="宋体" w:hAnsi="宋体" w:eastAsia="宋体" w:cs="宋体"/>
          <w:szCs w:val="24"/>
          <w:highlight w:val="none"/>
          <w:u w:val="single"/>
          <w:lang w:val="en-US" w:eastAsia="zh-CN"/>
        </w:rPr>
        <w:t xml:space="preserve">9</w:t>
      </w:r>
      <w:r>
        <w:rPr>
          <w:rFonts w:hint="eastAsia" w:ascii="宋体" w:hAnsi="宋体" w:eastAsia="宋体" w:cs="宋体"/>
          <w:szCs w:val="24"/>
          <w:highlight w:val="none"/>
          <w:u w:val="single"/>
        </w:rPr>
        <w:t xml:space="preserve">日9点30分</w:t>
      </w:r>
      <w:r>
        <w:rPr>
          <w:rFonts w:hint="eastAsia" w:ascii="宋体" w:hAnsi="宋体" w:eastAsia="宋体" w:cs="宋体"/>
          <w:szCs w:val="24"/>
          <w:highlight w:val="none"/>
        </w:rPr>
        <w:t xml:space="preserve">（北京时间）；</w:t>
      </w:r>
      <w:r/>
    </w:p>
    <w:p>
      <w:pPr>
        <w:pStyle w:val="878"/>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2.开标时间：</w:t>
      </w:r>
      <w:r>
        <w:rPr>
          <w:rFonts w:hint="eastAsia" w:ascii="宋体" w:hAnsi="宋体" w:eastAsia="宋体" w:cs="宋体"/>
          <w:szCs w:val="24"/>
          <w:highlight w:val="none"/>
          <w:u w:val="single"/>
        </w:rPr>
        <w:t xml:space="preserve">2026年</w:t>
      </w:r>
      <w:r>
        <w:rPr>
          <w:rFonts w:hint="eastAsia" w:ascii="宋体" w:hAnsi="宋体" w:eastAsia="宋体" w:cs="宋体"/>
          <w:szCs w:val="24"/>
          <w:highlight w:val="none"/>
          <w:u w:val="single"/>
          <w:lang w:val="en-US" w:eastAsia="zh-CN"/>
        </w:rPr>
        <w:t xml:space="preserve">11</w:t>
      </w:r>
      <w:r>
        <w:rPr>
          <w:rFonts w:hint="eastAsia" w:ascii="宋体" w:hAnsi="宋体" w:eastAsia="宋体" w:cs="宋体"/>
          <w:szCs w:val="24"/>
          <w:highlight w:val="none"/>
          <w:u w:val="single"/>
        </w:rPr>
        <w:t xml:space="preserve">月</w:t>
      </w:r>
      <w:r>
        <w:rPr>
          <w:rFonts w:hint="eastAsia" w:ascii="宋体" w:hAnsi="宋体" w:eastAsia="宋体" w:cs="宋体"/>
          <w:szCs w:val="24"/>
          <w:highlight w:val="none"/>
          <w:u w:val="single"/>
          <w:lang w:val="en-US" w:eastAsia="zh-CN"/>
        </w:rPr>
        <w:t xml:space="preserve">9</w:t>
      </w:r>
      <w:r>
        <w:rPr>
          <w:rFonts w:hint="eastAsia" w:ascii="宋体" w:hAnsi="宋体" w:eastAsia="宋体" w:cs="宋体"/>
          <w:szCs w:val="24"/>
          <w:highlight w:val="none"/>
          <w:u w:val="single"/>
        </w:rPr>
        <w:t xml:space="preserve">日9点30分</w:t>
      </w:r>
      <w:r>
        <w:rPr>
          <w:rFonts w:hint="eastAsia" w:ascii="宋体" w:hAnsi="宋体" w:eastAsia="宋体" w:cs="宋体"/>
          <w:szCs w:val="24"/>
          <w:highlight w:val="none"/>
        </w:rPr>
        <w:t xml:space="preserve">（北京时间）；</w:t>
      </w:r>
      <w:r/>
    </w:p>
    <w:p>
      <w:pPr>
        <w:pStyle w:val="878"/>
        <w:ind w:firstLine="480"/>
        <w:spacing w:line="360" w:lineRule="auto"/>
        <w:rPr>
          <w:rFonts w:ascii="宋体" w:hAnsi="宋体" w:eastAsia="宋体" w:cs="宋体"/>
          <w:szCs w:val="24"/>
        </w:rPr>
      </w:pPr>
      <w:r>
        <w:rPr>
          <w:rFonts w:hint="eastAsia" w:ascii="宋体" w:hAnsi="宋体" w:eastAsia="宋体" w:cs="宋体"/>
          <w:szCs w:val="24"/>
          <w:highlight w:val="none"/>
        </w:rPr>
        <w:t xml:space="preserve">3.开标地点：“苏采云”系统（网址：ht</w:t>
      </w:r>
      <w:r>
        <w:rPr>
          <w:rFonts w:hint="eastAsia" w:ascii="宋体" w:hAnsi="宋体" w:eastAsia="宋体" w:cs="宋体"/>
          <w:szCs w:val="24"/>
        </w:rPr>
        <w:t xml:space="preserve">tp://jszfcg.jsczt.cn/）</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Cs w:val="24"/>
        </w:rPr>
        <w:t xml:space="preserve">供应商应充分考虑到网络环境、网络带宽等风险因素，如因供应商自身原因造成的电子投标文件上传不成功由供应商自行承担全部责任。</w:t>
      </w:r>
      <w:r/>
    </w:p>
    <w:p>
      <w:pPr>
        <w:pStyle w:val="878"/>
        <w:ind w:firstLine="480"/>
        <w:spacing w:line="360" w:lineRule="auto"/>
        <w:rPr>
          <w:rFonts w:ascii="宋体" w:hAnsi="宋体" w:eastAsia="宋体" w:cs="宋体"/>
          <w:b/>
          <w:szCs w:val="24"/>
        </w:rPr>
      </w:pPr>
      <w:r>
        <w:rPr>
          <w:rFonts w:hint="eastAsia" w:ascii="宋体" w:hAnsi="宋体" w:eastAsia="宋体" w:cs="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878"/>
        <w:ind w:firstLine="482"/>
        <w:spacing w:line="360" w:lineRule="auto"/>
        <w:rPr>
          <w:rFonts w:ascii="宋体" w:hAnsi="宋体" w:eastAsia="宋体" w:cs="宋体"/>
          <w:szCs w:val="24"/>
        </w:rPr>
      </w:pPr>
      <w:r>
        <w:rPr>
          <w:rFonts w:hint="eastAsia" w:ascii="宋体" w:hAnsi="宋体" w:eastAsia="宋体" w:cs="宋体"/>
          <w:b/>
          <w:szCs w:val="24"/>
        </w:rPr>
        <w:t xml:space="preserve">请供应商确保电脑、系统及其他设备（视频输入输出设备等）无误，且开标直至项目结束始终保持系统在线状态。</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ascii="宋体" w:hAnsi="宋体" w:eastAsia="宋体" w:cs="宋体"/>
          <w:b/>
          <w:sz w:val="24"/>
          <w:szCs w:val="24"/>
        </w:rPr>
      </w:pPr>
      <w:r/>
      <w:bookmarkStart w:id="22" w:name="_Toc35393795"/>
      <w:r/>
      <w:bookmarkStart w:id="23" w:name="_Toc35393626"/>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ascii="宋体" w:hAnsi="宋体" w:eastAsia="宋体" w:cs="宋体"/>
          <w:sz w:val="24"/>
          <w:szCs w:val="24"/>
        </w:rPr>
      </w:pPr>
      <w:r/>
      <w:bookmarkStart w:id="24" w:name="_Toc35393796"/>
      <w:r/>
      <w:bookmarkStart w:id="25" w:name="_Toc28359085"/>
      <w:r/>
      <w:bookmarkStart w:id="26" w:name="_Toc28359008"/>
      <w:r/>
      <w:bookmarkStart w:id="27" w:name="_Toc35393627"/>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3.政府采购管理监督电话：025-83633058</w:t>
      </w:r>
      <w:r>
        <w:rPr>
          <w:rFonts w:hint="eastAsia" w:ascii="宋体" w:hAnsi="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4.本项目支持政府采购合同信用融资。</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ascii="宋体" w:hAnsi="宋体" w:eastAsia="宋体" w:cs="宋体"/>
          <w:sz w:val="24"/>
          <w:szCs w:val="24"/>
        </w:rPr>
      </w:pPr>
      <w:r/>
      <w:bookmarkStart w:id="28" w:name="_Toc28359075"/>
      <w:r/>
      <w:bookmarkStart w:id="29" w:name="_Toc35393786"/>
      <w:r/>
      <w:bookmarkStart w:id="30" w:name="_Toc28358998"/>
      <w:r/>
      <w:bookmarkStart w:id="31" w:name="_Toc35393617"/>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名称：苏州农业职业技术学院</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联系人：宋卫东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联系电话：0512-67655066</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地址：苏州西园路279号</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名称：</w:t>
      </w:r>
      <w:bookmarkStart w:id="32" w:name="XTDLJG_1"/>
      <w:r>
        <w:rPr>
          <w:rFonts w:hint="eastAsia" w:ascii="宋体" w:hAnsi="宋体" w:eastAsia="宋体" w:cs="宋体"/>
          <w:sz w:val="24"/>
          <w:szCs w:val="24"/>
        </w:rPr>
        <w:t xml:space="preserve">苏州鸿鑫工程咨询有限公司</w:t>
      </w:r>
      <w:bookmarkEnd w:id="32"/>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项目联系人：赵雷、于民峰、黄建伟</w:t>
      </w:r>
      <w:r/>
    </w:p>
    <w:p>
      <w:pPr>
        <w:ind w:firstLine="480"/>
        <w:spacing w:line="360" w:lineRule="auto"/>
        <w:rPr>
          <w:rFonts w:ascii="宋体" w:hAnsi="宋体" w:eastAsia="宋体" w:cs="宋体"/>
          <w:color w:val="000000" w:themeColor="text1"/>
          <w:sz w:val="24"/>
          <w:szCs w:val="24"/>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rPr>
        <w:t xml:space="preserve">0512-65981596-8121</w:t>
      </w:r>
      <w:r/>
    </w:p>
    <w:p>
      <w:pPr>
        <w:ind w:firstLine="482"/>
        <w:spacing w:line="360" w:lineRule="auto"/>
        <w:rPr>
          <w:rFonts w:ascii="宋体" w:hAnsi="宋体" w:eastAsia="宋体"/>
          <w:b/>
          <w:sz w:val="24"/>
        </w:rPr>
      </w:pPr>
      <w:r>
        <w:rPr>
          <w:rFonts w:ascii="宋体" w:hAnsi="宋体" w:eastAsia="宋体"/>
          <w:b/>
          <w:sz w:val="24"/>
        </w:rPr>
      </w:r>
      <w:r/>
    </w:p>
    <w:p>
      <w:pPr>
        <w:rPr>
          <w:rFonts w:ascii="宋体" w:hAnsi="宋体" w:eastAsia="宋体"/>
          <w:sz w:val="32"/>
          <w:szCs w:val="32"/>
        </w:rPr>
      </w:pPr>
      <w:r>
        <w:rPr>
          <w:rFonts w:ascii="宋体" w:hAnsi="宋体" w:eastAsia="宋体"/>
          <w:sz w:val="24"/>
        </w:rPr>
        <w:br w:type="page" w:clear="all"/>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pStyle w:val="864"/>
        <w:jc w:val="center"/>
        <w:rPr>
          <w:rFonts w:ascii="宋体" w:hAnsi="宋体" w:eastAsia="宋体"/>
          <w:sz w:val="52"/>
        </w:rPr>
      </w:pPr>
      <w:r>
        <w:rPr>
          <w:rFonts w:ascii="宋体" w:hAnsi="宋体" w:eastAsia="宋体"/>
          <w:sz w:val="52"/>
        </w:rPr>
      </w:r>
      <w:r/>
    </w:p>
    <w:p>
      <w:pPr>
        <w:pStyle w:val="864"/>
        <w:jc w:val="center"/>
        <w:rPr>
          <w:rFonts w:ascii="宋体" w:hAnsi="宋体" w:eastAsia="宋体"/>
          <w:sz w:val="52"/>
        </w:rPr>
      </w:pPr>
      <w:r/>
      <w:bookmarkStart w:id="33" w:name="_Toc24957"/>
      <w:r>
        <w:rPr>
          <w:rFonts w:hint="eastAsia" w:ascii="宋体" w:hAnsi="宋体" w:eastAsia="宋体"/>
          <w:sz w:val="52"/>
        </w:rPr>
        <w:t xml:space="preserve">第二章 投标人须知</w:t>
      </w:r>
      <w:bookmarkEnd w:id="33"/>
      <w:r/>
      <w:r/>
    </w:p>
    <w:p>
      <w:pPr>
        <w:spacing w:line="360" w:lineRule="auto"/>
        <w:rPr>
          <w:rFonts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1.说明</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1.1本招标文件仅适用于苏州鸿鑫工程咨询有限公司组织的招标活动。</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1.2本次招标活动及因本次招标产生的合同受中国法律制约和保护。</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1.3本招标文件的解释权属于苏州鸿鑫工程咨询有限公司。</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2.词语释义</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2.1采购人：指依法进行政府采购的国家机关、事业单位、团体组织。</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2.2采购代理机构：指依法接受采购人委托，从事货物、工程和服务等政府采购代理业务的社会中介机构。</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2.3投标人：</w:t>
      </w:r>
      <w:r>
        <w:rPr>
          <w:rFonts w:hint="eastAsia" w:ascii="宋体" w:hAnsi="宋体" w:eastAsia="宋体" w:cs="宋体"/>
          <w:szCs w:val="24"/>
        </w:rPr>
        <w:t xml:space="preserve">指响应招标、参加投标竞争的法人、其他组织或者自然人。</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2.4响应：投标人根据采购人或采购代理机构发布的招标文件，编制投标文件并按规定投标的行为。</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2.5合同：采供双方根据招标文件和中标的投标文件及中标通知书规定的内容签署的以书面形式所达成的协议，包括所有的附件、附录和构成协议的所有文件。</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2.6甲方（采购人）：合同中明确规定的实际购买货物和服务的法人或其他组织和自然人。</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2.10知识产权：指专利权、商标权、著作权等无形财产专有权的统称。</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2.11天：日历日。</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2.12时间：除特别说明，均指北京时间。</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2.13交货地点：合同中明确约定的乙方提交的货物和服务最终到达地点。</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2.14合同价款：根据合同规定，乙方在正确地履行合同义务后甲方应支付乙方的价款。</w:t>
      </w:r>
      <w:r/>
    </w:p>
    <w:p>
      <w:pPr>
        <w:pStyle w:val="878"/>
        <w:ind w:firstLine="480"/>
        <w:jc w:val="both"/>
        <w:spacing w:line="360" w:lineRule="auto"/>
        <w:widowControl/>
        <w:rPr>
          <w:rFonts w:ascii="宋体" w:hAnsi="宋体" w:eastAsia="宋体" w:cs="宋体"/>
          <w:szCs w:val="24"/>
        </w:rPr>
      </w:pPr>
      <w:r>
        <w:rPr>
          <w:rFonts w:hint="eastAsia" w:ascii="宋体" w:hAnsi="宋体" w:eastAsia="宋体" w:cs="宋体"/>
          <w:szCs w:val="24"/>
        </w:rPr>
        <w:t xml:space="preserve">2.15产地：货物开采、生长、生产、最终制造、加工或提供服务的来源地。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落实政府采购政策需满足的资格要求：本项目专门面向中小企业，所属行业为其他未列明行业；投标人必须提供《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（1）未被列入失信被执行人、重大税收违法案件当事人名单、政府采购严重失信行为记录名单；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4.1指全权代表投标人参加投标活动并签署投标文件的人，如果投标人代表不是法人代表，须持有《法人代表授权委托书》（详见统一格式）。</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10.投标质疑</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10.2本次招标文件要求供应商在法定质疑期内一次性提出针对同一采购程序环节的质疑，否则不予受理。</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10.3供应商提出质疑应当提交质疑函和必要的证明材料，质疑函应当包括下列内容：</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（2）质疑项目的名称、编号；</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（3）具体、明确的质疑事项和与质疑事项相关的请求；</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（4）事实依据；</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（5）必要的法律依据；</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（6）提出质疑的日期。</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p>
    <w:p>
      <w:pPr>
        <w:pStyle w:val="878"/>
        <w:ind w:firstLine="482"/>
        <w:spacing w:line="360" w:lineRule="auto"/>
        <w:rPr>
          <w:rFonts w:ascii="宋体" w:hAnsi="宋体" w:eastAsia="宋体" w:cs="宋体"/>
          <w:b/>
          <w:szCs w:val="24"/>
        </w:rPr>
      </w:pPr>
      <w:r>
        <w:rPr>
          <w:rFonts w:hint="eastAsia" w:ascii="宋体" w:hAnsi="宋体" w:eastAsia="宋体" w:cs="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Cs w:val="24"/>
        </w:rPr>
        <w:t xml:space="preserve">。</w:t>
      </w:r>
      <w:r/>
    </w:p>
    <w:p>
      <w:pPr>
        <w:pStyle w:val="878"/>
        <w:ind w:firstLine="480"/>
        <w:spacing w:line="360" w:lineRule="auto"/>
        <w:rPr>
          <w:rFonts w:ascii="宋体" w:hAnsi="宋体" w:eastAsia="宋体" w:cs="宋体"/>
          <w:b/>
          <w:szCs w:val="24"/>
        </w:rPr>
      </w:pPr>
      <w:r>
        <w:rPr>
          <w:rFonts w:hint="eastAsia" w:ascii="宋体" w:hAnsi="宋体" w:eastAsia="宋体" w:cs="宋体"/>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Cs w:val="24"/>
        </w:rPr>
        <w:t xml:space="preserve">《投标供应商确认函》</w:t>
      </w:r>
      <w:r>
        <w:rPr>
          <w:rFonts w:hint="eastAsia" w:ascii="宋体" w:hAnsi="宋体" w:eastAsia="宋体" w:cs="宋体"/>
          <w:szCs w:val="24"/>
        </w:rPr>
        <w:t xml:space="preserve">）与质疑函一起递交，否则不予受理。</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10.5接收质疑函的方式：书面形式（当场送达或邮寄方式）。</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质疑联系人：赵雷、于民峰</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s="宋体"/>
          <w:color w:val="000000"/>
          <w:szCs w:val="24"/>
        </w:rPr>
        <w:t xml:space="preserve">0512-65981596-8121</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现场递交地址：苏州市相城区嘉元路1018号元联大厦10层</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邮寄收取地址：苏州市相城区嘉元路1018号元联大厦10层</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（如有）</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13.4资格审查文件</w:t>
      </w:r>
      <w:r/>
    </w:p>
    <w:p>
      <w:pPr>
        <w:pStyle w:val="878"/>
        <w:ind w:firstLine="480"/>
        <w:spacing w:line="360" w:lineRule="auto"/>
        <w:tabs>
          <w:tab w:val="left" w:pos="0" w:leader="none"/>
        </w:tabs>
        <w:rPr>
          <w:rFonts w:ascii="宋体" w:hAnsi="宋体" w:eastAsia="宋体" w:cs="宋体"/>
          <w:szCs w:val="24"/>
        </w:rPr>
      </w:pPr>
      <w:r>
        <w:rPr>
          <w:rFonts w:hint="eastAsia" w:ascii="宋体" w:hAnsi="宋体" w:eastAsia="宋体" w:cs="宋体"/>
          <w:szCs w:val="24"/>
        </w:rPr>
        <w:t xml:space="preserve">13.4.1合格投标人一般资格证明材料：</w:t>
      </w:r>
      <w:r/>
    </w:p>
    <w:p>
      <w:pPr>
        <w:pStyle w:val="873"/>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（1）具有独立承担民事责任的能力证明。包括法人或者其他组织的营业执照等证明文件，自然人的身份证明；</w:t>
      </w:r>
      <w:r/>
    </w:p>
    <w:p>
      <w:pPr>
        <w:pStyle w:val="873"/>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（2）具有良好的商业信誉和健全的财务会计制度证明</w:t>
      </w:r>
      <w:r>
        <w:rPr>
          <w:rFonts w:hint="eastAsia" w:ascii="宋体" w:hAnsi="宋体" w:eastAsia="宋体" w:cs="宋体"/>
          <w:b/>
          <w:szCs w:val="24"/>
        </w:rPr>
        <w:t xml:space="preserve">（包括但不限于最近一期经会计师事务所审计的财务报告，其他组织、自然人及成立未满一年的法人应提供银行出具的资信证明）；</w:t>
      </w:r>
      <w:r/>
    </w:p>
    <w:p>
      <w:pPr>
        <w:pStyle w:val="873"/>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（3）具备履行合同所必需的设备和专业技术能力的证明材料或承诺；</w:t>
      </w:r>
      <w:r/>
    </w:p>
    <w:p>
      <w:pPr>
        <w:pStyle w:val="878"/>
        <w:ind w:firstLine="480"/>
        <w:spacing w:line="360" w:lineRule="auto"/>
        <w:tabs>
          <w:tab w:val="left" w:pos="0" w:leader="none"/>
        </w:tabs>
        <w:rPr>
          <w:rFonts w:ascii="宋体" w:hAnsi="宋体" w:eastAsia="宋体" w:cs="宋体"/>
          <w:szCs w:val="24"/>
        </w:rPr>
      </w:pPr>
      <w:r>
        <w:rPr>
          <w:rFonts w:hint="eastAsia" w:ascii="宋体" w:hAnsi="宋体" w:eastAsia="宋体" w:cs="宋体"/>
          <w:szCs w:val="24"/>
        </w:rPr>
        <w:t xml:space="preserve">（4）依法缴纳税收和社会保障资金的相关资料</w:t>
      </w:r>
      <w:r>
        <w:rPr>
          <w:rFonts w:hint="eastAsia" w:ascii="宋体" w:hAnsi="宋体" w:eastAsia="宋体" w:cs="宋体"/>
          <w:b/>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Cs w:val="24"/>
        </w:rPr>
        <w:t xml:space="preserve">；</w:t>
      </w:r>
      <w:r/>
    </w:p>
    <w:p>
      <w:pPr>
        <w:pStyle w:val="878"/>
        <w:ind w:firstLine="480"/>
        <w:spacing w:line="360" w:lineRule="auto"/>
        <w:tabs>
          <w:tab w:val="left" w:pos="0" w:leader="none"/>
        </w:tabs>
        <w:rPr>
          <w:rFonts w:ascii="宋体" w:hAnsi="宋体" w:eastAsia="宋体" w:cs="宋体"/>
          <w:szCs w:val="24"/>
        </w:rPr>
      </w:pPr>
      <w:r>
        <w:rPr>
          <w:rFonts w:hint="eastAsia" w:ascii="宋体" w:hAnsi="宋体" w:eastAsia="宋体" w:cs="宋体"/>
          <w:szCs w:val="24"/>
        </w:rPr>
        <w:t xml:space="preserve">（5）参加政府采购活动前三年内在经营活动中没有重大违法记录的书面声明函。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13.4.2《中小企业声明函》或《残疾人福利性单位声明函》或由省级以上监狱管理局、戒毒管理局（含新疆生产建设兵团）出具的属于监狱企业的证明文件；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13.4.3其它有关资格证明文件；</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13.5符合性审查文件</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13.5.1关于资格文件的声明函（格式见第三章）；</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13.5.2投标人基本情况表（格式见第三章）；</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13.5.3投标人法定代表人身份证复印件；</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13.5.4法定代表人授权委托书（如有授权，格式见第三章）；</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13.5.5投标人授权代理人身份证复印件（如有授权）；</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13.5.6投标函（格式见第三章）；</w:t>
      </w:r>
      <w:r/>
    </w:p>
    <w:p>
      <w:pPr>
        <w:pStyle w:val="878"/>
        <w:ind w:firstLine="480"/>
        <w:spacing w:line="360" w:lineRule="auto"/>
        <w:rPr>
          <w:rFonts w:ascii="宋体" w:hAnsi="宋体" w:eastAsia="宋体" w:cs="宋体"/>
          <w:szCs w:val="24"/>
          <w:highlight w:val="none"/>
        </w:rPr>
      </w:pPr>
      <w:r>
        <w:rPr>
          <w:rFonts w:hint="eastAsia" w:ascii="宋体" w:hAnsi="宋体" w:eastAsia="宋体" w:cs="宋体"/>
          <w:szCs w:val="24"/>
        </w:rPr>
        <w:t xml:space="preserve">13.5.7《服务要求偏离</w:t>
      </w:r>
      <w:r>
        <w:rPr>
          <w:rFonts w:hint="eastAsia" w:ascii="宋体" w:hAnsi="宋体" w:eastAsia="宋体" w:cs="宋体"/>
          <w:szCs w:val="24"/>
          <w:highlight w:val="none"/>
        </w:rPr>
        <w:t xml:space="preserve">表》、《商务条款偏离表》（格式见第三章）；</w:t>
      </w:r>
      <w:r/>
    </w:p>
    <w:p>
      <w:pPr>
        <w:pStyle w:val="878"/>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13.5.8招标文件内要求的知识产权相关内容承诺书（格式自拟）；</w:t>
      </w:r>
      <w:r/>
    </w:p>
    <w:p>
      <w:pPr>
        <w:pStyle w:val="878"/>
        <w:ind w:firstLine="480"/>
        <w:spacing w:line="360" w:lineRule="auto"/>
        <w:rPr>
          <w:rFonts w:ascii="宋体" w:hAnsi="宋体" w:eastAsia="宋体" w:cs="宋体"/>
          <w:szCs w:val="24"/>
        </w:rPr>
      </w:pPr>
      <w:r>
        <w:rPr>
          <w:rFonts w:hint="eastAsia" w:ascii="宋体" w:hAnsi="宋体" w:eastAsia="宋体" w:cs="宋体"/>
          <w:szCs w:val="24"/>
          <w:highlight w:val="none"/>
        </w:rPr>
        <w:t xml:space="preserve">13.5.9其他有关符合性证明</w:t>
      </w:r>
      <w:r>
        <w:rPr>
          <w:rFonts w:hint="eastAsia" w:ascii="宋体" w:hAnsi="宋体" w:eastAsia="宋体" w:cs="宋体"/>
          <w:szCs w:val="24"/>
        </w:rPr>
        <w:t xml:space="preserve">的文件；</w:t>
      </w:r>
      <w:r/>
    </w:p>
    <w:p>
      <w:pPr>
        <w:ind w:firstLine="408"/>
        <w:spacing w:line="360" w:lineRule="auto"/>
        <w:rPr>
          <w:rFonts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（投标单位根据评分标准制作）</w:t>
      </w:r>
      <w:r/>
    </w:p>
    <w:p>
      <w:pPr>
        <w:ind w:firstLine="408"/>
        <w:spacing w:line="360" w:lineRule="auto"/>
        <w:rPr>
          <w:rFonts w:ascii="宋体" w:hAnsi="宋体" w:eastAsia="宋体" w:cs="宋体"/>
          <w:sz w:val="24"/>
          <w:szCs w:val="24"/>
        </w:rPr>
      </w:pPr>
      <w:r>
        <w:rPr>
          <w:rFonts w:hint="eastAsia" w:ascii="宋体" w:hAnsi="宋体" w:eastAsia="宋体" w:cs="宋体"/>
          <w:b/>
          <w:bCs/>
          <w:sz w:val="24"/>
          <w:szCs w:val="24"/>
        </w:rPr>
        <w:t xml:space="preserve">13.7其他可以证明投标人资质、服务质量的证书、文件等相关资料</w:t>
      </w:r>
      <w:r>
        <w:rPr>
          <w:rFonts w:hint="eastAsia" w:ascii="宋体" w:hAnsi="宋体" w:eastAsia="宋体" w:cs="宋体"/>
          <w:sz w:val="24"/>
          <w:szCs w:val="24"/>
        </w:rPr>
        <w:t xml:space="preserve">。</w:t>
      </w:r>
      <w:r/>
    </w:p>
    <w:p>
      <w:pPr>
        <w:pStyle w:val="1006"/>
        <w:ind w:firstLine="492"/>
        <w:spacing w:line="360" w:lineRule="auto"/>
        <w:rPr>
          <w:rFonts w:ascii="宋体" w:hAnsi="宋体" w:cs="宋体"/>
          <w:b/>
          <w:bCs/>
          <w:sz w:val="24"/>
          <w:szCs w:val="24"/>
        </w:rPr>
      </w:pPr>
      <w:r>
        <w:rPr>
          <w:rFonts w:hint="eastAsia" w:ascii="宋体" w:hAnsi="宋体" w:cs="宋体"/>
          <w:b/>
          <w:bCs/>
          <w:sz w:val="24"/>
          <w:szCs w:val="24"/>
        </w:rPr>
        <w:t xml:space="preserve">注：（1）以上13.4.1-13.4.</w:t>
      </w:r>
      <w:r>
        <w:rPr>
          <w:rFonts w:hint="eastAsia" w:ascii="宋体" w:hAnsi="宋体" w:cs="宋体"/>
          <w:b/>
          <w:bCs/>
          <w:sz w:val="24"/>
          <w:szCs w:val="24"/>
          <w:lang w:val="en-US"/>
        </w:rPr>
        <w:t xml:space="preserve">2</w:t>
      </w:r>
      <w:r>
        <w:rPr>
          <w:rFonts w:hint="eastAsia" w:ascii="宋体" w:hAnsi="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1006"/>
        <w:ind w:firstLine="492"/>
        <w:spacing w:line="360" w:lineRule="auto"/>
        <w:rPr>
          <w:rFonts w:ascii="宋体" w:hAnsi="宋体" w:cs="宋体"/>
          <w:b/>
          <w:bCs/>
          <w:sz w:val="24"/>
          <w:szCs w:val="24"/>
        </w:rPr>
      </w:pPr>
      <w:r>
        <w:rPr>
          <w:rFonts w:hint="eastAsia" w:ascii="宋体" w:hAnsi="宋体" w:cs="宋体"/>
          <w:b/>
          <w:bCs/>
          <w:sz w:val="24"/>
          <w:szCs w:val="24"/>
        </w:rPr>
        <w:t xml:space="preserve">（2）以上13.5.1-13.5.</w:t>
      </w:r>
      <w:r>
        <w:rPr>
          <w:rFonts w:hint="eastAsia" w:ascii="宋体" w:hAnsi="宋体" w:cs="宋体"/>
          <w:b/>
          <w:bCs/>
          <w:sz w:val="24"/>
          <w:szCs w:val="24"/>
          <w:lang w:val="en-US"/>
        </w:rPr>
        <w:t xml:space="preserve">8</w:t>
      </w:r>
      <w:r>
        <w:rPr>
          <w:rFonts w:hint="eastAsia" w:ascii="宋体" w:hAnsi="宋体" w:cs="宋体"/>
          <w:b/>
          <w:bCs/>
          <w:sz w:val="24"/>
          <w:szCs w:val="24"/>
        </w:rPr>
        <w:t xml:space="preserve">为符合性审查须提供的资料，投标人必须提供并加盖电子公章。否则，投标文件将被认定为未实质性响应。</w:t>
      </w:r>
      <w:r/>
    </w:p>
    <w:p>
      <w:pPr>
        <w:pStyle w:val="1006"/>
        <w:ind w:firstLine="492"/>
        <w:spacing w:line="360" w:lineRule="auto"/>
        <w:rPr>
          <w:rFonts w:ascii="宋体" w:hAnsi="宋体" w:cs="宋体"/>
          <w:sz w:val="24"/>
          <w:szCs w:val="24"/>
        </w:rPr>
      </w:pPr>
      <w:r>
        <w:rPr>
          <w:rFonts w:hint="eastAsia" w:ascii="宋体" w:hAnsi="宋体" w:cs="宋体"/>
          <w:b/>
          <w:sz w:val="24"/>
          <w:szCs w:val="24"/>
        </w:rPr>
        <w:t xml:space="preserve">（3）“13.4.1-13.</w:t>
      </w:r>
      <w:r>
        <w:rPr>
          <w:rFonts w:hint="eastAsia" w:ascii="宋体" w:hAnsi="宋体" w:cs="宋体"/>
          <w:b/>
          <w:sz w:val="24"/>
          <w:szCs w:val="24"/>
          <w:lang w:val="en-US"/>
        </w:rPr>
        <w:t xml:space="preserve">7</w:t>
      </w:r>
      <w:r>
        <w:rPr>
          <w:rFonts w:hint="eastAsia" w:ascii="宋体" w:hAnsi="宋体" w:cs="宋体"/>
          <w:b/>
          <w:sz w:val="24"/>
          <w:szCs w:val="24"/>
        </w:rPr>
        <w:t xml:space="preserve">”中不得出现投标总报价。</w:t>
      </w:r>
      <w:r>
        <w:rPr>
          <w:rFonts w:hint="eastAsia" w:ascii="宋体" w:hAnsi="宋体" w:cs="宋体"/>
          <w:sz w:val="24"/>
          <w:szCs w:val="24"/>
        </w:rPr>
        <w:t xml:space="preserve">投标人所提交的资料的完整与否，将直接影响投标人的评分。</w:t>
      </w:r>
      <w:r/>
    </w:p>
    <w:p>
      <w:pPr>
        <w:pStyle w:val="1006"/>
        <w:ind w:firstLine="492"/>
        <w:spacing w:line="360" w:lineRule="auto"/>
        <w:rPr>
          <w:rFonts w:ascii="宋体" w:hAnsi="宋体" w:cs="宋体"/>
          <w:b/>
          <w:bCs/>
          <w:sz w:val="24"/>
          <w:szCs w:val="24"/>
        </w:rPr>
      </w:pPr>
      <w:r>
        <w:rPr>
          <w:rFonts w:hint="eastAsia" w:ascii="宋体" w:hAnsi="宋体" w:cs="宋体"/>
          <w:b/>
          <w:sz w:val="24"/>
          <w:szCs w:val="24"/>
        </w:rPr>
        <w:t xml:space="preserve">（4）制作电子投标文件时必须与投标文件制作软件目录一一对应，将相关资料上传至相应模块。</w:t>
      </w:r>
      <w:r/>
    </w:p>
    <w:p>
      <w:pPr>
        <w:pStyle w:val="1006"/>
        <w:ind w:firstLine="492"/>
        <w:spacing w:line="360" w:lineRule="auto"/>
        <w:rPr>
          <w:rFonts w:ascii="宋体" w:hAnsi="宋体" w:cs="宋体"/>
          <w:b/>
          <w:sz w:val="24"/>
          <w:szCs w:val="24"/>
        </w:rPr>
      </w:pPr>
      <w:r>
        <w:rPr>
          <w:rFonts w:hint="eastAsia" w:ascii="宋体" w:hAnsi="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15.2投标人应按《</w:t>
      </w:r>
      <w:r>
        <w:rPr>
          <w:rFonts w:hint="eastAsia" w:ascii="宋体" w:hAnsi="宋体" w:eastAsia="宋体" w:cs="宋体"/>
          <w:szCs w:val="24"/>
          <w:lang w:val="zh-TW" w:eastAsia="zh-TW"/>
        </w:rPr>
        <w:t xml:space="preserve">投标报价组成明细表</w:t>
      </w:r>
      <w:r>
        <w:rPr>
          <w:rFonts w:hint="eastAsia" w:ascii="宋体" w:hAnsi="宋体" w:eastAsia="宋体" w:cs="宋体"/>
          <w:szCs w:val="24"/>
        </w:rPr>
        <w:t xml:space="preserve">》中的全部货物和服务计算单价和总价。《</w:t>
      </w:r>
      <w:r>
        <w:rPr>
          <w:rFonts w:hint="eastAsia" w:ascii="宋体" w:hAnsi="宋体" w:eastAsia="宋体" w:cs="宋体"/>
          <w:szCs w:val="24"/>
          <w:lang w:val="zh-TW" w:eastAsia="zh-TW"/>
        </w:rPr>
        <w:t xml:space="preserve">投标报价组成明细表</w:t>
      </w:r>
      <w:r>
        <w:rPr>
          <w:rFonts w:hint="eastAsia" w:ascii="宋体" w:hAnsi="宋体" w:eastAsia="宋体" w:cs="宋体"/>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15.4一项投标内容只允许一个报价，采购人或采购代理机构不接受任何有选择性的投标报价。</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15.5投标文件报价中的单价和总价全部采用人民币表示，除非合同的特殊条款另有规定。</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最低的报价或最高的</w:t>
      </w:r>
      <w:r>
        <w:rPr>
          <w:rFonts w:hint="eastAsia" w:ascii="宋体" w:hAnsi="宋体" w:eastAsia="宋体" w:cs="宋体"/>
          <w:b/>
          <w:bCs/>
          <w:sz w:val="24"/>
          <w:szCs w:val="24"/>
          <w:lang w:val="en-US" w:eastAsia="zh-CN"/>
        </w:rPr>
        <w:t xml:space="preserve">优惠率</w:t>
      </w:r>
      <w:r>
        <w:rPr>
          <w:rFonts w:hint="eastAsia" w:ascii="宋体" w:hAnsi="宋体" w:eastAsia="宋体" w:cs="宋体"/>
          <w:b/>
          <w:bCs/>
          <w:sz w:val="24"/>
          <w:szCs w:val="24"/>
        </w:rPr>
        <w:t xml:space="preserve">比例不能作为中标的保证。</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18.1</w:t>
      </w:r>
      <w:r>
        <w:rPr>
          <w:rFonts w:hint="eastAsia" w:ascii="宋体" w:hAnsi="宋体" w:eastAsia="宋体" w:cs="宋体"/>
          <w:color w:val="000000" w:themeColor="text1"/>
          <w:szCs w:val="24"/>
        </w:rPr>
        <w:t xml:space="preserve">本项目采用电子招投标形式，请供应商按照</w:t>
      </w:r>
      <w:r>
        <w:rPr>
          <w:rFonts w:hint="eastAsia" w:ascii="宋体" w:hAnsi="宋体" w:eastAsia="宋体" w:cs="宋体"/>
          <w:b/>
          <w:color w:val="000000" w:themeColor="text1"/>
          <w:szCs w:val="24"/>
        </w:rPr>
        <w:t xml:space="preserve">《苏采云系统供应商操作手册》</w:t>
      </w:r>
      <w:r>
        <w:rPr>
          <w:rFonts w:hint="eastAsia" w:ascii="宋体" w:hAnsi="宋体" w:eastAsia="宋体" w:cs="宋体"/>
          <w:color w:val="000000" w:themeColor="text1"/>
          <w:szCs w:val="24"/>
        </w:rPr>
        <w:t xml:space="preserve">进行制作、上传电子投标文件。</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18.2制作电子投标文件时，应按照招标文件要求加盖投标人电子公章。</w:t>
      </w:r>
      <w:r/>
    </w:p>
    <w:p>
      <w:pPr>
        <w:pStyle w:val="878"/>
        <w:ind w:firstLine="480"/>
        <w:spacing w:line="360" w:lineRule="auto"/>
        <w:rPr>
          <w:rFonts w:ascii="宋体" w:hAnsi="宋体" w:eastAsia="宋体" w:cs="宋体"/>
          <w:szCs w:val="24"/>
        </w:rPr>
      </w:pPr>
      <w:r>
        <w:rPr>
          <w:rFonts w:hint="eastAsia" w:ascii="宋体" w:hAnsi="宋体" w:eastAsia="宋体" w:cs="宋体"/>
          <w:szCs w:val="24"/>
        </w:rPr>
        <w:t xml:space="preserve">18.3</w:t>
      </w:r>
      <w:r>
        <w:rPr>
          <w:rFonts w:hint="eastAsia" w:ascii="宋体" w:hAnsi="宋体" w:eastAsia="宋体" w:cs="宋体"/>
          <w:b/>
          <w:bCs/>
          <w:szCs w:val="24"/>
        </w:rPr>
        <w:t xml:space="preserve">电子投标文件制作完成后请于投标文件网上提交截止时间前成功上传至“苏采云”系统，否则视为放弃参加该采购项目。</w:t>
      </w:r>
      <w:r>
        <w:rPr>
          <w:rFonts w:hint="eastAsia" w:ascii="宋体" w:hAnsi="宋体" w:eastAsia="宋体" w:cs="宋体"/>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19.投标文件的递交</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19.1投标人应当在在投标截止时间前制作并上传电子投标文件。</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20.投标截止时间</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20.1投标人应当在招标文件要求投标文件网上提交截止时间前，将投标文件完成提交（上传）。逾期提交（上传）的投标文件，采购人和采购代理机构拒绝接收。</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20.3在投标截止时间止成功解密的投标文件少于三份，采购代理机构有权宣布本次招标失败。</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22.开标</w:t>
      </w:r>
      <w:r/>
    </w:p>
    <w:p>
      <w:pPr>
        <w:pStyle w:val="1006"/>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22.1开标由采购代理机构</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主持，邀请投标人</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参加。投标人应当按照《苏采云系统供应商操作手册》规定，</w:t>
      </w:r>
      <w:r>
        <w:rPr>
          <w:rFonts w:hint="eastAsia" w:ascii="宋体" w:hAnsi="宋体" w:cs="宋体"/>
          <w:b/>
          <w:color w:val="000000" w:themeColor="text1"/>
          <w:sz w:val="24"/>
          <w:szCs w:val="24"/>
        </w:rPr>
        <w:t xml:space="preserve">参加开标活动和在“苏采云”系统规定的时间内对投标文件进行解密</w:t>
      </w:r>
      <w:r>
        <w:rPr>
          <w:rFonts w:hint="eastAsia" w:ascii="宋体" w:hAnsi="宋体" w:cs="宋体"/>
          <w:color w:val="000000" w:themeColor="text1"/>
          <w:sz w:val="24"/>
          <w:szCs w:val="24"/>
        </w:rPr>
        <w:t xml:space="preserve">。评标委员会成员不得参加开标活动。</w:t>
      </w:r>
      <w:r/>
    </w:p>
    <w:p>
      <w:pPr>
        <w:pStyle w:val="1006"/>
        <w:spacing w:line="360" w:lineRule="auto"/>
        <w:rPr>
          <w:rFonts w:ascii="宋体" w:hAnsi="宋体" w:cs="宋体"/>
          <w:sz w:val="24"/>
          <w:szCs w:val="24"/>
        </w:rPr>
      </w:pPr>
      <w:r>
        <w:rPr>
          <w:rFonts w:hint="eastAsia" w:ascii="宋体" w:hAnsi="宋体" w:cs="宋体"/>
          <w:sz w:val="24"/>
          <w:szCs w:val="24"/>
        </w:rPr>
        <w:t xml:space="preserve">22.2开标时，由采购代理机构</w:t>
      </w:r>
      <w:r>
        <w:rPr>
          <w:rFonts w:hint="eastAsia" w:ascii="宋体" w:hAnsi="宋体" w:cs="宋体"/>
          <w:sz w:val="24"/>
          <w:szCs w:val="24"/>
          <w:lang w:val="en-US"/>
        </w:rPr>
        <w:t xml:space="preserve">通过“苏采云”系统在线</w:t>
      </w:r>
      <w:r>
        <w:rPr>
          <w:rFonts w:hint="eastAsia" w:ascii="宋体" w:hAnsi="宋体" w:cs="宋体"/>
          <w:sz w:val="24"/>
          <w:szCs w:val="24"/>
        </w:rPr>
        <w:t xml:space="preserve">宣布投标人名称、投标价格和招标文件规定的需要宣布的其他内容。</w:t>
      </w:r>
      <w:r>
        <w:rPr>
          <w:rFonts w:hint="eastAsia" w:ascii="宋体" w:hAnsi="宋体" w:cs="宋体"/>
          <w:sz w:val="24"/>
          <w:szCs w:val="24"/>
          <w:lang w:val="en-US"/>
        </w:rPr>
        <w:t xml:space="preserve">投标人在不见面开标系统中确认投标价格，如</w:t>
      </w:r>
      <w:r>
        <w:rPr>
          <w:rFonts w:hint="eastAsia" w:ascii="宋体" w:hAnsi="宋体" w:cs="宋体"/>
          <w:sz w:val="24"/>
          <w:szCs w:val="24"/>
        </w:rPr>
        <w:t xml:space="preserve">投标人未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p>
    <w:p>
      <w:pPr>
        <w:pStyle w:val="1006"/>
        <w:spacing w:line="360" w:lineRule="auto"/>
        <w:rPr>
          <w:rFonts w:ascii="宋体" w:hAnsi="宋体" w:cs="宋体"/>
          <w:sz w:val="24"/>
          <w:szCs w:val="24"/>
        </w:rPr>
      </w:pPr>
      <w:r>
        <w:rPr>
          <w:rFonts w:hint="eastAsia" w:ascii="宋体" w:hAnsi="宋体" w:cs="宋体"/>
          <w:sz w:val="24"/>
          <w:szCs w:val="24"/>
        </w:rPr>
        <w:t xml:space="preserve">22.3资格审查</w:t>
      </w:r>
      <w:r/>
    </w:p>
    <w:p>
      <w:pPr>
        <w:pStyle w:val="1006"/>
        <w:spacing w:line="360" w:lineRule="auto"/>
        <w:rPr>
          <w:rFonts w:ascii="宋体" w:hAnsi="宋体" w:cs="宋体"/>
          <w:sz w:val="24"/>
          <w:szCs w:val="24"/>
        </w:rPr>
      </w:pPr>
      <w:r>
        <w:rPr>
          <w:rFonts w:hint="eastAsia" w:ascii="宋体" w:hAnsi="宋体" w:cs="宋体"/>
          <w:sz w:val="24"/>
          <w:szCs w:val="24"/>
        </w:rPr>
        <w:t xml:space="preserve">22.3.1公开招标采购项目开标结束后，采购人应当依法对投标人的资格进行审查，未通过资格审查的视为无效投标。</w:t>
      </w:r>
      <w:r/>
    </w:p>
    <w:p>
      <w:pPr>
        <w:pStyle w:val="1006"/>
        <w:spacing w:line="360" w:lineRule="auto"/>
        <w:rPr>
          <w:rFonts w:ascii="宋体" w:hAnsi="宋体" w:cs="宋体"/>
          <w:sz w:val="24"/>
          <w:szCs w:val="24"/>
        </w:rPr>
      </w:pPr>
      <w:r>
        <w:rPr>
          <w:rFonts w:hint="eastAsia" w:ascii="宋体" w:hAnsi="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1006"/>
        <w:spacing w:line="360" w:lineRule="auto"/>
        <w:rPr>
          <w:rFonts w:ascii="宋体" w:hAnsi="宋体" w:cs="宋体"/>
          <w:sz w:val="24"/>
          <w:szCs w:val="24"/>
        </w:rPr>
      </w:pPr>
      <w:r>
        <w:rPr>
          <w:rFonts w:hint="eastAsia" w:ascii="宋体" w:hAnsi="宋体" w:cs="宋体"/>
          <w:sz w:val="24"/>
          <w:szCs w:val="24"/>
        </w:rPr>
        <w:t xml:space="preserve">22.3.2.1查询时间：投标文件递交截止时间。</w:t>
      </w:r>
      <w:r/>
    </w:p>
    <w:p>
      <w:pPr>
        <w:pStyle w:val="1006"/>
        <w:spacing w:line="360" w:lineRule="auto"/>
        <w:rPr>
          <w:rFonts w:ascii="宋体" w:hAnsi="宋体" w:cs="宋体"/>
          <w:b/>
          <w:sz w:val="24"/>
          <w:szCs w:val="24"/>
        </w:rPr>
      </w:pPr>
      <w:r>
        <w:rPr>
          <w:rFonts w:hint="eastAsia" w:ascii="宋体" w:hAnsi="宋体" w:cs="宋体"/>
          <w:sz w:val="24"/>
          <w:szCs w:val="24"/>
        </w:rPr>
        <w:t xml:space="preserve">22.3.2.2查询渠道</w:t>
      </w:r>
      <w:r>
        <w:rPr>
          <w:rFonts w:hint="eastAsia" w:ascii="宋体" w:hAnsi="宋体" w:cs="宋体"/>
          <w:b/>
          <w:sz w:val="24"/>
          <w:szCs w:val="24"/>
        </w:rPr>
        <w:t xml:space="preserve">：</w:t>
      </w:r>
      <w:r>
        <w:rPr>
          <w:rFonts w:hint="eastAsia" w:ascii="宋体" w:hAnsi="宋体" w:cs="宋体"/>
          <w:color w:val="000000" w:themeColor="text1"/>
          <w:sz w:val="24"/>
          <w:szCs w:val="24"/>
        </w:rPr>
        <w:t xml:space="preserve">采购代理机构会在接收投标文件截止时间后，登录信用中国网站（www.creditchina.gov.cn）和中国政府采购网（www.ccgp.gov.cn/）查询供应商的信用记录，并将查询结果递交评标委员会。</w:t>
      </w:r>
      <w:r/>
    </w:p>
    <w:p>
      <w:pPr>
        <w:pStyle w:val="1006"/>
        <w:spacing w:line="360" w:lineRule="auto"/>
        <w:rPr>
          <w:rFonts w:ascii="宋体" w:hAnsi="宋体" w:cs="宋体"/>
          <w:sz w:val="24"/>
          <w:szCs w:val="24"/>
        </w:rPr>
      </w:pPr>
      <w:r>
        <w:rPr>
          <w:rFonts w:hint="eastAsia" w:ascii="宋体" w:hAnsi="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06"/>
        <w:ind w:firstLine="482"/>
        <w:spacing w:line="360" w:lineRule="auto"/>
        <w:rPr>
          <w:rFonts w:ascii="宋体" w:hAnsi="宋体" w:cs="宋体"/>
          <w:b/>
          <w:sz w:val="24"/>
          <w:szCs w:val="24"/>
        </w:rPr>
      </w:pPr>
      <w:r>
        <w:rPr>
          <w:rFonts w:hint="eastAsia" w:ascii="宋体" w:hAnsi="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23.1评标委员会由采购人或采购代理机构依法组建。</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23.2评标委员会负责具体的评标事务，并独立履行以下职责：</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23.2.1审查、评价投标文件是否符合招标文件的商务、技术等实质性要求；</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23.2.2要求投标人对投标文件有关事项作出澄清或者说明；</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23.2.3对投标文件进行比较和评价；</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23.2.4确定中标候选人名单，以及根据采购人委托直接确定中标人；</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23.2.5向采购人、采购代理机构或者有关部门报告评标中发现的违法行为。</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23.3评标委员会成员应当履行下列义务：</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23.3.1遵纪守法，客观、公正、廉洁地履行职责；</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23.3.2按照招标文件规定的评标办法和评标标准进行评标，对评审意见承担个人责任；</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23.3.3对评标过程和结果，以及投标人的商业秘密保密；</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23.3.4参与评审报告的起草；</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23.3.5配合相关部门的投诉处理工作；</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23.3.6配合采购人或采购代理机构答复投标供应商提出的质疑。</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24.评标内容的保密</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24.1公开开标后，直到宣布授予中标单位合同为止，凡属于审查、澄清、评价和比较投标的所有资料，有关授予合同的信息都不应向投标人或与评标无关的其他人泄露。</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06"/>
        <w:ind w:firstLine="482"/>
        <w:spacing w:line="360" w:lineRule="auto"/>
        <w:rPr>
          <w:rFonts w:ascii="宋体" w:hAnsi="宋体" w:cs="宋体"/>
          <w:b/>
          <w:sz w:val="24"/>
          <w:szCs w:val="24"/>
        </w:rPr>
      </w:pPr>
      <w:r/>
      <w:bookmarkStart w:id="34" w:name="OLE_LINK20"/>
      <w:r>
        <w:rPr>
          <w:rFonts w:hint="eastAsia" w:ascii="宋体" w:hAnsi="宋体" w:cs="宋体"/>
          <w:b/>
          <w:sz w:val="24"/>
          <w:szCs w:val="24"/>
        </w:rPr>
        <w:t xml:space="preserve">25.6异常低价投标审查</w:t>
      </w:r>
      <w:bookmarkEnd w:id="34"/>
      <w:r/>
      <w:r/>
    </w:p>
    <w:p>
      <w:pPr>
        <w:pStyle w:val="1006"/>
        <w:ind w:firstLine="482"/>
        <w:spacing w:line="360" w:lineRule="auto"/>
        <w:rPr>
          <w:rFonts w:hint="eastAsia" w:ascii="宋体" w:hAnsi="宋体" w:eastAsia="宋体" w:cs="宋体"/>
          <w:b/>
          <w:sz w:val="24"/>
          <w:szCs w:val="24"/>
          <w:lang w:val="en-US" w:eastAsia="zh-CN"/>
        </w:rPr>
      </w:pPr>
      <w:r>
        <w:rPr>
          <w:rFonts w:hint="eastAsia" w:ascii="宋体" w:hAnsi="宋体" w:cs="宋体"/>
          <w:b/>
          <w:sz w:val="24"/>
          <w:szCs w:val="24"/>
          <w:lang w:val="en-US"/>
        </w:rPr>
        <w:t xml:space="preserve">25.6.1评标过程中出现下列情形之一的，</w:t>
      </w:r>
      <w:bookmarkStart w:id="35" w:name="OLE_LINK6"/>
      <w:r/>
      <w:bookmarkStart w:id="36" w:name="OLE_LINK5"/>
      <w:r>
        <w:rPr>
          <w:rFonts w:hint="eastAsia" w:ascii="宋体" w:hAnsi="宋体" w:cs="宋体"/>
          <w:b/>
          <w:sz w:val="24"/>
          <w:szCs w:val="24"/>
          <w:lang w:val="en-US"/>
        </w:rPr>
        <w:t xml:space="preserve">评标</w:t>
      </w:r>
      <w:bookmarkEnd w:id="35"/>
      <w:r/>
      <w:bookmarkEnd w:id="36"/>
      <w:r>
        <w:rPr>
          <w:rFonts w:hint="eastAsia" w:ascii="宋体" w:hAnsi="宋体" w:cs="宋体"/>
          <w:b/>
          <w:sz w:val="24"/>
          <w:szCs w:val="24"/>
          <w:lang w:val="en-US"/>
        </w:rPr>
        <w:t xml:space="preserve">委员会应当启动异常低价投标审查程序：</w:t>
      </w:r>
      <w:r>
        <w:rPr>
          <w:rFonts w:hint="eastAsia" w:ascii="宋体" w:hAnsi="宋体" w:cs="宋体"/>
          <w:b/>
          <w:sz w:val="24"/>
          <w:szCs w:val="24"/>
          <w:lang w:val="en-US" w:eastAsia="zh-CN"/>
        </w:rPr>
        <w:t xml:space="preserve">（</w:t>
      </w:r>
      <w:r>
        <w:rPr>
          <w:rFonts w:hint="eastAsia" w:ascii="宋体" w:hAnsi="宋体" w:cs="宋体"/>
          <w:b/>
          <w:sz w:val="24"/>
          <w:szCs w:val="24"/>
          <w:lang w:val="en-US"/>
        </w:rPr>
        <w:t xml:space="preserve">投标报价</w:t>
      </w:r>
      <w:r>
        <w:rPr>
          <w:rFonts w:hint="eastAsia" w:ascii="宋体" w:hAnsi="宋体" w:cs="宋体"/>
          <w:b/>
          <w:sz w:val="24"/>
          <w:szCs w:val="24"/>
          <w:lang w:val="en-US" w:eastAsia="zh-CN"/>
        </w:rPr>
        <w:t xml:space="preserve">：(1-优惠率报价)）</w:t>
      </w:r>
      <w:r/>
    </w:p>
    <w:p>
      <w:pPr>
        <w:pStyle w:val="1006"/>
        <w:ind w:firstLine="482"/>
        <w:spacing w:line="360" w:lineRule="auto"/>
        <w:rPr>
          <w:rFonts w:ascii="宋体" w:hAnsi="宋体" w:cs="宋体"/>
          <w:b/>
          <w:sz w:val="24"/>
          <w:szCs w:val="24"/>
          <w:lang w:val="en-US"/>
        </w:rPr>
      </w:pPr>
      <w:r>
        <w:rPr>
          <w:rFonts w:hint="eastAsia" w:ascii="宋体" w:hAnsi="宋体" w:cs="宋体"/>
          <w:b/>
          <w:sz w:val="24"/>
          <w:szCs w:val="24"/>
          <w:lang w:val="en-US"/>
        </w:rPr>
        <w:t xml:space="preserve">（一）投标报价低于全部通过符合性审查供应商投标报价平均值50%的，即投标报价&lt;全部通过符合性审查供应商投标报价平均值×50%；</w:t>
      </w:r>
      <w:r/>
    </w:p>
    <w:p>
      <w:pPr>
        <w:pStyle w:val="1006"/>
        <w:ind w:firstLine="482"/>
        <w:spacing w:line="360" w:lineRule="auto"/>
        <w:rPr>
          <w:rFonts w:ascii="宋体" w:hAnsi="宋体" w:cs="宋体"/>
          <w:b/>
          <w:sz w:val="24"/>
          <w:szCs w:val="24"/>
          <w:lang w:val="en-US"/>
        </w:rPr>
      </w:pPr>
      <w:r>
        <w:rPr>
          <w:rFonts w:hint="eastAsia" w:ascii="宋体" w:hAnsi="宋体" w:cs="宋体"/>
          <w:b/>
          <w:sz w:val="24"/>
          <w:szCs w:val="24"/>
          <w:lang w:val="en-US"/>
        </w:rPr>
        <w:t xml:space="preserve">（二）投标报价低于通过符合性审查的次低报价供应商投标报价50%的，即投标报价&lt;通过符合性审查的次低报价供应商投标报价×50%；</w:t>
      </w:r>
      <w:r/>
    </w:p>
    <w:p>
      <w:pPr>
        <w:pStyle w:val="1006"/>
        <w:ind w:firstLine="482"/>
        <w:spacing w:line="360" w:lineRule="auto"/>
        <w:rPr>
          <w:rFonts w:ascii="宋体" w:hAnsi="宋体" w:cs="宋体"/>
          <w:b/>
          <w:sz w:val="24"/>
          <w:szCs w:val="24"/>
          <w:lang w:val="en-US"/>
        </w:rPr>
      </w:pPr>
      <w:r>
        <w:rPr>
          <w:rFonts w:hint="eastAsia" w:ascii="宋体" w:hAnsi="宋体" w:cs="宋体"/>
          <w:b/>
          <w:sz w:val="24"/>
          <w:szCs w:val="24"/>
          <w:lang w:val="en-US"/>
        </w:rPr>
        <w:t xml:space="preserve">（三）投标报价低于采购项目最高限价45%的，即投标报价&lt;采购项目最高限价×45%；</w:t>
      </w:r>
      <w:r/>
    </w:p>
    <w:p>
      <w:pPr>
        <w:pStyle w:val="1006"/>
        <w:ind w:firstLine="482"/>
        <w:spacing w:line="360" w:lineRule="auto"/>
        <w:rPr>
          <w:rFonts w:ascii="宋体" w:hAnsi="宋体" w:cs="宋体"/>
          <w:b/>
          <w:sz w:val="24"/>
          <w:szCs w:val="24"/>
          <w:lang w:val="en-US"/>
        </w:rPr>
      </w:pPr>
      <w:r>
        <w:rPr>
          <w:rFonts w:hint="eastAsia" w:ascii="宋体" w:hAnsi="宋体" w:cs="宋体"/>
          <w:b/>
          <w:sz w:val="24"/>
          <w:szCs w:val="24"/>
          <w:lang w:val="en-US"/>
        </w:rPr>
        <w:t xml:space="preserve">（四）评标委员会基于专业判断，认为供应商报价过低，有可能影响产品质量或者不能诚信履约的其他情形。</w:t>
      </w:r>
      <w:r/>
    </w:p>
    <w:p>
      <w:pPr>
        <w:pStyle w:val="1006"/>
        <w:ind w:firstLine="482"/>
        <w:spacing w:line="360" w:lineRule="auto"/>
        <w:rPr>
          <w:rFonts w:ascii="宋体" w:hAnsi="宋体" w:cs="宋体"/>
          <w:sz w:val="24"/>
          <w:szCs w:val="24"/>
          <w:shd w:val="clear" w:color="auto" w:fill="ffffff"/>
        </w:rPr>
      </w:pPr>
      <w:r/>
      <w:bookmarkStart w:id="37" w:name="OLE_LINK4"/>
      <w:r/>
      <w:bookmarkStart w:id="38" w:name="OLE_LINK3"/>
      <w:r>
        <w:rPr>
          <w:rFonts w:hint="eastAsia" w:ascii="宋体" w:hAnsi="宋体" w:cs="宋体"/>
          <w:b/>
          <w:sz w:val="24"/>
          <w:szCs w:val="24"/>
          <w:lang w:val="en-US"/>
        </w:rPr>
        <w:t xml:space="preserve">25.6.</w:t>
      </w:r>
      <w:r>
        <w:rPr>
          <w:rFonts w:hint="eastAsia" w:ascii="宋体" w:hAnsi="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39" w:name="OLE_LINK9"/>
      <w:r/>
      <w:bookmarkStart w:id="40" w:name="OLE_LINK10"/>
      <w:r>
        <w:rPr>
          <w:rFonts w:hint="eastAsia" w:ascii="宋体" w:hAnsi="宋体" w:cs="宋体"/>
          <w:b/>
          <w:sz w:val="24"/>
          <w:szCs w:val="24"/>
        </w:rPr>
        <w:t xml:space="preserve">，</w:t>
      </w:r>
      <w:bookmarkEnd w:id="39"/>
      <w:r/>
      <w:bookmarkEnd w:id="40"/>
      <w:r>
        <w:rPr>
          <w:rFonts w:hint="eastAsia" w:ascii="宋体" w:hAnsi="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1006"/>
        <w:ind w:firstLine="482"/>
        <w:spacing w:line="360" w:lineRule="auto"/>
        <w:rPr>
          <w:rFonts w:ascii="宋体" w:hAnsi="宋体" w:cs="宋体"/>
          <w:b/>
          <w:sz w:val="24"/>
          <w:szCs w:val="24"/>
          <w:lang w:val="en-US"/>
        </w:rPr>
      </w:pPr>
      <w:r>
        <w:rPr>
          <w:rFonts w:hint="eastAsia" w:ascii="宋体" w:hAnsi="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06"/>
        <w:ind w:firstLine="482"/>
        <w:spacing w:line="360" w:lineRule="auto"/>
        <w:rPr>
          <w:rFonts w:ascii="宋体" w:hAnsi="宋体" w:cs="宋体"/>
          <w:b/>
          <w:sz w:val="24"/>
          <w:szCs w:val="24"/>
          <w:lang w:val="en-US"/>
        </w:rPr>
      </w:pPr>
      <w:r>
        <w:rPr>
          <w:rFonts w:hint="eastAsia" w:ascii="宋体" w:hAnsi="宋体" w:cs="宋体"/>
          <w:b/>
          <w:sz w:val="24"/>
          <w:szCs w:val="24"/>
          <w:lang w:val="en-US"/>
        </w:rPr>
        <w:t xml:space="preserve">25.6.4</w:t>
      </w:r>
      <w:r>
        <w:rPr>
          <w:rFonts w:hint="eastAsia" w:ascii="宋体" w:hAnsi="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06"/>
        <w:ind w:firstLine="482"/>
        <w:spacing w:line="360" w:lineRule="auto"/>
        <w:rPr>
          <w:rFonts w:ascii="宋体" w:hAnsi="宋体" w:cs="宋体"/>
          <w:b/>
          <w:sz w:val="24"/>
          <w:szCs w:val="24"/>
          <w:lang w:val="en-US"/>
        </w:rPr>
      </w:pPr>
      <w:r>
        <w:rPr>
          <w:rFonts w:hint="eastAsia" w:ascii="宋体" w:hAnsi="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1006"/>
        <w:spacing w:line="360" w:lineRule="auto"/>
        <w:rPr>
          <w:rFonts w:ascii="宋体" w:hAnsi="宋体" w:cs="宋体"/>
          <w:sz w:val="24"/>
          <w:szCs w:val="24"/>
        </w:rPr>
      </w:pPr>
      <w:r>
        <w:rPr>
          <w:rFonts w:hint="eastAsia" w:ascii="宋体" w:hAnsi="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1006"/>
        <w:spacing w:line="360" w:lineRule="auto"/>
        <w:rPr>
          <w:rFonts w:ascii="宋体" w:hAnsi="宋体" w:cs="宋体"/>
          <w:sz w:val="24"/>
          <w:szCs w:val="24"/>
        </w:rPr>
      </w:pPr>
      <w:r>
        <w:rPr>
          <w:rFonts w:hint="eastAsia" w:ascii="宋体" w:hAnsi="宋体" w:cs="宋体"/>
          <w:sz w:val="24"/>
          <w:szCs w:val="24"/>
        </w:rPr>
        <w:t xml:space="preserve">26.2投标人的澄清、说明或者补正应当采用书面形式，并加盖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rPr>
        <w:t xml:space="preserve">供应商应随时保持系统在线，如因供应商自身原因未在规定时间内提交澄清确认资料的，导致的不利后果由供应商自行承担。</w:t>
      </w:r>
      <w:r/>
    </w:p>
    <w:p>
      <w:pPr>
        <w:pStyle w:val="1006"/>
        <w:ind w:firstLine="0"/>
        <w:spacing w:line="360" w:lineRule="auto"/>
        <w:rPr>
          <w:rFonts w:ascii="宋体" w:hAnsi="宋体" w:cs="宋体"/>
          <w:b/>
          <w:sz w:val="24"/>
          <w:szCs w:val="24"/>
        </w:rPr>
      </w:pPr>
      <w:r>
        <w:rPr>
          <w:rFonts w:hint="eastAsia" w:ascii="宋体" w:hAnsi="宋体" w:cs="宋体"/>
          <w:b/>
          <w:sz w:val="24"/>
          <w:szCs w:val="24"/>
        </w:rPr>
        <w:t xml:space="preserve">27.投标无效</w:t>
      </w:r>
      <w:r/>
    </w:p>
    <w:p>
      <w:pPr>
        <w:pStyle w:val="1006"/>
        <w:spacing w:line="360" w:lineRule="auto"/>
        <w:rPr>
          <w:rFonts w:ascii="宋体" w:hAnsi="宋体" w:cs="宋体"/>
          <w:sz w:val="24"/>
          <w:szCs w:val="24"/>
        </w:rPr>
      </w:pPr>
      <w:r>
        <w:rPr>
          <w:rFonts w:hint="eastAsia" w:ascii="宋体" w:hAnsi="宋体" w:cs="宋体"/>
          <w:sz w:val="24"/>
          <w:szCs w:val="24"/>
        </w:rPr>
        <w:t xml:space="preserve">27.1投标人存在下列情况之一的，投标无效:</w:t>
      </w:r>
      <w:r/>
    </w:p>
    <w:p>
      <w:pPr>
        <w:pStyle w:val="1006"/>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一</w:t>
      </w:r>
      <w:r>
        <w:rPr>
          <w:rFonts w:hint="eastAsia" w:ascii="宋体" w:hAnsi="宋体" w:cs="宋体"/>
          <w:sz w:val="24"/>
          <w:szCs w:val="24"/>
        </w:rPr>
        <w:t xml:space="preserve">）投标文件未按招标文件要求签署、盖章的；</w:t>
      </w:r>
      <w:r/>
    </w:p>
    <w:p>
      <w:pPr>
        <w:pStyle w:val="1006"/>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二</w:t>
      </w:r>
      <w:r>
        <w:rPr>
          <w:rFonts w:hint="eastAsia" w:ascii="宋体" w:hAnsi="宋体" w:cs="宋体"/>
          <w:sz w:val="24"/>
          <w:szCs w:val="24"/>
        </w:rPr>
        <w:t xml:space="preserve">）不具备招标文件中规定的资格要求的；</w:t>
      </w:r>
      <w:r/>
    </w:p>
    <w:p>
      <w:pPr>
        <w:pStyle w:val="1006"/>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三</w:t>
      </w:r>
      <w:r>
        <w:rPr>
          <w:rFonts w:hint="eastAsia" w:ascii="宋体" w:hAnsi="宋体" w:cs="宋体"/>
          <w:sz w:val="24"/>
          <w:szCs w:val="24"/>
        </w:rPr>
        <w:t xml:space="preserve">）报价超过招标文件中规定的预算金额或者最高限价的；</w:t>
      </w:r>
      <w:r/>
    </w:p>
    <w:p>
      <w:pPr>
        <w:pStyle w:val="1006"/>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四</w:t>
      </w:r>
      <w:r>
        <w:rPr>
          <w:rFonts w:hint="eastAsia" w:ascii="宋体" w:hAnsi="宋体" w:cs="宋体"/>
          <w:sz w:val="24"/>
          <w:szCs w:val="24"/>
        </w:rPr>
        <w:t xml:space="preserve">）投标文件含有采购人不能接受的附加条件的；</w:t>
      </w:r>
      <w:r/>
    </w:p>
    <w:p>
      <w:pPr>
        <w:pStyle w:val="1006"/>
        <w:ind w:firstLine="482"/>
        <w:spacing w:line="360" w:lineRule="auto"/>
        <w:rPr>
          <w:rFonts w:ascii="宋体" w:hAnsi="宋体" w:cs="宋体"/>
          <w:b/>
          <w:bCs/>
          <w:sz w:val="24"/>
          <w:szCs w:val="24"/>
        </w:rPr>
      </w:pPr>
      <w:r>
        <w:rPr>
          <w:rFonts w:hint="eastAsia" w:ascii="宋体" w:hAnsi="宋体" w:cs="宋体"/>
          <w:b/>
          <w:bCs/>
          <w:sz w:val="24"/>
          <w:szCs w:val="24"/>
        </w:rPr>
        <w:t xml:space="preserve">（五）机器码检查中，出现不同投标人投标文件机器码一致情形的；</w:t>
      </w:r>
      <w:r/>
    </w:p>
    <w:p>
      <w:pPr>
        <w:pStyle w:val="1006"/>
        <w:spacing w:line="360" w:lineRule="auto"/>
        <w:rPr>
          <w:rFonts w:ascii="宋体" w:hAnsi="宋体" w:cs="宋体"/>
          <w:sz w:val="24"/>
          <w:szCs w:val="24"/>
        </w:rPr>
      </w:pPr>
      <w:r>
        <w:rPr>
          <w:rFonts w:hint="eastAsia" w:ascii="宋体" w:hAnsi="宋体" w:cs="宋体"/>
          <w:sz w:val="24"/>
          <w:szCs w:val="24"/>
        </w:rPr>
        <w:t xml:space="preserve">（六）法律、法规和招标文件规定的其他无效情形。</w:t>
      </w:r>
      <w:r/>
    </w:p>
    <w:p>
      <w:pPr>
        <w:pStyle w:val="1006"/>
        <w:spacing w:line="360" w:lineRule="auto"/>
        <w:rPr>
          <w:rFonts w:ascii="宋体" w:hAnsi="宋体" w:cs="宋体"/>
          <w:sz w:val="24"/>
          <w:szCs w:val="24"/>
        </w:rPr>
      </w:pPr>
      <w:r>
        <w:rPr>
          <w:rFonts w:hint="eastAsia" w:ascii="宋体" w:hAnsi="宋体" w:cs="宋体"/>
          <w:sz w:val="24"/>
          <w:szCs w:val="24"/>
        </w:rPr>
        <w:t xml:space="preserve">27.2投标人应当遵循公平竞争的原则，不得恶意串通，不得妨碍其他投标人的竞争行为，不得损害采购人或者其他投标人的合法权益。</w:t>
      </w:r>
      <w:r/>
    </w:p>
    <w:p>
      <w:pPr>
        <w:pStyle w:val="1006"/>
        <w:spacing w:line="360" w:lineRule="auto"/>
        <w:rPr>
          <w:rFonts w:ascii="宋体" w:hAnsi="宋体" w:cs="宋体"/>
          <w:sz w:val="24"/>
          <w:szCs w:val="24"/>
        </w:rPr>
      </w:pPr>
      <w:r>
        <w:rPr>
          <w:rFonts w:hint="eastAsia" w:ascii="宋体" w:hAnsi="宋体" w:cs="宋体"/>
          <w:sz w:val="24"/>
          <w:szCs w:val="24"/>
        </w:rPr>
        <w:t xml:space="preserve">在评标过程中发现投标人有上述情形的，评标委员会应当认定其投标无效，并书面报告本级财政部门。</w:t>
      </w:r>
      <w:r/>
    </w:p>
    <w:p>
      <w:pPr>
        <w:pStyle w:val="1006"/>
        <w:spacing w:line="360" w:lineRule="auto"/>
        <w:rPr>
          <w:rFonts w:ascii="宋体" w:hAnsi="宋体" w:cs="宋体"/>
          <w:sz w:val="24"/>
          <w:szCs w:val="24"/>
        </w:rPr>
      </w:pPr>
      <w:r>
        <w:rPr>
          <w:rFonts w:hint="eastAsia" w:ascii="宋体" w:hAnsi="宋体" w:cs="宋体"/>
          <w:sz w:val="24"/>
          <w:szCs w:val="24"/>
        </w:rPr>
        <w:t xml:space="preserve">27.3有下列情形之一的，视为投标人串通投标，其投标无效：</w:t>
      </w:r>
      <w:r/>
    </w:p>
    <w:p>
      <w:pPr>
        <w:pStyle w:val="1006"/>
        <w:spacing w:line="360" w:lineRule="auto"/>
        <w:rPr>
          <w:rFonts w:ascii="宋体" w:hAnsi="宋体" w:cs="宋体"/>
          <w:sz w:val="24"/>
          <w:szCs w:val="24"/>
        </w:rPr>
      </w:pPr>
      <w:r>
        <w:rPr>
          <w:rFonts w:hint="eastAsia" w:ascii="宋体" w:hAnsi="宋体" w:cs="宋体"/>
          <w:sz w:val="24"/>
          <w:szCs w:val="24"/>
        </w:rPr>
        <w:t xml:space="preserve">（一）不同投标人的投标文件由同一单位或者个人编制；</w:t>
      </w:r>
      <w:r/>
    </w:p>
    <w:p>
      <w:pPr>
        <w:pStyle w:val="1006"/>
        <w:spacing w:line="360" w:lineRule="auto"/>
        <w:rPr>
          <w:rFonts w:ascii="宋体" w:hAnsi="宋体" w:cs="宋体"/>
          <w:sz w:val="24"/>
          <w:szCs w:val="24"/>
        </w:rPr>
      </w:pPr>
      <w:r>
        <w:rPr>
          <w:rFonts w:hint="eastAsia" w:ascii="宋体" w:hAnsi="宋体" w:cs="宋体"/>
          <w:sz w:val="24"/>
          <w:szCs w:val="24"/>
        </w:rPr>
        <w:t xml:space="preserve">（二）不同投标人委托同一单位或者个人办理投标事宜；</w:t>
      </w:r>
      <w:r/>
    </w:p>
    <w:p>
      <w:pPr>
        <w:pStyle w:val="1006"/>
        <w:spacing w:line="360" w:lineRule="auto"/>
        <w:rPr>
          <w:rFonts w:ascii="宋体" w:hAnsi="宋体" w:cs="宋体"/>
          <w:sz w:val="24"/>
          <w:szCs w:val="24"/>
        </w:rPr>
      </w:pPr>
      <w:r>
        <w:rPr>
          <w:rFonts w:hint="eastAsia" w:ascii="宋体" w:hAnsi="宋体" w:cs="宋体"/>
          <w:sz w:val="24"/>
          <w:szCs w:val="24"/>
        </w:rPr>
        <w:t xml:space="preserve">（三）不同投标人的投标文件载明的项目管理成员或者联系人员为同一人；</w:t>
      </w:r>
      <w:r/>
    </w:p>
    <w:p>
      <w:pPr>
        <w:pStyle w:val="1006"/>
        <w:spacing w:line="360" w:lineRule="auto"/>
        <w:rPr>
          <w:rFonts w:ascii="宋体" w:hAnsi="宋体" w:cs="宋体"/>
          <w:sz w:val="24"/>
          <w:szCs w:val="24"/>
        </w:rPr>
      </w:pPr>
      <w:r>
        <w:rPr>
          <w:rFonts w:hint="eastAsia" w:ascii="宋体" w:hAnsi="宋体" w:cs="宋体"/>
          <w:sz w:val="24"/>
          <w:szCs w:val="24"/>
        </w:rPr>
        <w:t xml:space="preserve">（四）不同投标人的投标文件异常一致或者投标报价呈规律性差异；</w:t>
      </w:r>
      <w:r/>
    </w:p>
    <w:p>
      <w:pPr>
        <w:pStyle w:val="1006"/>
        <w:spacing w:line="360" w:lineRule="auto"/>
        <w:rPr>
          <w:rFonts w:ascii="宋体" w:hAnsi="宋体" w:cs="宋体"/>
          <w:sz w:val="24"/>
          <w:szCs w:val="24"/>
        </w:rPr>
      </w:pPr>
      <w:r>
        <w:rPr>
          <w:rFonts w:hint="eastAsia" w:ascii="宋体" w:hAnsi="宋体" w:cs="宋体"/>
          <w:sz w:val="24"/>
          <w:szCs w:val="24"/>
        </w:rPr>
        <w:t xml:space="preserve">（五）不同投标人的投标文件相互混装。</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1006"/>
        <w:spacing w:line="360" w:lineRule="auto"/>
        <w:rPr>
          <w:rFonts w:ascii="宋体" w:hAnsi="宋体" w:cs="宋体"/>
          <w:sz w:val="24"/>
          <w:szCs w:val="24"/>
        </w:rPr>
      </w:pPr>
      <w:r>
        <w:rPr>
          <w:rFonts w:hint="eastAsia" w:ascii="宋体" w:hAnsi="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78"/>
        <w:ind w:firstLine="482"/>
        <w:jc w:val="both"/>
        <w:spacing w:line="360" w:lineRule="auto"/>
        <w:rPr>
          <w:rFonts w:ascii="宋体" w:hAnsi="宋体" w:eastAsia="宋体" w:cs="宋体"/>
          <w:b/>
          <w:bCs/>
          <w:szCs w:val="24"/>
        </w:rPr>
      </w:pPr>
      <w:r>
        <w:rPr>
          <w:rFonts w:hint="eastAsia" w:ascii="宋体" w:hAnsi="宋体" w:eastAsia="宋体" w:cs="宋体"/>
          <w:b/>
          <w:bCs/>
          <w:szCs w:val="24"/>
        </w:rPr>
        <w:t xml:space="preserve">29.2最低的投标报价或最高的</w:t>
      </w:r>
      <w:r>
        <w:rPr>
          <w:rFonts w:hint="eastAsia" w:ascii="宋体" w:hAnsi="宋体" w:eastAsia="宋体" w:cs="宋体"/>
          <w:b/>
          <w:bCs/>
          <w:sz w:val="24"/>
          <w:szCs w:val="24"/>
          <w:lang w:val="en-US" w:eastAsia="zh-CN"/>
        </w:rPr>
        <w:t xml:space="preserve">优惠率</w:t>
      </w:r>
      <w:r>
        <w:rPr>
          <w:rFonts w:hint="eastAsia" w:ascii="宋体" w:hAnsi="宋体" w:eastAsia="宋体" w:cs="宋体"/>
          <w:b/>
          <w:bCs/>
          <w:szCs w:val="24"/>
        </w:rPr>
        <w:t xml:space="preserve">比例是中标的重要条件，但不是唯一条件。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31.合同授予标准</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32.中标通知书</w:t>
      </w:r>
      <w:r/>
    </w:p>
    <w:p>
      <w:pPr>
        <w:pStyle w:val="1006"/>
        <w:spacing w:line="360" w:lineRule="auto"/>
        <w:rPr>
          <w:rFonts w:ascii="宋体" w:hAnsi="宋体" w:cs="宋体"/>
          <w:b/>
          <w:sz w:val="24"/>
          <w:szCs w:val="24"/>
        </w:rPr>
      </w:pPr>
      <w:r>
        <w:rPr>
          <w:rFonts w:hint="eastAsia" w:ascii="宋体" w:hAnsi="宋体" w:cs="宋体"/>
          <w:sz w:val="24"/>
          <w:szCs w:val="24"/>
        </w:rPr>
        <w:t xml:space="preserve">32.1确定出中标人后，采购代理机构在法定时间内向中标人发出中标通知书。</w:t>
      </w:r>
      <w:r>
        <w:rPr>
          <w:rFonts w:hint="eastAsia" w:ascii="宋体" w:hAnsi="宋体" w:cs="宋体"/>
          <w:b/>
          <w:sz w:val="24"/>
          <w:szCs w:val="24"/>
        </w:rPr>
        <w:t xml:space="preserve">请中标人在中标结果公告届满之日起30日内,使用CA证书登录“苏采云”系统及时下载中标通知书。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1006"/>
        <w:spacing w:line="360" w:lineRule="auto"/>
        <w:rPr>
          <w:rFonts w:ascii="宋体" w:hAnsi="宋体" w:cs="宋体"/>
          <w:sz w:val="24"/>
          <w:szCs w:val="24"/>
        </w:rPr>
      </w:pPr>
      <w:r>
        <w:rPr>
          <w:rFonts w:hint="eastAsia" w:ascii="宋体" w:hAnsi="宋体" w:cs="宋体"/>
          <w:sz w:val="24"/>
          <w:szCs w:val="24"/>
        </w:rPr>
        <w:t xml:space="preserve">32.2中标通知书将成为合同的组成部分，对采购人和中标人具有同等法律效力。</w:t>
      </w:r>
      <w:r/>
    </w:p>
    <w:p>
      <w:pPr>
        <w:pStyle w:val="1006"/>
        <w:spacing w:line="360" w:lineRule="auto"/>
        <w:rPr>
          <w:rFonts w:ascii="宋体" w:hAnsi="宋体" w:cs="宋体"/>
          <w:sz w:val="24"/>
          <w:szCs w:val="24"/>
        </w:rPr>
      </w:pPr>
      <w:r>
        <w:rPr>
          <w:rFonts w:hint="eastAsia" w:ascii="宋体" w:hAnsi="宋体" w:cs="宋体"/>
          <w:sz w:val="24"/>
          <w:szCs w:val="24"/>
        </w:rPr>
        <w:t xml:space="preserve">32.3中标通知书发出后，采购人不得违法改变中标结果，中标人无正当理由不得放弃中标。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33.合同的签订</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33.1中标单位应按中标通知书中规定的时间和地点，由法定代表人或授权代理人与甲方代表签订合同。</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33.2签订合同及合同条款应以招标文件和中标单位的投标文件及其澄清文件为依据。</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34.代理服务费</w:t>
      </w:r>
      <w:r/>
    </w:p>
    <w:p>
      <w:pPr>
        <w:pStyle w:val="878"/>
        <w:ind w:firstLine="480"/>
        <w:jc w:val="both"/>
        <w:spacing w:line="360" w:lineRule="auto"/>
        <w:rPr>
          <w:rFonts w:ascii="宋体" w:hAnsi="宋体" w:eastAsia="宋体" w:cs="宋体"/>
          <w:szCs w:val="24"/>
        </w:rPr>
      </w:pPr>
      <w:r>
        <w:rPr>
          <w:rFonts w:hint="eastAsia" w:ascii="宋体" w:hAnsi="宋体" w:eastAsia="宋体" w:cs="宋体"/>
          <w:szCs w:val="24"/>
        </w:rPr>
        <w:t xml:space="preserve">34.1</w:t>
      </w:r>
      <w:r>
        <w:rPr>
          <w:rFonts w:hint="eastAsia" w:ascii="宋体" w:hAnsi="宋体" w:eastAsia="宋体" w:cs="宋体"/>
          <w:szCs w:val="24"/>
          <w:lang w:val="en-US" w:eastAsia="zh-CN"/>
        </w:rPr>
        <w:t xml:space="preserve">本项目</w:t>
      </w:r>
      <w:r>
        <w:rPr>
          <w:rFonts w:hint="eastAsia" w:ascii="宋体" w:hAnsi="宋体" w:eastAsia="宋体" w:cs="宋体"/>
          <w:szCs w:val="24"/>
        </w:rPr>
        <w:t xml:space="preserve">代理服务费</w:t>
      </w:r>
      <w:r>
        <w:rPr>
          <w:rFonts w:hint="eastAsia" w:ascii="宋体" w:hAnsi="宋体" w:eastAsia="宋体" w:cs="宋体"/>
          <w:szCs w:val="24"/>
          <w:lang w:val="en-US" w:eastAsia="zh-CN"/>
        </w:rPr>
        <w:t xml:space="preserve">由招标单位支付</w:t>
      </w:r>
      <w:r>
        <w:rPr>
          <w:rFonts w:hint="eastAsia" w:ascii="宋体" w:hAnsi="宋体" w:eastAsia="宋体" w:cs="宋体"/>
          <w:szCs w:val="24"/>
        </w:rPr>
        <w:t xml:space="preserve">。</w:t>
      </w:r>
      <w:r/>
    </w:p>
    <w:p>
      <w:pPr>
        <w:spacing w:line="360" w:lineRule="auto"/>
        <w:rPr>
          <w:rFonts w:ascii="宋体" w:hAnsi="宋体" w:eastAsia="宋体" w:cs="宋体"/>
          <w:sz w:val="24"/>
          <w:szCs w:val="24"/>
        </w:rPr>
      </w:pPr>
      <w:r>
        <w:rPr>
          <w:rFonts w:hint="eastAsia" w:ascii="宋体" w:hAnsi="宋体" w:eastAsia="宋体" w:cs="宋体"/>
          <w:b/>
          <w:sz w:val="24"/>
          <w:szCs w:val="24"/>
        </w:rPr>
        <w:t xml:space="preserve">35.监督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36.未尽事宜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ascii="宋体" w:hAnsi="宋体" w:eastAsia="宋体"/>
          <w:sz w:val="32"/>
          <w:szCs w:val="32"/>
        </w:rPr>
      </w:pPr>
      <w:r>
        <w:rPr>
          <w:rFonts w:ascii="宋体" w:hAnsi="宋体" w:eastAsia="宋体"/>
        </w:rPr>
        <w:br w:type="page" w:clear="all"/>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pStyle w:val="864"/>
        <w:jc w:val="center"/>
        <w:rPr>
          <w:rFonts w:ascii="宋体" w:hAnsi="宋体" w:eastAsia="宋体"/>
          <w:b w:val="0"/>
          <w:sz w:val="52"/>
        </w:rPr>
      </w:pPr>
      <w:r/>
      <w:bookmarkStart w:id="41" w:name="_Toc10050"/>
      <w:r>
        <w:rPr>
          <w:rFonts w:hint="eastAsia" w:ascii="宋体" w:hAnsi="宋体" w:eastAsia="宋体"/>
          <w:sz w:val="52"/>
        </w:rPr>
        <w:t xml:space="preserve">第三章 投标文件格式</w:t>
      </w:r>
      <w:bookmarkEnd w:id="41"/>
      <w:r/>
      <w:r/>
    </w:p>
    <w:p>
      <w:pPr>
        <w:pStyle w:val="878"/>
        <w:ind w:firstLine="0"/>
        <w:spacing w:line="360" w:lineRule="auto"/>
        <w:rPr>
          <w:rFonts w:ascii="宋体" w:hAnsi="宋体" w:eastAsia="宋体"/>
          <w:b/>
        </w:rPr>
      </w:pPr>
      <w:r>
        <w:rPr>
          <w:rFonts w:hint="eastAsia" w:ascii="宋体" w:hAnsi="宋体" w:eastAsia="宋体"/>
          <w:b/>
        </w:rPr>
        <w:t xml:space="preserve">说明：</w:t>
      </w:r>
      <w:r/>
    </w:p>
    <w:p>
      <w:pPr>
        <w:pStyle w:val="878"/>
        <w:ind w:firstLine="482"/>
        <w:spacing w:line="360" w:lineRule="auto"/>
        <w:rPr>
          <w:rFonts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878"/>
        <w:ind w:firstLine="0"/>
        <w:rPr>
          <w:rFonts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878"/>
        <w:ind w:firstLine="0"/>
        <w:rPr>
          <w:rFonts w:ascii="宋体" w:hAnsi="宋体" w:eastAsia="宋体"/>
        </w:rPr>
      </w:pPr>
      <w:r>
        <w:rPr>
          <w:rFonts w:ascii="宋体" w:hAnsi="宋体" w:eastAsia="宋体"/>
        </w:rPr>
      </w:r>
      <w:r/>
    </w:p>
    <w:p>
      <w:pPr>
        <w:pStyle w:val="878"/>
        <w:ind w:firstLine="0"/>
        <w:jc w:val="center"/>
        <w:spacing w:line="360" w:lineRule="auto"/>
        <w:rPr>
          <w:rFonts w:ascii="宋体" w:hAnsi="宋体" w:eastAsia="宋体"/>
        </w:rPr>
      </w:pPr>
      <w:r>
        <w:rPr>
          <w:rFonts w:ascii="宋体" w:hAnsi="宋体" w:eastAsia="宋体"/>
        </w:rPr>
      </w:r>
      <w:r/>
    </w:p>
    <w:p>
      <w:pPr>
        <w:pStyle w:val="1055"/>
        <w:jc w:val="center"/>
        <w:rPr>
          <w:b/>
        </w:rPr>
      </w:pPr>
      <w:r>
        <w:rPr>
          <w:rFonts w:hint="eastAsia"/>
        </w:rPr>
        <w:t xml:space="preserve">授权委托书</w:t>
      </w:r>
      <w:r/>
    </w:p>
    <w:p>
      <w:pPr>
        <w:pStyle w:val="878"/>
        <w:ind w:firstLine="0"/>
        <w:jc w:val="center"/>
        <w:spacing w:line="360" w:lineRule="auto"/>
        <w:rPr>
          <w:rFonts w:ascii="宋体" w:hAnsi="宋体" w:eastAsia="宋体"/>
        </w:rPr>
      </w:pPr>
      <w:r>
        <w:rPr>
          <w:rFonts w:ascii="宋体" w:hAnsi="宋体" w:eastAsia="宋体"/>
        </w:rPr>
      </w:r>
      <w:r/>
    </w:p>
    <w:p>
      <w:pPr>
        <w:pStyle w:val="878"/>
        <w:ind w:firstLine="0"/>
        <w:jc w:val="center"/>
        <w:spacing w:line="360" w:lineRule="auto"/>
        <w:rPr>
          <w:rFonts w:ascii="宋体" w:hAnsi="宋体" w:eastAsia="宋体"/>
        </w:rPr>
      </w:pPr>
      <w:r>
        <w:rPr>
          <w:rFonts w:ascii="宋体" w:hAnsi="宋体" w:eastAsia="宋体"/>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授权委托书声明：我（姓名）系（投标单位名称）的法定代表人，现授权委托（单位名称）的（姓名）为我公司代理人，以本公司的名义参加苏州鸿鑫工程咨询有限公司组织实施的编号为号的招标活动。代理人在开标、评标、合同投标过程中所签署的一切文件和处理与这有关的一切事务，我均予以承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78"/>
        <w:ind w:firstLine="480"/>
        <w:jc w:val="both"/>
        <w:spacing w:line="360" w:lineRule="auto"/>
        <w:rPr>
          <w:rFonts w:ascii="宋体" w:hAnsi="宋体" w:eastAsia="宋体"/>
        </w:rPr>
      </w:pPr>
      <w:r>
        <w:rPr>
          <w:rFonts w:ascii="宋体" w:hAnsi="宋体" w:eastAsia="宋体"/>
        </w:rPr>
      </w:r>
      <w:r/>
    </w:p>
    <w:p>
      <w:pPr>
        <w:pStyle w:val="878"/>
        <w:ind w:firstLine="480"/>
        <w:jc w:val="both"/>
        <w:spacing w:line="360" w:lineRule="auto"/>
        <w:rPr>
          <w:rFonts w:ascii="宋体" w:hAnsi="宋体" w:eastAsia="宋体"/>
        </w:rPr>
      </w:pPr>
      <w:r>
        <w:rPr>
          <w:rFonts w:ascii="宋体" w:hAnsi="宋体" w:eastAsia="宋体"/>
        </w:rPr>
      </w:r>
      <w:r/>
    </w:p>
    <w:p>
      <w:pPr>
        <w:pStyle w:val="878"/>
        <w:ind w:firstLine="480"/>
        <w:jc w:val="both"/>
        <w:spacing w:line="360" w:lineRule="auto"/>
        <w:rPr>
          <w:rFonts w:ascii="宋体" w:hAnsi="宋体" w:eastAsia="宋体"/>
        </w:rPr>
      </w:pPr>
      <w:r>
        <w:rPr>
          <w:rFonts w:hint="eastAsia" w:ascii="宋体" w:hAnsi="宋体" w:eastAsia="宋体"/>
        </w:rPr>
        <w:t xml:space="preserve">投标单位：（盖章）</w:t>
      </w:r>
      <w:r/>
    </w:p>
    <w:p>
      <w:pPr>
        <w:pStyle w:val="878"/>
        <w:ind w:firstLine="480"/>
        <w:jc w:val="both"/>
        <w:spacing w:line="360" w:lineRule="auto"/>
        <w:rPr>
          <w:rFonts w:ascii="宋体" w:hAnsi="宋体" w:eastAsia="宋体"/>
        </w:rPr>
      </w:pPr>
      <w:r>
        <w:rPr>
          <w:rFonts w:hint="eastAsia" w:ascii="宋体" w:hAnsi="宋体" w:eastAsia="宋体"/>
        </w:rPr>
        <w:t xml:space="preserve">法定代表人：（签字或盖章）</w:t>
      </w:r>
      <w:r/>
    </w:p>
    <w:p>
      <w:pPr>
        <w:pStyle w:val="878"/>
        <w:ind w:firstLine="480"/>
        <w:jc w:val="both"/>
        <w:spacing w:line="360" w:lineRule="auto"/>
        <w:rPr>
          <w:rFonts w:ascii="宋体" w:hAnsi="宋体" w:eastAsia="宋体"/>
        </w:rPr>
      </w:pPr>
      <w:r>
        <w:rPr>
          <w:rFonts w:hint="eastAsia" w:ascii="宋体" w:hAnsi="宋体" w:eastAsia="宋体"/>
        </w:rPr>
        <w:t xml:space="preserve">代理人：（签字或盖章）</w:t>
      </w:r>
      <w:r/>
    </w:p>
    <w:p>
      <w:pPr>
        <w:pStyle w:val="1057"/>
        <w:ind w:firstLine="480"/>
        <w:spacing w:line="360" w:lineRule="auto"/>
        <w:rPr>
          <w:rFonts w:hAnsi="宋体" w:eastAsia="宋体"/>
          <w:sz w:val="24"/>
        </w:rPr>
      </w:pPr>
      <w:r>
        <w:rPr>
          <w:rFonts w:hint="eastAsia" w:hAnsi="宋体" w:eastAsia="宋体"/>
          <w:sz w:val="24"/>
        </w:rPr>
        <w:t xml:space="preserve">日期：        年   月   日</w:t>
      </w:r>
      <w:r/>
    </w:p>
    <w:p>
      <w:pPr>
        <w:pStyle w:val="878"/>
        <w:jc w:val="right"/>
        <w:rPr>
          <w:rFonts w:ascii="宋体" w:hAnsi="宋体" w:eastAsia="宋体"/>
        </w:rPr>
      </w:pPr>
      <w:r>
        <w:rPr>
          <w:rFonts w:ascii="宋体" w:hAnsi="宋体" w:eastAsia="宋体"/>
        </w:rPr>
      </w:r>
      <w:r/>
    </w:p>
    <w:p>
      <w:pPr>
        <w:pStyle w:val="878"/>
        <w:jc w:val="right"/>
        <w:rPr>
          <w:rFonts w:ascii="宋体" w:hAnsi="宋体" w:eastAsia="宋体"/>
        </w:rPr>
      </w:pPr>
      <w:r>
        <w:rPr>
          <w:rFonts w:ascii="宋体" w:hAnsi="宋体" w:eastAsia="宋体"/>
        </w:rPr>
      </w:r>
      <w:r/>
    </w:p>
    <w:p>
      <w:pPr>
        <w:pStyle w:val="878"/>
        <w:jc w:val="right"/>
        <w:rPr>
          <w:rFonts w:ascii="宋体" w:hAnsi="宋体" w:eastAsia="宋体"/>
        </w:rPr>
      </w:pPr>
      <w:r>
        <w:rPr>
          <w:rFonts w:ascii="宋体" w:hAnsi="宋体" w:eastAsia="宋体"/>
        </w:rPr>
      </w:r>
      <w:r/>
    </w:p>
    <w:p>
      <w:pPr>
        <w:pStyle w:val="878"/>
        <w:jc w:val="center"/>
        <w:rPr>
          <w:rFonts w:ascii="宋体" w:hAnsi="宋体" w:eastAsia="宋体"/>
        </w:rPr>
      </w:pPr>
      <w:r>
        <w:rPr>
          <w:rFonts w:ascii="宋体" w:hAnsi="宋体" w:eastAsia="宋体"/>
        </w:rPr>
      </w:r>
      <w:r/>
    </w:p>
    <w:p>
      <w:pPr>
        <w:pStyle w:val="878"/>
        <w:jc w:val="center"/>
        <w:rPr>
          <w:rFonts w:ascii="宋体" w:hAnsi="宋体" w:eastAsia="宋体"/>
          <w:b/>
        </w:rPr>
      </w:pPr>
      <w:r>
        <w:rPr>
          <w:rFonts w:hAnsi="宋体" w:eastAsia="宋体"/>
          <w:b/>
        </w:rPr>
        <w:br w:type="page" w:clear="all"/>
      </w:r>
      <w:r/>
    </w:p>
    <w:p>
      <w:pPr>
        <w:pStyle w:val="878"/>
        <w:ind w:firstLine="0"/>
        <w:jc w:val="both"/>
        <w:spacing w:line="360" w:lineRule="auto"/>
        <w:rPr>
          <w:rFonts w:ascii="宋体" w:hAnsi="宋体" w:eastAsia="宋体"/>
          <w:b/>
        </w:rPr>
        <w:outlineLvl w:val="1"/>
      </w:pPr>
      <w:r>
        <w:rPr>
          <w:rFonts w:hint="eastAsia" w:ascii="宋体" w:hAnsi="宋体" w:eastAsia="宋体"/>
          <w:b/>
        </w:rPr>
        <w:t xml:space="preserve">2.投标函</w:t>
      </w:r>
      <w:r/>
    </w:p>
    <w:p>
      <w:pPr>
        <w:pStyle w:val="966"/>
        <w:jc w:val="center"/>
        <w:spacing w:line="320" w:lineRule="exact"/>
        <w:rPr>
          <w:rFonts w:hAnsi="宋体" w:eastAsia="宋体"/>
          <w:sz w:val="24"/>
          <w:szCs w:val="24"/>
        </w:rPr>
      </w:pPr>
      <w:r>
        <w:rPr>
          <w:rFonts w:hint="eastAsia" w:hAnsi="宋体" w:eastAsia="宋体"/>
          <w:sz w:val="24"/>
          <w:szCs w:val="24"/>
        </w:rPr>
        <w:t xml:space="preserve">投标函</w:t>
      </w:r>
      <w:r/>
    </w:p>
    <w:p>
      <w:pPr>
        <w:pStyle w:val="966"/>
        <w:jc w:val="center"/>
        <w:spacing w:line="320" w:lineRule="exact"/>
        <w:rPr>
          <w:rFonts w:hAnsi="宋体" w:eastAsia="宋体"/>
          <w:sz w:val="24"/>
          <w:szCs w:val="24"/>
        </w:rPr>
      </w:pPr>
      <w:r>
        <w:rPr>
          <w:rFonts w:hAnsi="宋体" w:eastAsia="宋体"/>
          <w:sz w:val="24"/>
          <w:szCs w:val="24"/>
        </w:rPr>
      </w:r>
      <w:r/>
    </w:p>
    <w:p>
      <w:pPr>
        <w:pStyle w:val="966"/>
        <w:spacing w:line="320" w:lineRule="exact"/>
        <w:rPr>
          <w:rFonts w:hAnsi="宋体" w:eastAsia="宋体"/>
          <w:sz w:val="24"/>
        </w:rPr>
      </w:pPr>
      <w:r>
        <w:rPr>
          <w:rFonts w:hint="eastAsia" w:hAnsi="宋体" w:eastAsia="宋体"/>
          <w:sz w:val="24"/>
          <w:u w:val="single"/>
        </w:rPr>
        <w:t xml:space="preserve">苏州鸿鑫工程咨询有限公司</w:t>
      </w:r>
      <w:r>
        <w:rPr>
          <w:rFonts w:hint="eastAsia" w:hAnsi="宋体" w:eastAsia="宋体"/>
          <w:sz w:val="24"/>
        </w:rPr>
        <w:t xml:space="preserve">：</w:t>
      </w:r>
      <w:r/>
    </w:p>
    <w:p>
      <w:pPr>
        <w:pStyle w:val="966"/>
        <w:ind w:firstLine="480"/>
        <w:spacing w:line="320" w:lineRule="exact"/>
        <w:rPr>
          <w:rFonts w:hAnsi="宋体" w:eastAsia="宋体"/>
          <w:sz w:val="24"/>
        </w:rPr>
      </w:pPr>
      <w:r>
        <w:rPr>
          <w:rFonts w:hint="eastAsia" w:hAnsi="宋体" w:eastAsia="宋体"/>
          <w:sz w:val="24"/>
        </w:rPr>
        <w:t xml:space="preserve">我们收到贵公司</w:t>
      </w:r>
      <w:r>
        <w:rPr>
          <w:rFonts w:hint="eastAsia" w:hAnsi="宋体" w:eastAsia="宋体"/>
          <w:sz w:val="24"/>
          <w:u w:val="single"/>
        </w:rPr>
        <w:t xml:space="preserve">JSZC-320500-SZHX-G2026-0035</w:t>
      </w:r>
      <w:r>
        <w:rPr>
          <w:rFonts w:hint="eastAsia" w:hAnsi="宋体" w:eastAsia="宋体"/>
          <w:sz w:val="24"/>
        </w:rPr>
        <w:t xml:space="preserve">号招标文件，经仔细阅读和研究，我们决定参加投标。</w:t>
      </w:r>
      <w:r/>
    </w:p>
    <w:p>
      <w:pPr>
        <w:pStyle w:val="966"/>
        <w:ind w:firstLine="480"/>
        <w:spacing w:line="320" w:lineRule="exact"/>
        <w:rPr>
          <w:rFonts w:hAnsi="宋体" w:eastAsia="宋体"/>
          <w:sz w:val="24"/>
        </w:rPr>
      </w:pPr>
      <w:r>
        <w:rPr>
          <w:rFonts w:hAnsi="宋体" w:eastAsia="宋体"/>
          <w:sz w:val="24"/>
        </w:rPr>
        <w:t xml:space="preserve">1</w:t>
      </w:r>
      <w:r>
        <w:rPr>
          <w:rFonts w:hint="eastAsia" w:hAnsi="宋体" w:eastAsia="宋体"/>
          <w:sz w:val="24"/>
        </w:rPr>
        <w:t xml:space="preserve">、我</w:t>
      </w:r>
      <w:r>
        <w:rPr>
          <w:rFonts w:hint="eastAsia" w:hAnsi="宋体" w:eastAsia="宋体"/>
          <w:sz w:val="24"/>
          <w:highlight w:val="none"/>
        </w:rPr>
        <w:t xml:space="preserve">们愿意按照招标文件的一切要求完成该项目的全部内容，我们的所投总价包括开发（包括项目开发实施过程中需甲方另行采购的第三方产品或乙方自有产品的报价）、聘请专业教师开发课程等工作费用、制作、维护、保险、利润、税金、报验、人员、交通、食宿</w:t>
      </w:r>
      <w:r>
        <w:rPr>
          <w:rFonts w:hint="eastAsia" w:hAnsi="宋体" w:eastAsia="宋体"/>
          <w:sz w:val="24"/>
        </w:rPr>
        <w:t xml:space="preserve">、加班、验收、检测合格交付使用前等一切费用</w:t>
      </w:r>
      <w:r>
        <w:rPr>
          <w:rFonts w:hint="eastAsia" w:hAnsi="宋体" w:eastAsia="宋体"/>
          <w:sz w:val="24"/>
          <w:szCs w:val="24"/>
        </w:rPr>
        <w:t xml:space="preserve">。</w:t>
      </w:r>
      <w:r/>
    </w:p>
    <w:p>
      <w:pPr>
        <w:pStyle w:val="966"/>
        <w:ind w:firstLine="480"/>
        <w:spacing w:line="320" w:lineRule="exact"/>
        <w:rPr>
          <w:rFonts w:hAnsi="宋体" w:eastAsia="宋体"/>
          <w:sz w:val="24"/>
        </w:rPr>
      </w:pPr>
      <w:r>
        <w:rPr>
          <w:rFonts w:hAnsi="宋体" w:eastAsia="宋体"/>
          <w:sz w:val="24"/>
        </w:rPr>
        <w:t xml:space="preserve">2</w:t>
      </w:r>
      <w:r>
        <w:rPr>
          <w:rFonts w:hint="eastAsia" w:hAnsi="宋体" w:eastAsia="宋体"/>
          <w:sz w:val="24"/>
        </w:rPr>
        <w:t xml:space="preserve">、如果我们的投标书被接受，我们将严格履行招标文件中规定的每一项要求，按期、按质、按量履行合同的义务。</w:t>
      </w:r>
      <w:r/>
    </w:p>
    <w:p>
      <w:pPr>
        <w:pStyle w:val="966"/>
        <w:ind w:firstLine="480"/>
        <w:spacing w:line="320" w:lineRule="exact"/>
        <w:rPr>
          <w:rFonts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(如果有)。我们完全理解并同意放弃对这方面有不明及误解的权力。</w:t>
      </w:r>
      <w:r/>
    </w:p>
    <w:p>
      <w:pPr>
        <w:pStyle w:val="966"/>
        <w:ind w:firstLine="480"/>
        <w:spacing w:line="320" w:lineRule="exact"/>
        <w:rPr>
          <w:rFonts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966"/>
        <w:ind w:firstLine="480"/>
        <w:spacing w:line="320" w:lineRule="exact"/>
        <w:rPr>
          <w:rFonts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966"/>
        <w:ind w:firstLine="480"/>
        <w:spacing w:line="320" w:lineRule="exact"/>
        <w:rPr>
          <w:rFonts w:hAnsi="宋体" w:eastAsia="宋体"/>
          <w:sz w:val="24"/>
        </w:rPr>
      </w:pPr>
      <w:r>
        <w:rPr>
          <w:rFonts w:hint="eastAsia" w:hAnsi="宋体" w:eastAsia="宋体"/>
          <w:sz w:val="24"/>
        </w:rPr>
        <w:t xml:space="preserve">7、我们愿意遵守招标公告及招标文件中所列的收费标准。</w:t>
      </w:r>
      <w:r/>
    </w:p>
    <w:p>
      <w:pPr>
        <w:pStyle w:val="966"/>
        <w:ind w:firstLine="480"/>
        <w:spacing w:line="320" w:lineRule="exact"/>
        <w:rPr>
          <w:rFonts w:hAnsi="宋体" w:eastAsia="宋体"/>
          <w:sz w:val="24"/>
        </w:rPr>
      </w:pPr>
      <w:r>
        <w:rPr>
          <w:rFonts w:hint="eastAsia" w:hAnsi="宋体" w:eastAsia="宋体"/>
          <w:sz w:val="24"/>
        </w:rPr>
        <w:t xml:space="preserve">8、我们承诺该项投标在开标后的全过程中保持有效，不作任何更改和变动。</w:t>
      </w:r>
      <w:r/>
    </w:p>
    <w:p>
      <w:pPr>
        <w:pStyle w:val="966"/>
        <w:ind w:firstLine="480"/>
        <w:spacing w:line="320" w:lineRule="exact"/>
        <w:rPr>
          <w:rFonts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966"/>
        <w:ind w:firstLine="480"/>
        <w:spacing w:line="320" w:lineRule="exact"/>
        <w:rPr>
          <w:rFonts w:hAnsi="宋体" w:eastAsia="宋体"/>
          <w:sz w:val="24"/>
        </w:rPr>
      </w:pPr>
      <w:r>
        <w:rPr>
          <w:rFonts w:hAnsi="宋体" w:eastAsia="宋体"/>
          <w:sz w:val="24"/>
        </w:rPr>
        <w:t xml:space="preserve">1</w:t>
      </w:r>
      <w:r>
        <w:rPr>
          <w:rFonts w:hint="eastAsia" w:hAnsi="宋体" w:eastAsia="宋体"/>
          <w:sz w:val="24"/>
          <w:lang w:val="en-US" w:eastAsia="zh-CN"/>
        </w:rPr>
        <w:t xml:space="preserve">0</w:t>
      </w:r>
      <w:r>
        <w:rPr>
          <w:rFonts w:hint="eastAsia" w:hAnsi="宋体" w:eastAsia="宋体"/>
          <w:sz w:val="24"/>
        </w:rPr>
        <w:t xml:space="preserve">、我们承诺我公司符合招标文件投标人须知中“合格投标人的资格条件”的要求，若与真实情况不符，本公司愿意承担由此而产生的一切后果。</w:t>
      </w:r>
      <w:r/>
    </w:p>
    <w:p>
      <w:pPr>
        <w:pStyle w:val="966"/>
        <w:ind w:firstLine="480"/>
        <w:spacing w:line="320" w:lineRule="exact"/>
        <w:rPr>
          <w:rFonts w:hAnsi="宋体" w:eastAsia="宋体"/>
          <w:sz w:val="24"/>
        </w:rPr>
      </w:pPr>
      <w:r>
        <w:rPr>
          <w:rFonts w:hint="eastAsia" w:hAnsi="宋体" w:eastAsia="宋体"/>
          <w:sz w:val="24"/>
        </w:rPr>
        <w:t xml:space="preserve">1</w:t>
      </w:r>
      <w:r>
        <w:rPr>
          <w:rFonts w:hint="eastAsia" w:hAnsi="宋体" w:eastAsia="宋体"/>
          <w:sz w:val="24"/>
          <w:lang w:val="en-US" w:eastAsia="zh-CN"/>
        </w:rPr>
        <w:t xml:space="preserve">1</w:t>
      </w:r>
      <w:r>
        <w:rPr>
          <w:rFonts w:hint="eastAsia" w:hAnsi="宋体" w:eastAsia="宋体"/>
          <w:sz w:val="24"/>
        </w:rPr>
        <w:t xml:space="preserve">、综合说明：</w:t>
      </w:r>
      <w:r/>
    </w:p>
    <w:p>
      <w:pPr>
        <w:pStyle w:val="966"/>
        <w:ind w:firstLine="480"/>
        <w:spacing w:line="320" w:lineRule="exact"/>
        <w:rPr>
          <w:rFonts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966"/>
        <w:ind w:firstLine="480"/>
        <w:spacing w:line="320" w:lineRule="exact"/>
        <w:rPr>
          <w:rFonts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966"/>
        <w:ind w:firstLine="480"/>
        <w:spacing w:line="320" w:lineRule="exact"/>
        <w:rPr>
          <w:rFonts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966"/>
        <w:ind w:firstLine="480"/>
        <w:spacing w:line="320" w:lineRule="exact"/>
        <w:rPr>
          <w:rFonts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966"/>
        <w:ind w:firstLine="480"/>
        <w:spacing w:line="320" w:lineRule="exact"/>
        <w:rPr>
          <w:rFonts w:hAnsi="宋体" w:eastAsia="宋体"/>
          <w:sz w:val="24"/>
        </w:rPr>
      </w:pPr>
      <w:r>
        <w:rPr>
          <w:rFonts w:hint="eastAsia" w:hAnsi="宋体" w:eastAsia="宋体"/>
          <w:sz w:val="24"/>
        </w:rPr>
        <w:t xml:space="preserve">所有有关标书的函电，请按下列地址联系：</w:t>
      </w:r>
      <w:r/>
    </w:p>
    <w:p>
      <w:pPr>
        <w:pStyle w:val="966"/>
        <w:ind w:firstLine="480"/>
        <w:spacing w:line="320" w:lineRule="exact"/>
        <w:rPr>
          <w:rFonts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966"/>
        <w:ind w:firstLine="480"/>
        <w:spacing w:line="320" w:lineRule="exact"/>
        <w:rPr>
          <w:rFonts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966"/>
        <w:ind w:firstLine="480"/>
        <w:spacing w:line="320" w:lineRule="exact"/>
        <w:rPr>
          <w:rFonts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966"/>
        <w:ind w:firstLine="480"/>
        <w:spacing w:line="320" w:lineRule="exact"/>
        <w:rPr>
          <w:rFonts w:hAnsi="宋体" w:eastAsia="宋体"/>
          <w:sz w:val="24"/>
        </w:rPr>
      </w:pPr>
      <w:r>
        <w:rPr>
          <w:rFonts w:hAnsi="宋体" w:eastAsia="宋体"/>
          <w:sz w:val="24"/>
        </w:rPr>
      </w:r>
      <w:r/>
    </w:p>
    <w:p>
      <w:pPr>
        <w:pStyle w:val="964"/>
        <w:rPr>
          <w:rFonts w:hAnsi="宋体" w:eastAsia="宋体"/>
          <w:sz w:val="24"/>
        </w:rPr>
      </w:pPr>
      <w:r>
        <w:rPr>
          <w:rFonts w:hint="eastAsia" w:hAnsi="宋体" w:eastAsia="宋体"/>
          <w:sz w:val="24"/>
        </w:rPr>
        <w:t xml:space="preserve">投标单位：（单位盖章）</w:t>
      </w:r>
      <w:r/>
    </w:p>
    <w:p>
      <w:pPr>
        <w:pStyle w:val="964"/>
        <w:rPr>
          <w:rFonts w:hAnsi="宋体" w:eastAsia="宋体"/>
          <w:sz w:val="24"/>
        </w:rPr>
      </w:pPr>
      <w:r>
        <w:rPr>
          <w:rFonts w:hint="eastAsia" w:hAnsi="宋体" w:eastAsia="宋体"/>
          <w:sz w:val="24"/>
        </w:rPr>
        <w:t xml:space="preserve">法定代表人或代理人：（签字或盖章）</w:t>
      </w:r>
      <w:r/>
    </w:p>
    <w:p>
      <w:pPr>
        <w:pStyle w:val="964"/>
        <w:rPr>
          <w:rFonts w:hAnsi="宋体" w:eastAsia="宋体"/>
          <w:sz w:val="24"/>
        </w:rPr>
      </w:pPr>
      <w:r>
        <w:rPr>
          <w:rFonts w:hint="eastAsia" w:hAnsi="宋体" w:eastAsia="宋体"/>
          <w:sz w:val="24"/>
        </w:rPr>
        <w:t xml:space="preserve">日期：        年   月   日</w:t>
      </w:r>
      <w:r/>
    </w:p>
    <w:p>
      <w:pPr>
        <w:pStyle w:val="966"/>
        <w:spacing w:line="360" w:lineRule="auto"/>
        <w:rPr>
          <w:rFonts w:hAnsi="宋体" w:eastAsia="宋体"/>
          <w:b/>
          <w:sz w:val="24"/>
          <w:szCs w:val="24"/>
        </w:rPr>
        <w:outlineLvl w:val="1"/>
      </w:pPr>
      <w:r>
        <w:br w:type="page" w:clear="all"/>
      </w:r>
      <w:r>
        <w:rPr>
          <w:rFonts w:hint="eastAsia" w:hAnsi="宋体" w:eastAsia="宋体"/>
          <w:b/>
          <w:sz w:val="24"/>
          <w:szCs w:val="24"/>
        </w:rPr>
        <w:t xml:space="preserve">3</w:t>
      </w:r>
      <w:r>
        <w:rPr>
          <w:rFonts w:hint="eastAsia" w:hAnsi="宋体" w:eastAsia="宋体"/>
          <w:b/>
        </w:rPr>
        <w:t xml:space="preserve">.</w:t>
      </w:r>
      <w:r>
        <w:rPr>
          <w:rFonts w:hint="eastAsia" w:hAnsi="宋体" w:eastAsia="宋体"/>
          <w:b/>
          <w:sz w:val="24"/>
          <w:szCs w:val="24"/>
        </w:rPr>
        <w:t xml:space="preserve">开标一览表</w:t>
      </w:r>
      <w:r/>
    </w:p>
    <w:p>
      <w:pPr>
        <w:pStyle w:val="964"/>
        <w:jc w:val="center"/>
        <w:spacing w:line="360" w:lineRule="auto"/>
        <w:rPr>
          <w:rFonts w:hAnsi="宋体" w:eastAsia="宋体"/>
          <w:sz w:val="24"/>
          <w:szCs w:val="24"/>
        </w:rPr>
      </w:pPr>
      <w:r>
        <w:rPr>
          <w:rFonts w:hAnsi="宋体" w:eastAsia="宋体"/>
          <w:sz w:val="24"/>
          <w:szCs w:val="24"/>
        </w:rPr>
      </w:r>
      <w:r/>
    </w:p>
    <w:p>
      <w:pPr>
        <w:pStyle w:val="964"/>
        <w:jc w:val="center"/>
        <w:spacing w:line="360" w:lineRule="auto"/>
        <w:rPr>
          <w:rFonts w:hAnsi="宋体" w:eastAsia="宋体"/>
          <w:sz w:val="24"/>
          <w:szCs w:val="24"/>
        </w:rPr>
      </w:pPr>
      <w:r>
        <w:rPr>
          <w:rFonts w:hint="eastAsia" w:hAnsi="宋体" w:eastAsia="宋体"/>
          <w:sz w:val="24"/>
          <w:szCs w:val="24"/>
        </w:rPr>
        <w:t xml:space="preserve">开标一览表（格式）</w:t>
      </w:r>
      <w:r/>
    </w:p>
    <w:p>
      <w:pPr>
        <w:pStyle w:val="964"/>
        <w:spacing w:line="360" w:lineRule="auto"/>
        <w:rPr>
          <w:rFonts w:hAnsi="宋体" w:eastAsia="宋体"/>
          <w:sz w:val="24"/>
          <w:szCs w:val="24"/>
        </w:rPr>
      </w:pPr>
      <w:r>
        <w:rPr>
          <w:rFonts w:hint="eastAsia" w:hAnsi="宋体" w:eastAsia="宋体"/>
          <w:sz w:val="24"/>
          <w:szCs w:val="24"/>
        </w:rPr>
        <w:t xml:space="preserve">投标人全称（加盖公章）：</w:t>
      </w:r>
      <w:r/>
    </w:p>
    <w:p>
      <w:pPr>
        <w:pStyle w:val="964"/>
        <w:spacing w:line="360" w:lineRule="auto"/>
        <w:rPr>
          <w:rFonts w:hAnsi="宋体" w:eastAsia="宋体"/>
          <w:sz w:val="24"/>
          <w:szCs w:val="24"/>
        </w:rPr>
      </w:pPr>
      <w:r>
        <w:rPr>
          <w:rFonts w:hint="eastAsia" w:hAnsi="宋体" w:eastAsia="宋体"/>
          <w:sz w:val="24"/>
          <w:szCs w:val="24"/>
        </w:rPr>
        <w:t xml:space="preserve">项目编号：</w:t>
      </w:r>
      <w:r/>
    </w:p>
    <w:p>
      <w:pPr>
        <w:pStyle w:val="964"/>
        <w:spacing w:line="360" w:lineRule="auto"/>
        <w:rPr>
          <w:rFonts w:hAnsi="宋体" w:eastAsia="宋体"/>
          <w:sz w:val="24"/>
          <w:szCs w:val="24"/>
        </w:rPr>
      </w:pPr>
      <w:r>
        <w:rPr>
          <w:rFonts w:hint="eastAsia" w:hAnsi="宋体" w:eastAsia="宋体"/>
          <w:sz w:val="24"/>
          <w:szCs w:val="24"/>
        </w:rPr>
        <w:t xml:space="preserve">分包号：</w:t>
      </w:r>
      <w:r/>
    </w:p>
    <w:tbl>
      <w:tblPr>
        <w:tblStyle w:val="871"/>
        <w:tblW w:w="9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5"/>
        <w:gridCol w:w="2040"/>
        <w:gridCol w:w="2112"/>
        <w:gridCol w:w="2977"/>
      </w:tblGrid>
      <w:tr>
        <w:trPr>
          <w:jc w:val="center"/>
        </w:trPr>
        <w:tc>
          <w:tcPr>
            <w:tcW w:w="232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项目名称</w:t>
            </w:r>
            <w:r/>
          </w:p>
        </w:tc>
        <w:tc>
          <w:tcPr>
            <w:tcW w:w="20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报价项目</w:t>
            </w:r>
            <w:r/>
          </w:p>
        </w:tc>
        <w:tc>
          <w:tcPr>
            <w:tcW w:w="211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单价最高限价</w:t>
            </w:r>
            <w:r/>
          </w:p>
        </w:tc>
        <w:tc>
          <w:tcPr>
            <w:tcW w:w="2977"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报价</w:t>
            </w:r>
            <w:r>
              <w:rPr>
                <w:rFonts w:hint="eastAsia" w:ascii="宋体" w:hAnsi="宋体" w:eastAsia="宋体" w:cs="宋体"/>
                <w:bCs/>
                <w:sz w:val="24"/>
                <w:szCs w:val="24"/>
                <w:lang w:val="en-US" w:eastAsia="zh-CN"/>
              </w:rPr>
              <w:t xml:space="preserve">优惠</w:t>
            </w:r>
            <w:r>
              <w:rPr>
                <w:rFonts w:hint="eastAsia" w:ascii="宋体" w:hAnsi="宋体" w:eastAsia="宋体" w:cs="宋体"/>
                <w:bCs/>
                <w:sz w:val="24"/>
                <w:szCs w:val="24"/>
              </w:rPr>
              <w:t xml:space="preserve">率</w:t>
            </w:r>
            <w:r/>
          </w:p>
        </w:tc>
      </w:tr>
      <w:tr>
        <w:trPr>
          <w:jc w:val="center"/>
        </w:trPr>
        <w:tc>
          <w:tcPr>
            <w:tcW w:w="2325"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在线课程资源制作服务</w:t>
            </w:r>
            <w:r/>
          </w:p>
        </w:tc>
        <w:tc>
          <w:tcPr>
            <w:tcW w:w="20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教学视频</w:t>
            </w:r>
            <w:r/>
          </w:p>
        </w:tc>
        <w:tc>
          <w:tcPr>
            <w:tcW w:w="211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170元/分钟</w:t>
            </w:r>
            <w:r/>
          </w:p>
        </w:tc>
        <w:tc>
          <w:tcPr>
            <w:tcW w:w="2977"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w:t>
            </w:r>
            <w:r/>
          </w:p>
        </w:tc>
      </w:tr>
      <w:tr>
        <w:trPr>
          <w:jc w:val="center"/>
        </w:trPr>
        <w:tc>
          <w:tcPr>
            <w:tcW w:w="232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tcW w:w="20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二维动画</w:t>
            </w:r>
            <w:r/>
          </w:p>
        </w:tc>
        <w:tc>
          <w:tcPr>
            <w:tcW w:w="211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50元/秒</w:t>
            </w:r>
            <w:r/>
          </w:p>
        </w:tc>
        <w:tc>
          <w:tcPr>
            <w:tcW w:w="2977"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r>
      <w:tr>
        <w:trPr>
          <w:jc w:val="center"/>
        </w:trPr>
        <w:tc>
          <w:tcPr>
            <w:tcW w:w="232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tcW w:w="20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三维动画</w:t>
            </w:r>
            <w:r/>
          </w:p>
        </w:tc>
        <w:tc>
          <w:tcPr>
            <w:tcW w:w="211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90元/秒</w:t>
            </w:r>
            <w:r/>
          </w:p>
        </w:tc>
        <w:tc>
          <w:tcPr>
            <w:tcW w:w="2977"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r>
      <w:tr>
        <w:trPr>
          <w:jc w:val="center"/>
        </w:trPr>
        <w:tc>
          <w:tcPr>
            <w:tcW w:w="2325" w:type="dxa"/>
            <w:vAlign w:val="center"/>
            <w:vMerge w:val="continue"/>
            <w:textDirection w:val="lrTb"/>
            <w:noWrap w:val="false"/>
          </w:tcPr>
          <w:p>
            <w:pPr>
              <w:jc w:val="center"/>
              <w:spacing w:line="360" w:lineRule="auto"/>
              <w:widowControl/>
              <w:rPr>
                <w:rFonts w:ascii="宋体" w:hAnsi="宋体" w:eastAsia="宋体" w:cs="宋体"/>
                <w:bCs/>
                <w:sz w:val="24"/>
                <w:szCs w:val="24"/>
                <w:highlight w:val="yellow"/>
              </w:rPr>
            </w:pPr>
            <w:r>
              <w:rPr>
                <w:rFonts w:ascii="宋体" w:hAnsi="宋体" w:eastAsia="宋体" w:cs="宋体"/>
                <w:bCs/>
                <w:sz w:val="24"/>
                <w:szCs w:val="24"/>
                <w:highlight w:val="yellow"/>
              </w:rPr>
            </w:r>
            <w:r/>
          </w:p>
        </w:tc>
        <w:tc>
          <w:tcPr>
            <w:tcW w:w="2040" w:type="dxa"/>
            <w:vAlign w:val="center"/>
            <w:textDirection w:val="lrTb"/>
            <w:noWrap w:val="false"/>
          </w:tcPr>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虚拟仿真资源</w:t>
            </w:r>
            <w:r/>
          </w:p>
        </w:tc>
        <w:tc>
          <w:tcPr>
            <w:tcW w:w="2112" w:type="dxa"/>
            <w:vAlign w:val="center"/>
            <w:textDirection w:val="lrTb"/>
            <w:noWrap w:val="false"/>
          </w:tcPr>
          <w:p>
            <w:pPr>
              <w:jc w:val="center"/>
              <w:spacing w:line="360" w:lineRule="auto"/>
              <w:widowControl/>
              <w:rPr>
                <w:rFonts w:ascii="宋体" w:hAnsi="宋体" w:eastAsia="宋体" w:cs="宋体"/>
                <w:bCs/>
                <w:sz w:val="24"/>
                <w:szCs w:val="24"/>
                <w:highlight w:val="none"/>
              </w:rPr>
            </w:pPr>
            <w:r>
              <w:rPr>
                <w:rFonts w:hint="eastAsia" w:ascii="宋体" w:hAnsi="宋体" w:eastAsia="宋体" w:cs="宋体"/>
                <w:bCs/>
                <w:color w:val="auto"/>
                <w:sz w:val="24"/>
                <w:szCs w:val="24"/>
                <w:highlight w:val="none"/>
              </w:rPr>
              <w:t xml:space="preserve">20000元/个</w:t>
            </w:r>
            <w:r/>
          </w:p>
        </w:tc>
        <w:tc>
          <w:tcPr>
            <w:tcW w:w="2977" w:type="dxa"/>
            <w:vAlign w:val="center"/>
            <w:vMerge w:val="continue"/>
            <w:textDirection w:val="lrTb"/>
            <w:noWrap w:val="false"/>
          </w:tcPr>
          <w:p>
            <w:pPr>
              <w:jc w:val="center"/>
              <w:spacing w:line="360" w:lineRule="auto"/>
              <w:widowControl/>
              <w:rPr>
                <w:rFonts w:ascii="宋体" w:hAnsi="宋体" w:eastAsia="宋体" w:cs="宋体"/>
                <w:bCs/>
                <w:color w:val="ff0000"/>
                <w:sz w:val="24"/>
                <w:szCs w:val="24"/>
                <w:highlight w:val="yellow"/>
              </w:rPr>
            </w:pPr>
            <w:r>
              <w:rPr>
                <w:rFonts w:ascii="宋体" w:hAnsi="宋体" w:eastAsia="宋体" w:cs="宋体"/>
                <w:bCs/>
                <w:color w:val="ff0000"/>
                <w:sz w:val="24"/>
                <w:szCs w:val="24"/>
                <w:highlight w:val="yellow"/>
              </w:rPr>
            </w:r>
            <w:r/>
          </w:p>
        </w:tc>
      </w:tr>
    </w:tbl>
    <w:p>
      <w:pPr>
        <w:pStyle w:val="964"/>
        <w:spacing w:line="360" w:lineRule="auto"/>
        <w:rPr>
          <w:rFonts w:hAnsi="宋体" w:eastAsia="宋体"/>
          <w:sz w:val="24"/>
          <w:szCs w:val="24"/>
        </w:rPr>
      </w:pPr>
      <w:r>
        <w:rPr>
          <w:rFonts w:hAnsi="宋体" w:eastAsia="宋体"/>
          <w:sz w:val="24"/>
          <w:szCs w:val="24"/>
        </w:rPr>
      </w:r>
      <w:r/>
    </w:p>
    <w:p>
      <w:pPr>
        <w:ind w:firstLine="21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w:t>
      </w:r>
      <w:r/>
    </w:p>
    <w:p>
      <w:pPr>
        <w:ind w:firstLine="21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报价统一填写</w:t>
      </w:r>
      <w:r>
        <w:rPr>
          <w:rFonts w:hint="eastAsia" w:ascii="宋体" w:hAnsi="宋体" w:eastAsia="宋体" w:cs="宋体"/>
          <w:sz w:val="24"/>
          <w:szCs w:val="24"/>
          <w:highlight w:val="none"/>
          <w:lang w:val="zh-CN" w:eastAsia="zh-CN"/>
        </w:rPr>
        <w:t xml:space="preserve">优惠</w:t>
      </w:r>
      <w:r>
        <w:rPr>
          <w:rFonts w:hint="eastAsia" w:ascii="宋体" w:hAnsi="宋体" w:eastAsia="宋体" w:cs="宋体"/>
          <w:sz w:val="24"/>
          <w:szCs w:val="24"/>
          <w:highlight w:val="none"/>
          <w:lang w:val="zh-CN"/>
        </w:rPr>
        <w:t xml:space="preserve">率，结算按各项单价最高限价*（</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报价</w:t>
      </w:r>
      <w:r>
        <w:rPr>
          <w:rFonts w:hint="eastAsia" w:ascii="宋体" w:hAnsi="宋体" w:eastAsia="宋体" w:cs="宋体"/>
          <w:sz w:val="24"/>
          <w:szCs w:val="24"/>
          <w:highlight w:val="none"/>
          <w:lang w:val="zh-CN" w:eastAsia="zh-CN"/>
        </w:rPr>
        <w:t xml:space="preserve">优惠</w:t>
      </w:r>
      <w:r>
        <w:rPr>
          <w:rFonts w:hint="eastAsia" w:ascii="宋体" w:hAnsi="宋体" w:eastAsia="宋体" w:cs="宋体"/>
          <w:sz w:val="24"/>
          <w:szCs w:val="24"/>
          <w:highlight w:val="none"/>
          <w:lang w:val="zh-CN"/>
        </w:rPr>
        <w:t xml:space="preserve">率）计算。</w:t>
      </w:r>
      <w:r/>
    </w:p>
    <w:p>
      <w:pPr>
        <w:ind w:firstLine="210"/>
        <w:spacing w:line="360" w:lineRule="auto"/>
        <w:rPr>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报价</w:t>
      </w:r>
      <w:r>
        <w:rPr>
          <w:rFonts w:hint="eastAsia" w:ascii="宋体" w:hAnsi="宋体" w:eastAsia="宋体" w:cs="宋体"/>
          <w:sz w:val="24"/>
          <w:szCs w:val="24"/>
          <w:highlight w:val="none"/>
          <w:lang w:val="zh-CN" w:eastAsia="zh-CN"/>
        </w:rPr>
        <w:t xml:space="preserve">优惠</w:t>
      </w:r>
      <w:r>
        <w:rPr>
          <w:rFonts w:hint="eastAsia" w:ascii="宋体" w:hAnsi="宋体" w:eastAsia="宋体" w:cs="宋体"/>
          <w:sz w:val="24"/>
          <w:szCs w:val="24"/>
          <w:highlight w:val="none"/>
          <w:lang w:val="zh-CN"/>
        </w:rPr>
        <w:t xml:space="preserve">率</w:t>
      </w:r>
      <w:r>
        <w:rPr>
          <w:rFonts w:hint="eastAsia" w:ascii="宋体" w:hAnsi="宋体" w:eastAsia="宋体" w:cs="宋体"/>
          <w:sz w:val="24"/>
          <w:szCs w:val="24"/>
          <w:highlight w:val="none"/>
          <w:lang w:val="en-US" w:eastAsia="zh-CN"/>
        </w:rPr>
        <w:t xml:space="preserve">为统一优惠率。</w:t>
      </w:r>
      <w:r/>
    </w:p>
    <w:p>
      <w:pPr>
        <w:ind w:firstLine="21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3）如报价</w:t>
      </w:r>
      <w:r>
        <w:rPr>
          <w:rFonts w:hint="eastAsia" w:ascii="宋体" w:hAnsi="宋体" w:eastAsia="宋体" w:cs="宋体"/>
          <w:bCs/>
          <w:sz w:val="24"/>
          <w:szCs w:val="24"/>
          <w:lang w:val="en-US" w:eastAsia="zh-CN"/>
        </w:rPr>
        <w:t xml:space="preserve">优惠</w:t>
      </w:r>
      <w:r>
        <w:rPr>
          <w:rFonts w:hint="eastAsia" w:ascii="宋体" w:hAnsi="宋体" w:eastAsia="宋体" w:cs="宋体"/>
          <w:sz w:val="24"/>
          <w:szCs w:val="24"/>
          <w:highlight w:val="none"/>
          <w:lang w:val="en-US" w:eastAsia="zh-CN"/>
        </w:rPr>
        <w:t xml:space="preserve">率为10%，则最终结算单价=</w:t>
      </w:r>
      <w:r>
        <w:rPr>
          <w:rFonts w:hint="eastAsia" w:ascii="宋体" w:hAnsi="宋体" w:eastAsia="宋体" w:cs="宋体"/>
          <w:sz w:val="24"/>
          <w:szCs w:val="24"/>
          <w:highlight w:val="none"/>
          <w:lang w:val="zh-CN"/>
        </w:rPr>
        <w:t xml:space="preserve">各项单价最高限价*</w:t>
      </w:r>
      <w:r>
        <w:rPr>
          <w:rFonts w:hint="eastAsia" w:ascii="宋体" w:hAnsi="宋体" w:eastAsia="宋体" w:cs="宋体"/>
          <w:sz w:val="24"/>
          <w:szCs w:val="24"/>
          <w:highlight w:val="none"/>
          <w:lang w:val="en-US" w:eastAsia="zh-CN"/>
        </w:rPr>
        <w:t xml:space="preserve">（100%-10%），即为9折。</w:t>
      </w:r>
      <w:r/>
    </w:p>
    <w:p>
      <w:pPr>
        <w:ind w:firstLine="21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21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210"/>
        <w:spacing w:line="360" w:lineRule="auto"/>
        <w:rPr>
          <w:rFonts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日</w:t>
      </w:r>
      <w:r/>
    </w:p>
    <w:p>
      <w:pPr>
        <w:pStyle w:val="964"/>
        <w:spacing w:line="360" w:lineRule="auto"/>
        <w:rPr>
          <w:rFonts w:hAnsi="宋体" w:eastAsia="宋体"/>
          <w:sz w:val="24"/>
          <w:szCs w:val="24"/>
        </w:rPr>
      </w:pPr>
      <w:r>
        <w:rPr>
          <w:rFonts w:hAnsi="宋体" w:eastAsia="宋体"/>
          <w:sz w:val="24"/>
          <w:szCs w:val="24"/>
        </w:rPr>
      </w:r>
      <w:r/>
    </w:p>
    <w:p>
      <w:pPr>
        <w:pStyle w:val="964"/>
        <w:jc w:val="center"/>
        <w:spacing w:line="360" w:lineRule="auto"/>
        <w:rPr>
          <w:rFonts w:hAnsi="宋体" w:eastAsia="宋体"/>
          <w:sz w:val="24"/>
          <w:szCs w:val="24"/>
        </w:rPr>
      </w:pPr>
      <w:r>
        <w:rPr>
          <w:rFonts w:hAnsi="宋体" w:eastAsia="宋体"/>
          <w:sz w:val="24"/>
          <w:szCs w:val="24"/>
        </w:rPr>
      </w:r>
      <w:r/>
    </w:p>
    <w:p>
      <w:pPr>
        <w:pStyle w:val="966"/>
        <w:rPr>
          <w:rFonts w:asciiTheme="minorEastAsia" w:hAnsiTheme="minorEastAsia" w:eastAsiaTheme="minorEastAsia"/>
          <w:b/>
          <w:sz w:val="21"/>
        </w:rPr>
      </w:pPr>
      <w:r>
        <w:rPr>
          <w:rFonts w:asciiTheme="minorEastAsia" w:hAnsiTheme="minorEastAsia" w:eastAsiaTheme="minorEastAsia"/>
          <w:szCs w:val="24"/>
        </w:rPr>
        <w:br w:type="page" w:clear="all"/>
      </w:r>
      <w:r/>
    </w:p>
    <w:p>
      <w:pPr>
        <w:pStyle w:val="878"/>
        <w:ind w:firstLine="0"/>
        <w:jc w:val="both"/>
        <w:spacing w:line="360" w:lineRule="auto"/>
        <w:rPr>
          <w:rFonts w:ascii="宋体" w:hAnsi="宋体" w:eastAsia="宋体"/>
          <w:b/>
        </w:rPr>
        <w:outlineLvl w:val="1"/>
      </w:pPr>
      <w:r>
        <w:rPr>
          <w:rFonts w:hint="eastAsia" w:ascii="宋体" w:hAnsi="宋体" w:eastAsia="宋体"/>
          <w:b/>
        </w:rPr>
        <w:t xml:space="preserve">4.</w:t>
      </w:r>
      <w:r>
        <w:rPr>
          <w:rFonts w:hint="eastAsia" w:ascii="宋体" w:hAnsi="宋体" w:eastAsia="宋体"/>
          <w:b/>
          <w:szCs w:val="24"/>
        </w:rPr>
        <w:t xml:space="preserve">服务要求偏离表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b/>
          <w:sz w:val="24"/>
          <w:szCs w:val="24"/>
        </w:rPr>
        <w:t xml:space="preserve">服务要求偏离表</w:t>
      </w:r>
      <w:r/>
    </w:p>
    <w:tbl>
      <w:tblPr>
        <w:tblStyle w:val="871"/>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ascii="宋体" w:hAnsi="宋体" w:eastAsia="宋体"/>
          <w:sz w:val="24"/>
          <w:szCs w:val="24"/>
        </w:rPr>
      </w:pPr>
      <w:r>
        <w:rPr>
          <w:rFonts w:ascii="宋体" w:hAnsi="宋体" w:eastAsia="宋体"/>
          <w:sz w:val="24"/>
          <w:szCs w:val="24"/>
        </w:rPr>
      </w:r>
      <w:r/>
    </w:p>
    <w:p>
      <w:pPr>
        <w:pStyle w:val="964"/>
        <w:rPr>
          <w:rFonts w:hAnsi="宋体" w:eastAsia="宋体"/>
          <w:sz w:val="24"/>
        </w:rPr>
      </w:pPr>
      <w:r>
        <w:rPr>
          <w:rFonts w:hint="eastAsia" w:hAnsi="宋体" w:eastAsia="宋体"/>
          <w:sz w:val="24"/>
        </w:rPr>
        <w:t xml:space="preserve">投标人：（单位盖章）</w:t>
      </w:r>
      <w:r/>
    </w:p>
    <w:p>
      <w:pPr>
        <w:pStyle w:val="964"/>
        <w:rPr>
          <w:rFonts w:hAnsi="宋体" w:eastAsia="宋体"/>
          <w:sz w:val="24"/>
        </w:rPr>
      </w:pPr>
      <w:r>
        <w:rPr>
          <w:rFonts w:hint="eastAsia" w:hAnsi="宋体" w:eastAsia="宋体"/>
          <w:sz w:val="24"/>
        </w:rPr>
        <w:t xml:space="preserve">法定代表人或代理人：（签字或盖章）</w:t>
      </w:r>
      <w:r/>
    </w:p>
    <w:p>
      <w:pPr>
        <w:pStyle w:val="964"/>
        <w:rPr>
          <w:rFonts w:hAnsi="宋体" w:eastAsia="宋体"/>
          <w:sz w:val="24"/>
        </w:rPr>
      </w:pPr>
      <w:r>
        <w:rPr>
          <w:rFonts w:hint="eastAsia" w:hAnsi="宋体" w:eastAsia="宋体"/>
          <w:sz w:val="24"/>
        </w:rPr>
        <w:t xml:space="preserve">日期：        年   月   日</w:t>
      </w:r>
      <w:r/>
    </w:p>
    <w:p>
      <w:pPr>
        <w:pStyle w:val="878"/>
        <w:ind w:firstLine="0"/>
        <w:jc w:val="both"/>
        <w:spacing w:line="360" w:lineRule="auto"/>
        <w:rPr>
          <w:rFonts w:ascii="宋体" w:hAnsi="宋体" w:eastAsia="宋体"/>
          <w:b/>
        </w:rPr>
        <w:outlineLvl w:val="1"/>
      </w:pPr>
      <w:r>
        <w:rPr>
          <w:rFonts w:ascii="宋体" w:hAnsi="宋体" w:eastAsia="宋体"/>
          <w:b/>
          <w:szCs w:val="24"/>
        </w:rPr>
        <w:br w:type="page" w:clear="all"/>
      </w:r>
      <w:r>
        <w:rPr>
          <w:rFonts w:hint="eastAsia" w:ascii="宋体" w:hAnsi="宋体" w:eastAsia="宋体"/>
          <w:b/>
          <w:szCs w:val="24"/>
        </w:rPr>
        <w:t xml:space="preserve">5</w:t>
      </w:r>
      <w:r>
        <w:rPr>
          <w:rFonts w:hint="eastAsia" w:ascii="宋体" w:hAnsi="宋体" w:eastAsia="宋体"/>
          <w:b/>
        </w:rPr>
        <w:t xml:space="preserve">.商务条款偏离表</w:t>
      </w:r>
      <w:r/>
    </w:p>
    <w:p>
      <w:pPr>
        <w:pStyle w:val="878"/>
        <w:ind w:firstLine="0"/>
        <w:jc w:val="center"/>
        <w:spacing w:line="360" w:lineRule="auto"/>
        <w:rPr>
          <w:rFonts w:ascii="宋体" w:hAnsi="宋体" w:eastAsia="宋体"/>
        </w:rPr>
      </w:pPr>
      <w:r>
        <w:rPr>
          <w:rFonts w:ascii="宋体" w:hAnsi="宋体" w:eastAsia="宋体"/>
        </w:rPr>
      </w:r>
      <w:r/>
    </w:p>
    <w:p>
      <w:pPr>
        <w:pStyle w:val="878"/>
        <w:ind w:firstLine="0"/>
        <w:jc w:val="center"/>
        <w:spacing w:line="360" w:lineRule="auto"/>
        <w:rPr>
          <w:rFonts w:ascii="宋体" w:hAnsi="宋体" w:eastAsia="宋体"/>
          <w:b/>
          <w:bCs/>
        </w:rPr>
      </w:pPr>
      <w:r>
        <w:rPr>
          <w:rFonts w:hint="eastAsia" w:ascii="宋体" w:hAnsi="宋体" w:eastAsia="宋体"/>
          <w:b/>
          <w:bCs/>
        </w:rPr>
        <w:t xml:space="preserve">商务条款偏离表</w:t>
      </w:r>
      <w:r/>
    </w:p>
    <w:tbl>
      <w:tblPr>
        <w:tblStyle w:val="871"/>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ascii="宋体" w:hAnsi="宋体" w:eastAsia="宋体"/>
          <w:sz w:val="24"/>
          <w:szCs w:val="24"/>
        </w:rPr>
      </w:pPr>
      <w:r>
        <w:rPr>
          <w:rFonts w:ascii="宋体" w:hAnsi="宋体" w:eastAsia="宋体"/>
          <w:sz w:val="24"/>
          <w:szCs w:val="24"/>
        </w:rPr>
      </w:r>
      <w:r/>
    </w:p>
    <w:p>
      <w:pPr>
        <w:pStyle w:val="964"/>
        <w:rPr>
          <w:rFonts w:hAnsi="宋体" w:eastAsia="宋体"/>
          <w:sz w:val="24"/>
        </w:rPr>
      </w:pPr>
      <w:r>
        <w:rPr>
          <w:rFonts w:hint="eastAsia" w:hAnsi="宋体" w:eastAsia="宋体"/>
          <w:sz w:val="24"/>
        </w:rPr>
        <w:t xml:space="preserve">投标人：（单位盖章）</w:t>
      </w:r>
      <w:r/>
    </w:p>
    <w:p>
      <w:pPr>
        <w:pStyle w:val="964"/>
        <w:rPr>
          <w:rFonts w:hAnsi="宋体" w:eastAsia="宋体"/>
          <w:sz w:val="24"/>
        </w:rPr>
      </w:pPr>
      <w:r>
        <w:rPr>
          <w:rFonts w:hint="eastAsia" w:hAnsi="宋体" w:eastAsia="宋体"/>
          <w:sz w:val="24"/>
        </w:rPr>
        <w:t xml:space="preserve">法定代表人或代理人：（签字或盖章）</w:t>
      </w:r>
      <w:r/>
    </w:p>
    <w:p>
      <w:pPr>
        <w:pStyle w:val="964"/>
        <w:rPr>
          <w:rFonts w:hAnsi="宋体" w:eastAsia="宋体"/>
          <w:sz w:val="24"/>
        </w:rPr>
      </w:pPr>
      <w:r>
        <w:rPr>
          <w:rFonts w:hint="eastAsia" w:hAnsi="宋体" w:eastAsia="宋体"/>
          <w:sz w:val="24"/>
        </w:rPr>
        <w:t xml:space="preserve">日期：        年   月   日</w:t>
      </w:r>
      <w:r/>
    </w:p>
    <w:p>
      <w:pPr>
        <w:spacing w:line="360" w:lineRule="auto"/>
        <w:rPr>
          <w:rFonts w:ascii="宋体" w:hAnsi="宋体" w:eastAsia="宋体"/>
          <w:b/>
        </w:rPr>
        <w:outlineLvl w:val="1"/>
      </w:pPr>
      <w:r>
        <w:rPr>
          <w:rFonts w:ascii="宋体" w:hAnsi="宋体" w:eastAsia="宋体"/>
          <w:b/>
        </w:rPr>
        <w:br w:type="page" w:clear="all"/>
      </w:r>
      <w:r/>
    </w:p>
    <w:p>
      <w:pPr>
        <w:spacing w:line="360" w:lineRule="auto"/>
        <w:rPr>
          <w:rFonts w:ascii="宋体" w:hAnsi="宋体"/>
          <w:b/>
          <w:bCs/>
          <w:sz w:val="24"/>
          <w:szCs w:val="24"/>
        </w:rPr>
        <w:outlineLvl w:val="1"/>
      </w:pPr>
      <w:r>
        <w:rPr>
          <w:rFonts w:hint="eastAsia" w:ascii="宋体" w:hAnsi="宋体" w:eastAsia="宋体"/>
          <w:b/>
          <w:sz w:val="24"/>
          <w:szCs w:val="24"/>
        </w:rPr>
        <w:t xml:space="preserve">6</w:t>
      </w:r>
      <w:r>
        <w:rPr>
          <w:rFonts w:hint="eastAsia" w:ascii="宋体" w:hAnsi="宋体" w:eastAsia="宋体"/>
          <w:b/>
        </w:rPr>
        <w:t xml:space="preserve">.</w:t>
      </w:r>
      <w:r>
        <w:rPr>
          <w:rFonts w:hint="eastAsia" w:ascii="宋体" w:hAnsi="宋体" w:eastAsia="宋体"/>
          <w:b/>
          <w:sz w:val="24"/>
          <w:szCs w:val="24"/>
        </w:rPr>
        <w:t xml:space="preserve">配备人员一览表</w:t>
      </w:r>
      <w:r/>
    </w:p>
    <w:p>
      <w:pPr>
        <w:jc w:val="center"/>
        <w:spacing w:line="360" w:lineRule="auto"/>
        <w:rPr>
          <w:rFonts w:ascii="宋体" w:hAnsi="宋体"/>
          <w:sz w:val="32"/>
          <w:szCs w:val="28"/>
        </w:rPr>
      </w:pPr>
      <w:r>
        <w:rPr>
          <w:rFonts w:ascii="宋体" w:hAnsi="宋体"/>
          <w:sz w:val="32"/>
          <w:szCs w:val="28"/>
        </w:rPr>
      </w:r>
      <w:r/>
    </w:p>
    <w:p>
      <w:pPr>
        <w:jc w:val="center"/>
        <w:spacing w:line="360" w:lineRule="auto"/>
        <w:widowControl/>
        <w:rPr>
          <w:rFonts w:ascii="宋体" w:hAnsi="宋体" w:eastAsia="宋体"/>
          <w:b/>
          <w:sz w:val="24"/>
          <w:szCs w:val="24"/>
        </w:rPr>
      </w:pPr>
      <w:r>
        <w:rPr>
          <w:rFonts w:hint="eastAsia" w:ascii="宋体" w:hAnsi="宋体" w:eastAsia="宋体"/>
          <w:b/>
          <w:sz w:val="24"/>
          <w:szCs w:val="24"/>
        </w:rPr>
        <w:t xml:space="preserve">配备人员一览表</w:t>
      </w:r>
      <w:r/>
    </w:p>
    <w:tbl>
      <w:tblPr>
        <w:tblStyle w:val="871"/>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ascii="宋体" w:hAnsi="宋体" w:eastAsia="宋体" w:cs="宋体"/>
                <w:sz w:val="21"/>
                <w:szCs w:val="21"/>
              </w:rPr>
            </w:pPr>
            <w:r>
              <w:rPr>
                <w:rFonts w:ascii="宋体" w:hAnsi="宋体" w:eastAsia="宋体" w:cs="宋体"/>
                <w:sz w:val="21"/>
                <w:szCs w:val="21"/>
              </w:rPr>
            </w:r>
            <w:r/>
          </w:p>
        </w:tc>
      </w:tr>
    </w:tbl>
    <w:p>
      <w:pPr>
        <w:ind w:firstLine="42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ascii="宋体" w:hAnsi="宋体" w:eastAsia="宋体"/>
          <w:sz w:val="24"/>
          <w:szCs w:val="24"/>
        </w:rPr>
      </w:pPr>
      <w:r>
        <w:rPr>
          <w:rFonts w:ascii="宋体" w:hAnsi="宋体" w:eastAsia="宋体"/>
          <w:sz w:val="24"/>
          <w:szCs w:val="24"/>
        </w:rPr>
      </w:r>
      <w:r/>
    </w:p>
    <w:p>
      <w:pPr>
        <w:pStyle w:val="966"/>
        <w:spacing w:line="360" w:lineRule="auto"/>
        <w:rPr>
          <w:rFonts w:hAnsi="宋体" w:eastAsia="宋体"/>
          <w:sz w:val="24"/>
          <w:szCs w:val="24"/>
        </w:rPr>
      </w:pPr>
      <w:r>
        <w:rPr>
          <w:rFonts w:hint="eastAsia" w:hAnsi="宋体" w:eastAsia="宋体"/>
          <w:sz w:val="24"/>
          <w:szCs w:val="24"/>
        </w:rPr>
        <w:t xml:space="preserve">投标人：（单位盖章）</w:t>
      </w:r>
      <w:r/>
    </w:p>
    <w:p>
      <w:pPr>
        <w:pStyle w:val="966"/>
        <w:spacing w:line="360" w:lineRule="auto"/>
        <w:rPr>
          <w:rFonts w:hAnsi="宋体" w:eastAsia="宋体"/>
          <w:sz w:val="24"/>
          <w:szCs w:val="24"/>
        </w:rPr>
      </w:pPr>
      <w:r>
        <w:rPr>
          <w:rFonts w:hint="eastAsia"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jc w:val="left"/>
        <w:widowControl/>
        <w:rPr>
          <w:rFonts w:ascii="宋体" w:hAnsi="宋体" w:eastAsia="宋体"/>
          <w:b/>
          <w:sz w:val="24"/>
        </w:rPr>
      </w:pPr>
      <w:r>
        <w:rPr>
          <w:rFonts w:ascii="宋体" w:hAnsi="宋体" w:eastAsia="宋体"/>
          <w:b/>
        </w:rPr>
        <w:br w:type="page" w:clear="all"/>
      </w:r>
      <w:r/>
    </w:p>
    <w:p>
      <w:pPr>
        <w:pStyle w:val="878"/>
        <w:ind w:firstLine="0"/>
        <w:jc w:val="both"/>
        <w:spacing w:line="360" w:lineRule="auto"/>
        <w:rPr>
          <w:rFonts w:ascii="宋体" w:hAnsi="宋体" w:eastAsia="宋体"/>
          <w:b/>
          <w:szCs w:val="24"/>
        </w:rPr>
        <w:outlineLvl w:val="1"/>
      </w:pPr>
      <w:r>
        <w:rPr>
          <w:rFonts w:hint="eastAsia" w:ascii="宋体" w:hAnsi="宋体" w:eastAsia="宋体" w:cs="宋体"/>
          <w:b/>
          <w:szCs w:val="24"/>
        </w:rPr>
        <w:t xml:space="preserve">7</w:t>
      </w:r>
      <w:r>
        <w:rPr>
          <w:rFonts w:hint="eastAsia" w:ascii="宋体" w:hAnsi="宋体" w:eastAsia="宋体"/>
          <w:b/>
        </w:rPr>
        <w:t xml:space="preserve">.</w:t>
      </w:r>
      <w:r>
        <w:rPr>
          <w:rFonts w:hint="eastAsia" w:ascii="宋体" w:hAnsi="宋体" w:eastAsia="宋体" w:cs="宋体"/>
          <w:b/>
          <w:szCs w:val="24"/>
        </w:rPr>
        <w:t xml:space="preserve">类似业绩一览表</w:t>
      </w:r>
      <w:r/>
    </w:p>
    <w:p>
      <w:pPr>
        <w:jc w:val="cente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871"/>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bl>
    <w:p>
      <w:pPr>
        <w:jc w:val="center"/>
        <w:spacing w:line="360" w:lineRule="auto"/>
        <w:rPr>
          <w:rFonts w:ascii="宋体" w:hAnsi="宋体" w:eastAsia="宋体"/>
          <w:b/>
          <w:sz w:val="21"/>
          <w:szCs w:val="21"/>
        </w:rPr>
      </w:pPr>
      <w:r>
        <w:rPr>
          <w:rFonts w:ascii="宋体" w:hAnsi="宋体" w:eastAsia="宋体"/>
          <w:b/>
          <w:sz w:val="21"/>
          <w:szCs w:val="21"/>
        </w:rPr>
      </w:r>
      <w:r/>
    </w:p>
    <w:p>
      <w:pPr>
        <w:ind w:firstLine="420"/>
        <w:spacing w:line="360" w:lineRule="auto"/>
        <w:rPr>
          <w:rFonts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注：投标人应提供双方签订合同的复印件并加盖投标人公章（公章），否则将不作为评标的依据。</w:t>
      </w:r>
      <w:r/>
    </w:p>
    <w:p>
      <w:pPr>
        <w:ind w:firstLine="420"/>
        <w:spacing w:line="360" w:lineRule="auto"/>
        <w:rPr>
          <w:rFonts w:ascii="宋体" w:hAnsi="宋体" w:eastAsia="宋体"/>
          <w:sz w:val="21"/>
          <w:szCs w:val="21"/>
        </w:rPr>
      </w:pPr>
      <w:r>
        <w:rPr>
          <w:rFonts w:ascii="宋体" w:hAnsi="宋体" w:eastAsia="宋体"/>
          <w:sz w:val="21"/>
          <w:szCs w:val="21"/>
        </w:rPr>
      </w:r>
      <w:r/>
    </w:p>
    <w:p>
      <w:pPr>
        <w:ind w:firstLine="480"/>
        <w:spacing w:line="360" w:lineRule="auto"/>
        <w:rPr>
          <w:rFonts w:ascii="宋体" w:hAnsi="宋体" w:eastAsia="宋体"/>
          <w:sz w:val="24"/>
          <w:szCs w:val="24"/>
        </w:rPr>
      </w:pPr>
      <w:r>
        <w:rPr>
          <w:rFonts w:ascii="宋体" w:hAnsi="宋体" w:eastAsia="宋体"/>
          <w:sz w:val="24"/>
          <w:szCs w:val="24"/>
        </w:rPr>
      </w:r>
      <w:r/>
    </w:p>
    <w:p>
      <w:pPr>
        <w:pStyle w:val="1055"/>
        <w:rPr>
          <w:rFonts w:ascii="宋体" w:hAnsi="宋体"/>
        </w:rPr>
      </w:pPr>
      <w:r/>
      <w:bookmarkStart w:id="42" w:name="_Hlk107408152"/>
      <w:r>
        <w:rPr>
          <w:rFonts w:hint="eastAsia" w:ascii="宋体" w:hAnsi="宋体"/>
        </w:rPr>
        <w:t xml:space="preserve">投标人：</w:t>
      </w:r>
      <w:bookmarkEnd w:id="42"/>
      <w:r>
        <w:rPr>
          <w:rFonts w:hint="eastAsia" w:ascii="宋体" w:hAnsi="宋体"/>
        </w:rPr>
        <w:t xml:space="preserve">（盖章）</w:t>
      </w:r>
      <w:r/>
    </w:p>
    <w:p>
      <w:pPr>
        <w:pStyle w:val="1055"/>
        <w:rPr>
          <w:rFonts w:ascii="宋体" w:hAnsi="宋体"/>
        </w:rPr>
      </w:pPr>
      <w:r>
        <w:rPr>
          <w:rFonts w:hint="eastAsia" w:ascii="宋体" w:hAnsi="宋体"/>
        </w:rPr>
        <w:t xml:space="preserve">法定代表人或代理人：（签字或盖章）</w:t>
      </w:r>
      <w:r/>
    </w:p>
    <w:p>
      <w:pPr>
        <w:pStyle w:val="888"/>
        <w:ind w:firstLine="480"/>
        <w:spacing w:line="360" w:lineRule="auto"/>
        <w:rPr>
          <w:rFonts w:hAnsi="宋体" w:eastAsia="宋体"/>
          <w:sz w:val="24"/>
          <w:szCs w:val="24"/>
        </w:rPr>
      </w:pPr>
      <w:r>
        <w:rPr>
          <w:rFonts w:hint="eastAsia" w:hAnsi="宋体" w:eastAsia="宋体"/>
          <w:sz w:val="24"/>
          <w:szCs w:val="24"/>
        </w:rPr>
        <w:t xml:space="preserve">日期：        年   月   日</w:t>
      </w:r>
      <w:r/>
    </w:p>
    <w:p>
      <w:pPr>
        <w:jc w:val="left"/>
        <w:widowControl/>
        <w:rPr>
          <w:rFonts w:ascii="宋体" w:hAnsi="宋体" w:eastAsia="宋体"/>
          <w:b/>
          <w:sz w:val="24"/>
        </w:rPr>
      </w:pPr>
      <w:r>
        <w:rPr>
          <w:rFonts w:ascii="宋体" w:hAnsi="宋体" w:eastAsia="宋体"/>
          <w:b/>
        </w:rPr>
        <w:br w:type="page" w:clear="all"/>
      </w:r>
      <w:r/>
    </w:p>
    <w:p>
      <w:pPr>
        <w:pStyle w:val="878"/>
        <w:ind w:firstLine="0"/>
        <w:jc w:val="both"/>
        <w:spacing w:line="360" w:lineRule="auto"/>
        <w:rPr>
          <w:rFonts w:ascii="宋体" w:hAnsi="宋体" w:eastAsia="宋体"/>
          <w:b/>
        </w:rPr>
        <w:outlineLvl w:val="1"/>
      </w:pPr>
      <w:r>
        <w:rPr>
          <w:rFonts w:hint="eastAsia" w:ascii="宋体" w:hAnsi="宋体" w:eastAsia="宋体"/>
          <w:b/>
        </w:rPr>
        <w:t xml:space="preserve">8.资格证明文件</w:t>
      </w:r>
      <w:r/>
    </w:p>
    <w:p>
      <w:pPr>
        <w:pStyle w:val="878"/>
        <w:ind w:firstLine="0"/>
        <w:jc w:val="both"/>
        <w:spacing w:line="360" w:lineRule="auto"/>
        <w:rPr>
          <w:rFonts w:ascii="宋体" w:hAnsi="宋体" w:eastAsia="宋体"/>
          <w:b/>
        </w:rPr>
      </w:pPr>
      <w:r>
        <w:rPr>
          <w:rFonts w:ascii="宋体" w:hAnsi="宋体" w:eastAsia="宋体"/>
          <w:b/>
        </w:rPr>
      </w:r>
      <w:r/>
    </w:p>
    <w:p>
      <w:pPr>
        <w:pStyle w:val="878"/>
        <w:ind w:firstLine="0"/>
        <w:jc w:val="both"/>
        <w:spacing w:line="360" w:lineRule="auto"/>
        <w:rPr>
          <w:rFonts w:ascii="宋体" w:hAnsi="宋体" w:eastAsia="宋体"/>
          <w:b/>
        </w:rPr>
        <w:outlineLvl w:val="2"/>
      </w:pPr>
      <w:r>
        <w:rPr>
          <w:rFonts w:hint="eastAsia" w:ascii="宋体" w:hAnsi="宋体" w:eastAsia="宋体"/>
          <w:b/>
        </w:rPr>
        <w:t xml:space="preserve">（1）关于资格文件的声明函</w:t>
      </w:r>
      <w:r/>
    </w:p>
    <w:p>
      <w:pPr>
        <w:pStyle w:val="878"/>
        <w:ind w:firstLine="0"/>
        <w:jc w:val="center"/>
        <w:spacing w:line="360" w:lineRule="auto"/>
        <w:rPr>
          <w:rFonts w:ascii="宋体" w:hAnsi="宋体" w:eastAsia="宋体"/>
          <w:b/>
        </w:rPr>
      </w:pPr>
      <w:r>
        <w:rPr>
          <w:rFonts w:ascii="宋体" w:hAnsi="宋体" w:eastAsia="宋体"/>
          <w:b/>
        </w:rPr>
      </w:r>
      <w:r/>
    </w:p>
    <w:p>
      <w:pPr>
        <w:pStyle w:val="878"/>
        <w:ind w:firstLine="0"/>
        <w:jc w:val="center"/>
        <w:spacing w:line="360" w:lineRule="auto"/>
        <w:rPr>
          <w:rFonts w:ascii="宋体" w:hAnsi="宋体" w:eastAsia="宋体"/>
        </w:rPr>
      </w:pPr>
      <w:r>
        <w:rPr>
          <w:rFonts w:hint="eastAsia" w:ascii="宋体" w:hAnsi="宋体" w:eastAsia="宋体"/>
        </w:rPr>
        <w:t xml:space="preserve">关于资格文件的声明函</w:t>
      </w:r>
      <w:r/>
    </w:p>
    <w:p>
      <w:pPr>
        <w:pStyle w:val="878"/>
        <w:ind w:firstLine="0"/>
        <w:jc w:val="center"/>
        <w:spacing w:line="360" w:lineRule="auto"/>
        <w:rPr>
          <w:rFonts w:ascii="宋体" w:hAnsi="宋体" w:eastAsia="宋体"/>
        </w:rPr>
      </w:pPr>
      <w:r>
        <w:rPr>
          <w:rFonts w:ascii="宋体" w:hAnsi="宋体" w:eastAsia="宋体"/>
        </w:rPr>
      </w:r>
      <w:r/>
    </w:p>
    <w:p>
      <w:pPr>
        <w:pStyle w:val="878"/>
        <w:ind w:firstLine="0"/>
        <w:jc w:val="both"/>
        <w:spacing w:line="360" w:lineRule="auto"/>
        <w:rPr>
          <w:rFonts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878"/>
        <w:ind w:firstLine="480"/>
        <w:jc w:val="both"/>
        <w:spacing w:line="360" w:lineRule="auto"/>
        <w:rPr>
          <w:rFonts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rPr>
        <w:t xml:space="preserve">JSZC-320500-SZHX-G2026-0035</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878"/>
        <w:ind w:firstLine="480"/>
        <w:jc w:val="both"/>
        <w:spacing w:line="360" w:lineRule="auto"/>
        <w:rPr>
          <w:rFonts w:ascii="宋体" w:hAnsi="宋体" w:eastAsia="宋体"/>
        </w:rPr>
      </w:pPr>
      <w:r>
        <w:rPr>
          <w:rFonts w:ascii="宋体" w:hAnsi="宋体" w:eastAsia="宋体"/>
        </w:rPr>
      </w:r>
      <w:r/>
    </w:p>
    <w:p>
      <w:pPr>
        <w:pStyle w:val="878"/>
        <w:ind w:firstLine="480"/>
        <w:jc w:val="both"/>
        <w:spacing w:line="360" w:lineRule="auto"/>
        <w:rPr>
          <w:rFonts w:ascii="宋体" w:hAnsi="宋体" w:eastAsia="宋体"/>
        </w:rPr>
      </w:pPr>
      <w:r>
        <w:rPr>
          <w:rFonts w:ascii="宋体" w:hAnsi="宋体" w:eastAsia="宋体"/>
        </w:rPr>
      </w:r>
      <w:r/>
    </w:p>
    <w:p>
      <w:pPr>
        <w:pStyle w:val="964"/>
        <w:rPr>
          <w:rFonts w:hAnsi="宋体" w:eastAsia="宋体"/>
          <w:sz w:val="24"/>
        </w:rPr>
      </w:pPr>
      <w:r>
        <w:rPr>
          <w:rFonts w:hint="eastAsia" w:hAnsi="宋体" w:eastAsia="宋体"/>
          <w:sz w:val="24"/>
        </w:rPr>
        <w:t xml:space="preserve">投标方：（单位盖章）</w:t>
      </w:r>
      <w:r/>
    </w:p>
    <w:p>
      <w:pPr>
        <w:pStyle w:val="964"/>
        <w:rPr>
          <w:rFonts w:hAnsi="宋体" w:eastAsia="宋体"/>
          <w:sz w:val="24"/>
        </w:rPr>
      </w:pPr>
      <w:r>
        <w:rPr>
          <w:rFonts w:hint="eastAsia" w:hAnsi="宋体" w:eastAsia="宋体"/>
          <w:sz w:val="24"/>
        </w:rPr>
        <w:t xml:space="preserve">法定代表人或代理人：（签字或盖章）</w:t>
      </w:r>
      <w:r/>
    </w:p>
    <w:p>
      <w:pPr>
        <w:pStyle w:val="964"/>
        <w:rPr>
          <w:rFonts w:hAnsi="宋体" w:eastAsia="宋体"/>
          <w:sz w:val="24"/>
        </w:rPr>
      </w:pPr>
      <w:r>
        <w:rPr>
          <w:rFonts w:hint="eastAsia" w:hAnsi="宋体" w:eastAsia="宋体"/>
          <w:sz w:val="24"/>
        </w:rPr>
        <w:t xml:space="preserve">日期：        年   月   日</w:t>
      </w:r>
      <w:r/>
    </w:p>
    <w:p>
      <w:pPr>
        <w:pStyle w:val="878"/>
        <w:ind w:firstLine="0"/>
        <w:jc w:val="both"/>
        <w:rPr>
          <w:rFonts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878"/>
        <w:ind w:firstLine="0"/>
        <w:jc w:val="center"/>
        <w:rPr>
          <w:rFonts w:asciiTheme="minorEastAsia" w:hAnsiTheme="minorEastAsia" w:eastAsiaTheme="minorEastAsia"/>
          <w:szCs w:val="24"/>
        </w:rPr>
      </w:pPr>
      <w:r>
        <w:rPr>
          <w:rFonts w:asciiTheme="minorEastAsia" w:hAnsiTheme="minorEastAsia" w:eastAsiaTheme="minorEastAsia"/>
          <w:szCs w:val="24"/>
        </w:rPr>
      </w:r>
      <w:r/>
    </w:p>
    <w:p>
      <w:pPr>
        <w:pStyle w:val="87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878"/>
        <w:ind w:firstLine="0"/>
        <w:jc w:val="center"/>
        <w:rPr>
          <w:rFonts w:asciiTheme="minorEastAsia" w:hAnsiTheme="minorEastAsia" w:eastAsiaTheme="minorEastAsia"/>
          <w:szCs w:val="24"/>
        </w:rPr>
      </w:pPr>
      <w:r>
        <w:rPr>
          <w:rFonts w:asciiTheme="minorEastAsia" w:hAnsiTheme="minorEastAsia" w:eastAsiaTheme="minorEastAsia"/>
          <w:szCs w:val="24"/>
        </w:rPr>
      </w:r>
      <w:r/>
    </w:p>
    <w:p>
      <w:pPr>
        <w:pStyle w:val="878"/>
        <w:ind w:firstLine="0"/>
        <w:jc w:val="both"/>
        <w:rPr>
          <w:rFonts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871"/>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c>
          <w:tcPr>
            <w:tcW w:w="1461"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c>
          <w:tcPr>
            <w:tcW w:w="1461"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878"/>
              <w:ind w:firstLine="2160"/>
              <w:rPr>
                <w:rFonts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c>
          <w:tcPr>
            <w:gridSpan w:val="2"/>
            <w:tcW w:w="3699"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jc w:val="both"/>
              <w:rPr>
                <w:rFonts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87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78"/>
              <w:ind w:firstLine="0"/>
              <w:jc w:val="both"/>
              <w:rPr>
                <w:rFonts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87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78"/>
              <w:ind w:firstLine="0"/>
              <w:jc w:val="both"/>
              <w:rPr>
                <w:rFonts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87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78"/>
              <w:ind w:firstLine="0"/>
              <w:jc w:val="both"/>
              <w:rPr>
                <w:rFonts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878"/>
              <w:ind w:firstLine="960"/>
              <w:rPr>
                <w:rFonts w:asciiTheme="minorEastAsia" w:hAnsiTheme="minorEastAsia" w:eastAsiaTheme="minorEastAsia"/>
                <w:szCs w:val="24"/>
              </w:rPr>
            </w:pP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878"/>
              <w:ind w:firstLine="480"/>
              <w:rPr>
                <w:rFonts w:asciiTheme="minorEastAsia" w:hAnsiTheme="minorEastAsia" w:eastAsiaTheme="minorEastAsia"/>
                <w:szCs w:val="24"/>
              </w:rPr>
            </w:pP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c>
          <w:tcPr>
            <w:gridSpan w:val="2"/>
            <w:tcW w:w="3292"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878"/>
              <w:ind w:firstLine="720"/>
              <w:jc w:val="both"/>
              <w:rPr>
                <w:rFonts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r>
        <w:trPr>
          <w:cantSplit/>
          <w:jc w:val="center"/>
        </w:trPr>
        <w:tc>
          <w:tcPr>
            <w:tcW w:w="2510" w:type="dxa"/>
            <w:vAlign w:val="center"/>
            <w:textDirection w:val="lrTb"/>
            <w:noWrap w:val="false"/>
          </w:tcPr>
          <w:p>
            <w:pPr>
              <w:pStyle w:val="878"/>
              <w:ind w:firstLine="0"/>
              <w:rPr>
                <w:rFonts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878"/>
              <w:ind w:firstLine="0"/>
              <w:rPr>
                <w:rFonts w:asciiTheme="minorEastAsia" w:hAnsiTheme="minorEastAsia" w:eastAsiaTheme="minorEastAsia"/>
                <w:szCs w:val="24"/>
              </w:rPr>
            </w:pPr>
            <w:r>
              <w:rPr>
                <w:rFonts w:asciiTheme="minorEastAsia" w:hAnsiTheme="minorEastAsia" w:eastAsiaTheme="minorEastAsia"/>
                <w:szCs w:val="24"/>
              </w:rPr>
            </w:r>
            <w:r/>
          </w:p>
        </w:tc>
      </w:tr>
    </w:tbl>
    <w:p>
      <w:pPr>
        <w:pStyle w:val="878"/>
        <w:ind w:firstLine="0"/>
        <w:jc w:val="both"/>
        <w:rPr>
          <w:rFonts w:ascii="宋体" w:hAnsi="宋体" w:eastAsia="宋体"/>
        </w:rPr>
      </w:pPr>
      <w:r>
        <w:rPr>
          <w:rFonts w:ascii="宋体" w:hAnsi="宋体" w:eastAsia="宋体"/>
        </w:rPr>
      </w:r>
      <w:r/>
    </w:p>
    <w:p>
      <w:pPr>
        <w:pStyle w:val="878"/>
        <w:ind w:firstLine="0"/>
        <w:jc w:val="both"/>
        <w:rPr>
          <w:rFonts w:ascii="宋体" w:hAnsi="宋体" w:eastAsia="宋体"/>
        </w:rPr>
      </w:pPr>
      <w:r>
        <w:rPr>
          <w:rFonts w:ascii="宋体" w:hAnsi="宋体" w:eastAsia="宋体"/>
        </w:rPr>
      </w:r>
      <w:r/>
    </w:p>
    <w:p>
      <w:pPr>
        <w:pStyle w:val="878"/>
        <w:ind w:firstLine="0"/>
        <w:jc w:val="both"/>
        <w:rPr>
          <w:rFonts w:ascii="宋体" w:hAnsi="宋体" w:eastAsia="宋体"/>
        </w:rPr>
      </w:pPr>
      <w:r>
        <w:rPr>
          <w:rFonts w:ascii="宋体" w:hAnsi="宋体" w:eastAsia="宋体"/>
        </w:rPr>
      </w:r>
      <w:r/>
    </w:p>
    <w:p>
      <w:pPr>
        <w:pStyle w:val="866"/>
        <w:rPr>
          <w:rFonts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p>
    <w:p>
      <w:pPr>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965"/>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p>
    <w:p>
      <w:pPr>
        <w:pStyle w:val="965"/>
        <w:spacing w:line="360" w:lineRule="auto"/>
        <w:rPr>
          <w:rFonts w:hAnsi="宋体" w:eastAsia="宋体" w:cs="宋体"/>
          <w:sz w:val="24"/>
          <w:szCs w:val="24"/>
          <w:lang w:val="zh-CN"/>
        </w:rPr>
      </w:pPr>
      <w:r>
        <w:rPr>
          <w:rFonts w:hAnsi="宋体" w:eastAsia="宋体" w:cs="宋体"/>
          <w:sz w:val="24"/>
          <w:szCs w:val="24"/>
          <w:lang w:val="zh-CN"/>
        </w:rPr>
      </w:r>
      <w:r/>
    </w:p>
    <w:p>
      <w:pPr>
        <w:pStyle w:val="96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96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96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96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p>
    <w:p>
      <w:pPr>
        <w:pStyle w:val="96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96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965"/>
        <w:spacing w:line="360" w:lineRule="auto"/>
        <w:rPr>
          <w:rFonts w:hAnsi="宋体" w:eastAsia="宋体"/>
          <w:sz w:val="24"/>
          <w:szCs w:val="24"/>
        </w:rPr>
      </w:pPr>
      <w:r>
        <w:rPr>
          <w:rFonts w:hAnsi="宋体" w:eastAsia="宋体"/>
          <w:sz w:val="24"/>
          <w:szCs w:val="24"/>
        </w:rPr>
        <w:t xml:space="preserve">投标人：（盖章）</w:t>
      </w:r>
      <w:r/>
    </w:p>
    <w:p>
      <w:pPr>
        <w:pStyle w:val="965"/>
        <w:spacing w:line="360" w:lineRule="auto"/>
        <w:rPr>
          <w:rFonts w:hAnsi="宋体" w:eastAsia="宋体"/>
          <w:sz w:val="24"/>
          <w:szCs w:val="24"/>
        </w:rPr>
      </w:pPr>
      <w:r>
        <w:rPr>
          <w:rFonts w:hAnsi="宋体" w:eastAsia="宋体"/>
          <w:sz w:val="24"/>
          <w:szCs w:val="24"/>
        </w:rPr>
        <w:t xml:space="preserve">法定代表人或代理人：（签字或盖章）</w:t>
      </w:r>
      <w:r/>
    </w:p>
    <w:p>
      <w:pPr>
        <w:spacing w:line="360" w:lineRule="auto"/>
        <w:rPr>
          <w:rFonts w:ascii="宋体" w:hAnsi="宋体" w:eastAsia="宋体"/>
          <w:sz w:val="24"/>
          <w:szCs w:val="24"/>
        </w:rPr>
      </w:pPr>
      <w:r>
        <w:rPr>
          <w:rFonts w:ascii="宋体" w:hAnsi="宋体" w:eastAsia="宋体"/>
          <w:sz w:val="24"/>
          <w:szCs w:val="24"/>
        </w:rPr>
        <w:t xml:space="preserve">日期：年月日</w:t>
      </w:r>
      <w:r/>
    </w:p>
    <w:p>
      <w:pPr>
        <w:pStyle w:val="878"/>
        <w:ind w:firstLine="0"/>
        <w:rPr>
          <w:rFonts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ascii="宋体" w:hAnsi="宋体" w:eastAsia="宋体" w:cs="宋体"/>
          <w:sz w:val="24"/>
          <w:szCs w:val="24"/>
        </w:rPr>
      </w:pPr>
      <w:r>
        <w:rPr>
          <w:rFonts w:ascii="宋体" w:hAnsi="宋体" w:eastAsia="宋体" w:cs="宋体"/>
          <w:sz w:val="24"/>
          <w:szCs w:val="24"/>
        </w:rPr>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right"/>
        <w:spacing w:line="360" w:lineRule="auto"/>
        <w:widowControl/>
        <w:rPr>
          <w:rFonts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ascii="宋体" w:hAnsi="宋体" w:eastAsia="宋体" w:cs="宋体"/>
          <w:b/>
          <w:sz w:val="24"/>
          <w:shd w:val="clear" w:color="auto" w:fill="ffffff"/>
        </w:rPr>
        <w:outlineLvl w:val="2"/>
      </w:pPr>
      <w:r/>
      <w:bookmarkStart w:id="43" w:name="_Toc165274519"/>
      <w:r>
        <w:rPr>
          <w:rFonts w:hint="eastAsia" w:ascii="宋体" w:hAnsi="宋体" w:eastAsia="宋体" w:cs="宋体"/>
          <w:b/>
          <w:sz w:val="24"/>
          <w:shd w:val="clear" w:color="auto" w:fill="ffffff"/>
        </w:rPr>
        <w:t xml:space="preserve">（5）关于符合本国产品标准的声明函</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873"/>
        <w:ind w:firstLine="480"/>
        <w:jc w:val="both"/>
        <w:spacing w:beforeAutospacing="0" w:afterAutospacing="0" w:line="360" w:lineRule="auto"/>
        <w:rPr>
          <w:rFonts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3"/>
        <w:ind w:firstLine="480"/>
        <w:jc w:val="both"/>
        <w:spacing w:beforeAutospacing="0" w:afterAutospacing="0" w:line="360" w:lineRule="auto"/>
        <w:rPr>
          <w:rFonts w:ascii="宋体" w:hAnsi="宋体" w:eastAsia="宋体" w:cs="宋体"/>
          <w:color w:val="000000"/>
          <w:szCs w:val="24"/>
        </w:rPr>
      </w:pPr>
      <w:r>
        <w:rPr>
          <w:rFonts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w:t xml:space="preserve">1.</w:t>
      </w:r>
      <w:r>
        <w:rPr>
          <w:rStyle w:val="920"/>
          <w:rFonts w:hint="eastAsia" w:ascii="宋体" w:hAnsi="宋体" w:eastAsia="宋体" w:cs="宋体"/>
          <w:i w:val="0"/>
          <w:color w:val="000000"/>
          <w:szCs w:val="24"/>
          <w:u w:val="single"/>
          <w:shd w:val="clear" w:color="auto" w:fill="ffffff"/>
        </w:rPr>
        <w:t xml:space="preserve">（产品名称1）</w:t>
      </w:r>
      <w:r>
        <w:rPr>
          <w:rStyle w:val="920"/>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920"/>
          <w:rFonts w:hint="eastAsia" w:ascii="宋体" w:hAnsi="宋体" w:eastAsia="宋体" w:cs="宋体"/>
          <w:i w:val="0"/>
          <w:color w:val="000000"/>
          <w:szCs w:val="24"/>
          <w:u w:val="single"/>
          <w:shd w:val="clear" w:color="auto" w:fill="ffffff"/>
        </w:rPr>
        <w:t xml:space="preserve">（厂名）</w:t>
      </w:r>
      <w:r>
        <w:rPr>
          <w:rStyle w:val="920"/>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920"/>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Style w:val="920"/>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920"/>
          <w:rFonts w:hint="eastAsia" w:ascii="宋体" w:hAnsi="宋体" w:eastAsia="宋体" w:cs="宋体"/>
          <w:i w:val="0"/>
          <w:color w:val="000000"/>
          <w:szCs w:val="24"/>
          <w:u w:val="single"/>
          <w:shd w:val="clear" w:color="auto" w:fill="ffffff"/>
        </w:rPr>
        <w:t xml:space="preserve">（规定比例）</w:t>
      </w:r>
      <w:r>
        <w:rPr>
          <w:rStyle w:val="920"/>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920"/>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920"/>
          <w:rFonts w:hint="eastAsia" w:ascii="宋体" w:hAnsi="宋体" w:eastAsia="宋体" w:cs="宋体"/>
          <w:i w:val="0"/>
          <w:color w:val="000000"/>
          <w:szCs w:val="24"/>
          <w:u w:val="single"/>
          <w:shd w:val="clear" w:color="auto" w:fill="ffffff"/>
        </w:rPr>
        <w:t xml:space="preserve">（关键组件）</w:t>
      </w:r>
      <w:r>
        <w:rPr>
          <w:rStyle w:val="920"/>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920"/>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920"/>
          <w:rFonts w:hint="eastAsia" w:ascii="宋体" w:hAnsi="宋体" w:eastAsia="宋体" w:cs="宋体"/>
          <w:i w:val="0"/>
          <w:color w:val="000000"/>
          <w:szCs w:val="24"/>
          <w:u w:val="single"/>
          <w:shd w:val="clear" w:color="auto" w:fill="ffffff"/>
        </w:rPr>
        <w:t xml:space="preserve">（关键工序）</w:t>
      </w:r>
      <w:r>
        <w:rPr>
          <w:rStyle w:val="920"/>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873"/>
        <w:ind w:firstLine="480"/>
        <w:jc w:val="both"/>
        <w:spacing w:beforeAutospacing="0" w:afterAutospacing="0" w:line="360" w:lineRule="auto"/>
        <w:rPr>
          <w:rFonts w:ascii="宋体" w:hAnsi="宋体" w:eastAsia="宋体" w:cs="宋体"/>
          <w:color w:val="000000"/>
          <w:szCs w:val="24"/>
          <w:shd w:val="clear" w:color="auto" w:fill="ffffff"/>
        </w:rPr>
      </w:pPr>
      <w:r>
        <w:rPr>
          <w:rFonts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44" w:name="OLE_LINK11"/>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44"/>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873"/>
        <w:ind w:firstLine="480"/>
        <w:jc w:val="both"/>
        <w:spacing w:beforeAutospacing="0" w:afterAutospacing="0" w:line="360" w:lineRule="auto"/>
        <w:rPr>
          <w:rFonts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883"/>
        <w:rPr>
          <w:rFonts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（6）关于本国产品成本占比的声明函（采购项目含有多种产品时适用）</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公司（单位）名称（盖章）：</w:t>
      </w:r>
      <w:r/>
    </w:p>
    <w:p>
      <w:pPr>
        <w:rPr>
          <w:rFonts w:ascii="宋体" w:hAnsi="宋体" w:eastAsia="宋体" w:cs="宋体"/>
          <w:sz w:val="24"/>
        </w:rPr>
      </w:pPr>
      <w:r>
        <w:rPr>
          <w:rFonts w:hint="eastAsia" w:ascii="宋体" w:hAnsi="宋体" w:eastAsia="宋体" w:cs="宋体"/>
          <w:sz w:val="24"/>
        </w:rPr>
        <w:t xml:space="preserve">日 期：       年     月     日</w:t>
      </w:r>
      <w:r/>
    </w:p>
    <w:p>
      <w:r>
        <w:rPr>
          <w:rFonts w:hint="eastAsia"/>
        </w:rPr>
        <w:br w:type="page" w:clear="all"/>
      </w:r>
      <w:r/>
    </w:p>
    <w:p>
      <w:pPr>
        <w:pStyle w:val="865"/>
        <w:rPr>
          <w:sz w:val="24"/>
          <w:szCs w:val="24"/>
        </w:rPr>
      </w:pPr>
      <w:r>
        <w:rPr>
          <w:rFonts w:hint="eastAsia"/>
          <w:sz w:val="24"/>
          <w:szCs w:val="24"/>
        </w:rPr>
        <w:t xml:space="preserve">9</w:t>
      </w:r>
      <w:r>
        <w:rPr>
          <w:rFonts w:hint="eastAsia" w:ascii="宋体" w:hAnsi="宋体" w:eastAsia="宋体"/>
        </w:rPr>
        <w:t xml:space="preserve">.</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43"/>
      <w:r/>
      <w:r/>
    </w:p>
    <w:p>
      <w:pPr>
        <w:ind w:firstLine="420"/>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asciiTheme="minorEastAsia" w:hAnsiTheme="minorEastAsia" w:eastAsiaTheme="minorEastAsia"/>
          <w:sz w:val="24"/>
          <w:szCs w:val="24"/>
          <w:u w:val="single"/>
        </w:rPr>
      </w:pPr>
      <w:r>
        <w:rPr>
          <w:rFonts w:asciiTheme="minorEastAsia" w:hAnsiTheme="minorEastAsia" w:eastAsiaTheme="minorEastAsia"/>
          <w:sz w:val="24"/>
          <w:szCs w:val="24"/>
          <w:u w:val="single"/>
        </w:rPr>
      </w:r>
      <w:r/>
    </w:p>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884"/>
        <w:ind w:left="0" w:firstLine="420"/>
        <w:spacing w:line="360" w:lineRule="auto"/>
        <w:rPr>
          <w:rFonts w:cs="宋体" w:asciiTheme="minorEastAsia" w:hAnsiTheme="minorEastAsia" w:eastAsiaTheme="minorEastAsia"/>
          <w:szCs w:val="24"/>
        </w:rPr>
      </w:pPr>
      <w:r>
        <w:rPr>
          <w:rFonts w:asciiTheme="minorEastAsia" w:hAnsiTheme="minorEastAsia" w:eastAsiaTheme="minorEastAsia"/>
          <w:szCs w:val="24"/>
        </w:rPr>
        <w:t xml:space="preserve">本公司愿就由贵</w:t>
      </w:r>
      <w:r>
        <w:rPr>
          <w:rFonts w:hint="eastAsia" w:asciiTheme="minorEastAsia" w:hAnsiTheme="minorEastAsia" w:eastAsiaTheme="minorEastAsia"/>
          <w:szCs w:val="24"/>
        </w:rPr>
        <w:t xml:space="preserve">公司</w:t>
      </w:r>
      <w:r>
        <w:rPr>
          <w:rFonts w:asciiTheme="minorEastAsia" w:hAnsiTheme="minorEastAsia" w:eastAsiaTheme="minorEastAsia"/>
          <w:szCs w:val="24"/>
        </w:rPr>
        <w:t xml:space="preserve">组织实施的编号为号（</w:t>
      </w:r>
      <w:r>
        <w:rPr>
          <w:rFonts w:hint="eastAsia" w:asciiTheme="minorEastAsia" w:hAnsiTheme="minorEastAsia" w:eastAsiaTheme="minorEastAsia"/>
          <w:szCs w:val="24"/>
        </w:rPr>
        <w:t xml:space="preserve">项目</w:t>
      </w:r>
      <w:r>
        <w:rPr>
          <w:rFonts w:asciiTheme="minorEastAsia" w:hAnsiTheme="minorEastAsia" w:eastAsiaTheme="minorEastAsia"/>
          <w:szCs w:val="24"/>
        </w:rPr>
        <w:t xml:space="preserve">编号）的招标活动进行投标</w:t>
      </w:r>
      <w:r>
        <w:rPr>
          <w:rFonts w:hint="eastAsia" w:asciiTheme="minorEastAsia" w:hAnsiTheme="minorEastAsia" w:eastAsiaTheme="minorEastAsia"/>
          <w:szCs w:val="24"/>
        </w:rPr>
        <w:t xml:space="preserve">，对于本公司的投标报价合理性作出说明如下：</w:t>
      </w:r>
      <w:r/>
    </w:p>
    <w:tbl>
      <w:tblPr>
        <w:tblStyle w:val="87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45"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46" w:name="OLE_LINK16"/>
      <w:r>
        <w:rPr>
          <w:rFonts w:hint="eastAsia" w:asciiTheme="minorEastAsia" w:hAnsiTheme="minorEastAsia" w:eastAsiaTheme="minorEastAsia"/>
          <w:b/>
          <w:sz w:val="24"/>
          <w:szCs w:val="24"/>
          <w:lang w:val="zh-CN"/>
        </w:rPr>
        <w:t xml:space="preserve">的</w:t>
      </w:r>
      <w:bookmarkEnd w:id="45"/>
      <w:r/>
      <w:bookmarkEnd w:id="46"/>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3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3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asciiTheme="minorEastAsia" w:hAnsiTheme="minorEastAsia" w:eastAsiaTheme="minorEastAsia"/>
          <w:b/>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月 日</w:t>
      </w:r>
      <w:r/>
    </w:p>
    <w:p>
      <w:pPr>
        <w:jc w:val="left"/>
        <w:widowControl/>
        <w:rPr>
          <w:rFonts w:ascii="宋体" w:hAnsi="宋体" w:eastAsia="宋体" w:cs="宋体"/>
          <w:sz w:val="24"/>
          <w:szCs w:val="24"/>
        </w:rPr>
      </w:pPr>
      <w:r>
        <w:rPr>
          <w:rFonts w:hint="eastAsia" w:ascii="宋体" w:hAnsi="宋体" w:eastAsia="宋体" w:cs="宋体"/>
          <w:sz w:val="24"/>
          <w:szCs w:val="24"/>
        </w:rPr>
        <w:br w:type="page" w:clear="all"/>
      </w:r>
      <w:r/>
    </w:p>
    <w:p>
      <w:pPr>
        <w:pStyle w:val="888"/>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10</w:t>
      </w:r>
      <w:r>
        <w:rPr>
          <w:rFonts w:hint="eastAsia" w:hAnsi="宋体" w:eastAsia="宋体"/>
          <w:b/>
        </w:rPr>
        <w:t xml:space="preserve">.</w:t>
      </w:r>
      <w:r>
        <w:rPr>
          <w:rFonts w:hint="eastAsia" w:cs="宋体" w:asciiTheme="minorEastAsia" w:hAnsiTheme="minorEastAsia" w:eastAsiaTheme="minorEastAsia"/>
          <w:b/>
          <w:sz w:val="24"/>
          <w:szCs w:val="24"/>
        </w:rPr>
        <w:t xml:space="preserve">政府采购合同信用融资政策告知函（仅为通知内容，不需要做进投标文件组成）</w:t>
      </w:r>
      <w:r/>
    </w:p>
    <w:p>
      <w:pPr>
        <w:jc w:val="center"/>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jc w:val="cente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政府采购合同信用融资政策告知函</w:t>
      </w:r>
      <w:r/>
    </w:p>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各政府采购供应商:</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欢迎贵公司参加苏州市政府采购活动！</w:t>
      </w:r>
      <w:r/>
    </w:p>
    <w:p>
      <w:pPr>
        <w:pStyle w:val="878"/>
        <w:ind w:firstLine="480"/>
        <w:spacing w:line="360" w:lineRule="auto"/>
        <w:rPr>
          <w:rFonts w:cs="宋体" w:asciiTheme="minorEastAsia" w:hAnsiTheme="minorEastAsia" w:eastAsiaTheme="minorEastAsia"/>
          <w:b/>
          <w:szCs w:val="24"/>
        </w:rPr>
      </w:pPr>
      <w:r>
        <w:rPr>
          <w:rFonts w:hint="eastAsia" w:cs="宋体" w:asciiTheme="minorEastAsia" w:hAnsiTheme="minorEastAsia" w:eastAsiaTheme="minorEastAsia"/>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right="960"/>
        <w:spacing w:line="360" w:lineRule="auto"/>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b/>
          <w:bCs/>
          <w:sz w:val="24"/>
          <w:szCs w:val="24"/>
        </w:rPr>
      </w:pPr>
      <w:r>
        <w:rPr>
          <w:rFonts w:ascii="宋体" w:hAnsi="宋体" w:eastAsia="宋体" w:cs="宋体"/>
          <w:b/>
          <w:bCs/>
          <w:szCs w:val="24"/>
        </w:rPr>
        <w:br w:type="page" w:clear="all"/>
      </w:r>
      <w:r/>
    </w:p>
    <w:p>
      <w:pPr>
        <w:pStyle w:val="878"/>
        <w:ind w:firstLine="0"/>
        <w:jc w:val="both"/>
        <w:rPr>
          <w:rFonts w:ascii="宋体" w:hAnsi="宋体" w:eastAsia="宋体"/>
          <w:sz w:val="32"/>
          <w:szCs w:val="32"/>
        </w:rPr>
      </w:pPr>
      <w:r>
        <w:rPr>
          <w:rFonts w:ascii="宋体" w:hAnsi="宋体" w:eastAsia="宋体"/>
          <w:sz w:val="32"/>
          <w:szCs w:val="32"/>
        </w:rPr>
      </w:r>
      <w:r/>
    </w:p>
    <w:p>
      <w:pPr>
        <w:pStyle w:val="878"/>
        <w:ind w:firstLine="0"/>
        <w:jc w:val="both"/>
        <w:rPr>
          <w:rFonts w:ascii="宋体" w:hAnsi="宋体" w:eastAsia="宋体"/>
          <w:sz w:val="32"/>
          <w:szCs w:val="32"/>
        </w:rPr>
      </w:pPr>
      <w:r>
        <w:rPr>
          <w:rFonts w:ascii="宋体" w:hAnsi="宋体" w:eastAsia="宋体"/>
          <w:sz w:val="32"/>
          <w:szCs w:val="32"/>
        </w:rPr>
      </w:r>
      <w:r/>
    </w:p>
    <w:p>
      <w:pPr>
        <w:pStyle w:val="878"/>
        <w:ind w:firstLine="0"/>
        <w:jc w:val="both"/>
        <w:rPr>
          <w:rFonts w:ascii="宋体" w:hAnsi="宋体" w:eastAsia="宋体"/>
          <w:sz w:val="32"/>
          <w:szCs w:val="32"/>
        </w:rPr>
      </w:pPr>
      <w:r>
        <w:rPr>
          <w:rFonts w:ascii="宋体" w:hAnsi="宋体" w:eastAsia="宋体"/>
          <w:sz w:val="32"/>
          <w:szCs w:val="32"/>
        </w:rPr>
      </w:r>
      <w:r/>
    </w:p>
    <w:p>
      <w:pPr>
        <w:pStyle w:val="878"/>
        <w:ind w:firstLine="0"/>
        <w:jc w:val="both"/>
        <w:rPr>
          <w:rFonts w:ascii="宋体" w:hAnsi="宋体" w:eastAsia="宋体"/>
          <w:sz w:val="32"/>
          <w:szCs w:val="32"/>
        </w:rPr>
      </w:pPr>
      <w:r>
        <w:rPr>
          <w:rFonts w:ascii="宋体" w:hAnsi="宋体" w:eastAsia="宋体"/>
          <w:sz w:val="32"/>
          <w:szCs w:val="32"/>
        </w:rPr>
      </w:r>
      <w:r/>
    </w:p>
    <w:p>
      <w:pPr>
        <w:pStyle w:val="878"/>
        <w:ind w:firstLine="0"/>
        <w:jc w:val="both"/>
        <w:rPr>
          <w:rFonts w:ascii="宋体" w:hAnsi="宋体" w:eastAsia="宋体"/>
          <w:sz w:val="32"/>
          <w:szCs w:val="32"/>
        </w:rPr>
      </w:pPr>
      <w:r>
        <w:rPr>
          <w:rFonts w:ascii="宋体" w:hAnsi="宋体" w:eastAsia="宋体"/>
          <w:sz w:val="32"/>
          <w:szCs w:val="32"/>
        </w:rPr>
      </w:r>
      <w:r/>
    </w:p>
    <w:p>
      <w:pPr>
        <w:pStyle w:val="878"/>
        <w:ind w:firstLine="0"/>
        <w:jc w:val="both"/>
        <w:rPr>
          <w:rFonts w:ascii="宋体" w:hAnsi="宋体" w:eastAsia="宋体"/>
          <w:sz w:val="32"/>
          <w:szCs w:val="32"/>
        </w:rPr>
      </w:pPr>
      <w:r>
        <w:rPr>
          <w:rFonts w:ascii="宋体" w:hAnsi="宋体" w:eastAsia="宋体"/>
          <w:sz w:val="32"/>
          <w:szCs w:val="32"/>
        </w:rPr>
      </w:r>
      <w:r/>
    </w:p>
    <w:p>
      <w:pPr>
        <w:pStyle w:val="878"/>
        <w:ind w:firstLine="0"/>
        <w:jc w:val="both"/>
        <w:rPr>
          <w:rFonts w:ascii="宋体" w:hAnsi="宋体" w:eastAsia="宋体"/>
          <w:sz w:val="32"/>
          <w:szCs w:val="32"/>
        </w:rPr>
      </w:pPr>
      <w:r>
        <w:rPr>
          <w:rFonts w:ascii="宋体" w:hAnsi="宋体" w:eastAsia="宋体"/>
          <w:sz w:val="32"/>
          <w:szCs w:val="32"/>
        </w:rPr>
      </w:r>
      <w:r/>
    </w:p>
    <w:p>
      <w:pPr>
        <w:pStyle w:val="878"/>
        <w:ind w:firstLine="0"/>
        <w:jc w:val="both"/>
        <w:rPr>
          <w:rFonts w:ascii="宋体" w:hAnsi="宋体" w:eastAsia="宋体"/>
          <w:sz w:val="32"/>
          <w:szCs w:val="32"/>
        </w:rPr>
      </w:pPr>
      <w:r>
        <w:rPr>
          <w:rFonts w:ascii="宋体" w:hAnsi="宋体" w:eastAsia="宋体"/>
          <w:sz w:val="32"/>
          <w:szCs w:val="32"/>
        </w:rPr>
      </w:r>
      <w:r/>
    </w:p>
    <w:p>
      <w:pPr>
        <w:pStyle w:val="864"/>
        <w:jc w:val="center"/>
        <w:rPr>
          <w:rFonts w:ascii="宋体" w:hAnsi="宋体" w:eastAsia="宋体"/>
          <w:sz w:val="52"/>
        </w:rPr>
      </w:pPr>
      <w:r/>
      <w:bookmarkStart w:id="47" w:name="_Toc488137108"/>
      <w:r/>
      <w:bookmarkStart w:id="48" w:name="_Toc13642115"/>
      <w:r/>
      <w:bookmarkStart w:id="49" w:name="_Toc27035"/>
      <w:r>
        <w:rPr>
          <w:rFonts w:hint="eastAsia" w:ascii="宋体" w:hAnsi="宋体" w:eastAsia="宋体"/>
          <w:sz w:val="52"/>
        </w:rPr>
        <w:t xml:space="preserve">第四章 招标书</w:t>
      </w:r>
      <w:bookmarkEnd w:id="47"/>
      <w:r/>
      <w:bookmarkEnd w:id="48"/>
      <w:r/>
      <w:bookmarkEnd w:id="49"/>
      <w:r/>
      <w:r/>
    </w:p>
    <w:p>
      <w:pPr>
        <w:jc w:val="center"/>
        <w:spacing w:line="360" w:lineRule="auto"/>
        <w:rPr>
          <w:rFonts w:ascii="宋体" w:hAnsi="宋体" w:eastAsia="宋体"/>
          <w:b/>
          <w:sz w:val="44"/>
          <w:szCs w:val="44"/>
        </w:rPr>
      </w:pPr>
      <w:r/>
      <w:bookmarkStart w:id="50" w:name="_Toc13543212"/>
      <w:r>
        <w:rPr>
          <w:rFonts w:ascii="宋体" w:hAnsi="宋体" w:eastAsia="宋体"/>
          <w:b/>
          <w:sz w:val="44"/>
        </w:rPr>
        <w:br w:type="page" w:clear="all"/>
      </w:r>
      <w:r>
        <w:rPr>
          <w:rFonts w:hint="eastAsia" w:ascii="宋体" w:hAnsi="宋体" w:eastAsia="宋体"/>
          <w:b/>
          <w:sz w:val="44"/>
          <w:szCs w:val="44"/>
        </w:rPr>
        <w:t xml:space="preserve">招标书</w:t>
      </w:r>
      <w:bookmarkEnd w:id="50"/>
      <w:r/>
      <w:r/>
    </w:p>
    <w:p>
      <w:pPr>
        <w:ind w:firstLine="480"/>
        <w:spacing w:line="360" w:lineRule="auto"/>
        <w:rPr>
          <w:rFonts w:ascii="宋体" w:hAnsi="宋体" w:eastAsia="宋体"/>
          <w:sz w:val="24"/>
          <w:szCs w:val="24"/>
        </w:rPr>
      </w:pPr>
      <w:r/>
      <w:bookmarkStart w:id="51" w:name="OLE_LINK1"/>
      <w:r>
        <w:rPr>
          <w:rFonts w:hint="eastAsia" w:ascii="宋体" w:hAnsi="宋体" w:eastAsia="宋体"/>
          <w:sz w:val="24"/>
          <w:szCs w:val="24"/>
        </w:rPr>
        <w:t xml:space="preserve">苏州鸿鑫工程咨询有限公司受苏州农业职业技术学院的委托，就数字教学资源制作服务项目进行公开招标，欢迎有资格的供应商前来参加投标。</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一</w:t>
      </w:r>
      <w:r>
        <w:rPr>
          <w:rFonts w:ascii="宋体" w:hAnsi="宋体" w:eastAsia="宋体"/>
          <w:b/>
          <w:sz w:val="24"/>
          <w:szCs w:val="24"/>
        </w:rPr>
        <w:t xml:space="preserve">、</w:t>
      </w:r>
      <w:r>
        <w:rPr>
          <w:rFonts w:hint="eastAsia" w:ascii="宋体" w:hAnsi="宋体" w:eastAsia="宋体"/>
          <w:b/>
          <w:sz w:val="24"/>
          <w:szCs w:val="24"/>
        </w:rPr>
        <w:t xml:space="preserve">采购编号：JSZC-320500-SZHX-G2026-0035</w:t>
      </w:r>
      <w:r/>
    </w:p>
    <w:p>
      <w:pPr>
        <w:ind w:firstLine="482"/>
        <w:spacing w:line="360" w:lineRule="auto"/>
        <w:rPr>
          <w:rFonts w:ascii="宋体" w:hAnsi="宋体" w:eastAsia="宋体"/>
          <w:b/>
          <w:bCs/>
          <w:sz w:val="24"/>
          <w:szCs w:val="24"/>
        </w:rPr>
      </w:pP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项目名称：</w:t>
      </w:r>
      <w:r>
        <w:rPr>
          <w:rFonts w:hint="eastAsia" w:ascii="宋体" w:hAnsi="宋体" w:eastAsia="宋体"/>
          <w:b/>
          <w:bCs/>
          <w:sz w:val="24"/>
          <w:szCs w:val="24"/>
        </w:rPr>
        <w:t xml:space="preserve">数字教学资源制作服务项目</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三、采购要求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（一）服务内容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了深化教学改革，推动信息技术与教学深度融合，促进课程资源的应用与共享，推进学校数字教学资源建设，帮助我院教师提高信息化教学能力。通过引入先进技术和优质服务，建设一批高质量、系统化、交互性强的数字教学资源，并打造一批具有前瞻性、示范性的创新型智慧课程，全面推动我校教学模式创新、教学质量提升和学习体验优化，为培养高素质技术技能型人才奠定坚实基础。现通过公开招投标的方式选取4家服务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本次建设内容为16门在线课程资源和4门AI智慧课程，分别为第一标段5门课程、第二标段5门课程、第三标段6门课程、第四标段4门AI智慧课程建设。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（二）采购内容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第一标段：园艺科技学院、食品科技学院、环境工程学院6个团队在线课程资源制作。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第二标段：国际教育学院、经济管理学院、智慧农业学院、图书馆5个团队在线课程资源制作。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第三标段：园林工程学院5个团队在线课程资源制作。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第四标段：4个团队AI智慧课程建设。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（三）单价最高限价</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410"/>
        <w:gridCol w:w="1842"/>
        <w:gridCol w:w="2977"/>
      </w:tblGrid>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序号</w:t>
            </w:r>
            <w:r/>
          </w:p>
        </w:tc>
        <w:tc>
          <w:tcPr>
            <w:tcW w:w="241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分项名称</w:t>
            </w:r>
            <w:r/>
          </w:p>
        </w:tc>
        <w:tc>
          <w:tcPr>
            <w:tcW w:w="184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单位</w:t>
            </w:r>
            <w:r/>
          </w:p>
        </w:tc>
        <w:tc>
          <w:tcPr>
            <w:tcW w:w="2977"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单价最高限价</w:t>
            </w:r>
            <w:r/>
          </w:p>
        </w:tc>
      </w:tr>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w:t>
            </w:r>
            <w:r/>
          </w:p>
        </w:tc>
        <w:tc>
          <w:tcPr>
            <w:tcW w:w="241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教学视频</w:t>
            </w:r>
            <w:r/>
          </w:p>
        </w:tc>
        <w:tc>
          <w:tcPr>
            <w:tcW w:w="184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分钟</w:t>
            </w:r>
            <w:r/>
          </w:p>
        </w:tc>
        <w:tc>
          <w:tcPr>
            <w:tcW w:w="2977"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170元/分钟</w:t>
            </w:r>
            <w:r/>
          </w:p>
        </w:tc>
      </w:tr>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w:t>
            </w:r>
            <w:r/>
          </w:p>
        </w:tc>
        <w:tc>
          <w:tcPr>
            <w:tcW w:w="241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二维动画</w:t>
            </w:r>
            <w:r/>
          </w:p>
        </w:tc>
        <w:tc>
          <w:tcPr>
            <w:tcW w:w="184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秒</w:t>
            </w:r>
            <w:r/>
          </w:p>
        </w:tc>
        <w:tc>
          <w:tcPr>
            <w:tcW w:w="2977"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50元/秒</w:t>
            </w:r>
            <w:r/>
          </w:p>
        </w:tc>
      </w:tr>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w:t>
            </w:r>
            <w:r/>
          </w:p>
        </w:tc>
        <w:tc>
          <w:tcPr>
            <w:tcW w:w="2410"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color w:val="auto"/>
                <w:sz w:val="24"/>
                <w:szCs w:val="24"/>
              </w:rPr>
              <w:t xml:space="preserve">三维动画</w:t>
            </w:r>
            <w:r/>
          </w:p>
        </w:tc>
        <w:tc>
          <w:tcPr>
            <w:tcW w:w="1842"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秒</w:t>
            </w:r>
            <w:r/>
          </w:p>
        </w:tc>
        <w:tc>
          <w:tcPr>
            <w:tcW w:w="2977" w:type="dxa"/>
            <w:vAlign w:val="center"/>
            <w:textDirection w:val="lrTb"/>
            <w:noWrap w:val="false"/>
          </w:tcPr>
          <w:p>
            <w:pPr>
              <w:jc w:val="center"/>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90元/秒</w:t>
            </w:r>
            <w:r/>
          </w:p>
        </w:tc>
      </w:tr>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W w:w="2410" w:type="dxa"/>
            <w:vAlign w:val="center"/>
            <w:textDirection w:val="lrTb"/>
            <w:noWrap w:val="false"/>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虚拟仿真资源</w:t>
            </w:r>
            <w:r/>
          </w:p>
        </w:tc>
        <w:tc>
          <w:tcPr>
            <w:tcW w:w="1842" w:type="dxa"/>
            <w:vAlign w:val="center"/>
            <w:textDirection w:val="lrTb"/>
            <w:noWrap w:val="false"/>
          </w:tcPr>
          <w:p>
            <w:pPr>
              <w:jc w:val="center"/>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个</w:t>
            </w:r>
            <w:r/>
          </w:p>
        </w:tc>
        <w:tc>
          <w:tcPr>
            <w:tcW w:w="2977" w:type="dxa"/>
            <w:vAlign w:val="center"/>
            <w:textDirection w:val="lrTb"/>
            <w:noWrap w:val="false"/>
          </w:tcPr>
          <w:p>
            <w:pPr>
              <w:jc w:val="center"/>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20000元/个</w:t>
            </w:r>
            <w:r/>
          </w:p>
        </w:tc>
      </w:tr>
    </w:tbl>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四、招标内容（第一、二、三标段）</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（一）项目总体要求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具体内容包括搭建适当的教学情境，拍摄教学视频、制作动画等视频单元，制作与美化教学课件，序化教学过程，将教师讲解、示范、作业处理、讨论等内容有效融入教学视频之中，并制作片头、课程介绍、课程花絮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次参与招标的为在线开放课程制作服务，采购方在线开放课程的负责人将择优选择任一中标供应商制作课程的部分或全部视频（含二维动画、三维动画、虚拟仿真资源）。每门课程实际制作的教学录像视频、动画、虚拟仿真资源总数量以学校最终的课程建设方案为准，结算时以本次投标所报</w:t>
      </w:r>
      <w:r>
        <w:rPr>
          <w:rFonts w:hint="eastAsia" w:ascii="宋体" w:hAnsi="宋体" w:eastAsia="宋体" w:cs="宋体"/>
          <w:sz w:val="24"/>
          <w:szCs w:val="24"/>
          <w:lang w:val="en-US" w:eastAsia="zh-CN"/>
        </w:rPr>
        <w:t xml:space="preserve">优惠</w:t>
      </w:r>
      <w:r>
        <w:rPr>
          <w:rFonts w:hint="eastAsia" w:ascii="宋体" w:hAnsi="宋体" w:eastAsia="宋体" w:cs="宋体"/>
          <w:sz w:val="24"/>
          <w:szCs w:val="24"/>
        </w:rPr>
        <w:t xml:space="preserve">率为准。必须包括在线开放课程制作与服务的全部费用，并交付视频工程源文件和转换成高清MP4格式的成品视频文件。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教学视频以每分钟为单位进行报价，二维动画、三维动画每秒钟、虚拟仿真资源以每个为单位进行报价。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1.报价概念定义：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教学视频，指将教学过程有效组织起来而制作的视频，中间穿插教师讲解录像、录屏、二维动画、三维动画（制作另外计价）、操作示范、课件展示、作业处理、答疑解惑等内容，每段视频一般为5-15分钟。教学视频按分钟结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二维动画，指以使用Flash、AE等专业动画设计软件在二维空间上模拟景物真实运动效果而制作出来的动画。视频制作软件中自带的转场动画效果、PowerPoint中的转场翻页等动画动作均不包含在此范围内。根据具体的课程制作要求，决定具体制作时长，单独按秒计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sz w:val="24"/>
          <w:szCs w:val="24"/>
        </w:rPr>
        <w:t xml:space="preserve">（3）三维动画，是指使用C4D、MAYA、3DMAX等专业的三维动画软件制作的，有立体空间</w:t>
      </w:r>
      <w:r>
        <w:rPr>
          <w:rFonts w:hint="eastAsia" w:ascii="宋体" w:hAnsi="宋体" w:eastAsia="宋体" w:cs="宋体"/>
          <w:color w:val="auto"/>
          <w:sz w:val="24"/>
          <w:szCs w:val="24"/>
          <w:highlight w:val="none"/>
        </w:rPr>
        <w:t xml:space="preserve">感的模型及空间场景动画。根据具体的课程制作要求，决定具体制作时长，单独按秒计算。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虚拟仿真资源，是指利用计算机技术、多媒体技术、虚拟现实（VR）、增强现实（AR）、混合现实（MR）等数字化手段，模拟真实或构想的环境、系统、过程或现象，并允许用户进行交互操作的一类数字化资源。本次配套提供的虚拟仿真资源包含：时长不超过15秒的三维动画、时长不超过1分钟的二维动画，数量不超过3个的三维模型，以及不超过6步的简易交互操作流程；同时配套建设课程运行共享平台，支持各类实训资源挂载至数字化教材、智慧课程及知识图谱中；虚拟仿真资源按个结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2.拍摄成品总体要求：视频图像清晰，景别合理，剪辑流畅，画面优美，字幕同步，视频文件大小适中，适合网络播放。</w:t>
      </w:r>
      <w:r/>
    </w:p>
    <w:p>
      <w:pPr>
        <w:ind w:firstLine="480"/>
        <w:spacing w:line="360" w:lineRule="auto"/>
        <w:rPr>
          <w:rFonts w:ascii="宋体" w:hAnsi="宋体" w:eastAsia="宋体" w:cs="宋体"/>
          <w:sz w:val="24"/>
          <w:szCs w:val="24"/>
        </w:rPr>
      </w:pPr>
      <w:r>
        <w:rPr>
          <w:rFonts w:hint="eastAsia" w:ascii="宋体" w:hAnsi="宋体" w:eastAsia="宋体" w:cs="宋体"/>
          <w:color w:val="auto"/>
          <w:sz w:val="24"/>
          <w:szCs w:val="24"/>
          <w:highlight w:val="none"/>
        </w:rPr>
        <w:t xml:space="preserve">3.投标人能够在第一时间响应拍摄</w:t>
      </w:r>
      <w:r>
        <w:rPr>
          <w:rFonts w:hint="eastAsia" w:ascii="宋体" w:hAnsi="宋体" w:eastAsia="宋体" w:cs="宋体"/>
          <w:sz w:val="24"/>
          <w:szCs w:val="24"/>
        </w:rPr>
        <w:t xml:space="preserve">需求，能在规定的时间内保质保量的完成视频拍摄和制作任务。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4.投标人的视频拍摄质量必须要达到标书规定的要求。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5.在线开放课程建设及投标技术指标要求以教育部在线教育研究中心《大规模开放在线课程（MOOCs）制作手册》和《“十三五”高等学校在线开放课程建设工作的通知》为标准。</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（二）录制方式及设备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1.拍摄方式要根据课程内容，采用多机位拍摄（2机位及以上），拍摄轨道、摇臂、1.5米小型轨等，机位设置应满足完整记录课堂全部教学活动的要求。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2.拍摄场地为教学实境或专业摄影棚，录制现场光线充足、环境安静、整洁，采用单一的背景，避免在镜头中出现有广告嫌疑或与课程无关的标识等内容。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3.根据课程内容需求，搭建适当的教学场景，拍摄质量达到电视专题效果。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4.录像设备，摄像机要求不低于专业级数字设备，原则要求使用高清数字设备。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5.录音设备，使用若干个专业级话筒，保证教师和学生发言的录音质量。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6.后期制作设备，使用相应的非线性编辑系统。</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（三）视频拍摄及内容要求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1.制作团队及服务要求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方应安排在线开放课程制作经验丰富的团队承担制作任务，包括但不限于项目负责人、微课编导、微课顾问、PPT设计及界面设计人员、动画制作、摄影师、其他技术人员，人员要求不少于7人。团队各成员必须充分理解在线开放课程制作和运营特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（2）投标方应安排专业摄像师，摄像总监或从业5年以上资深摄像师；安排专业化妆师，有跟剧组经验，擅长画舞台装、上镜装等；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制作团队能够参与到课程规划和设计中，必须在拍摄之前提供专业摄影棚供老师选择，与教学团队就在线开放课程脚本提案做充分沟通，能够为主讲教师脚本设计提供优质的展现形式，协助教师梳理知识点、收集整理相关资料；制作团队完整负责课程拍摄、根据课程教师提供的讲稿制作字幕；以及后期制作（首页设计、页面美化、文字排版、文字校对、页面审核、剪辑、修改、特效、包装、动画制作、录音合成等），直至课程负责人审核通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（4）根据要求把成品视频转换成高清MP4格式。并确保所制作的课程在技术层面与我校相关平台相兼容，制作团队必须做好该项目的管理和服务工作。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2.课程设计环节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（1）制作方需安排课程编导同课程负责人根据教学大纲制定整体教学设计。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（2）以知识点为基础组织拍摄教学内容，每个知识点的教学视频内容为20分钟以内。每门课程可根据需要选择若干个不同拍摄场景。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（3）制作方录制前应对授课过程中使用的多媒体课件（PPT、音视频、动画等）认真检查，确保内容无误，排版格式规范，版面简洁清晰，符合拍摄要求。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（4）制作方在拍摄时应针对实际情况选择适当的拍摄方式，与后期制作统筹策划，确保成片中的多媒体演示及板书完整、清晰。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制作方课程编导与课程教师按课程章节和知识点，收集材料如：PPT、视频、文档、老师资料以及一些辅助课程的拓展资料。与主讲老师商定的线开放课程的内容设计、章节及知识点切割及时间的把控，制作课程脚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（6）制作方课程编导与课程教师确定拍摄章节和知识点，根据课程内容进行策划制作效果，选择场地、布置现场、服装搭配，协调拍摄注意事项等问题。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3.课程介绍宣传片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课程的介绍片是指在学生学习本课程前，用于了解课程内容、讲授方式、主讲教师和助教团队、课程所在院系等相关信息的2～4分钟的视频介绍。要求能够较充分的反映课程的主要内容概况，集形、声、色、动态于一体，生动直观。</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（四）后期制作要求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1.制作规范及要求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（1）使用专业的非线性编辑系统对源视频进行最基本的处理（如剪辑、抠像、颜色校正、双声道处理）。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后期特效保证画面美观、色彩真实，符合摄影构图规则。老师视频必须具备人物特写、知识点特效展示、人物中景等场景。场景切换自然流畅，色彩无突变，画面无晃动、抖动、模糊聚焦和镜头频繁拉伸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（3）根据编导脚本进行编辑片花和引文中的背景板、特定的背景音乐、音乐场景特效、引文字体、字体颜色、构图排版、转场特效、基本剪辑、音视频调整与衔接工作。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（4）根据每个课程的内容提供片头及片尾案例策划不少于3套，片头特效包含二维三维动画制作，片头和片尾的总时长不超过10秒，包含学校LOGO、课程名称、主讲教师姓名、专业技术职务。（不计算动画费用）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（5）拍摄制作效果不能低于招标提供的案例课程视频。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（6）根据内容或老师要求，每个知识点的视频可插入视频制作软件中自带的转场动画效果或PowerPoint中的动画特效，动画不应涉及第三方知识产权。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2.技术指标参数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（1）视频信号源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 稳定性：全片图像同步性能稳定，无失步现象，CTL同步控制信号必须连续：图像无抖动跳跃，色彩无突变，编辑点图像稳定。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 信噪比：图像信噪比不低于55dB，无明显杂波。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 色调：白平衡正确，无明显偏色，多机拍摄的镜头衔接处无明显色差。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 视频电平：视频全讯号幅度为1Vp-p，最大不超过1.1Vp-p。其中，消隐电平为0V时，白电平幅度0.7Vp-p，同步信号-0.3V，色同步信号幅度0.3Vp-p（以消隐线上下对称），全片一致。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（2）音频信号源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 声道：中文内容音频信号记录于第1声道，音乐、音效、同期声记录于第2声道，若有其他文字解说记录于第3声道（如录音设备无第3声道,则录于第2声道）。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 电平指标：-2db～-8db声音无明显失真、放音过冲、过弱。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 音频信噪比不低于48db。</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 声音和画面要求同步，无交流声或其他杂音等缺陷。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 伴音清晰、饱满、圆润，无失真、噪声杂音干扰、音量忽大忽小现象。解说声与现场声无明显比例失调，解说声与背景音乐无明显比例失调。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（3）纯动画制作要求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能根据课程建设需要进行必要的二维动画的设计。要求达到制作高清，画面排版精致，图像清晰，色彩饱和，播放流畅，声音清楚，制作精细，吸引力强，激发学习兴趣。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教育性：通过动画演示能帮助学生更好的理解产品的工作过程。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科学性：无穿帮镜头，无科学性错误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艺术性：高清，画面排版精致，图像清晰，色彩饱和，播放流畅，声音清楚，制作精细，吸引力强，激发学习兴趣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创新性：设计独到、创意新颖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二维动画技术要求</w:t>
      </w:r>
      <w:r>
        <w:rPr>
          <w:rFonts w:hint="eastAsia" w:ascii="宋体" w:hAnsi="宋体" w:eastAsia="宋体" w:cs="宋体"/>
          <w:b/>
          <w:bCs/>
          <w:sz w:val="24"/>
          <w:szCs w:val="24"/>
        </w:rPr>
        <w:tab/>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 动画色彩造型和谐，帧和帧之间的关联性强。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 动画演播过程要求流畅，静止画面时间不超过5秒。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 转化为视频的动画，视频压缩采用H.264(MPEG-4 Part10：profile=main, level=3.0)编码方式，码流率256 Kbps以上，帧率不低于25 fps，分辨率不低于1280×720（16:9）声音和画面要求同步，无交流声或其他杂音等缺陷，无明显失真、放音过冲、过弱。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 伴音清晰、饱满、圆润，无失真、噪声杂音干扰、音量忽大忽小现象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 解说声与现场声、背景音乐无明显比例失调。音频信噪比不低于48 dB</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⑥ 字幕要使用符合国家标准的规范字，不出现繁体字、异体字(国家规定的除外)、错别字；字幕的字体、大小、色彩搭配、摆放位置、停留时间、出入屏方式力求与其他要素（画面、解说词、音乐）配合适当，不能破坏原有画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⑦ 格式：需提供MP4、SWF格式或HTML5网页动画。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⑧ 二维动画精度要求较高，画面质感细腻，内容真实，动作流畅。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⑨ 动画含动画视频和交互动画。</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三维动画技术要求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 动画色彩造型和谐，帧和帧之间的关联性强。动画演播过程要求流畅，静止画面时间不超过5秒。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 转化为视频的动画，压缩采用H.264(MPEG-4 Part10：profile=main, level=3.0)编码方式，码流率256Kbps以上，帧率不低于25fps，分辨率不低于1280×780（16:9）声音和画面要求同步，无交流声或其他杂音等缺陷，无明显失真、放音过冲、过弱。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 伴音清晰、饱满、圆润，无失真、噪声杂音干扰、音量忽大忽小现象。解说声与现场声、背景音乐无明显比例失调。音频信噪比不低于48 dB。</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 字幕要使用符合国家标准的规范字，不出现繁体字、异体字(国家规定的除外)、错别字；字幕的字体、大小、色彩搭配、摆放位置、停留时间、出入屏方式力求与其他要素（画面、解说词、音乐）配合适当，不能破坏原有画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 格式：使用目前主流三维动画格式。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⑥ 模型精度要求较高，贴图细腻有质感，材质真实，运动规律比较复杂，动作流畅，镜头转变较多。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⑦ 使用3DMAX、Maya、Creo、Solidworks等常见建模工具建模。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3.视、音频交付文件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（1）交付载体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 所有视频文件（含视频工程源文件）、相应的媒体文件（PPT、PDF等）及相关的材料均需拷盘交付（移动硬盘或U盘）。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 文件或文件包须注明课程全称、课程单元、片段、标题及主讲教师、时长等信息。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 所有课程素材母带（或素材数据硬盘）最后交采购方。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 课程视频具体要求：提交高清格式（分辨率不低于1920×1080像素）成片一份。此外再提交供委托方上传的单个视频文件大小不超过1GB、分辨率不低于1280×720像素的压缩成片一份。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（2）视频压缩格式及技术参数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sz w:val="24"/>
          <w:szCs w:val="24"/>
        </w:rPr>
        <w:t xml:space="preserve">① 视频压缩采用H.264/AVC（MPEG-4 Part10）</w:t>
      </w:r>
      <w:r>
        <w:rPr>
          <w:rFonts w:hint="eastAsia" w:ascii="宋体" w:hAnsi="宋体" w:eastAsia="宋体" w:cs="宋体"/>
          <w:color w:val="auto"/>
          <w:sz w:val="24"/>
          <w:szCs w:val="24"/>
          <w:highlight w:val="none"/>
        </w:rPr>
        <w:t xml:space="preserve">编码、使用二次编码、不包含字幕的MP4格式。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视频码流率：动态码流的最高码率不高于2500Kbps，最低码率不得低于1024Kbps。</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视频分辨率及视频画幅宽高比：1920×1080；16:9。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视频帧率为25帧/秒。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扫描方式采用逐行扫描。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（3）音频压缩格式及技术参数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音频压缩采用AAC（MPEG4 Part3）格式。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采样率48KHz。</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音频码流率128Kbps（恒定）。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必须是双声道，必须做混音处理。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（4）封装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采用MP4封装。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（5）外挂唱词文件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唱词文件格式：独立的SRT格式的唱词文件。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唱词的行数要求：每屏只有一行唱词。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唱词的字数要求：画幅比为4:3的，每行不超过15个字；画幅比为16：9的，每行不超过20个字。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唱词的位置：保持每屏唱词出现位置一致。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唱词中的标点符号：只有书名号及书名号中的标点、间隔号、连接号、具有特殊含意的词语的引号可以出现在唱词中，在每屏唱词中用空格代替标点表示语气停顿，所有标点及空格均使用全角。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 唱词的断句：不简单按照字数断句，以内容为断句依据。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 唱词中的数学公式、化学分子式、物理量和单位，尽量以文本文字呈现；不宜用文本文字呈现的且在视频画面中已经通过PPT、板书等方式显示清楚的，可以不加该行唱词。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（五）虚拟仿真资源</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1.模型建设</w:t>
      </w:r>
      <w:r/>
    </w:p>
    <w:p>
      <w:pPr>
        <w:ind w:left="5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（1）模型精度要求</w:t>
      </w:r>
      <w:r/>
    </w:p>
    <w:p>
      <w:pPr>
        <w:numPr>
          <w:ilvl w:val="0"/>
          <w:numId w:val="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高精度建模：设备、仪器等模型需符合真实尺寸（毫米级误差），拓扑结构合理，避免破面或重叠。</w:t>
      </w:r>
      <w:r/>
    </w:p>
    <w:p>
      <w:pPr>
        <w:numPr>
          <w:ilvl w:val="0"/>
          <w:numId w:val="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LOD（Level of Detail）分级：根据距离动态切换模型精度（如远距离显示简化模型，近距离展示高模）。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（2）模型规范要求</w:t>
      </w:r>
      <w:r/>
    </w:p>
    <w:p>
      <w:pPr>
        <w:numPr>
          <w:ilvl w:val="0"/>
          <w:numId w:val="5"/>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文件格式：通用格式（FBX、OBJ、GLTF）优先，支持跨平台引擎（Unity、Unreal）。</w:t>
      </w:r>
      <w:r/>
    </w:p>
    <w:p>
      <w:pPr>
        <w:numPr>
          <w:ilvl w:val="0"/>
          <w:numId w:val="5"/>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命名规则：层级结构清晰（如“设备_部件_编号”），材质球与贴图命名一致。</w:t>
      </w:r>
      <w:r/>
    </w:p>
    <w:p>
      <w:pPr>
        <w:numPr>
          <w:ilvl w:val="0"/>
          <w:numId w:val="5"/>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UV展开：避免拉伸，贴图利用率需达80%以上，支持2K/4K贴图分辨率。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（3）材质与贴图要求</w:t>
      </w:r>
      <w:r/>
    </w:p>
    <w:p>
      <w:pPr>
        <w:numPr>
          <w:ilvl w:val="0"/>
          <w:numId w:val="6"/>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PBR材质：金属度（Metallic）、粗糙度（Roughness）等参数需符合物理规律，支持HDR环光反射。</w:t>
      </w:r>
      <w:r/>
    </w:p>
    <w:p>
      <w:pPr>
        <w:numPr>
          <w:ilvl w:val="0"/>
          <w:numId w:val="6"/>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动态贴图：如屏幕空间反射（SSR）、视差贴图（Parallax Mapping）增强真实感。</w:t>
      </w:r>
      <w:r/>
    </w:p>
    <w:p>
      <w:pPr>
        <w:numPr>
          <w:ilvl w:val="0"/>
          <w:numId w:val="6"/>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透明材质优化：Alpha通道处理需兼容不同渲染管线（如Forward/Deferred Rendering）。</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（4）模型优化要求</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合并网格：减少Draw Call（如静态物体合并为单一Mesh）。</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碰撞体简化：使用Box/Sphere碰撞体替代复杂Mesh Collider，提升物理计算效率。</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2.动画建设</w:t>
      </w:r>
      <w:r/>
    </w:p>
    <w:p>
      <w:pPr>
        <w:numPr>
          <w:ilvl w:val="0"/>
          <w:numId w:val="8"/>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动画类型</w:t>
      </w:r>
      <w:r/>
    </w:p>
    <w:p>
      <w:pPr>
        <w:numPr>
          <w:ilvl w:val="0"/>
          <w:numId w:val="9"/>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关键帧动画：时间轴精确到帧（24/30/60 FPS），支持缓入缓出（Ease In/Out）。</w:t>
      </w:r>
      <w:r/>
    </w:p>
    <w:p>
      <w:pPr>
        <w:numPr>
          <w:ilvl w:val="0"/>
          <w:numId w:val="9"/>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顶点动画：适用于流体、软体变形（如布料模拟、液体流动）。</w:t>
      </w:r>
      <w:r/>
    </w:p>
    <w:p>
      <w:pPr>
        <w:numPr>
          <w:ilvl w:val="0"/>
          <w:numId w:val="9"/>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程序化动画：通过代码驱动（如机械臂运动轨迹算法）。</w:t>
      </w:r>
      <w:r/>
    </w:p>
    <w:p>
      <w:pPr>
        <w:numPr>
          <w:ilvl w:val="0"/>
          <w:numId w:val="9"/>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动画融合：无缝切换不同动作（行走、奔跑、跳跃），支持运动捕捉（Mocap）数据与程序化动画的结合。</w:t>
      </w:r>
      <w:r/>
    </w:p>
    <w:p>
      <w:pPr>
        <w:numPr>
          <w:ilvl w:val="0"/>
          <w:numId w:val="8"/>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交互动画</w:t>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事件触发：用户操作（点击、拖拽）触发动画状态机（Animation State Machine），支持中断和过渡。</w:t>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物理模拟：刚体动力学（如物体坠落）、粒子系统（烟雾、火焰）需与场景交互（如风力影响）。</w:t>
      </w:r>
      <w:r/>
    </w:p>
    <w:p>
      <w:pPr>
        <w:numPr>
          <w:ilvl w:val="0"/>
          <w:numId w:val="8"/>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性能要求</w:t>
      </w:r>
      <w:r/>
    </w:p>
    <w:p>
      <w:pPr>
        <w:numPr>
          <w:ilvl w:val="0"/>
          <w:numId w:val="11"/>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多边形优化：通过LOD（Level of Detail）技术动态调整模型精度，平衡视觉效果与渲染性能。</w:t>
      </w:r>
      <w:r/>
    </w:p>
    <w:p>
      <w:pPr>
        <w:numPr>
          <w:ilvl w:val="0"/>
          <w:numId w:val="11"/>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资源压缩：贴图压缩（BC7/ASTC）、动画数据精简（关键帧插值）以减少内存占用。</w:t>
      </w:r>
      <w:r/>
    </w:p>
    <w:p>
      <w:pPr>
        <w:numPr>
          <w:ilvl w:val="0"/>
          <w:numId w:val="11"/>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动画压缩：使用骨骼动画压缩算法（如Unity的Animator Compression），减少内存占用。</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3.程序交互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（1）交互准确性与稳定性要求：系统交互触发成功率需 ≥99%（通过重复测试100次以上验证），碰撞检测误判率 ≤0.5%；支持物理交互稳定响应，误触发率极低。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（2）自由动态探索功能：用户可通过触控或鼠标操作对3D模型进行自由旋转、缩放、平移等操作，深入探索模型结构细节，交互响应流畅无卡顿。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（3）大模型加载与传输优化：支持对大体量模型的切片加载、异步加载、LOD（Level of Detail）技术优化；后台传输采用分片上传、断点续传与压缩传输机制，提高文件传输效率与稳定性。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（4）支持H5页面嵌入与自定义交互：可将3D交互模块封装为 WebGL 模块嵌入 H5 页面，支持轻量化加载、点击互动、浮层展示等功能，提升宣传效率与用户互动体验。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（5）界面动画与交互反馈：操作过程需提供适当的视觉反馈，如按钮点击动效、加载进度条、选中高亮等，提升用户操作感知；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支持过渡动画、模型高亮提示、场景引导等交互演示功能。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（6）性能优化与帧率控制：在WebGL端保证在主流设备下帧率 ≥30FPS，PC端帧率 ≥60FPS；优化Draw Call数量与资源占用，减少CPU/GPU负担，提升整体运行流畅度。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（7）网络连接与资源调度机制：支持断线重连、资源预加载、缓存机制等，提高资源访问效率；支持CDN加速与静态资源分发。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（8）后端数据接口支持与模块扩展：支持通过RESTful API进行模型数据、交互逻辑、用户信息等数据通信；模块化开发，便于后续功能扩展与维护。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（9）数据安全与权限控制：支持HTTPS传输协议，保障用户数据安全；支持用户权限分级管理，不同角色访问不同交互内容。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（10）系统兼容性与浏览器支持要求：WebGL 应兼容 Chrome、Edge、Firefox 等常见浏览器；不依赖特定插件（如Flash），避免兼容性问题。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（11）系统稳定性与崩溃保护：程序应具备良好的异常处理机制，避免因模型加载失败、网络错误等导致程序崩溃；支持错误提示反馈、日志记录、Bug追踪等系统维护功能。</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4.界面设计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（1）界面字体与排版规范化：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字体清晰可读，统一采用微软雅黑或思源黑体等无衬线字体；字体大小区分明确（如标题 24px，正文 16px，辅助文字 12px），行高通常为 1.5 倍；对齐方式为左对齐，避免中英文混排错位，符合用户阅读习惯；界面文本支持多语言扩展。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（2）图标与图形视觉设计统一：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图标风格保持扁平化或拟物风统一设计语言，色彩风格一致；图标尺寸应满足清晰度要求（如32px以上），间距保持合理（一般不小于8px）；支持SVG图标适配高分辨率设备，避免图标模糊或变形。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（3）响应式与适配性设计：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UI 布局采用响应式技术，自动适配不同设备与浏览器窗口尺寸；保证内容在不同终端（PC、安卓手机、安卓平板等）均能正常显示与操作；支持竖屏与横屏布局切换，确保用户在移动端良好使用体验。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5.交付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（1）制作方须在每次课程拍摄完成后30日内完成视频成品的交付工作。 </w:t>
      </w:r>
      <w:r/>
    </w:p>
    <w:p>
      <w:pPr>
        <w:ind w:firstLine="480"/>
        <w:spacing w:line="360" w:lineRule="auto"/>
        <w:rPr>
          <w:rFonts w:ascii="宋体" w:hAnsi="宋体" w:eastAsia="宋体" w:cs="宋体"/>
          <w:sz w:val="24"/>
          <w:szCs w:val="24"/>
        </w:rPr>
      </w:pPr>
      <w:r>
        <w:rPr>
          <w:rFonts w:hint="eastAsia" w:ascii="宋体" w:hAnsi="宋体" w:eastAsia="宋体" w:cs="宋体"/>
          <w:color w:val="auto"/>
          <w:sz w:val="24"/>
          <w:szCs w:val="24"/>
          <w:highlight w:val="none"/>
        </w:rPr>
        <w:t xml:space="preserve">（2）课程负责人将《视频单元修改意见表》发给制作方（最多三次），制作方应根据课程负责人的反馈意见进行视频的剪辑和修改，自收到《视频单元修改意见表》之日起10日内完成剪辑及修改工作并交付视频小</w:t>
      </w:r>
      <w:r>
        <w:rPr>
          <w:rFonts w:hint="eastAsia" w:ascii="宋体" w:hAnsi="宋体" w:eastAsia="宋体" w:cs="宋体"/>
          <w:sz w:val="24"/>
          <w:szCs w:val="24"/>
        </w:rPr>
        <w:t xml:space="preserve">样或成品。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（3）经课程负责人审核后，制作方交付的最终成品经采购方组织专家审核通过后方可完成交付。课程成品不符合质量要求，没有通过专家审核的，须于收到反馈意见后10日内完成修改，并最终通过采购方的审核。</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（六）课程运行及推广要求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供应商为此次建设的课程提供全方位的课程运营服务，包括但不限于课程校内和校外上线、课程对外推广和对校内混合式课程运行需求。</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（七）培训要求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1、培训内容及培训对象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为了最大程度发挥校级在线开放课程传播价值和教学价值，课程建设过程中成交供应商在履约期间需要对老师进行针对性的专业培训。培训包含但不限于如下内容：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（1）免费为使用人员提供课程使用培训。</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（2）免费为技术维护人员提供课程维护培训。</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（3）免费为采购人课程上线培训。</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（4）免费为采购人提供课程制作改进及相关知识培训。</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（5）结合在线开放课程平台特点，国家、省级在线开放课程的建设标准，为采购人提供课程建设线上主题培训。</w:t>
      </w:r>
      <w:r/>
    </w:p>
    <w:p>
      <w:pPr>
        <w:ind w:firstLine="482"/>
        <w:jc w:val="left"/>
        <w:spacing w:line="360" w:lineRule="auto"/>
        <w:rPr>
          <w:rFonts w:ascii="宋体" w:hAnsi="宋体" w:eastAsia="宋体" w:cs="宋体"/>
          <w:b/>
          <w:bCs/>
          <w:smallCaps/>
          <w:sz w:val="24"/>
          <w:szCs w:val="24"/>
        </w:rPr>
      </w:pPr>
      <w:r>
        <w:rPr>
          <w:rFonts w:hint="eastAsia" w:ascii="宋体" w:hAnsi="宋体" w:eastAsia="宋体" w:cs="宋体"/>
          <w:b/>
          <w:bCs/>
          <w:smallCaps/>
          <w:sz w:val="24"/>
          <w:szCs w:val="24"/>
        </w:rPr>
        <w:t xml:space="preserve">（八）培训内容</w:t>
      </w:r>
      <w:r/>
    </w:p>
    <w:p>
      <w:pPr>
        <w:ind w:firstLine="480"/>
        <w:jc w:val="left"/>
        <w:spacing w:line="360" w:lineRule="auto"/>
        <w:rPr>
          <w:rFonts w:ascii="宋体" w:hAnsi="宋体" w:eastAsia="宋体" w:cs="宋体"/>
          <w:smallCaps/>
          <w:sz w:val="24"/>
          <w:szCs w:val="24"/>
        </w:rPr>
      </w:pPr>
      <w:r>
        <w:rPr>
          <w:rFonts w:hint="eastAsia" w:ascii="宋体" w:hAnsi="宋体" w:eastAsia="宋体" w:cs="宋体"/>
          <w:smallCaps/>
          <w:sz w:val="24"/>
          <w:szCs w:val="24"/>
        </w:rPr>
        <w:t xml:space="preserve">1.在线培训课程</w:t>
      </w:r>
      <w:r/>
    </w:p>
    <w:p>
      <w:pPr>
        <w:ind w:firstLine="480"/>
        <w:jc w:val="left"/>
        <w:spacing w:line="360" w:lineRule="auto"/>
        <w:rPr>
          <w:rFonts w:ascii="宋体" w:hAnsi="宋体" w:eastAsia="宋体" w:cs="宋体"/>
          <w:smallCaps/>
          <w:sz w:val="24"/>
          <w:szCs w:val="24"/>
        </w:rPr>
      </w:pPr>
      <w:r>
        <w:rPr>
          <w:rFonts w:hint="eastAsia" w:ascii="宋体" w:hAnsi="宋体" w:eastAsia="宋体" w:cs="宋体"/>
          <w:smallCaps/>
          <w:sz w:val="24"/>
          <w:szCs w:val="24"/>
        </w:rPr>
        <w:t xml:space="preserve">提供不少于50门在线培训课程清单，课程内容应涵盖：（1）课堂教学设计；（2）课堂教学实施；（3）教学语言技巧；（4）教学反思；（5）教学管理；课堂评价；（6）信息技术与研究方法 ；（7）MOOC与翻转课堂的设计与实施；（8）微课视频的设计与制作；（9）多媒体教学软件设计与开发；（10）师风师德等模块。在线培训课程数量，提供定期课程更新服务。</w:t>
      </w:r>
      <w:r/>
    </w:p>
    <w:p>
      <w:pPr>
        <w:ind w:firstLine="480"/>
        <w:jc w:val="left"/>
        <w:spacing w:line="360" w:lineRule="auto"/>
        <w:rPr>
          <w:rFonts w:ascii="宋体" w:hAnsi="宋体" w:eastAsia="宋体" w:cs="宋体"/>
          <w:smallCaps/>
          <w:sz w:val="24"/>
          <w:szCs w:val="24"/>
        </w:rPr>
      </w:pPr>
      <w:r>
        <w:rPr>
          <w:rFonts w:hint="eastAsia" w:ascii="宋体" w:hAnsi="宋体" w:eastAsia="宋体" w:cs="宋体"/>
          <w:smallCaps/>
          <w:sz w:val="24"/>
          <w:szCs w:val="24"/>
        </w:rPr>
        <w:t xml:space="preserve">2.直播讲堂服务 ：</w:t>
      </w:r>
      <w:r/>
    </w:p>
    <w:p>
      <w:pPr>
        <w:ind w:firstLine="480"/>
        <w:jc w:val="left"/>
        <w:spacing w:line="360" w:lineRule="auto"/>
        <w:rPr>
          <w:rFonts w:ascii="宋体" w:hAnsi="宋体" w:eastAsia="宋体" w:cs="宋体"/>
          <w:smallCaps/>
          <w:sz w:val="24"/>
          <w:szCs w:val="24"/>
        </w:rPr>
      </w:pPr>
      <w:r>
        <w:rPr>
          <w:rFonts w:hint="eastAsia" w:ascii="宋体" w:hAnsi="宋体" w:eastAsia="宋体" w:cs="宋体"/>
          <w:smallCaps/>
          <w:sz w:val="24"/>
          <w:szCs w:val="24"/>
        </w:rPr>
        <w:t xml:space="preserve">要求提供不少于5套关于课程设计、教学改革等方面的专项网络直播讲座服务，用于开展线上教师培训。且支持以下功能。</w:t>
      </w:r>
      <w:r/>
    </w:p>
    <w:p>
      <w:pPr>
        <w:ind w:firstLine="480"/>
        <w:jc w:val="left"/>
        <w:spacing w:line="360" w:lineRule="auto"/>
        <w:rPr>
          <w:rFonts w:ascii="宋体" w:hAnsi="宋体" w:eastAsia="宋体" w:cs="宋体"/>
          <w:smallCaps/>
          <w:sz w:val="24"/>
          <w:szCs w:val="24"/>
        </w:rPr>
      </w:pPr>
      <w:r>
        <w:rPr>
          <w:rFonts w:hint="eastAsia" w:ascii="宋体" w:hAnsi="宋体" w:eastAsia="宋体" w:cs="宋体"/>
          <w:smallCaps/>
          <w:sz w:val="24"/>
          <w:szCs w:val="24"/>
        </w:rPr>
        <w:t xml:space="preserve">（1）支持在线自助加入直播课堂课程，支持弹幕讨论与课内发帖讨论；</w:t>
      </w:r>
      <w:r/>
    </w:p>
    <w:p>
      <w:pPr>
        <w:ind w:firstLine="480"/>
        <w:jc w:val="left"/>
        <w:spacing w:line="360" w:lineRule="auto"/>
        <w:rPr>
          <w:rFonts w:ascii="宋体" w:hAnsi="宋体" w:eastAsia="宋体" w:cs="宋体"/>
          <w:smallCaps/>
          <w:sz w:val="24"/>
          <w:szCs w:val="24"/>
        </w:rPr>
      </w:pPr>
      <w:r>
        <w:rPr>
          <w:rFonts w:hint="eastAsia" w:ascii="宋体" w:hAnsi="宋体" w:eastAsia="宋体" w:cs="宋体"/>
          <w:smallCaps/>
          <w:sz w:val="24"/>
          <w:szCs w:val="24"/>
        </w:rPr>
        <w:t xml:space="preserve">（2）支持流媒体无插件直播，可通过浏览器在网络上进行视频直播的观看，无需下载其他插件或客户端；</w:t>
      </w:r>
      <w:r/>
    </w:p>
    <w:p>
      <w:pPr>
        <w:ind w:firstLine="480"/>
        <w:jc w:val="left"/>
        <w:spacing w:line="360" w:lineRule="auto"/>
        <w:rPr>
          <w:rFonts w:ascii="宋体" w:hAnsi="宋体" w:eastAsia="宋体" w:cs="宋体"/>
          <w:smallCaps/>
          <w:sz w:val="24"/>
          <w:szCs w:val="24"/>
        </w:rPr>
      </w:pPr>
      <w:r>
        <w:rPr>
          <w:rFonts w:hint="eastAsia" w:ascii="宋体" w:hAnsi="宋体" w:eastAsia="宋体" w:cs="宋体"/>
          <w:smallCaps/>
          <w:sz w:val="24"/>
          <w:szCs w:val="24"/>
        </w:rPr>
        <w:t xml:space="preserve">（3）记录使用观看直播时长及参与班级内活动过程性数据；</w:t>
      </w:r>
      <w:r/>
    </w:p>
    <w:p>
      <w:pPr>
        <w:ind w:firstLine="480"/>
        <w:jc w:val="left"/>
        <w:spacing w:line="360" w:lineRule="auto"/>
        <w:rPr>
          <w:rFonts w:ascii="宋体" w:hAnsi="宋体" w:eastAsia="宋体" w:cs="宋体"/>
          <w:smallCaps/>
          <w:sz w:val="24"/>
          <w:szCs w:val="24"/>
        </w:rPr>
      </w:pPr>
      <w:r>
        <w:rPr>
          <w:rFonts w:hint="eastAsia" w:ascii="宋体" w:hAnsi="宋体" w:eastAsia="宋体" w:cs="宋体"/>
          <w:smallCaps/>
          <w:sz w:val="24"/>
          <w:szCs w:val="24"/>
        </w:rPr>
        <w:t xml:space="preserve">（4）以单位报名参加直播讲堂的，直播讲堂成绩支持导出。</w:t>
      </w:r>
      <w:r/>
    </w:p>
    <w:p>
      <w:pPr>
        <w:ind w:firstLine="480"/>
        <w:jc w:val="left"/>
        <w:spacing w:line="360" w:lineRule="auto"/>
        <w:rPr>
          <w:rFonts w:ascii="宋体" w:hAnsi="宋体" w:eastAsia="宋体" w:cs="宋体"/>
          <w:smallCaps/>
          <w:sz w:val="24"/>
          <w:szCs w:val="24"/>
        </w:rPr>
      </w:pPr>
      <w:r>
        <w:rPr>
          <w:rFonts w:hint="eastAsia" w:ascii="宋体" w:hAnsi="宋体" w:eastAsia="宋体" w:cs="宋体"/>
          <w:smallCaps/>
          <w:sz w:val="24"/>
          <w:szCs w:val="24"/>
        </w:rPr>
        <w:t xml:space="preserve">3.网络教学备课资源库</w:t>
      </w:r>
      <w:r/>
    </w:p>
    <w:p>
      <w:pPr>
        <w:pStyle w:val="888"/>
        <w:ind w:firstLine="480"/>
        <w:spacing w:line="360" w:lineRule="auto"/>
        <w:rPr>
          <w:rFonts w:hAnsi="宋体" w:eastAsia="宋体" w:cs="宋体"/>
          <w:smallCaps/>
          <w:sz w:val="24"/>
          <w:szCs w:val="24"/>
        </w:rPr>
      </w:pPr>
      <w:r>
        <w:rPr>
          <w:rFonts w:hint="eastAsia" w:hAnsi="宋体" w:eastAsia="宋体" w:cs="宋体"/>
          <w:smallCaps/>
          <w:sz w:val="24"/>
          <w:szCs w:val="24"/>
        </w:rPr>
        <w:t xml:space="preserve">为提升教师资源应用能力，同时为教师拓展学习提供资源服务，须由供应商提供海量教学资源，包括海量学术视频、电子图书、报纸、期刊、专题等阅读资源，该类教学资源能够支持教师在课程建设、备课、授课过程中，随时可以搜索、引用、插入和应用，全面辅助教师教学和学生学习。供应商应提供相关电子资源库的计算机软件著作权证书。</w:t>
      </w:r>
      <w:r/>
    </w:p>
    <w:p>
      <w:pPr>
        <w:pStyle w:val="888"/>
        <w:ind w:firstLine="480"/>
        <w:spacing w:line="360" w:lineRule="auto"/>
        <w:rPr>
          <w:rFonts w:hAnsi="宋体" w:eastAsia="宋体" w:cs="宋体"/>
          <w:smallCaps/>
          <w:sz w:val="24"/>
          <w:szCs w:val="24"/>
        </w:rPr>
      </w:pPr>
      <w:r>
        <w:rPr>
          <w:rFonts w:hint="eastAsia" w:hAnsi="宋体" w:eastAsia="宋体" w:cs="宋体"/>
          <w:smallCaps/>
          <w:sz w:val="24"/>
          <w:szCs w:val="24"/>
        </w:rPr>
        <w:t xml:space="preserve">4.线下专家培训</w:t>
      </w:r>
      <w:r/>
    </w:p>
    <w:p>
      <w:pPr>
        <w:pStyle w:val="888"/>
        <w:ind w:firstLine="480"/>
        <w:spacing w:line="360" w:lineRule="auto"/>
        <w:rPr>
          <w:rFonts w:hAnsi="宋体" w:eastAsia="宋体" w:cs="宋体"/>
          <w:smallCaps/>
          <w:sz w:val="24"/>
          <w:szCs w:val="24"/>
        </w:rPr>
      </w:pPr>
      <w:r>
        <w:rPr>
          <w:rFonts w:hint="eastAsia" w:hAnsi="宋体" w:eastAsia="宋体" w:cs="宋体"/>
          <w:smallCaps/>
          <w:sz w:val="24"/>
          <w:szCs w:val="24"/>
        </w:rPr>
        <w:t xml:space="preserve">注重解决教师在课程建设过程中实际所遇到的问题，在教学设计、多媒体技巧、慕课制作方面有针对性为建设课程教师提供线下培训；根据学校课程建设需求，邀请专业人士赴校为教师开展讲座及培训等线下培训。合作期内供应商须提供不少于2场线下培训。</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5.培训时间与地点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（1）培训地点：用户指定地点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（2）培训时间：课程验收完成后的 1 个工作日内。定期由采购人指定时间，为采购人用户提供规范的课程培训。</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（3）售后追踪服务，根据采购人使用情况免费为采购人提供相关的课程改进及使用知识培训。</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（4）培训完成后，将采购人培训情况进行记录与统计，并进行相应的归档，以便后期为采购人提供更全面、周到的服务。</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五、招标内容（第四标段）</w:t>
      </w:r>
      <w:r/>
    </w:p>
    <w:tbl>
      <w:tblPr>
        <w:tblStyle w:val="1071"/>
        <w:tblW w:w="4734" w:type="pct"/>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3067"/>
        <w:gridCol w:w="1327"/>
        <w:gridCol w:w="1217"/>
        <w:gridCol w:w="2228"/>
      </w:tblGrid>
      <w:tr>
        <w:trPr>
          <w:trHeight w:val="18"/>
        </w:trPr>
        <w:tc>
          <w:tcPr>
            <w:tcW w:w="523"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751"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AI智慧课程建设内容</w:t>
            </w:r>
            <w:r/>
          </w:p>
        </w:tc>
        <w:tc>
          <w:tcPr>
            <w:tcW w:w="758"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单位</w:t>
            </w:r>
            <w:r/>
          </w:p>
        </w:tc>
        <w:tc>
          <w:tcPr>
            <w:tcW w:w="695"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272"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18"/>
        </w:trPr>
        <w:tc>
          <w:tcPr>
            <w:tcW w:w="523"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751" w:type="pct"/>
            <w:vAlign w:val="center"/>
            <w:textDirection w:val="lrTb"/>
            <w:noWrap/>
          </w:tcPr>
          <w:p>
            <w:pPr>
              <w:pStyle w:val="914"/>
              <w:ind w:firstLine="0"/>
              <w:jc w:val="center"/>
              <w:spacing w:line="360" w:lineRule="auto"/>
              <w:rPr>
                <w:rFonts w:ascii="宋体" w:hAnsi="宋体" w:eastAsia="宋体" w:cs="宋体"/>
                <w:b/>
                <w:bCs/>
                <w:sz w:val="24"/>
              </w:rPr>
            </w:pPr>
            <w:r>
              <w:rPr>
                <w:rFonts w:hint="eastAsia" w:ascii="宋体" w:hAnsi="宋体" w:eastAsia="宋体" w:cs="宋体"/>
                <w:sz w:val="24"/>
              </w:rPr>
              <w:t xml:space="preserve">课程资源建设服务</w:t>
            </w:r>
            <w:r/>
          </w:p>
        </w:tc>
        <w:tc>
          <w:tcPr>
            <w:tcW w:w="758" w:type="pct"/>
            <w:vAlign w:val="center"/>
            <w:textDirection w:val="lrTb"/>
            <w:noWrap/>
          </w:tcPr>
          <w:p>
            <w:pPr>
              <w:pStyle w:val="914"/>
              <w:ind w:firstLine="0"/>
              <w:jc w:val="center"/>
              <w:spacing w:line="360" w:lineRule="auto"/>
              <w:rPr>
                <w:rFonts w:ascii="宋体" w:hAnsi="宋体" w:eastAsia="宋体" w:cs="宋体"/>
                <w:b/>
                <w:bCs/>
                <w:sz w:val="24"/>
                <w:highlight w:val="yellow"/>
              </w:rPr>
            </w:pPr>
            <w:r>
              <w:rPr>
                <w:rFonts w:hint="eastAsia" w:ascii="宋体" w:hAnsi="宋体" w:eastAsia="宋体" w:cs="宋体"/>
                <w:sz w:val="24"/>
              </w:rPr>
              <w:t xml:space="preserve">项</w:t>
            </w:r>
            <w:r/>
          </w:p>
        </w:tc>
        <w:tc>
          <w:tcPr>
            <w:tcW w:w="695"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72" w:type="pct"/>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具体技术要求见下文</w:t>
            </w:r>
            <w:r/>
          </w:p>
        </w:tc>
      </w:tr>
      <w:tr>
        <w:trPr>
          <w:trHeight w:val="18"/>
        </w:trPr>
        <w:tc>
          <w:tcPr>
            <w:tcW w:w="523"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751"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课程图谱建设服务</w:t>
            </w:r>
            <w:r/>
          </w:p>
        </w:tc>
        <w:tc>
          <w:tcPr>
            <w:tcW w:w="758"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套</w:t>
            </w:r>
            <w:r/>
          </w:p>
        </w:tc>
        <w:tc>
          <w:tcPr>
            <w:tcW w:w="695"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72" w:type="pct"/>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8"/>
        </w:trPr>
        <w:tc>
          <w:tcPr>
            <w:tcW w:w="523"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751"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课程专属智能体</w:t>
            </w:r>
            <w:r/>
          </w:p>
        </w:tc>
        <w:tc>
          <w:tcPr>
            <w:tcW w:w="758"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套</w:t>
            </w:r>
            <w:r/>
          </w:p>
        </w:tc>
        <w:tc>
          <w:tcPr>
            <w:tcW w:w="695"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72" w:type="pct"/>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33"/>
        </w:trPr>
        <w:tc>
          <w:tcPr>
            <w:tcW w:w="523"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751"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虚拟数字人定制</w:t>
            </w:r>
            <w:r/>
          </w:p>
        </w:tc>
        <w:tc>
          <w:tcPr>
            <w:tcW w:w="758"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个</w:t>
            </w:r>
            <w:r/>
          </w:p>
        </w:tc>
        <w:tc>
          <w:tcPr>
            <w:tcW w:w="695"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72" w:type="pct"/>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8"/>
        </w:trPr>
        <w:tc>
          <w:tcPr>
            <w:tcW w:w="523"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751"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课程任务引擎设计</w:t>
            </w:r>
            <w:r/>
          </w:p>
        </w:tc>
        <w:tc>
          <w:tcPr>
            <w:tcW w:w="758"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套</w:t>
            </w:r>
            <w:r/>
          </w:p>
        </w:tc>
        <w:tc>
          <w:tcPr>
            <w:tcW w:w="695"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72" w:type="pct"/>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8"/>
        </w:trPr>
        <w:tc>
          <w:tcPr>
            <w:tcW w:w="523"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tcW w:w="1751"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课程虚拟展厅建设</w:t>
            </w:r>
            <w:r/>
          </w:p>
        </w:tc>
        <w:tc>
          <w:tcPr>
            <w:tcW w:w="758" w:type="pct"/>
            <w:vAlign w:val="center"/>
            <w:textDirection w:val="lrTb"/>
            <w:noWrap/>
          </w:tcPr>
          <w:p>
            <w:pPr>
              <w:pStyle w:val="914"/>
              <w:ind w:firstLine="0"/>
              <w:jc w:val="center"/>
              <w:spacing w:line="360" w:lineRule="auto"/>
              <w:rPr>
                <w:rFonts w:ascii="宋体" w:hAnsi="宋体" w:eastAsia="宋体" w:cs="宋体"/>
                <w:sz w:val="24"/>
              </w:rPr>
            </w:pPr>
            <w:r>
              <w:rPr>
                <w:rFonts w:hint="eastAsia" w:ascii="宋体" w:hAnsi="宋体" w:eastAsia="宋体" w:cs="宋体"/>
                <w:sz w:val="24"/>
              </w:rPr>
              <w:t xml:space="preserve">套</w:t>
            </w:r>
            <w:r/>
          </w:p>
        </w:tc>
        <w:tc>
          <w:tcPr>
            <w:tcW w:w="695"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72" w:type="pct"/>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（一）课程数字资源建设服务</w:t>
      </w:r>
      <w:r/>
    </w:p>
    <w:p>
      <w:pPr>
        <w:pStyle w:val="888"/>
        <w:ind w:firstLine="480"/>
        <w:spacing w:line="360" w:lineRule="auto"/>
        <w:rPr>
          <w:rFonts w:hAnsi="宋体" w:eastAsia="宋体" w:cs="宋体"/>
          <w:smallCaps/>
          <w:sz w:val="24"/>
          <w:szCs w:val="24"/>
        </w:rPr>
      </w:pPr>
      <w:r>
        <w:rPr>
          <w:rFonts w:hint="eastAsia" w:hAnsi="宋体" w:eastAsia="宋体" w:cs="宋体"/>
          <w:smallCaps/>
          <w:sz w:val="24"/>
          <w:szCs w:val="24"/>
        </w:rPr>
        <w:t xml:space="preserve">本项目要求供应商为每门“AI智慧课程”提供课程资源建设服务，为确保课程教学效果和资源形式的灵活性，课程教师可根据教学内容和目标，在上述单门课程总预算范围内，选择不同类型的资源（教学视频、二维动画、三维动画、虚拟仿真资源）及其组合，并按照下方“各类资源单价最高限价”进行折算和配比配置教学资源，以确保教学效果与学习体验。</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410"/>
        <w:gridCol w:w="1842"/>
        <w:gridCol w:w="2977"/>
      </w:tblGrid>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序号</w:t>
            </w:r>
            <w:r/>
          </w:p>
        </w:tc>
        <w:tc>
          <w:tcPr>
            <w:tcW w:w="241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分项名称</w:t>
            </w:r>
            <w:r/>
          </w:p>
        </w:tc>
        <w:tc>
          <w:tcPr>
            <w:tcW w:w="184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单位</w:t>
            </w:r>
            <w:r/>
          </w:p>
        </w:tc>
        <w:tc>
          <w:tcPr>
            <w:tcW w:w="2977"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单价最高限价</w:t>
            </w:r>
            <w:r/>
          </w:p>
        </w:tc>
      </w:tr>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w:t>
            </w:r>
            <w:r/>
          </w:p>
        </w:tc>
        <w:tc>
          <w:tcPr>
            <w:tcW w:w="241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教学视频</w:t>
            </w:r>
            <w:r/>
          </w:p>
        </w:tc>
        <w:tc>
          <w:tcPr>
            <w:tcW w:w="184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分钟</w:t>
            </w:r>
            <w:r/>
          </w:p>
        </w:tc>
        <w:tc>
          <w:tcPr>
            <w:tcW w:w="2977"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170元/分钟</w:t>
            </w:r>
            <w:r/>
          </w:p>
        </w:tc>
      </w:tr>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w:t>
            </w:r>
            <w:r/>
          </w:p>
        </w:tc>
        <w:tc>
          <w:tcPr>
            <w:tcW w:w="241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二维动画</w:t>
            </w:r>
            <w:r/>
          </w:p>
        </w:tc>
        <w:tc>
          <w:tcPr>
            <w:tcW w:w="184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秒</w:t>
            </w:r>
            <w:r/>
          </w:p>
        </w:tc>
        <w:tc>
          <w:tcPr>
            <w:tcW w:w="2977"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50元/秒</w:t>
            </w:r>
            <w:r/>
          </w:p>
        </w:tc>
      </w:tr>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w:t>
            </w:r>
            <w:r/>
          </w:p>
        </w:tc>
        <w:tc>
          <w:tcPr>
            <w:tcW w:w="241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sz w:val="24"/>
                <w:szCs w:val="24"/>
              </w:rPr>
              <w:t xml:space="preserve">三维动画</w:t>
            </w:r>
            <w:r/>
          </w:p>
        </w:tc>
        <w:tc>
          <w:tcPr>
            <w:tcW w:w="1842"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秒</w:t>
            </w:r>
            <w:r/>
          </w:p>
        </w:tc>
        <w:tc>
          <w:tcPr>
            <w:tcW w:w="2977"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90元/秒</w:t>
            </w:r>
            <w:r/>
          </w:p>
        </w:tc>
      </w:tr>
      <w:tr>
        <w:trPr>
          <w:jc w:val="center"/>
        </w:trPr>
        <w:tc>
          <w:tcPr>
            <w:tcW w:w="959" w:type="dxa"/>
            <w:vAlign w:val="center"/>
            <w:textDirection w:val="lrTb"/>
            <w:noWrap w:val="false"/>
          </w:tcPr>
          <w:p>
            <w:pPr>
              <w:jc w:val="center"/>
              <w:spacing w:line="360"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W w:w="2410" w:type="dxa"/>
            <w:vAlign w:val="center"/>
            <w:textDirection w:val="lrTb"/>
            <w:noWrap w:val="false"/>
          </w:tcPr>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虚拟仿真资源</w:t>
            </w:r>
            <w:r/>
          </w:p>
        </w:tc>
        <w:tc>
          <w:tcPr>
            <w:tcW w:w="1842" w:type="dxa"/>
            <w:vAlign w:val="center"/>
            <w:textDirection w:val="lrTb"/>
            <w:noWrap w:val="false"/>
          </w:tcPr>
          <w:p>
            <w:pPr>
              <w:jc w:val="center"/>
              <w:spacing w:line="360"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个</w:t>
            </w:r>
            <w:r/>
          </w:p>
        </w:tc>
        <w:tc>
          <w:tcPr>
            <w:tcW w:w="2977" w:type="dxa"/>
            <w:vAlign w:val="center"/>
            <w:textDirection w:val="lrTb"/>
            <w:noWrap w:val="false"/>
          </w:tcPr>
          <w:p>
            <w:pPr>
              <w:jc w:val="center"/>
              <w:spacing w:line="360" w:lineRule="auto"/>
              <w:widowControl/>
              <w:rPr>
                <w:rFonts w:ascii="宋体" w:hAnsi="宋体" w:eastAsia="宋体" w:cs="宋体"/>
                <w:bCs/>
                <w:sz w:val="24"/>
                <w:szCs w:val="24"/>
                <w:highlight w:val="none"/>
              </w:rPr>
            </w:pPr>
            <w:r>
              <w:rPr>
                <w:rFonts w:hint="eastAsia" w:ascii="宋体" w:hAnsi="宋体" w:eastAsia="宋体" w:cs="宋体"/>
                <w:bCs/>
                <w:color w:val="auto"/>
                <w:sz w:val="24"/>
                <w:szCs w:val="24"/>
                <w:highlight w:val="none"/>
              </w:rPr>
              <w:t xml:space="preserve">20000元/个</w:t>
            </w:r>
            <w:r/>
          </w:p>
        </w:tc>
      </w:tr>
    </w:tbl>
    <w:p>
      <w:pPr>
        <w:ind w:firstLine="482"/>
        <w:spacing w:line="360" w:lineRule="auto"/>
        <w:rPr>
          <w:rFonts w:ascii="宋体" w:hAnsi="宋体" w:eastAsia="宋体" w:cs="宋体"/>
          <w:b/>
          <w:bCs/>
          <w:sz w:val="24"/>
          <w:szCs w:val="24"/>
        </w:rPr>
      </w:pPr>
      <w:r/>
      <w:bookmarkStart w:id="52" w:name="_Toc23839"/>
      <w:r/>
      <w:bookmarkStart w:id="53" w:name="_Hlk492714916"/>
      <w:r>
        <w:rPr>
          <w:rFonts w:hint="eastAsia" w:ascii="宋体" w:hAnsi="宋体" w:eastAsia="宋体" w:cs="宋体"/>
          <w:b/>
          <w:bCs/>
          <w:sz w:val="24"/>
          <w:szCs w:val="24"/>
        </w:rPr>
        <w:t xml:space="preserve">1.课程微课视频开发</w:t>
      </w:r>
      <w:bookmarkEnd w:id="52"/>
      <w:r/>
      <w:bookmarkEnd w:id="53"/>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课程基于混合式教学理论，</w:t>
      </w:r>
      <w:r>
        <w:rPr>
          <w:rFonts w:hint="eastAsia" w:ascii="宋体" w:hAnsi="宋体" w:eastAsia="宋体" w:cs="宋体"/>
          <w:sz w:val="24"/>
          <w:szCs w:val="24"/>
          <w:lang w:val="zh-CN"/>
        </w:rPr>
        <w:t xml:space="preserve">按照在线课程视频制作要求进行课程微课设计制作</w:t>
      </w:r>
      <w:r>
        <w:rPr>
          <w:rFonts w:hint="eastAsia" w:ascii="宋体" w:hAnsi="宋体" w:eastAsia="宋体" w:cs="宋体"/>
          <w:sz w:val="24"/>
          <w:szCs w:val="24"/>
        </w:rPr>
        <w:t xml:space="preserve">。按照5～15分钟为一个微课的方式，将理论与实践相结合，融人文教育与趣味知识于一体，通过动画、情景剧、实操演示等视频呈现形式，以恢弘场景展现课程内容，将课程理念通过视频视觉化呈现。</w:t>
      </w:r>
      <w:bookmarkStart w:id="54" w:name="_Toc10826"/>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2.课程视频制作</w:t>
      </w:r>
      <w:bookmarkEnd w:id="54"/>
      <w:r/>
      <w:r/>
    </w:p>
    <w:p>
      <w:pPr>
        <w:ind w:firstLine="480"/>
        <w:spacing w:line="360" w:lineRule="auto"/>
        <w:rPr>
          <w:rFonts w:ascii="宋体" w:hAnsi="宋体" w:eastAsia="宋体" w:cs="宋体"/>
          <w:sz w:val="24"/>
          <w:szCs w:val="24"/>
        </w:rPr>
      </w:pPr>
      <w:r/>
      <w:bookmarkStart w:id="55" w:name="_Toc31867"/>
      <w:r>
        <w:rPr>
          <w:rFonts w:hint="eastAsia" w:ascii="宋体" w:hAnsi="宋体" w:eastAsia="宋体" w:cs="宋体"/>
          <w:sz w:val="24"/>
          <w:szCs w:val="24"/>
        </w:rPr>
        <w:t xml:space="preserve">2.1课程设计咨询与拍摄准备</w:t>
      </w:r>
      <w:bookmarkEnd w:id="5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2.1.1按照在线课程章节微课或知识图谱知识点微课为单位组织进行教学设计，知识点的呈现应考虑在线学习特点。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2.1.2课程顾问（编导）与课程教师确定拍摄章节和微课内容，根据课程内容策划制作效果，选择场地、布置现场、服装搭配，协调拍摄注意事项等问题。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2.1.3制作方负责列出课程顾问（编导）与课程教师按课程章节确定的内容，收集材料如：PPT、视频、文档、老师资料以及一些辅助课程的拓展资料。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2.1.4课程介绍宣传片要求：不超过3分钟的课程介绍，要求能够较充分反映课程的主要内容概况，集形、声、色、动态于一体，生动直观、易于接受、感染力强、形式新颖、生动有趣、富有新意。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2.1.5指导老师塑造理性严谨、情绪感染、自然朴素、风趣幽默等类型的教学风格。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2.1.6为教师提供教师形象、教学动作、教学语言等咨询与建议。</w:t>
      </w:r>
      <w:r/>
    </w:p>
    <w:p>
      <w:pPr>
        <w:pStyle w:val="867"/>
        <w:ind w:firstLine="482"/>
        <w:spacing w:before="0" w:after="0" w:line="360" w:lineRule="auto"/>
        <w:rPr>
          <w:rFonts w:ascii="宋体" w:hAnsi="宋体" w:eastAsia="宋体" w:cs="宋体"/>
          <w:sz w:val="24"/>
          <w:szCs w:val="24"/>
        </w:rPr>
      </w:pPr>
      <w:r/>
      <w:bookmarkStart w:id="56" w:name="_Toc27369"/>
      <w:r>
        <w:rPr>
          <w:rFonts w:hint="eastAsia" w:ascii="宋体" w:hAnsi="宋体" w:eastAsia="宋体" w:cs="宋体"/>
          <w:sz w:val="24"/>
          <w:szCs w:val="24"/>
        </w:rPr>
        <w:t xml:space="preserve">2.2课程拍摄要求</w:t>
      </w:r>
      <w:bookmarkEnd w:id="5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2.2.1按设计完成课程微课视频录制，录像环境光线充足、安静，教师衣着得体，拍摄前需简单化妆，保持最佳精神状态。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2.2.2录制人员具备丰富专业拍摄经验。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2.2.3录制设备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录像设备：使用至少两台以上专业级高清数字设备，保证设备能正常完成拍摄任务。摄像机拍摄时所采用分辨率为4096×2160，录制视频宽高比16:9，视频帧率为25帧/秒。拍摄设备要同型同款，保证录制效果的一致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主机位用于拍摄教师全景，辅助机位拍摄教师特写、板书以及多媒体信息。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（2）录音设备要求使用若干个专业级话筒，保证录音质量。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（3）保证拍摄现场的音响效果及灯光效果达到</w:t>
      </w:r>
      <w:r>
        <w:rPr>
          <w:rFonts w:hint="eastAsia" w:ascii="宋体" w:hAnsi="宋体" w:eastAsia="宋体" w:cs="宋体"/>
          <w:sz w:val="24"/>
          <w:szCs w:val="24"/>
          <w:lang w:val="zh-CN"/>
        </w:rPr>
        <w:t xml:space="preserve">在线开放课程制作要求。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（4）监听设备：监听耳机2副。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（5）后期制作设备：使用非线性编辑系统。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2.2.4成片交付采用两版视频形式。一版MPG高清视频，一版MP4网络使用视频。</w:t>
      </w:r>
      <w:r/>
    </w:p>
    <w:p>
      <w:pPr>
        <w:pStyle w:val="867"/>
        <w:ind w:firstLine="482"/>
        <w:spacing w:before="0" w:after="0" w:line="360" w:lineRule="auto"/>
        <w:rPr>
          <w:rFonts w:ascii="宋体" w:hAnsi="宋体" w:eastAsia="宋体" w:cs="宋体"/>
          <w:sz w:val="24"/>
          <w:szCs w:val="24"/>
        </w:rPr>
      </w:pPr>
      <w:r/>
      <w:bookmarkStart w:id="57" w:name="_Toc3409"/>
      <w:r>
        <w:rPr>
          <w:rFonts w:hint="eastAsia" w:ascii="宋体" w:hAnsi="宋体" w:eastAsia="宋体" w:cs="宋体"/>
          <w:sz w:val="24"/>
          <w:szCs w:val="24"/>
        </w:rPr>
        <w:t xml:space="preserve">2.3后期制作</w:t>
      </w:r>
      <w:bookmarkEnd w:id="5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2.3.1使用专业的非线性编辑系统对源视频进行处理（如抠像、颜色校正、双声道处理）。使用专业的视频编辑系统进行视频降噪、音频降噪。根据课程顾问脚本进行编辑片花和引文中的背景板、特定的背景音乐、音乐场景特效、引文字体、字体颜色、构图排版、转场特效、基本剪辑、音视频调整与衔接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2.3.2按照拍摄方案，不同的拍摄方式采用不同的制作方式。（如PPT模式需分章节剪辑，基地访谈模式按照老师讲解的内容变换机位，真人动画模式设计平面以及动画，完全动画模式按照详细的制作脚本完成动画设计制作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2.3.3片头：使用专业的后期合成软件进行片头设计，使用平面设计+后期合成+3D渲染，根据每个课题的内容设计出相关联的内容元素，片头不超过10秒，包含学校LOGO、课程名称、讲次、主讲教师姓名、专业技术职务等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2.3.4课程内容剪辑：技术工程师通篇观看视频，按照章节框架，以及现场场记情况，分章节剪辑老师状态不佳、口误、出镜、停顿等片段。实操部分添加必要的背景音乐，保证制作的片花无错误、无硬伤，画面美观，排版规范、逻辑完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2.3.5使用专业的后期合成软件制作片尾：根据版权所有情况，制定相关的片尾名单，包括版权单位、制作单位、录制时间等信息。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2.3.6使用专业非线性编辑系统渲染成片：所有内容编辑结束之后，生成成片，成品为一版高清制式，一版网络流畅制式。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2.3.7平面设计软件：PhotoshopCS5及以上版本，CorelDRAW，IllustratorCS5及以上版本；二维动画制作软件：Flash及其他主流动画制作软件；三维动画制作软件：3dMax，Maya；字幕制作软件：TIMEM时间机器，SRT字幕制作助手。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2.3.8二维动画技术要求</w:t>
      </w:r>
      <w:r>
        <w:rPr>
          <w:rFonts w:hint="eastAsia" w:ascii="宋体" w:hAnsi="宋体" w:eastAsia="宋体" w:cs="宋体"/>
          <w:sz w:val="24"/>
          <w:szCs w:val="24"/>
        </w:rPr>
        <w:tab/>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 动画色彩造型和谐，帧和帧之间的关联性强。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 动画演播过程要求流畅，静止画面时间不超过5秒。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 转化为视频的动画，视频压缩采用H.264(MPEG-4 Part10：profile=main, level=3.0)编码方式，码流率256 Kbps以上，帧率不低于25 fps，分辨率不低于1280×720（16:9）声音和画面要求同步，无交流声或其他杂音等缺陷，无明显失真、放音过冲、过弱。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 伴音清晰、饱满、圆润，无失真、噪声杂音干扰、音量忽大忽小现象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 解说声与现场声、背景音乐无明显比例失调。音频信噪比不低于48 dB</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⑥ 字幕要使用符合国家标准的规范字，不出现繁体字、异体字(国家规定的除外)、错别字；字幕的字体、大小、色彩搭配、摆放位置、停留时间、出入屏方式力求与其他要素（画面、解说词、音乐）配合适当，不能破坏原有画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⑦ 格式：需提供MP4、SWF格式或HTML5网页动画。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⑧ 二维动画精度要求较高，画面质感细腻，内容真实，动作流畅。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⑨ 动画含动画视频和交互动画。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2.3.9三维动画技术要求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 动画色彩造型和谐，帧和帧之间的关联性强。动画演播过程要求流畅，静止画面时间不超过5秒。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 转化为视频的动画，压缩采用H.264(MPEG-4 Part10：profile=main, level=3.0)编码方式，码流率256Kbps以上，帧率不低于25fps，分辨率不低于1280×780（16:9）声音和画面要求同步，无交流声或其他杂音等缺陷，无明显失真、放音过冲、过弱。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 伴音清晰、饱满、圆润，无失真、噪声杂音干扰、音量忽大忽小现象。解说声与现场声、背景音乐无明显比例失调。音频信噪比不低于48 dB。</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 字幕要使用符合国家标准的规范字，不出现繁体字、异体字(国家规定的除外)、错别字；字幕的字体、大小、色彩搭配、摆放位置、停留时间、出入屏方式力求与其他要素（画面、解说词、音乐）配合适当，不能破坏原有画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 格式：使用目前主流三维动画格式。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⑥ 模型精度要求较高，贴图细腻有质感，材质真实，运动规律比较复杂，动作流畅，镜头转变较多。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⑦ 使用3DMAX、Maya、Creo、Solidworks等常见建模工具建模。</w:t>
      </w:r>
      <w:r/>
    </w:p>
    <w:p>
      <w:pPr>
        <w:ind w:firstLine="480"/>
        <w:spacing w:line="360" w:lineRule="auto"/>
        <w:rPr>
          <w:rFonts w:ascii="宋体" w:hAnsi="宋体" w:eastAsia="宋体" w:cs="宋体"/>
          <w:sz w:val="24"/>
          <w:szCs w:val="24"/>
        </w:rPr>
      </w:pPr>
      <w:r>
        <w:rPr>
          <w:rFonts w:hint="eastAsia" w:ascii="宋体" w:hAnsi="宋体" w:eastAsia="宋体" w:cs="宋体"/>
          <w:sz w:val="24"/>
          <w:szCs w:val="24"/>
          <w:highlight w:val="none"/>
        </w:rPr>
        <w:t xml:space="preserve">2.3.10虚拟仿真资源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打造的仿真动画需要具备广泛的普适性与通用性，其应用场景多元，不仅能够便捷地导出至微课及视频之中，还可无缝嵌入教材资源体系。尤为重要的是，该动画充分考量教师教学实际需求，能为教师的二次研创工作提供有力支持，助力教师依据教学实践灵活调整与创新，进一步拓展动画在教学领域的应用价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三维动画和虚拟仿真资源需使用3D设计-分析-内容交互一体化平台，全工程数据；可提供3D模型数据与制造数据，并与2D/3D模型数据能够进行实时数据共享，实现数据的互联互通，无缝集成。实现智能设计与协同设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（2）数据兼容性：可利用多种模型软件（如：3DMAX等软件）进行3D模型设计，使用*.max三维文件格式；二维使用*.jpg、*.png等图片资源。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（3）虚拟仿真课程资源可直接读取工业3D设计数据，重复利用交互式动画和课件数据。（缝集成，全工程数据）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（4）渲染要求：具备常用渲染功能，图形模式包括：平面渲染模式、着色图解、技术渲染、平面技术渲染、轮廓渲染、平面渲染、线框渲染、点渲染；渲染中能够进行灯光、材质、纹理设定；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（5）可发布的文件格式：能够发布基于HTML格式的交互式文件；能够发布3D状态的PDF格式文档，并且在Adobe Acrobat软件中进行动画播放；交互式虚拟仿真课程资源开发平台可输出多种标准文件格式，包括Microsoft Office、PDF、HTML等。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（6）数据的同步性：制作完成的课程资源，后续修改模型或升级模型后能快速更新课程内模型；交互式课程资源能够保存其创建的内容并与产品数据同步。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课程资源采用多种设计、模型、开发制作软件制作。动画资源库素材可重复利用。教师个人可二次利用现有的动画资源，课件资源及其配套内容按照教学需要制作新的资源，展现自己在教学中的思想和理念。课程资源中所使用的数据与交互式动画之间能做到同时设计变更，使用的模型、开发素材可以提供给校方重复利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（8）制作的动画和虚拟仿真资源演播过程要求流畅，静止画面时间不超过5秒钟。采用MP4存储格式。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highlight w:val="none"/>
        </w:rPr>
        <w:t xml:space="preserve">（9）动画资源除了输出成MP4格式外，还得提供HTML版本的可交互仿真资源，此外根据老师研创需求提供源文件（包含但不限于3DMax模型、场景、UI、图片、HTML、开发代码）。</w:t>
      </w:r>
      <w:r/>
    </w:p>
    <w:p>
      <w:pPr>
        <w:pStyle w:val="867"/>
        <w:ind w:firstLine="482"/>
        <w:spacing w:before="0" w:after="0" w:line="360" w:lineRule="auto"/>
        <w:rPr>
          <w:rFonts w:ascii="宋体" w:hAnsi="宋体" w:eastAsia="宋体" w:cs="宋体"/>
          <w:sz w:val="24"/>
          <w:szCs w:val="24"/>
        </w:rPr>
      </w:pPr>
      <w:r/>
      <w:bookmarkStart w:id="58" w:name="_Toc18164"/>
      <w:r>
        <w:rPr>
          <w:rFonts w:hint="eastAsia" w:ascii="宋体" w:hAnsi="宋体" w:eastAsia="宋体" w:cs="宋体"/>
          <w:sz w:val="24"/>
          <w:szCs w:val="24"/>
        </w:rPr>
        <w:t xml:space="preserve">2.4技术指标</w:t>
      </w:r>
      <w:bookmarkEnd w:id="58"/>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2.4.1.视频信号源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1、稳定性：全片图像同步性能稳定，无失帧现象，CTL同步控制信号必须连续；图像无抖动跳跃，色彩无突变，编辑点处图像稳定。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2、信噪比：图像信噪比不低于55dB，无明显杂波。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3、色调：白平衡正确，无明显偏色，多机拍摄的镜头衔接处无明显色差。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4、视频电平：视频全讯号幅度为1.0Ⅴp-p，最大不超过1.1Ⅴp-p。其中，消隐电平为0V时，白电平幅度0.7Ⅴp-p，同步信号-0.3V，色同步信号幅度0.3Vp-p（以消隐线上下对称），全片一致。</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2.4.2音频信号源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1、声道：中文内容音频信号记录于第1声道，音乐、音效、同期声记录于第2声道，若有其他文字解说记录于第3声道（如录音设备无第3声道，则录于第2声道）。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2、电平指标：-2db—-8db声音应无明显失真、放音过冲、过弱。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3、音频信噪比不低于48db。</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4、声音和画面要求同步，无交流声或其他杂音等缺陷。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5、伴音清晰、饱满、圆润，无失真、噪声杂音干扰、音量忽大忽小现象。解说声与现场声无明显比例失调，解说声与背景音乐无明显比例失调。</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2.4.3.视、音频交付文件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1、交付载体。所有视频文件以拷贝形式交付学校，并在文件上标记学校名称、课程名称、讲次及标题、主讲教师、时长等。公司应保留全部母带级别文件，至少一年。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2、视频压缩格式及技术参数：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（1）视频压缩采用H.264(MPEG-4Part10：profile=main,level=3.0)编码、使用二次编码、不包含字幕的MP4格式。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（2）视频码流率：码流率5000kbps以上。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（3）视频分辨率：前期采用高清16:9拍摄。在同一课程中，各讲的视频分辨率统一，不得混用。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（4）视频画幅宽高比：分辨率设定为1920×1080，录制视频宽高比为16:9。在同一课程中，各讲画幅的宽高比统一，不得混用。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（5）视频帧率为25帧/秒。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（6）扫描方式采用逐行扫描。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（7）音频压缩格式及技术参数：音频压缩采用AAC（MPEG4Part3）格式，采样率48KHz，音频码流率256Kbps（恒定），必须是双声道，必须做混音处理。</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2.4.4.字幕文件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1、字幕文件格式：独立的SRT格式的字幕文件。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2、字幕的行数要求：每屏只有一行字幕。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3、字幕的字数要求：每行不超过14个字。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4、字幕的位置：保持每屏字幕出现位置一致。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5、字幕中的数学公式、化学分子式、物理量和单位，尽量以文本文字呈现。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字幕的字体：颜色、字体、字号简洁大方，不喧宾夺主；遇到字体主色与背景相近时，字幕需要描边。字幕要使用符合国家标准的规范字，不出现繁体字、异体字（国家规定的除外）、错别字；字幕的字体、大小、色彩搭配、摆放位置、停留时间、出入屏方式力求与其他要素（画面、解说词、音乐）配合适当，不能破坏原有画面。</w:t>
      </w:r>
      <w:r/>
    </w:p>
    <w:p>
      <w:pPr>
        <w:pStyle w:val="867"/>
        <w:ind w:firstLine="482"/>
        <w:spacing w:before="0" w:after="0" w:line="360" w:lineRule="auto"/>
        <w:rPr>
          <w:rFonts w:ascii="宋体" w:hAnsi="宋体" w:eastAsia="宋体" w:cs="宋体"/>
          <w:sz w:val="24"/>
          <w:szCs w:val="24"/>
        </w:rPr>
      </w:pPr>
      <w:r/>
      <w:bookmarkStart w:id="59" w:name="_Toc14763"/>
      <w:r>
        <w:rPr>
          <w:rFonts w:hint="eastAsia" w:ascii="宋体" w:hAnsi="宋体" w:eastAsia="宋体" w:cs="宋体"/>
          <w:sz w:val="24"/>
          <w:szCs w:val="24"/>
        </w:rPr>
        <w:t xml:space="preserve">2.5制作规范及要求</w:t>
      </w:r>
      <w:bookmarkEnd w:id="5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2.5.1使用专业的非线性编辑（1920*50M/S）系统对源视频进行基础处理（如剪辑、抠像、颜色校正、双声道处理）。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声音和画面要求同步，无交流声或其他杂音等缺陷，无明显失真、放音过冲、过弱。伴音清晰、饱满、圆润，无失真、噪声杂音干扰、音量忽大忽小现象。解说声与现场声、背景音乐无明显比例失调。音频信噪比不低于48dB。</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2.5.3后期特效保证画面美观、色彩真实，符合摄影构图规则。老师视频必须具备人物特写、知识点特效展示、人物中景等场景。场景切换自然流畅，色彩无突变，画面无晃动、抖动、模糊聚焦和镜头频繁拉伸等。</w:t>
      </w:r>
      <w:r/>
    </w:p>
    <w:p>
      <w:pPr>
        <w:pStyle w:val="867"/>
        <w:ind w:firstLine="48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2.6富媒体课程搭建</w:t>
      </w:r>
      <w:r/>
    </w:p>
    <w:p>
      <w:pPr>
        <w:pStyle w:val="883"/>
        <w:numPr>
          <w:ilvl w:val="0"/>
          <w:numId w:val="12"/>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支持制作富媒体课程，包含电子书任务点设置（限制页码范围）和富媒体资源插入（至少包括视频、电子书、在线录音、章节测验等），并展示富文本编辑器的图文混排效果；插入的PPT内容不需要安装任何插件，在浏览器页面原样展示PPT。</w:t>
      </w:r>
      <w:r/>
    </w:p>
    <w:p>
      <w:pPr>
        <w:pStyle w:val="883"/>
        <w:numPr>
          <w:ilvl w:val="0"/>
          <w:numId w:val="12"/>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课程单元内容建设可编辑视频、文档、图片、音频、图书、公式、符号、附件、网页、动画等；支持导入并编辑内容；视频上传与播放支持rmvb、3gp、mpg、mpeg、mov、wmv、avi、mkv、mp4、flv、vob、f4v等高清和网络格式；支持2G以上文件上传。</w:t>
      </w:r>
      <w:r/>
    </w:p>
    <w:p>
      <w:pPr>
        <w:pStyle w:val="883"/>
        <w:numPr>
          <w:ilvl w:val="0"/>
          <w:numId w:val="12"/>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平台需给教师配置个人存储空间，进行教学资源存储，具备已上传至个人资源存储空间的资源在课程建设过程中引用的功能，支持超大文件（2G以上）使用客户端上传。</w:t>
      </w:r>
      <w:r/>
    </w:p>
    <w:p>
      <w:pPr>
        <w:pStyle w:val="883"/>
        <w:numPr>
          <w:ilvl w:val="0"/>
          <w:numId w:val="12"/>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具备将其他课程章节资源一键导入至当前课程章节的功能，同时具备导出章节内容的功能。</w:t>
      </w:r>
      <w:r/>
    </w:p>
    <w:p>
      <w:pPr>
        <w:pStyle w:val="867"/>
        <w:ind w:firstLine="482"/>
        <w:spacing w:before="0" w:after="0" w:line="360" w:lineRule="auto"/>
        <w:rPr>
          <w:rFonts w:hint="eastAsia" w:ascii="宋体" w:hAnsi="宋体" w:eastAsia="宋体" w:cs="宋体"/>
          <w:sz w:val="24"/>
          <w:szCs w:val="24"/>
        </w:rPr>
      </w:pPr>
      <w:r/>
      <w:bookmarkStart w:id="60" w:name="_Toc239172467"/>
      <w:r/>
      <w:bookmarkStart w:id="61" w:name="_Toc14780"/>
      <w:r>
        <w:rPr>
          <w:rFonts w:hint="eastAsia" w:ascii="宋体" w:hAnsi="宋体" w:eastAsia="宋体" w:cs="宋体"/>
          <w:sz w:val="24"/>
          <w:szCs w:val="24"/>
        </w:rPr>
        <w:t xml:space="preserve">2.7题库资源结构化配套</w:t>
      </w:r>
      <w:bookmarkEnd w:id="60"/>
      <w:r/>
      <w:bookmarkEnd w:id="61"/>
      <w:r/>
      <w:r/>
    </w:p>
    <w:p>
      <w:pPr>
        <w:pStyle w:val="883"/>
        <w:numPr>
          <w:ilvl w:val="0"/>
          <w:numId w:val="13"/>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题库管理：支持教师创建课程题库，实现试题增删改查；支持单选、多选、判断、简答、共用选项题等题型，可设置难度系数与标签；具备模板导入与智能导入功能，可自动识别题型、题干、答案并支持原位编辑。</w:t>
      </w:r>
      <w:r/>
    </w:p>
    <w:p>
      <w:pPr>
        <w:pStyle w:val="883"/>
        <w:numPr>
          <w:ilvl w:val="0"/>
          <w:numId w:val="13"/>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具备对试题进行排序、编辑、移动、锁定、题型及难易度修改的能力，可关联知识点与课程目标；支持文件夹分类管理，可设置共享范围与锁定功能，锁定题目不参与选题、组卷；具备试题使用次数、学生答题正确率统计功能。</w:t>
      </w:r>
      <w:r/>
    </w:p>
    <w:p>
      <w:pPr>
        <w:pStyle w:val="883"/>
        <w:numPr>
          <w:ilvl w:val="0"/>
          <w:numId w:val="13"/>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试卷管理：具备从题库中随机生成试卷的功能，可对试卷中的试题进行添加、修改、删除、排序、预览等操作；可手动组卷或按照模板导入试卷，支持对创建好的试卷设置封存密码；具备通过题型、难易度统计进行试卷结构分析的功能，具备按照题量和题目分数分布进行统计分析的功能。</w:t>
      </w:r>
      <w:r/>
    </w:p>
    <w:p>
      <w:pPr>
        <w:pStyle w:val="883"/>
        <w:numPr>
          <w:ilvl w:val="0"/>
          <w:numId w:val="13"/>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考试须具备自动随机组卷功能，组多套试卷时可设置试卷试题重复率为0，或自定义重复率在1%到80%区间内的任意值；具备设置指定IP参加考试的功能，可设定随机考试码；具备考试客户端独立考试功能，实现考试过程抓拍、切屏监控和人脸识别；具备在线阅卷功能，阅卷教师可在线打分、写评语，具备在图片上批注的功能；具备按人批阅或按题目批阅的功能。作业支持生生互评功能，可设置教师批阅得分、学生批阅得分、互评参与情况的占比。</w:t>
      </w:r>
      <w:r/>
    </w:p>
    <w:p>
      <w:pPr>
        <w:pStyle w:val="883"/>
        <w:numPr>
          <w:ilvl w:val="0"/>
          <w:numId w:val="13"/>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在线监考：具备监考教师实时查看每位考生是否进入考试、进入时间、当前状态、IP地址、人脸识别情况、切屏次数、抓拍照片识别异常次数、屏幕抓拍识别异常次数、是否被标记等功能，可随时查看每位考生的考试行为记录。</w:t>
      </w:r>
      <w:r/>
    </w:p>
    <w:p>
      <w:pPr>
        <w:pStyle w:val="883"/>
        <w:numPr>
          <w:ilvl w:val="0"/>
          <w:numId w:val="13"/>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具备生成试卷分析报告的功能，报告中至少包含试卷难度、区分度统计、成绩正态分布、成绩标准差、方差等分析数据项。</w:t>
      </w:r>
      <w:r/>
    </w:p>
    <w:p>
      <w:pPr>
        <w:pStyle w:val="867"/>
        <w:ind w:firstLine="482"/>
        <w:spacing w:before="0" w:after="0" w:line="360" w:lineRule="auto"/>
        <w:rPr>
          <w:rFonts w:hint="eastAsia" w:ascii="宋体" w:hAnsi="宋体" w:eastAsia="宋体" w:cs="宋体"/>
          <w:sz w:val="24"/>
          <w:szCs w:val="24"/>
        </w:rPr>
      </w:pPr>
      <w:r/>
      <w:bookmarkStart w:id="62" w:name="_Toc239172468"/>
      <w:r/>
      <w:bookmarkStart w:id="63" w:name="_Toc12749"/>
      <w:r>
        <w:rPr>
          <w:rFonts w:hint="eastAsia" w:ascii="宋体" w:hAnsi="宋体" w:eastAsia="宋体" w:cs="宋体"/>
          <w:sz w:val="24"/>
          <w:szCs w:val="24"/>
        </w:rPr>
        <w:t xml:space="preserve">2.8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AI交互课件生成（EduMaker）</w:t>
      </w:r>
      <w:bookmarkEnd w:id="62"/>
      <w:r/>
      <w:bookmarkEnd w:id="63"/>
      <w:r/>
      <w:r/>
    </w:p>
    <w:p>
      <w:pPr>
        <w:pStyle w:val="883"/>
        <w:ind w:firstLine="480"/>
        <w:widowControl/>
        <w:rPr>
          <w:rFonts w:hint="eastAsia" w:ascii="宋体" w:hAnsi="宋体" w:eastAsia="宋体" w:cs="宋体"/>
          <w:sz w:val="24"/>
          <w:szCs w:val="24"/>
        </w:rPr>
      </w:pPr>
      <w:r>
        <w:rPr>
          <w:rFonts w:hint="eastAsia" w:ascii="宋体" w:hAnsi="宋体" w:eastAsia="宋体" w:cs="宋体"/>
          <w:b/>
          <w:bCs/>
          <w:sz w:val="24"/>
          <w:szCs w:val="24"/>
        </w:rPr>
        <w:t xml:space="preserve">师生通过自然语言描述需求，一键生成可交互的网页课件，包括动态图文演示、可旋转缩放的3D模型知识点讲解、可动手操作的虚拟仿真实验等场景。支持输出纯HTML页面或包含前后端、数据库和权限认证的完整网页应用, 自动集成登录与学习数据记录。学生可对生成的交互课件调参数、转模型、做实验，可实现智能体应用快速生成：通过一句话描述需求即可自动生成智能体应用原型。【演示项1】</w:t>
      </w:r>
      <w:r/>
    </w:p>
    <w:p>
      <w:pPr>
        <w:pStyle w:val="867"/>
        <w:ind w:firstLine="482"/>
        <w:spacing w:before="0" w:after="0" w:line="360" w:lineRule="auto"/>
        <w:rPr>
          <w:rFonts w:hint="eastAsia" w:ascii="宋体" w:hAnsi="宋体" w:eastAsia="宋体" w:cs="宋体"/>
          <w:sz w:val="24"/>
          <w:szCs w:val="24"/>
        </w:rPr>
      </w:pPr>
      <w:r/>
      <w:bookmarkStart w:id="64" w:name="_Toc22396"/>
      <w:r/>
      <w:bookmarkStart w:id="65" w:name="_Toc239172469"/>
      <w:r>
        <w:rPr>
          <w:rFonts w:hint="eastAsia" w:ascii="宋体" w:hAnsi="宋体" w:eastAsia="宋体" w:cs="宋体"/>
          <w:sz w:val="24"/>
          <w:szCs w:val="24"/>
        </w:rPr>
        <w:t xml:space="preserve">2.9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3D模型教学编辑器</w:t>
      </w:r>
      <w:bookmarkEnd w:id="64"/>
      <w:r/>
      <w:bookmarkEnd w:id="65"/>
      <w:r/>
      <w:r/>
    </w:p>
    <w:p>
      <w:pPr>
        <w:pStyle w:val="883"/>
        <w:ind w:firstLine="480"/>
        <w:widowControl/>
        <w:rPr>
          <w:rFonts w:hint="eastAsia" w:ascii="宋体" w:hAnsi="宋体" w:eastAsia="宋体" w:cs="宋体"/>
          <w:sz w:val="24"/>
          <w:szCs w:val="24"/>
        </w:rPr>
      </w:pPr>
      <w:r>
        <w:rPr>
          <w:rFonts w:hint="eastAsia" w:ascii="宋体" w:hAnsi="宋体" w:eastAsia="宋体" w:cs="宋体"/>
          <w:sz w:val="24"/>
          <w:szCs w:val="24"/>
        </w:rPr>
        <w:t xml:space="preserve">支持3D模型教学资源的创建、编辑与交互学习，提供用户端预览交互与编辑后台管理两大模块，支持glb、gltf格式模型上传，实现模型旋转缩放、热点交互、动画播放、背景切换等功能，适用于机械、医学、建筑、化学等需要三维可视化教学的学科场景。</w:t>
      </w:r>
      <w:r/>
    </w:p>
    <w:p>
      <w:pPr>
        <w:pStyle w:val="883"/>
        <w:numPr>
          <w:ilvl w:val="0"/>
          <w:numId w:val="14"/>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用户端预览交互：支持拖拽模型360度旋转，便于从任意角度观察模型；支持对模型的平滑放大与缩小操作，方便查看模型整体结构或局部精细特征；支持热点导航，界面底部提供导航栏以列表形式展示所有热点标题，点击任一选项可快速定位对应热点；支持热点交互系统，可在模型任意位置设置多处交互热点并以可视化标记提示，点击热点触发画面</w:t>
      </w:r>
      <w:r>
        <w:rPr>
          <w:rFonts w:hint="eastAsia" w:ascii="宋体" w:hAnsi="宋体" w:eastAsia="宋体" w:cs="宋体"/>
          <w:sz w:val="24"/>
          <w:szCs w:val="24"/>
        </w:rPr>
        <w:t xml:space="preserve">视角自动平滑过渡至对应部件最佳观察位置，同时以弹窗形式展示该热点详细信息（名称、简介、关联图片、视频及扩展超链接等）；支持热点音频讲解，触发热点时音频自动播放，实现视觉+听觉双通道学习；支持热点区域高亮，切换到热点所处模型区域时自动以高亮效果突出该区域；支持动画播放，提供动画播放按钮列表，用户可手动触发模型动画并多次重复播放，直观展示工作原理、运动过程或形态变化；支持动画热点并行，模型动画播放期间用户仍可正常触发和查看热点，动画与热点系统互不干扰；支持多套背景切换，用户可根据教学主题或个人偏好自由切换背景。</w:t>
      </w:r>
      <w:r/>
    </w:p>
    <w:p>
      <w:pPr>
        <w:pStyle w:val="883"/>
        <w:numPr>
          <w:ilvl w:val="0"/>
          <w:numId w:val="14"/>
        </w:numPr>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编辑后台管理：提供可视化模型上传界面，</w:t>
      </w:r>
      <w:r>
        <w:rPr>
          <w:rFonts w:hint="eastAsia" w:ascii="宋体" w:hAnsi="宋体" w:eastAsia="宋体" w:cs="宋体"/>
          <w:sz w:val="24"/>
          <w:szCs w:val="24"/>
        </w:rPr>
        <w:t xml:space="preserve">支持glb、gltf模型文件上传；模型上传后在编辑界面内提供实时预览窗口并自动捕捉模型封面图；提供模型上传历史列表，支持对历史模型重新编辑、一键预览、复制分享链接等操作；支持在编辑后台直接用鼠标拖曳模型，实时调整其在三维空间中的初始位置；提供滚轮滑动、控件操作两种方式精确设置模型全局缩放比例；提供“自旋转”功能开关，开启后模型围绕中心轴持续缓慢旋转并可调节旋转速度；支持热点编辑系统，可直接点击模型表面任意位置创建交互热点，通过独立弹窗配置标题、图文简介、关联视频、音频解说及外部知识链接等多媒体内容，支持将热</w:t>
      </w:r>
      <w:r>
        <w:rPr>
          <w:rFonts w:hint="eastAsia" w:ascii="宋体" w:hAnsi="宋体" w:eastAsia="宋体" w:cs="宋体"/>
          <w:sz w:val="24"/>
          <w:szCs w:val="24"/>
        </w:rPr>
        <w:t xml:space="preserve">点精准绑定至模型特定区域以实现学习时区域高亮，所有热点在右侧面板集中管理，支持拖拽调整顺序、一键预览效果，可开启热点自动切换并设置停留时长，适配自学导览或课堂自动演示等场景；支持系统自动扫描并解析上传模型文件中包含的所有动画并列出原始名称，支持对每个动画单独预览播放并重命名为教学名称，支持按需要选择性启用部分动画（未启用动画对学习者不可见），可设置模型动画在用户端是否自动播放；支持编辑过程中所有修改（模型设置、热点、动画等）通过“保存”按钮云端实时保存，提供“预览”按钮一键在浏览器新标签页预览最终用户页面。</w:t>
      </w:r>
      <w:r/>
    </w:p>
    <w:p>
      <w:pPr>
        <w:pStyle w:val="883"/>
        <w:ind w:firstLine="480"/>
        <w:widowControl/>
        <w:rPr>
          <w:rFonts w:hint="eastAsia" w:ascii="宋体" w:hAnsi="宋体" w:eastAsia="宋体" w:cs="宋体"/>
          <w:b/>
          <w:bCs/>
          <w:sz w:val="24"/>
          <w:szCs w:val="24"/>
        </w:rPr>
      </w:pPr>
      <w:r>
        <w:rPr>
          <w:rFonts w:hint="eastAsia" w:ascii="宋体" w:hAnsi="宋体" w:eastAsia="宋体" w:cs="宋体"/>
          <w:b/>
          <w:bCs/>
          <w:sz w:val="24"/>
          <w:szCs w:val="24"/>
        </w:rPr>
        <w:t xml:space="preserve">AI生成3D模型与知识热点编辑：支持教师围绕课程知识点通过文字描述或上传参考图片AI生成3D模型（文生3D/图生3D双模式），内置上百种公共3D教学模型可直接复用；支持在模型表面布设交互热点，AI批量识别模型部件自动生成知识热点（名称、简介、图文、音视频），支持热点自动轮播/手动触发双模式，可一键嵌入课程教学平台形成教学闭环。【演示项2】</w:t>
      </w:r>
      <w:r/>
    </w:p>
    <w:p>
      <w:pPr>
        <w:pStyle w:val="867"/>
        <w:ind w:firstLine="482"/>
        <w:spacing w:before="0" w:after="0" w:line="360" w:lineRule="auto"/>
        <w:rPr>
          <w:rFonts w:hint="eastAsia" w:ascii="宋体" w:hAnsi="宋体" w:eastAsia="宋体" w:cs="宋体"/>
          <w:sz w:val="24"/>
          <w:szCs w:val="24"/>
        </w:rPr>
      </w:pPr>
      <w:r/>
      <w:bookmarkStart w:id="66" w:name="_Toc239172470"/>
      <w:r/>
      <w:bookmarkStart w:id="67" w:name="_Toc31615"/>
      <w:r>
        <w:rPr>
          <w:rFonts w:hint="eastAsia" w:ascii="宋体" w:hAnsi="宋体" w:eastAsia="宋体" w:cs="宋体"/>
          <w:sz w:val="24"/>
          <w:szCs w:val="24"/>
        </w:rPr>
        <w:t xml:space="preserve">2.10视课AI交互式教学工具素材生成</w:t>
      </w:r>
      <w:bookmarkEnd w:id="66"/>
      <w:r/>
      <w:bookmarkEnd w:id="67"/>
      <w:r/>
      <w:r/>
    </w:p>
    <w:p>
      <w:pPr>
        <w:pStyle w:val="883"/>
        <w:ind w:firstLine="480"/>
        <w:widowControl/>
        <w:rPr>
          <w:rFonts w:ascii="宋体" w:hAnsi="宋体" w:eastAsia="宋体" w:cs="宋体"/>
          <w:sz w:val="24"/>
          <w:szCs w:val="24"/>
        </w:rPr>
      </w:pPr>
      <w:r>
        <w:rPr>
          <w:rFonts w:hint="eastAsia" w:ascii="宋体" w:hAnsi="宋体" w:eastAsia="宋体" w:cs="宋体"/>
          <w:sz w:val="24"/>
          <w:szCs w:val="24"/>
        </w:rPr>
        <w:t xml:space="preserve">视课AI教学工具生成平台，支持教师通过简单的文本描述，快速生成可交互的教学网页工具；用户只需填写教学工具名称、教学场景描述，并选择“物理模拟”或“数学图像”等类型，即可一键生成可视化、可交互的教学网页；适用于物理、数学等学科，可创建如万有引力模拟、函数图像绘制等动态教学工具；视课AI库支持老师在视课库检索平台开放的资源并引用到自己课程。</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（二）课程图谱建设服务</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1.课程图谱设计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供应商根据课程教学团队需求，完成课程知识图谱设计。通过图谱可视化工具展示课程内容的逻辑结构和知识点之间的关联，帮助学生更直观地理解课程体系，为学生构建更完整的知识网络，培养学生的系统思维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1.2供应商根据课程教学团队需求，完成目标图谱设计。通过分解课程目标、关联知识点、提供融入教学活动与评估建议，实现课程设计、教学实施与学习评价的一致性，保障教学成效，助力课程目标有效达成。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1.3供应商根据课程教学团队需求，完成问题图谱设计，帮助学生梳理问题逻辑，逐步引导学生解决复杂问题。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1.4供应商根据课程教学团队需求，完成课程思政图谱设计。通过标记思政标签，融入课程思政元素，构建课程思政图谱，明确课程中思想政治教育的切入点与实施路径，实现价值引领与知识传授的有机结合。</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2.知识图谱建设与应用</w:t>
      </w:r>
      <w:r/>
    </w:p>
    <w:p>
      <w:pPr>
        <w:pStyle w:val="883"/>
        <w:ind w:firstLine="480"/>
        <w:widowControl/>
        <w:rPr>
          <w:rFonts w:hint="eastAsia" w:ascii="宋体" w:hAnsi="宋体" w:eastAsia="宋体" w:cs="宋体"/>
          <w:b/>
          <w:bCs/>
          <w:sz w:val="24"/>
          <w:szCs w:val="24"/>
        </w:rPr>
      </w:pPr>
      <w:r>
        <w:rPr>
          <w:rFonts w:hint="eastAsia" w:ascii="宋体" w:hAnsi="宋体" w:eastAsia="宋体" w:cs="宋体"/>
          <w:b/>
          <w:bCs/>
          <w:sz w:val="24"/>
          <w:szCs w:val="24"/>
        </w:rPr>
        <w:t xml:space="preserve">2.1支持AI生成知识图谱、智能导入，支持同步其他课程知识图谱（全量或部分），支持课程章节一键转化生成知识图谱并自动进行资源关联；系统提供至少8种图谱形态，用户可根据课程性质选择合适的图谱形态进行编辑，支持AI图谱美化，输入提示词，一键实现课程知识图谱页面美化；支持构建问题图谱，学生通过核心问题与子问题连接形成知识网络并与标准答案对比。【演示项3】</w:t>
      </w:r>
      <w:r/>
    </w:p>
    <w:p>
      <w:pPr>
        <w:pStyle w:val="883"/>
        <w:ind w:firstLine="480"/>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2.2支持知识点多层级架构建立，生成分类—知识点关系；支持手动添加、批量导入等方式构建知识图谱，批量导入需支持填写知识点名称、标签信息、认知维度、分类属性、教学目标、知识点说明等数据；支持智能导入，用户上传课程大纲、教材或PPT文件等，系统智能识别并构建生成知识图谱；支持本地导入xmind格式的思维导图文件，自动读取文件数据生成课程知识图谱，并能够导出excel格式文件。</w:t>
      </w:r>
      <w:r/>
    </w:p>
    <w:p>
      <w:pPr>
        <w:pStyle w:val="883"/>
        <w:ind w:firstLine="480"/>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2.3▲支持与校本教学平台打通，可通过教学平台现有课程章节选择生成章节图谱；支持同步其他课程图谱，支持全量同步或者部分选择同步；支持AI生成图谱功能，系统基于教师已建设好的网络课程结合AI应用自动生成知识图谱，并支持直接使用生成的图谱，同时支持在生成的图谱上进行自定义化修改。</w:t>
      </w:r>
      <w:r/>
    </w:p>
    <w:p>
      <w:pPr>
        <w:pStyle w:val="883"/>
        <w:ind w:firstLine="480"/>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2.4支持知识点之间进行前置关系、后置关系、关联关系的设置，支持额外新增其他自定义关系；支持给知识点打标签，自定义标签内容，支持同一个知识点标记多个标签，具备为知识点设定重点、难点以及考点等标签的功能，同时支持用户自定义标签名称；支持知识点被赋予某一分类属性，包括事实性、概念性、程序性、元认知等。</w:t>
      </w:r>
      <w:r/>
    </w:p>
    <w:p>
      <w:pPr>
        <w:pStyle w:val="883"/>
        <w:ind w:firstLine="480"/>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2.5支持进行跨课知识点关联，实现不同课程之间知识的聚合联动，关联后可以实现跨课学习并进行专业下多门课程的知识点关联展示应用。支持选择跨课程知识点直接跳转至相关微课进行学习。</w:t>
      </w:r>
      <w:r/>
    </w:p>
    <w:p>
      <w:pPr>
        <w:pStyle w:val="883"/>
        <w:ind w:firstLine="480"/>
      </w:pPr>
      <w:r>
        <w:rPr>
          <w:rFonts w:hint="eastAsia" w:ascii="宋体" w:hAnsi="宋体" w:eastAsia="宋体" w:cs="宋体"/>
          <w:sz w:val="24"/>
          <w:szCs w:val="24"/>
        </w:rPr>
        <w:t xml:space="preserve">2.6知识图谱显示支持2D和3D展示效果，用户可自主进行模式切换。支持用户自由绘制知识图谱，通过视觉高亮突出重点区域；支持根据个人喜好切换图谱背景色，并支持自定义背景色。</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3.问题图谱建设与应用</w:t>
      </w:r>
      <w:r/>
    </w:p>
    <w:p>
      <w:pPr>
        <w:pStyle w:val="883"/>
        <w:ind w:firstLine="480"/>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3.1基于课程知识图谱，建设不少于三层的问题体系，系统提供对每层级问题的定义能力，允许用户添加问题详情及其与知识点的关联。支持通过图谱形式展现问题与知识点的关联；提供两种子级问题关联方式，包括层级连线和板块关联功能。</w:t>
      </w:r>
      <w:r/>
    </w:p>
    <w:p>
      <w:pPr>
        <w:pStyle w:val="883"/>
        <w:ind w:firstLine="480"/>
        <w:widowControl/>
        <w:tabs>
          <w:tab w:val="left" w:pos="1080" w:leader="none"/>
        </w:tabs>
        <w:rPr>
          <w:rFonts w:ascii="宋体" w:hAnsi="宋体" w:eastAsia="宋体" w:cs="宋体"/>
          <w:sz w:val="24"/>
          <w:szCs w:val="24"/>
        </w:rPr>
      </w:pPr>
      <w:r>
        <w:rPr>
          <w:rFonts w:hint="eastAsia" w:ascii="宋体" w:hAnsi="宋体" w:eastAsia="宋体" w:cs="宋体"/>
          <w:sz w:val="24"/>
          <w:szCs w:val="24"/>
        </w:rPr>
        <w:t xml:space="preserve">3.2▲支持开启探索模式，模拟学生学习路径，通过问题选择和知识点关联，促进学生的深入思考；在探索模式中，用户被引导将核心问题与子问题连接，形成知识网络，并通过提交与标准答案对比，实现自我评估。支持自定义内容组：在问题图谱探索模式下，用户可选择特定内容组（如某一单元或章节）进行深入分析，系统只显示与该内容组相关的问题和知识点，帮助用户集中理解特定部分。</w:t>
      </w:r>
      <w:r/>
    </w:p>
    <w:p>
      <w:pPr>
        <w:pStyle w:val="971"/>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4.能力图谱建设</w:t>
      </w:r>
      <w:r/>
    </w:p>
    <w:p>
      <w:pPr>
        <w:pStyle w:val="883"/>
        <w:ind w:firstLine="480"/>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4.1岗位能力图谱构建：支持“以岗定课”建设逻辑，围绕课程对接的典型岗位，梳理岗位能力要求，依据岗位能力和学生认知规律构建课程体系框架，按照“岗位—岗位能力—项目—任务—任务点”五层结构构建岗位能力图谱，实现技能结构可视化展示。一个岗位能力下可由一个或多个项目支撑完成，支持将行业企业新技术、新工艺、新规范融入课程内容。</w:t>
      </w:r>
      <w:r/>
    </w:p>
    <w:p>
      <w:pPr>
        <w:pStyle w:val="883"/>
        <w:ind w:firstLine="482"/>
        <w:widowControl/>
        <w:tabs>
          <w:tab w:val="left" w:pos="10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4.2岗位能力图谱与任务引擎无缝跳转：支持岗位能力图谱与任务引擎数据打通，系统根据项目ID自动从任务引擎拉取对应的任务分组和任务点数据，生成完整五层图谱。在后三层（项目、任务、任务点）关系卡片中，点击具体节点名称可直接跳转至任务引擎对应页面：教师端点击项目跳转任务列表编辑页、点击任务跳转对应项目编辑页、点击任务点跳转任务点编辑界面；学生端点击项目跳转任务列表学习页、点击任务跳转任务分组学习界面、点击任务点跳转任务点学习界面。【演示项4】</w:t>
      </w:r>
      <w:r/>
    </w:p>
    <w:p>
      <w:pPr>
        <w:pStyle w:val="883"/>
        <w:ind w:firstLine="480"/>
        <w:widowControl/>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4.3岗位能力图谱批量导入：支持从任务引擎导出项目列表Excel文件（包含项目名称和项目ID字段），下载预设模板后填写岗位、岗位能力、项目名称及项目ID，通过批量导入上传数据，系统自动根据项目ID从任务引擎拉取对应任务分组和任务点数据，生成完整五层岗位能力图谱。</w:t>
      </w:r>
      <w:r/>
    </w:p>
    <w:p>
      <w:pPr>
        <w:pStyle w:val="883"/>
        <w:ind w:firstLine="480"/>
        <w:widowControl/>
        <w:tabs>
          <w:tab w:val="left" w:pos="1080" w:leader="none"/>
        </w:tabs>
        <w:rPr>
          <w:rFonts w:ascii="宋体" w:hAnsi="宋体" w:eastAsia="宋体" w:cs="宋体"/>
          <w:sz w:val="24"/>
          <w:szCs w:val="24"/>
        </w:rPr>
      </w:pPr>
      <w:r>
        <w:rPr>
          <w:rFonts w:hint="eastAsia" w:ascii="宋体" w:hAnsi="宋体" w:eastAsia="宋体" w:cs="宋体"/>
          <w:sz w:val="24"/>
          <w:szCs w:val="24"/>
        </w:rPr>
        <w:t xml:space="preserve">4.4岗位能力图谱编辑管理：在岗位能力图谱展示页面，支持编辑数据和编辑层级类别，可对岗位、岗位能力、项目、任务、任务点各层级节点进行增删改操作，支持调整层级关系和节点属性配置，支持图谱数据一键导出。</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5.知识点微课建设与应用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5.1支持教师对课程章节内容，包括——视频、音频、文档、图书、章节测验等进行知识点标记，作为知识点教学任务进行设置，方便学生按知识点进行任务学习。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5.2支持按知识点上传资源，并查看知识点关联资源数量，方便教师按知识点管理资源。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5.3支持多种题型的创建管理，包括单选、多选、填空、判断、简答、名词解析、论述、计算、分录、连线、排序、完形填空、阅读理解、口语、听力等常见题型。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5.4支持AI生成学习内容，系统结合AI可根据教师网络课程内容自动生成知识点学习内容，生成的内容可一键加入微课中。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5.5支持错题显示解析以及相关知识点。图谱知识点学习界面支持错题集功能，可将学生学习过程中产生的错题归类到知识点下的错题集中。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5.6支持学生查看课程知识图谱，并查看每个知识点的学习进度情况。</w:t>
      </w:r>
      <w:r/>
    </w:p>
    <w:p>
      <w:pPr>
        <w:ind w:firstLine="482"/>
        <w:spacing w:line="360" w:lineRule="auto"/>
        <w:tabs>
          <w:tab w:val="left" w:pos="720" w:leader="none"/>
        </w:tabs>
        <w:rPr>
          <w:rFonts w:ascii="宋体" w:hAnsi="宋体" w:eastAsia="宋体" w:cs="宋体"/>
          <w:b/>
          <w:sz w:val="24"/>
          <w:szCs w:val="24"/>
        </w:rPr>
      </w:pPr>
      <w:r>
        <w:rPr>
          <w:rFonts w:hint="eastAsia" w:ascii="宋体" w:hAnsi="宋体" w:eastAsia="宋体" w:cs="宋体"/>
          <w:b/>
          <w:sz w:val="24"/>
          <w:szCs w:val="24"/>
        </w:rPr>
        <w:t xml:space="preserve">5.7学生端可以查看</w:t>
      </w:r>
      <w:r>
        <w:fldChar w:fldCharType="begin"/>
      </w:r>
      <w:r>
        <w:instrText xml:space="preserve"> HYPERLINK "javascript:void(0);" \o "推荐资源" </w:instrText>
      </w:r>
      <w:r>
        <w:fldChar w:fldCharType="separate"/>
      </w:r>
      <w:r>
        <w:rPr>
          <w:rFonts w:hint="eastAsia" w:ascii="宋体" w:hAnsi="宋体" w:eastAsia="宋体" w:cs="宋体"/>
          <w:b/>
          <w:sz w:val="24"/>
          <w:szCs w:val="24"/>
        </w:rPr>
        <w:t xml:space="preserve">推荐资源</w:t>
      </w:r>
      <w:r>
        <w:rPr>
          <w:rFonts w:hint="eastAsia" w:ascii="宋体" w:hAnsi="宋体" w:eastAsia="宋体" w:cs="宋体"/>
          <w:b/>
          <w:sz w:val="24"/>
          <w:szCs w:val="24"/>
        </w:rPr>
        <w:fldChar w:fldCharType="end"/>
      </w:r>
      <w:r>
        <w:rPr>
          <w:rFonts w:hint="eastAsia" w:ascii="宋体" w:hAnsi="宋体" w:eastAsia="宋体" w:cs="宋体"/>
          <w:b/>
          <w:sz w:val="24"/>
          <w:szCs w:val="24"/>
        </w:rPr>
        <w:t xml:space="preserve">，进行拓展学习。推荐资源应基于知识点智能推荐课程、资源、课程思政资源、题目、论文、期刊、图书、互联网资源等。【演示项5】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5.8支持精准教学设计功能，可以自定义建设事件，可设置知识点的掌握率及完成率的设置，支持自定义学习路径或者微课资料，支持设置对应的动作；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5.9支持视频的虚拟剪辑，只需要拖动视频播放的起始点、终止点，就可以将视频文件按照课程的要求剪辑成适当长度，教师还可手动输入时间点，进行视频在线虚拟剪辑。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5.10支持制作富媒体课程，其中包含电子书任务点设置（限制页码范围）和富媒体资源插入（至少包括：视频、电子书、在线录音、章节测验等），并展示富文本编辑器的图文混排效果。插入的PPT内容，必须不需要安装任何插件，在浏览器页面原样展示PPT。</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5.11支持视频替换功能，替换学习视频后，不影响学生已产生的学习记录和成绩。</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5.12对课程建设系统中的视频进行智能分析，自动匹配课程中的知识点，并在视频对应的时间点进行自动打点，同时基于人工智能技术生成知识点词云、思维导图分析并展示；视频播放时学生可以定位到时间点观看对应知识点的视频讲解。【演示项6】</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5.13对课程视频进行智能切片，按切片时间点点击可跳转学习对应片段视频；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5.14支持学生对不懂的视频或PDF文档点击“不懂”，触发AI助教及时答疑，页面自动截屏供AI助教分析。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5.15支持学生进入课程、观看视频时进行人脸识别和抓拍。观看视频抓拍支持视频起始、视频播放、视频暂停再播放、视频结束抓拍设置，也支持播放中的定时抓拍，如10分钟抓拍一次和随机抓拍。识别失败支持记录并继续学习和不允许学习的配置。</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6.基于知识图谱的数智驱动数据分析与统计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6.1支持教师查看知识图谱的知识点建设情况，包括知识点建设率、图谱知识点总数、图谱关联资源知识点数、已设置标签的知识点数、图谱未关联资源知识点数等；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6.2支持查看不同知识点属性概况数据；支持查看图谱资源总数，关联视频、音频、文档、题目及其他类型资源数等；支持查看知识点关联资源数量排行榜。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6.3支持教师查看不同班级的学情数据，包括每个知识点的完成率与掌握率、知识点热度、完成率与掌握率的学情分段人数、学生完成率与掌握率排行情况等数据。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6.4支持教师选择多个不同班级进行学情数据对比，对比内容包括班级掌握率、班级完成率、完成率区间对比与掌握率区间对比等数据。通过班级对比分析，便于教师更好地了解不同班级间的学习差异。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6.5支持教师依据知识点的属性或分类层级，灵活选取多样的评价维度，进而生成学生或班级画像。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6.6通过统计各维度知识点的完成率与掌握率，精准了解和分析班级或学生的学习状况。</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7.移动端知识图谱应用</w:t>
      </w:r>
      <w:r/>
    </w:p>
    <w:p>
      <w:pPr>
        <w:ind w:firstLine="480"/>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7.1支持用户通过移动端设备访问知识图谱，实现随时随地的个性化学习。移动端提供图谱模式、大纲模式和学习地图模式，以适应不同用户的学习偏好和场景需求。</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7.2移动端图谱模式下，用户可以选择导航模式或全局模式，分别深入探索或宏观把握知识结构。移动端图谱模式下左侧导航区域以列表形式展示分类和知识点，支持快速定位和子级展开。</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7.3移动端直观展示知识点掌握率和完成率，反映用户个人学习情况。</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7.4支持从宏观和微观视角展示用户的知识点掌握情况，并允许与班级整体表现进行比较。</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7.5支持查看和该知识点相关的错题集，帮助用户更有针对性地进行复习。</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7.6支持点击知识点跳转至微课进行深入学习。移动端微课提供分析、学习内容、自测、资料、错题集、讨论等多功能模块。</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7.7用户可以根据个人需求在移动端微课选择自测模式，包括时间限制和题目选择，以创建专属的自测体验。自测功能支持仅从未尝试过的题目中抽取，确保每次自测的新鲜感和有效性。</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7.8支持对课程所有资源进行智能安全检测。可通过后台配置关键词、忽略词，便于系统审核时，对关键词和忽略词进行屏蔽与忽略，降低人工审核的错误率。</w:t>
      </w:r>
      <w:r/>
    </w:p>
    <w:p>
      <w:pPr>
        <w:pStyle w:val="883"/>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（三）AI工作台智慧教学应用</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指导老师应用AI工具，在备课、教学、学习、教研、科研、评价等全流程深度融合，实现数字素养提升，并实现AI赋能的“师/生/机”深度交互教学模式改革。具有AI教案、AI生成PPT、AI智能出题、作业智能查重等AI工具应用于教学。</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1.AI教案</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1.1教师输入教学材料或关键词，AI自动生成教案，并支持教师借助写作助手进行再次编辑。</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1.2支持教师补充所教层次、适合的教学风格，形成更加具有个性化的教案。</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1.3支持一键导出教案，并且支持按学校教案模板导出。</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2.AI课件</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2.1通过输入PPT内容要求，AI智能生成PPT大纲</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2.2支持教师在线直接编辑生成的大纲内容</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2.3支持AI自动根据大纲生成PPT，教师可以进行在线编辑或下载</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2.4支持选择PPT模板场景、设计风格、主题颜色，生成个性化PPT</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3.AI出题</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3.1支持教师通过知识点、输入文本、上传附件文档和视频、选定章节等多种方式，搭配补充出题要求说明，由AI自动生成相应试题。AI系统可以自动生成对应的题目并且不限制教师使用次数。</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3.2支持多种题型，题型包括选择题、填空题、简答题等，以便满足不同类型考题的需求</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3.3教师可以根据课程内容和学生水平，将生成的题目添加到题库。并随时使用这些题目进行测验、考试或者课堂练习。</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3.4支持设置出题要求，比如：适用年级、难易度、题目偏向等。</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3.5支持教师在线编辑调整AI生成的试题，也可以一键加入题库，组成作业考试发布给学生，并且支持跨课程使用生成的题目。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支持AI口语测评题出题、听力题AI语音生成。教师可以输入需要学生跟读的文本，学生通过系统录制跟读的音频，系统将对录音进行语音分析评估其完整度、准确度和流利度，并给出针对性的评分和反馈意见。</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▲4.AI学情分析</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4.1支持智能呈现班级整体知识点分析数据，提供个性化学习路径。</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4.2可查看知识点平均完成率、平均掌握率、完成率分布和掌握率分布等。支持按知识点查看每个知识点的关联学习资源数、平均完成率、平均掌握率、课程资料数、课程资料人均阅读情况等。</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4.3基于AI学情分析，可由AI生成学情分析画像，减轻教师学情分析压力，提升效率。</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4.4针对班级学情数据进行分析，将班级学生分布自动划分为发展层、期望层、跃进层、提高层，并给出具体的教学建议，帮助教师开展精准教学。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4.5支持根据平台学生整体学习数据及专项数据，或者上传excel文档，教师可自定义分析维度，AI自动进行学生学情分析并提供建议提醒。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4.6支持多班对比分析：对多个班级的数据进行深度分析，洞察每个班级的独特学情，为教育决策提供科学依据。</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5.</w:t>
      </w:r>
      <w:bookmarkStart w:id="68" w:name="_Toc177679160"/>
      <w:r>
        <w:rPr>
          <w:rFonts w:hint="eastAsia" w:ascii="宋体" w:hAnsi="宋体" w:eastAsia="宋体" w:cs="宋体"/>
          <w:sz w:val="24"/>
          <w:szCs w:val="24"/>
        </w:rPr>
        <w:t xml:space="preserve">个性化学习路径推荐</w:t>
      </w:r>
      <w:bookmarkEnd w:id="68"/>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5.1为学生智能化推荐个性化学习路径，呈现路径中各知识点掌握率</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5.2基于知识点的学习，智能化分析学生学习进度与掌握情况，掌握率高于90%的知识点在学习路径上不再显示</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5.3基于错题智能推荐薄弱知识点</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▲6.智能推荐资源</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根据需求，可通过问答方式由AI助教提供智能化资源推荐，通过关键词识别，智能化挖掘呈现相关联学术资源，包含期刊、图书等内容，助力学生复习相关知识、扩展学习的深度与广度。</w:t>
      </w:r>
      <w:r/>
    </w:p>
    <w:p>
      <w:pPr>
        <w:pStyle w:val="883"/>
        <w:ind w:firstLine="482"/>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7.作业智能查重</w:t>
      </w:r>
      <w:r/>
    </w:p>
    <w:p>
      <w:pPr>
        <w:pStyle w:val="971"/>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7.1比对基础库中的数据包含图书、报纸、期刊、网络文档等多种文献类型；支持选择不同的比对库，包含全部全文比对库、图书全文比对库、非图书全文比对库、法律法规比对库、自建库选择进行检测。【演示项7】</w:t>
      </w:r>
      <w:r/>
    </w:p>
    <w:p>
      <w:pPr>
        <w:pStyle w:val="97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7.2每万字的检测需在数秒内完成，并在10分钟内提供检测报告；</w:t>
      </w:r>
      <w:r/>
    </w:p>
    <w:p>
      <w:pPr>
        <w:pStyle w:val="97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7.3支持30M以上的TXT、DOC、PDF、DOCX、ZIP、RAR多种格式以及非加密文档的上传检测；支持ZIP、RAR压缩包形式上传（大小需在50M以内）；</w:t>
      </w:r>
      <w:r/>
    </w:p>
    <w:p>
      <w:pPr>
        <w:pStyle w:val="97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7.4支持点击选择文件上传文档或者将50字以上、1万字以下的文本直接粘贴到文本框中进行检测；</w:t>
      </w:r>
      <w:r/>
    </w:p>
    <w:p>
      <w:pPr>
        <w:pStyle w:val="97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7.5支持根据上传的检测文献生成检测报告，支持查看在线报告，也支持批量下载全部检测报告、批量下载PDF报告；</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▲8.课程内容不懂智能驱动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学生观看视频或课件时，点击屏幕右侧“不懂”按钮，智能触发AI助教，并将不懂的页面自动截屏，由AI答疑解惑。</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9.智能推送薄弱点及资源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9.1根据每个学生的错题和知识点掌握率，自动为学生进行薄弱知识点的辅导，可以根据学生错题和知识点掌握率优先推送薄弱知识点相关的题目。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9.2支持生成相似题、变式题的个性化练习，帮助学生加强知识点理解。</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10.AI实践</w:t>
      </w:r>
      <w:r/>
    </w:p>
    <w:p>
      <w:pPr>
        <w:pStyle w:val="883"/>
        <w:ind w:firstLine="480"/>
        <w:widowControl/>
        <w:rPr>
          <w:rFonts w:hint="eastAsia" w:ascii="宋体" w:hAnsi="宋体" w:eastAsia="宋体" w:cs="宋体"/>
          <w:sz w:val="24"/>
          <w:szCs w:val="24"/>
        </w:rPr>
      </w:pPr>
      <w:r>
        <w:rPr>
          <w:rFonts w:hint="eastAsia" w:ascii="宋体" w:hAnsi="宋体" w:eastAsia="宋体" w:cs="宋体"/>
          <w:sz w:val="24"/>
          <w:szCs w:val="24"/>
        </w:rPr>
        <w:t xml:space="preserve">支持8种AI实践任务类型（情景对话、上传作品、思维阶梯、口语通练、代码编辑、思辨擂台、互动故事、任务链）；语言类场景支持英日法德西俄等多语种对话跟读及发音分析；答题场景支持AI自动生成试题并逐步引导补全维度，生成学习质量评估报告。</w:t>
      </w:r>
      <w:r/>
    </w:p>
    <w:p>
      <w:pPr>
        <w:pStyle w:val="883"/>
        <w:ind w:firstLine="482"/>
        <w:widowControl/>
        <w:rPr>
          <w:rFonts w:ascii="宋体" w:hAnsi="宋体" w:eastAsia="宋体" w:cs="宋体"/>
          <w:b/>
          <w:bCs/>
          <w:sz w:val="24"/>
          <w:szCs w:val="24"/>
        </w:rPr>
      </w:pPr>
      <w:r>
        <w:rPr>
          <w:rFonts w:hint="eastAsia" w:ascii="宋体" w:hAnsi="宋体" w:eastAsia="宋体" w:cs="宋体"/>
          <w:b/>
          <w:bCs/>
          <w:sz w:val="24"/>
          <w:szCs w:val="24"/>
        </w:rPr>
        <w:t xml:space="preserve">AI实践空间3D沉浸式交互与智能评价：支持基于课程实践主题和智能体配置AI一键生成3D实践场景，学生可360°自主漫游，通过文字/语音与3D智能体开展角色化实践对话（形—声—动一体化），实践完成后AI基于评分规则进行多维度智能评分并输出个性化反馈；支持可视化拖拽布展编辑，内置500+公共素材，可新增答题闯关、知识连线等互动任务。【演示项8】</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10.1支持预设任务内容、评分标准与评估视角等多项任务信息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10.2支持学生在系统引导下完成练习、提交作品或多轮互动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10.3系统可记录学生过程、提供智能评分反馈，帮助教师高效开展教学管理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10.4支持情景对话型任务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以“情景驱动”为核心的AI互动练习形式，支持教师设置具体情境、任务要求与交互目标，引导学生在设定情境中与AI展开多轮对话，逐步推进任务完成。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10.5支持上传作品型任务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上传作品任务适用于学生提交作品型成果，如实验图片、图文混排文档等。支持教师在任务中明确作品要求，设置评估角色与评分标准，结合实际教学目标和评分标准，对学生提交内容进行评阅与打分反馈。</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11.AI科研助手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11.1AI科研智能问答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1、支持自定义切换多个学科智能体，每个智能体可绑定多个AI知识库与大模型；支持自定义智能体名称、图标、角色定位与使用场景描述。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2、智能体回答内容支持溯源引用来源，确保回答可信；支持灵活选择多种大模型；支持设置提示词，定义智能体角色行为和问答风格。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3、支持问答式检索，直接以问题形式获取文献推荐或答案摘要；支持检索结果加入阅读清单与AI解读功能。</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11.2AI学术追踪</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1、支持用户自定义研究兴趣、学术期刊、学者、学术顶会等信息进行AI追踪，系统自动筛选并推送相关的最新优质文献。支持用户通过自然语言输入具体兴趣追踪最新学术文献。支持对推荐文献快捷引用，支持APA、MLA、GB/T7714等引用格式；支持勾选多篇推荐文献进行多文献对话，支持对多篇文献提供观点对比、研究方法对比、结论对比、摘要总结。【演示项9】</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2、系统自动构建用户画像，基于用户兴趣偏好与历史行为进行内容推荐；推荐内容支持加入阅读清单、课题知识库。</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3、支持冷启动机制，帮助新用户快速匹配感兴趣内容。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11.3AI学术对话</w:t>
      </w:r>
      <w:r/>
    </w:p>
    <w:p>
      <w:pPr>
        <w:pStyle w:val="1072"/>
        <w:ind w:left="9" w:firstLine="480"/>
        <w:jc w:val="both"/>
        <w:spacing w:before="39" w:line="360" w:lineRule="auto"/>
        <w:rPr>
          <w:rFonts w:eastAsia="宋体"/>
          <w:lang w:eastAsia="zh-CN"/>
        </w:rPr>
      </w:pPr>
      <w:r>
        <w:rPr>
          <w:rFonts w:hint="eastAsia" w:eastAsia="宋体"/>
          <w:lang w:eastAsia="zh-CN"/>
        </w:rPr>
        <w:t xml:space="preserve">1、▲</w:t>
      </w:r>
      <w:r>
        <w:rPr>
          <w:rFonts w:hint="eastAsia" w:eastAsia="宋体"/>
          <w:color w:val="auto"/>
          <w:lang w:eastAsia="zh-CN"/>
        </w:rPr>
        <w:t xml:space="preserve">支持对学术追踪的内容进行AI总结；支持AI快速解读关注领域的最新科研动态，便于用户快速及时了解最新文献、大批量文献；</w:t>
      </w:r>
      <w:r>
        <w:rPr>
          <w:rFonts w:hint="eastAsia" w:eastAsia="宋体"/>
          <w:lang w:eastAsia="zh-CN"/>
        </w:rPr>
        <w:t xml:space="preserve">AI速读支持提取文章结构（研究方法、结论、贡献等）并生成摘要，支持一键生成关键要点，支持生成脑图。</w:t>
      </w:r>
      <w:r/>
    </w:p>
    <w:p>
      <w:pPr>
        <w:pStyle w:val="1072"/>
        <w:ind w:left="9" w:firstLine="480"/>
        <w:jc w:val="both"/>
        <w:spacing w:before="39" w:line="360" w:lineRule="auto"/>
        <w:rPr>
          <w:rFonts w:eastAsia="宋体"/>
          <w:lang w:eastAsia="zh-CN"/>
        </w:rPr>
      </w:pPr>
      <w:r>
        <w:rPr>
          <w:rFonts w:hint="eastAsia" w:eastAsia="宋体"/>
          <w:lang w:eastAsia="zh-CN"/>
        </w:rPr>
        <w:t xml:space="preserve">2、支持对单个AI知识库进行AI对话；支持对期刊、学者进行AI对话，以交互方式使用户快捷了解期刊或学者某方面研究内容。</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（四）课程专属智能体</w:t>
      </w:r>
      <w:r/>
    </w:p>
    <w:p>
      <w:pPr>
        <w:pStyle w:val="1072"/>
        <w:ind w:left="9" w:firstLine="480"/>
        <w:jc w:val="both"/>
        <w:spacing w:before="39" w:line="360" w:lineRule="auto"/>
        <w:rPr>
          <w:rFonts w:eastAsia="宋体"/>
          <w:lang w:eastAsia="zh-CN"/>
        </w:rPr>
      </w:pPr>
      <w:r>
        <w:rPr>
          <w:rFonts w:hint="eastAsia" w:eastAsia="宋体"/>
          <w:lang w:eastAsia="zh-CN"/>
        </w:rPr>
        <w:t xml:space="preserve">1.通用大语言模型对接</w:t>
      </w:r>
      <w:r/>
    </w:p>
    <w:p>
      <w:pPr>
        <w:pStyle w:val="1072"/>
        <w:ind w:left="9" w:firstLine="480"/>
        <w:jc w:val="both"/>
        <w:spacing w:before="39" w:line="360" w:lineRule="auto"/>
        <w:rPr>
          <w:rFonts w:eastAsia="宋体"/>
          <w:lang w:eastAsia="zh-CN"/>
        </w:rPr>
      </w:pPr>
      <w:r>
        <w:rPr>
          <w:rFonts w:hint="eastAsia" w:eastAsia="宋体"/>
          <w:lang w:eastAsia="zh-CN"/>
        </w:rPr>
        <w:t xml:space="preserve">根据学校配置，完成指定通用大语言模型或多个通用大模型对接。</w:t>
      </w:r>
      <w:r/>
    </w:p>
    <w:p>
      <w:pPr>
        <w:pStyle w:val="1072"/>
        <w:ind w:left="9" w:firstLine="480"/>
        <w:jc w:val="both"/>
        <w:spacing w:before="39" w:line="360" w:lineRule="auto"/>
        <w:rPr>
          <w:rFonts w:eastAsia="宋体"/>
          <w:lang w:eastAsia="zh-CN"/>
        </w:rPr>
      </w:pPr>
      <w:r>
        <w:rPr>
          <w:rFonts w:hint="eastAsia" w:eastAsia="宋体"/>
          <w:lang w:eastAsia="zh-CN"/>
        </w:rPr>
        <w:t xml:space="preserve">2.课程专属AI知识库训练</w:t>
      </w:r>
      <w:r/>
    </w:p>
    <w:p>
      <w:pPr>
        <w:pStyle w:val="1072"/>
        <w:ind w:left="9" w:firstLine="480"/>
        <w:jc w:val="both"/>
        <w:spacing w:before="39" w:line="360" w:lineRule="auto"/>
        <w:rPr>
          <w:rFonts w:eastAsia="宋体"/>
          <w:lang w:eastAsia="zh-CN"/>
        </w:rPr>
      </w:pPr>
      <w:r>
        <w:rPr>
          <w:rFonts w:hint="eastAsia" w:eastAsia="宋体"/>
          <w:lang w:eastAsia="zh-CN"/>
        </w:rPr>
        <w:t xml:space="preserve">2.1在线课程自我训练</w:t>
      </w:r>
      <w:r/>
    </w:p>
    <w:p>
      <w:pPr>
        <w:pStyle w:val="1072"/>
        <w:ind w:left="9" w:firstLine="480"/>
        <w:jc w:val="both"/>
        <w:spacing w:before="39" w:line="360" w:lineRule="auto"/>
        <w:rPr>
          <w:rFonts w:eastAsia="宋体"/>
          <w:lang w:eastAsia="zh-CN"/>
        </w:rPr>
      </w:pPr>
      <w:r>
        <w:rPr>
          <w:rFonts w:hint="eastAsia" w:eastAsia="宋体"/>
          <w:lang w:eastAsia="zh-CN"/>
        </w:rPr>
        <w:t xml:space="preserve">2.1.1支持一键同步在线课程，对已有资源进行智能化训练。</w:t>
      </w:r>
      <w:r/>
    </w:p>
    <w:p>
      <w:pPr>
        <w:pStyle w:val="1072"/>
        <w:ind w:left="9" w:firstLine="480"/>
        <w:jc w:val="both"/>
        <w:spacing w:before="39" w:line="360" w:lineRule="auto"/>
        <w:rPr>
          <w:rFonts w:eastAsia="宋体"/>
          <w:lang w:eastAsia="zh-CN"/>
        </w:rPr>
      </w:pPr>
      <w:r>
        <w:rPr>
          <w:rFonts w:hint="eastAsia" w:eastAsia="宋体"/>
          <w:lang w:eastAsia="zh-CN"/>
        </w:rPr>
        <w:t xml:space="preserve">2.1.2支持增量同步在线课程，保持与课程内容的一致。</w:t>
      </w:r>
      <w:r/>
    </w:p>
    <w:p>
      <w:pPr>
        <w:pStyle w:val="1072"/>
        <w:ind w:left="9" w:firstLine="480"/>
        <w:jc w:val="both"/>
        <w:spacing w:before="39" w:line="360" w:lineRule="auto"/>
        <w:rPr>
          <w:rFonts w:eastAsia="宋体"/>
          <w:lang w:eastAsia="zh-CN"/>
        </w:rPr>
      </w:pPr>
      <w:r>
        <w:rPr>
          <w:rFonts w:hint="eastAsia" w:eastAsia="宋体"/>
          <w:lang w:eastAsia="zh-CN"/>
        </w:rPr>
        <w:t xml:space="preserve">2.2资源上传与训练</w:t>
      </w:r>
      <w:r/>
    </w:p>
    <w:p>
      <w:pPr>
        <w:pStyle w:val="1072"/>
        <w:ind w:left="9" w:firstLine="480"/>
        <w:jc w:val="both"/>
        <w:spacing w:before="39" w:line="360" w:lineRule="auto"/>
        <w:rPr>
          <w:rFonts w:eastAsia="宋体"/>
          <w:lang w:eastAsia="zh-CN"/>
        </w:rPr>
      </w:pPr>
      <w:r>
        <w:rPr>
          <w:rFonts w:hint="eastAsia" w:eastAsia="宋体"/>
          <w:lang w:eastAsia="zh-CN"/>
        </w:rPr>
        <w:t xml:space="preserve">2.2.1课程单元内容建设，可编辑视频、文档、图片、音频、图书、公式、符号、附件、网页、动画等。</w:t>
      </w:r>
      <w:r/>
    </w:p>
    <w:p>
      <w:pPr>
        <w:pStyle w:val="1072"/>
        <w:ind w:left="9" w:firstLine="480"/>
        <w:jc w:val="both"/>
        <w:spacing w:before="39" w:line="360" w:lineRule="auto"/>
        <w:rPr>
          <w:rFonts w:eastAsia="宋体"/>
          <w:lang w:eastAsia="zh-CN"/>
        </w:rPr>
      </w:pPr>
      <w:r>
        <w:rPr>
          <w:rFonts w:hint="eastAsia" w:eastAsia="宋体"/>
          <w:lang w:eastAsia="zh-CN"/>
        </w:rPr>
        <w:t xml:space="preserve">2.2.2支持导入并编辑内容。</w:t>
      </w:r>
      <w:r/>
    </w:p>
    <w:p>
      <w:pPr>
        <w:pStyle w:val="1072"/>
        <w:ind w:left="9" w:firstLine="480"/>
        <w:jc w:val="both"/>
        <w:spacing w:before="39" w:line="360" w:lineRule="auto"/>
        <w:rPr>
          <w:rFonts w:eastAsia="宋体"/>
          <w:lang w:eastAsia="zh-CN"/>
        </w:rPr>
      </w:pPr>
      <w:r>
        <w:rPr>
          <w:rFonts w:hint="eastAsia" w:eastAsia="宋体"/>
          <w:lang w:eastAsia="zh-CN"/>
        </w:rPr>
        <w:t xml:space="preserve">2.2.3视频上传与播放支持rmvb、3gp、mpg、mpeg、mov、wmv、avi、mkv、mp4、flv、vob、f4v等高清和网络格式。</w:t>
      </w:r>
      <w:r/>
    </w:p>
    <w:p>
      <w:pPr>
        <w:pStyle w:val="1072"/>
        <w:ind w:left="9" w:firstLine="480"/>
        <w:jc w:val="both"/>
        <w:spacing w:before="39" w:line="360" w:lineRule="auto"/>
        <w:rPr>
          <w:rFonts w:eastAsia="宋体"/>
          <w:lang w:eastAsia="zh-CN"/>
        </w:rPr>
      </w:pPr>
      <w:r>
        <w:rPr>
          <w:rFonts w:hint="eastAsia" w:eastAsia="宋体"/>
          <w:lang w:eastAsia="zh-CN"/>
        </w:rPr>
        <w:t xml:space="preserve">2.2.4支持2G以上文件上传。支持查看资源上传与训练状态，支持查看训练资源来源。支持按时间范围查看资源上传情况。</w:t>
      </w:r>
      <w:r/>
    </w:p>
    <w:p>
      <w:pPr>
        <w:pStyle w:val="1072"/>
        <w:ind w:left="9" w:firstLine="480"/>
        <w:jc w:val="both"/>
        <w:spacing w:before="39" w:line="360" w:lineRule="auto"/>
        <w:rPr>
          <w:rFonts w:eastAsia="宋体"/>
          <w:lang w:eastAsia="zh-CN"/>
        </w:rPr>
      </w:pPr>
      <w:r>
        <w:rPr>
          <w:rFonts w:hint="eastAsia" w:eastAsia="宋体"/>
          <w:lang w:eastAsia="zh-CN"/>
        </w:rPr>
        <w:t xml:space="preserve">2.3学术文献一键对接训练</w:t>
      </w:r>
      <w:r/>
    </w:p>
    <w:p>
      <w:pPr>
        <w:pStyle w:val="1072"/>
        <w:ind w:left="9" w:firstLine="480"/>
        <w:jc w:val="both"/>
        <w:spacing w:before="39" w:line="360" w:lineRule="auto"/>
        <w:rPr>
          <w:rFonts w:eastAsia="宋体"/>
          <w:lang w:eastAsia="zh-CN"/>
        </w:rPr>
      </w:pPr>
      <w:r>
        <w:rPr>
          <w:rFonts w:hint="eastAsia" w:eastAsia="宋体"/>
          <w:lang w:eastAsia="zh-CN"/>
        </w:rPr>
        <w:t xml:space="preserve">2.3.1支持对接文献库，一次性导入不超过30本课程相关书籍，进行训练。</w:t>
      </w:r>
      <w:r/>
    </w:p>
    <w:p>
      <w:pPr>
        <w:pStyle w:val="1072"/>
        <w:ind w:left="9" w:firstLine="480"/>
        <w:jc w:val="both"/>
        <w:spacing w:before="39" w:line="360" w:lineRule="auto"/>
        <w:rPr>
          <w:rFonts w:eastAsia="宋体"/>
          <w:lang w:eastAsia="zh-CN"/>
        </w:rPr>
      </w:pPr>
      <w:r>
        <w:rPr>
          <w:rFonts w:hint="eastAsia" w:eastAsia="宋体"/>
          <w:lang w:eastAsia="zh-CN"/>
        </w:rPr>
        <w:t xml:space="preserve">2.3.2支持反复导入。</w:t>
      </w:r>
      <w:r/>
    </w:p>
    <w:p>
      <w:pPr>
        <w:pStyle w:val="1072"/>
        <w:ind w:left="9" w:firstLine="480"/>
        <w:jc w:val="both"/>
        <w:spacing w:before="39" w:line="360" w:lineRule="auto"/>
        <w:rPr>
          <w:rFonts w:eastAsia="宋体"/>
          <w:lang w:eastAsia="zh-CN"/>
        </w:rPr>
      </w:pPr>
      <w:r>
        <w:rPr>
          <w:rFonts w:hint="eastAsia" w:eastAsia="宋体"/>
          <w:lang w:eastAsia="zh-CN"/>
        </w:rPr>
        <w:t xml:space="preserve">2.4▲AI 知识库管理功能</w:t>
      </w:r>
      <w:r/>
    </w:p>
    <w:p>
      <w:pPr>
        <w:pStyle w:val="1072"/>
        <w:ind w:left="9" w:firstLine="480"/>
        <w:jc w:val="both"/>
        <w:spacing w:before="39" w:line="360" w:lineRule="auto"/>
        <w:rPr>
          <w:rFonts w:eastAsia="宋体"/>
          <w:lang w:eastAsia="zh-CN"/>
        </w:rPr>
      </w:pPr>
      <w:r>
        <w:rPr>
          <w:rFonts w:hint="eastAsia" w:eastAsia="宋体"/>
          <w:lang w:eastAsia="zh-CN"/>
        </w:rPr>
        <w:t xml:space="preserve">2.4.1支持 “单位 AI 知识库” 与 “公共 AI 知识库” 双维度管理，可按创建人、创建时间、知识库名称等条件进行精准检索与筛选。</w:t>
      </w:r>
      <w:r/>
    </w:p>
    <w:p>
      <w:pPr>
        <w:pStyle w:val="1072"/>
        <w:ind w:left="9" w:firstLine="480"/>
        <w:jc w:val="both"/>
        <w:spacing w:before="39" w:line="360" w:lineRule="auto"/>
        <w:rPr>
          <w:rFonts w:eastAsia="宋体"/>
          <w:lang w:eastAsia="zh-CN"/>
        </w:rPr>
      </w:pPr>
      <w:r>
        <w:rPr>
          <w:rFonts w:hint="eastAsia" w:eastAsia="宋体"/>
          <w:lang w:eastAsia="zh-CN"/>
        </w:rPr>
        <w:t xml:space="preserve">2.4.2系统支持新增知识库、知识库管理及召回参数设置等核心操作，可实时统计并展示总文件数、总字符数等关键数据，支持列表与卡片两种视图切换，同时具备分页查询功能，实现对知识库资源的全生命周期管理与高效调用。</w:t>
      </w:r>
      <w:r/>
    </w:p>
    <w:p>
      <w:pPr>
        <w:pStyle w:val="1072"/>
        <w:ind w:left="9" w:firstLine="480"/>
        <w:jc w:val="both"/>
        <w:spacing w:before="39" w:line="360" w:lineRule="auto"/>
        <w:rPr>
          <w:rFonts w:eastAsia="宋体"/>
          <w:lang w:eastAsia="zh-CN"/>
        </w:rPr>
      </w:pPr>
      <w:r>
        <w:rPr>
          <w:rFonts w:hint="eastAsia" w:eastAsia="宋体"/>
          <w:lang w:eastAsia="zh-CN"/>
        </w:rPr>
        <w:t xml:space="preserve">2.4.3支持在公共AI知识库订阅相关学科、专业、领域的知识库，为保证资源适配，公共知识库建设数量不低于1900个。</w:t>
      </w:r>
      <w:r/>
    </w:p>
    <w:p>
      <w:pPr>
        <w:pStyle w:val="1072"/>
        <w:ind w:left="9" w:firstLine="480"/>
        <w:jc w:val="both"/>
        <w:spacing w:before="39" w:line="360" w:lineRule="auto"/>
        <w:rPr>
          <w:rFonts w:eastAsia="宋体"/>
          <w:lang w:eastAsia="zh-CN"/>
        </w:rPr>
      </w:pPr>
      <w:r>
        <w:rPr>
          <w:rFonts w:hint="eastAsia" w:eastAsia="宋体"/>
          <w:lang w:eastAsia="zh-CN"/>
        </w:rPr>
        <w:t xml:space="preserve">3.AI问答库建设</w:t>
      </w:r>
      <w:r/>
    </w:p>
    <w:p>
      <w:pPr>
        <w:pStyle w:val="1072"/>
        <w:ind w:left="9" w:firstLine="480"/>
        <w:jc w:val="both"/>
        <w:spacing w:before="39" w:line="360" w:lineRule="auto"/>
        <w:rPr>
          <w:rFonts w:eastAsia="宋体"/>
          <w:lang w:eastAsia="zh-CN"/>
        </w:rPr>
      </w:pPr>
      <w:r>
        <w:rPr>
          <w:rFonts w:hint="eastAsia" w:eastAsia="宋体"/>
          <w:lang w:eastAsia="zh-CN"/>
        </w:rPr>
        <w:t xml:space="preserve">供应商建设课程问答库，涵盖常见问题、重点难点问题与拓展性问题，为教师与学生提供即时问题解决支持。同时，问答库应支持智能检索与语义理解，提升答疑效率与精准度。</w:t>
      </w:r>
      <w:r/>
    </w:p>
    <w:p>
      <w:pPr>
        <w:pStyle w:val="1072"/>
        <w:ind w:left="9" w:firstLine="480"/>
        <w:jc w:val="both"/>
        <w:spacing w:before="39" w:line="360" w:lineRule="auto"/>
        <w:rPr>
          <w:rFonts w:eastAsia="宋体"/>
          <w:lang w:eastAsia="zh-CN"/>
        </w:rPr>
      </w:pPr>
      <w:r>
        <w:rPr>
          <w:rFonts w:hint="eastAsia" w:eastAsia="宋体"/>
          <w:lang w:eastAsia="zh-CN"/>
        </w:rPr>
        <w:t xml:space="preserve">3.1需求调研与主题确定</w:t>
      </w:r>
      <w:r/>
    </w:p>
    <w:p>
      <w:pPr>
        <w:pStyle w:val="1072"/>
        <w:ind w:left="9" w:firstLine="480"/>
        <w:jc w:val="both"/>
        <w:spacing w:before="39" w:line="360" w:lineRule="auto"/>
        <w:rPr>
          <w:rFonts w:eastAsia="宋体"/>
          <w:lang w:eastAsia="zh-CN"/>
        </w:rPr>
      </w:pPr>
      <w:r>
        <w:rPr>
          <w:rFonts w:hint="eastAsia" w:eastAsia="宋体"/>
          <w:lang w:eastAsia="zh-CN"/>
        </w:rPr>
        <w:t xml:space="preserve">3.1.1合作沟通：供应商与课程教学团队进行深入沟通，了解各学科的教学需求、痛点及期望。</w:t>
      </w:r>
      <w:r/>
    </w:p>
    <w:p>
      <w:pPr>
        <w:pStyle w:val="1072"/>
        <w:ind w:left="9" w:firstLine="480"/>
        <w:jc w:val="both"/>
        <w:spacing w:before="39" w:line="360" w:lineRule="auto"/>
        <w:rPr>
          <w:rFonts w:eastAsia="宋体"/>
          <w:lang w:eastAsia="zh-CN"/>
        </w:rPr>
      </w:pPr>
      <w:r>
        <w:rPr>
          <w:rFonts w:hint="eastAsia" w:eastAsia="宋体"/>
          <w:lang w:eastAsia="zh-CN"/>
        </w:rPr>
        <w:t xml:space="preserve">3.1.2主题界定：根据课程设计和师生需求，明确问答库的主题范围。</w:t>
      </w:r>
      <w:r/>
    </w:p>
    <w:p>
      <w:pPr>
        <w:pStyle w:val="1072"/>
        <w:ind w:left="9" w:firstLine="480"/>
        <w:jc w:val="both"/>
        <w:spacing w:before="39" w:line="360" w:lineRule="auto"/>
        <w:rPr>
          <w:rFonts w:eastAsia="宋体"/>
          <w:lang w:eastAsia="zh-CN"/>
        </w:rPr>
      </w:pPr>
      <w:r>
        <w:rPr>
          <w:rFonts w:hint="eastAsia" w:eastAsia="宋体"/>
          <w:lang w:eastAsia="zh-CN"/>
        </w:rPr>
        <w:t xml:space="preserve">3.1.3目标设定：确立问答库的使用目标，如辅助教学、自学辅导、考试复习等。</w:t>
      </w:r>
      <w:r/>
    </w:p>
    <w:p>
      <w:pPr>
        <w:pStyle w:val="1072"/>
        <w:ind w:left="9" w:firstLine="480"/>
        <w:jc w:val="both"/>
        <w:spacing w:before="39" w:line="360" w:lineRule="auto"/>
        <w:rPr>
          <w:rFonts w:eastAsia="宋体"/>
          <w:lang w:eastAsia="zh-CN"/>
        </w:rPr>
      </w:pPr>
      <w:r>
        <w:rPr>
          <w:rFonts w:hint="eastAsia" w:eastAsia="宋体"/>
          <w:lang w:eastAsia="zh-CN"/>
        </w:rPr>
        <w:t xml:space="preserve">3.2问答库数据结构设计</w:t>
      </w:r>
      <w:r/>
    </w:p>
    <w:p>
      <w:pPr>
        <w:pStyle w:val="1072"/>
        <w:ind w:left="9" w:firstLine="480"/>
        <w:jc w:val="both"/>
        <w:spacing w:before="39" w:line="360" w:lineRule="auto"/>
        <w:rPr>
          <w:rFonts w:eastAsia="宋体"/>
          <w:lang w:eastAsia="zh-CN"/>
        </w:rPr>
      </w:pPr>
      <w:r>
        <w:rPr>
          <w:rFonts w:hint="eastAsia" w:eastAsia="宋体"/>
          <w:lang w:eastAsia="zh-CN"/>
        </w:rPr>
        <w:t xml:space="preserve">3.2.1数据结构规划：设计高效的数据存储与检索结构，确保问答对的快速响应与准确匹配。</w:t>
      </w:r>
      <w:r/>
    </w:p>
    <w:p>
      <w:pPr>
        <w:pStyle w:val="1072"/>
        <w:ind w:left="9" w:firstLine="480"/>
        <w:jc w:val="both"/>
        <w:spacing w:before="39" w:line="360" w:lineRule="auto"/>
        <w:rPr>
          <w:rFonts w:eastAsia="宋体"/>
          <w:lang w:eastAsia="zh-CN"/>
        </w:rPr>
      </w:pPr>
      <w:r>
        <w:rPr>
          <w:rFonts w:hint="eastAsia" w:eastAsia="宋体"/>
          <w:lang w:eastAsia="zh-CN"/>
        </w:rPr>
        <w:t xml:space="preserve">3.2.2技术选型：选择适合的人工智能技术框架，如自然语言处理（NLP）引擎，以支持问答对的智能匹配与语义理解。</w:t>
      </w:r>
      <w:r/>
    </w:p>
    <w:p>
      <w:pPr>
        <w:pStyle w:val="1072"/>
        <w:ind w:left="9" w:firstLine="480"/>
        <w:jc w:val="both"/>
        <w:spacing w:before="39" w:line="360" w:lineRule="auto"/>
        <w:rPr>
          <w:rFonts w:eastAsia="宋体"/>
          <w:lang w:eastAsia="zh-CN"/>
        </w:rPr>
      </w:pPr>
      <w:r>
        <w:rPr>
          <w:rFonts w:hint="eastAsia" w:eastAsia="宋体"/>
          <w:lang w:eastAsia="zh-CN"/>
        </w:rPr>
        <w:t xml:space="preserve">3.3问答对收集与验证</w:t>
      </w:r>
      <w:r/>
    </w:p>
    <w:p>
      <w:pPr>
        <w:pStyle w:val="1072"/>
        <w:ind w:left="9" w:firstLine="480"/>
        <w:jc w:val="both"/>
        <w:spacing w:before="39" w:line="360" w:lineRule="auto"/>
        <w:rPr>
          <w:rFonts w:eastAsia="宋体"/>
          <w:lang w:eastAsia="zh-CN"/>
        </w:rPr>
      </w:pPr>
      <w:r>
        <w:rPr>
          <w:rFonts w:hint="eastAsia" w:eastAsia="宋体"/>
          <w:lang w:eastAsia="zh-CN"/>
        </w:rPr>
        <w:t xml:space="preserve">3.3.1内容收集：通过多渠道收集问答素材，包括课程现有资源、电子书、论文、网络资源等。</w:t>
      </w:r>
      <w:r/>
    </w:p>
    <w:p>
      <w:pPr>
        <w:pStyle w:val="1072"/>
        <w:ind w:left="9" w:firstLine="480"/>
        <w:jc w:val="both"/>
        <w:spacing w:before="39" w:line="360" w:lineRule="auto"/>
        <w:rPr>
          <w:rFonts w:eastAsia="宋体"/>
          <w:lang w:eastAsia="zh-CN"/>
        </w:rPr>
      </w:pPr>
      <w:r>
        <w:rPr>
          <w:rFonts w:hint="eastAsia" w:eastAsia="宋体"/>
          <w:lang w:eastAsia="zh-CN"/>
        </w:rPr>
        <w:t xml:space="preserve">3.3.2质量审核：由课程负责人对问答对进行逐条审核，确保内容的准确性、适用性和教育性。</w:t>
      </w:r>
      <w:r/>
    </w:p>
    <w:p>
      <w:pPr>
        <w:pStyle w:val="1072"/>
        <w:ind w:left="9" w:firstLine="480"/>
        <w:jc w:val="both"/>
        <w:spacing w:before="39" w:line="360" w:lineRule="auto"/>
        <w:rPr>
          <w:rFonts w:eastAsia="宋体"/>
          <w:lang w:eastAsia="zh-CN"/>
        </w:rPr>
      </w:pPr>
      <w:r>
        <w:rPr>
          <w:rFonts w:hint="eastAsia" w:eastAsia="宋体"/>
          <w:lang w:eastAsia="zh-CN"/>
        </w:rPr>
        <w:t xml:space="preserve">3.3.3标准化处理：对问答对进行标准化处理，统一格式与表述风格，提高问答库的整体质量。</w:t>
      </w:r>
      <w:r/>
    </w:p>
    <w:p>
      <w:pPr>
        <w:pStyle w:val="1072"/>
        <w:ind w:left="9" w:firstLine="480"/>
        <w:jc w:val="both"/>
        <w:spacing w:before="39" w:line="360" w:lineRule="auto"/>
        <w:rPr>
          <w:rFonts w:eastAsia="宋体"/>
          <w:lang w:eastAsia="zh-CN"/>
        </w:rPr>
      </w:pPr>
      <w:r>
        <w:rPr>
          <w:rFonts w:hint="eastAsia" w:eastAsia="宋体"/>
          <w:lang w:eastAsia="zh-CN"/>
        </w:rPr>
        <w:t xml:space="preserve">3.4实施与测试优化</w:t>
      </w:r>
      <w:r/>
    </w:p>
    <w:p>
      <w:pPr>
        <w:pStyle w:val="1072"/>
        <w:ind w:left="9" w:firstLine="480"/>
        <w:jc w:val="both"/>
        <w:spacing w:before="39" w:line="360" w:lineRule="auto"/>
        <w:rPr>
          <w:rFonts w:eastAsia="宋体"/>
          <w:lang w:eastAsia="zh-CN"/>
        </w:rPr>
      </w:pPr>
      <w:r>
        <w:rPr>
          <w:rFonts w:hint="eastAsia" w:eastAsia="宋体"/>
          <w:lang w:eastAsia="zh-CN"/>
        </w:rPr>
        <w:t xml:space="preserve">3.4.1功能测试：进行全面的功能测试，包括问答匹配准确性、响应速度、用户界面友好性等。</w:t>
      </w:r>
      <w:r/>
    </w:p>
    <w:p>
      <w:pPr>
        <w:pStyle w:val="1072"/>
        <w:ind w:left="9" w:firstLine="480"/>
        <w:jc w:val="both"/>
        <w:spacing w:before="39" w:line="360" w:lineRule="auto"/>
        <w:rPr>
          <w:rFonts w:eastAsia="宋体"/>
          <w:lang w:eastAsia="zh-CN"/>
        </w:rPr>
      </w:pPr>
      <w:r>
        <w:rPr>
          <w:rFonts w:hint="eastAsia" w:eastAsia="宋体"/>
          <w:lang w:eastAsia="zh-CN"/>
        </w:rPr>
        <w:t xml:space="preserve">3.4.2优化调整：根据测试结果及用户反馈，对系统进行必要的优化调整，提升系统性能与用户体验。</w:t>
      </w:r>
      <w:r/>
    </w:p>
    <w:p>
      <w:pPr>
        <w:pStyle w:val="1072"/>
        <w:ind w:left="9" w:firstLine="480"/>
        <w:jc w:val="both"/>
        <w:spacing w:before="39" w:line="360" w:lineRule="auto"/>
        <w:rPr>
          <w:rFonts w:eastAsia="宋体"/>
          <w:lang w:eastAsia="zh-CN"/>
        </w:rPr>
      </w:pPr>
      <w:r>
        <w:rPr>
          <w:rFonts w:hint="eastAsia" w:eastAsia="宋体"/>
          <w:lang w:eastAsia="zh-CN"/>
        </w:rPr>
        <w:t xml:space="preserve">3.5技术支持与更新维护</w:t>
      </w:r>
      <w:r/>
    </w:p>
    <w:p>
      <w:pPr>
        <w:pStyle w:val="1072"/>
        <w:ind w:left="9" w:firstLine="480"/>
        <w:jc w:val="both"/>
        <w:spacing w:before="39" w:line="360" w:lineRule="auto"/>
        <w:rPr>
          <w:rFonts w:eastAsia="宋体"/>
          <w:lang w:eastAsia="zh-CN"/>
        </w:rPr>
      </w:pPr>
      <w:r>
        <w:rPr>
          <w:rFonts w:hint="eastAsia" w:eastAsia="宋体"/>
          <w:lang w:eastAsia="zh-CN"/>
        </w:rPr>
        <w:t xml:space="preserve">3.5.1业务问答支持关联微应用，支持关联本单位的已有应用与自建应用；</w:t>
      </w:r>
      <w:r/>
    </w:p>
    <w:p>
      <w:pPr>
        <w:pStyle w:val="1072"/>
        <w:ind w:left="9" w:firstLine="480"/>
        <w:jc w:val="both"/>
        <w:spacing w:before="39" w:line="360" w:lineRule="auto"/>
        <w:rPr>
          <w:rFonts w:eastAsia="宋体"/>
          <w:lang w:eastAsia="zh-CN"/>
        </w:rPr>
      </w:pPr>
      <w:r>
        <w:rPr>
          <w:rFonts w:hint="eastAsia" w:eastAsia="宋体"/>
          <w:lang w:eastAsia="zh-CN"/>
        </w:rPr>
        <w:t xml:space="preserve">3.5.2支持用户手动上传文档至问答库，上传后系统可对上传的文档进行解析，解析后可智能回答文档相关问题；</w:t>
      </w:r>
      <w:r/>
    </w:p>
    <w:p>
      <w:pPr>
        <w:pStyle w:val="1072"/>
        <w:ind w:left="9" w:firstLine="480"/>
        <w:jc w:val="both"/>
        <w:spacing w:before="39" w:line="360" w:lineRule="auto"/>
        <w:rPr>
          <w:rFonts w:eastAsia="宋体"/>
          <w:lang w:eastAsia="zh-CN"/>
        </w:rPr>
      </w:pPr>
      <w:r>
        <w:rPr>
          <w:rFonts w:hint="eastAsia" w:eastAsia="宋体"/>
          <w:lang w:eastAsia="zh-CN"/>
        </w:rPr>
        <w:t xml:space="preserve">3.5.3支持同步接入校本网络教学平台已建设的网络课程资料进行智能解析，解析后可围绕课程内容进行人机问答；支持根据用户输入问题进行匹配提示；支持问答无匹配时，提供语义相似度最高的热门问题；支持未知问题回复语自定义设置。</w:t>
      </w:r>
      <w:r/>
    </w:p>
    <w:p>
      <w:pPr>
        <w:pStyle w:val="1072"/>
        <w:ind w:left="9" w:firstLine="480"/>
        <w:jc w:val="both"/>
        <w:spacing w:before="39" w:line="360" w:lineRule="auto"/>
        <w:rPr>
          <w:rFonts w:eastAsia="宋体"/>
          <w:lang w:eastAsia="zh-CN"/>
        </w:rPr>
      </w:pPr>
      <w:r>
        <w:rPr>
          <w:rFonts w:hint="eastAsia" w:eastAsia="宋体"/>
          <w:lang w:eastAsia="zh-CN"/>
        </w:rPr>
        <w:t xml:space="preserve">3.5.4支持根据学科发展及用户需求，定期更新问答库内容，保持问答库的时效性与准确性，跟踪周期至少一学期。支持对系统进行定期维护与升级，修复潜在漏洞，提升系统安全性与稳定性。</w:t>
      </w:r>
      <w:r/>
    </w:p>
    <w:p>
      <w:pPr>
        <w:pStyle w:val="1072"/>
        <w:ind w:left="9" w:firstLine="480"/>
        <w:jc w:val="both"/>
        <w:spacing w:before="39" w:line="360" w:lineRule="auto"/>
        <w:rPr>
          <w:rFonts w:eastAsia="宋体"/>
          <w:lang w:eastAsia="zh-CN"/>
        </w:rPr>
      </w:pPr>
      <w:r>
        <w:rPr>
          <w:rFonts w:hint="eastAsia" w:eastAsia="宋体"/>
          <w:lang w:eastAsia="zh-CN"/>
        </w:rPr>
        <w:t xml:space="preserve">4.AI助教问答与资源推荐</w:t>
      </w:r>
      <w:r/>
    </w:p>
    <w:p>
      <w:pPr>
        <w:pStyle w:val="1072"/>
        <w:ind w:left="9" w:firstLine="480"/>
        <w:jc w:val="both"/>
        <w:spacing w:before="39" w:line="360" w:lineRule="auto"/>
        <w:rPr>
          <w:rFonts w:eastAsia="宋体"/>
          <w:lang w:eastAsia="zh-CN"/>
        </w:rPr>
      </w:pPr>
      <w:r>
        <w:rPr>
          <w:rFonts w:hint="eastAsia" w:eastAsia="宋体"/>
          <w:lang w:eastAsia="zh-CN"/>
        </w:rPr>
        <w:t xml:space="preserve">供应商提供训练后的AI助教，可提供问答与资源推荐。</w:t>
      </w:r>
      <w:r/>
    </w:p>
    <w:p>
      <w:pPr>
        <w:pStyle w:val="1072"/>
        <w:ind w:left="9" w:firstLine="480"/>
        <w:jc w:val="both"/>
        <w:spacing w:before="39" w:line="360" w:lineRule="auto"/>
        <w:rPr>
          <w:rFonts w:eastAsia="宋体"/>
          <w:lang w:eastAsia="zh-CN"/>
        </w:rPr>
      </w:pPr>
      <w:r>
        <w:rPr>
          <w:rFonts w:hint="eastAsia" w:eastAsia="宋体"/>
          <w:lang w:eastAsia="zh-CN"/>
        </w:rPr>
        <w:t xml:space="preserve">4.1支持多轮对话，可基于上一个问题的回答继续进行后续问答；提问时支持通过语音输入问题；</w:t>
      </w:r>
      <w:r/>
    </w:p>
    <w:p>
      <w:pPr>
        <w:pStyle w:val="1072"/>
        <w:ind w:left="9" w:firstLine="480"/>
        <w:jc w:val="both"/>
        <w:spacing w:before="39" w:line="360" w:lineRule="auto"/>
        <w:rPr>
          <w:rFonts w:eastAsia="宋体"/>
          <w:lang w:eastAsia="zh-CN"/>
        </w:rPr>
      </w:pPr>
      <w:r>
        <w:rPr>
          <w:rFonts w:hint="eastAsia" w:eastAsia="宋体"/>
          <w:lang w:eastAsia="zh-CN"/>
        </w:rPr>
        <w:t xml:space="preserve">4.2提问时支持上传图片通过读取图片内的问题进行提问；</w:t>
      </w:r>
      <w:r/>
    </w:p>
    <w:p>
      <w:pPr>
        <w:pStyle w:val="1072"/>
        <w:ind w:left="9" w:firstLine="480"/>
        <w:jc w:val="both"/>
        <w:spacing w:before="39" w:line="360" w:lineRule="auto"/>
        <w:rPr>
          <w:rFonts w:eastAsia="宋体"/>
          <w:lang w:eastAsia="zh-CN"/>
        </w:rPr>
      </w:pPr>
      <w:r>
        <w:rPr>
          <w:rFonts w:hint="eastAsia" w:eastAsia="宋体"/>
          <w:lang w:eastAsia="zh-CN"/>
        </w:rPr>
        <w:t xml:space="preserve">4.3提问时支持用户上传文档，让大模型围绕此份文档智能回答相关问题；</w:t>
      </w:r>
      <w:r/>
    </w:p>
    <w:p>
      <w:pPr>
        <w:pStyle w:val="1072"/>
        <w:ind w:left="9" w:firstLine="480"/>
        <w:jc w:val="both"/>
        <w:spacing w:before="39" w:line="360" w:lineRule="auto"/>
        <w:rPr>
          <w:rFonts w:eastAsia="宋体"/>
          <w:lang w:eastAsia="zh-CN"/>
        </w:rPr>
      </w:pPr>
      <w:r>
        <w:rPr>
          <w:rFonts w:hint="eastAsia" w:eastAsia="宋体"/>
          <w:lang w:eastAsia="zh-CN"/>
        </w:rPr>
        <w:t xml:space="preserve">4.4支持用户自主选择是否需要大模型回复；</w:t>
      </w:r>
      <w:r/>
    </w:p>
    <w:p>
      <w:pPr>
        <w:pStyle w:val="1072"/>
        <w:ind w:left="9" w:firstLine="480"/>
        <w:jc w:val="both"/>
        <w:spacing w:before="39" w:line="360" w:lineRule="auto"/>
        <w:rPr>
          <w:rFonts w:eastAsia="宋体"/>
          <w:lang w:eastAsia="zh-CN"/>
        </w:rPr>
      </w:pPr>
      <w:r>
        <w:rPr>
          <w:rFonts w:hint="eastAsia" w:eastAsia="宋体"/>
          <w:lang w:eastAsia="zh-CN"/>
        </w:rPr>
        <w:t xml:space="preserve">4.5助教输出的答案支持显示来源，可截取显示与答案有关的原文内容，也可通过来源跳转回原文全文展开学习。</w:t>
      </w:r>
      <w:r/>
    </w:p>
    <w:p>
      <w:pPr>
        <w:pStyle w:val="1072"/>
        <w:ind w:left="9" w:firstLine="480"/>
        <w:jc w:val="both"/>
        <w:spacing w:before="39" w:line="360" w:lineRule="auto"/>
        <w:rPr>
          <w:rFonts w:eastAsia="宋体"/>
          <w:lang w:eastAsia="zh-CN"/>
        </w:rPr>
      </w:pPr>
      <w:r>
        <w:rPr>
          <w:rFonts w:hint="eastAsia" w:eastAsia="宋体"/>
          <w:lang w:eastAsia="zh-CN"/>
        </w:rPr>
        <w:t xml:space="preserve">4.6▲支持查询图书、期刊等文献，根据用户输入问题推荐相关文献，图书、期刊等推荐文献支持通过在线查看原文、文献传递等途径获取；</w:t>
      </w:r>
      <w:r/>
    </w:p>
    <w:p>
      <w:pPr>
        <w:pStyle w:val="1072"/>
        <w:ind w:left="9" w:firstLine="480"/>
        <w:jc w:val="both"/>
        <w:spacing w:before="39" w:line="360" w:lineRule="auto"/>
        <w:rPr>
          <w:rFonts w:eastAsia="宋体"/>
          <w:lang w:eastAsia="zh-CN"/>
        </w:rPr>
      </w:pPr>
      <w:r>
        <w:rPr>
          <w:rFonts w:hint="eastAsia" w:eastAsia="宋体"/>
          <w:lang w:eastAsia="zh-CN"/>
        </w:rPr>
        <w:t xml:space="preserve">4.7支持针对用户网络课程学习进度和掌握情况，个性化推荐学习资源；</w:t>
      </w:r>
      <w:r/>
    </w:p>
    <w:p>
      <w:pPr>
        <w:pStyle w:val="1072"/>
        <w:ind w:left="9" w:firstLine="480"/>
        <w:jc w:val="both"/>
        <w:spacing w:before="39" w:line="360" w:lineRule="auto"/>
        <w:rPr>
          <w:rFonts w:eastAsia="宋体"/>
          <w:lang w:eastAsia="zh-CN"/>
        </w:rPr>
      </w:pPr>
      <w:r>
        <w:rPr>
          <w:rFonts w:hint="eastAsia" w:eastAsia="宋体"/>
          <w:lang w:eastAsia="zh-CN"/>
        </w:rPr>
        <w:t xml:space="preserve">4.8支持移动端、PC端多种使用渠道。</w:t>
      </w:r>
      <w:r/>
    </w:p>
    <w:p>
      <w:pPr>
        <w:pStyle w:val="1072"/>
        <w:ind w:left="9" w:firstLine="480"/>
        <w:jc w:val="both"/>
        <w:spacing w:before="39" w:line="360" w:lineRule="auto"/>
        <w:rPr>
          <w:rFonts w:eastAsia="宋体"/>
          <w:lang w:eastAsia="zh-CN"/>
        </w:rPr>
      </w:pPr>
      <w:r>
        <w:rPr>
          <w:rFonts w:hint="eastAsia" w:eastAsia="宋体"/>
          <w:lang w:eastAsia="zh-CN"/>
        </w:rPr>
        <w:t xml:space="preserve">4.9AI助教可自动对没有答案的问题描述进行关键词识别并统计聚类，按照关键词问答频率由高到低排序，同时可以批量导出未知问题；支持统计历史会话，可按照时间范围、使用渠道等维度进行筛选，并可查看、导出会话具体内容。</w:t>
      </w:r>
      <w:r/>
    </w:p>
    <w:p>
      <w:pPr>
        <w:pStyle w:val="1072"/>
        <w:ind w:left="9" w:firstLine="480"/>
        <w:jc w:val="both"/>
        <w:spacing w:before="39" w:line="360" w:lineRule="auto"/>
        <w:rPr>
          <w:rFonts w:eastAsia="宋体"/>
          <w:lang w:eastAsia="zh-CN"/>
        </w:rPr>
      </w:pPr>
      <w:r>
        <w:rPr>
          <w:rFonts w:hint="eastAsia" w:eastAsia="宋体"/>
          <w:lang w:eastAsia="zh-CN"/>
        </w:rPr>
        <w:t xml:space="preserve">5.课程学习助手开通</w:t>
      </w:r>
      <w:r/>
    </w:p>
    <w:p>
      <w:pPr>
        <w:pStyle w:val="1072"/>
        <w:ind w:left="9" w:firstLine="480"/>
        <w:jc w:val="both"/>
        <w:spacing w:before="39" w:line="360" w:lineRule="auto"/>
        <w:rPr>
          <w:rFonts w:eastAsia="宋体"/>
          <w:lang w:eastAsia="zh-CN"/>
        </w:rPr>
      </w:pPr>
      <w:r>
        <w:rPr>
          <w:rFonts w:hint="eastAsia" w:eastAsia="宋体"/>
          <w:lang w:eastAsia="zh-CN"/>
        </w:rPr>
        <w:t xml:space="preserve">主动为学生推荐待办任务，帮助学生分析薄弱知识点针对学生提出的概念性问题，运用苏格拉底对话，为学生进行启发式讲解针对学生上传的复杂题目、电路图、实验数据图进行讲解、解读针对学生上传的文档进行文档理解、总结归纳，生成思维导图。</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（五）虚拟数字人定制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基于AI技术，定制课程数字人，作为智慧课程的虚拟教师或学习助手，提供多样化的教学服务。数字人将支持课程资源建设、多语言与跨文化交流，拓展智慧课程的应用场景。教师可选择由真人出镜或采用基于真人形象定制的数字人录制课程视频。</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1.数字人人像建模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1.1投标人提供公用人像库自选，公用人像支持性别、行业、年龄、语音、姿势等简介预览；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1.2支持真人形象定制，还原度95%以上；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1.3真人形象定制可选择抠像形式或实景形式。</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2.数字人人声建模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2.1投标人提供公用声音库自选，声音库包含英语、日语、泰语等多门外语，以及四川、东北、天津等多地方言；</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2.2支持真人真声定制，还原度95%以上；</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2.3支持数字人的音调、语速、音量再调节。</w:t>
      </w:r>
      <w:r/>
    </w:p>
    <w:p>
      <w:pPr>
        <w:pStyle w:val="883"/>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3.数字人驱动运行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3.1支持文本驱动，可以在线编辑文稿，也可以使用AI辅助创作文案，实现在线视听效果；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3.2支持语音驱动，可以在线录音，也可以本地上传音频。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3.3数字人可作为课程AI助教形象，增加课程交互亲和力，提升学生体验。</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（六）课程任务引擎设计</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1.以能力培养为导向的任务设计，适配多种教学模式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能根据教学团队需求协助教师设计课程任务，课程任务类型不限，如项目任务、问题驱动任务、实践任务等，帮助老师掌握基于任务引擎创设学生为中心、高阶能力培养为导向的综合任务设计，体现教学模式，同时激发学生的学习兴趣，培养解决实际问题的能力并强化跨学科融合与协作学习，鼓励学生通过团队合作解决复杂问题，提升综合素养。</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2.任务功能模块配置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2.1支持新建、编辑、发布、管理和删除任务，并针对任务数据进行自定义排序、指定、创建文件夹进行归纳；</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2.2.支持AI生成任务，提高老师任务创建效率。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2.3▲支持按照章节，教案，文本三种方式AI生成任务基本信息和任务点内容，简化老师任务设计工作，提高任务的建设质量。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2.4支持点击新建任务，跳转至任务编辑页面，进行基本信息编辑和任务设计工作；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2.5支持编辑任务基本信息，包括任务名称、任务封面、任务介绍和选择任务标签，任务标签支持对接数据源，按照单位设置展示标签内容；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2.6支持切换标签页跳转任务设计页面，添加分组，添加任务点和设置闯关达标条件；</w:t>
      </w:r>
      <w:r/>
    </w:p>
    <w:p>
      <w:pPr>
        <w:ind w:firstLine="480"/>
        <w:jc w:val="left"/>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2.7支持在任务的分组下添加任务点，任务点类型包括：视频，文档（笔记），课程，章节，知识点，线下课堂，线上课堂，主题讨论，AI实践，作业，测验，自测，问卷，审批，任务，自定义等17种类型；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2.8支持直接添加当前课下资源和当前登录用户的其他课程资源到任务下，同时支持点击添加跳转到指定页面进行资源添加；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2.9支持在任务点上设置闯关条件，学生需要达到任务点设置的完成条件才能够学习下一个任务点，不同类型任务点闯关条件不同；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2.10支持在任务分组上设置组间闯关条件，学生需要达到组间闯关设置的完成条件后才能够学习下个分组，不同类型任务点闯关条件不同；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2.11支持在任务设计上设置达标标准，学生完成达标标准后，整个任务学习完成，学生可以领取相应的任务达标证书；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2.12针对视频、文档、线上课堂、线下课堂、主题讨论、问卷、审批、自定义类型任务点，增加“成绩”按钮，方便教师录入线下教学成绩；</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2.13针对自定义类型任务点，增加“签到”按钮，方便老师发放签到给学生；</w:t>
      </w:r>
      <w:r/>
    </w:p>
    <w:p>
      <w:pPr>
        <w:ind w:firstLine="480"/>
        <w:jc w:val="left"/>
        <w:spacing w:line="360" w:lineRule="auto"/>
        <w:rPr>
          <w:rFonts w:ascii="宋体" w:hAnsi="宋体" w:eastAsia="宋体" w:cs="宋体"/>
          <w:sz w:val="24"/>
          <w:szCs w:val="24"/>
        </w:rPr>
      </w:pPr>
      <w:r>
        <w:rPr>
          <w:rFonts w:hint="eastAsia" w:ascii="宋体" w:hAnsi="宋体" w:eastAsia="宋体" w:cs="宋体"/>
          <w:b w:val="0"/>
          <w:sz w:val="24"/>
          <w:szCs w:val="24"/>
        </w:rPr>
        <w:t xml:space="preserve">2.14任务中可插入PBL教学：支持开展分组教学活动，支持多种分组方式，包含固定分组、自选分组、组长建组、随机分组、面对面建组、不分组等分组方式； </w:t>
      </w:r>
      <w:r>
        <w:rPr>
          <w:rFonts w:hint="eastAsia" w:ascii="宋体" w:hAnsi="宋体" w:eastAsia="宋体" w:cs="宋体"/>
          <w:sz w:val="24"/>
          <w:szCs w:val="24"/>
        </w:rPr>
        <w:t xml:space="preserve">活动支持教师评价、组内评价、组间评价、自评等多种评价相结合，支持分项评分指标设置；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2.15课程成绩权重支持分组任务明细分配，不同活动可设置不同考核权重。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2.16支持针对单个任务点设置“是否选学”开关，开启后学生可自主决定是否学习，同时学习成绩不作任务闯关和任务达标的参考项；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2.17支持针对任务点开启高阶闯关模式，使不同成绩学生后续学习的内容不一样，满足教师个性化教学的场景；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2.18▲任务引擎支持选课功能，支持教师选择部分资源作为任务包，学生选择部分任务点进行选择性学习；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2.19支持评价功能，教师可设置评分权重/指标，评分方式等信息，学员提交任务点后，以学生自评，互评，教师评多种方式进行评价。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2.20用户完成任务设计后，支持点击发布按钮，支持任务选择班级、分组、个人进行任务发布工作；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2.21支持任务克隆功能，支持克隆给自己和克隆给他人两种方式，提高任务的复用性；</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2.22支持针对任务进行报名设置工作，教师可以选择开启报名，报名需要填写信息，报名需要审批三种方式，邀请学生报名任务，同时支持查看报名信息。</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3.学生任务学习</w:t>
      </w:r>
      <w:r>
        <w:rPr>
          <w:rFonts w:hint="eastAsia" w:ascii="宋体" w:hAnsi="宋体" w:eastAsia="宋体" w:cs="宋体"/>
          <w:b/>
          <w:bCs/>
          <w:sz w:val="24"/>
          <w:szCs w:val="24"/>
        </w:rPr>
        <w:tab/>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3.1支持学生点击个人空间－我的任务查看我的任务列表，支持学生点击课程－任务查看我的任务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3.2点击进入学习，支持学生查看任务的基本信息，达标情况和解锁情况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3.3支持点击达标按钮，查看学生当前的达标情况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3.4任务设置发放证书后，任务达标后支持点击证书按钮，进行证书查看、下载操作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3.5支持切换不同类型的学习路径（列表模式、框架模式、图谱模式），方便学生个性化学习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3.6支持学生点击任务点进行学习，学习后返回任务详情，支持学生查看自己任务点的最新完成情况和待完成分组、任务点的解锁情况</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4.任务运行达成数据统计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4.1学情分析页面展示学生、任务点数据和概览统计情况，方便教师一键明确学生和任务点的完成情况；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▲4.2支持督学，有督学和批量督学按钮，支持针对不满足学习进度的学生、单个学生、多个学生进行发放督学通知，督促学生学习。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4.3提供移动端应用功能，教师可以通过移动端进行简单的任务管理工作；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4.4学生可以通过移动端进行任务学习、查看达标状态、查看证书的工作。</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（七）课程虚拟展厅建设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支持课程虚拟展厅一站式创建与动态管理</w:t>
      </w:r>
      <w:r/>
    </w:p>
    <w:p>
      <w:pPr>
        <w:numPr>
          <w:ilvl w:val="0"/>
          <w:numId w:val="15"/>
        </w:numPr>
        <w:ind w:firstLine="482"/>
        <w:spacing w:after="120" w:line="360" w:lineRule="auto"/>
        <w:rPr>
          <w:rFonts w:ascii="宋体" w:hAnsi="宋体" w:eastAsia="宋体" w:cs="宋体"/>
          <w:b/>
          <w:bCs/>
          <w:sz w:val="24"/>
          <w:szCs w:val="24"/>
        </w:rPr>
        <w:outlineLvl w:val="2"/>
      </w:pPr>
      <w:r>
        <w:rPr>
          <w:rFonts w:hint="eastAsia" w:ascii="宋体" w:hAnsi="宋体" w:eastAsia="宋体" w:cs="宋体"/>
          <w:b/>
          <w:bCs/>
          <w:sz w:val="24"/>
          <w:szCs w:val="24"/>
        </w:rPr>
        <w:t xml:space="preserve">课程虚拟展厅快速生成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系统搭载AI智能生成能力，可全方位辅助教师快速搭建专属课程虚拟展厅，大幅降低人工</w:t>
      </w:r>
      <w:r>
        <w:rPr>
          <w:rFonts w:hint="eastAsia" w:ascii="宋体" w:hAnsi="宋体" w:eastAsia="宋体" w:cs="宋体"/>
          <w:sz w:val="24"/>
          <w:szCs w:val="24"/>
        </w:rPr>
        <w:t xml:space="preserve">编辑与信息录入成本。支持AI一键生成课程基础信息，如课程简介、课程图片、课程片花等课程素材，教师仅需补充少量课程基础信息，无需手动繁琐填报。平台内置二十余种覆盖多学科的专属课程空间模板，教师可根据课程类型、教学风格灵活选用适配模板，快速搭建标准化、个性化课程展厅。同时支持自定义讲解音色与风格，可针对课程内容匹配专属语音讲解，丰富课程听觉体验、提升教学沉浸感；课程虚拟展厅建设采用WebGL与三维建模技术，支持网页端免插件访问，全面兼容PC、移动端设备，生成的展厅可自动嵌入课程门户页面，实现一键部署、即用即访。</w:t>
      </w:r>
      <w:r>
        <w:rPr>
          <w:rFonts w:hint="eastAsia" w:ascii="宋体" w:hAnsi="宋体" w:eastAsia="宋体" w:cs="宋体"/>
          <w:b/>
          <w:bCs/>
          <w:sz w:val="24"/>
          <w:szCs w:val="24"/>
        </w:rPr>
        <w:t xml:space="preserve">【演示项10】</w:t>
      </w:r>
      <w:r/>
    </w:p>
    <w:p>
      <w:pPr>
        <w:numPr>
          <w:ilvl w:val="0"/>
          <w:numId w:val="15"/>
        </w:numPr>
        <w:ind w:firstLine="482"/>
        <w:spacing w:after="120" w:line="360" w:lineRule="auto"/>
        <w:rPr>
          <w:rFonts w:ascii="宋体" w:hAnsi="宋体" w:eastAsia="宋体" w:cs="宋体"/>
          <w:b/>
          <w:bCs/>
          <w:sz w:val="24"/>
          <w:szCs w:val="24"/>
        </w:rPr>
        <w:outlineLvl w:val="2"/>
      </w:pPr>
      <w:r>
        <w:rPr>
          <w:rFonts w:hint="eastAsia" w:ascii="宋体" w:hAnsi="宋体" w:eastAsia="宋体" w:cs="宋体"/>
          <w:b/>
          <w:bCs/>
          <w:sz w:val="24"/>
          <w:szCs w:val="24"/>
        </w:rPr>
        <w:t xml:space="preserve">课程虚拟展厅沉浸式交互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提供多模式漫游方式：学生既能像打游戏一样操控虚拟角色自主漫游探索，又可通过点击地面任意位置实现快速移动；同时内置场景导航系统，支持通过场景列表实现指定展区快速跳转浏览，也可根据设定好的导览场景一键启动自动漫游播放，无需操作即可流畅观看所有重点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2.2多媒体内容融合展示：支持在展厅内集成图文介绍、教学视频、音频讲解及3D模型，可一键聚焦至内容最佳观看视角，学生靠近展区时可自动触发音视频讲解，增强内容感知与认知融入；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AI伴学服务：学生可随时唤醒3D版AI助教，AI助教可通过语音合成技术进行流畅的实时播报解答课程疑问、推荐学习路径，在播报过程中3D版AI助教人物模型可同步触发配套的口播动画与符合语义的肢体动作，实现“形-声-动”一体化的沉浸式交互体验，打造“可对话、可陪伴”的沉浸式学习环境。</w:t>
      </w:r>
      <w:r/>
    </w:p>
    <w:p>
      <w:pPr>
        <w:ind w:firstLine="482"/>
        <w:spacing w:after="120" w:line="360" w:lineRule="auto"/>
        <w:rPr>
          <w:rFonts w:ascii="宋体" w:hAnsi="宋体" w:eastAsia="宋体" w:cs="宋体"/>
          <w:b/>
          <w:bCs/>
          <w:sz w:val="24"/>
          <w:szCs w:val="24"/>
        </w:rPr>
        <w:outlineLvl w:val="2"/>
      </w:pPr>
      <w:r>
        <w:rPr>
          <w:rFonts w:hint="eastAsia" w:ascii="宋体" w:hAnsi="宋体" w:eastAsia="宋体" w:cs="宋体"/>
          <w:b/>
          <w:bCs/>
          <w:sz w:val="24"/>
          <w:szCs w:val="24"/>
        </w:rPr>
        <w:t xml:space="preserve">3.课程虚拟展厅灵活编辑与管理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提供专属课程虚拟展厅可视化编辑后台，授权教师可对已创建展厅进行内容协同维护，支持对展厅内图文/音视频等多媒体素材实时替换更新，教师可通过可视化拖拽布展，支持拖拽图片、视频、文字、网页、3D模型等元素至场景中，既可通过多合一控制器实时调整素材大小、角度、位置，也可通过展板属性栏精准调整展板尺寸和布局，可自由新增、删除或调整现有模块（如优势亮点、师资团队、成果展示）的布局与顺序，实现展厅结构个性化建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平台内置展板样式不少于40种，涵盖图文展板、视频面板等多种类型，教师可根据内容需求快速选择并应用，系统支持展板样式的实时切换与预览，在保持原有素材数据不变的前提下，快速改变展板的视觉风格、边框设计，显著提升展厅内容布展效率及专业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3.3平台内置不少于上百种公共素材资源库，涵盖3D模型、高质量图片、精品音频及视频素材等，且保持每月定期更新扩容机制，为教师提供丰富可靠的素材选择与布展支持；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3.4支持为不同展区配置专属语音讲解和设置区域触发机制，支持多触发条件（进入、停留）设置以使学生进入该区域时实现音视频内容自动播放，进一步增强展厅的互动沉浸感，助力课程资源建设与动态更新。</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（八）课程门户建设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1.智慧课程门户搭建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支持建设专有课程域名，进行课程门户搭建。PC门户配置功能支持用户自定义模块布局，支持拖拽式调整同一模块内不同栏目的位置，支持用户自定义对页面背景、音乐、主题色及简体或繁体字的转换设置。每一个模块内的数据来源均支持人工配置；可以是外部数据接入，也可以直接从数据中心抽调。</w:t>
      </w:r>
      <w:r/>
    </w:p>
    <w:p>
      <w:pPr>
        <w:ind w:firstLine="480"/>
        <w:spacing w:after="120" w:line="360" w:lineRule="auto"/>
        <w:rPr>
          <w:rFonts w:ascii="宋体" w:hAnsi="宋体" w:eastAsia="宋体" w:cs="宋体"/>
          <w:bCs/>
          <w:sz w:val="24"/>
          <w:szCs w:val="24"/>
        </w:rPr>
        <w:outlineLvl w:val="2"/>
      </w:pPr>
      <w:r>
        <w:rPr>
          <w:rFonts w:hint="eastAsia" w:ascii="宋体" w:hAnsi="宋体" w:eastAsia="宋体" w:cs="宋体"/>
          <w:bCs/>
          <w:sz w:val="24"/>
          <w:szCs w:val="24"/>
        </w:rPr>
        <w:t xml:space="preserve">2.智慧课程门户展示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2.1课程门户展示课程整体建设内容，教师团队、教学设计、课程章节、知识图谱、问题图谱、证书图谱、能力图谱、教学运行、AI知识库、AI应用。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2.2支持对课程门户进行二次编辑，课程基本信息，包含课程名称、封面、宣传片、主讲教师、教师团队、学时学分、课程说明等。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2.3支持编辑课程简介，展示课程所属院校、专业、教师团队详情等信息。</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3.知识图谱展示与应用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支持展示课程知识图谱，查看多种图谱模式，包含但不限于关系图谱、思维导图模式、学习路径、问题图谱等，展示课程目标图谱、问题图谱。</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4.AI知识库展示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支持展示知识库总数、资源总数、知识切片总数、问答对总数，动态展示、拓展资料、趣味测试，动态播放知识库资源。</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5.课程虚拟展厅展示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展示虚拟展厅建设内容，可进入虚拟展厅浏览，与智能体交互。</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6.教学设计展示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6.1支持对课程章节、小结进行数据统计，按章节展示知识图谱任务点资源及课程资料。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6.2支持用课程－课程目标－课程知识点3层架构，展示智慧课程知识体系。支持2D\3D模式切换、全屏播放及页面缩放。</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7.课程运行数据统计分析展示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7.1支持对课程建设、运行数据进行详情分析，包含教师团队、学生人数、知识点资源数、知识点属性、知识点学情统计等。</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（九）课程运行推广服务</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1.1提供一套完整的运行培训方案，包括但不限于课程平台操作培训、教学方法与课程内容融合培训、学员互动与反馈机制培训等，确保参与课程运行的教师、工作人员等能快速熟悉并高效开展课程运行工作。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1.2提供一套运行推广规划方案，方案要明确课程推广的团队组织架构、推广流程、推广方法等，以系统、科学地推动课程在目标群体中的传播与应用。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2.1运行培训方案需具有针对性和可操作性，培训形式可灵活采用线上直播、录播课程、线下工作坊等多种方式，培训内容应结合课程实际特点和运行需求进行设计。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2.1.1供应商免费提供针对老师的至少2次总计不低于6学时的课程建设、教学运行及在线开放课程的课程运行的培训，也可根据采购人的要求，由供应商集中组织培训。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2.1.2讲解课程制作流程及各阶段主要工作内容。如：智慧课程顶层设计、智慧课程制作流程、智慧课程实施思路等。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2.1.3供应商专门技术人员对采购人相关人员，包括技术人员及操作人员针对硬件及软件的操作使用、日常维护及简单故障排除，免费进行培训。使负责教学的老师和技术负责人员能够完全熟练地掌握硬件软件系统的操作和日常维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2.1.4培训后采购人使用人员能独立操作；培训内容包括基本操作使用、各种软件安装调试及使用、图像和数据处理、常见故障及解决办法等。确保被培训人能熟练操作和使用。</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2.1.5培训结束后如遇到技术问题我方随时提供相应的技术指导。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2.2运行推广规划方案须具备创新性和可行性，能结合当前教育行业发展趋势和目标受众特点，制定出切实有效的推广策略。</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六、其它要求及有关说明</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（一）其他要求</w:t>
      </w:r>
      <w:r/>
    </w:p>
    <w:p>
      <w:pPr>
        <w:pStyle w:val="88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1.在线开放课程素材母带</w:t>
      </w:r>
      <w:r>
        <w:rPr>
          <w:rFonts w:hint="eastAsia" w:ascii="宋体" w:hAnsi="宋体" w:eastAsia="宋体" w:cs="宋体"/>
          <w:sz w:val="24"/>
          <w:szCs w:val="24"/>
        </w:rPr>
        <w:t xml:space="preserve">（或素材数据硬盘）、动画素材、工程源文件及课程成品版权归采购人所拥有，未经采购人允许，中标人不得以任何方式提供给其他任何单位或个人占有使用。中标人须保证提供的文本、图片、视频片段，以及其他产品、服务、技术成果的合法性和真实性。如中标人交付内容侵犯任何第三方知识产权，需通过更换、重新制作等方式提供合法文本、图片、视频片段，以及其他产品、服务、技术成果。如采购人因此涉入投诉、仲裁、诉讼或其他侵权指控，均由中标人处理并负责承担由以上侵权指控产生的全部损害赔偿及采购人因此支出的有关诉讼仲裁费用、律师费用等相关费用。</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2.中标人须严格管理拍摄、制作人员，对拍摄、制作人员的</w:t>
      </w:r>
      <w:r>
        <w:rPr>
          <w:rFonts w:hint="eastAsia" w:ascii="宋体" w:hAnsi="宋体" w:eastAsia="宋体" w:cs="宋体"/>
          <w:sz w:val="24"/>
          <w:szCs w:val="24"/>
          <w:highlight w:val="none"/>
        </w:rPr>
        <w:t xml:space="preserve">影响课程拍摄进度、质量及影响正常教学秩序的行为负全部责任。 </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3.采购人可以要求制作方更换拍摄人员，以达到采购人的需求。 </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4.中标人须安排1位常务联系人和1位紧急情况联系人，以保证联系的畅通和问题的及时处理。</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项目团队在课程拍摄期间，须进驻苏州农业职业技术学院服务，搭建适当的教学情境，提供专业的摄影棚及制作设备并提供至少3人驻场人员（人员食宿须自理），含摄影、化妆等专业人员，制作团队必须全程与教师沟通，听取教师对于课程制作的设计意见，并加以处理完善，除采购人要求外中途不得更换或委托他人。</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6.知识产权要求：</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（1）采购人享有本项目所制作的慕课程资源的著作权。</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（2）供应商在制作资源时，不得侵犯第三方的权利，对资源中使用的第三方素材应取得相关权利人的许可或支付相关费用，取得合法授权。由此而引起的一切纠纷由中标方负责解决，采购人不承担任何责任。</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（3）供应商具有将在线开放课程升级成数字化课程出版的能力,能协助学校将已拍摄完成的在线开放课程制作成数字化课程进行出版。</w:t>
      </w:r>
      <w:r/>
    </w:p>
    <w:p>
      <w:pPr>
        <w:pStyle w:val="883"/>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（二）有关说明</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1.本项目投标人以教学视频和二维动画、三维动画三个部分单价最高限价的</w:t>
      </w:r>
      <w:r>
        <w:rPr>
          <w:rFonts w:hint="eastAsia" w:ascii="宋体" w:hAnsi="宋体" w:eastAsia="宋体" w:cs="宋体"/>
          <w:sz w:val="24"/>
          <w:szCs w:val="24"/>
          <w:highlight w:val="none"/>
          <w:lang w:val="en-US" w:eastAsia="zh-CN"/>
        </w:rPr>
        <w:t xml:space="preserve">优惠</w:t>
      </w:r>
      <w:r>
        <w:rPr>
          <w:rFonts w:hint="eastAsia" w:ascii="宋体" w:hAnsi="宋体" w:eastAsia="宋体" w:cs="宋体"/>
          <w:sz w:val="24"/>
          <w:szCs w:val="24"/>
          <w:highlight w:val="none"/>
        </w:rPr>
        <w:t xml:space="preserve">率进行报价，提供符合本项目招标要求的服务所发生的一切费用应分摊至折后单价中。</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2.通过中国海关报关验放进入中国境内且产自关境外的产品不在本项目的报价范围。</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3.投标人必须在满足招标文件要求的基础上进行报价，如有技术偏离请于投标偏离表中说明。</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4.服务期限：</w:t>
      </w:r>
      <w:r>
        <w:rPr>
          <w:rFonts w:hint="eastAsia" w:ascii="宋体" w:hAnsi="宋体" w:eastAsia="宋体" w:cs="宋体"/>
          <w:sz w:val="24"/>
          <w:szCs w:val="24"/>
          <w:highlight w:val="none"/>
          <w:lang w:eastAsia="zh-CN"/>
        </w:rPr>
        <w:t xml:space="preserve">自合同签订之日起2个月</w:t>
      </w:r>
      <w:r>
        <w:rPr>
          <w:rFonts w:hint="eastAsia" w:ascii="宋体" w:hAnsi="宋体" w:eastAsia="宋体" w:cs="宋体"/>
          <w:sz w:val="24"/>
          <w:szCs w:val="24"/>
          <w:highlight w:val="none"/>
        </w:rPr>
        <w:t xml:space="preserve">。</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5.年课程制作期限：服务期满前完成所有采购方制作要求。</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6.质保期：项目自验收合格之日起一年。质保期内，须对所制作课程视频免费提供三次综合修改，免费修改视频量不低于总量的10%。</w:t>
      </w:r>
      <w:r/>
    </w:p>
    <w:p>
      <w:pPr>
        <w:pStyle w:val="883"/>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7.付款方式：根据中标人的投标</w:t>
      </w:r>
      <w:r>
        <w:rPr>
          <w:rFonts w:hint="eastAsia" w:ascii="宋体" w:hAnsi="宋体" w:eastAsia="宋体" w:cs="宋体"/>
          <w:sz w:val="24"/>
          <w:szCs w:val="24"/>
          <w:highlight w:val="none"/>
          <w:lang w:val="en-US" w:eastAsia="zh-CN"/>
        </w:rPr>
        <w:t xml:space="preserve">优惠</w:t>
      </w:r>
      <w:r>
        <w:rPr>
          <w:rFonts w:hint="eastAsia" w:ascii="宋体" w:hAnsi="宋体" w:eastAsia="宋体" w:cs="宋体"/>
          <w:sz w:val="24"/>
          <w:szCs w:val="24"/>
          <w:highlight w:val="none"/>
        </w:rPr>
        <w:t xml:space="preserve">率为准，根据最终实际制作时间结算支付。采购人向中标人支付的金额总数不超过中标人中标的对应标段的预算。项目实施期间，以当年12月进行验收，验收合格后30日内支付实际结算金额的100%。</w:t>
      </w:r>
      <w:r/>
    </w:p>
    <w:p>
      <w:pPr>
        <w:pStyle w:val="883"/>
        <w:ind w:firstLine="480"/>
        <w:spacing w:line="360" w:lineRule="auto"/>
        <w:rPr>
          <w:rFonts w:ascii="宋体" w:hAnsi="宋体" w:eastAsia="宋体" w:cs="宋体"/>
          <w:b/>
          <w:bCs/>
          <w:sz w:val="24"/>
          <w:szCs w:val="24"/>
        </w:rPr>
      </w:pPr>
      <w:r>
        <w:rPr>
          <w:rFonts w:hint="eastAsia" w:ascii="宋体" w:hAnsi="宋体" w:eastAsia="宋体" w:cs="宋体"/>
          <w:sz w:val="24"/>
          <w:szCs w:val="24"/>
          <w:highlight w:val="none"/>
        </w:rPr>
        <w:t xml:space="preserve">8.质量及验收：采购人根据国家有关规定、招标文件、中标方的投标文件以及合同约定的内容和验收标准进行验收。验收</w:t>
      </w:r>
      <w:r>
        <w:rPr>
          <w:rFonts w:hint="eastAsia" w:ascii="宋体" w:hAnsi="宋体" w:eastAsia="宋体" w:cs="宋体"/>
          <w:sz w:val="24"/>
          <w:szCs w:val="24"/>
        </w:rPr>
        <w:t xml:space="preserve">情况作为支付货款的依据。如有质疑，以相关质量技术检验检测机构的检验结果为准，如产生检验费用，则该费用由过失方承担。</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七、综合说明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1.投标人必须承诺满足招标文件中提出的全部服务要求，同时明确详细的服务方案。如果其中某些条款不响应时，应在文件中逐条列出，未列出的视同响应。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投标总报价一次报定，应包括开发（包括项目开发实施过程中需甲方另行采购的第三方产品或乙方自有产品的报价）、聘请专业教师开发课程等工作费用、制作、维护、保险、利润、税金、报验、人员、交通、食宿、加班、验收、检测合格交付使用前等一切费用。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3.投标方在制作过程中提供的视频数据、动画资料等课程制作相关资料等必须妥善解决所有的知识产权，所有知识产权、传播权纠纷由中标人承担责任，采购人免责，此条款投标人必须全部满足并提供书面承诺（格式自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八、凡涉及招标文件的补充说明和修改，均以苏州市政府采购网发布信息为准。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九、政府采购政策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（一)中、小企业：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关于印发&lt;苏州市政府采购促进中小企业发展实施意见&gt;的通知》（苏财购[2022]16号）规定：本项目属于专门面向中小企业采购。所属行业为：其他未列明行业。中小企业参加政府采购活动，应当出具《关于印发&lt;苏州市政府采购促进中小企业发展实施意见&gt;的通知》（苏财购[2022]16号）规定的《中小企业声明函》，否则不得享受相关中小企业扶持政策。若供应商提供的《中小企业声明函》为虚假声明则视同提供虚假材料，按政府采购相关规定处理并报请政府监管部门给予行政处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（二）残疾人福利性单位：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（三）监狱企业：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（四)若供应商提供的《中小企业声明函》、《残疾人福利性单位声明函》及监狱企业认定证明等材料为虚假材料，按《政府采购法》相关规定处理并报请政府采购监管部门给予行政处罚。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（五）针对中小型企业、残疾人福利企业和监狱企业的评审：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（六）支持本国产品政策（本项目不涉及）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1、根据《国务院办公厅关于在政府采购中实施本国产品标准及相关政策的通知》</w:t>
      </w:r>
      <w:bookmarkStart w:id="69" w:name="OLE_LINK13"/>
      <w:r>
        <w:rPr>
          <w:rFonts w:hint="eastAsia" w:ascii="宋体" w:hAnsi="宋体" w:eastAsia="宋体" w:cs="宋体"/>
          <w:sz w:val="24"/>
          <w:szCs w:val="24"/>
        </w:rPr>
        <w:t xml:space="preserve">（国办发［2025］34号）</w:t>
      </w:r>
      <w:bookmarkEnd w:id="69"/>
      <w:r>
        <w:rPr>
          <w:rFonts w:hint="eastAsia" w:ascii="宋体" w:hAnsi="宋体" w:eastAsia="宋体" w:cs="宋体"/>
          <w:sz w:val="24"/>
          <w:szCs w:val="24"/>
        </w:rPr>
        <w:t xml:space="preserve">（以下简称“本国产品扶持政策”）的规定，既有本国产品又有非本国产品参与竞争的，依法对本国产品给予价格评审优惠，对本国产品的报价给予20%的价格扣除，用扣除后的价格参与评审。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供应商应当提供符合本国产品扶持政策附件规定的《关于符合本国产品标准的声明函》（格式见第二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多种产品采购时，还应提供《关于本国产品成本占比的声明函》（格式见第二章）。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6、若供应商提供虚假《关于符合本国产品标准的声明函》、《关于本国产品成本占比的声明函》、虚假证明文件谋取中标、成交的，依照《中华人民共和国政府采购法》等法律法规规定追究相应责任。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（七）绿色采购（本项目不涉及）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十、信用记录</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spacing w:line="360" w:lineRule="auto"/>
        <w:tabs>
          <w:tab w:val="left" w:pos="753" w:leader="none"/>
        </w:tabs>
        <w:rPr>
          <w:rFonts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864"/>
        <w:jc w:val="center"/>
        <w:spacing w:line="360" w:lineRule="auto"/>
        <w:rPr>
          <w:rFonts w:ascii="宋体" w:hAnsi="宋体" w:eastAsia="宋体"/>
          <w:sz w:val="48"/>
          <w:szCs w:val="48"/>
        </w:rPr>
      </w:pPr>
      <w:r/>
      <w:bookmarkStart w:id="70" w:name="_Toc396747046"/>
      <w:r/>
      <w:bookmarkStart w:id="71" w:name="_Toc17348"/>
      <w:r>
        <w:rPr>
          <w:rFonts w:hint="eastAsia" w:ascii="宋体" w:hAnsi="宋体" w:eastAsia="宋体"/>
          <w:sz w:val="48"/>
          <w:szCs w:val="48"/>
        </w:rPr>
        <w:t xml:space="preserve">第五章 合同主要条款</w:t>
      </w:r>
      <w:bookmarkEnd w:id="70"/>
      <w:r/>
      <w:bookmarkEnd w:id="71"/>
      <w:r/>
      <w:r/>
    </w:p>
    <w:p>
      <w:pPr>
        <w:jc w:val="center"/>
        <w:spacing w:line="360" w:lineRule="auto"/>
        <w:rPr>
          <w:rFonts w:ascii="宋体" w:hAnsi="宋体" w:eastAsia="宋体"/>
          <w:b/>
          <w:sz w:val="32"/>
          <w:szCs w:val="32"/>
        </w:rPr>
      </w:pPr>
      <w:r>
        <w:rPr>
          <w:rFonts w:hint="eastAsia" w:ascii="宋体" w:hAnsi="宋体" w:eastAsia="宋体"/>
          <w:sz w:val="32"/>
          <w:szCs w:val="32"/>
        </w:rPr>
        <w:br w:type="page" w:clear="all"/>
      </w:r>
      <w:r>
        <w:rPr>
          <w:rFonts w:hint="eastAsia" w:ascii="宋体" w:hAnsi="宋体" w:eastAsia="宋体"/>
          <w:b/>
          <w:sz w:val="32"/>
          <w:szCs w:val="32"/>
        </w:rPr>
        <w:t xml:space="preserve">合同主要条款</w:t>
      </w:r>
      <w:bookmarkEnd w:id="51"/>
      <w:r/>
      <w:r/>
    </w:p>
    <w:p>
      <w:pPr>
        <w:spacing w:line="360" w:lineRule="auto"/>
        <w:rPr>
          <w:rFonts w:ascii="宋体" w:hAnsi="宋体" w:eastAsia="宋体" w:cs="宋体"/>
          <w:bCs/>
          <w:sz w:val="24"/>
          <w:szCs w:val="24"/>
          <w:lang w:val="zh-CN"/>
        </w:rPr>
      </w:pPr>
      <w:r/>
      <w:bookmarkStart w:id="72" w:name="_Toc13642118"/>
      <w:r/>
      <w:bookmarkStart w:id="73" w:name="_Toc13889378"/>
      <w:r>
        <w:rPr>
          <w:rFonts w:hint="eastAsia" w:ascii="宋体" w:hAnsi="宋体" w:eastAsia="宋体" w:cs="宋体"/>
          <w:bCs/>
          <w:sz w:val="24"/>
          <w:szCs w:val="24"/>
          <w:lang w:val="zh-CN"/>
        </w:rPr>
        <w:t xml:space="preserve">甲方：苏州农业职业技术学院</w:t>
      </w:r>
      <w:r/>
    </w:p>
    <w:p>
      <w:pPr>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地址：</w:t>
      </w:r>
      <w:r/>
    </w:p>
    <w:p>
      <w:pPr>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电话：</w:t>
      </w:r>
      <w:r/>
    </w:p>
    <w:p>
      <w:pPr>
        <w:ind w:firstLine="420"/>
        <w:spacing w:line="360" w:lineRule="auto"/>
        <w:rPr>
          <w:rFonts w:ascii="宋体" w:hAnsi="宋体" w:eastAsia="宋体" w:cs="宋体"/>
          <w:bCs/>
          <w:sz w:val="24"/>
          <w:szCs w:val="24"/>
          <w:lang w:val="zh-CN"/>
        </w:rPr>
      </w:pPr>
      <w:r>
        <w:rPr>
          <w:rFonts w:ascii="宋体" w:hAnsi="宋体" w:eastAsia="宋体" w:cs="宋体"/>
          <w:bCs/>
          <w:sz w:val="24"/>
          <w:szCs w:val="24"/>
          <w:lang w:val="zh-CN"/>
        </w:rPr>
      </w:r>
      <w:r/>
    </w:p>
    <w:p>
      <w:pPr>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乙方： </w:t>
      </w:r>
      <w:r/>
    </w:p>
    <w:p>
      <w:pPr>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地址： </w:t>
      </w:r>
      <w:r/>
    </w:p>
    <w:p>
      <w:pPr>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电话： </w:t>
      </w:r>
      <w:r/>
    </w:p>
    <w:p>
      <w:pPr>
        <w:spacing w:line="360" w:lineRule="auto"/>
        <w:tabs>
          <w:tab w:val="left" w:pos="3119" w:leader="none"/>
        </w:tabs>
        <w:rPr>
          <w:rFonts w:ascii="宋体" w:hAnsi="宋体" w:cs="宋体"/>
          <w:bCs/>
          <w:sz w:val="21"/>
          <w:szCs w:val="21"/>
        </w:rPr>
      </w:pPr>
      <w:r>
        <w:rPr>
          <w:rFonts w:ascii="宋体" w:hAnsi="宋体" w:cs="宋体"/>
          <w:bCs/>
          <w:sz w:val="21"/>
          <w:szCs w:val="21"/>
        </w:rPr>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根据政府采购编号</w:t>
      </w:r>
      <w:r>
        <w:rPr>
          <w:rFonts w:hint="eastAsia" w:ascii="宋体" w:hAnsi="宋体" w:eastAsia="宋体" w:cs="宋体"/>
          <w:sz w:val="24"/>
          <w:szCs w:val="24"/>
          <w:u w:val="single"/>
        </w:rPr>
        <w:t xml:space="preserve">JSZC-320500-SZHX-G2026-0035</w:t>
      </w:r>
      <w:r>
        <w:rPr>
          <w:rFonts w:hint="eastAsia" w:ascii="宋体" w:hAnsi="宋体" w:eastAsia="宋体" w:cs="宋体"/>
          <w:sz w:val="24"/>
          <w:szCs w:val="24"/>
        </w:rPr>
        <w:t xml:space="preserve">招标文件、乙方的投标文件、中标通知书、《中华人民共和国民法典》及相关法律法规规定</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甲乙双方就此次中标的</w:t>
      </w:r>
      <w:r>
        <w:rPr>
          <w:rFonts w:hint="eastAsia" w:ascii="宋体" w:hAnsi="宋体" w:eastAsia="宋体" w:cs="宋体"/>
          <w:sz w:val="24"/>
          <w:szCs w:val="24"/>
          <w:u w:val="single"/>
          <w:lang w:val="zh-CN"/>
        </w:rPr>
        <w:t xml:space="preserve">数字教学资源制作服务项目</w:t>
      </w:r>
      <w:r>
        <w:rPr>
          <w:rFonts w:hint="eastAsia" w:ascii="宋体" w:hAnsi="宋体" w:eastAsia="宋体" w:cs="宋体"/>
          <w:sz w:val="24"/>
          <w:szCs w:val="24"/>
        </w:rPr>
        <w:t xml:space="preserve">事宜，遵循平等、自愿、公平和诚实信用原则，经友好协商，订立本合同。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下列文件为本合同不可分割部分：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 中标通知书；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 乙方的投标文件；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 乙方在招投标过程中所作的其它承诺、声明、书面澄清等；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 招标文件及其附件；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 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以上与本合同具有同等法律效力</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二、费用及结算</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最终结算</w:t>
      </w:r>
      <w:r>
        <w:rPr>
          <w:rFonts w:hint="eastAsia" w:ascii="宋体" w:hAnsi="宋体" w:eastAsia="宋体" w:cs="宋体"/>
          <w:sz w:val="24"/>
          <w:szCs w:val="24"/>
          <w:highlight w:val="none"/>
        </w:rPr>
        <w:t xml:space="preserve">根据乙方的</w:t>
      </w:r>
      <w:r>
        <w:rPr>
          <w:rFonts w:hint="eastAsia" w:ascii="宋体" w:hAnsi="宋体" w:eastAsia="宋体" w:cs="宋体"/>
          <w:sz w:val="24"/>
          <w:szCs w:val="24"/>
          <w:highlight w:val="none"/>
          <w:lang w:val="en-US" w:eastAsia="zh-CN"/>
        </w:rPr>
        <w:t xml:space="preserve">中标优惠</w:t>
      </w:r>
      <w:r>
        <w:rPr>
          <w:rFonts w:hint="eastAsia" w:ascii="宋体" w:hAnsi="宋体" w:eastAsia="宋体" w:cs="宋体"/>
          <w:sz w:val="24"/>
          <w:szCs w:val="24"/>
          <w:highlight w:val="none"/>
        </w:rPr>
        <w:t xml:space="preserve">率为准，</w:t>
      </w:r>
      <w:r>
        <w:rPr>
          <w:rFonts w:hint="eastAsia" w:ascii="宋体" w:hAnsi="宋体" w:eastAsia="宋体" w:cs="宋体"/>
          <w:bCs/>
          <w:sz w:val="24"/>
          <w:szCs w:val="24"/>
          <w:lang w:val="en-US" w:eastAsia="zh-CN"/>
        </w:rPr>
        <w:t xml:space="preserve">优惠</w:t>
      </w:r>
      <w:r>
        <w:rPr>
          <w:rFonts w:hint="eastAsia" w:ascii="宋体" w:hAnsi="宋体" w:eastAsia="宋体" w:cs="宋体"/>
          <w:sz w:val="24"/>
          <w:szCs w:val="24"/>
          <w:highlight w:val="none"/>
        </w:rPr>
        <w:t xml:space="preserve">率：</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以上费用报价包括开发（包括项目开发实施过程中需甲方另行采购的第三方产品或乙方自有产品的报价）、聘请专业教师开发课程等工作费用、制作、维护、保险、利润、税金、报验、人员、交通、食宿、加班、验收、检测合格交付使用前等一切费用</w:t>
      </w:r>
      <w:r>
        <w:rPr>
          <w:rFonts w:hint="eastAsia" w:ascii="宋体" w:hAnsi="宋体" w:eastAsia="宋体" w:cs="宋体"/>
          <w:sz w:val="24"/>
          <w:szCs w:val="24"/>
          <w:highlight w:val="none"/>
          <w:lang w:eastAsia="zh-CN"/>
        </w:rPr>
        <w:t xml:space="preserve">；</w:t>
      </w:r>
      <w:r/>
    </w:p>
    <w:p>
      <w:pPr>
        <w:ind w:firstLine="480"/>
        <w:spacing w:line="360" w:lineRule="auto"/>
        <w:rPr>
          <w:highlight w:val="none"/>
        </w:rPr>
      </w:pPr>
      <w:r>
        <w:rPr>
          <w:rFonts w:hint="eastAsia" w:ascii="宋体" w:hAnsi="宋体" w:eastAsia="宋体" w:cs="宋体"/>
          <w:sz w:val="24"/>
          <w:szCs w:val="24"/>
          <w:highlight w:val="none"/>
        </w:rPr>
        <w:t xml:space="preserve">根据最终实际制作时间结算支付。甲方向乙方支付的金额总数不超过乙方中标的对应标段的预算。项目实施期间，以当年12月进行验收，验收合格后30日内支付实际结算金额的100%；</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最终结算单价=各项单价最高限价*（1-中标</w:t>
      </w:r>
      <w:r>
        <w:rPr>
          <w:rFonts w:hint="eastAsia" w:ascii="宋体" w:hAnsi="宋体" w:eastAsia="宋体" w:cs="宋体"/>
          <w:bCs/>
          <w:sz w:val="24"/>
          <w:szCs w:val="24"/>
          <w:lang w:val="en-US" w:eastAsia="zh-CN"/>
        </w:rPr>
        <w:t xml:space="preserve">优惠</w:t>
      </w:r>
      <w:r>
        <w:rPr>
          <w:rFonts w:hint="eastAsia" w:ascii="宋体" w:hAnsi="宋体" w:eastAsia="宋体" w:cs="宋体"/>
          <w:sz w:val="24"/>
          <w:szCs w:val="24"/>
          <w:highlight w:val="none"/>
          <w:lang w:val="en-US" w:eastAsia="zh-CN"/>
        </w:rPr>
        <w:t xml:space="preserve">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2.乙方要求付款应提供以下资料：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（1）合格的销售发票；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（2）由甲乙双方及采购代理机构签章的《政府采购合同履行验收报告》。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3.履约保证金：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本项目要求提交履约保证金，金额：</w:t>
      </w:r>
      <w:r>
        <w:rPr>
          <w:rFonts w:hint="eastAsia" w:ascii="宋体" w:hAnsi="宋体" w:eastAsia="宋体" w:cs="宋体"/>
          <w:sz w:val="24"/>
          <w:szCs w:val="24"/>
          <w:highlight w:val="none"/>
          <w:lang w:val="en-US" w:eastAsia="zh-CN"/>
        </w:rPr>
        <w:t xml:space="preserve">人民币壹万元整（￥10000.00元）</w:t>
      </w:r>
      <w:r>
        <w:rPr>
          <w:rFonts w:hint="eastAsia" w:ascii="宋体" w:hAnsi="宋体" w:eastAsia="宋体" w:cs="宋体"/>
          <w:sz w:val="24"/>
          <w:szCs w:val="24"/>
          <w:highlight w:val="none"/>
        </w:rPr>
        <w:t xml:space="preserve">，要求如下：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（1）在签订合同前，乙方向甲方支付履约保证金，凭汇款凭证至财务处领取收据。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（2）乙方无故拖延或拒不提交履约保证金的，视为拒绝与甲方签订合同。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（3）合同履行过程中，甲方有权从履约保证金中扣除乙方应付的违约金或赔偿金，乙方应立即补足。</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（4）合同履行完毕且验收合格后十个工作日，乙方凭借收据办理履约保证金退款手续，甲方一次性无息退还履约保证金。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4.付款方式：转账或电汇。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5.甲方支付此项费用外不再承担其他任何费用（包括个人），人员的薪金、福利、休假日补贴等由乙方付给，与甲方无关。确因甲方工作需要，乙方应无条件配合甲方完成一些突击工作。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6.根据现行税法对甲方征收的与本合同有关的一切税费均由甲方承担；根据现行税法对乙方征收的与本合同有关的一切税费均由乙方承担。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乙方应保证甲方免除且乙方承担由于甲方在其本国使用该项目所需的产品和设计或其任何一部分时而引起第三方提出的侵犯知识产权、专利权、商标权或工业设计权的起诉、行动、行政程序索赔、请求等以及甲方为此而产生的损失和损害、费用和支出（包括但不限于律师费）。</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三、标的物的交付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（一）标的物的所有权自标的物交付时转移。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（二）乙方应当按照约定的期限和约定的地点交付标的物。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（三）乙方应当按照约定或者交易习惯向甲方交付提取标的物单证以外的有关单证和资料。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（四）服务期限：</w:t>
      </w:r>
      <w:r>
        <w:rPr>
          <w:rFonts w:hint="eastAsia" w:ascii="宋体" w:hAnsi="宋体" w:eastAsia="宋体" w:cs="宋体"/>
          <w:sz w:val="24"/>
          <w:szCs w:val="24"/>
          <w:highlight w:val="none"/>
          <w:lang w:eastAsia="zh-CN"/>
        </w:rPr>
        <w:t xml:space="preserve">自合同签订之日起2个月</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（五）年课程制作期限：服务期满前完成所有家方制作要求。</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highlight w:val="none"/>
        </w:rPr>
        <w:t xml:space="preserve">四、售后服务：</w:t>
      </w:r>
      <w:r>
        <w:rPr>
          <w:rFonts w:hint="eastAsia" w:ascii="宋体" w:hAnsi="宋体" w:eastAsia="宋体" w:cs="宋体"/>
          <w:sz w:val="24"/>
          <w:szCs w:val="24"/>
          <w:highlight w:val="none"/>
        </w:rPr>
        <w:t xml:space="preserve">按照招标文</w:t>
      </w:r>
      <w:r>
        <w:rPr>
          <w:rFonts w:hint="eastAsia" w:ascii="宋体" w:hAnsi="宋体" w:eastAsia="宋体" w:cs="宋体"/>
          <w:sz w:val="24"/>
          <w:szCs w:val="24"/>
        </w:rPr>
        <w:t xml:space="preserve">件和乙方在投标文件中承诺的服务执行。</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1.1在合同生效后，甲方无故要求解除合同的，应向乙方偿付合同总价款5%的违约金，违约金不足以补偿损失的，乙方有权要求甲方补足。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1.2甲方逾期付款的应按照逾期付款金额的每天万分之四支付逾期付款违约金，总额不超总价款的5%。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2.乙方的违约责任：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 在合同生效后，乙方无故要求解除合同的，应向甲方偿付合同总价款5%的违约金，违约金不足以补偿损失的，甲方有权要求乙方补足。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乙方不能按时提供服务（逾期超过十五天视为不能按时提供服务），或乙方未按合同规定的质量要求提供服务的，不能完成合同时，甲方有权解除合同，应向甲方偿付合同总价款5%的违约金，违约金不足以补偿损失的甲方有权要求乙方补足。乙方逾期提供服务的，应在服务前与甲方和政府采购管理部门协商，甲方仍需求的，乙方应立即提供服务并应按照逾期提供服务部分款项的每天万分之四支付逾期交货违约金，同时承担甲方因此遭致的损失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2.3乙方应执行国家有关规定（如苏州最低工资标准和其他规定），负责乙方员工的生病、事故、伤残、死亡和劳务纠纷，甲方不承担任何相关责任。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2.4乙方负有对自己员工的安全责任，甲方不承担任何相关责任。</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六、验收要求：</w:t>
      </w:r>
      <w:r>
        <w:rPr>
          <w:rFonts w:hint="eastAsia" w:ascii="宋体" w:hAnsi="宋体" w:eastAsia="宋体" w:cs="宋体"/>
          <w:sz w:val="24"/>
          <w:szCs w:val="24"/>
        </w:rPr>
        <w:t xml:space="preserve">按照招标文件要求执行。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七、保密义务：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乙双方在采购和履行合同过程中所获悉的对方属于保密的内容，甲乙双方均有保密义务，未经合同一方事先书面同意，合同另一方不得向任何其他第三方泄漏，否则一方因违反保密义务而给另一方造成损失的，应承担相应的赔偿责任。</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八、不可抗力：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（二）合同一方因不可抗力不能履行合同的，应当及时通知对方，以减轻可能给对方造成的损失，并应当在合理期限内提供证明。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九、合同的解除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（一）甲方和乙方协商一致，可以解除合同；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（二）有下列情形之一，合同一方可以解除合同：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1.因不可抗力致使不能实现合同目的，未受不可抗力影响的一方有权解除合同；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（三）有权解除合同的一方，应当在违约事实或不可抗力发生之后三十天内书面通知对方以主张解除合同，合同在书面通知到达对方时解除。</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十、合同的转让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合同的部分和全部都不得转让。</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十一、争议解决办法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因履行本合同引起的或与本合同有关的争议，甲、乙双方应首先通过友好协商解决，如果协商不能解决争议，可向甲方所在地人民法院起诉。</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十二、合同生效及其它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（一）合同经甲乙双方代表签字并加盖公章（或合同章），并在收到乙方提交的履约保证金后即生效。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（二）合同在执行过程中出现的未尽事宜，双方在不违背本合同和招标文件的原则下协商解决，协商结果以书面形式盖章记录在案，作为本合同的附件，与本合同具有同等效力，提交招标代理机构备存。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（三）本合同一式伍份，甲乙双方各执贰份，招标代理机构执壹份，具有同等法律效益。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（四）未尽事宜：本合同未尽事宜应按《中华人民共和国民法典》、《中华人民共和国政府采购法》以及其同相关法律、法规之规定解释。</w:t>
      </w:r>
      <w:r/>
    </w:p>
    <w:p>
      <w:pPr>
        <w:ind w:firstLine="420"/>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甲方：                                      乙方：</w:t>
      </w:r>
      <w:r/>
    </w:p>
    <w:p>
      <w:pPr>
        <w:rPr>
          <w:rFonts w:ascii="宋体" w:hAnsi="宋体" w:eastAsia="宋体" w:cs="宋体"/>
          <w:sz w:val="24"/>
          <w:szCs w:val="24"/>
        </w:rPr>
      </w:pPr>
      <w:r>
        <w:rPr>
          <w:rFonts w:hint="eastAsia" w:ascii="宋体" w:hAnsi="宋体" w:eastAsia="宋体" w:cs="宋体"/>
          <w:sz w:val="24"/>
          <w:szCs w:val="24"/>
        </w:rPr>
        <w:t xml:space="preserve">（公章或合同专用章）                       （公章或合同专用章）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法定代表人（授权代表）签字：                法定代表人（授权代表）签字：</w:t>
      </w:r>
      <w:r/>
    </w:p>
    <w:p>
      <w:pPr>
        <w:rPr>
          <w:rFonts w:ascii="宋体" w:hAnsi="宋体" w:eastAsia="宋体" w:cs="宋体"/>
          <w:bCs/>
          <w:sz w:val="24"/>
          <w:szCs w:val="24"/>
        </w:rPr>
      </w:pPr>
      <w:r>
        <w:rPr>
          <w:rFonts w:hint="eastAsia" w:ascii="宋体" w:hAnsi="宋体" w:eastAsia="宋体" w:cs="宋体"/>
          <w:sz w:val="24"/>
          <w:szCs w:val="24"/>
        </w:rPr>
        <w:t xml:space="preserve">签订日期：                                  签订日期：    </w:t>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rPr>
          <w:rFonts w:ascii="宋体" w:hAnsi="宋体" w:eastAsia="宋体" w:cs="宋体"/>
          <w:b/>
          <w:bCs/>
          <w:sz w:val="24"/>
          <w:szCs w:val="24"/>
        </w:rPr>
      </w:pPr>
      <w:r>
        <w:rPr>
          <w:rFonts w:hint="eastAsia" w:ascii="宋体" w:hAnsi="宋体" w:eastAsia="宋体" w:cs="宋体"/>
          <w:b/>
          <w:bCs/>
          <w:sz w:val="24"/>
          <w:szCs w:val="24"/>
        </w:rPr>
        <w:t xml:space="preserve">合同附件一</w:t>
      </w:r>
      <w:r/>
    </w:p>
    <w:p>
      <w:pPr>
        <w:jc w:val="center"/>
        <w:spacing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履约验收方案</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合同金额：     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验收主体：（采购人）</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二、验收目的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三、验收依据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四、验收责任主体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确有必要委托采购代理机构组织履约验收的，采购人应当与其订立委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4.3采购代理机构应当依据委托代理协议的约定组织履约验收工作，及时向采购人反映履约异常情形，协助采购人解决验收中出现的问题和合同履行纠纷等。</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五、验收程序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5.1发出验收通知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5.1.1政府采购合同约定的履约验收条件达到时，采购人应当在5个工作日内启动履约验收工作，并向供应商发出《政府采购履约验收通知单》（见下表1）。在政府采购合同约定的履行验收条件达到时，供应商可以主动联系采购人启动履约验收工作。供应商在收到验收通知单后五个工作日内拒不配合的，采购人应依照合同约定追究其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5.1.2供应商应当配合采购人、采购代理机构做好项目验收工作，及时提供与项目验收相关的生产、技术、服务、数量、质量、安全、合格证明及验收所必须具备的其他材料。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5.1.3采购人应及时全面准备验收，在验收日期前做好通水、通电、准备验收工具等必要的验收准备工作。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5.2成立验收小组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5.2.1采购人应当组织成立验收小组，验收小组负责实施项目验收工作，其成员构成、人员数量以及负责人由采购人确定，验收小组一般由采购人指定的本单位3名(含)以上单数工作人员组成，并确定一名负责人，参与本项目评审的采购人代表不能作为负责人。若经办采购的人员与采购需求人员分属不同部门，二者应当同时参与验收。分期(分段)验收的负责人原则上应当保持一致，负责人不得无故更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5.3参与验收人员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5.3.1技术复杂或专业性强的政府采购项目，可以邀请有资质的第三方专业机构参加验收并出具专业意见。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5.3.2对于采购人和使用人分离的采购项目，采购人应当邀请实际使用人参与验收。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5.3.3政府向社会公众提供的公共服务项目，验收时应当邀请服务对象进行公共服务项目满意度评价，评价结果作为履约验收的参考依据。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5.4验收原则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政府采购履约验收应当遵循全面完整、客观真实、诚实信用的原则，坚持公开透明、应验必验、验收必严、违约必究。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5.4.1项目验收内容应当具体，形成详细的验收过程性资料，客观反映货物供给完结情况。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5.4.2项目验收范围应当完整，与采购合同一致，不得省略、遗漏和缺失，也不得擅自扩大范围。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5.4.3项目验收方式应当符合项目特点，不能明确客观标准、涉及主观判断的，可以通过在采购人、使用人中开展问卷调查等方式予以客观、量化。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5.4.4项目验收标准应包括所有客观、量化指标，符合采购合同约定，未进行相应约定的，应当符合法律法规、政策要求、国家标准、行业标准，地方标准或企业标准等有关标准。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5.4.5项目验收意见应当客观真实。验收小组成员意见不一致时，按照少数服从多数的原则作出验收意见。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5.4.6验收方法主要包括全部查验核对和抽查核对。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5.5验收工作实施方案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5.5.1验收工作的起止时间：自合同标的的运输、搬运、安装调试完毕后至全部验收工作完成止。</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5.5.2履约验收范围：</w:t>
      </w:r>
      <w:r>
        <w:rPr>
          <w:rFonts w:hint="eastAsia" w:ascii="宋体" w:hAnsi="宋体" w:eastAsia="宋体" w:cs="宋体"/>
          <w:sz w:val="24"/>
          <w:szCs w:val="24"/>
          <w:lang w:val="en-US" w:eastAsia="zh-CN"/>
        </w:rPr>
        <w:t xml:space="preserve">详见招标文件内容。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5.5.3履约验收内容：包括但不限于：货物清单、品牌/型号/规格/数量及外观质量、技术/性能指标、运行状况及安装调试、质量证明文件、检测报告、售后服务承诺、安全标准、合同履约时间/地点/方式等。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5.5.4验收的方式：采用一次性验收方式开展履约验收。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5.5.5履约验收组织形式：采购人自行组织验收或根据需要委托采购代理机构协助组织验收。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5.5.6履约验收标准：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①按照现行国家和省、市、区标准执行，无国家和省、市、区标准的，按行业标准执行，无国家和行业标准的，按企业标准执行，并且应符合相关法律、法规规定的要求；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②采购文件所列的各项要求、采购合同、供应商在投标（响应）文件中承诺的质量技术指标。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5.6验收记录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5.6.1验收小组应当要求参与验收的供应商、专业机构、专家和服务对象等出具书面意见，作为验收书的重要组成部分。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5.6.2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5.6.3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5.7验收结果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5.7.1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5.7.2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的规定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5.7.3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5.7.4《政府采购履约验收书》（见下表2）、合同是申请支付政府采购合同价款的必备资料。验收合格后采购人申请财政性资金支付时，应当在相应电子化系统上传《政府采购履约验收书》、合同等证明性材料。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涉及分段验收付款的项目，应具备符合合同约定内容的阶段性验收意见，分段验收不合格的，不予支付该阶段的资金或根据采购文件予以相应扣减。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5.8验收资料归档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六、附则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费用承担（如涉及）：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检测（检验）费：合同有约定从约定；无约定，如果检测合格，相关检测费用由采购人承担，如果检测不合格，相关检测费用由乙方承担。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验收小组成员中的专业技术人员费用支出：合同有约定从约定；无约定，由采购人承担，标准可参照江苏省政府采购专家评审费，采购人单位指定参加履约验收的工作人员不得获取劳务报酬。</w:t>
      </w:r>
      <w:r/>
    </w:p>
    <w:p>
      <w:pPr>
        <w:rPr>
          <w:rFonts w:hAnsi="宋体" w:eastAsia="宋体"/>
          <w:sz w:val="32"/>
          <w:szCs w:val="32"/>
        </w:rPr>
      </w:pPr>
      <w:r>
        <w:rPr>
          <w:rFonts w:hint="eastAsia" w:hAnsi="宋体" w:eastAsia="宋体"/>
          <w:sz w:val="32"/>
          <w:szCs w:val="32"/>
        </w:rPr>
        <w:br w:type="page" w:clear="all"/>
      </w:r>
      <w:r/>
    </w:p>
    <w:p>
      <w:pPr>
        <w:pStyle w:val="966"/>
        <w:rPr>
          <w:rFonts w:hAnsi="宋体" w:eastAsia="宋体"/>
          <w:sz w:val="32"/>
          <w:szCs w:val="32"/>
        </w:rPr>
      </w:pPr>
      <w:r>
        <w:rPr>
          <w:rFonts w:hAnsi="宋体" w:eastAsia="宋体"/>
          <w:sz w:val="32"/>
          <w:szCs w:val="32"/>
        </w:rPr>
      </w:r>
      <w:r/>
    </w:p>
    <w:p>
      <w:pPr>
        <w:pStyle w:val="966"/>
        <w:rPr>
          <w:rFonts w:hAnsi="宋体" w:eastAsia="宋体"/>
          <w:sz w:val="32"/>
          <w:szCs w:val="32"/>
        </w:rPr>
      </w:pPr>
      <w:r>
        <w:rPr>
          <w:rFonts w:hAnsi="宋体" w:eastAsia="宋体"/>
          <w:sz w:val="32"/>
          <w:szCs w:val="32"/>
        </w:rPr>
      </w:r>
      <w:r/>
    </w:p>
    <w:p>
      <w:pPr>
        <w:pStyle w:val="966"/>
        <w:rPr>
          <w:rFonts w:hAnsi="宋体" w:eastAsia="宋体"/>
          <w:sz w:val="32"/>
          <w:szCs w:val="32"/>
        </w:rPr>
      </w:pPr>
      <w:r>
        <w:rPr>
          <w:rFonts w:hAnsi="宋体" w:eastAsia="宋体"/>
          <w:sz w:val="32"/>
          <w:szCs w:val="32"/>
        </w:rPr>
      </w:r>
      <w:r/>
    </w:p>
    <w:p>
      <w:pPr>
        <w:pStyle w:val="966"/>
        <w:rPr>
          <w:rFonts w:hAnsi="宋体" w:eastAsia="宋体"/>
          <w:sz w:val="32"/>
          <w:szCs w:val="32"/>
        </w:rPr>
      </w:pPr>
      <w:r>
        <w:rPr>
          <w:rFonts w:hAnsi="宋体" w:eastAsia="宋体"/>
          <w:sz w:val="32"/>
          <w:szCs w:val="32"/>
        </w:rPr>
      </w:r>
      <w:r/>
    </w:p>
    <w:p>
      <w:pPr>
        <w:pStyle w:val="966"/>
        <w:rPr>
          <w:rFonts w:hAnsi="宋体" w:eastAsia="宋体"/>
          <w:sz w:val="32"/>
          <w:szCs w:val="32"/>
        </w:rPr>
      </w:pPr>
      <w:r>
        <w:rPr>
          <w:rFonts w:hAnsi="宋体" w:eastAsia="宋体"/>
          <w:sz w:val="32"/>
          <w:szCs w:val="32"/>
        </w:rPr>
      </w:r>
      <w:r/>
    </w:p>
    <w:p>
      <w:pPr>
        <w:pStyle w:val="966"/>
        <w:rPr>
          <w:rFonts w:hAnsi="宋体" w:eastAsia="宋体"/>
          <w:sz w:val="32"/>
          <w:szCs w:val="32"/>
        </w:rPr>
      </w:pPr>
      <w:r>
        <w:rPr>
          <w:rFonts w:hAnsi="宋体" w:eastAsia="宋体"/>
          <w:sz w:val="32"/>
          <w:szCs w:val="32"/>
        </w:rPr>
      </w:r>
      <w:r/>
    </w:p>
    <w:p>
      <w:pPr>
        <w:pStyle w:val="966"/>
        <w:rPr>
          <w:sz w:val="32"/>
          <w:szCs w:val="32"/>
        </w:rPr>
      </w:pPr>
      <w:r>
        <w:rPr>
          <w:sz w:val="32"/>
          <w:szCs w:val="32"/>
        </w:rPr>
      </w:r>
      <w:r/>
    </w:p>
    <w:p>
      <w:pPr>
        <w:pStyle w:val="966"/>
        <w:rPr>
          <w:sz w:val="32"/>
          <w:szCs w:val="32"/>
        </w:rPr>
      </w:pPr>
      <w:r>
        <w:rPr>
          <w:sz w:val="32"/>
          <w:szCs w:val="32"/>
        </w:rPr>
      </w:r>
      <w:r/>
    </w:p>
    <w:p>
      <w:pPr>
        <w:pStyle w:val="966"/>
        <w:rPr>
          <w:sz w:val="32"/>
          <w:szCs w:val="32"/>
        </w:rPr>
      </w:pPr>
      <w:r>
        <w:rPr>
          <w:sz w:val="32"/>
          <w:szCs w:val="32"/>
        </w:rPr>
      </w:r>
      <w:r/>
    </w:p>
    <w:p>
      <w:pPr>
        <w:pStyle w:val="966"/>
        <w:rPr>
          <w:sz w:val="32"/>
          <w:szCs w:val="32"/>
        </w:rPr>
      </w:pPr>
      <w:r>
        <w:rPr>
          <w:sz w:val="32"/>
          <w:szCs w:val="32"/>
        </w:rPr>
      </w:r>
      <w:r/>
    </w:p>
    <w:p>
      <w:pPr>
        <w:pStyle w:val="966"/>
        <w:rPr>
          <w:sz w:val="32"/>
          <w:szCs w:val="32"/>
        </w:rPr>
      </w:pPr>
      <w:r>
        <w:rPr>
          <w:sz w:val="32"/>
          <w:szCs w:val="32"/>
        </w:rPr>
      </w:r>
      <w:r/>
    </w:p>
    <w:p>
      <w:pPr>
        <w:pStyle w:val="966"/>
        <w:rPr>
          <w:sz w:val="32"/>
          <w:szCs w:val="32"/>
        </w:rPr>
      </w:pPr>
      <w:r>
        <w:rPr>
          <w:sz w:val="32"/>
          <w:szCs w:val="32"/>
        </w:rPr>
      </w:r>
      <w:r/>
    </w:p>
    <w:p>
      <w:pPr>
        <w:pStyle w:val="966"/>
        <w:rPr>
          <w:sz w:val="32"/>
          <w:szCs w:val="32"/>
        </w:rPr>
      </w:pPr>
      <w:r>
        <w:rPr>
          <w:sz w:val="32"/>
          <w:szCs w:val="32"/>
        </w:rPr>
      </w:r>
      <w:r/>
    </w:p>
    <w:p>
      <w:pPr>
        <w:pStyle w:val="966"/>
        <w:rPr>
          <w:sz w:val="32"/>
          <w:szCs w:val="32"/>
        </w:rPr>
      </w:pPr>
      <w:r>
        <w:rPr>
          <w:sz w:val="32"/>
          <w:szCs w:val="32"/>
        </w:rPr>
      </w:r>
      <w:r/>
    </w:p>
    <w:p>
      <w:pPr>
        <w:pStyle w:val="966"/>
        <w:rPr>
          <w:sz w:val="32"/>
          <w:szCs w:val="32"/>
        </w:rPr>
      </w:pPr>
      <w:r>
        <w:rPr>
          <w:sz w:val="32"/>
          <w:szCs w:val="32"/>
        </w:rPr>
      </w:r>
      <w:r/>
    </w:p>
    <w:p>
      <w:pPr>
        <w:pStyle w:val="966"/>
        <w:rPr>
          <w:sz w:val="32"/>
          <w:szCs w:val="32"/>
        </w:rPr>
      </w:pPr>
      <w:r>
        <w:rPr>
          <w:sz w:val="32"/>
          <w:szCs w:val="32"/>
        </w:rPr>
      </w:r>
      <w:r/>
    </w:p>
    <w:p>
      <w:pPr>
        <w:pStyle w:val="864"/>
        <w:jc w:val="center"/>
        <w:spacing w:line="360" w:lineRule="auto"/>
        <w:rPr>
          <w:rFonts w:ascii="宋体" w:hAnsi="宋体" w:eastAsia="宋体"/>
          <w:sz w:val="52"/>
        </w:rPr>
      </w:pPr>
      <w:r/>
      <w:bookmarkStart w:id="74" w:name="_Toc32029"/>
      <w:r>
        <w:rPr>
          <w:rFonts w:hint="eastAsia" w:ascii="宋体" w:hAnsi="宋体" w:eastAsia="宋体"/>
          <w:sz w:val="52"/>
        </w:rPr>
        <w:t xml:space="preserve">第六章 评分</w:t>
      </w:r>
      <w:bookmarkEnd w:id="72"/>
      <w:r/>
      <w:bookmarkEnd w:id="73"/>
      <w:r>
        <w:rPr>
          <w:rFonts w:hint="eastAsia" w:ascii="宋体" w:hAnsi="宋体" w:eastAsia="宋体"/>
          <w:sz w:val="52"/>
        </w:rPr>
        <w:t xml:space="preserve">标准</w:t>
      </w:r>
      <w:bookmarkEnd w:id="74"/>
      <w:r/>
      <w:r/>
    </w:p>
    <w:p>
      <w:pPr>
        <w:spacing w:line="360" w:lineRule="auto"/>
        <w:rPr>
          <w:rFonts w:ascii="宋体" w:hAnsi="宋体" w:eastAsia="宋体"/>
        </w:rPr>
      </w:pPr>
      <w:r/>
      <w:bookmarkStart w:id="75" w:name="OLE_LINK2"/>
      <w:r>
        <w:rPr>
          <w:rFonts w:ascii="宋体" w:hAnsi="宋体" w:eastAsia="宋体"/>
        </w:rPr>
        <w:br w:type="page" w:clear="all"/>
      </w:r>
      <w:bookmarkEnd w:id="75"/>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jc w:val="left"/>
        <w:spacing w:line="360" w:lineRule="auto"/>
        <w:tabs>
          <w:tab w:val="left" w:pos="567" w:leader="none"/>
        </w:tabs>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（一）本次招标评标采用综合评分法。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tabs>
          <w:tab w:val="left" w:pos="567" w:leader="none"/>
        </w:tabs>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（二）评标委员会应当按照招标文件中规定的评标方法和标准，对符合性审查合格的投标文件进行商务和技术评估，综合比较与评价。 </w:t>
      </w:r>
      <w:r/>
    </w:p>
    <w:p>
      <w:pPr>
        <w:ind w:firstLine="480"/>
        <w:jc w:val="left"/>
        <w:spacing w:line="360" w:lineRule="auto"/>
        <w:tabs>
          <w:tab w:val="left" w:pos="567" w:leader="none"/>
        </w:tabs>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（三）对评委的评分(除价格分外)进行统计汇总，直接算术平均计算出每个投标人的得分（计算结果四舍五入，保留两位小数），加上价格得分即为每个投标人的综合得分。 </w:t>
      </w:r>
      <w:r/>
    </w:p>
    <w:p>
      <w:pPr>
        <w:ind w:firstLine="480"/>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第一、二、三标段评分标准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（一）价格分（10分）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第一步：投标报价在等于或者低于采购预算价格的，为有效投标报价。超出此范围的投标报价为无效投标报价。</w:t>
      </w:r>
      <w:r>
        <w:rPr>
          <w:rFonts w:hint="eastAsia" w:ascii="宋体" w:hAnsi="宋体" w:eastAsia="宋体" w:cs="宋体"/>
          <w:sz w:val="24"/>
          <w:szCs w:val="24"/>
          <w:highlight w:val="none"/>
        </w:rPr>
        <w:t xml:space="preserve">无效投标报价的投标文件不进行评审，也不得标。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第二步：以满足招标文件实质性要求且投标</w:t>
      </w:r>
      <w:r>
        <w:rPr>
          <w:rFonts w:hint="eastAsia" w:ascii="宋体" w:hAnsi="宋体" w:eastAsia="宋体" w:cs="宋体"/>
          <w:bCs/>
          <w:sz w:val="24"/>
          <w:szCs w:val="24"/>
          <w:lang w:val="en-US" w:eastAsia="zh-CN"/>
        </w:rPr>
        <w:t xml:space="preserve">优惠</w:t>
      </w:r>
      <w:r>
        <w:rPr>
          <w:rFonts w:hint="eastAsia" w:ascii="宋体" w:hAnsi="宋体" w:eastAsia="宋体" w:cs="宋体"/>
          <w:sz w:val="24"/>
          <w:szCs w:val="24"/>
          <w:highlight w:val="none"/>
        </w:rPr>
        <w:t xml:space="preserve">率最</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的投标有效报价为评标基准价，其价格分为满分，即10分。其他有效投标报价分统一按照下列公式计算：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投标报价得分＝（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评标基准价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×10％×100（保留到小数点后二位四舍五入）</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（二）服务方案（32分）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1.项目实施方案：视频拍摄及制作方案比较，方案应包含驻点人员配备、场地保障方案、驻点设备配备、工作时间安排等，最高10分。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方案内容完善、合理、规范，操作性强的得10分；方案内容较完善、合理、规范，操作性较强的得5分；方案内容一般、操作性一般的得2分；不提供不得分。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2.培训方案针对老师关于在线开放课程的培训方案比较，最高8分。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培训方案先进、合理、规范，可行的得8分；培训方案较先进、合理、规范、可行的得5分；培训方案一般、可行性一般的得2分；不提供不得分。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3.课程推广方案：针对为学校所制作的课程提供后续推广方案比较，最高7分。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推广方案科学、合理、针对性强的得7分；推广方案较科学、合理、针对性较强的得5分；推广方案一般，针对性不强的得2分；不提供不得分。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4.设备配备方案比较：工作人员所用设备、器材的配备方案比较，最高7分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方案内容完善、合理、规范，操作性强的得7分；方案内容较完善、合理、规范，操作性较强的得3分；方案内容一般、操作性一般的得2分；不提供不得分。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（三）项目服务团队（18分）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团队构成需具备专业能力，需提供团队负责人及项目服务期间所配备的成员视频拍摄、制作和管理能力的证明文件：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1.项目服务团队中，具有PMP证书，每增加一人得2分，最高得4分。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2.编导与老师深度沟通，收集材料,起草微课脚本、拟定分组镜头大纲，编导是广播电视编导或影视编导专业，每增加一人得1分，最高2分。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3.课程顾问，能够辅助老师策划设计微课，课程图谱设计，课程顾问是教育技术学专业，每增加一人得1分，最高2分；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4.PPT设计及界面设计人员，保证成片的美感，PPT设计及界面设计人员是艺术设计或广告学专业，每增加一人得1分，最高2分；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5.动画制作，是动画或影视动漫专业，每增加一人得1分，最高2分；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6.视频工程师，是数字媒体技术专业，每增加一人得1分，最高2分；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7.其他专科学历以上相关技术人员，每配备一人得1分，最高得4分。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上述人员须在磋商文件中提供学历证书或资格证书的扫描件，及磋商响应单位为其连续近期缴纳的社保证明材料（企业成立不满三个月的可不提供）复印件并加盖供应商公章，未提供或提供不全不得分，本项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（四）综合实力（25分）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1.投标人具有ISO9001质量管理体系认证证书的，得2分。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2.投标人具有ISO20000信息技术服务管理体系认证证书的，得2分。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3.投标人具有国家版权局颁发的视频制作软件相关的软件著作权登记证书的，得2分。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4.投标人具有国家版权局颁发的视频在线教学的软件著作权登记证书的，得2分。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5.投标人具有国家版权局颁发的2D全景还原教学软件相关的软件著作权登记证书的，得2分。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6.投标人具有国家版权局颁发的动植物鉴定虚拟仿真实验系统相关软件著作权登记证书的，得2分。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7、投标</w:t>
      </w:r>
      <w:r>
        <w:rPr>
          <w:rFonts w:hint="eastAsia" w:ascii="宋体" w:hAnsi="宋体" w:eastAsia="宋体" w:cs="宋体"/>
          <w:sz w:val="24"/>
          <w:szCs w:val="24"/>
          <w:highlight w:val="none"/>
        </w:rPr>
        <w:t xml:space="preserve">人具有国家版权局颁发的园林设计虚拟仿真系统相关软件著作权登记证书的，得3分。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8.类似业绩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所制作课程获得国家精品在线开放课程、国家一流课程认定的每个得1分，最高得10分，提供相关证明材料，未提供不得分。</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注：提供业绩合同扫描件，业绩合同中主要内容、标的等需清晰可见，未提供或字迹模糊不清不得分；</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（五）功能需求演示（15分）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投标单位提供1个由本公司制作的职业教育国家在线精品的课程演示，评审专家根据制作效果进行评分。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课程视频效果与采购需求贴合度高的，得15分，课程视频效果与采购需求贴合度较高的，得10分，课程视频效果满足采购需求的，得5分。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不提供演示，该项不得分。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（演示的课程视频需与业绩中的课程合同吻合一致，并提供证明文件，未按要求提供不得分）</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注：1.报价超过采购预算的将不进入综合评审程序，也不得中标。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2.付款步骤、交付时间、服务期如有负偏离的不得中标。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3.针对评分标准中评分的每一条，投标人均应提供相关资料并作出相应说明供评委评判，不提供相关资料的视为不具备该项得分的条件。</w:t>
      </w:r>
      <w:r/>
    </w:p>
    <w:p>
      <w:pPr>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2"/>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第四标段评分标准</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（一）价格分（10分）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第一步：投标报价在等于或者低于采购预算价格的，为有效投标报价。超出此范围的投标报价为无效投标报价。无效投标报价的投标文件不进行评审，也不得标。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第二步：以满足招标文件实质性要求且</w:t>
      </w:r>
      <w:r>
        <w:rPr>
          <w:rFonts w:hint="eastAsia" w:ascii="宋体" w:hAnsi="宋体" w:eastAsia="宋体" w:cs="宋体"/>
          <w:sz w:val="24"/>
          <w:szCs w:val="24"/>
          <w:highlight w:val="none"/>
        </w:rPr>
        <w:t xml:space="preserve">投标</w:t>
      </w:r>
      <w:r>
        <w:rPr>
          <w:rFonts w:hint="eastAsia" w:ascii="宋体" w:hAnsi="宋体" w:eastAsia="宋体" w:cs="宋体"/>
          <w:bCs/>
          <w:sz w:val="24"/>
          <w:szCs w:val="24"/>
          <w:lang w:val="en-US" w:eastAsia="zh-CN"/>
        </w:rPr>
        <w:t xml:space="preserve">优惠</w:t>
      </w:r>
      <w:r>
        <w:rPr>
          <w:rFonts w:hint="eastAsia" w:ascii="宋体" w:hAnsi="宋体" w:eastAsia="宋体" w:cs="宋体"/>
          <w:sz w:val="24"/>
          <w:szCs w:val="24"/>
          <w:highlight w:val="none"/>
        </w:rPr>
        <w:t xml:space="preserve">率最</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的投标有效报价为评标基准价，其价格分为满分，即10分。其他有效投标报价分统一按照下列公式计算：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highlight w:val="none"/>
        </w:rPr>
        <w:t xml:space="preserve">投标报价得分＝（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评标基准价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10％×100（保留到小数点后二位四舍五入）</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（二）服务方案（15分）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1.项目实施方案：根据项目实施方案（包括但不限于：项目整体实施规划、视频拍摄制作方案、图谱建设、AI助教、AI工作台的智慧升级等实施方案）进行综合评审，最高10分。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方案思路清晰、完整、可行，能完全满足项目实施要求，得10分；方案较思路清晰、完整、可行，能基本满足项目实施要求，得6分；方案内容较简单，对项目实施要求响应一般，得1分；未提供本项内容不得分。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2.售后服务方案：根据售后服务方案（包括但不限于：培训方案、售后响应方案、售后人员安排、平台维护方案等）进行综合评审，最高5分。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方案思路清晰、完整、可行，能完全满足项目实施要求，得5分；方案较思路清晰、完整、可行，能基本满足项目实施要求，得3分；方案内容较简单，对项目实施要求响应一般，得1分；未提供本项内容不得分。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（三）项目服务团队（10分）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ar-SA"/>
        </w:rPr>
        <w:t xml:space="preserve">团队构成需具备专业能力，需提供团队负责人及项目服务期间所配备的成员视频拍摄、制作和管理能力的证明文件：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ar-SA"/>
        </w:rPr>
        <w:t xml:space="preserve">项目负责人及成员：能</w:t>
      </w:r>
      <w:r>
        <w:rPr>
          <w:rFonts w:hint="eastAsia" w:ascii="宋体" w:hAnsi="宋体" w:eastAsia="宋体" w:cs="宋体"/>
          <w:sz w:val="24"/>
          <w:szCs w:val="24"/>
        </w:rPr>
        <w:t xml:space="preserve">整体</w:t>
      </w:r>
      <w:r>
        <w:rPr>
          <w:rFonts w:hint="eastAsia" w:ascii="宋体" w:hAnsi="宋体" w:eastAsia="宋体" w:cs="宋体"/>
          <w:sz w:val="24"/>
          <w:szCs w:val="24"/>
          <w:lang w:eastAsia="ar-SA"/>
        </w:rPr>
        <w:t xml:space="preserve">把控项目质量和进度管理，</w:t>
      </w:r>
      <w:r>
        <w:rPr>
          <w:rFonts w:hint="eastAsia" w:ascii="宋体" w:hAnsi="宋体" w:eastAsia="宋体" w:cs="宋体"/>
          <w:sz w:val="24"/>
          <w:szCs w:val="24"/>
        </w:rPr>
        <w:t xml:space="preserve">具有</w:t>
      </w:r>
      <w:r>
        <w:rPr>
          <w:rFonts w:hint="eastAsia" w:ascii="宋体" w:hAnsi="宋体" w:eastAsia="宋体" w:cs="宋体"/>
          <w:sz w:val="24"/>
          <w:szCs w:val="24"/>
          <w:lang w:eastAsia="ar-SA"/>
        </w:rPr>
        <w:t xml:space="preserve">PMP项目管理证书，每提供一人得1分，最高2分；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2.编导与老师深度沟通，收集材料,起草微课脚本、拟定分组镜头大纲，编导是广播电视编导或电视制片管理专业，每增加一人得1分，最高2分。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3.课程顾问，</w:t>
      </w:r>
      <w:r>
        <w:rPr>
          <w:rFonts w:hint="eastAsia" w:ascii="宋体" w:hAnsi="宋体" w:eastAsia="宋体" w:cs="宋体"/>
          <w:sz w:val="24"/>
          <w:szCs w:val="24"/>
          <w:lang w:eastAsia="ar-SA"/>
        </w:rPr>
        <w:t xml:space="preserve">能够</w:t>
      </w:r>
      <w:r>
        <w:rPr>
          <w:rFonts w:hint="eastAsia" w:ascii="宋体" w:hAnsi="宋体" w:eastAsia="宋体" w:cs="宋体"/>
          <w:sz w:val="24"/>
          <w:szCs w:val="24"/>
        </w:rPr>
        <w:t xml:space="preserve">辅助老师策划设计微课，课程图谱设计，课程顾问是</w:t>
      </w:r>
      <w:r>
        <w:rPr>
          <w:rFonts w:hint="eastAsia" w:ascii="宋体" w:hAnsi="宋体" w:eastAsia="宋体" w:cs="宋体"/>
          <w:sz w:val="24"/>
          <w:szCs w:val="24"/>
          <w:lang w:eastAsia="ar-SA"/>
        </w:rPr>
        <w:t xml:space="preserve">教育技术</w:t>
      </w:r>
      <w:r>
        <w:rPr>
          <w:rFonts w:hint="eastAsia" w:ascii="宋体" w:hAnsi="宋体" w:eastAsia="宋体" w:cs="宋体"/>
          <w:sz w:val="24"/>
          <w:szCs w:val="24"/>
        </w:rPr>
        <w:t xml:space="preserve">学</w:t>
      </w:r>
      <w:r>
        <w:rPr>
          <w:rFonts w:hint="eastAsia" w:ascii="宋体" w:hAnsi="宋体" w:eastAsia="宋体" w:cs="宋体"/>
          <w:sz w:val="24"/>
          <w:szCs w:val="24"/>
          <w:lang w:eastAsia="ar-SA"/>
        </w:rPr>
        <w:t xml:space="preserve">专业，</w:t>
      </w:r>
      <w:r>
        <w:rPr>
          <w:rFonts w:hint="eastAsia" w:ascii="宋体" w:hAnsi="宋体" w:eastAsia="宋体" w:cs="宋体"/>
          <w:sz w:val="24"/>
          <w:szCs w:val="24"/>
        </w:rPr>
        <w:t xml:space="preserve">每增加一人得1分，最高1分；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4.PPT设计及界面设计人员，保证成片的美感，PPT设计及界面设计人员是设计艺术或广告学专业，每增加一人得1分，最高1分；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5.动画制作，是动画或影视动漫专业，每增加一人得1分，最高2分；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6.摄影师，是摄影专业或者具有摄影师证，每提供一人得1分，最高2分；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上述人员须在磋商文件中提供学历证书或资格证书的扫描件，及磋商响应单位为其连续近期缴纳的社保证明材料（企业成立不满三个月的可不提供）复印件并加盖供应商公章，未提供或提供不全不得分，本项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（四）综合实力（50分）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1.响应服务全部满足磋商文件明确的功能、性能和技术指标要求，得15分；功能、性能和技术指标低于技术要求（负偏离）的，每偏离一条标“▲”指标扣1分，其他指标扣0.5分，扣完为止。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（1）服务要求偏离表中与招标文件要求不一致的经评标委员会讨论后可被认定为负偏离。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2.企业证书</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（1）投标人CMMI软件能力成熟度集成模型证书（4级及以上）的，得2分。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（2）投标人具有国家版权局颁发的2D全景还原教学软件相关的软件著作权登记证书得2分。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（3）投标人具有国家版权局颁发的人工智能(AI)知识库相关的软件著作权登记证书的，得2分。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（4）投标人具有国家版权局颁发的内容安全检测系统相关的软件著作权登记证书的，得2分。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（5）投标人具有国家版权局颁发的智能体数字人交互系统相关的软件著作权登记证书的，得2分。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3.类似业绩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投标人2023年9月1日至今（以合同签订时间为准）承担过类似课程建设项目（建设内容含图谱建设或AI助教或AI工作台的智慧升级）业绩的，每提供一个得1分，本项最高得5分。</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注：提供业绩合同扫描件，业绩合同中主要内容、标的等需清晰可见；提供已制作完成的知识图谱课程的具体呈现形式，包含课程、链接及截图材料；未提供或字迹模糊不清不得分；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移动学习移动端：为保障数据安全、功能更完整，灵活性更强移动学习端需配备专业的APP，同时为方便使用者在学习、教学、管理角色中随意切换，投标人不得根据用户角色区分下载不同移动端APP，同一个移动端APP需完成教、学、管，让移动学习与管理体验更完美，能够完全满足以上要求的，得5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投标文件中须提供满足该要求的唯一移动端APP名称、安卓版本和IOS版本APP上架截图证明、投标人提供承诺函（承诺格式自拟）并加盖投标人公章，不满足要求或未按规定提供材料者不得分。提供虚假承诺或证明材料者，取消其投标或中标（成交）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课程资源知识产权证明：提供的电子图书、出版社等备课资源的著作权的授权证明(所有知识产权、信息网络传播权纠纷由投标单位承担责任)。投标单位提供的课程参考引用资源如电子图书、可引用编辑课程须取得著作权人的授权。</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提供不少于20份的得5分，提供10-19份的得2分，提供少于10份的不得分。</w:t>
      </w:r>
      <w:r>
        <w:rPr>
          <w:rFonts w:hint="eastAsia" w:ascii="宋体" w:hAnsi="宋体" w:eastAsia="宋体" w:cs="宋体"/>
          <w:b/>
          <w:bCs/>
          <w:sz w:val="24"/>
          <w:szCs w:val="24"/>
        </w:rPr>
        <w:t xml:space="preserve">（提供有效证明原件的扫描件或复印件并加盖公章，并承诺中标后支持原件备查</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否则不得分</w:t>
      </w:r>
      <w:r>
        <w:rPr>
          <w:rFonts w:hint="eastAsia" w:ascii="宋体" w:hAnsi="宋体" w:eastAsia="宋体" w:cs="宋体"/>
          <w:b/>
          <w:bCs/>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人服务的高校项目入选教育部教育技术与资源发展中心（中央电化教育馆）组织的2025—2026年教师人工智能应用案例，每提供10份案例证书及服务有效证明，得5分，最高得5分，每少一份扣1分，不足4份不得分，扣完为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7.投标人服务的项目入选中国高教学会“高校教学智思体工具及应用案例”，每提供10份案例证书及服务有效证明，得5分，最高得1分，每少一份扣1分，不足4份不得分，扣完为止。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（五）功能需求演示（15分）</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投标单位以视频形式演示采购需求中以下</w:t>
      </w:r>
      <w:r>
        <w:rPr>
          <w:rFonts w:hint="eastAsia" w:ascii="宋体" w:hAnsi="宋体" w:eastAsia="宋体" w:cs="宋体"/>
          <w:sz w:val="24"/>
          <w:szCs w:val="24"/>
        </w:rPr>
        <w:t xml:space="preserve">【演示项】</w:t>
      </w:r>
      <w:r>
        <w:rPr>
          <w:rFonts w:hint="eastAsia" w:ascii="宋体" w:hAnsi="宋体" w:eastAsia="宋体" w:cs="宋体"/>
          <w:sz w:val="24"/>
          <w:szCs w:val="24"/>
          <w:lang w:val="zh-CN"/>
        </w:rPr>
        <w:t xml:space="preserve">关键功能，根据技术先进性和功能符合程度进行综合评审，演示视频应包括声音和画面。采用视频形式演示，不接受ppt等其他形式的演示。 </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演示每项得</w:t>
      </w:r>
      <w:r>
        <w:rPr>
          <w:rFonts w:hint="eastAsia" w:ascii="宋体" w:hAnsi="宋体" w:eastAsia="宋体" w:cs="宋体"/>
          <w:sz w:val="24"/>
          <w:szCs w:val="24"/>
        </w:rPr>
        <w:t xml:space="preserve">1.5</w:t>
      </w:r>
      <w:r>
        <w:rPr>
          <w:rFonts w:hint="eastAsia" w:ascii="宋体" w:hAnsi="宋体" w:eastAsia="宋体" w:cs="宋体"/>
          <w:sz w:val="24"/>
          <w:szCs w:val="24"/>
          <w:lang w:val="zh-CN"/>
        </w:rPr>
        <w:t xml:space="preserve">分，演示关键功能内容如下：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【演示项1】</w:t>
      </w:r>
      <w:r>
        <w:rPr>
          <w:rFonts w:hint="eastAsia" w:ascii="宋体" w:hAnsi="宋体" w:eastAsia="宋体" w:cs="宋体"/>
          <w:bCs/>
          <w:sz w:val="24"/>
          <w:szCs w:val="24"/>
        </w:rPr>
        <w:t xml:space="preserve">师生通过自然语言描述需求，一键生成可交互的网页课件，包括动态图文演示、可旋转缩放的3D模型知识点讲解、可动手操作的虚拟仿真实验等场景。支持输出纯HTML页面或包含前后端、数据库和权限认证的完整网页应用, 自动集成登录与学习数据记录。学生可对生成的交互课件调参数、转模型、做实验，可实现智能体应用快速生成：通过一句话描述需求即可自动生成智能体应用原型。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【演示项2】</w:t>
      </w:r>
      <w:r>
        <w:rPr>
          <w:rFonts w:hint="eastAsia" w:ascii="宋体" w:hAnsi="宋体" w:eastAsia="宋体" w:cs="宋体"/>
          <w:bCs/>
          <w:sz w:val="24"/>
          <w:szCs w:val="24"/>
        </w:rPr>
        <w:t xml:space="preserve">AI生成3D模型与知识热点编辑：支持教师围绕课程知识点通过文字描述或上传参考图片AI生成3D模型（文生3D/图生3D双模式），内置上百种公共3D教学模型可直接复用；支持在模型表面布设交互热点，AI批量识别模型部件自动生成知识热点（名称、简介、图文、音视频），支持热点自动轮播/手动触发双模式，可一键嵌入课程教学平台形成教学闭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【演示项3】</w:t>
      </w:r>
      <w:r>
        <w:rPr>
          <w:rFonts w:hint="eastAsia" w:ascii="宋体" w:hAnsi="宋体" w:eastAsia="宋体" w:cs="宋体"/>
          <w:bCs/>
          <w:sz w:val="24"/>
          <w:szCs w:val="24"/>
        </w:rPr>
        <w:t xml:space="preserve">支持AI生成知识图谱、智能导入，支持同步其他课程知识图谱（全量或部分），支持课程章节一键转化生成知识图谱并自动进行资源关联；系统提供至少8种图谱形态，用户可根据课程性质选择合适的图谱形态进行编辑，支持AI图谱美化，输入提示词，一键实现课程知识图谱页面美化；支持构建问题图谱，学生通过核心问题与子问题连接形成知识网络并与标准答案对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【演示项4】岗</w:t>
      </w:r>
      <w:r>
        <w:rPr>
          <w:rFonts w:hint="eastAsia" w:ascii="宋体" w:hAnsi="宋体" w:eastAsia="宋体" w:cs="宋体"/>
          <w:bCs/>
          <w:sz w:val="24"/>
          <w:szCs w:val="24"/>
        </w:rPr>
        <w:t xml:space="preserve">位能力图谱与任务引擎无缝跳转：支持岗位能力图谱与任务引擎数据打通，系统根据项目ID自动从任务引擎拉取对应的任务分组和任务点数据，生成完整五层图谱。在后三层（项目、任务、任务点）关系卡片中，点击具体节点名称可直接跳转至任务引擎对应页面：教师端点击项目跳转任务列表编辑页、点击任务跳转对应项目编辑页、点击任务点跳转任务点编辑界面；学生端点击项目跳转任务列表学习页、点击任务跳转任务分组学习界面、点击任务点跳转任务点学习界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【演示项5】学生端可以查看推荐资源，进行拓展学习。推荐资源应基于知识点智能推荐课程、资源、课程思政资源、题目、论文、期刊、图书、互联网资源等。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6】对课程建设系统中的视频进行智能分析，自动匹配课程中的知识点，并在视频对应的时间点进行自动打点，同时基于人工智能技术生成知识点词云、思维导图分析并展示；视频播放时学生可以定位到时间点观看对应知识点的视频讲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7】比对基础库中的数据包含图书、报纸、期刊、网络文档等多种文献类型；支持选择不同的比对库，包含全部全文比对库、图书全文比对库、非图书全文比对库、法律法规比对库、自建库选择进行检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【演示项8】</w:t>
      </w:r>
      <w:r>
        <w:rPr>
          <w:rFonts w:hint="eastAsia" w:ascii="宋体" w:hAnsi="宋体" w:eastAsia="宋体" w:cs="宋体"/>
          <w:bCs/>
          <w:sz w:val="24"/>
          <w:szCs w:val="24"/>
        </w:rPr>
        <w:t xml:space="preserve">AI实践空间3D沉浸式交互与智能评价：支持基于课程实践主题和智能体配置AI一键生成3D实践场景，学生可360°自主漫游，通过文字/语音与3D智能体开展角色化实践对话（形—声—动一体化），实践完成后AI基于评分规则进行多维度智能评分并输出个性化反馈；支持可视化拖拽布展编辑，内置500+公共素材，可新增答题闯关、知识连线等互动任务。</w:t>
      </w: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9】支持用户自定义研究兴趣、学术期刊、学者、学术顶会等信息进行AI追踪，系统自动筛选并推送相关的最新优质文献。支持用户通过自然语言输入具体兴趣追踪最新学术文献。支持对推荐文献快捷引用，支持APA、MLA、GB/T7714等引用格式；支持勾选多篇推荐文献进行多文献对话，支持对多篇文献提供观点对比、研究方法对比、结论对比、摘要总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【演示项10】系统搭载AI智能生成能力，可全方位辅助教师快速搭建专属课程虚拟展厅，大幅降低人工</w:t>
      </w:r>
      <w:r>
        <w:rPr>
          <w:rFonts w:hint="eastAsia" w:ascii="宋体" w:hAnsi="宋体" w:eastAsia="宋体" w:cs="宋体"/>
          <w:sz w:val="24"/>
          <w:szCs w:val="24"/>
        </w:rPr>
        <w:t xml:space="preserve">编辑与信息录入成本。支持AI一键生成课程基础信息，如课程简介、课程图片、课程片花等课程素材，教师仅需补充少量课程基础信息，无需手动繁琐填报。平台内置二十余种覆盖多学科的专属课程空间模板，教师可根据课程类型、教学风格灵活选用适配模板，快速搭建标准化、个性化课程展厅。同时支持自定义讲解音色与风格，可针对课程内容匹配专属语音讲解，丰富课程听觉体验、提升教学沉浸感；课程虚拟展厅建设采用WebGL与三维建模技术，支持网页端免插件访问，全面兼容PC、移动端设备，生成的展厅可自动嵌入课程门户页面，实现一键部署、即用即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1.报价超过采购预算的将不进入综合评审程序，也不得中标。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2.付款步骤、交付时间、服务期如有负偏离的不得中标。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3.针对评分标准中评分的每一条，投标人均应提供相关资料并作出相应说明供评委评判，不提供相关资料的视为不具备该项得分的条件。</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jc w:val="right"/>
        <w:rPr>
          <w:rFonts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right="360"/>
    </w:pPr>
    <w:r>
      <w:rPr>
        <w:rFonts w:hint="eastAsia"/>
      </w:rPr>
      <w:t xml:space="preserve">苏州鸿鑫工程咨询有限公司                                                   </w:t>
    </w: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98</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Fonts w:ascii="楷体_GB2312"/>
      </w:rPr>
    </w:pPr>
    <w:r>
      <w:rPr>
        <w:rFonts w:hint="eastAsia" w:ascii="楷体_GB2312"/>
      </w:rPr>
      <w:t xml:space="preserve">政府采购招标文件                                          采购编号：JSZC-320500-SZHX-G2026-0035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51"/>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9">
    <w:multiLevelType w:val="hybridMultilevel"/>
    <w:lvl w:ilvl="0">
      <w:start w:val="12"/>
      <w:numFmt w:val="decimal"/>
      <w:pStyle w:val="984"/>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0">
    <w:multiLevelType w:val="hybridMultilevel"/>
    <w:lvl w:ilvl="0">
      <w:start w:val="1"/>
      <w:numFmt w:val="decimal"/>
      <w:pStyle w:val="87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9"/>
  </w:num>
  <w:num w:numId="4">
    <w:abstractNumId w:val="3"/>
  </w:num>
  <w:num w:numId="5">
    <w:abstractNumId w:val="12"/>
  </w:num>
  <w:num w:numId="6">
    <w:abstractNumId w:val="1"/>
  </w:num>
  <w:num w:numId="7">
    <w:abstractNumId w:val="4"/>
  </w:num>
  <w:num w:numId="8">
    <w:abstractNumId w:val="5"/>
  </w:num>
  <w:num w:numId="9">
    <w:abstractNumId w:val="11"/>
  </w:num>
  <w:num w:numId="10">
    <w:abstractNumId w:val="14"/>
  </w:num>
  <w:num w:numId="11">
    <w:abstractNumId w:val="6"/>
  </w:num>
  <w:num w:numId="12">
    <w:abstractNumId w:val="13"/>
  </w:num>
  <w:num w:numId="13">
    <w:abstractNumId w:val="2"/>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870"/>
    <w:link w:val="864"/>
    <w:uiPriority w:val="9"/>
    <w:rPr>
      <w:rFonts w:ascii="Arial" w:hAnsi="Arial" w:eastAsia="Arial" w:cs="Arial"/>
      <w:sz w:val="40"/>
      <w:szCs w:val="40"/>
    </w:rPr>
  </w:style>
  <w:style w:type="character" w:styleId="712">
    <w:name w:val="Heading 2 Char"/>
    <w:basedOn w:val="870"/>
    <w:link w:val="865"/>
    <w:uiPriority w:val="9"/>
    <w:rPr>
      <w:rFonts w:ascii="Arial" w:hAnsi="Arial" w:eastAsia="Arial" w:cs="Arial"/>
      <w:sz w:val="34"/>
    </w:rPr>
  </w:style>
  <w:style w:type="character" w:styleId="713">
    <w:name w:val="Heading 3 Char"/>
    <w:basedOn w:val="870"/>
    <w:link w:val="866"/>
    <w:uiPriority w:val="9"/>
    <w:rPr>
      <w:rFonts w:ascii="Arial" w:hAnsi="Arial" w:eastAsia="Arial" w:cs="Arial"/>
      <w:sz w:val="30"/>
      <w:szCs w:val="30"/>
    </w:rPr>
  </w:style>
  <w:style w:type="character" w:styleId="714">
    <w:name w:val="Heading 4 Char"/>
    <w:basedOn w:val="870"/>
    <w:link w:val="867"/>
    <w:uiPriority w:val="9"/>
    <w:rPr>
      <w:rFonts w:ascii="Arial" w:hAnsi="Arial" w:eastAsia="Arial" w:cs="Arial"/>
      <w:b/>
      <w:bCs/>
      <w:sz w:val="26"/>
      <w:szCs w:val="26"/>
    </w:rPr>
  </w:style>
  <w:style w:type="character" w:styleId="715">
    <w:name w:val="Heading 5 Char"/>
    <w:basedOn w:val="870"/>
    <w:link w:val="868"/>
    <w:uiPriority w:val="9"/>
    <w:rPr>
      <w:rFonts w:ascii="Arial" w:hAnsi="Arial" w:eastAsia="Arial" w:cs="Arial"/>
      <w:b/>
      <w:bCs/>
      <w:sz w:val="24"/>
      <w:szCs w:val="24"/>
    </w:rPr>
  </w:style>
  <w:style w:type="character" w:styleId="716">
    <w:name w:val="Heading 6 Char"/>
    <w:basedOn w:val="870"/>
    <w:link w:val="869"/>
    <w:uiPriority w:val="9"/>
    <w:rPr>
      <w:rFonts w:ascii="Arial" w:hAnsi="Arial" w:eastAsia="Arial" w:cs="Arial"/>
      <w:b/>
      <w:bCs/>
      <w:sz w:val="22"/>
      <w:szCs w:val="22"/>
    </w:rPr>
  </w:style>
  <w:style w:type="paragraph" w:styleId="717">
    <w:name w:val="Heading 7"/>
    <w:basedOn w:val="863"/>
    <w:next w:val="86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70"/>
    <w:link w:val="717"/>
    <w:uiPriority w:val="9"/>
    <w:rPr>
      <w:rFonts w:ascii="Arial" w:hAnsi="Arial" w:eastAsia="Arial" w:cs="Arial"/>
      <w:b/>
      <w:bCs/>
      <w:i/>
      <w:iCs/>
      <w:sz w:val="22"/>
      <w:szCs w:val="22"/>
    </w:rPr>
  </w:style>
  <w:style w:type="paragraph" w:styleId="719">
    <w:name w:val="Heading 8"/>
    <w:basedOn w:val="863"/>
    <w:next w:val="86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70"/>
    <w:link w:val="719"/>
    <w:uiPriority w:val="9"/>
    <w:rPr>
      <w:rFonts w:ascii="Arial" w:hAnsi="Arial" w:eastAsia="Arial" w:cs="Arial"/>
      <w:i/>
      <w:iCs/>
      <w:sz w:val="22"/>
      <w:szCs w:val="22"/>
    </w:rPr>
  </w:style>
  <w:style w:type="paragraph" w:styleId="721">
    <w:name w:val="Heading 9"/>
    <w:basedOn w:val="863"/>
    <w:next w:val="86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70"/>
    <w:link w:val="721"/>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character" w:styleId="724">
    <w:name w:val="Title Char"/>
    <w:basedOn w:val="870"/>
    <w:link w:val="912"/>
    <w:uiPriority w:val="10"/>
    <w:rPr>
      <w:sz w:val="48"/>
      <w:szCs w:val="48"/>
    </w:rPr>
  </w:style>
  <w:style w:type="paragraph" w:styleId="725">
    <w:name w:val="Subtitle"/>
    <w:basedOn w:val="863"/>
    <w:next w:val="863"/>
    <w:link w:val="726"/>
    <w:uiPriority w:val="11"/>
    <w:qFormat/>
    <w:pPr>
      <w:spacing w:before="200" w:after="200"/>
    </w:pPr>
    <w:rPr>
      <w:sz w:val="24"/>
      <w:szCs w:val="24"/>
    </w:rPr>
  </w:style>
  <w:style w:type="character" w:styleId="726">
    <w:name w:val="Subtitle Char"/>
    <w:basedOn w:val="870"/>
    <w:link w:val="725"/>
    <w:uiPriority w:val="11"/>
    <w:rPr>
      <w:sz w:val="24"/>
      <w:szCs w:val="24"/>
    </w:rPr>
  </w:style>
  <w:style w:type="paragraph" w:styleId="727">
    <w:name w:val="Quote"/>
    <w:basedOn w:val="863"/>
    <w:next w:val="863"/>
    <w:link w:val="728"/>
    <w:uiPriority w:val="29"/>
    <w:qFormat/>
    <w:pPr>
      <w:ind w:left="720" w:right="720"/>
    </w:pPr>
    <w:rPr>
      <w:i/>
    </w:rPr>
  </w:style>
  <w:style w:type="character" w:styleId="728">
    <w:name w:val="Quote Char"/>
    <w:link w:val="727"/>
    <w:uiPriority w:val="29"/>
    <w:rPr>
      <w:i/>
    </w:rPr>
  </w:style>
  <w:style w:type="paragraph" w:styleId="729">
    <w:name w:val="Intense Quote"/>
    <w:basedOn w:val="863"/>
    <w:next w:val="863"/>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0"/>
    <w:link w:val="896"/>
    <w:uiPriority w:val="99"/>
  </w:style>
  <w:style w:type="character" w:styleId="732">
    <w:name w:val="Footer Char"/>
    <w:basedOn w:val="870"/>
    <w:link w:val="895"/>
    <w:uiPriority w:val="99"/>
  </w:style>
  <w:style w:type="paragraph" w:styleId="733">
    <w:name w:val="Caption"/>
    <w:basedOn w:val="863"/>
    <w:next w:val="863"/>
    <w:uiPriority w:val="35"/>
    <w:semiHidden/>
    <w:unhideWhenUsed/>
    <w:qFormat/>
    <w:pPr>
      <w:spacing w:line="276" w:lineRule="auto"/>
    </w:pPr>
    <w:rPr>
      <w:b/>
      <w:bCs/>
      <w:color w:val="4f81bd" w:themeColor="accent1"/>
      <w:sz w:val="18"/>
      <w:szCs w:val="18"/>
    </w:rPr>
  </w:style>
  <w:style w:type="character" w:styleId="734">
    <w:name w:val="Caption Char"/>
    <w:basedOn w:val="733"/>
    <w:link w:val="895"/>
    <w:uiPriority w:val="99"/>
  </w:style>
  <w:style w:type="table" w:styleId="735">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Footnote Text Char"/>
    <w:link w:val="901"/>
    <w:uiPriority w:val="99"/>
    <w:rPr>
      <w:sz w:val="18"/>
    </w:rPr>
  </w:style>
  <w:style w:type="character" w:styleId="861">
    <w:name w:val="Endnote Text Char"/>
    <w:link w:val="893"/>
    <w:uiPriority w:val="99"/>
    <w:rPr>
      <w:sz w:val="20"/>
    </w:rPr>
  </w:style>
  <w:style w:type="paragraph" w:styleId="862">
    <w:name w:val="TOC Heading"/>
    <w:uiPriority w:val="39"/>
    <w:unhideWhenUsed/>
  </w:style>
  <w:style w:type="paragraph" w:styleId="863"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64">
    <w:name w:val="Heading 1"/>
    <w:basedOn w:val="863"/>
    <w:next w:val="863"/>
    <w:link w:val="925"/>
    <w:uiPriority w:val="0"/>
    <w:qFormat/>
    <w:pPr>
      <w:keepLines/>
      <w:keepNext/>
      <w:spacing w:before="340" w:after="330" w:line="578" w:lineRule="auto"/>
      <w:outlineLvl w:val="0"/>
    </w:pPr>
    <w:rPr>
      <w:b/>
      <w:sz w:val="44"/>
    </w:rPr>
  </w:style>
  <w:style w:type="paragraph" w:styleId="865">
    <w:name w:val="Heading 2"/>
    <w:basedOn w:val="863"/>
    <w:next w:val="863"/>
    <w:link w:val="926"/>
    <w:uiPriority w:val="0"/>
    <w:qFormat/>
    <w:pPr>
      <w:jc w:val="left"/>
      <w:keepLines/>
      <w:keepNext/>
      <w:outlineLvl w:val="1"/>
    </w:pPr>
    <w:rPr>
      <w:rFonts w:asciiTheme="minorEastAsia" w:hAnsiTheme="minorEastAsia" w:eastAsiaTheme="minorEastAsia"/>
      <w:b/>
      <w:bCs/>
      <w:sz w:val="21"/>
      <w:szCs w:val="21"/>
    </w:rPr>
  </w:style>
  <w:style w:type="paragraph" w:styleId="866">
    <w:name w:val="Heading 3"/>
    <w:basedOn w:val="863"/>
    <w:next w:val="863"/>
    <w:link w:val="927"/>
    <w:uiPriority w:val="0"/>
    <w:qFormat/>
    <w:pPr>
      <w:jc w:val="left"/>
      <w:keepLines/>
      <w:keepNext/>
      <w:outlineLvl w:val="2"/>
    </w:pPr>
    <w:rPr>
      <w:b/>
    </w:rPr>
  </w:style>
  <w:style w:type="paragraph" w:styleId="867">
    <w:name w:val="Heading 4"/>
    <w:basedOn w:val="863"/>
    <w:next w:val="863"/>
    <w:link w:val="928"/>
    <w:uiPriority w:val="0"/>
    <w:qFormat/>
    <w:pPr>
      <w:keepLines/>
      <w:keepNext/>
      <w:spacing w:before="280" w:after="290" w:line="376" w:lineRule="auto"/>
      <w:outlineLvl w:val="3"/>
    </w:pPr>
    <w:rPr>
      <w:rFonts w:ascii="Arial" w:hAnsi="Arial" w:eastAsia="黑体"/>
      <w:b/>
      <w:bCs/>
      <w:sz w:val="28"/>
      <w:szCs w:val="28"/>
    </w:rPr>
  </w:style>
  <w:style w:type="paragraph" w:styleId="868">
    <w:name w:val="Heading 5"/>
    <w:basedOn w:val="872"/>
    <w:next w:val="873"/>
    <w:link w:val="929"/>
    <w:uiPriority w:val="0"/>
    <w:unhideWhenUsed/>
    <w:qFormat/>
    <w:pPr>
      <w:keepLines/>
      <w:keepNext/>
      <w:spacing w:before="280" w:after="290" w:line="376" w:lineRule="auto"/>
      <w:tabs>
        <w:tab w:val="left" w:pos="780" w:leader="none"/>
      </w:tabs>
      <w:outlineLvl w:val="4"/>
    </w:pPr>
    <w:rPr>
      <w:b/>
      <w:bCs/>
      <w:sz w:val="28"/>
      <w:szCs w:val="28"/>
    </w:rPr>
  </w:style>
  <w:style w:type="paragraph" w:styleId="869">
    <w:name w:val="Heading 6"/>
    <w:basedOn w:val="863"/>
    <w:next w:val="863"/>
    <w:link w:val="930"/>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List Number 2"/>
    <w:basedOn w:val="863"/>
    <w:uiPriority w:val="0"/>
    <w:semiHidden/>
    <w:unhideWhenUsed/>
    <w:qFormat/>
    <w:pPr>
      <w:numPr>
        <w:ilvl w:val="0"/>
        <w:numId w:val="1"/>
      </w:numPr>
    </w:pPr>
  </w:style>
  <w:style w:type="paragraph" w:styleId="873">
    <w:name w:val="Normal (Web)"/>
    <w:basedOn w:val="863"/>
    <w:next w:val="874"/>
    <w:uiPriority w:val="0"/>
    <w:qFormat/>
    <w:pPr>
      <w:jc w:val="left"/>
      <w:spacing w:before="100" w:beforeAutospacing="1" w:after="100" w:afterAutospacing="1"/>
    </w:pPr>
    <w:rPr>
      <w:rFonts w:ascii="Calibri" w:hAnsi="Calibri"/>
      <w:sz w:val="24"/>
      <w:szCs w:val="22"/>
    </w:rPr>
  </w:style>
  <w:style w:type="paragraph" w:styleId="874">
    <w:name w:val="List 2"/>
    <w:basedOn w:val="864"/>
    <w:next w:val="875"/>
    <w:uiPriority w:val="0"/>
    <w:qFormat/>
    <w:pPr>
      <w:ind w:left="100" w:firstLine="3640"/>
      <w:spacing w:before="0" w:after="0"/>
    </w:pPr>
    <w:rPr>
      <w:rFonts w:eastAsia="宋体"/>
    </w:rPr>
  </w:style>
  <w:style w:type="paragraph" w:styleId="875">
    <w:name w:val="toc 7"/>
    <w:basedOn w:val="864"/>
    <w:next w:val="863"/>
    <w:uiPriority w:val="0"/>
    <w:semiHidden/>
    <w:qFormat/>
    <w:pPr>
      <w:ind w:left="2520"/>
    </w:pPr>
  </w:style>
  <w:style w:type="paragraph" w:styleId="876">
    <w:name w:val="index 8"/>
    <w:basedOn w:val="863"/>
    <w:next w:val="863"/>
    <w:uiPriority w:val="0"/>
    <w:semiHidden/>
    <w:qFormat/>
    <w:pPr>
      <w:ind w:left="2940"/>
    </w:pPr>
  </w:style>
  <w:style w:type="paragraph" w:styleId="877">
    <w:name w:val="List Number"/>
    <w:basedOn w:val="863"/>
    <w:uiPriority w:val="0"/>
    <w:qFormat/>
    <w:pPr>
      <w:ind w:left="502" w:hanging="360"/>
      <w:tabs>
        <w:tab w:val="left" w:pos="420" w:leader="none"/>
      </w:tabs>
    </w:pPr>
    <w:rPr>
      <w:rFonts w:eastAsia="宋体"/>
      <w:sz w:val="21"/>
    </w:rPr>
  </w:style>
  <w:style w:type="paragraph" w:styleId="878">
    <w:name w:val="Normal Indent"/>
    <w:basedOn w:val="863"/>
    <w:next w:val="863"/>
    <w:link w:val="933"/>
    <w:uiPriority w:val="0"/>
    <w:qFormat/>
    <w:pPr>
      <w:ind w:firstLine="420"/>
      <w:jc w:val="left"/>
    </w:pPr>
    <w:rPr>
      <w:sz w:val="24"/>
    </w:rPr>
  </w:style>
  <w:style w:type="paragraph" w:styleId="879">
    <w:name w:val="index 5"/>
    <w:basedOn w:val="863"/>
    <w:next w:val="863"/>
    <w:uiPriority w:val="0"/>
    <w:semiHidden/>
    <w:qFormat/>
    <w:pPr>
      <w:ind w:left="1680"/>
    </w:pPr>
  </w:style>
  <w:style w:type="paragraph" w:styleId="880">
    <w:name w:val="Document Map"/>
    <w:basedOn w:val="863"/>
    <w:link w:val="934"/>
    <w:uiPriority w:val="0"/>
    <w:qFormat/>
    <w:pPr>
      <w:shd w:val="clear" w:color="auto" w:fill="000080"/>
    </w:pPr>
  </w:style>
  <w:style w:type="paragraph" w:styleId="881">
    <w:name w:val="annotation text"/>
    <w:basedOn w:val="863"/>
    <w:link w:val="931"/>
    <w:uiPriority w:val="99"/>
    <w:qFormat/>
    <w:pPr>
      <w:jc w:val="left"/>
    </w:pPr>
  </w:style>
  <w:style w:type="paragraph" w:styleId="882">
    <w:name w:val="index 6"/>
    <w:basedOn w:val="863"/>
    <w:next w:val="863"/>
    <w:uiPriority w:val="0"/>
    <w:semiHidden/>
    <w:qFormat/>
    <w:pPr>
      <w:ind w:left="2100"/>
    </w:pPr>
  </w:style>
  <w:style w:type="paragraph" w:styleId="883">
    <w:name w:val="Body Text"/>
    <w:basedOn w:val="863"/>
    <w:next w:val="878"/>
    <w:link w:val="935"/>
    <w:uiPriority w:val="0"/>
    <w:qFormat/>
    <w:pPr>
      <w:spacing w:line="400" w:lineRule="exact"/>
    </w:pPr>
    <w:rPr>
      <w:rFonts w:ascii="楷体_GB2312"/>
      <w:sz w:val="28"/>
    </w:rPr>
  </w:style>
  <w:style w:type="paragraph" w:styleId="884">
    <w:name w:val="Body Text Indent"/>
    <w:basedOn w:val="863"/>
    <w:link w:val="936"/>
    <w:uiPriority w:val="0"/>
    <w:qFormat/>
    <w:pPr>
      <w:ind w:left="570"/>
      <w:spacing w:line="520" w:lineRule="exact"/>
    </w:pPr>
    <w:rPr>
      <w:rFonts w:ascii="方正仿宋简体" w:hAnsi="创艺简仿宋" w:eastAsia="方正仿宋简体"/>
      <w:sz w:val="24"/>
    </w:rPr>
  </w:style>
  <w:style w:type="paragraph" w:styleId="885">
    <w:name w:val="index 4"/>
    <w:basedOn w:val="863"/>
    <w:next w:val="863"/>
    <w:uiPriority w:val="0"/>
    <w:semiHidden/>
    <w:qFormat/>
    <w:pPr>
      <w:ind w:left="1260"/>
    </w:pPr>
  </w:style>
  <w:style w:type="paragraph" w:styleId="886">
    <w:name w:val="toc 5"/>
    <w:basedOn w:val="863"/>
    <w:next w:val="863"/>
    <w:uiPriority w:val="0"/>
    <w:semiHidden/>
    <w:qFormat/>
    <w:pPr>
      <w:ind w:left="1680"/>
    </w:pPr>
  </w:style>
  <w:style w:type="paragraph" w:styleId="887">
    <w:name w:val="toc 3"/>
    <w:basedOn w:val="863"/>
    <w:next w:val="863"/>
    <w:uiPriority w:val="0"/>
    <w:semiHidden/>
    <w:qFormat/>
    <w:pPr>
      <w:ind w:left="840"/>
    </w:pPr>
  </w:style>
  <w:style w:type="paragraph" w:styleId="888">
    <w:name w:val="Plain Text"/>
    <w:basedOn w:val="863"/>
    <w:link w:val="937"/>
    <w:uiPriority w:val="0"/>
    <w:qFormat/>
    <w:rPr>
      <w:rFonts w:ascii="宋体" w:hAnsi="Courier New"/>
    </w:rPr>
  </w:style>
  <w:style w:type="paragraph" w:styleId="889">
    <w:name w:val="toc 8"/>
    <w:basedOn w:val="863"/>
    <w:next w:val="863"/>
    <w:uiPriority w:val="0"/>
    <w:semiHidden/>
    <w:qFormat/>
    <w:pPr>
      <w:ind w:left="2940"/>
    </w:pPr>
  </w:style>
  <w:style w:type="paragraph" w:styleId="890">
    <w:name w:val="index 3"/>
    <w:basedOn w:val="863"/>
    <w:next w:val="863"/>
    <w:uiPriority w:val="0"/>
    <w:semiHidden/>
    <w:qFormat/>
    <w:pPr>
      <w:ind w:left="840"/>
    </w:pPr>
  </w:style>
  <w:style w:type="paragraph" w:styleId="891">
    <w:name w:val="Date"/>
    <w:basedOn w:val="863"/>
    <w:next w:val="863"/>
    <w:link w:val="938"/>
    <w:uiPriority w:val="0"/>
    <w:qFormat/>
    <w:rPr>
      <w:rFonts w:ascii="宋体" w:hAnsi="宋体"/>
      <w:sz w:val="24"/>
    </w:rPr>
  </w:style>
  <w:style w:type="paragraph" w:styleId="892">
    <w:name w:val="Body Text Indent 2"/>
    <w:basedOn w:val="863"/>
    <w:link w:val="939"/>
    <w:uiPriority w:val="0"/>
    <w:qFormat/>
    <w:pPr>
      <w:ind w:firstLine="502"/>
      <w:spacing w:line="360" w:lineRule="auto"/>
      <w:tabs>
        <w:tab w:val="left" w:pos="0" w:leader="none"/>
      </w:tabs>
    </w:pPr>
    <w:rPr>
      <w:rFonts w:ascii="宋体" w:eastAsia="宋体"/>
      <w:b/>
      <w:bCs/>
      <w:sz w:val="24"/>
    </w:rPr>
  </w:style>
  <w:style w:type="paragraph" w:styleId="893">
    <w:name w:val="endnote text"/>
    <w:basedOn w:val="863"/>
    <w:link w:val="940"/>
    <w:uiPriority w:val="0"/>
    <w:qFormat/>
    <w:pPr>
      <w:jc w:val="left"/>
    </w:pPr>
  </w:style>
  <w:style w:type="paragraph" w:styleId="894">
    <w:name w:val="Balloon Text"/>
    <w:basedOn w:val="863"/>
    <w:link w:val="941"/>
    <w:uiPriority w:val="99"/>
    <w:qFormat/>
    <w:rPr>
      <w:sz w:val="18"/>
      <w:szCs w:val="18"/>
    </w:rPr>
  </w:style>
  <w:style w:type="paragraph" w:styleId="895">
    <w:name w:val="Footer"/>
    <w:basedOn w:val="863"/>
    <w:link w:val="942"/>
    <w:uiPriority w:val="99"/>
    <w:qFormat/>
    <w:pPr>
      <w:jc w:val="left"/>
      <w:tabs>
        <w:tab w:val="center" w:pos="4153" w:leader="none"/>
        <w:tab w:val="right" w:pos="8306" w:leader="none"/>
      </w:tabs>
    </w:pPr>
    <w:rPr>
      <w:sz w:val="18"/>
    </w:rPr>
  </w:style>
  <w:style w:type="paragraph" w:styleId="896">
    <w:name w:val="Header"/>
    <w:basedOn w:val="863"/>
    <w:link w:val="943"/>
    <w:uiPriority w:val="99"/>
    <w:qFormat/>
    <w:pPr>
      <w:jc w:val="center"/>
      <w:tabs>
        <w:tab w:val="center" w:pos="4153" w:leader="none"/>
        <w:tab w:val="right" w:pos="8306" w:leader="none"/>
      </w:tabs>
      <w:pBdr>
        <w:bottom w:val="single" w:color="auto" w:sz="6" w:space="1"/>
      </w:pBdr>
    </w:pPr>
    <w:rPr>
      <w:sz w:val="18"/>
    </w:rPr>
  </w:style>
  <w:style w:type="paragraph" w:styleId="897">
    <w:name w:val="toc 1"/>
    <w:basedOn w:val="863"/>
    <w:next w:val="863"/>
    <w:uiPriority w:val="39"/>
    <w:qFormat/>
    <w:pPr>
      <w:jc w:val="left"/>
    </w:pPr>
    <w:rPr>
      <w:sz w:val="24"/>
    </w:rPr>
  </w:style>
  <w:style w:type="paragraph" w:styleId="898">
    <w:name w:val="toc 4"/>
    <w:basedOn w:val="863"/>
    <w:next w:val="863"/>
    <w:uiPriority w:val="0"/>
    <w:semiHidden/>
    <w:qFormat/>
    <w:pPr>
      <w:ind w:left="1260"/>
    </w:pPr>
  </w:style>
  <w:style w:type="paragraph" w:styleId="899">
    <w:name w:val="index heading"/>
    <w:basedOn w:val="863"/>
    <w:next w:val="900"/>
    <w:uiPriority w:val="0"/>
    <w:semiHidden/>
    <w:qFormat/>
  </w:style>
  <w:style w:type="paragraph" w:styleId="900">
    <w:name w:val="index 1"/>
    <w:basedOn w:val="863"/>
    <w:next w:val="863"/>
    <w:uiPriority w:val="0"/>
    <w:semiHidden/>
    <w:qFormat/>
  </w:style>
  <w:style w:type="paragraph" w:styleId="901">
    <w:name w:val="footnote text"/>
    <w:basedOn w:val="863"/>
    <w:link w:val="944"/>
    <w:uiPriority w:val="0"/>
    <w:semiHidden/>
    <w:qFormat/>
    <w:pPr>
      <w:jc w:val="left"/>
    </w:pPr>
    <w:rPr>
      <w:sz w:val="18"/>
    </w:rPr>
  </w:style>
  <w:style w:type="paragraph" w:styleId="902">
    <w:name w:val="toc 6"/>
    <w:basedOn w:val="863"/>
    <w:next w:val="863"/>
    <w:uiPriority w:val="0"/>
    <w:semiHidden/>
    <w:qFormat/>
    <w:pPr>
      <w:ind w:left="2100"/>
    </w:pPr>
  </w:style>
  <w:style w:type="paragraph" w:styleId="903">
    <w:name w:val="Body Text Indent 3"/>
    <w:basedOn w:val="863"/>
    <w:link w:val="945"/>
    <w:uiPriority w:val="0"/>
    <w:qFormat/>
    <w:pPr>
      <w:ind w:firstLine="617"/>
      <w:spacing w:line="360" w:lineRule="auto"/>
    </w:pPr>
    <w:rPr>
      <w:rFonts w:eastAsia="宋体"/>
      <w:sz w:val="24"/>
      <w:szCs w:val="24"/>
    </w:rPr>
  </w:style>
  <w:style w:type="paragraph" w:styleId="904">
    <w:name w:val="index 7"/>
    <w:basedOn w:val="863"/>
    <w:next w:val="863"/>
    <w:uiPriority w:val="0"/>
    <w:semiHidden/>
    <w:qFormat/>
    <w:pPr>
      <w:ind w:left="2520"/>
    </w:pPr>
  </w:style>
  <w:style w:type="paragraph" w:styleId="905">
    <w:name w:val="index 9"/>
    <w:basedOn w:val="863"/>
    <w:next w:val="863"/>
    <w:uiPriority w:val="0"/>
    <w:semiHidden/>
    <w:qFormat/>
    <w:pPr>
      <w:ind w:left="3360"/>
    </w:pPr>
  </w:style>
  <w:style w:type="paragraph" w:styleId="906">
    <w:name w:val="table of figures"/>
    <w:basedOn w:val="863"/>
    <w:next w:val="863"/>
    <w:uiPriority w:val="0"/>
    <w:semiHidden/>
    <w:qFormat/>
    <w:pPr>
      <w:ind w:left="420" w:hanging="420"/>
      <w:jc w:val="left"/>
    </w:pPr>
    <w:rPr>
      <w:smallCaps/>
      <w:sz w:val="24"/>
    </w:rPr>
  </w:style>
  <w:style w:type="paragraph" w:styleId="907">
    <w:name w:val="toc 2"/>
    <w:basedOn w:val="863"/>
    <w:next w:val="863"/>
    <w:uiPriority w:val="0"/>
    <w:semiHidden/>
    <w:qFormat/>
    <w:pPr>
      <w:ind w:left="420"/>
    </w:pPr>
  </w:style>
  <w:style w:type="paragraph" w:styleId="908">
    <w:name w:val="toc 9"/>
    <w:basedOn w:val="863"/>
    <w:next w:val="863"/>
    <w:uiPriority w:val="0"/>
    <w:semiHidden/>
    <w:qFormat/>
    <w:pPr>
      <w:ind w:left="3360"/>
    </w:pPr>
  </w:style>
  <w:style w:type="paragraph" w:styleId="909">
    <w:name w:val="Body Text 2"/>
    <w:basedOn w:val="863"/>
    <w:link w:val="946"/>
    <w:uiPriority w:val="0"/>
    <w:qFormat/>
    <w:pPr>
      <w:jc w:val="center"/>
      <w:spacing w:line="360" w:lineRule="auto"/>
    </w:pPr>
    <w:rPr>
      <w:rFonts w:eastAsia="宋体"/>
      <w:color w:val="ff00ff"/>
      <w:sz w:val="20"/>
    </w:rPr>
  </w:style>
  <w:style w:type="paragraph" w:styleId="910">
    <w:name w:val="HTML Preformatted"/>
    <w:basedOn w:val="863"/>
    <w:link w:val="9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11">
    <w:name w:val="index 2"/>
    <w:basedOn w:val="863"/>
    <w:next w:val="863"/>
    <w:uiPriority w:val="0"/>
    <w:semiHidden/>
    <w:qFormat/>
    <w:pPr>
      <w:ind w:left="420"/>
    </w:pPr>
  </w:style>
  <w:style w:type="paragraph" w:styleId="912">
    <w:name w:val="Title"/>
    <w:basedOn w:val="863"/>
    <w:next w:val="863"/>
    <w:link w:val="948"/>
    <w:uiPriority w:val="0"/>
    <w:qFormat/>
    <w:pPr>
      <w:jc w:val="center"/>
      <w:spacing w:before="240" w:after="60"/>
      <w:outlineLvl w:val="0"/>
    </w:pPr>
    <w:rPr>
      <w:rFonts w:ascii="Cambria" w:hAnsi="Cambria" w:eastAsia="宋体"/>
      <w:b/>
      <w:bCs/>
      <w:sz w:val="32"/>
      <w:szCs w:val="32"/>
    </w:rPr>
  </w:style>
  <w:style w:type="paragraph" w:styleId="913">
    <w:name w:val="annotation subject"/>
    <w:basedOn w:val="881"/>
    <w:next w:val="881"/>
    <w:link w:val="932"/>
    <w:uiPriority w:val="99"/>
    <w:qFormat/>
    <w:rPr>
      <w:b/>
      <w:bCs/>
    </w:rPr>
  </w:style>
  <w:style w:type="paragraph" w:styleId="914">
    <w:name w:val="Body Text First Indent"/>
    <w:basedOn w:val="883"/>
    <w:uiPriority w:val="0"/>
    <w:qFormat/>
    <w:pPr>
      <w:ind w:firstLine="420"/>
      <w:spacing w:after="120" w:line="278" w:lineRule="auto"/>
    </w:pPr>
    <w:rPr>
      <w:rFonts w:asciiTheme="minorHAnsi" w:hAnsiTheme="minorHAnsi" w:eastAsiaTheme="minorEastAsia" w:cstheme="minorBidi"/>
      <w:sz w:val="21"/>
      <w:szCs w:val="24"/>
    </w:rPr>
  </w:style>
  <w:style w:type="paragraph" w:styleId="915">
    <w:name w:val="Body Text First Indent 2"/>
    <w:basedOn w:val="884"/>
    <w:link w:val="1064"/>
    <w:uiPriority w:val="0"/>
    <w:semiHidden/>
    <w:unhideWhenUsed/>
    <w:qFormat/>
    <w:pPr>
      <w:ind w:left="420" w:firstLine="420"/>
      <w:spacing w:after="120" w:line="240" w:lineRule="auto"/>
    </w:pPr>
    <w:rPr>
      <w:rFonts w:ascii="Times New Roman" w:hAnsi="Times New Roman" w:eastAsia="楷体_GB2312"/>
      <w:sz w:val="26"/>
    </w:rPr>
  </w:style>
  <w:style w:type="table" w:styleId="916">
    <w:name w:val="Table Grid"/>
    <w:basedOn w:val="87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uiPriority w:val="0"/>
    <w:qFormat/>
    <w:rPr>
      <w:b/>
    </w:rPr>
  </w:style>
  <w:style w:type="character" w:styleId="918">
    <w:name w:val="endnote reference"/>
    <w:uiPriority w:val="0"/>
    <w:qFormat/>
    <w:rPr>
      <w:vertAlign w:val="superscript"/>
    </w:rPr>
  </w:style>
  <w:style w:type="character" w:styleId="919">
    <w:name w:val="page number"/>
    <w:basedOn w:val="870"/>
    <w:uiPriority w:val="0"/>
    <w:qFormat/>
  </w:style>
  <w:style w:type="character" w:styleId="920">
    <w:name w:val="Emphasis"/>
    <w:basedOn w:val="870"/>
    <w:uiPriority w:val="20"/>
    <w:qFormat/>
    <w:rPr>
      <w:i/>
      <w:iCs/>
    </w:rPr>
  </w:style>
  <w:style w:type="character" w:styleId="921">
    <w:name w:val="HTML Typewriter"/>
    <w:uiPriority w:val="0"/>
    <w:qFormat/>
    <w:rPr>
      <w:rFonts w:ascii="黑体" w:hAnsi="Courier New" w:eastAsia="黑体" w:cs="Courier New"/>
      <w:sz w:val="14"/>
      <w:szCs w:val="14"/>
    </w:rPr>
  </w:style>
  <w:style w:type="character" w:styleId="922">
    <w:name w:val="Hyperlink"/>
    <w:uiPriority w:val="99"/>
    <w:unhideWhenUsed/>
    <w:qFormat/>
    <w:rPr>
      <w:color w:val="0000ff"/>
      <w:u w:val="single"/>
    </w:rPr>
  </w:style>
  <w:style w:type="character" w:styleId="923">
    <w:name w:val="annotation reference"/>
    <w:basedOn w:val="870"/>
    <w:uiPriority w:val="99"/>
    <w:qFormat/>
    <w:rPr>
      <w:sz w:val="21"/>
      <w:szCs w:val="21"/>
    </w:rPr>
  </w:style>
  <w:style w:type="character" w:styleId="924">
    <w:name w:val="footnote reference"/>
    <w:uiPriority w:val="0"/>
    <w:semiHidden/>
    <w:qFormat/>
    <w:rPr>
      <w:vertAlign w:val="superscript"/>
    </w:rPr>
  </w:style>
  <w:style w:type="character" w:styleId="925" w:customStyle="1">
    <w:name w:val="标题 1 Char"/>
    <w:basedOn w:val="870"/>
    <w:link w:val="864"/>
    <w:uiPriority w:val="9"/>
    <w:qFormat/>
    <w:rPr>
      <w:rFonts w:eastAsia="楷体_GB2312"/>
      <w:b/>
      <w:sz w:val="44"/>
    </w:rPr>
  </w:style>
  <w:style w:type="character" w:styleId="926" w:customStyle="1">
    <w:name w:val="标题 2 Char"/>
    <w:link w:val="865"/>
    <w:uiPriority w:val="0"/>
    <w:qFormat/>
    <w:rPr>
      <w:rFonts w:cs="Times New Roman" w:asciiTheme="minorEastAsia" w:hAnsiTheme="minorEastAsia"/>
      <w:b/>
      <w:bCs/>
      <w:sz w:val="21"/>
      <w:szCs w:val="21"/>
    </w:rPr>
  </w:style>
  <w:style w:type="character" w:styleId="927" w:customStyle="1">
    <w:name w:val="标题 3 Char"/>
    <w:basedOn w:val="870"/>
    <w:link w:val="866"/>
    <w:uiPriority w:val="0"/>
    <w:qFormat/>
    <w:rPr>
      <w:rFonts w:eastAsia="楷体_GB2312"/>
      <w:b/>
      <w:sz w:val="26"/>
    </w:rPr>
  </w:style>
  <w:style w:type="character" w:styleId="928" w:customStyle="1">
    <w:name w:val="标题 4 Char"/>
    <w:basedOn w:val="870"/>
    <w:link w:val="867"/>
    <w:uiPriority w:val="0"/>
    <w:qFormat/>
    <w:rPr>
      <w:rFonts w:ascii="Arial" w:hAnsi="Arial" w:eastAsia="黑体"/>
      <w:b/>
      <w:bCs/>
      <w:sz w:val="28"/>
      <w:szCs w:val="28"/>
    </w:rPr>
  </w:style>
  <w:style w:type="character" w:styleId="929" w:customStyle="1">
    <w:name w:val="标题 5 Char"/>
    <w:link w:val="868"/>
    <w:uiPriority w:val="0"/>
    <w:qFormat/>
    <w:rPr>
      <w:rFonts w:eastAsia="楷体_GB2312"/>
      <w:b/>
      <w:bCs/>
      <w:sz w:val="28"/>
      <w:szCs w:val="28"/>
    </w:rPr>
  </w:style>
  <w:style w:type="character" w:styleId="930" w:customStyle="1">
    <w:name w:val="标题 6 Char"/>
    <w:basedOn w:val="870"/>
    <w:link w:val="869"/>
    <w:uiPriority w:val="0"/>
    <w:semiHidden/>
    <w:qFormat/>
    <w:rPr>
      <w:rFonts w:asciiTheme="majorHAnsi" w:hAnsiTheme="majorHAnsi" w:eastAsiaTheme="majorEastAsia" w:cstheme="majorBidi"/>
      <w:b/>
      <w:bCs/>
      <w:sz w:val="24"/>
      <w:szCs w:val="24"/>
    </w:rPr>
  </w:style>
  <w:style w:type="character" w:styleId="931" w:customStyle="1">
    <w:name w:val="批注文字 Char"/>
    <w:basedOn w:val="870"/>
    <w:link w:val="881"/>
    <w:uiPriority w:val="99"/>
    <w:qFormat/>
    <w:rPr>
      <w:rFonts w:eastAsia="楷体_GB2312"/>
      <w:sz w:val="26"/>
    </w:rPr>
  </w:style>
  <w:style w:type="character" w:styleId="932" w:customStyle="1">
    <w:name w:val="批注主题 Char"/>
    <w:basedOn w:val="931"/>
    <w:link w:val="913"/>
    <w:uiPriority w:val="99"/>
    <w:qFormat/>
    <w:rPr>
      <w:rFonts w:eastAsia="楷体_GB2312"/>
      <w:b/>
      <w:bCs/>
      <w:sz w:val="26"/>
    </w:rPr>
  </w:style>
  <w:style w:type="character" w:styleId="933" w:customStyle="1">
    <w:name w:val="正文缩进 Char"/>
    <w:link w:val="878"/>
    <w:uiPriority w:val="0"/>
    <w:qFormat/>
    <w:rPr>
      <w:rFonts w:eastAsia="楷体_GB2312"/>
      <w:sz w:val="24"/>
      <w:lang w:val="en-US" w:eastAsia="zh-CN" w:bidi="ar-SA"/>
    </w:rPr>
  </w:style>
  <w:style w:type="character" w:styleId="934" w:customStyle="1">
    <w:name w:val="文档结构图 Char"/>
    <w:basedOn w:val="870"/>
    <w:link w:val="880"/>
    <w:uiPriority w:val="0"/>
    <w:qFormat/>
    <w:rPr>
      <w:rFonts w:eastAsia="楷体_GB2312"/>
      <w:sz w:val="26"/>
      <w:shd w:val="clear" w:color="auto" w:fill="000080"/>
    </w:rPr>
  </w:style>
  <w:style w:type="character" w:styleId="935" w:customStyle="1">
    <w:name w:val="正文文本 Char"/>
    <w:link w:val="883"/>
    <w:uiPriority w:val="0"/>
    <w:qFormat/>
    <w:rPr>
      <w:rFonts w:ascii="楷体_GB2312" w:eastAsia="楷体_GB2312"/>
      <w:sz w:val="28"/>
    </w:rPr>
  </w:style>
  <w:style w:type="character" w:styleId="936" w:customStyle="1">
    <w:name w:val="正文文本缩进 Char"/>
    <w:link w:val="884"/>
    <w:uiPriority w:val="0"/>
    <w:qFormat/>
    <w:rPr>
      <w:rFonts w:ascii="方正仿宋简体" w:hAnsi="创艺简仿宋" w:eastAsia="方正仿宋简体"/>
      <w:sz w:val="24"/>
    </w:rPr>
  </w:style>
  <w:style w:type="character" w:styleId="937" w:customStyle="1">
    <w:name w:val="纯文本 Char"/>
    <w:link w:val="888"/>
    <w:uiPriority w:val="0"/>
    <w:qFormat/>
    <w:rPr>
      <w:rFonts w:ascii="宋体" w:hAnsi="Courier New" w:eastAsia="楷体_GB2312"/>
      <w:sz w:val="26"/>
    </w:rPr>
  </w:style>
  <w:style w:type="character" w:styleId="938" w:customStyle="1">
    <w:name w:val="日期 Char"/>
    <w:basedOn w:val="870"/>
    <w:link w:val="891"/>
    <w:uiPriority w:val="0"/>
    <w:qFormat/>
    <w:rPr>
      <w:rFonts w:ascii="宋体" w:hAnsi="宋体" w:eastAsia="楷体_GB2312"/>
      <w:sz w:val="24"/>
    </w:rPr>
  </w:style>
  <w:style w:type="character" w:styleId="939" w:customStyle="1">
    <w:name w:val="正文文本缩进 2 Char"/>
    <w:basedOn w:val="870"/>
    <w:link w:val="892"/>
    <w:uiPriority w:val="0"/>
    <w:qFormat/>
    <w:rPr>
      <w:rFonts w:ascii="宋体"/>
      <w:b/>
      <w:bCs/>
      <w:sz w:val="24"/>
    </w:rPr>
  </w:style>
  <w:style w:type="character" w:styleId="940" w:customStyle="1">
    <w:name w:val="尾注文本 Char"/>
    <w:link w:val="893"/>
    <w:uiPriority w:val="0"/>
    <w:qFormat/>
    <w:rPr>
      <w:rFonts w:eastAsia="楷体_GB2312"/>
      <w:sz w:val="26"/>
    </w:rPr>
  </w:style>
  <w:style w:type="character" w:styleId="941" w:customStyle="1">
    <w:name w:val="批注框文本 Char"/>
    <w:link w:val="894"/>
    <w:uiPriority w:val="99"/>
    <w:qFormat/>
    <w:rPr>
      <w:rFonts w:eastAsia="楷体_GB2312"/>
      <w:sz w:val="18"/>
      <w:szCs w:val="18"/>
    </w:rPr>
  </w:style>
  <w:style w:type="character" w:styleId="942" w:customStyle="1">
    <w:name w:val="页脚 Char"/>
    <w:link w:val="895"/>
    <w:uiPriority w:val="99"/>
    <w:qFormat/>
    <w:rPr>
      <w:rFonts w:eastAsia="楷体_GB2312"/>
      <w:sz w:val="18"/>
    </w:rPr>
  </w:style>
  <w:style w:type="character" w:styleId="943" w:customStyle="1">
    <w:name w:val="页眉 Char"/>
    <w:link w:val="896"/>
    <w:uiPriority w:val="99"/>
    <w:qFormat/>
    <w:rPr>
      <w:rFonts w:eastAsia="楷体_GB2312"/>
      <w:sz w:val="18"/>
    </w:rPr>
  </w:style>
  <w:style w:type="character" w:styleId="944" w:customStyle="1">
    <w:name w:val="脚注文本 Char"/>
    <w:basedOn w:val="870"/>
    <w:link w:val="901"/>
    <w:uiPriority w:val="0"/>
    <w:semiHidden/>
    <w:qFormat/>
    <w:rPr>
      <w:rFonts w:eastAsia="楷体_GB2312"/>
      <w:sz w:val="18"/>
    </w:rPr>
  </w:style>
  <w:style w:type="character" w:styleId="945" w:customStyle="1">
    <w:name w:val="正文文本缩进 3 Char"/>
    <w:link w:val="903"/>
    <w:uiPriority w:val="0"/>
    <w:qFormat/>
    <w:rPr>
      <w:sz w:val="24"/>
      <w:szCs w:val="24"/>
    </w:rPr>
  </w:style>
  <w:style w:type="character" w:styleId="946" w:customStyle="1">
    <w:name w:val="正文文本 2 Char1"/>
    <w:basedOn w:val="870"/>
    <w:link w:val="909"/>
    <w:uiPriority w:val="99"/>
    <w:qFormat/>
    <w:rPr>
      <w:rFonts w:eastAsia="楷体_GB2312"/>
      <w:sz w:val="26"/>
    </w:rPr>
  </w:style>
  <w:style w:type="character" w:styleId="947" w:customStyle="1">
    <w:name w:val="HTML 预设格式 Char"/>
    <w:basedOn w:val="870"/>
    <w:link w:val="910"/>
    <w:uiPriority w:val="0"/>
    <w:qFormat/>
    <w:rPr>
      <w:rFonts w:ascii="黑体" w:hAnsi="Courier New" w:eastAsia="黑体" w:cs="楷体_GB2312"/>
    </w:rPr>
  </w:style>
  <w:style w:type="character" w:styleId="948" w:customStyle="1">
    <w:name w:val="标题 Char"/>
    <w:basedOn w:val="870"/>
    <w:link w:val="912"/>
    <w:uiPriority w:val="0"/>
    <w:qFormat/>
    <w:rPr>
      <w:rFonts w:ascii="Cambria" w:hAnsi="Cambria"/>
      <w:b/>
      <w:bCs/>
      <w:sz w:val="32"/>
      <w:szCs w:val="32"/>
    </w:rPr>
  </w:style>
  <w:style w:type="character" w:styleId="949" w:customStyle="1">
    <w:name w:val="访问过的超链接1"/>
    <w:uiPriority w:val="99"/>
    <w:unhideWhenUsed/>
    <w:qFormat/>
    <w:rPr>
      <w:color w:val="800080"/>
      <w:u w:val="single"/>
    </w:rPr>
  </w:style>
  <w:style w:type="character" w:styleId="950" w:customStyle="1">
    <w:name w:val="Andy_2级 Char"/>
    <w:link w:val="951"/>
    <w:uiPriority w:val="0"/>
    <w:qFormat/>
    <w:rPr>
      <w:rFonts w:ascii="Calibri" w:hAnsi="Calibri"/>
      <w:sz w:val="24"/>
    </w:rPr>
  </w:style>
  <w:style w:type="paragraph" w:styleId="951" w:customStyle="1">
    <w:name w:val="Andy_2级"/>
    <w:basedOn w:val="863"/>
    <w:link w:val="950"/>
    <w:uiPriority w:val="0"/>
    <w:qFormat/>
    <w:pPr>
      <w:numPr>
        <w:ilvl w:val="1"/>
        <w:numId w:val="2"/>
      </w:numPr>
      <w:spacing w:line="360" w:lineRule="auto"/>
    </w:pPr>
    <w:rPr>
      <w:rFonts w:ascii="Calibri" w:hAnsi="Calibri" w:eastAsia="宋体"/>
      <w:sz w:val="24"/>
    </w:rPr>
  </w:style>
  <w:style w:type="character" w:styleId="952" w:customStyle="1">
    <w:name w:val="表正文 Char1"/>
    <w:uiPriority w:val="0"/>
    <w:qFormat/>
    <w:rPr>
      <w:rFonts w:eastAsia="楷体_GB2312"/>
      <w:sz w:val="24"/>
      <w:lang w:val="en-US" w:eastAsia="zh-CN" w:bidi="ar-SA"/>
    </w:rPr>
  </w:style>
  <w:style w:type="character" w:styleId="953" w:customStyle="1">
    <w:name w:val="ca-221"/>
    <w:uiPriority w:val="0"/>
    <w:qFormat/>
    <w:rPr>
      <w:rFonts w:hint="eastAsia" w:ascii="宋体" w:hAnsi="宋体" w:eastAsia="宋体"/>
      <w:color w:val="ff0000"/>
      <w:sz w:val="24"/>
      <w:szCs w:val="24"/>
    </w:rPr>
  </w:style>
  <w:style w:type="paragraph" w:styleId="954" w:customStyle="1">
    <w:name w:val="xl94"/>
    <w:basedOn w:val="863"/>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55" w:customStyle="1">
    <w:name w:val="xl68"/>
    <w:basedOn w:val="863"/>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56" w:customStyle="1">
    <w:name w:val="xl70"/>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57" w:customStyle="1">
    <w:name w:val="xl87"/>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58" w:customStyle="1">
    <w:name w:val="xl96"/>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59" w:customStyle="1">
    <w:name w:val="xl91"/>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0" w:customStyle="1">
    <w:name w:val="xl78"/>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61"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62" w:customStyle="1">
    <w:name w:val="xl93"/>
    <w:basedOn w:val="86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63" w:customStyle="1">
    <w:name w:val="Char"/>
    <w:basedOn w:val="863"/>
    <w:uiPriority w:val="0"/>
    <w:qFormat/>
    <w:rPr>
      <w:rFonts w:ascii="Tahoma" w:hAnsi="Tahoma" w:eastAsia="宋体"/>
      <w:sz w:val="24"/>
    </w:rPr>
  </w:style>
  <w:style w:type="paragraph" w:styleId="964" w:customStyle="1">
    <w:name w:val="纯文本1"/>
    <w:basedOn w:val="863"/>
    <w:uiPriority w:val="0"/>
    <w:qFormat/>
    <w:rPr>
      <w:rFonts w:ascii="宋体" w:hAnsi="Courier New"/>
    </w:rPr>
  </w:style>
  <w:style w:type="paragraph" w:styleId="965" w:customStyle="1">
    <w:name w:val="纯文本2"/>
    <w:basedOn w:val="863"/>
    <w:uiPriority w:val="0"/>
    <w:qFormat/>
    <w:rPr>
      <w:rFonts w:ascii="宋体" w:hAnsi="Courier New"/>
    </w:rPr>
  </w:style>
  <w:style w:type="paragraph" w:styleId="966" w:customStyle="1">
    <w:name w:val="纯文本3"/>
    <w:basedOn w:val="863"/>
    <w:link w:val="967"/>
    <w:uiPriority w:val="0"/>
    <w:qFormat/>
    <w:rPr>
      <w:rFonts w:ascii="宋体" w:hAnsi="Courier New"/>
    </w:rPr>
  </w:style>
  <w:style w:type="character" w:styleId="967" w:customStyle="1">
    <w:name w:val="Plain Text Char Char"/>
    <w:link w:val="966"/>
    <w:uiPriority w:val="0"/>
    <w:qFormat/>
    <w:rPr>
      <w:rFonts w:ascii="宋体" w:hAnsi="Courier New" w:eastAsia="楷体_GB2312"/>
      <w:sz w:val="26"/>
    </w:rPr>
  </w:style>
  <w:style w:type="paragraph" w:styleId="968" w:customStyle="1">
    <w:name w:val="xl75"/>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69" w:customStyle="1">
    <w:name w:val="xl71"/>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0" w:customStyle="1">
    <w:name w:val="xl97"/>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71">
    <w:name w:val="List Paragraph"/>
    <w:basedOn w:val="863"/>
    <w:uiPriority w:val="99"/>
    <w:qFormat/>
    <w:pPr>
      <w:ind w:firstLine="420"/>
    </w:pPr>
  </w:style>
  <w:style w:type="paragraph" w:styleId="972" w:customStyle="1">
    <w:name w:val="xl80"/>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73" w:customStyle="1">
    <w:name w:val="xl72"/>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74" w:customStyle="1">
    <w:name w:val="xl95"/>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75" w:customStyle="1">
    <w:name w:val="xl85"/>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76" w:customStyle="1">
    <w:name w:val="Char Char3"/>
    <w:basedOn w:val="863"/>
    <w:uiPriority w:val="0"/>
    <w:qFormat/>
    <w:pPr>
      <w:jc w:val="left"/>
      <w:spacing w:after="160" w:line="240" w:lineRule="exact"/>
      <w:widowControl/>
    </w:pPr>
    <w:rPr>
      <w:rFonts w:eastAsia="宋体"/>
      <w:sz w:val="24"/>
      <w:szCs w:val="24"/>
    </w:rPr>
  </w:style>
  <w:style w:type="paragraph" w:styleId="977" w:customStyle="1">
    <w:name w:val="xl89"/>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78" w:customStyle="1">
    <w:name w:val="修订1"/>
    <w:uiPriority w:val="99"/>
    <w:unhideWhenUsed/>
    <w:qFormat/>
    <w:rPr>
      <w:rFonts w:ascii="Times New Roman" w:hAnsi="Times New Roman" w:eastAsia="楷体_GB2312" w:cs="Times New Roman"/>
      <w:sz w:val="26"/>
      <w:lang w:val="en-US" w:eastAsia="zh-CN" w:bidi="ar-SA"/>
    </w:rPr>
  </w:style>
  <w:style w:type="paragraph" w:styleId="979" w:customStyle="1">
    <w:name w:val="Char1"/>
    <w:basedOn w:val="863"/>
    <w:uiPriority w:val="0"/>
    <w:qFormat/>
    <w:pPr>
      <w:jc w:val="left"/>
      <w:spacing w:after="160" w:line="240" w:lineRule="exact"/>
      <w:widowControl/>
    </w:pPr>
    <w:rPr>
      <w:rFonts w:ascii="Verdana" w:hAnsi="Verdana" w:eastAsia="仿宋_GB2312"/>
      <w:sz w:val="24"/>
      <w:lang w:eastAsia="en-US"/>
    </w:rPr>
  </w:style>
  <w:style w:type="paragraph" w:styleId="980" w:customStyle="1">
    <w:name w:val="xl67"/>
    <w:basedOn w:val="863"/>
    <w:uiPriority w:val="0"/>
    <w:qFormat/>
    <w:pPr>
      <w:jc w:val="left"/>
      <w:spacing w:before="100" w:beforeAutospacing="1" w:after="100" w:afterAutospacing="1"/>
      <w:widowControl/>
    </w:pPr>
    <w:rPr>
      <w:rFonts w:ascii="仿宋_GB2312" w:hAnsi="宋体" w:eastAsia="仿宋_GB2312" w:cs="宋体"/>
      <w:sz w:val="20"/>
    </w:rPr>
  </w:style>
  <w:style w:type="paragraph" w:styleId="981" w:customStyle="1">
    <w:name w:val="Char Char Char Char"/>
    <w:basedOn w:val="880"/>
    <w:uiPriority w:val="0"/>
    <w:qFormat/>
    <w:pPr>
      <w:ind w:left="357"/>
      <w:jc w:val="left"/>
      <w:spacing w:line="436" w:lineRule="exact"/>
      <w:outlineLvl w:val="3"/>
    </w:pPr>
    <w:rPr>
      <w:rFonts w:ascii="Tahoma" w:hAnsi="Tahoma" w:eastAsia="宋体"/>
      <w:b/>
      <w:sz w:val="24"/>
      <w:szCs w:val="24"/>
    </w:rPr>
  </w:style>
  <w:style w:type="paragraph" w:styleId="982" w:customStyle="1">
    <w:name w:val="xl69"/>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83" w:customStyle="1">
    <w:name w:val="xl66"/>
    <w:basedOn w:val="863"/>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4" w:customStyle="1">
    <w:name w:val="Char Char Char"/>
    <w:basedOn w:val="863"/>
    <w:uiPriority w:val="0"/>
    <w:qFormat/>
    <w:pPr>
      <w:numPr>
        <w:ilvl w:val="0"/>
        <w:numId w:val="3"/>
      </w:numPr>
    </w:pPr>
    <w:rPr>
      <w:rFonts w:eastAsia="宋体"/>
      <w:sz w:val="24"/>
      <w:szCs w:val="24"/>
    </w:rPr>
  </w:style>
  <w:style w:type="paragraph" w:styleId="985" w:customStyle="1">
    <w:name w:val="xl76"/>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6" w:customStyle="1">
    <w:name w:val="xl74"/>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87" w:customStyle="1">
    <w:name w:val="xl92"/>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88" w:customStyle="1">
    <w:name w:val="xl86"/>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89" w:customStyle="1">
    <w:name w:val="xl77"/>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0" w:customStyle="1">
    <w:name w:val="xl90"/>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91" w:customStyle="1">
    <w:name w:val="xl88"/>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92" w:customStyle="1">
    <w:name w:val="xl83"/>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93" w:customStyle="1">
    <w:name w:val="xl84"/>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94" w:customStyle="1">
    <w:name w:val="xl82"/>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95" w:customStyle="1">
    <w:name w:val="xl73"/>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6" w:customStyle="1">
    <w:name w:val="xl81"/>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97" w:customStyle="1">
    <w:name w:val="xl79"/>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998"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999" w:customStyle="1">
    <w:name w:val="列出段落1"/>
    <w:basedOn w:val="863"/>
    <w:uiPriority w:val="0"/>
    <w:qFormat/>
    <w:pPr>
      <w:ind w:firstLine="420"/>
    </w:pPr>
    <w:rPr>
      <w:rFonts w:ascii="Calibri" w:hAnsi="Calibri" w:eastAsia="宋体"/>
      <w:sz w:val="21"/>
      <w:szCs w:val="22"/>
    </w:rPr>
  </w:style>
  <w:style w:type="character" w:styleId="1000" w:customStyle="1">
    <w:name w:val="正文2 Char"/>
    <w:link w:val="1001"/>
    <w:uiPriority w:val="0"/>
    <w:qFormat/>
    <w:rPr>
      <w:rFonts w:ascii="Calibri" w:hAnsi="Calibri"/>
      <w:sz w:val="24"/>
    </w:rPr>
  </w:style>
  <w:style w:type="paragraph" w:styleId="1001" w:customStyle="1">
    <w:name w:val="正文2"/>
    <w:basedOn w:val="863"/>
    <w:link w:val="1000"/>
    <w:uiPriority w:val="0"/>
    <w:qFormat/>
    <w:pPr>
      <w:ind w:firstLine="510"/>
      <w:spacing w:before="156" w:line="360" w:lineRule="auto"/>
    </w:pPr>
    <w:rPr>
      <w:rFonts w:ascii="Calibri" w:hAnsi="Calibri" w:eastAsia="宋体"/>
      <w:sz w:val="24"/>
    </w:rPr>
  </w:style>
  <w:style w:type="paragraph" w:styleId="1002" w:customStyle="1">
    <w:name w:val="Andy_二级"/>
    <w:basedOn w:val="999"/>
    <w:uiPriority w:val="0"/>
    <w:qFormat/>
    <w:pPr>
      <w:ind w:firstLine="510"/>
      <w:spacing w:line="360" w:lineRule="auto"/>
    </w:pPr>
    <w:rPr>
      <w:sz w:val="24"/>
    </w:rPr>
  </w:style>
  <w:style w:type="paragraph" w:styleId="1003" w:customStyle="1">
    <w:name w:val="Andy_4级"/>
    <w:basedOn w:val="999"/>
    <w:uiPriority w:val="0"/>
    <w:qFormat/>
    <w:pPr>
      <w:ind w:firstLine="510"/>
      <w:spacing w:line="360" w:lineRule="auto"/>
    </w:pPr>
    <w:rPr>
      <w:sz w:val="24"/>
      <w:szCs w:val="20"/>
    </w:rPr>
  </w:style>
  <w:style w:type="paragraph" w:styleId="1004" w:customStyle="1">
    <w:name w:val="Andy_3级"/>
    <w:basedOn w:val="863"/>
    <w:uiPriority w:val="0"/>
    <w:qFormat/>
    <w:pPr>
      <w:ind w:firstLine="510"/>
      <w:spacing w:line="360" w:lineRule="auto"/>
    </w:pPr>
    <w:rPr>
      <w:rFonts w:ascii="Calibri" w:hAnsi="Calibri" w:eastAsia="宋体"/>
      <w:sz w:val="24"/>
    </w:rPr>
  </w:style>
  <w:style w:type="paragraph" w:styleId="1005" w:customStyle="1">
    <w:name w:val="Andy_一级"/>
    <w:basedOn w:val="999"/>
    <w:uiPriority w:val="0"/>
    <w:qFormat/>
    <w:pPr>
      <w:ind w:firstLine="0"/>
      <w:keepNext/>
      <w:spacing w:line="360" w:lineRule="auto"/>
    </w:pPr>
    <w:rPr>
      <w:b/>
      <w:sz w:val="24"/>
    </w:rPr>
  </w:style>
  <w:style w:type="paragraph" w:styleId="1006" w:customStyle="1">
    <w:name w:val="首行缩进"/>
    <w:basedOn w:val="863"/>
    <w:uiPriority w:val="0"/>
    <w:qFormat/>
    <w:pPr>
      <w:ind w:firstLine="480"/>
    </w:pPr>
    <w:rPr>
      <w:rFonts w:eastAsia="宋体"/>
      <w:sz w:val="21"/>
      <w:lang w:val="zh-CN"/>
    </w:rPr>
  </w:style>
  <w:style w:type="paragraph" w:styleId="1007" w:customStyle="1">
    <w:name w:val="表格"/>
    <w:basedOn w:val="863"/>
    <w:next w:val="888"/>
    <w:uiPriority w:val="0"/>
    <w:qFormat/>
    <w:rPr>
      <w:rFonts w:ascii="宋体" w:hAnsi="Courier New" w:eastAsia="仿宋_GB2312"/>
      <w:sz w:val="28"/>
      <w:szCs w:val="21"/>
    </w:rPr>
  </w:style>
  <w:style w:type="paragraph" w:styleId="1008" w:customStyle="1">
    <w:name w:val="列出段落5"/>
    <w:basedOn w:val="863"/>
    <w:uiPriority w:val="0"/>
    <w:qFormat/>
    <w:pPr>
      <w:ind w:firstLine="420"/>
      <w:jc w:val="left"/>
      <w:widowControl/>
    </w:pPr>
    <w:rPr>
      <w:rFonts w:ascii="Calibri" w:hAnsi="Calibri" w:eastAsia="宋体" w:cs="Arial"/>
      <w:sz w:val="20"/>
    </w:rPr>
  </w:style>
  <w:style w:type="paragraph" w:styleId="1009" w:customStyle="1">
    <w:name w:val="列出段落3"/>
    <w:basedOn w:val="863"/>
    <w:uiPriority w:val="99"/>
    <w:qFormat/>
    <w:pPr>
      <w:ind w:firstLine="420"/>
    </w:pPr>
    <w:rPr>
      <w:rFonts w:eastAsia="宋体"/>
      <w:sz w:val="21"/>
      <w:szCs w:val="24"/>
    </w:rPr>
  </w:style>
  <w:style w:type="paragraph" w:styleId="1010"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1011" w:customStyle="1">
    <w:name w:val="CharAttribute3"/>
    <w:uiPriority w:val="0"/>
    <w:qFormat/>
    <w:rPr>
      <w:rFonts w:hint="default" w:ascii="Times New Roman" w:hAnsi="宋体" w:eastAsia="宋体" w:cs="Times New Roman"/>
      <w:sz w:val="32"/>
    </w:rPr>
  </w:style>
  <w:style w:type="paragraph" w:styleId="1012" w:customStyle="1">
    <w:name w:val="List Paragraph1"/>
    <w:basedOn w:val="863"/>
    <w:uiPriority w:val="0"/>
    <w:qFormat/>
    <w:pPr>
      <w:ind w:firstLine="420"/>
    </w:pPr>
    <w:rPr>
      <w:rFonts w:eastAsia="宋体"/>
      <w:sz w:val="21"/>
    </w:rPr>
  </w:style>
  <w:style w:type="paragraph" w:styleId="1013" w:customStyle="1">
    <w:name w:val="纯文本31"/>
    <w:basedOn w:val="863"/>
    <w:uiPriority w:val="0"/>
    <w:qFormat/>
    <w:rPr>
      <w:rFonts w:ascii="宋体" w:hAnsi="Courier New"/>
    </w:rPr>
  </w:style>
  <w:style w:type="paragraph" w:styleId="1014" w:customStyle="1">
    <w:name w:val="Char Char31"/>
    <w:basedOn w:val="863"/>
    <w:uiPriority w:val="0"/>
    <w:qFormat/>
    <w:pPr>
      <w:jc w:val="left"/>
      <w:spacing w:after="160" w:line="240" w:lineRule="exact"/>
      <w:widowControl/>
    </w:pPr>
    <w:rPr>
      <w:rFonts w:eastAsia="宋体"/>
      <w:sz w:val="24"/>
      <w:szCs w:val="24"/>
    </w:rPr>
  </w:style>
  <w:style w:type="paragraph" w:styleId="1015" w:customStyle="1">
    <w:name w:val="Char Char Char Char1"/>
    <w:basedOn w:val="880"/>
    <w:uiPriority w:val="0"/>
    <w:qFormat/>
    <w:pPr>
      <w:ind w:left="357"/>
      <w:jc w:val="left"/>
      <w:spacing w:line="436" w:lineRule="exact"/>
      <w:outlineLvl w:val="3"/>
    </w:pPr>
    <w:rPr>
      <w:rFonts w:ascii="Tahoma" w:hAnsi="Tahoma" w:eastAsia="宋体"/>
      <w:b/>
      <w:sz w:val="24"/>
      <w:szCs w:val="24"/>
    </w:rPr>
  </w:style>
  <w:style w:type="paragraph" w:styleId="1016" w:customStyle="1">
    <w:name w:val="Char Char Char1"/>
    <w:basedOn w:val="863"/>
    <w:uiPriority w:val="0"/>
    <w:qFormat/>
    <w:pPr>
      <w:ind w:left="360" w:hanging="360"/>
      <w:tabs>
        <w:tab w:val="left" w:pos="360" w:leader="none"/>
      </w:tabs>
    </w:pPr>
    <w:rPr>
      <w:rFonts w:eastAsia="宋体"/>
      <w:sz w:val="24"/>
      <w:szCs w:val="24"/>
    </w:rPr>
  </w:style>
  <w:style w:type="paragraph" w:styleId="1017" w:customStyle="1">
    <w:name w:val="列出段落2"/>
    <w:basedOn w:val="863"/>
    <w:uiPriority w:val="0"/>
    <w:qFormat/>
    <w:pPr>
      <w:ind w:firstLine="420"/>
    </w:pPr>
    <w:rPr>
      <w:rFonts w:eastAsia="宋体"/>
      <w:sz w:val="21"/>
    </w:rPr>
  </w:style>
  <w:style w:type="paragraph" w:styleId="1018" w:customStyle="1">
    <w:name w:val="xl27"/>
    <w:basedOn w:val="8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1019" w:customStyle="1">
    <w:name w:val="xl31"/>
    <w:basedOn w:val="8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1020" w:customStyle="1">
    <w:name w:val="正文文本 2 Char"/>
    <w:basedOn w:val="870"/>
    <w:uiPriority w:val="0"/>
    <w:qFormat/>
    <w:rPr>
      <w:color w:val="ff00ff"/>
    </w:rPr>
  </w:style>
  <w:style w:type="character" w:styleId="1021" w:customStyle="1">
    <w:name w:val="+正文 Char3"/>
    <w:link w:val="1022"/>
    <w:uiPriority w:val="0"/>
    <w:qFormat/>
    <w:rPr>
      <w:sz w:val="24"/>
    </w:rPr>
  </w:style>
  <w:style w:type="paragraph" w:styleId="1022" w:customStyle="1">
    <w:name w:val="+正文"/>
    <w:basedOn w:val="863"/>
    <w:link w:val="1021"/>
    <w:uiPriority w:val="0"/>
    <w:qFormat/>
    <w:pPr>
      <w:ind w:firstLine="200"/>
      <w:spacing w:line="360" w:lineRule="auto"/>
    </w:pPr>
    <w:rPr>
      <w:rFonts w:eastAsia="宋体"/>
      <w:sz w:val="24"/>
    </w:rPr>
  </w:style>
  <w:style w:type="character" w:styleId="1023" w:customStyle="1">
    <w:name w:val="Char Char"/>
    <w:basedOn w:val="870"/>
    <w:uiPriority w:val="0"/>
    <w:qFormat/>
    <w:rPr>
      <w:rFonts w:ascii="宋体" w:hAnsi="Courier New" w:eastAsia="楷体_GB2312"/>
      <w:sz w:val="26"/>
      <w:lang w:val="en-US" w:eastAsia="zh-CN" w:bidi="ar-SA"/>
    </w:rPr>
  </w:style>
  <w:style w:type="character" w:styleId="1024" w:customStyle="1">
    <w:name w:val="样式 正文缩进 + 首行缩进:  2 字符 Char Char"/>
    <w:basedOn w:val="870"/>
    <w:link w:val="1025"/>
    <w:uiPriority w:val="0"/>
    <w:qFormat/>
    <w:rPr>
      <w:sz w:val="24"/>
    </w:rPr>
  </w:style>
  <w:style w:type="paragraph" w:styleId="1025" w:customStyle="1">
    <w:name w:val="样式 正文缩进 + 首行缩进:  2 字符"/>
    <w:basedOn w:val="878"/>
    <w:link w:val="1024"/>
    <w:uiPriority w:val="0"/>
    <w:qFormat/>
    <w:pPr>
      <w:ind w:firstLine="480"/>
      <w:jc w:val="both"/>
      <w:spacing w:after="80" w:line="360" w:lineRule="auto"/>
    </w:pPr>
    <w:rPr>
      <w:rFonts w:eastAsia="宋体"/>
    </w:rPr>
  </w:style>
  <w:style w:type="character" w:styleId="1026" w:customStyle="1">
    <w:name w:val="style11"/>
    <w:basedOn w:val="870"/>
    <w:uiPriority w:val="0"/>
    <w:qFormat/>
    <w:rPr>
      <w:rFonts w:hint="default" w:ascii="Verdana" w:hAnsi="Verdana"/>
      <w:sz w:val="21"/>
    </w:rPr>
  </w:style>
  <w:style w:type="character" w:styleId="1027" w:customStyle="1">
    <w:name w:val="Char Char1"/>
    <w:basedOn w:val="870"/>
    <w:uiPriority w:val="0"/>
    <w:qFormat/>
    <w:rPr>
      <w:rFonts w:eastAsia="宋体"/>
      <w:sz w:val="24"/>
      <w:lang w:val="en-US" w:eastAsia="zh-CN" w:bidi="ar-SA"/>
    </w:rPr>
  </w:style>
  <w:style w:type="character" w:styleId="1028" w:customStyle="1">
    <w:name w:val="1.1（特殊） Char Char"/>
    <w:basedOn w:val="870"/>
    <w:link w:val="1029"/>
    <w:uiPriority w:val="0"/>
    <w:qFormat/>
    <w:rPr>
      <w:rFonts w:ascii="微软雅黑" w:hAnsi="微软雅黑" w:eastAsia="微软雅黑"/>
      <w:b/>
      <w:sz w:val="28"/>
      <w:szCs w:val="28"/>
    </w:rPr>
  </w:style>
  <w:style w:type="paragraph" w:styleId="1029" w:customStyle="1">
    <w:name w:val="1.1（特殊）"/>
    <w:basedOn w:val="863"/>
    <w:link w:val="1028"/>
    <w:uiPriority w:val="0"/>
    <w:qFormat/>
    <w:pPr>
      <w:jc w:val="left"/>
      <w:spacing w:before="120"/>
    </w:pPr>
    <w:rPr>
      <w:rFonts w:ascii="微软雅黑" w:hAnsi="微软雅黑" w:eastAsia="微软雅黑"/>
      <w:b/>
      <w:sz w:val="28"/>
      <w:szCs w:val="28"/>
    </w:rPr>
  </w:style>
  <w:style w:type="character" w:styleId="1030" w:customStyle="1">
    <w:name w:val="point_normal1"/>
    <w:basedOn w:val="870"/>
    <w:uiPriority w:val="0"/>
    <w:qFormat/>
    <w:rPr>
      <w:rFonts w:hint="default" w:ascii="Arial" w:hAnsi="Arial"/>
      <w:sz w:val="18"/>
    </w:rPr>
  </w:style>
  <w:style w:type="paragraph" w:styleId="1031" w:customStyle="1">
    <w:name w:val="段落正文 Char Char"/>
    <w:basedOn w:val="863"/>
    <w:uiPriority w:val="0"/>
    <w:qFormat/>
    <w:pPr>
      <w:ind w:firstLine="461"/>
      <w:spacing w:line="360" w:lineRule="auto"/>
    </w:pPr>
    <w:rPr>
      <w:rFonts w:ascii="宋体" w:hAnsi="宋体" w:eastAsia="宋体"/>
      <w:sz w:val="24"/>
      <w:szCs w:val="24"/>
    </w:rPr>
  </w:style>
  <w:style w:type="paragraph" w:styleId="1032" w:customStyle="1">
    <w:name w:val="00"/>
    <w:basedOn w:val="863"/>
    <w:uiPriority w:val="0"/>
    <w:qFormat/>
    <w:pPr>
      <w:jc w:val="left"/>
    </w:pPr>
    <w:rPr>
      <w:rFonts w:ascii="黑体" w:eastAsia="黑体"/>
      <w:b/>
      <w:bCs/>
      <w:sz w:val="20"/>
    </w:rPr>
  </w:style>
  <w:style w:type="paragraph" w:styleId="1033" w:customStyle="1">
    <w:name w:val="第三级"/>
    <w:basedOn w:val="866"/>
    <w:next w:val="863"/>
    <w:uiPriority w:val="0"/>
    <w:qFormat/>
    <w:pPr>
      <w:ind w:left="1259" w:right="210" w:hanging="720"/>
      <w:keepLines w:val="0"/>
      <w:keepNext w:val="0"/>
      <w:widowControl/>
      <w:tabs>
        <w:tab w:val="left" w:pos="900" w:leader="none"/>
      </w:tabs>
    </w:pPr>
    <w:rPr>
      <w:rFonts w:ascii="Arial" w:hAnsi="Arial" w:eastAsia="黑体" w:cs="Arial"/>
      <w:color w:val="000000"/>
      <w:sz w:val="28"/>
      <w:szCs w:val="24"/>
    </w:rPr>
  </w:style>
  <w:style w:type="paragraph" w:styleId="1034" w:customStyle="1">
    <w:name w:val="无缩进正文"/>
    <w:basedOn w:val="863"/>
    <w:uiPriority w:val="0"/>
    <w:qFormat/>
    <w:rPr>
      <w:rFonts w:eastAsia="宋体"/>
      <w:sz w:val="21"/>
    </w:rPr>
  </w:style>
  <w:style w:type="paragraph" w:styleId="1035" w:customStyle="1">
    <w:name w:val="+正文 Char"/>
    <w:basedOn w:val="863"/>
    <w:uiPriority w:val="0"/>
    <w:qFormat/>
    <w:pPr>
      <w:ind w:firstLine="200"/>
      <w:spacing w:line="360" w:lineRule="auto"/>
    </w:pPr>
    <w:rPr>
      <w:rFonts w:eastAsia="宋体"/>
      <w:sz w:val="24"/>
    </w:rPr>
  </w:style>
  <w:style w:type="paragraph" w:styleId="1036" w:customStyle="1">
    <w:name w:val="Char Char Char Char Char Char Char Char Char Char"/>
    <w:basedOn w:val="863"/>
    <w:uiPriority w:val="0"/>
    <w:qFormat/>
    <w:pPr>
      <w:ind w:left="420" w:hanging="420"/>
      <w:tabs>
        <w:tab w:val="left" w:pos="420" w:leader="none"/>
      </w:tabs>
    </w:pPr>
    <w:rPr>
      <w:rFonts w:eastAsia="宋体"/>
      <w:sz w:val="24"/>
      <w:szCs w:val="24"/>
    </w:rPr>
  </w:style>
  <w:style w:type="paragraph" w:styleId="1037" w:customStyle="1">
    <w:name w:val="Char Char Char1 Char"/>
    <w:basedOn w:val="863"/>
    <w:uiPriority w:val="0"/>
    <w:qFormat/>
    <w:pPr>
      <w:jc w:val="left"/>
      <w:spacing w:after="160" w:line="240" w:lineRule="exact"/>
      <w:widowControl/>
    </w:pPr>
    <w:rPr>
      <w:rFonts w:eastAsia="宋体"/>
      <w:sz w:val="21"/>
      <w:szCs w:val="24"/>
    </w:rPr>
  </w:style>
  <w:style w:type="paragraph" w:styleId="1038" w:customStyle="1">
    <w:name w:val="小四 段落 宋体 Char"/>
    <w:basedOn w:val="877"/>
    <w:uiPriority w:val="0"/>
    <w:qFormat/>
    <w:pPr>
      <w:ind w:left="0" w:right="-33" w:firstLine="480"/>
      <w:jc w:val="left"/>
      <w:spacing w:line="360" w:lineRule="auto"/>
    </w:pPr>
    <w:rPr>
      <w:sz w:val="24"/>
      <w:szCs w:val="24"/>
    </w:rPr>
  </w:style>
  <w:style w:type="paragraph" w:styleId="1039" w:customStyle="1">
    <w:name w:val="小点说明"/>
    <w:basedOn w:val="863"/>
    <w:uiPriority w:val="0"/>
    <w:qFormat/>
    <w:pPr>
      <w:ind w:left="360" w:hanging="360"/>
      <w:spacing w:after="80" w:line="360" w:lineRule="auto"/>
      <w:tabs>
        <w:tab w:val="left" w:pos="780" w:leader="none"/>
      </w:tabs>
    </w:pPr>
    <w:rPr>
      <w:rFonts w:eastAsia="宋体"/>
      <w:sz w:val="24"/>
      <w:szCs w:val="24"/>
    </w:rPr>
  </w:style>
  <w:style w:type="paragraph" w:styleId="1040" w:customStyle="1">
    <w:name w:val="msolistparagraph"/>
    <w:basedOn w:val="863"/>
    <w:uiPriority w:val="0"/>
    <w:qFormat/>
    <w:pPr>
      <w:jc w:val="left"/>
      <w:spacing w:before="100" w:beforeAutospacing="1" w:after="100" w:afterAutospacing="1"/>
      <w:widowControl/>
    </w:pPr>
    <w:rPr>
      <w:rFonts w:ascii="宋体" w:hAnsi="宋体" w:eastAsia="宋体" w:cs="宋体"/>
      <w:sz w:val="24"/>
      <w:szCs w:val="24"/>
    </w:rPr>
  </w:style>
  <w:style w:type="paragraph" w:styleId="1041" w:customStyle="1">
    <w:name w:val="xl44"/>
    <w:basedOn w:val="863"/>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42" w:customStyle="1">
    <w:name w:val="_Style 18"/>
    <w:basedOn w:val="863"/>
    <w:uiPriority w:val="0"/>
    <w:qFormat/>
    <w:rPr>
      <w:rFonts w:eastAsia="宋体"/>
      <w:sz w:val="24"/>
      <w:szCs w:val="24"/>
    </w:rPr>
  </w:style>
  <w:style w:type="paragraph" w:styleId="1043" w:customStyle="1">
    <w:name w:val="_Style 13"/>
    <w:basedOn w:val="863"/>
    <w:next w:val="863"/>
    <w:uiPriority w:val="0"/>
    <w:qFormat/>
    <w:rPr>
      <w:rFonts w:eastAsia="宋体"/>
      <w:sz w:val="24"/>
    </w:rPr>
  </w:style>
  <w:style w:type="paragraph" w:styleId="1044" w:customStyle="1">
    <w:name w:val="标书正文"/>
    <w:basedOn w:val="883"/>
    <w:uiPriority w:val="0"/>
    <w:qFormat/>
  </w:style>
  <w:style w:type="paragraph" w:styleId="1045" w:customStyle="1">
    <w:name w:val="p0"/>
    <w:basedOn w:val="863"/>
    <w:uiPriority w:val="0"/>
    <w:qFormat/>
    <w:pPr>
      <w:widowControl/>
    </w:pPr>
    <w:rPr>
      <w:rFonts w:eastAsia="宋体"/>
      <w:sz w:val="28"/>
      <w:szCs w:val="28"/>
    </w:rPr>
  </w:style>
  <w:style w:type="paragraph" w:styleId="104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47" w:customStyle="1">
    <w:name w:val="textcontents"/>
    <w:basedOn w:val="870"/>
    <w:uiPriority w:val="0"/>
    <w:qFormat/>
  </w:style>
  <w:style w:type="paragraph" w:styleId="1048" w:customStyle="1">
    <w:name w:val="纯文本4"/>
    <w:basedOn w:val="863"/>
    <w:uiPriority w:val="0"/>
    <w:qFormat/>
    <w:rPr>
      <w:rFonts w:ascii="宋体" w:hAnsi="Courier New"/>
    </w:rPr>
  </w:style>
  <w:style w:type="paragraph" w:styleId="1049" w:customStyle="1">
    <w:name w:val="纯文本5"/>
    <w:basedOn w:val="863"/>
    <w:uiPriority w:val="0"/>
    <w:qFormat/>
    <w:rPr>
      <w:rFonts w:ascii="宋体" w:hAnsi="Courier New"/>
    </w:rPr>
  </w:style>
  <w:style w:type="character" w:styleId="1050" w:customStyle="1">
    <w:name w:val="font01"/>
    <w:basedOn w:val="870"/>
    <w:uiPriority w:val="0"/>
    <w:qFormat/>
    <w:rPr>
      <w:rFonts w:hint="default" w:ascii="Times New Roman" w:hAnsi="Times New Roman" w:cs="Times New Roman"/>
      <w:color w:val="000000"/>
      <w:sz w:val="26"/>
      <w:szCs w:val="26"/>
      <w:u w:val="none"/>
    </w:rPr>
  </w:style>
  <w:style w:type="character" w:styleId="1051" w:customStyle="1">
    <w:name w:val="font11"/>
    <w:basedOn w:val="870"/>
    <w:uiPriority w:val="0"/>
    <w:qFormat/>
    <w:rPr>
      <w:rFonts w:hint="default" w:ascii="楷体_GB2312" w:eastAsia="楷体_GB2312" w:cs="楷体_GB2312"/>
      <w:color w:val="000000"/>
      <w:sz w:val="26"/>
      <w:szCs w:val="26"/>
      <w:u w:val="none"/>
    </w:rPr>
  </w:style>
  <w:style w:type="character" w:styleId="1052" w:customStyle="1">
    <w:name w:val="日期 Char1"/>
    <w:basedOn w:val="870"/>
    <w:uiPriority w:val="0"/>
    <w:qFormat/>
    <w:rPr>
      <w:rFonts w:ascii="宋体" w:hAnsi="宋体" w:eastAsia="楷体_GB2312"/>
      <w:sz w:val="24"/>
    </w:rPr>
  </w:style>
  <w:style w:type="paragraph" w:styleId="1053" w:customStyle="1">
    <w:name w:val="Plain Text1"/>
    <w:basedOn w:val="863"/>
    <w:uiPriority w:val="0"/>
    <w:qFormat/>
    <w:rPr>
      <w:rFonts w:ascii="宋体" w:hAnsi="Courier New"/>
    </w:rPr>
  </w:style>
  <w:style w:type="character" w:styleId="1054" w:customStyle="1">
    <w:name w:val="Andy_正文 Char"/>
    <w:link w:val="1055"/>
    <w:uiPriority w:val="0"/>
    <w:qFormat/>
    <w:rPr>
      <w:rFonts w:ascii="Calibri" w:hAnsi="Calibri"/>
      <w:sz w:val="24"/>
      <w:szCs w:val="24"/>
    </w:rPr>
  </w:style>
  <w:style w:type="paragraph" w:styleId="1055" w:customStyle="1">
    <w:name w:val="Andy_正文"/>
    <w:basedOn w:val="863"/>
    <w:link w:val="1054"/>
    <w:uiPriority w:val="0"/>
    <w:qFormat/>
    <w:pPr>
      <w:ind w:firstLine="480"/>
      <w:spacing w:line="360" w:lineRule="auto"/>
    </w:pPr>
    <w:rPr>
      <w:rFonts w:ascii="Calibri" w:hAnsi="Calibri" w:eastAsia="宋体"/>
      <w:sz w:val="24"/>
      <w:szCs w:val="24"/>
    </w:rPr>
  </w:style>
  <w:style w:type="character" w:styleId="1056" w:customStyle="1">
    <w:name w:val="正文缩进 字符1"/>
    <w:uiPriority w:val="0"/>
    <w:qFormat/>
    <w:rPr>
      <w:rFonts w:eastAsia="楷体_GB2312"/>
      <w:sz w:val="24"/>
      <w:lang w:val="en-US" w:eastAsia="zh-CN" w:bidi="ar-SA"/>
    </w:rPr>
  </w:style>
  <w:style w:type="paragraph" w:styleId="1057" w:customStyle="1">
    <w:name w:val="纯文本11"/>
    <w:basedOn w:val="863"/>
    <w:uiPriority w:val="0"/>
    <w:qFormat/>
    <w:rPr>
      <w:rFonts w:ascii="宋体" w:hAnsi="Courier New"/>
    </w:rPr>
  </w:style>
  <w:style w:type="paragraph" w:styleId="1058" w:customStyle="1">
    <w:name w:val="正文缩进1"/>
    <w:basedOn w:val="863"/>
    <w:uiPriority w:val="0"/>
    <w:qFormat/>
    <w:pPr>
      <w:ind w:firstLine="420"/>
    </w:pPr>
    <w:rPr>
      <w:rFonts w:eastAsia="宋体"/>
      <w:sz w:val="21"/>
    </w:rPr>
  </w:style>
  <w:style w:type="character" w:styleId="1059" w:customStyle="1">
    <w:name w:val="Plain Text Char"/>
    <w:uiPriority w:val="0"/>
    <w:qFormat/>
    <w:rPr>
      <w:rFonts w:ascii="宋体" w:hAnsi="Courier New" w:eastAsia="楷体_GB2312"/>
      <w:sz w:val="26"/>
    </w:rPr>
  </w:style>
  <w:style w:type="paragraph" w:styleId="1060" w:customStyle="1">
    <w:name w:val="纯文本6"/>
    <w:basedOn w:val="863"/>
    <w:uiPriority w:val="0"/>
    <w:qFormat/>
    <w:rPr>
      <w:rFonts w:ascii="宋体" w:hAnsi="Courier New"/>
    </w:rPr>
  </w:style>
  <w:style w:type="paragraph" w:styleId="1061" w:customStyle="1">
    <w:name w:val="修订2"/>
    <w:hidden/>
    <w:uiPriority w:val="99"/>
    <w:semiHidden/>
    <w:qFormat/>
    <w:rPr>
      <w:rFonts w:ascii="Times New Roman" w:hAnsi="Times New Roman" w:eastAsia="楷体_GB2312" w:cs="Times New Roman"/>
      <w:sz w:val="26"/>
      <w:lang w:val="en-US" w:eastAsia="zh-CN" w:bidi="ar-SA"/>
    </w:rPr>
  </w:style>
  <w:style w:type="paragraph" w:styleId="1062" w:customStyle="1">
    <w:name w:val="修订3"/>
    <w:hidden/>
    <w:uiPriority w:val="99"/>
    <w:semiHidden/>
    <w:qFormat/>
    <w:rPr>
      <w:rFonts w:ascii="Times New Roman" w:hAnsi="Times New Roman" w:eastAsia="楷体_GB2312" w:cs="Times New Roman"/>
      <w:sz w:val="26"/>
      <w:lang w:val="en-US" w:eastAsia="zh-CN" w:bidi="ar-SA"/>
    </w:rPr>
  </w:style>
  <w:style w:type="paragraph" w:styleId="1063" w:customStyle="1">
    <w:name w:val="修订4"/>
    <w:hidden/>
    <w:uiPriority w:val="99"/>
    <w:semiHidden/>
    <w:qFormat/>
    <w:rPr>
      <w:rFonts w:ascii="Times New Roman" w:hAnsi="Times New Roman" w:eastAsia="楷体_GB2312" w:cs="Times New Roman"/>
      <w:sz w:val="26"/>
      <w:lang w:val="en-US" w:eastAsia="zh-CN" w:bidi="ar-SA"/>
    </w:rPr>
  </w:style>
  <w:style w:type="character" w:styleId="1064" w:customStyle="1">
    <w:name w:val="正文首行缩进 2 Char"/>
    <w:basedOn w:val="936"/>
    <w:link w:val="915"/>
    <w:uiPriority w:val="0"/>
    <w:semiHidden/>
    <w:qFormat/>
    <w:rPr>
      <w:rFonts w:ascii="Times New Roman" w:hAnsi="Times New Roman" w:eastAsia="楷体_GB2312" w:cs="Times New Roman"/>
      <w:sz w:val="26"/>
    </w:rPr>
  </w:style>
  <w:style w:type="character" w:styleId="1065" w:customStyle="1">
    <w:name w:val="未处理的提及1"/>
    <w:basedOn w:val="870"/>
    <w:uiPriority w:val="99"/>
    <w:semiHidden/>
    <w:unhideWhenUsed/>
    <w:qFormat/>
    <w:rPr>
      <w:color w:val="605e5c"/>
      <w:shd w:val="clear" w:color="auto" w:fill="e1dfdd"/>
    </w:rPr>
  </w:style>
  <w:style w:type="paragraph" w:styleId="1066" w:customStyle="1">
    <w:name w:val="修订5"/>
    <w:hidden/>
    <w:uiPriority w:val="99"/>
    <w:unhideWhenUsed/>
    <w:qFormat/>
    <w:rPr>
      <w:rFonts w:ascii="Times New Roman" w:hAnsi="Times New Roman" w:eastAsia="楷体_GB2312" w:cs="Times New Roman"/>
      <w:sz w:val="26"/>
      <w:lang w:val="en-US" w:eastAsia="zh-CN" w:bidi="ar-SA"/>
    </w:rPr>
  </w:style>
  <w:style w:type="character" w:styleId="1067" w:customStyle="1">
    <w:name w:val="未处理的提及2"/>
    <w:basedOn w:val="870"/>
    <w:uiPriority w:val="99"/>
    <w:semiHidden/>
    <w:unhideWhenUsed/>
    <w:qFormat/>
    <w:rPr>
      <w:color w:val="605e5c"/>
      <w:shd w:val="clear" w:color="auto" w:fill="e1dfdd"/>
    </w:rPr>
  </w:style>
  <w:style w:type="character" w:styleId="1068" w:customStyle="1">
    <w:name w:val="NormalCharacter"/>
    <w:uiPriority w:val="0"/>
    <w:semiHidden/>
    <w:qFormat/>
    <w:rPr>
      <w:rFonts w:ascii="Times New Roman" w:hAnsi="Times New Roman" w:eastAsia="宋体" w:cs="Times New Roman"/>
    </w:rPr>
  </w:style>
  <w:style w:type="paragraph" w:styleId="1069" w:customStyle="1">
    <w:name w:val="段"/>
    <w:next w:val="863"/>
    <w:uiPriority w:val="0"/>
    <w:qFormat/>
    <w:pPr>
      <w:ind w:firstLine="200"/>
      <w:jc w:val="both"/>
    </w:pPr>
    <w:rPr>
      <w:rFonts w:ascii="宋体" w:hAnsi="Times New Roman" w:eastAsia="宋体" w:cs="Times New Roman"/>
      <w:sz w:val="21"/>
      <w:lang w:val="en-US" w:eastAsia="zh-CN" w:bidi="ar-SA"/>
    </w:rPr>
  </w:style>
  <w:style w:type="paragraph" w:styleId="1070" w:customStyle="1">
    <w:name w:val="正文文本缩进11"/>
    <w:basedOn w:val="863"/>
    <w:next w:val="863"/>
    <w:uiPriority w:val="0"/>
    <w:qFormat/>
    <w:pPr>
      <w:ind w:left="420" w:firstLine="1188"/>
      <w:spacing w:line="360" w:lineRule="exact"/>
    </w:pPr>
  </w:style>
  <w:style w:type="table" w:styleId="1071" w:customStyle="1">
    <w:name w:val="网格型1"/>
    <w:basedOn w:val="8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72" w:customStyle="1">
    <w:name w:val="Table Text"/>
    <w:basedOn w:val="863"/>
    <w:uiPriority w:val="0"/>
    <w:semiHidden/>
    <w:qFormat/>
    <w:pPr>
      <w:jc w:val="left"/>
      <w:widowControl/>
    </w:pPr>
    <w:rPr>
      <w:rFonts w:ascii="宋体" w:hAnsi="宋体" w:cs="宋体"/>
      <w:color w:val="000000"/>
      <w:sz w:val="24"/>
      <w:szCs w:val="24"/>
      <w:lang w:eastAsia="en-US"/>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868CB8-6367-4AA4-A3A1-381138FE095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6</cp:revision>
  <dcterms:created xsi:type="dcterms:W3CDTF">2026-09-14T02:11:00Z</dcterms:created>
  <dcterms:modified xsi:type="dcterms:W3CDTF">2026-10-19T07:04:34Z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270E6E01F1F445479B20AAF0A2DB0DC1_13</vt:lpwstr>
  </property>
  <property fmtid="{D5CDD505-2E9C-101B-9397-08002B2CF9AE}" pid="4" name="KSOTemplateDocerSaveRecord">
    <vt:lpwstr>eyJoZGlkIjoiNTc4OTdiYWYwZmQ4ODk5ZDBiZTkxNmE1MjdiMmMwNTMiLCJ1c2VySWQiOiI1NjI3MjA1NTkifQ==</vt:lpwstr>
  </property>
</Properties>
</file>