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9"/>
        <w:ind w:firstLine="0"/>
        <w:jc w:val="center"/>
        <w:rPr>
          <w:rFonts w:hint="eastAsia" w:ascii="宋体" w:hAnsi="宋体"/>
          <w:b/>
          <w:bCs/>
          <w:sz w:val="72"/>
          <w:szCs w:val="72"/>
        </w:rPr>
      </w:pPr>
      <w:r>
        <w:rPr>
          <w:rFonts w:hint="eastAsia" w:ascii="宋体" w:hAnsi="宋体"/>
          <w:b/>
          <w:bCs/>
          <w:sz w:val="72"/>
          <w:szCs w:val="72"/>
        </w:rPr>
      </w:r>
      <w:r/>
    </w:p>
    <w:p>
      <w:pPr>
        <w:pStyle w:val="939"/>
        <w:ind w:firstLine="0"/>
        <w:jc w:val="center"/>
        <w:rPr>
          <w:rStyle w:val="938"/>
          <w:rFonts w:hint="eastAsia"/>
          <w:color w:val="000000"/>
        </w:rPr>
      </w:pPr>
      <w:r>
        <w:rPr>
          <w:rFonts w:hint="eastAsia" w:ascii="宋体" w:hAnsi="宋体"/>
          <w:b/>
          <w:bCs/>
          <w:sz w:val="72"/>
          <w:szCs w:val="72"/>
        </w:rPr>
        <w:t xml:space="preserve">招　标　文　件</w:t>
      </w:r>
      <w:r/>
    </w:p>
    <w:p>
      <w:pPr>
        <w:jc w:val="center"/>
        <w:spacing w:before="120" w:after="120" w:line="360" w:lineRule="auto"/>
        <w:rPr>
          <w:rFonts w:hint="eastAsia" w:ascii="宋体" w:hAnsi="宋体"/>
          <w:b/>
          <w:bCs/>
          <w:sz w:val="84"/>
          <w:szCs w:val="84"/>
        </w:rPr>
      </w:pPr>
      <w:r>
        <w:rPr>
          <w:rFonts w:hint="eastAsia" w:ascii="宋体" w:hAnsi="宋体"/>
          <w:b/>
          <w:bCs/>
          <w:sz w:val="84"/>
          <w:szCs w:val="84"/>
        </w:rPr>
        <w:t xml:space="preserve"> </w:t>
      </w:r>
      <w:r/>
    </w:p>
    <w:p>
      <w:pPr>
        <w:pStyle w:val="939"/>
        <w:ind w:firstLine="0"/>
        <w:jc w:val="center"/>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939"/>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 xml:space="preserve">项目名称：</w:t>
      </w:r>
      <w:r>
        <w:rPr>
          <w:rFonts w:hint="eastAsia" w:ascii="宋体" w:hAnsi="宋体"/>
          <w:b/>
          <w:bCs/>
          <w:color w:val="auto"/>
          <w:sz w:val="32"/>
          <w:szCs w:val="32"/>
          <w:highlight w:val="none"/>
          <w:lang w:val="en-US" w:eastAsia="zh-CN"/>
        </w:rPr>
        <w:t xml:space="preserve">底座算力服务器建设（一期）</w:t>
      </w:r>
      <w:r/>
    </w:p>
    <w:p>
      <w:pPr>
        <w:pStyle w:val="939"/>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 JSZC-320582-JZCG-G2026-0033</w:t>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 xml:space="preserve">项目属性：货物</w:t>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39"/>
        <w:ind w:firstLine="0"/>
        <w:spacing w:before="0" w:after="0"/>
        <w:rPr>
          <w:rFonts w:hint="eastAsia" w:ascii="宋体" w:hAnsi="宋体"/>
          <w:color w:val="auto"/>
          <w:sz w:val="32"/>
          <w:szCs w:val="32"/>
          <w:highlight w:val="none"/>
        </w:rPr>
      </w:pPr>
      <w:r>
        <w:rPr>
          <w:rFonts w:hint="eastAsia" w:ascii="宋体" w:hAnsi="宋体"/>
          <w:color w:val="auto"/>
          <w:sz w:val="32"/>
          <w:szCs w:val="32"/>
          <w:highlight w:val="none"/>
        </w:rPr>
      </w:r>
      <w:r/>
    </w:p>
    <w:p>
      <w:pPr>
        <w:pStyle w:val="940"/>
        <w:jc w:val="center"/>
        <w:spacing w:line="360" w:lineRule="auto"/>
        <w:rPr>
          <w:rFonts w:hint="eastAsia" w:ascii="宋体" w:hAnsi="宋体"/>
          <w:b/>
          <w:bCs/>
          <w:color w:val="auto"/>
          <w:sz w:val="32"/>
          <w:szCs w:val="32"/>
          <w:highlight w:val="none"/>
        </w:rPr>
      </w:pPr>
      <w:r/>
      <w:bookmarkStart w:id="0" w:name="EB8ecef8d8d20b42199abb5fc67b67d8bb"/>
      <w:r>
        <w:rPr>
          <w:rFonts w:hint="eastAsia" w:ascii="宋体" w:hAnsi="宋体"/>
          <w:b/>
          <w:bCs/>
          <w:color w:val="auto"/>
          <w:sz w:val="32"/>
          <w:szCs w:val="32"/>
          <w:highlight w:val="none"/>
        </w:rPr>
        <w:t xml:space="preserve">苏州市公共资源交易中心张家港分中心</w:t>
      </w:r>
      <w:bookmarkEnd w:id="0"/>
      <w:r/>
      <w:r/>
    </w:p>
    <w:p>
      <w:pPr>
        <w:pStyle w:val="939"/>
        <w:ind w:firstLine="0"/>
        <w:jc w:val="center"/>
        <w:rPr>
          <w:rFonts w:hint="eastAsia" w:ascii="宋体" w:hAnsi="宋体"/>
          <w:b/>
          <w:bCs/>
          <w:color w:val="auto"/>
          <w:sz w:val="32"/>
          <w:highlight w:val="none"/>
        </w:rPr>
      </w:pPr>
      <w:r/>
      <w:bookmarkStart w:id="1" w:name="EB52307051e0d04806912e5842f73c8551"/>
      <w:r>
        <w:rPr>
          <w:rFonts w:hint="eastAsia" w:ascii="宋体" w:hAnsi="宋体"/>
          <w:b/>
          <w:bCs/>
          <w:color w:val="auto"/>
          <w:sz w:val="32"/>
          <w:highlight w:val="none"/>
        </w:rPr>
        <w:t xml:space="preserve">202</w:t>
      </w:r>
      <w:r>
        <w:rPr>
          <w:rFonts w:hint="eastAsia" w:ascii="宋体" w:hAnsi="宋体"/>
          <w:b/>
          <w:bCs/>
          <w:color w:val="auto"/>
          <w:sz w:val="32"/>
          <w:highlight w:val="none"/>
          <w:lang w:val="en-US" w:eastAsia="zh-CN"/>
        </w:rPr>
        <w:t xml:space="preserve">6</w:t>
      </w:r>
      <w:r>
        <w:rPr>
          <w:rFonts w:hint="eastAsia" w:ascii="宋体" w:hAnsi="宋体"/>
          <w:b/>
          <w:bCs/>
          <w:color w:val="auto"/>
          <w:sz w:val="32"/>
          <w:highlight w:val="none"/>
        </w:rPr>
        <w:t xml:space="preserve">年</w:t>
      </w:r>
      <w:r>
        <w:rPr>
          <w:rFonts w:hint="eastAsia" w:ascii="宋体" w:hAnsi="宋体"/>
          <w:b/>
          <w:bCs/>
          <w:color w:val="auto"/>
          <w:sz w:val="32"/>
          <w:highlight w:val="none"/>
          <w:lang w:val="en-US" w:eastAsia="zh-CN"/>
        </w:rPr>
        <w:t xml:space="preserve">9</w:t>
      </w:r>
      <w:r>
        <w:rPr>
          <w:rFonts w:hint="eastAsia" w:ascii="宋体" w:hAnsi="宋体"/>
          <w:b/>
          <w:bCs/>
          <w:color w:val="auto"/>
          <w:sz w:val="32"/>
          <w:highlight w:val="none"/>
        </w:rPr>
        <w:t xml:space="preserve">月</w:t>
      </w:r>
      <w:bookmarkEnd w:id="1"/>
      <w:r/>
      <w:r/>
    </w:p>
    <w:p>
      <w:pPr>
        <w:jc w:val="both"/>
        <w:spacing w:before="120" w:after="120" w:line="36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60" w:lineRule="auto"/>
        <w:rPr>
          <w:rFonts w:hint="eastAsia" w:ascii="宋体" w:hAnsi="宋体"/>
          <w:b/>
          <w:bCs/>
          <w:color w:val="auto"/>
          <w:sz w:val="44"/>
          <w:szCs w:val="44"/>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hint="eastAsia" w:ascii="宋体" w:hAnsi="宋体"/>
          <w:b/>
          <w:bCs/>
          <w:color w:val="auto"/>
          <w:sz w:val="44"/>
          <w:szCs w:val="44"/>
          <w:highlight w:val="none"/>
        </w:rPr>
      </w:r>
      <w:r/>
    </w:p>
    <w:p>
      <w:pPr>
        <w:jc w:val="center"/>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总  目  录</w:t>
      </w:r>
      <w:r/>
    </w:p>
    <w:p>
      <w:pPr>
        <w:jc w:val="center"/>
        <w:rPr>
          <w:color w:val="auto"/>
          <w:highlight w:val="none"/>
        </w:rPr>
      </w:pPr>
      <w:r>
        <w:rPr>
          <w:color w:val="auto"/>
          <w:highlight w:val="none"/>
        </w:rPr>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pStyle w:val="759"/>
        <w:keepLines w:val="0"/>
        <w:keepNext w:val="0"/>
        <w:pageBreakBefore w:val="0"/>
        <w:spacing w:line="360" w:lineRule="auto"/>
        <w:widowControl w:val="off"/>
        <w:tabs>
          <w:tab w:val="right" w:pos="10092" w:leader="dot"/>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 xml:space="preserve">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99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r/>
    </w:p>
    <w:p>
      <w:pP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r/>
    </w:p>
    <w:p>
      <w:pPr>
        <w:pStyle w:val="941"/>
        <w:tabs>
          <w:tab w:val="right" w:pos="10092" w:leader="dot"/>
        </w:tabs>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tabs>
          <w:tab w:val="center" w:pos="5046" w:leader="none"/>
        </w:tabs>
        <w:rPr>
          <w:rFonts w:hint="eastAsia"/>
          <w:color w:val="auto"/>
          <w:highlight w:val="none"/>
        </w:rPr>
        <w:sectPr>
          <w:footerReference w:type="default" r:id="rId12"/>
          <w:footerReference w:type="first" r:id="rId13"/>
          <w:footnotePr/>
          <w:endnotePr/>
          <w:type w:val="nextPage"/>
          <w:pgSz w:w="11906" w:h="16838" w:orient="portrait"/>
          <w:pgMar w:top="1440" w:right="737" w:bottom="1440" w:left="1077" w:header="851" w:footer="992" w:gutter="0"/>
          <w:cols w:num="1" w:sep="0" w:space="720" w:equalWidth="1"/>
          <w:docGrid w:linePitch="360"/>
          <w:titlePg/>
        </w:sectPr>
      </w:pPr>
      <w:r>
        <w:rPr>
          <w:rFonts w:hint="eastAsia"/>
          <w:color w:val="auto"/>
          <w:highlight w:val="none"/>
        </w:rPr>
        <w:tab/>
      </w:r>
      <w:r/>
    </w:p>
    <w:p>
      <w:pPr>
        <w:pStyle w:val="942"/>
        <w:spacing w:line="440" w:lineRule="exact"/>
        <w:rPr>
          <w:rStyle w:val="936"/>
          <w:rFonts w:hint="eastAsia" w:ascii="宋体" w:hAnsi="宋体"/>
          <w:color w:val="auto"/>
          <w:spacing w:val="7"/>
          <w:highlight w:val="none"/>
        </w:rPr>
      </w:pPr>
      <w:r>
        <w:rPr>
          <w:rFonts w:hint="eastAsia" w:ascii="宋体" w:hAnsi="宋体"/>
          <w:color w:val="auto"/>
          <w:spacing w:val="7"/>
          <w:highlight w:val="none"/>
        </w:rPr>
      </w:r>
      <w:r/>
    </w:p>
    <w:p>
      <w:pPr>
        <w:pStyle w:val="923"/>
        <w:ind w:firstLine="961"/>
        <w:jc w:val="center"/>
        <w:keepLines w:val="0"/>
        <w:keepNext w:val="0"/>
        <w:spacing w:before="0" w:after="0" w:line="580" w:lineRule="exact"/>
        <w:widowControl/>
        <w:tabs>
          <w:tab w:val="left" w:pos="0" w:leader="none"/>
        </w:tabs>
        <w:rPr>
          <w:rStyle w:val="934"/>
          <w:rFonts w:hint="eastAsia" w:ascii="华文中宋" w:hAnsi="华文中宋" w:eastAsia="华文中宋"/>
          <w:color w:val="auto"/>
          <w:sz w:val="48"/>
          <w:szCs w:val="48"/>
          <w:highlight w:val="none"/>
        </w:rPr>
      </w:pPr>
      <w:r/>
      <w:bookmarkStart w:id="2" w:name="_Toc21529"/>
      <w:r/>
      <w:bookmarkStart w:id="3" w:name="_Toc2781"/>
      <w:r>
        <w:rPr>
          <w:rStyle w:val="934"/>
          <w:rFonts w:hint="eastAsia" w:ascii="华文中宋" w:hAnsi="华文中宋" w:eastAsia="华文中宋"/>
          <w:color w:val="auto"/>
          <w:sz w:val="48"/>
          <w:szCs w:val="48"/>
          <w:highlight w:val="none"/>
        </w:rPr>
        <w:t xml:space="preserve">第一章  投标邀请</w:t>
      </w:r>
      <w:bookmarkEnd w:id="2"/>
      <w:r/>
      <w:bookmarkEnd w:id="3"/>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lang w:eastAsia="zh-CN"/>
        </w:rPr>
        <w:t xml:space="preserve">张家港市公安局底座算力服务器建设（一期）</w:t>
      </w:r>
      <w:r>
        <w:rPr>
          <w:rFonts w:hint="eastAsia" w:ascii="宋体" w:hAnsi="宋体"/>
          <w:color w:val="auto"/>
          <w:szCs w:val="24"/>
          <w:highlight w:val="none"/>
          <w:lang w:val="en-US" w:eastAsia="zh-CN"/>
        </w:rPr>
        <w:t xml:space="preserve">JSZC-320582-JZCG-G2026-0033</w:t>
      </w:r>
      <w:r>
        <w:rPr>
          <w:rFonts w:hint="eastAsia" w:ascii="宋体" w:hAnsi="宋体"/>
          <w:color w:val="auto"/>
          <w:szCs w:val="24"/>
          <w:highlight w:val="none"/>
        </w:rPr>
        <w:t xml:space="preserve">招标项目的潜在投标人应在苏采云政府采购一体化平台（网址：http://jszfcg.jsczt.cn/） 获取招标文件，并于202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10</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9</w:t>
      </w:r>
      <w:r>
        <w:rPr>
          <w:rFonts w:hint="eastAsia" w:ascii="宋体" w:hAnsi="宋体"/>
          <w:color w:val="auto"/>
          <w:szCs w:val="24"/>
          <w:highlight w:val="none"/>
        </w:rPr>
        <w:t xml:space="preserve"> 09:30（北京时间）前递交投标文件。</w:t>
      </w:r>
      <w:r/>
    </w:p>
    <w:p>
      <w:pPr>
        <w:pStyle w:val="931"/>
        <w:ind w:firstLine="482"/>
        <w:spacing w:beforeAutospacing="0" w:afterAutospacing="0" w:line="440" w:lineRule="exact"/>
        <w:widowControl/>
        <w:rPr>
          <w:rFonts w:hint="eastAsia" w:ascii="宋体" w:hAnsi="宋体"/>
          <w:b/>
          <w:bCs/>
          <w:color w:val="auto"/>
          <w:szCs w:val="24"/>
          <w:highlight w:val="none"/>
        </w:rPr>
        <w:outlineLvl w:val="1"/>
      </w:pPr>
      <w:r/>
      <w:bookmarkStart w:id="4" w:name="_Toc28831"/>
      <w:r>
        <w:rPr>
          <w:rFonts w:hint="eastAsia" w:ascii="宋体" w:hAnsi="宋体"/>
          <w:b/>
          <w:bCs/>
          <w:color w:val="auto"/>
          <w:szCs w:val="24"/>
          <w:highlight w:val="none"/>
        </w:rPr>
        <w:t xml:space="preserve">一、项目基本情况</w:t>
      </w:r>
      <w:bookmarkEnd w:id="4"/>
      <w:r/>
      <w:r/>
    </w:p>
    <w:p>
      <w:pPr>
        <w:pStyle w:val="931"/>
        <w:ind w:firstLine="480"/>
        <w:spacing w:beforeAutospacing="0" w:afterAutospacing="0" w:line="440" w:lineRule="exact"/>
        <w:widowControl/>
        <w:rPr>
          <w:rFonts w:hint="default" w:ascii="宋体" w:hAnsi="宋体"/>
          <w:color w:val="auto"/>
          <w:szCs w:val="24"/>
          <w:highlight w:val="none"/>
          <w:lang w:val="en-US"/>
        </w:rPr>
      </w:pPr>
      <w:r>
        <w:rPr>
          <w:rFonts w:hint="eastAsia" w:ascii="宋体" w:hAnsi="宋体"/>
          <w:color w:val="auto"/>
          <w:szCs w:val="24"/>
          <w:highlight w:val="none"/>
        </w:rPr>
        <w:t xml:space="preserve">项目编号：</w:t>
      </w:r>
      <w:r>
        <w:rPr>
          <w:rStyle w:val="936"/>
          <w:rFonts w:hint="eastAsia" w:ascii="宋体" w:hAnsi="宋体"/>
          <w:color w:val="auto"/>
          <w:spacing w:val="7"/>
          <w:sz w:val="24"/>
          <w:szCs w:val="24"/>
          <w:highlight w:val="none"/>
          <w:lang w:val="en-US"/>
        </w:rPr>
        <w:t xml:space="preserve">JSZC-320582-JZCG-G2026-0033</w:t>
      </w:r>
      <w:r/>
    </w:p>
    <w:p>
      <w:pPr>
        <w:pStyle w:val="93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项目名称：</w:t>
      </w:r>
      <w:r>
        <w:rPr>
          <w:rFonts w:hint="eastAsia" w:ascii="宋体" w:hAnsi="宋体"/>
          <w:color w:val="auto"/>
          <w:szCs w:val="24"/>
          <w:highlight w:val="none"/>
          <w:lang w:eastAsia="zh-CN"/>
        </w:rPr>
        <w:t xml:space="preserve">底座算力服务器建设（一期）</w:t>
      </w:r>
      <w:r/>
    </w:p>
    <w:p>
      <w:pPr>
        <w:pStyle w:val="931"/>
        <w:ind w:firstLine="480"/>
        <w:spacing w:beforeAutospacing="0" w:afterAutospacing="0" w:line="440" w:lineRule="exact"/>
        <w:widowControl/>
        <w:rPr>
          <w:rFonts w:hint="eastAsia" w:ascii="宋体" w:hAnsi="宋体" w:eastAsia="宋体"/>
          <w:color w:val="auto"/>
          <w:szCs w:val="24"/>
          <w:highlight w:val="none"/>
          <w:lang w:eastAsia="zh-CN"/>
        </w:rPr>
      </w:pPr>
      <w:r/>
      <w:bookmarkStart w:id="5" w:name="OLE_LINK3"/>
      <w:r>
        <w:rPr>
          <w:rFonts w:hint="eastAsia" w:ascii="宋体" w:hAnsi="宋体"/>
          <w:color w:val="auto"/>
          <w:szCs w:val="24"/>
          <w:highlight w:val="none"/>
        </w:rPr>
        <w:t xml:space="preserve">预算金额：</w:t>
      </w:r>
      <w:r>
        <w:rPr>
          <w:rFonts w:hint="eastAsia" w:ascii="宋体" w:hAnsi="宋体"/>
          <w:color w:val="auto"/>
          <w:szCs w:val="24"/>
          <w:highlight w:val="none"/>
          <w:lang w:val="en-US" w:eastAsia="zh-CN"/>
        </w:rPr>
        <w:t xml:space="preserve">1920</w:t>
      </w:r>
      <w:r>
        <w:rPr>
          <w:rFonts w:hint="eastAsia" w:ascii="宋体" w:hAnsi="宋体"/>
          <w:color w:val="auto"/>
          <w:szCs w:val="24"/>
          <w:highlight w:val="none"/>
        </w:rPr>
        <w:t xml:space="preserve">万元</w:t>
      </w:r>
      <w:r/>
    </w:p>
    <w:p>
      <w:pPr>
        <w:pStyle w:val="931"/>
        <w:ind w:firstLine="480"/>
        <w:spacing w:beforeAutospacing="0" w:afterAutospacing="0" w:line="440" w:lineRule="exact"/>
        <w:widowControl/>
        <w:rPr>
          <w:rFonts w:hint="eastAsia" w:ascii="宋体" w:hAnsi="宋体" w:eastAsia="宋体"/>
          <w:color w:val="auto"/>
          <w:szCs w:val="24"/>
          <w:highlight w:val="none"/>
          <w:lang w:val="en-US" w:eastAsia="zh-CN"/>
        </w:rPr>
      </w:pPr>
      <w:r>
        <w:rPr>
          <w:rFonts w:hint="eastAsia" w:ascii="宋体" w:hAnsi="宋体"/>
          <w:color w:val="auto"/>
          <w:szCs w:val="24"/>
          <w:highlight w:val="none"/>
        </w:rPr>
        <w:t xml:space="preserve">最高限价（如有）：</w:t>
      </w:r>
      <w:bookmarkStart w:id="6" w:name="OLE_LINK19"/>
      <w:r>
        <w:rPr>
          <w:rFonts w:hint="eastAsia" w:ascii="宋体" w:hAnsi="宋体"/>
          <w:color w:val="auto"/>
          <w:szCs w:val="24"/>
          <w:highlight w:val="none"/>
          <w:lang w:val="en-US" w:eastAsia="zh-CN"/>
        </w:rPr>
        <w:t xml:space="preserve">1920万</w:t>
      </w:r>
      <w:bookmarkEnd w:id="6"/>
      <w:r>
        <w:rPr>
          <w:rFonts w:hint="eastAsia" w:ascii="宋体" w:hAnsi="宋体"/>
          <w:color w:val="auto"/>
          <w:szCs w:val="24"/>
          <w:highlight w:val="none"/>
          <w:lang w:val="en-US" w:eastAsia="zh-CN"/>
        </w:rPr>
        <w:t xml:space="preserve">元</w:t>
      </w:r>
      <w:bookmarkEnd w:id="5"/>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采购方式：公开招标 </w:t>
      </w:r>
      <w:r/>
    </w:p>
    <w:p>
      <w:pPr>
        <w:ind w:firstLine="480"/>
        <w:spacing w:line="44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采购需求：</w:t>
      </w:r>
      <w:bookmarkStart w:id="7" w:name="OLE_LINK24"/>
      <w:r/>
      <w:bookmarkStart w:id="8" w:name="OLE_LINK18"/>
      <w:r>
        <w:rPr>
          <w:rFonts w:hint="eastAsia" w:ascii="宋体" w:hAnsi="宋体"/>
          <w:color w:val="auto"/>
          <w:sz w:val="24"/>
          <w:szCs w:val="24"/>
          <w:highlight w:val="none"/>
          <w:lang w:val="en-US" w:eastAsia="zh-CN"/>
        </w:rPr>
        <w:t xml:space="preserve">为保证大模型底座建设，拟采购AI算力服务器9台及配套交换机等设备。</w:t>
      </w:r>
      <w:bookmarkEnd w:id="7"/>
      <w:r/>
      <w:bookmarkEnd w:id="8"/>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合同履行期限：</w:t>
      </w:r>
      <w:bookmarkStart w:id="9" w:name="OLE_LINK25"/>
      <w:r/>
      <w:bookmarkStart w:id="10" w:name="OLE_LINK20"/>
      <w:r>
        <w:rPr>
          <w:rFonts w:hint="eastAsia" w:ascii="宋体" w:hAnsi="宋体"/>
          <w:color w:val="auto"/>
          <w:sz w:val="24"/>
          <w:szCs w:val="24"/>
          <w:highlight w:val="none"/>
        </w:rPr>
        <w:t xml:space="preserve">合同签订后</w:t>
      </w:r>
      <w:r>
        <w:rPr>
          <w:rFonts w:hint="eastAsia" w:ascii="宋体" w:hAnsi="宋体"/>
          <w:color w:val="auto"/>
          <w:sz w:val="24"/>
          <w:szCs w:val="24"/>
          <w:highlight w:val="none"/>
          <w:lang w:val="en-US" w:eastAsia="zh-CN"/>
        </w:rPr>
        <w:t xml:space="preserve">45</w:t>
      </w:r>
      <w:r>
        <w:rPr>
          <w:rFonts w:hint="eastAsia" w:ascii="宋体" w:hAnsi="宋体"/>
          <w:color w:val="auto"/>
          <w:sz w:val="24"/>
          <w:szCs w:val="24"/>
          <w:highlight w:val="none"/>
        </w:rPr>
        <w:t xml:space="preserve">天内完成整个项目的建设及调试工作。自本项目终验合格后（以双方验收报告签订日期为准），所供硬件提供5年质保服务。</w:t>
      </w:r>
      <w:bookmarkEnd w:id="9"/>
      <w:r/>
      <w:bookmarkEnd w:id="10"/>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本项目（是/否）接受联合体投标：不接受联合体</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二、申请人的资格要求</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（一）满足《中华人民共和国政府采购法》第二十二条规定；</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2.财务状况报告（成立不满一年不需提供）</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3.依法缴纳税收和社会保障资金的相关材料（如依法享受缓缴、免缴税收、社会保障资金的，应提供相关证明材料）；</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4.具备履行合同所必需的设备和专业技术能力的书面声明</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5.参加政府采购活动前3年内在经营活动中没有重大违法记录的书面声明</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6.资格证明文件的书面承诺</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7.授权委托书（被授权人非法定代表人的，应提供授权委托书；被授权人是法定代表人的，应提供授权委托书或法定代表人身份证明书）</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（二）未被“信用中国”网站（www.creditchina.gov.cn）列入失信被执行人、重大税收违法案件当事人名单、政府采购严重失信行为记录名单。</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（三）落实政府采购政策需满足的资格要求：</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（四）本项目的特定资格要求： </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无</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三、获取招标文件</w:t>
      </w:r>
      <w:r/>
    </w:p>
    <w:p>
      <w:pPr>
        <w:ind w:firstLine="480"/>
        <w:jc w:val="left"/>
        <w:spacing w:line="440" w:lineRule="exact"/>
        <w:widowControl/>
        <w:rPr>
          <w:rFonts w:hint="eastAsia" w:ascii="宋体" w:hAnsi="宋体"/>
          <w:color w:val="auto"/>
          <w:sz w:val="24"/>
          <w:szCs w:val="24"/>
          <w:highlight w:val="none"/>
          <w:lang w:bidi="ar"/>
        </w:rPr>
      </w:pPr>
      <w:r>
        <w:rPr>
          <w:rFonts w:hint="eastAsia" w:ascii="宋体" w:hAnsi="宋体"/>
          <w:color w:val="auto"/>
          <w:sz w:val="24"/>
          <w:szCs w:val="24"/>
          <w:highlight w:val="none"/>
          <w:lang w:bidi="ar"/>
        </w:rPr>
        <w:t xml:space="preserve">时间：自招标文件公告发布之日起5个工作日</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地点：苏采云政府采购一体化平台（网址http://jszfcg.jsczt.cn/） </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方式：苏采云政府采购一体化平台（网址http://jszfcg.jsczt.cn/） </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售价：0.00元 </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四、提交投标文件截止时间、开标时间和地点</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202</w:t>
      </w:r>
      <w:r>
        <w:rPr>
          <w:rFonts w:hint="eastAsia" w:ascii="宋体" w:hAnsi="宋体"/>
          <w:color w:val="auto"/>
          <w:szCs w:val="24"/>
          <w:highlight w:val="none"/>
          <w:lang w:val="en-US" w:eastAsia="zh-CN"/>
        </w:rPr>
        <w:t xml:space="preserve">6</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10</w:t>
      </w:r>
      <w:r>
        <w:rPr>
          <w:rFonts w:hint="eastAsia" w:ascii="宋体" w:hAnsi="宋体"/>
          <w:color w:val="auto"/>
          <w:szCs w:val="24"/>
          <w:highlight w:val="none"/>
        </w:rPr>
        <w:t xml:space="preserve">-</w:t>
      </w:r>
      <w:r>
        <w:rPr>
          <w:rFonts w:hint="eastAsia" w:ascii="宋体" w:hAnsi="宋体"/>
          <w:color w:val="auto"/>
          <w:szCs w:val="24"/>
          <w:highlight w:val="none"/>
          <w:lang w:val="en-US" w:eastAsia="zh-CN"/>
        </w:rPr>
        <w:t xml:space="preserve">9 </w:t>
      </w:r>
      <w:r>
        <w:rPr>
          <w:rFonts w:hint="eastAsia" w:ascii="宋体" w:hAnsi="宋体"/>
          <w:color w:val="auto"/>
          <w:szCs w:val="24"/>
          <w:highlight w:val="none"/>
        </w:rPr>
        <w:t xml:space="preserve"> 09:30（北京时间）</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地点：苏采云系统 </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五、公告期限</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自本公告发布之日起5个工作日。</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六、其他补充事宜</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1.CA证书办理</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2.参与采购活动</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3.电子投标准备</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在系统操作过程中如有疑问，请按以下方式联系：</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注册咨询：18261002950；</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CA技术咨询电话：400-608-6099；</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签章使用问题：025-83633811、025-83633812、15380932027、15371015030；</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系统使用指导与咨询：18261002950、</w:t>
      </w:r>
      <w:r>
        <w:rPr>
          <w:rFonts w:hint="eastAsia" w:ascii="宋体" w:hAnsi="宋体"/>
          <w:color w:val="auto"/>
          <w:szCs w:val="24"/>
          <w:highlight w:val="none"/>
          <w:lang w:val="en-US" w:eastAsia="zh-CN"/>
        </w:rPr>
        <w:t xml:space="preserve">13914088964</w:t>
      </w:r>
      <w:r>
        <w:rPr>
          <w:rFonts w:hint="eastAsia" w:ascii="宋体" w:hAnsi="宋体"/>
          <w:color w:val="auto"/>
          <w:szCs w:val="24"/>
          <w:highlight w:val="none"/>
        </w:rPr>
        <w:t xml:space="preserve">；QQ：3048755361、1315179389、895706745。</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4.本项目采用电子招投标形式，电子交易活动在省财政厅统一部署开发的“苏采云”系统实施，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请供应商确保电脑、系统及其他设备（视频输入输出设备等）无误，且开标直至项目结束始终保持系统在线状态。</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6.招标文件澄清或者修改内容的告知方式：招标文件的实质性变动或修改将在政府采购公告媒体网通知，投标人可自行下载。</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7.本次招标不收取投标保证金。</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8.本项目不允许进口产品投标。</w:t>
      </w:r>
      <w:r/>
    </w:p>
    <w:p>
      <w:pPr>
        <w:pStyle w:val="931"/>
        <w:ind w:firstLine="482"/>
        <w:spacing w:beforeAutospacing="0" w:afterAutospacing="0" w:line="440" w:lineRule="exact"/>
        <w:widowControl/>
        <w:rPr>
          <w:rStyle w:val="934"/>
          <w:rFonts w:hint="eastAsia" w:ascii="宋体" w:hAnsi="宋体"/>
          <w:color w:val="auto"/>
          <w:szCs w:val="24"/>
          <w:highlight w:val="none"/>
        </w:rPr>
      </w:pPr>
      <w:r>
        <w:rPr>
          <w:rStyle w:val="934"/>
          <w:rFonts w:hint="eastAsia" w:ascii="宋体" w:hAnsi="宋体"/>
          <w:color w:val="auto"/>
          <w:szCs w:val="24"/>
          <w:highlight w:val="none"/>
        </w:rPr>
        <w:t xml:space="preserve">七、对本次招标提出询问，请按以下方式联系</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1.采购人信息 </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单位名称：张家港市公安局</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单位地址：张家港市港城大道180号</w:t>
      </w:r>
      <w:r/>
    </w:p>
    <w:p>
      <w:pPr>
        <w:pStyle w:val="93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联系人：</w:t>
      </w:r>
      <w:r>
        <w:rPr>
          <w:rFonts w:hint="eastAsia" w:ascii="宋体" w:hAnsi="宋体"/>
          <w:color w:val="auto"/>
          <w:szCs w:val="24"/>
          <w:highlight w:val="none"/>
          <w:lang w:val="en-US" w:eastAsia="zh-CN"/>
        </w:rPr>
        <w:t xml:space="preserve">李永杰</w:t>
      </w:r>
      <w:r/>
    </w:p>
    <w:p>
      <w:pPr>
        <w:pStyle w:val="931"/>
        <w:ind w:firstLine="480"/>
        <w:spacing w:beforeAutospacing="0" w:afterAutospacing="0" w:line="440" w:lineRule="exact"/>
        <w:widowControl/>
        <w:rPr>
          <w:rFonts w:hint="eastAsia" w:ascii="宋体" w:hAnsi="宋体" w:eastAsia="宋体"/>
          <w:color w:val="auto"/>
          <w:szCs w:val="24"/>
          <w:highlight w:val="none"/>
          <w:lang w:eastAsia="zh-CN"/>
        </w:rPr>
      </w:pPr>
      <w:r>
        <w:rPr>
          <w:rFonts w:hint="eastAsia" w:ascii="宋体" w:hAnsi="宋体"/>
          <w:color w:val="auto"/>
          <w:szCs w:val="24"/>
          <w:highlight w:val="none"/>
        </w:rPr>
        <w:t xml:space="preserve">联系电话：</w:t>
      </w:r>
      <w:r>
        <w:rPr>
          <w:rFonts w:hint="eastAsia" w:ascii="宋体" w:hAnsi="宋体"/>
          <w:color w:val="auto"/>
          <w:szCs w:val="24"/>
          <w:highlight w:val="none"/>
          <w:lang w:eastAsia="zh-CN"/>
        </w:rPr>
        <w:t xml:space="preserve">0512-</w:t>
      </w:r>
      <w:r>
        <w:rPr>
          <w:rFonts w:hint="eastAsia" w:ascii="宋体" w:hAnsi="宋体"/>
          <w:color w:val="auto"/>
          <w:szCs w:val="24"/>
          <w:highlight w:val="none"/>
          <w:lang w:val="en-US" w:eastAsia="zh-CN"/>
        </w:rPr>
        <w:t xml:space="preserve">55370072</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2.采购代理机构信息（如有）</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单位名称：苏州市公共资源交易中心张家港分中心</w:t>
      </w:r>
      <w:r/>
    </w:p>
    <w:p>
      <w:pPr>
        <w:pStyle w:val="931"/>
        <w:ind w:firstLine="480"/>
        <w:spacing w:beforeAutospacing="0" w:afterAutospacing="0" w:line="440" w:lineRule="exact"/>
        <w:widowControl/>
        <w:rPr>
          <w:rFonts w:hint="eastAsia" w:ascii="宋体" w:hAnsi="宋体"/>
          <w:color w:val="auto"/>
          <w:szCs w:val="24"/>
          <w:highlight w:val="none"/>
        </w:rPr>
      </w:pPr>
      <w:r>
        <w:rPr>
          <w:rFonts w:hint="eastAsia" w:ascii="宋体" w:hAnsi="宋体"/>
          <w:color w:val="auto"/>
          <w:szCs w:val="24"/>
          <w:highlight w:val="none"/>
        </w:rPr>
        <w:t xml:space="preserve">单位地址：张家港市杨舍镇滨河路1号(国泰金融广场C座)</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联系人：</w:t>
      </w:r>
      <w:r>
        <w:rPr>
          <w:rFonts w:hint="eastAsia" w:ascii="宋体" w:hAnsi="宋体" w:cs="宋体"/>
          <w:color w:val="auto"/>
          <w:sz w:val="24"/>
          <w:szCs w:val="24"/>
          <w:highlight w:val="none"/>
          <w:lang w:eastAsia="zh-CN"/>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联系电话：0512-589153</w:t>
      </w:r>
      <w:r>
        <w:rPr>
          <w:rFonts w:hint="eastAsia" w:ascii="宋体" w:hAnsi="宋体" w:cs="宋体"/>
          <w:color w:val="auto"/>
          <w:sz w:val="24"/>
          <w:szCs w:val="24"/>
          <w:highlight w:val="none"/>
          <w:lang w:val="en-US" w:eastAsia="zh-CN" w:bidi="ar"/>
        </w:rPr>
        <w:t xml:space="preserve">81</w:t>
      </w:r>
      <w:r/>
    </w:p>
    <w:p>
      <w:pPr>
        <w:ind w:firstLine="480"/>
        <w:jc w:val="left"/>
        <w:spacing w:line="44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3.项目联系方式</w:t>
      </w:r>
      <w:r/>
    </w:p>
    <w:p>
      <w:pPr>
        <w:ind w:firstLine="48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 xml:space="preserve">项目联系人：</w:t>
      </w:r>
      <w:r>
        <w:rPr>
          <w:rFonts w:hint="eastAsia" w:ascii="宋体" w:hAnsi="宋体" w:cs="宋体"/>
          <w:color w:val="auto"/>
          <w:sz w:val="24"/>
          <w:szCs w:val="24"/>
          <w:highlight w:val="none"/>
          <w:lang w:eastAsia="zh-CN" w:bidi="ar"/>
        </w:rPr>
        <w:t xml:space="preserve">孙玮泽</w:t>
      </w:r>
      <w:r/>
    </w:p>
    <w:p>
      <w:pPr>
        <w:ind w:firstLine="480"/>
        <w:jc w:val="left"/>
        <w:spacing w:line="44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 xml:space="preserve">电话：0512-589153</w:t>
      </w:r>
      <w:r>
        <w:rPr>
          <w:rFonts w:hint="eastAsia" w:ascii="宋体" w:hAnsi="宋体" w:cs="宋体"/>
          <w:color w:val="auto"/>
          <w:sz w:val="24"/>
          <w:szCs w:val="24"/>
          <w:highlight w:val="none"/>
          <w:lang w:val="en-US" w:eastAsia="zh-CN" w:bidi="ar"/>
        </w:rPr>
        <w:t xml:space="preserve">81</w:t>
      </w:r>
      <w:r/>
    </w:p>
    <w:p>
      <w:pPr>
        <w:pStyle w:val="942"/>
        <w:ind w:firstLine="500"/>
        <w:spacing w:line="440" w:lineRule="exact"/>
        <w:rPr>
          <w:rStyle w:val="936"/>
          <w:rFonts w:hint="eastAsia" w:ascii="宋体" w:hAnsi="宋体"/>
          <w:color w:val="auto"/>
          <w:spacing w:val="7"/>
          <w:highlight w:val="none"/>
        </w:rPr>
      </w:pPr>
      <w:r>
        <w:rPr>
          <w:rFonts w:hint="eastAsia" w:ascii="宋体" w:hAnsi="宋体"/>
          <w:color w:val="auto"/>
          <w:spacing w:val="7"/>
          <w:highlight w:val="none"/>
        </w:rPr>
      </w:r>
      <w:r/>
    </w:p>
    <w:p>
      <w:pPr>
        <w:pStyle w:val="942"/>
        <w:ind w:firstLine="500"/>
        <w:spacing w:line="440" w:lineRule="exact"/>
        <w:rPr>
          <w:rStyle w:val="936"/>
          <w:rFonts w:hint="eastAsia" w:ascii="宋体" w:hAnsi="宋体"/>
          <w:color w:val="auto"/>
          <w:spacing w:val="7"/>
          <w:highlight w:val="none"/>
        </w:rPr>
      </w:pPr>
      <w:r>
        <w:rPr>
          <w:rFonts w:hint="eastAsia" w:ascii="宋体" w:hAnsi="宋体"/>
          <w:color w:val="auto"/>
          <w:spacing w:val="7"/>
          <w:highlight w:val="none"/>
        </w:rPr>
      </w:r>
      <w:r/>
    </w:p>
    <w:p>
      <w:pPr>
        <w:pStyle w:val="943"/>
        <w:pageBreakBefore/>
        <w:spacing w:line="360" w:lineRule="auto"/>
        <w:rPr>
          <w:rFonts w:hint="eastAsia" w:ascii="宋体" w:hAnsi="宋体" w:eastAsia="宋体"/>
          <w:color w:val="auto"/>
          <w:highlight w:val="none"/>
        </w:rPr>
      </w:pPr>
      <w:r/>
      <w:bookmarkStart w:id="11" w:name="_Toc4059"/>
      <w:r/>
      <w:bookmarkStart w:id="12" w:name="_Toc10079"/>
      <w:r>
        <w:rPr>
          <w:rFonts w:hint="eastAsia" w:ascii="宋体" w:hAnsi="宋体" w:eastAsia="宋体"/>
          <w:color w:val="auto"/>
          <w:highlight w:val="none"/>
        </w:rPr>
        <w:t xml:space="preserve">第二章  </w:t>
      </w:r>
      <w:bookmarkStart w:id="13" w:name="_Toc120614213"/>
      <w:r/>
      <w:bookmarkStart w:id="14" w:name="_Toc20823274"/>
      <w:r/>
      <w:bookmarkStart w:id="15" w:name="_Toc513029202"/>
      <w:r/>
      <w:bookmarkStart w:id="16" w:name="_Toc16938518"/>
      <w:r>
        <w:rPr>
          <w:rFonts w:hint="eastAsia" w:ascii="宋体" w:hAnsi="宋体" w:eastAsia="宋体"/>
          <w:color w:val="auto"/>
          <w:highlight w:val="none"/>
        </w:rPr>
        <w:t xml:space="preserve">投标人须知</w:t>
      </w:r>
      <w:bookmarkEnd w:id="11"/>
      <w:r/>
      <w:bookmarkEnd w:id="12"/>
      <w:r/>
      <w:bookmarkEnd w:id="13"/>
      <w:r/>
      <w:bookmarkEnd w:id="14"/>
      <w:r/>
      <w:bookmarkEnd w:id="15"/>
      <w:r/>
      <w:bookmarkEnd w:id="16"/>
      <w:r/>
      <w:r/>
    </w:p>
    <w:p>
      <w:pPr>
        <w:pStyle w:val="944"/>
        <w:ind w:firstLine="482"/>
        <w:jc w:val="left"/>
        <w:spacing w:before="0" w:after="0" w:line="440" w:lineRule="exact"/>
        <w:rPr>
          <w:rStyle w:val="945"/>
          <w:rFonts w:hint="eastAsia" w:ascii="宋体" w:hAnsi="宋体"/>
          <w:b w:val="0"/>
          <w:bCs w:val="0"/>
          <w:color w:val="auto"/>
          <w:sz w:val="24"/>
          <w:szCs w:val="24"/>
          <w:highlight w:val="none"/>
        </w:rPr>
      </w:pPr>
      <w:r/>
      <w:bookmarkStart w:id="17" w:name="_Toc38368120"/>
      <w:r/>
      <w:bookmarkStart w:id="18" w:name="_Toc54615239"/>
      <w:r/>
      <w:bookmarkStart w:id="19" w:name="_Toc35266020"/>
      <w:r/>
      <w:bookmarkStart w:id="20" w:name="_Toc513029203"/>
      <w:r/>
      <w:bookmarkStart w:id="21" w:name="_Toc120614214"/>
      <w:r/>
      <w:bookmarkStart w:id="22" w:name="_Toc20823275"/>
      <w:r/>
      <w:bookmarkStart w:id="23" w:name="_Toc16938519"/>
      <w:r/>
      <w:bookmarkStart w:id="24" w:name="_Toc29619"/>
      <w:r>
        <w:rPr>
          <w:rStyle w:val="945"/>
          <w:rFonts w:hint="eastAsia" w:ascii="宋体" w:hAnsi="宋体"/>
          <w:b w:val="0"/>
          <w:bCs w:val="0"/>
          <w:color w:val="auto"/>
          <w:sz w:val="24"/>
          <w:szCs w:val="24"/>
          <w:highlight w:val="none"/>
        </w:rPr>
        <w:t xml:space="preserve">一、总则</w:t>
      </w:r>
      <w:bookmarkEnd w:id="17"/>
      <w:r/>
      <w:bookmarkEnd w:id="18"/>
      <w:r/>
      <w:bookmarkEnd w:id="19"/>
      <w:r/>
      <w:bookmarkEnd w:id="20"/>
      <w:r/>
      <w:bookmarkEnd w:id="21"/>
      <w:r/>
      <w:bookmarkEnd w:id="22"/>
      <w:r/>
      <w:bookmarkEnd w:id="23"/>
      <w:r/>
      <w:bookmarkEnd w:id="24"/>
      <w:r/>
      <w:r/>
    </w:p>
    <w:p>
      <w:pPr>
        <w:ind w:firstLine="482"/>
        <w:keepLines/>
        <w:keepNext/>
        <w:spacing w:line="440" w:lineRule="exact"/>
        <w:rPr>
          <w:rFonts w:hint="eastAsia" w:ascii="宋体" w:hAnsi="宋体"/>
          <w:b/>
          <w:bCs/>
          <w:color w:val="auto"/>
          <w:sz w:val="24"/>
          <w:szCs w:val="24"/>
          <w:highlight w:val="none"/>
        </w:rPr>
        <w:outlineLvl w:val="3"/>
      </w:pPr>
      <w:r/>
      <w:bookmarkStart w:id="25" w:name="_Hlt16619475"/>
      <w:r/>
      <w:bookmarkEnd w:id="25"/>
      <w:r/>
      <w:bookmarkStart w:id="26" w:name="_Toc458694821"/>
      <w:r/>
      <w:bookmarkStart w:id="27" w:name="_Toc16938520"/>
      <w:r/>
      <w:bookmarkStart w:id="28" w:name="_Toc513029204"/>
      <w:r/>
      <w:bookmarkStart w:id="29" w:name="_Toc20823276"/>
      <w:r>
        <w:rPr>
          <w:rFonts w:hint="eastAsia" w:ascii="宋体" w:hAnsi="宋体"/>
          <w:b/>
          <w:bCs/>
          <w:color w:val="auto"/>
          <w:sz w:val="24"/>
          <w:szCs w:val="24"/>
          <w:highlight w:val="none"/>
        </w:rPr>
        <w:t xml:space="preserve">1</w:t>
      </w:r>
      <w:bookmarkEnd w:id="26"/>
      <w:r>
        <w:rPr>
          <w:rFonts w:hint="eastAsia" w:ascii="宋体" w:hAnsi="宋体"/>
          <w:b/>
          <w:bCs/>
          <w:color w:val="auto"/>
          <w:sz w:val="24"/>
          <w:szCs w:val="24"/>
          <w:highlight w:val="none"/>
        </w:rPr>
        <w:t xml:space="preserve">.招标方式</w:t>
      </w:r>
      <w:bookmarkEnd w:id="27"/>
      <w:r/>
      <w:bookmarkEnd w:id="28"/>
      <w:r/>
      <w:bookmarkEnd w:id="29"/>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keepLines/>
        <w:keepNext/>
        <w:spacing w:line="440" w:lineRule="exact"/>
        <w:rPr>
          <w:rFonts w:hint="eastAsia" w:ascii="宋体" w:hAnsi="宋体"/>
          <w:b/>
          <w:bCs/>
          <w:color w:val="auto"/>
          <w:sz w:val="24"/>
          <w:szCs w:val="24"/>
          <w:highlight w:val="none"/>
        </w:rPr>
        <w:outlineLvl w:val="3"/>
      </w:pPr>
      <w:r/>
      <w:bookmarkStart w:id="30" w:name="_Toc16938521"/>
      <w:r/>
      <w:bookmarkStart w:id="31" w:name="_Toc513029205"/>
      <w:r/>
      <w:bookmarkStart w:id="32" w:name="_Toc20823277"/>
      <w:r>
        <w:rPr>
          <w:rFonts w:hint="eastAsia" w:ascii="宋体" w:hAnsi="宋体"/>
          <w:b/>
          <w:bCs/>
          <w:color w:val="auto"/>
          <w:sz w:val="24"/>
          <w:szCs w:val="24"/>
          <w:highlight w:val="none"/>
        </w:rPr>
        <w:t xml:space="preserve">2.合格的投标人</w:t>
      </w:r>
      <w:bookmarkEnd w:id="30"/>
      <w:r/>
      <w:bookmarkEnd w:id="31"/>
      <w:r/>
      <w:bookmarkEnd w:id="32"/>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2.1满足招标公告中投标人的资格要求的规定。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满足本文件实质性要求的规定</w:t>
      </w:r>
      <w:r>
        <w:rPr>
          <w:rFonts w:hint="eastAsia" w:ascii="宋体" w:hAnsi="宋体"/>
          <w:b/>
          <w:color w:val="auto"/>
          <w:sz w:val="24"/>
          <w:szCs w:val="24"/>
          <w:highlight w:val="none"/>
        </w:rPr>
        <w:t xml:space="preserve">（本招标文件中斜体且有下划线部分为实质性要求）。</w:t>
      </w:r>
      <w:r/>
    </w:p>
    <w:p>
      <w:pPr>
        <w:ind w:firstLine="420"/>
        <w:keepLines/>
        <w:keepNext/>
        <w:spacing w:line="440" w:lineRule="exact"/>
        <w:rPr>
          <w:rFonts w:hint="eastAsia" w:ascii="宋体" w:hAnsi="宋体"/>
          <w:b/>
          <w:bCs/>
          <w:color w:val="auto"/>
          <w:sz w:val="24"/>
          <w:szCs w:val="24"/>
          <w:highlight w:val="none"/>
        </w:rPr>
        <w:outlineLvl w:val="3"/>
      </w:pPr>
      <w:r/>
      <w:bookmarkStart w:id="33" w:name="_Toc20823278"/>
      <w:r/>
      <w:bookmarkStart w:id="34" w:name="_Toc16938522"/>
      <w:r/>
      <w:bookmarkStart w:id="35" w:name="_Toc513029206"/>
      <w:r>
        <w:rPr>
          <w:rFonts w:hint="eastAsia" w:ascii="宋体" w:hAnsi="宋体"/>
          <w:b/>
          <w:bCs/>
          <w:color w:val="auto"/>
          <w:sz w:val="24"/>
          <w:szCs w:val="24"/>
          <w:highlight w:val="none"/>
        </w:rPr>
        <w:t xml:space="preserve">3.适用法律</w:t>
      </w:r>
      <w:bookmarkEnd w:id="33"/>
      <w:r/>
      <w:bookmarkEnd w:id="34"/>
      <w:r/>
      <w:bookmarkEnd w:id="35"/>
      <w:r/>
      <w:r/>
    </w:p>
    <w:p>
      <w:pPr>
        <w:ind w:firstLine="42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keepLines/>
        <w:keepNext/>
        <w:spacing w:line="440" w:lineRule="exact"/>
        <w:rPr>
          <w:rFonts w:hint="eastAsia" w:ascii="宋体" w:hAnsi="宋体"/>
          <w:b/>
          <w:bCs/>
          <w:color w:val="auto"/>
          <w:sz w:val="24"/>
          <w:szCs w:val="24"/>
          <w:highlight w:val="none"/>
        </w:rPr>
        <w:outlineLvl w:val="3"/>
      </w:pPr>
      <w:r/>
      <w:bookmarkStart w:id="36" w:name="_Toc20823279"/>
      <w:r/>
      <w:bookmarkStart w:id="37" w:name="_Toc16938523"/>
      <w:r/>
      <w:bookmarkStart w:id="38" w:name="_Toc513029207"/>
      <w:r/>
      <w:bookmarkStart w:id="39" w:name="_Toc462564067"/>
      <w:r>
        <w:rPr>
          <w:rFonts w:hint="eastAsia" w:ascii="宋体" w:hAnsi="宋体"/>
          <w:b/>
          <w:bCs/>
          <w:color w:val="auto"/>
          <w:sz w:val="24"/>
          <w:szCs w:val="24"/>
          <w:highlight w:val="none"/>
        </w:rPr>
        <w:t xml:space="preserve">4.投标费用</w:t>
      </w:r>
      <w:bookmarkEnd w:id="36"/>
      <w:r/>
      <w:bookmarkEnd w:id="37"/>
      <w:r/>
      <w:bookmarkEnd w:id="38"/>
      <w:r/>
      <w:bookmarkEnd w:id="3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投标人应自行承担所有与参加投标有关的费用，无论投标过程中的做法和结果如何，</w:t>
      </w:r>
      <w:bookmarkStart w:id="40" w:name="EBb149e03d16f547ac9a9b50964f44d5b2"/>
      <w:r>
        <w:rPr>
          <w:rFonts w:hint="eastAsia" w:ascii="宋体" w:hAnsi="宋体"/>
          <w:color w:val="auto"/>
          <w:sz w:val="24"/>
          <w:szCs w:val="24"/>
          <w:highlight w:val="none"/>
        </w:rPr>
        <w:t xml:space="preserve">苏州市公共资源交易中心张家港分中心(以下简称公共资源交易中心)</w:t>
      </w:r>
      <w:bookmarkEnd w:id="40"/>
      <w:r>
        <w:rPr>
          <w:rFonts w:hint="eastAsia" w:ascii="宋体" w:hAnsi="宋体"/>
          <w:color w:val="auto"/>
          <w:sz w:val="24"/>
          <w:szCs w:val="24"/>
          <w:highlight w:val="none"/>
        </w:rPr>
        <w:t xml:space="preserve">在任何情况下均无义务和责任承担这些费用。</w:t>
      </w:r>
      <w:r/>
    </w:p>
    <w:p>
      <w:pPr>
        <w:ind w:firstLine="508"/>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4.2本次招标公共资源交易中心和采购人不收取标书工本费与中标服务费。</w:t>
      </w:r>
      <w:bookmarkStart w:id="41" w:name="EB4bef91ec166246f78c716ddc8194a87a"/>
      <w:r/>
      <w:bookmarkEnd w:id="41"/>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5.招标文件的约束力</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r/>
    </w:p>
    <w:p>
      <w:pPr>
        <w:pStyle w:val="944"/>
        <w:ind w:firstLine="482"/>
        <w:jc w:val="left"/>
        <w:spacing w:before="0" w:after="0" w:line="440" w:lineRule="exact"/>
        <w:rPr>
          <w:rStyle w:val="945"/>
          <w:rFonts w:hint="eastAsia" w:ascii="宋体" w:hAnsi="宋体"/>
          <w:b w:val="0"/>
          <w:bCs w:val="0"/>
          <w:color w:val="auto"/>
          <w:sz w:val="24"/>
          <w:szCs w:val="24"/>
          <w:highlight w:val="none"/>
        </w:rPr>
      </w:pPr>
      <w:r/>
      <w:bookmarkStart w:id="42" w:name="_Toc120614215"/>
      <w:r/>
      <w:bookmarkStart w:id="43" w:name="_Toc20823281"/>
      <w:r/>
      <w:bookmarkStart w:id="44" w:name="_Toc16938525"/>
      <w:r/>
      <w:bookmarkStart w:id="45" w:name="_Toc38368121"/>
      <w:r/>
      <w:bookmarkStart w:id="46" w:name="_Toc35266021"/>
      <w:r/>
      <w:bookmarkStart w:id="47" w:name="_Toc54615240"/>
      <w:r/>
      <w:bookmarkStart w:id="48" w:name="_Toc12536"/>
      <w:r/>
      <w:bookmarkStart w:id="49" w:name="_Toc513029209"/>
      <w:r>
        <w:rPr>
          <w:rStyle w:val="945"/>
          <w:rFonts w:hint="eastAsia" w:ascii="宋体" w:hAnsi="宋体"/>
          <w:b w:val="0"/>
          <w:bCs w:val="0"/>
          <w:color w:val="auto"/>
          <w:sz w:val="24"/>
          <w:szCs w:val="24"/>
          <w:highlight w:val="none"/>
        </w:rPr>
        <w:t xml:space="preserve">二、招标文件</w:t>
      </w:r>
      <w:bookmarkEnd w:id="42"/>
      <w:r/>
      <w:bookmarkEnd w:id="43"/>
      <w:r/>
      <w:bookmarkEnd w:id="44"/>
      <w:r/>
      <w:bookmarkEnd w:id="45"/>
      <w:r/>
      <w:bookmarkEnd w:id="46"/>
      <w:r/>
      <w:bookmarkEnd w:id="47"/>
      <w:r/>
      <w:bookmarkEnd w:id="48"/>
      <w:r/>
      <w:bookmarkEnd w:id="49"/>
      <w:r/>
      <w:r/>
    </w:p>
    <w:p>
      <w:pPr>
        <w:ind w:firstLine="482"/>
        <w:keepLines/>
        <w:keepNext/>
        <w:spacing w:line="440" w:lineRule="exact"/>
        <w:rPr>
          <w:rFonts w:hint="eastAsia" w:ascii="宋体" w:hAnsi="宋体"/>
          <w:b/>
          <w:bCs/>
          <w:color w:val="auto"/>
          <w:sz w:val="24"/>
          <w:szCs w:val="24"/>
          <w:highlight w:val="none"/>
        </w:rPr>
        <w:outlineLvl w:val="3"/>
      </w:pPr>
      <w:r/>
      <w:bookmarkStart w:id="50" w:name="_Toc513029210"/>
      <w:r/>
      <w:bookmarkStart w:id="51" w:name="_Toc16938526"/>
      <w:r/>
      <w:bookmarkStart w:id="52" w:name="_Toc20823282"/>
      <w:r>
        <w:rPr>
          <w:rFonts w:hint="eastAsia" w:ascii="宋体" w:hAnsi="宋体"/>
          <w:b/>
          <w:bCs/>
          <w:color w:val="auto"/>
          <w:sz w:val="24"/>
          <w:szCs w:val="24"/>
          <w:highlight w:val="none"/>
        </w:rPr>
        <w:t xml:space="preserve">6.招标文件构成</w:t>
      </w:r>
      <w:bookmarkEnd w:id="50"/>
      <w:r/>
      <w:bookmarkEnd w:id="51"/>
      <w:r/>
      <w:bookmarkEnd w:id="5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招标文件有以下部分组成：</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（3）合同条款及格式</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（4）项目需求</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bookmarkStart w:id="53" w:name="EBbdde166065d14b62851231a61e89e609"/>
      <w:r>
        <w:rPr>
          <w:rFonts w:hint="eastAsia" w:ascii="宋体" w:hAnsi="宋体"/>
          <w:color w:val="auto"/>
          <w:sz w:val="24"/>
          <w:szCs w:val="24"/>
          <w:highlight w:val="none"/>
        </w:rPr>
        <w:t xml:space="preserve">公共资源交易中心</w:t>
      </w:r>
      <w:bookmarkEnd w:id="53"/>
      <w:r>
        <w:rPr>
          <w:rFonts w:hint="eastAsia" w:ascii="宋体" w:hAnsi="宋体"/>
          <w:color w:val="auto"/>
          <w:sz w:val="24"/>
          <w:szCs w:val="24"/>
          <w:highlight w:val="none"/>
        </w:rPr>
        <w:t xml:space="preserve">联系解决。</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54" w:name="_Toc16938528"/>
      <w:r/>
      <w:bookmarkStart w:id="55" w:name="_Toc513029212"/>
      <w:r/>
      <w:bookmarkStart w:id="56" w:name="_Toc462564071"/>
      <w:r/>
      <w:bookmarkStart w:id="57" w:name="_Toc20823284"/>
      <w:r>
        <w:rPr>
          <w:rFonts w:hint="eastAsia" w:ascii="宋体" w:hAnsi="宋体"/>
          <w:b/>
          <w:bCs/>
          <w:color w:val="auto"/>
          <w:sz w:val="24"/>
          <w:szCs w:val="24"/>
          <w:highlight w:val="none"/>
        </w:rPr>
        <w:t xml:space="preserve">7.招标文件的澄清或修改</w:t>
      </w:r>
      <w:bookmarkEnd w:id="54"/>
      <w:r/>
      <w:bookmarkEnd w:id="55"/>
      <w:r/>
      <w:bookmarkEnd w:id="56"/>
      <w:r/>
      <w:bookmarkEnd w:id="5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在投标截止时间前</w:t>
      </w:r>
      <w:bookmarkStart w:id="58" w:name="EBeec936f32a574d52a4992a8b94773f89"/>
      <w:r>
        <w:rPr>
          <w:rFonts w:hint="eastAsia" w:ascii="宋体" w:hAnsi="宋体"/>
          <w:color w:val="auto"/>
          <w:sz w:val="24"/>
          <w:szCs w:val="24"/>
          <w:highlight w:val="none"/>
        </w:rPr>
        <w:t xml:space="preserve">，公共资源交易中心</w:t>
      </w:r>
      <w:bookmarkEnd w:id="58"/>
      <w:r>
        <w:rPr>
          <w:rFonts w:hint="eastAsia" w:ascii="宋体" w:hAnsi="宋体"/>
          <w:color w:val="auto"/>
          <w:sz w:val="24"/>
          <w:szCs w:val="24"/>
          <w:highlight w:val="none"/>
        </w:rPr>
        <w:t xml:space="preserve">可以对招标文件进行澄清或修改。</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7.2</w:t>
      </w:r>
      <w:bookmarkStart w:id="59" w:name="EB14f04c7329d342c2b5d53bfcbbeaa167"/>
      <w:r>
        <w:rPr>
          <w:rFonts w:hint="eastAsia" w:ascii="宋体" w:hAnsi="宋体"/>
          <w:bCs/>
          <w:color w:val="auto"/>
          <w:sz w:val="24"/>
          <w:szCs w:val="24"/>
          <w:highlight w:val="none"/>
        </w:rPr>
        <w:t xml:space="preserve">公共资源交易中心</w:t>
      </w:r>
      <w:bookmarkEnd w:id="59"/>
      <w:r>
        <w:rPr>
          <w:rFonts w:hint="eastAsia" w:ascii="宋体" w:hAnsi="宋体"/>
          <w:color w:val="auto"/>
          <w:sz w:val="24"/>
          <w:szCs w:val="24"/>
          <w:highlight w:val="none"/>
        </w:rPr>
        <w:t xml:space="preserve">有权按照法定的要求推迟投标截止日期和开标日期。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7.3</w:t>
      </w:r>
      <w:r>
        <w:rPr>
          <w:rFonts w:hint="eastAsia" w:ascii="宋体" w:hAnsi="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944"/>
        <w:ind w:firstLine="480"/>
        <w:jc w:val="left"/>
        <w:spacing w:before="0" w:after="0" w:line="440" w:lineRule="exact"/>
        <w:rPr>
          <w:rStyle w:val="945"/>
          <w:rFonts w:hint="eastAsia" w:ascii="宋体" w:hAnsi="宋体"/>
          <w:b w:val="0"/>
          <w:bCs w:val="0"/>
          <w:color w:val="auto"/>
          <w:sz w:val="24"/>
          <w:szCs w:val="24"/>
          <w:highlight w:val="none"/>
        </w:rPr>
      </w:pPr>
      <w:r/>
      <w:bookmarkStart w:id="60" w:name="_Toc462564072"/>
      <w:r/>
      <w:bookmarkStart w:id="61" w:name="_Toc20823285"/>
      <w:r/>
      <w:bookmarkStart w:id="62" w:name="_Toc120614216"/>
      <w:r/>
      <w:bookmarkStart w:id="63" w:name="_Toc12827"/>
      <w:r/>
      <w:bookmarkStart w:id="64" w:name="_Toc54615241"/>
      <w:r/>
      <w:bookmarkStart w:id="65" w:name="_Toc513029213"/>
      <w:r/>
      <w:bookmarkStart w:id="66" w:name="_Toc38368122"/>
      <w:r/>
      <w:bookmarkStart w:id="67" w:name="_Toc16938529"/>
      <w:r/>
      <w:bookmarkStart w:id="68" w:name="_Toc35266022"/>
      <w:r>
        <w:rPr>
          <w:rStyle w:val="945"/>
          <w:rFonts w:hint="eastAsia" w:ascii="宋体" w:hAnsi="宋体"/>
          <w:b w:val="0"/>
          <w:bCs w:val="0"/>
          <w:color w:val="auto"/>
          <w:sz w:val="24"/>
          <w:szCs w:val="24"/>
          <w:highlight w:val="none"/>
        </w:rPr>
        <w:t xml:space="preserve">三、投标文件的编制</w:t>
      </w:r>
      <w:bookmarkEnd w:id="60"/>
      <w:r/>
      <w:bookmarkEnd w:id="61"/>
      <w:r/>
      <w:bookmarkEnd w:id="62"/>
      <w:r/>
      <w:bookmarkEnd w:id="63"/>
      <w:r/>
      <w:bookmarkEnd w:id="64"/>
      <w:r/>
      <w:bookmarkEnd w:id="65"/>
      <w:r/>
      <w:bookmarkEnd w:id="66"/>
      <w:r/>
      <w:bookmarkEnd w:id="67"/>
      <w:r/>
      <w:bookmarkEnd w:id="68"/>
      <w:r/>
      <w:r/>
    </w:p>
    <w:p>
      <w:pPr>
        <w:ind w:firstLine="482"/>
        <w:keepLines/>
        <w:keepNext/>
        <w:spacing w:line="440" w:lineRule="exact"/>
        <w:rPr>
          <w:rFonts w:hint="eastAsia" w:ascii="宋体" w:hAnsi="宋体"/>
          <w:b/>
          <w:bCs/>
          <w:color w:val="auto"/>
          <w:sz w:val="24"/>
          <w:szCs w:val="24"/>
          <w:highlight w:val="none"/>
        </w:rPr>
        <w:outlineLvl w:val="3"/>
      </w:pPr>
      <w:r/>
      <w:bookmarkStart w:id="69" w:name="_Toc462564073"/>
      <w:r/>
      <w:bookmarkStart w:id="70" w:name="_Toc16938530"/>
      <w:r/>
      <w:bookmarkStart w:id="71" w:name="_Toc513029214"/>
      <w:r/>
      <w:bookmarkStart w:id="72" w:name="_Toc20823286"/>
      <w:r>
        <w:rPr>
          <w:rFonts w:hint="eastAsia" w:ascii="宋体" w:hAnsi="宋体"/>
          <w:b/>
          <w:bCs/>
          <w:color w:val="auto"/>
          <w:sz w:val="24"/>
          <w:szCs w:val="24"/>
          <w:highlight w:val="none"/>
        </w:rPr>
        <w:t xml:space="preserve">8.投标文件的语言及度量衡单位</w:t>
      </w:r>
      <w:bookmarkEnd w:id="69"/>
      <w:r/>
      <w:bookmarkEnd w:id="70"/>
      <w:r/>
      <w:bookmarkEnd w:id="71"/>
      <w:r/>
      <w:bookmarkEnd w:id="72"/>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投标人提交的投标文件以及投标人与</w:t>
      </w:r>
      <w:bookmarkStart w:id="73" w:name="EB93850d2cac274df984aa2f93878c3cfe"/>
      <w:r>
        <w:rPr>
          <w:rFonts w:hint="eastAsia" w:ascii="宋体" w:hAnsi="宋体"/>
          <w:color w:val="auto"/>
          <w:sz w:val="24"/>
          <w:szCs w:val="24"/>
          <w:highlight w:val="none"/>
        </w:rPr>
        <w:t xml:space="preserve">公共资源交易中心</w:t>
      </w:r>
      <w:bookmarkEnd w:id="73"/>
      <w:r>
        <w:rPr>
          <w:rFonts w:hint="eastAsia" w:ascii="宋体" w:hAnsi="宋体"/>
          <w:color w:val="auto"/>
          <w:sz w:val="24"/>
          <w:szCs w:val="24"/>
          <w:highlight w:val="none"/>
        </w:rPr>
        <w:t xml:space="preserve">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w:t>
      </w:r>
      <w:r>
        <w:rPr>
          <w:rFonts w:hint="eastAsia" w:ascii="宋体" w:hAnsi="宋体"/>
          <w:color w:val="auto"/>
          <w:sz w:val="24"/>
          <w:szCs w:val="24"/>
          <w:highlight w:val="none"/>
        </w:rPr>
        <w:t xml:space="preserve"> 除技术性能另有规定外，投标文件所使用的度量衡单位，均须采用国家法定计量单位。</w:t>
      </w:r>
      <w:r/>
    </w:p>
    <w:p>
      <w:pPr>
        <w:ind w:firstLine="482"/>
        <w:keepLines/>
        <w:keepNext/>
        <w:spacing w:line="440" w:lineRule="exact"/>
        <w:rPr>
          <w:rFonts w:hint="eastAsia" w:ascii="宋体" w:hAnsi="宋体"/>
          <w:b/>
          <w:bCs/>
          <w:color w:val="auto"/>
          <w:sz w:val="24"/>
          <w:szCs w:val="24"/>
          <w:highlight w:val="none"/>
        </w:rPr>
        <w:outlineLvl w:val="3"/>
      </w:pPr>
      <w:r/>
      <w:bookmarkStart w:id="74" w:name="_Toc513029215"/>
      <w:r/>
      <w:bookmarkStart w:id="75" w:name="_Toc16938531"/>
      <w:r/>
      <w:bookmarkStart w:id="76" w:name="_Toc20823287"/>
      <w:r/>
      <w:bookmarkStart w:id="77" w:name="_Toc462564074"/>
      <w:r>
        <w:rPr>
          <w:rFonts w:hint="eastAsia" w:ascii="宋体" w:hAnsi="宋体"/>
          <w:b/>
          <w:bCs/>
          <w:color w:val="auto"/>
          <w:sz w:val="24"/>
          <w:szCs w:val="24"/>
          <w:highlight w:val="none"/>
        </w:rPr>
        <w:t xml:space="preserve">9.投标文件构成</w:t>
      </w:r>
      <w:bookmarkEnd w:id="74"/>
      <w:r/>
      <w:bookmarkEnd w:id="75"/>
      <w:r/>
      <w:bookmarkEnd w:id="76"/>
      <w:r/>
      <w:bookmarkEnd w:id="77"/>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特别提醒：投标人必须在投标文件接收截止时间之前在系统中提交所有与开评标相关的资料。开评标现场不接收任何资料。</w:t>
      </w:r>
      <w:r/>
    </w:p>
    <w:p>
      <w:pPr>
        <w:ind w:firstLine="482"/>
        <w:keepLines/>
        <w:keepNext/>
        <w:spacing w:line="440" w:lineRule="exact"/>
        <w:rPr>
          <w:rFonts w:hint="eastAsia" w:ascii="宋体" w:hAnsi="宋体"/>
          <w:b/>
          <w:bCs/>
          <w:color w:val="auto"/>
          <w:sz w:val="24"/>
          <w:szCs w:val="24"/>
          <w:highlight w:val="none"/>
        </w:rPr>
        <w:outlineLvl w:val="3"/>
      </w:pPr>
      <w:r/>
      <w:bookmarkStart w:id="78" w:name="_Hlt26954838"/>
      <w:r/>
      <w:bookmarkEnd w:id="78"/>
      <w:r/>
      <w:bookmarkStart w:id="79" w:name="_Hlt26668975"/>
      <w:r/>
      <w:bookmarkEnd w:id="79"/>
      <w:r/>
      <w:bookmarkStart w:id="80" w:name="_Hlt26670360"/>
      <w:r/>
      <w:bookmarkEnd w:id="80"/>
      <w:r>
        <w:rPr>
          <w:rFonts w:hint="eastAsia" w:ascii="宋体" w:hAnsi="宋体"/>
          <w:b/>
          <w:bCs/>
          <w:color w:val="auto"/>
          <w:sz w:val="24"/>
          <w:szCs w:val="24"/>
          <w:highlight w:val="none"/>
        </w:rPr>
        <w:t xml:space="preserve">10.投标函和开标一览表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投标人应按照招标文件中提供的格式完整、正确填写投标函、开标一览表。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 xml:space="preserve">。</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11.投标人资格证明文件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w:t>
      </w:r>
      <w:bookmarkStart w:id="81" w:name="_Hlt26668999"/>
      <w:r/>
      <w:bookmarkEnd w:id="81"/>
      <w:r>
        <w:rPr>
          <w:rFonts w:hint="eastAsia" w:ascii="宋体" w:hAnsi="宋体"/>
          <w:color w:val="auto"/>
          <w:sz w:val="24"/>
          <w:szCs w:val="24"/>
          <w:highlight w:val="none"/>
        </w:rPr>
        <w:t xml:space="preserve">投标人应按招标文件的要求提交资格证明文件。</w:t>
      </w:r>
      <w:r/>
    </w:p>
    <w:p>
      <w:pPr>
        <w:ind w:firstLine="482"/>
        <w:keepLines/>
        <w:keepNext/>
        <w:spacing w:line="440" w:lineRule="exact"/>
        <w:rPr>
          <w:rFonts w:hint="eastAsia" w:ascii="宋体" w:hAnsi="宋体"/>
          <w:b/>
          <w:bCs/>
          <w:color w:val="auto"/>
          <w:sz w:val="24"/>
          <w:szCs w:val="24"/>
          <w:highlight w:val="none"/>
        </w:rPr>
        <w:outlineLvl w:val="3"/>
      </w:pPr>
      <w:r/>
      <w:bookmarkStart w:id="82" w:name="_Toc14577355"/>
      <w:r/>
      <w:bookmarkStart w:id="83" w:name="_Toc49090508"/>
      <w:r>
        <w:rPr>
          <w:rFonts w:hint="eastAsia" w:ascii="宋体" w:hAnsi="宋体"/>
          <w:b/>
          <w:bCs/>
          <w:color w:val="auto"/>
          <w:sz w:val="24"/>
          <w:szCs w:val="24"/>
          <w:highlight w:val="none"/>
        </w:rPr>
        <w:t xml:space="preserve">12.投标配置与分项报价</w:t>
      </w:r>
      <w:bookmarkStart w:id="84" w:name="_Hlt26670373"/>
      <w:r/>
      <w:bookmarkEnd w:id="84"/>
      <w:r>
        <w:rPr>
          <w:rFonts w:hint="eastAsia" w:ascii="宋体" w:hAnsi="宋体"/>
          <w:b/>
          <w:bCs/>
          <w:color w:val="auto"/>
          <w:sz w:val="24"/>
          <w:szCs w:val="24"/>
          <w:highlight w:val="none"/>
        </w:rPr>
        <w:t xml:space="preserve">表</w:t>
      </w:r>
      <w:bookmarkEnd w:id="82"/>
      <w:r/>
      <w:bookmarkEnd w:id="83"/>
      <w:r>
        <w:rPr>
          <w:rFonts w:hint="eastAsia" w:ascii="宋体" w:hAnsi="宋体"/>
          <w:b/>
          <w:bCs/>
          <w:color w:val="auto"/>
          <w:sz w:val="24"/>
          <w:szCs w:val="24"/>
          <w:highlight w:val="none"/>
        </w:rPr>
        <w:t xml:space="preserve">（或经费测算表）</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b/>
          <w:color w:val="auto"/>
          <w:sz w:val="24"/>
          <w:szCs w:val="24"/>
          <w:highlight w:val="none"/>
        </w:rPr>
        <w:t xml:space="preserve">投标人应按照招标文件规定格式填报。每项货物和服务等只允许有一个报价。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标的物</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12.2.1采购人需求的有关</w:t>
      </w:r>
      <w:r>
        <w:rPr>
          <w:rFonts w:hint="eastAsia" w:ascii="宋体" w:hAnsi="宋体"/>
          <w:color w:val="auto"/>
          <w:sz w:val="24"/>
          <w:szCs w:val="24"/>
          <w:highlight w:val="none"/>
          <w:lang w:eastAsia="zh-CN"/>
        </w:rPr>
        <w:t xml:space="preserve">货物</w:t>
      </w:r>
      <w:r>
        <w:rPr>
          <w:rFonts w:hint="eastAsia" w:ascii="宋体" w:hAnsi="宋体"/>
          <w:color w:val="auto"/>
          <w:sz w:val="24"/>
          <w:szCs w:val="24"/>
          <w:highlight w:val="none"/>
        </w:rPr>
        <w:t xml:space="preserve">等。</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12.3投标货币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投标文件中的货物单价和总价无特殊规定的采用人民币报价，以元为</w:t>
      </w:r>
      <w:r>
        <w:rPr>
          <w:rFonts w:hint="eastAsia" w:ascii="宋体" w:hAnsi="宋体"/>
          <w:bCs/>
          <w:color w:val="auto"/>
          <w:sz w:val="24"/>
          <w:szCs w:val="24"/>
          <w:highlight w:val="none"/>
        </w:rPr>
        <w:t xml:space="preserve">单位标注。招标文件中另有规定的按规定执行。</w:t>
      </w:r>
      <w:r/>
    </w:p>
    <w:p>
      <w:pPr>
        <w:ind w:firstLine="472"/>
        <w:spacing w:before="120" w:after="120"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5" w:name="EB8486dd9157984dc9aa62437fb6aa6f0f"/>
      <w:r/>
      <w:bookmarkEnd w:id="85"/>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12.5本报价必须充分考虑所有可能影响到报价的价格因素，一旦投标结束最终成交，如发生漏、缺、少项，都将被认为是中标人的报价让利行为。</w:t>
      </w:r>
      <w:bookmarkStart w:id="86" w:name="_Hlt26670486"/>
      <w:r/>
      <w:bookmarkEnd w:id="86"/>
      <w:r/>
      <w:bookmarkStart w:id="87" w:name="_Hlt26954731"/>
      <w:r/>
      <w:bookmarkEnd w:id="87"/>
      <w:r/>
      <w:bookmarkStart w:id="88" w:name="_Hlt26670482"/>
      <w:r/>
      <w:bookmarkEnd w:id="88"/>
      <w:r/>
      <w:bookmarkStart w:id="89" w:name="_Hlt26954848"/>
      <w:r/>
      <w:bookmarkEnd w:id="89"/>
      <w:r/>
      <w:bookmarkStart w:id="90" w:name="_Hlt26954846"/>
      <w:r/>
      <w:bookmarkEnd w:id="90"/>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13.技术及服务方案</w:t>
      </w:r>
      <w:r/>
    </w:p>
    <w:p>
      <w:pPr>
        <w:pStyle w:val="94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p>
    <w:p>
      <w:pPr>
        <w:pStyle w:val="94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14.投标人情况介绍</w:t>
      </w:r>
      <w:r/>
    </w:p>
    <w:p>
      <w:pPr>
        <w:ind w:firstLine="508"/>
        <w:keepLines/>
        <w:keepNext/>
        <w:spacing w:line="440" w:lineRule="exact"/>
        <w:rPr>
          <w:rStyle w:val="936"/>
          <w:rFonts w:hint="eastAsia" w:ascii="宋体" w:hAnsi="宋体"/>
          <w:color w:val="auto"/>
          <w:spacing w:val="7"/>
          <w:sz w:val="24"/>
          <w:szCs w:val="24"/>
          <w:highlight w:val="none"/>
        </w:rPr>
        <w:outlineLvl w:val="3"/>
      </w:pPr>
      <w:r>
        <w:rPr>
          <w:rStyle w:val="936"/>
          <w:rFonts w:hint="eastAsia" w:ascii="宋体" w:hAnsi="宋体"/>
          <w:color w:val="auto"/>
          <w:spacing w:val="7"/>
          <w:sz w:val="24"/>
          <w:szCs w:val="24"/>
          <w:highlight w:val="none"/>
        </w:rPr>
        <w:t xml:space="preserve">14.1 投标人的总体情况应在电子投标文件中作出说明。</w:t>
      </w:r>
      <w:bookmarkStart w:id="91" w:name="_Hlt26670489"/>
      <w:r/>
      <w:bookmarkEnd w:id="91"/>
      <w:r/>
      <w:bookmarkStart w:id="92" w:name="_Hlt26954734"/>
      <w:r/>
      <w:bookmarkEnd w:id="92"/>
      <w:r/>
      <w:bookmarkStart w:id="93" w:name="_Hlt26954850"/>
      <w:r/>
      <w:bookmarkEnd w:id="93"/>
      <w:r/>
      <w:bookmarkStart w:id="94" w:name="EBf6e5e332cb7245ab8f3a9801503c122b"/>
      <w:r/>
      <w:bookmarkEnd w:id="94"/>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15.投标保证金</w:t>
      </w:r>
      <w:r/>
    </w:p>
    <w:p>
      <w:pPr>
        <w:pStyle w:val="946"/>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p>
    <w:p>
      <w:pPr>
        <w:pStyle w:val="946"/>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16.投标有效期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投标有效期为</w:t>
      </w:r>
      <w:bookmarkStart w:id="95" w:name="EB42bffacbc3774d8f9be92be41fabfc13"/>
      <w:r>
        <w:rPr>
          <w:rFonts w:hint="eastAsia" w:ascii="宋体" w:hAnsi="宋体"/>
          <w:bCs/>
          <w:color w:val="auto"/>
          <w:sz w:val="24"/>
          <w:szCs w:val="24"/>
          <w:highlight w:val="none"/>
        </w:rPr>
        <w:t xml:space="preserve">公共资源交易中心</w:t>
      </w:r>
      <w:bookmarkEnd w:id="95"/>
      <w:r>
        <w:rPr>
          <w:rFonts w:hint="eastAsia" w:ascii="宋体" w:hAnsi="宋体"/>
          <w:bCs/>
          <w:color w:val="auto"/>
          <w:sz w:val="24"/>
          <w:szCs w:val="24"/>
          <w:highlight w:val="none"/>
        </w:rPr>
        <w:t xml:space="preserve">规定的开标之日后</w:t>
      </w:r>
      <w:r>
        <w:rPr>
          <w:rFonts w:hint="eastAsia" w:ascii="宋体" w:hAnsi="宋体"/>
          <w:b/>
          <w:bCs/>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。投标有效期比规定短的将被视为非响应性投标而予以拒绝。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w:t>
      </w:r>
      <w:r>
        <w:rPr>
          <w:rFonts w:hint="eastAsia" w:ascii="宋体" w:hAnsi="宋体"/>
          <w:bCs/>
          <w:color w:val="auto"/>
          <w:sz w:val="24"/>
          <w:szCs w:val="24"/>
          <w:highlight w:val="none"/>
        </w:rPr>
        <w:t xml:space="preserve">在特殊情况下，</w:t>
      </w:r>
      <w:bookmarkStart w:id="96" w:name="EB1a73f2f6d8ff43b6a705c8d1929594b0"/>
      <w:r>
        <w:rPr>
          <w:rFonts w:hint="eastAsia" w:ascii="宋体" w:hAnsi="宋体"/>
          <w:bCs/>
          <w:color w:val="auto"/>
          <w:sz w:val="24"/>
          <w:szCs w:val="24"/>
          <w:highlight w:val="none"/>
        </w:rPr>
        <w:t xml:space="preserve">公共资源交易中心</w:t>
      </w:r>
      <w:bookmarkEnd w:id="96"/>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bookmarkStart w:id="97" w:name="EBcd0282bdfe9441e3bba982eac64d1aaa"/>
      <w:r>
        <w:rPr>
          <w:rFonts w:hint="eastAsia" w:ascii="宋体" w:hAnsi="宋体"/>
          <w:bCs/>
          <w:color w:val="auto"/>
          <w:sz w:val="24"/>
          <w:szCs w:val="24"/>
          <w:highlight w:val="none"/>
        </w:rPr>
        <w:t xml:space="preserve">公共资源交易中心</w:t>
      </w:r>
      <w:bookmarkEnd w:id="97"/>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p>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17.投标文件的签署</w:t>
      </w:r>
      <w:r/>
    </w:p>
    <w:p>
      <w:pPr>
        <w:ind w:firstLine="508"/>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17.1本招标文件所表述（指定）的公章是指法定名称章，不包括合同专用章、业务专用章等印章。</w:t>
      </w:r>
      <w:bookmarkStart w:id="98" w:name="_Hlt26954739"/>
      <w:r/>
      <w:bookmarkEnd w:id="98"/>
      <w:r/>
      <w:bookmarkStart w:id="99" w:name="EBfdb2e00cf1ee477a9cdb47d13b603829"/>
      <w:r/>
      <w:bookmarkEnd w:id="99"/>
      <w:r/>
      <w:bookmarkStart w:id="100" w:name="_Hlt26954852"/>
      <w:r/>
      <w:bookmarkEnd w:id="100"/>
      <w:r/>
      <w:r/>
    </w:p>
    <w:p>
      <w:pPr>
        <w:pStyle w:val="947"/>
        <w:ind w:firstLine="482"/>
        <w:spacing w:line="440" w:lineRule="exact"/>
        <w:rPr>
          <w:rStyle w:val="945"/>
          <w:rFonts w:hint="eastAsia" w:ascii="宋体" w:hAnsi="宋体"/>
          <w:color w:val="auto"/>
          <w:sz w:val="24"/>
          <w:szCs w:val="24"/>
          <w:highlight w:val="none"/>
        </w:rPr>
      </w:pPr>
      <w:r>
        <w:rPr>
          <w:rStyle w:val="945"/>
          <w:rFonts w:hint="eastAsia" w:ascii="宋体" w:hAnsi="宋体"/>
          <w:color w:val="auto"/>
          <w:sz w:val="24"/>
          <w:szCs w:val="24"/>
          <w:highlight w:val="none"/>
        </w:rPr>
        <w:t xml:space="preserve">四、投标文件的制作、上传、递交</w:t>
      </w:r>
      <w:r/>
    </w:p>
    <w:p>
      <w:pPr>
        <w:pStyle w:val="948"/>
        <w:ind w:firstLine="500"/>
        <w:spacing w:line="440" w:lineRule="exact"/>
        <w:rPr>
          <w:rStyle w:val="936"/>
          <w:rFonts w:hint="eastAsia" w:ascii="宋体" w:hAnsi="宋体"/>
          <w:b/>
          <w:bCs/>
          <w:color w:val="auto"/>
          <w:spacing w:val="7"/>
          <w:sz w:val="24"/>
          <w:szCs w:val="24"/>
          <w:highlight w:val="none"/>
        </w:rPr>
        <w:outlineLvl w:val="3"/>
      </w:pPr>
      <w:r>
        <w:rPr>
          <w:rStyle w:val="936"/>
          <w:rFonts w:hint="eastAsia" w:ascii="宋体" w:hAnsi="宋体"/>
          <w:b/>
          <w:bCs/>
          <w:color w:val="auto"/>
          <w:spacing w:val="7"/>
          <w:sz w:val="24"/>
          <w:szCs w:val="24"/>
          <w:highlight w:val="none"/>
        </w:rPr>
        <w:t xml:space="preserve">18.投标文件的递交</w:t>
      </w:r>
      <w:r/>
    </w:p>
    <w:p>
      <w:pPr>
        <w:pStyle w:val="948"/>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18.1电子投标文件的递交</w:t>
      </w:r>
      <w:r/>
    </w:p>
    <w:p>
      <w:pPr>
        <w:pStyle w:val="948"/>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投标人应当按照《苏采云系统供应商操作手册》规定，在投标截止时间前制作并上传电子投标文件。</w:t>
      </w:r>
      <w:bookmarkStart w:id="101" w:name="EB5e78b12e89984a20ab881c475623475b"/>
      <w:r/>
      <w:bookmarkEnd w:id="101"/>
      <w:r/>
      <w:r/>
    </w:p>
    <w:p>
      <w:pPr>
        <w:pStyle w:val="948"/>
        <w:ind w:firstLine="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19.投标截止日期</w:t>
      </w:r>
      <w:r/>
    </w:p>
    <w:p>
      <w:pPr>
        <w:pStyle w:val="949"/>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19.1投标人上传电子投标文件的时间不得迟于招标公告中规定的投标截止时间。</w:t>
      </w:r>
      <w:r/>
    </w:p>
    <w:p>
      <w:pPr>
        <w:pStyle w:val="949"/>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投标人应充分考虑到网络环境、网络带宽等风险因素，如因投标人自身原因造成的电子投标文件上传不成功由投标人自行承担全部责任。</w:t>
      </w:r>
      <w:bookmarkStart w:id="102" w:name="EB4c6421107b4c4e38bf2769d0237905a7"/>
      <w:r/>
      <w:bookmarkEnd w:id="102"/>
      <w:r/>
      <w:r/>
    </w:p>
    <w:p>
      <w:pPr>
        <w:pStyle w:val="949"/>
        <w:ind w:firstLine="482"/>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20.投标文件的递交</w:t>
      </w:r>
      <w:r/>
    </w:p>
    <w:p>
      <w:pPr>
        <w:pStyle w:val="949"/>
        <w:ind w:firstLine="480"/>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20.1</w:t>
      </w:r>
      <w:bookmarkStart w:id="103" w:name="EBfffe463a2deb4e7cad93cb8e37ffda5e"/>
      <w:r>
        <w:rPr>
          <w:rFonts w:hint="eastAsia" w:ascii="宋体" w:hAnsi="宋体" w:eastAsia="宋体"/>
          <w:color w:val="auto"/>
          <w:highlight w:val="none"/>
        </w:rPr>
        <w:t xml:space="preserve">公共资源交易中心</w:t>
      </w:r>
      <w:bookmarkEnd w:id="103"/>
      <w:r>
        <w:rPr>
          <w:rFonts w:hint="eastAsia" w:ascii="宋体" w:hAnsi="宋体" w:eastAsia="宋体"/>
          <w:color w:val="auto"/>
          <w:highlight w:val="none"/>
        </w:rPr>
        <w:t xml:space="preserve">拒绝接收在其规定的投标截止时间后递交的任何投标文件。</w:t>
      </w:r>
      <w:r/>
    </w:p>
    <w:p>
      <w:pPr>
        <w:pStyle w:val="949"/>
        <w:ind w:left="500"/>
        <w:spacing w:line="440" w:lineRule="exact"/>
        <w:rPr>
          <w:rFonts w:hint="eastAsia" w:ascii="宋体" w:hAnsi="宋体" w:eastAsia="宋体"/>
          <w:b/>
          <w:bCs/>
          <w:color w:val="auto"/>
          <w:highlight w:val="none"/>
        </w:rPr>
      </w:pPr>
      <w:r>
        <w:rPr>
          <w:rFonts w:hint="eastAsia" w:ascii="宋体" w:hAnsi="宋体" w:eastAsia="宋体"/>
          <w:b/>
          <w:bCs/>
          <w:color w:val="auto"/>
          <w:highlight w:val="none"/>
        </w:rPr>
        <w:t xml:space="preserve">21.投标文件的修改和撤回</w:t>
      </w:r>
      <w:r/>
    </w:p>
    <w:p>
      <w:pPr>
        <w:pStyle w:val="949"/>
        <w:ind w:firstLine="508"/>
        <w:spacing w:line="440" w:lineRule="exact"/>
        <w:rPr>
          <w:rStyle w:val="936"/>
          <w:rFonts w:hint="eastAsia" w:ascii="宋体" w:hAnsi="宋体"/>
          <w:color w:val="auto"/>
          <w:spacing w:val="7"/>
          <w:sz w:val="24"/>
          <w:szCs w:val="28"/>
          <w:highlight w:val="none"/>
        </w:rPr>
      </w:pPr>
      <w:r>
        <w:rPr>
          <w:rStyle w:val="936"/>
          <w:rFonts w:hint="eastAsia" w:ascii="宋体" w:hAnsi="宋体"/>
          <w:color w:val="auto"/>
          <w:spacing w:val="7"/>
          <w:sz w:val="24"/>
          <w:szCs w:val="28"/>
          <w:highlight w:val="none"/>
        </w:rPr>
        <w:t xml:space="preserve">21.1 投标人在递交投标文件后，可以修改或撤回其投标文件，但这种修改和撤回，必须在规定的投标截止时间前，具体操作方法见《苏采云系统供应商操作手册》。</w:t>
      </w:r>
      <w:r/>
    </w:p>
    <w:p>
      <w:pPr>
        <w:pStyle w:val="950"/>
        <w:ind w:firstLine="500"/>
        <w:spacing w:line="440" w:lineRule="exact"/>
        <w:rPr>
          <w:rStyle w:val="936"/>
          <w:rFonts w:hint="eastAsia" w:ascii="宋体" w:hAnsi="宋体"/>
          <w:color w:val="auto"/>
          <w:spacing w:val="7"/>
          <w:sz w:val="24"/>
          <w:szCs w:val="28"/>
          <w:highlight w:val="none"/>
        </w:rPr>
      </w:pPr>
      <w:r>
        <w:rPr>
          <w:rStyle w:val="936"/>
          <w:rFonts w:hint="eastAsia" w:ascii="宋体" w:hAnsi="宋体"/>
          <w:color w:val="auto"/>
          <w:spacing w:val="7"/>
          <w:sz w:val="24"/>
          <w:szCs w:val="28"/>
          <w:highlight w:val="none"/>
        </w:rPr>
        <w:t xml:space="preserve">21.2 投标人撤回电子投标文件，则认为其不再参与本项目投标活动。</w:t>
      </w:r>
      <w:r/>
    </w:p>
    <w:p>
      <w:pPr>
        <w:pStyle w:val="950"/>
        <w:ind w:firstLine="500"/>
        <w:spacing w:line="440" w:lineRule="exact"/>
        <w:rPr>
          <w:rStyle w:val="936"/>
          <w:rFonts w:hint="eastAsia" w:ascii="宋体" w:hAnsi="宋体"/>
          <w:color w:val="auto"/>
          <w:spacing w:val="7"/>
          <w:sz w:val="24"/>
          <w:szCs w:val="28"/>
          <w:highlight w:val="none"/>
        </w:rPr>
      </w:pPr>
      <w:r>
        <w:rPr>
          <w:rStyle w:val="936"/>
          <w:rFonts w:hint="eastAsia" w:ascii="宋体" w:hAnsi="宋体"/>
          <w:color w:val="auto"/>
          <w:spacing w:val="7"/>
          <w:sz w:val="24"/>
          <w:szCs w:val="28"/>
          <w:highlight w:val="none"/>
        </w:rPr>
        <w:t xml:space="preserve">21.3 在投标截止时间之后，投标人不得对其电子投标文件作任何修改。</w:t>
      </w:r>
      <w:r/>
    </w:p>
    <w:p>
      <w:pPr>
        <w:pStyle w:val="950"/>
        <w:ind w:firstLine="500"/>
        <w:spacing w:line="440" w:lineRule="exact"/>
        <w:rPr>
          <w:rStyle w:val="936"/>
          <w:rFonts w:hint="eastAsia" w:ascii="宋体" w:hAnsi="宋体"/>
          <w:color w:val="auto"/>
          <w:spacing w:val="7"/>
          <w:sz w:val="24"/>
          <w:szCs w:val="28"/>
          <w:highlight w:val="none"/>
        </w:rPr>
      </w:pPr>
      <w:r>
        <w:rPr>
          <w:rStyle w:val="936"/>
          <w:rFonts w:hint="eastAsia" w:ascii="宋体" w:hAnsi="宋体"/>
          <w:color w:val="auto"/>
          <w:spacing w:val="7"/>
          <w:sz w:val="24"/>
          <w:szCs w:val="28"/>
          <w:highlight w:val="none"/>
        </w:rPr>
        <w:t xml:space="preserve">21.4 在投标截止时间至招标文件中规定的投标有效期满之间的这段时间内，投标人不得撤销其投标。</w:t>
      </w:r>
      <w:r/>
    </w:p>
    <w:p>
      <w:pPr>
        <w:pStyle w:val="950"/>
        <w:ind w:firstLine="500"/>
        <w:spacing w:line="440" w:lineRule="exact"/>
        <w:rPr>
          <w:rStyle w:val="936"/>
          <w:rFonts w:hint="eastAsia" w:ascii="宋体" w:hAnsi="宋体"/>
          <w:color w:val="auto"/>
          <w:spacing w:val="7"/>
          <w:sz w:val="24"/>
          <w:szCs w:val="28"/>
          <w:highlight w:val="none"/>
        </w:rPr>
      </w:pPr>
      <w:r>
        <w:rPr>
          <w:rStyle w:val="936"/>
          <w:rFonts w:hint="eastAsia" w:ascii="宋体" w:hAnsi="宋体"/>
          <w:color w:val="auto"/>
          <w:spacing w:val="7"/>
          <w:sz w:val="24"/>
          <w:szCs w:val="28"/>
          <w:highlight w:val="none"/>
        </w:rPr>
        <w:t xml:space="preserve">21.5 不论投标人中标与否，投标文件均不退回。</w:t>
      </w:r>
      <w:r/>
    </w:p>
    <w:p>
      <w:pPr>
        <w:pStyle w:val="944"/>
        <w:ind w:firstLine="482"/>
        <w:jc w:val="left"/>
        <w:spacing w:before="0" w:after="0" w:line="440" w:lineRule="exact"/>
        <w:rPr>
          <w:rStyle w:val="945"/>
          <w:rFonts w:hint="eastAsia" w:ascii="宋体" w:hAnsi="宋体"/>
          <w:b w:val="0"/>
          <w:bCs w:val="0"/>
          <w:color w:val="auto"/>
          <w:sz w:val="24"/>
          <w:szCs w:val="24"/>
          <w:highlight w:val="none"/>
        </w:rPr>
      </w:pPr>
      <w:r/>
      <w:bookmarkStart w:id="104" w:name="EB7c302f080cf342679641097daf23b42b"/>
      <w:r/>
      <w:bookmarkEnd w:id="104"/>
      <w:r/>
      <w:bookmarkStart w:id="105" w:name="_Toc38368124"/>
      <w:r/>
      <w:bookmarkStart w:id="106" w:name="_Toc54615243"/>
      <w:r/>
      <w:bookmarkStart w:id="107" w:name="_Toc20823301"/>
      <w:r/>
      <w:bookmarkStart w:id="108" w:name="_Toc17299"/>
      <w:r/>
      <w:bookmarkStart w:id="109" w:name="_Toc35266024"/>
      <w:r/>
      <w:bookmarkStart w:id="110" w:name="_Toc120614218"/>
      <w:r/>
      <w:bookmarkStart w:id="111" w:name="_Toc16938545"/>
      <w:r/>
      <w:bookmarkStart w:id="112" w:name="_Toc513029229"/>
      <w:r>
        <w:rPr>
          <w:rStyle w:val="945"/>
          <w:rFonts w:hint="eastAsia" w:ascii="宋体" w:hAnsi="宋体"/>
          <w:b w:val="0"/>
          <w:bCs w:val="0"/>
          <w:color w:val="auto"/>
          <w:sz w:val="24"/>
          <w:szCs w:val="24"/>
          <w:highlight w:val="none"/>
        </w:rPr>
        <w:t xml:space="preserve">五、开标与评标</w:t>
      </w:r>
      <w:bookmarkEnd w:id="105"/>
      <w:r/>
      <w:bookmarkEnd w:id="106"/>
      <w:r/>
      <w:bookmarkEnd w:id="107"/>
      <w:r/>
      <w:bookmarkEnd w:id="108"/>
      <w:r/>
      <w:bookmarkEnd w:id="109"/>
      <w:r/>
      <w:bookmarkEnd w:id="110"/>
      <w:r/>
      <w:bookmarkEnd w:id="111"/>
      <w:r/>
      <w:bookmarkEnd w:id="112"/>
      <w:r/>
      <w:r/>
    </w:p>
    <w:p>
      <w:pPr>
        <w:ind w:firstLine="482"/>
        <w:keepLines/>
        <w:keepNext/>
        <w:spacing w:line="440" w:lineRule="exact"/>
        <w:rPr>
          <w:rFonts w:hint="eastAsia" w:ascii="宋体" w:hAnsi="宋体"/>
          <w:b/>
          <w:bCs/>
          <w:color w:val="auto"/>
          <w:sz w:val="24"/>
          <w:szCs w:val="24"/>
          <w:highlight w:val="none"/>
        </w:rPr>
        <w:outlineLvl w:val="3"/>
      </w:pPr>
      <w:r/>
      <w:bookmarkStart w:id="113" w:name="_Toc20823302"/>
      <w:r/>
      <w:bookmarkStart w:id="114" w:name="_Toc16938546"/>
      <w:r/>
      <w:bookmarkStart w:id="115" w:name="_Toc513029230"/>
      <w:r>
        <w:rPr>
          <w:rFonts w:hint="eastAsia" w:ascii="宋体" w:hAnsi="宋体"/>
          <w:b/>
          <w:bCs/>
          <w:color w:val="auto"/>
          <w:sz w:val="24"/>
          <w:szCs w:val="24"/>
          <w:highlight w:val="none"/>
        </w:rPr>
        <w:t xml:space="preserve">22.开标</w:t>
      </w:r>
      <w:bookmarkEnd w:id="113"/>
      <w:r/>
      <w:bookmarkEnd w:id="114"/>
      <w:r/>
      <w:bookmarkEnd w:id="115"/>
      <w:r/>
      <w:r/>
    </w:p>
    <w:p>
      <w:pPr>
        <w:ind w:firstLine="480"/>
        <w:spacing w:line="440" w:lineRule="exact"/>
        <w:rPr>
          <w:rStyle w:val="936"/>
          <w:rFonts w:hint="eastAsia" w:ascii="宋体" w:hAnsi="宋体"/>
          <w:color w:val="auto"/>
          <w:spacing w:val="7"/>
          <w:sz w:val="24"/>
          <w:szCs w:val="24"/>
          <w:highlight w:val="none"/>
        </w:rPr>
      </w:pPr>
      <w:r/>
      <w:bookmarkStart w:id="116" w:name="EB45a41a7a147945c0bb92535f2d40058d"/>
      <w:r/>
      <w:bookmarkEnd w:id="116"/>
      <w:r>
        <w:rPr>
          <w:rStyle w:val="936"/>
          <w:rFonts w:hint="eastAsia" w:ascii="宋体" w:hAnsi="宋体"/>
          <w:color w:val="auto"/>
          <w:spacing w:val="7"/>
          <w:sz w:val="24"/>
          <w:szCs w:val="24"/>
          <w:highlight w:val="none"/>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23.评标委员会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7" w:name="EBd93f728e80de47e5afd77299c0ffdfa6"/>
      <w:r>
        <w:rPr>
          <w:rFonts w:hint="eastAsia" w:ascii="宋体" w:hAnsi="宋体"/>
          <w:color w:val="auto"/>
          <w:sz w:val="24"/>
          <w:szCs w:val="24"/>
          <w:highlight w:val="none"/>
        </w:rPr>
        <w:t xml:space="preserve">公共资源交易中心</w:t>
      </w:r>
      <w:bookmarkEnd w:id="117"/>
      <w:r>
        <w:rPr>
          <w:rFonts w:hint="eastAsia" w:ascii="宋体" w:hAnsi="宋体"/>
          <w:color w:val="auto"/>
          <w:sz w:val="24"/>
          <w:szCs w:val="24"/>
          <w:highlight w:val="none"/>
        </w:rPr>
        <w:t xml:space="preserve">将立即组织评标委员会（以下简称评委会）进行评标。</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r/>
    </w:p>
    <w:p>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24．评标过程的保密与公正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w:t>
      </w:r>
      <w:r>
        <w:rPr>
          <w:rFonts w:hint="eastAsia" w:ascii="宋体" w:hAnsi="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24.2在评标过程中，如果投标人试图向</w:t>
      </w:r>
      <w:bookmarkStart w:id="118" w:name="EB8495c46e8cb146ec80ae8c0f7928221c"/>
      <w:r>
        <w:rPr>
          <w:rFonts w:hint="eastAsia" w:ascii="宋体" w:hAnsi="宋体"/>
          <w:color w:val="auto"/>
          <w:sz w:val="24"/>
          <w:szCs w:val="24"/>
          <w:highlight w:val="none"/>
        </w:rPr>
        <w:t xml:space="preserve">公共资源交易中心</w:t>
      </w:r>
      <w:bookmarkEnd w:id="118"/>
      <w:r>
        <w:rPr>
          <w:rFonts w:hint="eastAsia" w:ascii="宋体" w:hAnsi="宋体"/>
          <w:color w:val="auto"/>
          <w:sz w:val="24"/>
          <w:szCs w:val="24"/>
          <w:highlight w:val="none"/>
        </w:rPr>
        <w:t xml:space="preserve">和参与评标的人员施加任何影响，都将会导致其投标被拒绝。</w:t>
      </w:r>
      <w:r/>
    </w:p>
    <w:p>
      <w:pPr>
        <w:ind w:firstLine="482"/>
        <w:keepLines/>
        <w:keepNext/>
        <w:spacing w:line="440" w:lineRule="exact"/>
        <w:rPr>
          <w:rFonts w:hint="eastAsia" w:ascii="宋体" w:hAnsi="宋体"/>
          <w:b/>
          <w:bCs/>
          <w:color w:val="auto"/>
          <w:sz w:val="24"/>
          <w:szCs w:val="24"/>
          <w:highlight w:val="none"/>
        </w:rPr>
        <w:outlineLvl w:val="3"/>
      </w:pPr>
      <w:r/>
      <w:bookmarkStart w:id="119" w:name="_Toc16938548"/>
      <w:r/>
      <w:bookmarkStart w:id="120" w:name="_Toc20823304"/>
      <w:r/>
      <w:bookmarkStart w:id="121" w:name="_Toc513029232"/>
      <w:r>
        <w:rPr>
          <w:rFonts w:hint="eastAsia" w:ascii="宋体" w:hAnsi="宋体"/>
          <w:b/>
          <w:bCs/>
          <w:color w:val="auto"/>
          <w:sz w:val="24"/>
          <w:szCs w:val="24"/>
          <w:highlight w:val="none"/>
        </w:rPr>
        <w:t xml:space="preserve">25．投标的澄清</w:t>
      </w:r>
      <w:bookmarkEnd w:id="119"/>
      <w:r/>
      <w:bookmarkEnd w:id="120"/>
      <w:r/>
      <w:bookmarkEnd w:id="121"/>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25.1评标期间，为有助于对投标文件的审查、评价和比较，评委会有权要求投标人对其投标文件进行澄清，但并非对每个投标人都作澄清要求。</w:t>
      </w:r>
      <w:r/>
    </w:p>
    <w:p>
      <w:pPr>
        <w:pStyle w:val="951"/>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spacing w:line="440" w:lineRule="exact"/>
        <w:rPr>
          <w:rStyle w:val="936"/>
          <w:rFonts w:hint="eastAsia" w:ascii="宋体" w:hAnsi="宋体"/>
          <w:b/>
          <w:bCs/>
          <w:color w:val="auto"/>
          <w:spacing w:val="7"/>
          <w:sz w:val="24"/>
          <w:szCs w:val="24"/>
          <w:highlight w:val="none"/>
          <w:lang w:val="zh-CN"/>
        </w:rPr>
      </w:pPr>
      <w:r>
        <w:rPr>
          <w:rStyle w:val="936"/>
          <w:rFonts w:hint="eastAsia" w:ascii="宋体" w:hAnsi="宋体"/>
          <w:b/>
          <w:bCs/>
          <w:color w:val="auto"/>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36"/>
          <w:rFonts w:hint="eastAsia" w:ascii="宋体" w:hAnsi="宋体"/>
          <w:color w:val="auto"/>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bookmarkStart w:id="122" w:name="EB3164982f155e42e086cd4685f4d2aafa"/>
      <w:r/>
      <w:bookmarkEnd w:id="122"/>
      <w: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r/>
    </w:p>
    <w:p>
      <w:pPr>
        <w:ind w:firstLine="482"/>
        <w:keepLines/>
        <w:keepNext/>
        <w:spacing w:line="440" w:lineRule="exact"/>
        <w:rPr>
          <w:rFonts w:hint="eastAsia" w:ascii="宋体" w:hAnsi="宋体"/>
          <w:b/>
          <w:bCs/>
          <w:color w:val="auto"/>
          <w:sz w:val="24"/>
          <w:szCs w:val="24"/>
          <w:highlight w:val="none"/>
        </w:rPr>
        <w:outlineLvl w:val="3"/>
      </w:pPr>
      <w:r/>
      <w:bookmarkStart w:id="123" w:name="_Toc513029233"/>
      <w:r/>
      <w:bookmarkStart w:id="124" w:name="_Toc16938549"/>
      <w:r/>
      <w:bookmarkStart w:id="125" w:name="_Toc20823305"/>
      <w:r>
        <w:rPr>
          <w:rFonts w:hint="eastAsia" w:ascii="宋体" w:hAnsi="宋体"/>
          <w:b/>
          <w:bCs/>
          <w:color w:val="auto"/>
          <w:sz w:val="24"/>
          <w:szCs w:val="24"/>
          <w:highlight w:val="none"/>
        </w:rPr>
        <w:t xml:space="preserve">26</w:t>
      </w:r>
      <w:bookmarkEnd w:id="123"/>
      <w:r/>
      <w:bookmarkEnd w:id="124"/>
      <w:r/>
      <w:bookmarkEnd w:id="125"/>
      <w:r>
        <w:rPr>
          <w:rFonts w:hint="eastAsia" w:ascii="宋体" w:hAnsi="宋体"/>
          <w:b/>
          <w:bCs/>
          <w:color w:val="auto"/>
          <w:sz w:val="24"/>
          <w:szCs w:val="24"/>
          <w:highlight w:val="none"/>
        </w:rPr>
        <w:t xml:space="preserve">.对投标文件的初审</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采购人或者采购代理机构依法对投标人的资格进行审查。</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p>
    <w:p>
      <w:pPr>
        <w:ind w:firstLine="505"/>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（2）大写金额和小写金额不一致的，以大写金额为准；</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（3）单价金额小数点或者百分比有明显错位的，以开标一览表的总价为准，并修改单价；</w:t>
      </w:r>
      <w:r/>
    </w:p>
    <w:p>
      <w:pPr>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（4）总价金额与按单价汇总金额不一致的，以单价金额计算结果为准。</w:t>
      </w:r>
      <w:r/>
    </w:p>
    <w:p>
      <w:pPr>
        <w:ind w:firstLine="480"/>
        <w:jc w:val="left"/>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26.5评委会将允许修正投标文件中不构成重大偏离的、微小的、非正规的、不一致的或不规则的地方，但这些修改不能影响任何投标人相应的名次排列。</w:t>
      </w:r>
      <w:bookmarkStart w:id="126" w:name="EB8e3ec86c09a94dac9cc9034e6027ee19"/>
      <w:r/>
      <w:bookmarkEnd w:id="126"/>
      <w:r/>
      <w:r/>
    </w:p>
    <w:p>
      <w:pPr>
        <w:pStyle w:val="774"/>
        <w:spacing w:line="440" w:lineRule="exact"/>
        <w:rPr>
          <w:rFonts w:hint="eastAsia"/>
          <w:b/>
          <w:bCs/>
          <w:color w:val="auto"/>
          <w:highlight w:val="none"/>
        </w:rPr>
      </w:pPr>
      <w:r>
        <w:rPr>
          <w:rFonts w:hint="eastAsia"/>
          <w:b/>
          <w:bCs/>
          <w:color w:val="auto"/>
          <w:highlight w:val="none"/>
        </w:rPr>
        <w:t xml:space="preserve">26.6 异常低价投标审查</w:t>
      </w:r>
      <w:r/>
    </w:p>
    <w:p>
      <w:pPr>
        <w:pStyle w:val="774"/>
        <w:spacing w:line="440" w:lineRule="exact"/>
        <w:rPr>
          <w:rFonts w:hint="eastAsia" w:ascii="宋体" w:hAnsi="宋体" w:eastAsia="宋体" w:cs="宋体"/>
          <w:sz w:val="24"/>
          <w:szCs w:val="28"/>
          <w:highlight w:val="none"/>
        </w:rPr>
      </w:pPr>
      <w:r/>
      <w:bookmarkStart w:id="127" w:name="_Toc513029234"/>
      <w:r/>
      <w:bookmarkStart w:id="128" w:name="_Toc20823306"/>
      <w:r/>
      <w:bookmarkStart w:id="129" w:name="_Toc16938550"/>
      <w:r>
        <w:rPr>
          <w:rFonts w:hint="eastAsia"/>
          <w:highlight w:val="none"/>
        </w:rPr>
        <w:t xml:space="preserve">26.6.1</w:t>
      </w:r>
      <w:r>
        <w:rPr>
          <w:rFonts w:hint="eastAsia" w:ascii="宋体" w:hAnsi="宋体" w:eastAsia="宋体" w:cs="宋体"/>
          <w:sz w:val="24"/>
          <w:szCs w:val="28"/>
          <w:highlight w:val="none"/>
        </w:rPr>
        <w:t xml:space="preserve">评审过程中出现下列情形之一的，评审委员会应当启动异常低价投标审查程序：</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1.投标（响应）报价低于全部通过符合性审查供应商投标（响应）报价平均50%的，即投标（响应）报价&lt;全部通过符合性审查供应商投标（响应）报价平均值×50%；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3.投标（响应）报价低于采购项目最高限价45%的，即投标（响应）报价&lt;采购项目最高限价×45%；</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8"/>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8"/>
        </w:rPr>
        <w:t xml:space="preserve">26.6.</w:t>
      </w:r>
      <w:r>
        <w:rPr>
          <w:rFonts w:hint="eastAsia" w:ascii="宋体" w:hAnsi="宋体" w:cs="宋体"/>
          <w:sz w:val="24"/>
          <w:szCs w:val="28"/>
          <w:lang w:val="en-US" w:eastAsia="zh-CN"/>
        </w:rPr>
        <w:t xml:space="preserve">2</w:t>
      </w:r>
      <w:r>
        <w:rPr>
          <w:rFonts w:hint="eastAsia" w:ascii="宋体" w:hAnsi="宋体" w:eastAsia="宋体" w:cs="宋体"/>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highlight w:val="yellow"/>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27</w:t>
      </w:r>
      <w:bookmarkEnd w:id="127"/>
      <w:r/>
      <w:bookmarkEnd w:id="128"/>
      <w:r/>
      <w:bookmarkEnd w:id="129"/>
      <w:r>
        <w:rPr>
          <w:rFonts w:hint="eastAsia" w:ascii="宋体" w:hAnsi="宋体"/>
          <w:b/>
          <w:bCs/>
          <w:color w:val="auto"/>
          <w:sz w:val="24"/>
          <w:szCs w:val="24"/>
          <w:highlight w:val="none"/>
        </w:rPr>
        <w:t xml:space="preserve">.无效投标条款和废标条款</w:t>
      </w:r>
      <w:r/>
    </w:p>
    <w:p>
      <w:pPr>
        <w:pStyle w:val="952"/>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 无效投标条款</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 投标人未按照招标文件要求上传电子投标文件的；</w:t>
      </w:r>
      <w:r/>
    </w:p>
    <w:p>
      <w:pPr>
        <w:pStyle w:val="953"/>
        <w:ind w:firstLine="508"/>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27.1.2 投标人在规定时间内不解密投标文件或未成功解密投标文件的（因系统原因导致的除外)；</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27.1.3 投标文件中没有《开标一览表》或《开标一览表》未加盖投标人公章的；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27.1.4 投标文件中任何有选择的报价；</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27.1.5 投标文件报价出现前后不一致的，按招标文件规定修正后投标人不确认的；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27.1.6 不同投标人的投标文件由同一单位或者个人编制；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27.1.7 不同投标人委托同一单位或者个人办理投标事宜；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27.1.8 不同投标人的投标文件制作机器码一致的；</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27.1.9 不同投标人的投标文件载明的项目管理成员或者联系人员为同一人；</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27.1.10 不同投标人的投标文件异常一致或者投标报价呈规律性差异；</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27.1.11 </w:t>
      </w:r>
      <w:r>
        <w:rPr>
          <w:rStyle w:val="936"/>
          <w:rFonts w:hint="eastAsia" w:ascii="宋体" w:hAnsi="宋体"/>
          <w:b/>
          <w:bCs/>
          <w:color w:val="auto"/>
          <w:spacing w:val="7"/>
          <w:sz w:val="24"/>
          <w:szCs w:val="24"/>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936"/>
          <w:rFonts w:hint="eastAsia" w:ascii="宋体" w:hAnsi="宋体"/>
          <w:color w:val="auto"/>
          <w:spacing w:val="7"/>
          <w:sz w:val="24"/>
          <w:szCs w:val="24"/>
          <w:highlight w:val="none"/>
        </w:rPr>
        <w:t xml:space="preserve">；</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27.1.14 不同供应商的单位负责人为同一人或者存在直接控股、管理关系的；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27.1.15 为采购项目提供整体设计、规范编制或者项目管理、监理、检测等服务的；</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27.1.16 资格证明文件中要求加盖公章而未加盖公章的；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27.1.17 投标文件未按招标文件要求签署、盖章的；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27.1.18 不具备招标文件中规定的资格要求或未按招标文件规定的要求提供资格证明文件的；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27.1.19 报价超过招标文件中规定的预算金额或者最高限价的；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27.1.20 投标文件含有采购人不能接受的附加条件的； </w:t>
      </w:r>
      <w:r/>
    </w:p>
    <w:p>
      <w:pPr>
        <w:pStyle w:val="953"/>
        <w:ind w:firstLine="500"/>
        <w:spacing w:line="440" w:lineRule="exact"/>
        <w:rPr>
          <w:rStyle w:val="936"/>
          <w:rFonts w:hint="eastAsia" w:ascii="宋体" w:hAnsi="宋体"/>
          <w:b/>
          <w:bCs/>
          <w:color w:val="auto"/>
          <w:spacing w:val="7"/>
          <w:sz w:val="24"/>
          <w:szCs w:val="24"/>
          <w:highlight w:val="none"/>
        </w:rPr>
      </w:pPr>
      <w:r>
        <w:rPr>
          <w:rStyle w:val="936"/>
          <w:rFonts w:hint="eastAsia" w:ascii="宋体" w:hAnsi="宋体"/>
          <w:b/>
          <w:bCs/>
          <w:color w:val="auto"/>
          <w:spacing w:val="7"/>
          <w:sz w:val="24"/>
          <w:szCs w:val="24"/>
          <w:highlight w:val="none"/>
        </w:rPr>
        <w:t xml:space="preserve">27.1.21 不响应招标文件中规定的实质性要求的（本招标文件中斜体且有下划线部分为实质性要求）；</w:t>
      </w:r>
      <w:r>
        <w:rPr>
          <w:rStyle w:val="936"/>
          <w:rFonts w:hint="eastAsia" w:ascii="宋体" w:hAnsi="宋体"/>
          <w:color w:val="auto"/>
          <w:spacing w:val="7"/>
          <w:sz w:val="24"/>
          <w:szCs w:val="24"/>
          <w:highlight w:val="none"/>
        </w:rPr>
        <w:t xml:space="preserve"> </w:t>
      </w:r>
      <w:r/>
    </w:p>
    <w:p>
      <w:pPr>
        <w:pStyle w:val="953"/>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27.1.22 法律、法规和采购文件规定的其他无效情形; </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27.2 废标条款：</w:t>
      </w:r>
      <w:r/>
    </w:p>
    <w:p>
      <w:pPr>
        <w:pStyle w:val="954"/>
        <w:ind w:firstLine="508"/>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(1)符合专业条件的供应商或者对招标文件作实质响应的供应商不足三家的； </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(2)出现影响采购公正的违法、违规行为的；</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(3)投标人的报价均超过了采购预算，采购人不能支付的；</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(4)因重大变故，采购任务取消的。</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(5)因苏采云系统系统故障原因造成开标不成功的。</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27.3 投标截止时间结束后参加投标的供应商不足三家的处理：</w:t>
      </w:r>
      <w:r/>
    </w:p>
    <w:p>
      <w:pPr>
        <w:pStyle w:val="954"/>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44"/>
        <w:ind w:firstLine="482"/>
        <w:jc w:val="left"/>
        <w:spacing w:before="0" w:after="0" w:line="440" w:lineRule="exact"/>
        <w:rPr>
          <w:rStyle w:val="945"/>
          <w:rFonts w:hint="eastAsia" w:ascii="宋体" w:hAnsi="宋体"/>
          <w:b w:val="0"/>
          <w:bCs w:val="0"/>
          <w:color w:val="auto"/>
          <w:sz w:val="24"/>
          <w:szCs w:val="24"/>
          <w:highlight w:val="none"/>
        </w:rPr>
      </w:pPr>
      <w:r/>
      <w:bookmarkStart w:id="130" w:name="_Toc20823307"/>
      <w:r/>
      <w:bookmarkStart w:id="131" w:name="_Toc513029235"/>
      <w:r/>
      <w:bookmarkStart w:id="132" w:name="_Toc16938551"/>
      <w:r/>
      <w:bookmarkStart w:id="133" w:name="_Toc28184"/>
      <w:r/>
      <w:bookmarkStart w:id="134" w:name="_Toc120614219"/>
      <w:r/>
      <w:bookmarkStart w:id="135" w:name="_Toc38368125"/>
      <w:r/>
      <w:bookmarkStart w:id="136" w:name="_Toc54615244"/>
      <w:r/>
      <w:bookmarkStart w:id="137" w:name="_Toc35266025"/>
      <w:r>
        <w:rPr>
          <w:rStyle w:val="945"/>
          <w:rFonts w:hint="eastAsia" w:ascii="宋体" w:hAnsi="宋体"/>
          <w:b w:val="0"/>
          <w:bCs w:val="0"/>
          <w:color w:val="auto"/>
          <w:sz w:val="24"/>
          <w:szCs w:val="24"/>
          <w:highlight w:val="none"/>
        </w:rPr>
        <w:t xml:space="preserve">六、</w:t>
      </w:r>
      <w:bookmarkEnd w:id="130"/>
      <w:r/>
      <w:bookmarkEnd w:id="131"/>
      <w:r/>
      <w:bookmarkEnd w:id="132"/>
      <w:r>
        <w:rPr>
          <w:rStyle w:val="945"/>
          <w:rFonts w:hint="eastAsia" w:ascii="宋体" w:hAnsi="宋体"/>
          <w:b w:val="0"/>
          <w:bCs w:val="0"/>
          <w:color w:val="auto"/>
          <w:sz w:val="24"/>
          <w:szCs w:val="24"/>
          <w:highlight w:val="none"/>
        </w:rPr>
        <w:t xml:space="preserve">定标</w:t>
      </w:r>
      <w:bookmarkEnd w:id="133"/>
      <w:r/>
      <w:bookmarkEnd w:id="134"/>
      <w:r/>
      <w:bookmarkEnd w:id="135"/>
      <w:r/>
      <w:bookmarkEnd w:id="136"/>
      <w:r/>
      <w:bookmarkEnd w:id="137"/>
      <w:r/>
      <w:r/>
    </w:p>
    <w:p>
      <w:pPr>
        <w:ind w:firstLine="482"/>
        <w:keepLines/>
        <w:keepNext/>
        <w:spacing w:line="440" w:lineRule="exact"/>
        <w:rPr>
          <w:rFonts w:hint="eastAsia" w:ascii="宋体" w:hAnsi="宋体"/>
          <w:b/>
          <w:bCs/>
          <w:color w:val="auto"/>
          <w:sz w:val="24"/>
          <w:szCs w:val="24"/>
          <w:highlight w:val="none"/>
        </w:rPr>
        <w:outlineLvl w:val="3"/>
      </w:pPr>
      <w:r/>
      <w:bookmarkStart w:id="138" w:name="_Toc513029238"/>
      <w:r/>
      <w:bookmarkStart w:id="139" w:name="_Toc20823310"/>
      <w:r/>
      <w:bookmarkStart w:id="140" w:name="_Toc16938554"/>
      <w:r>
        <w:rPr>
          <w:rFonts w:hint="eastAsia" w:ascii="宋体" w:hAnsi="宋体"/>
          <w:b/>
          <w:bCs/>
          <w:color w:val="auto"/>
          <w:sz w:val="24"/>
          <w:szCs w:val="24"/>
          <w:highlight w:val="none"/>
        </w:rPr>
        <w:t xml:space="preserve">28</w:t>
      </w:r>
      <w:bookmarkEnd w:id="138"/>
      <w:r>
        <w:rPr>
          <w:rFonts w:hint="eastAsia" w:ascii="宋体" w:hAnsi="宋体"/>
          <w:b/>
          <w:bCs/>
          <w:color w:val="auto"/>
          <w:sz w:val="24"/>
          <w:szCs w:val="24"/>
          <w:highlight w:val="none"/>
        </w:rPr>
        <w:t xml:space="preserve">.确定</w:t>
      </w:r>
      <w:bookmarkEnd w:id="139"/>
      <w:r/>
      <w:bookmarkEnd w:id="140"/>
      <w:r>
        <w:rPr>
          <w:rFonts w:hint="eastAsia" w:ascii="宋体" w:hAnsi="宋体"/>
          <w:b/>
          <w:bCs/>
          <w:color w:val="auto"/>
          <w:sz w:val="24"/>
          <w:szCs w:val="24"/>
          <w:highlight w:val="none"/>
        </w:rPr>
        <w:t xml:space="preserve">中标单位</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28.1评委会根据本招标文件规定评标办法与评标标准向采购人推荐出1名中标候选人。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28.2采购人应根据评委会推荐的中标候选人确定中标人。</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28.3</w:t>
      </w:r>
      <w:r>
        <w:rPr>
          <w:rFonts w:hint="eastAsia" w:ascii="宋体" w:hAnsi="宋体"/>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28.4若有充分证据证明，中标人出现下列情况之一的，一经查实，中标无效：</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（1）提供虚假材料谋取中标的；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（2）采取不正当手段诋毁、排挤其他供应商的；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（3）与采购人、其他供应商或者采购代理机构恶意串通的；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（4）向采购人、采购代理机构行贿或者提供其他不正当利益的；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（5）在招标采购过程中与采购人进行协商谈判的；</w:t>
      </w:r>
      <w:r/>
    </w:p>
    <w:p>
      <w:pPr>
        <w:ind w:firstLine="480"/>
        <w:spacing w:line="440" w:lineRule="exact"/>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（6）向评标委员会行贿或者提供其他不正当利益。</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29.质疑</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29.1质疑形式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29.1.2质疑必须按《政府采购法》、《政府采购法实施条例》及财政部94号令的相关规定提交，未按上述要求提交的质疑函</w:t>
      </w:r>
      <w:bookmarkStart w:id="141" w:name="EB0a0bb8d9f8954ef79aa564dbfd72d9f1"/>
      <w:r>
        <w:rPr>
          <w:rFonts w:hint="eastAsia" w:ascii="宋体" w:hAnsi="宋体"/>
          <w:color w:val="auto"/>
          <w:sz w:val="24"/>
          <w:szCs w:val="24"/>
          <w:highlight w:val="none"/>
        </w:rPr>
        <w:t xml:space="preserve">公共资源交易中心</w:t>
      </w:r>
      <w:bookmarkEnd w:id="141"/>
      <w:r>
        <w:rPr>
          <w:rFonts w:hint="eastAsia" w:ascii="宋体" w:hAnsi="宋体"/>
          <w:color w:val="auto"/>
          <w:sz w:val="24"/>
          <w:szCs w:val="24"/>
          <w:highlight w:val="none"/>
        </w:rPr>
        <w:t xml:space="preserve">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29.1.3质疑函应当包括下列内容：</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29.1.3.1供应商的姓名或者名称、地址、邮编、联系人及联系电话；</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29.1.3.2质疑项目的名称、编号；</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29.1.3.3具体、明确的质疑事项和与质疑事项相关的请求；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29.1.3.4事实依据；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29.1.3.5必要的法律依据；</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29.1.3.6提出质疑的日期。</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29.1.5质疑的送达方式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29.1.5.1质疑函应采用邮寄送达或直接送达的方式递交，采用其他方式送达（含传真、电子邮件等）的，公共资源交易中心有权不予受理。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29.2特别提示</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29.2.1根据财政部94号令第十一条规定，提出质疑的供应商应当是参与所质疑项目采购活动的供应商。</w:t>
      </w:r>
      <w:r>
        <w:rPr>
          <w:rFonts w:hint="eastAsia" w:ascii="宋体" w:hAnsi="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29.2.2供应商在法定质疑期内应一次性提出针对同一采购程序环节的质疑。</w:t>
      </w:r>
      <w:r/>
    </w:p>
    <w:p>
      <w:pPr>
        <w:ind w:firstLine="24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2" w:name="EB099f29e99fec42e0b68e9bb29a0c4ea8"/>
      <w:r>
        <w:rPr>
          <w:rFonts w:hint="eastAsia" w:ascii="宋体" w:hAnsi="宋体"/>
          <w:color w:val="auto"/>
          <w:sz w:val="24"/>
          <w:szCs w:val="24"/>
          <w:highlight w:val="none"/>
        </w:rPr>
        <w:t xml:space="preserve">公共资源交易中心</w:t>
      </w:r>
      <w:bookmarkEnd w:id="142"/>
      <w:r>
        <w:rPr>
          <w:rFonts w:hint="eastAsia" w:ascii="宋体" w:hAnsi="宋体"/>
          <w:color w:val="auto"/>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29.3其他</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29.3.1采购人或</w:t>
      </w:r>
      <w:bookmarkStart w:id="143" w:name="EB8773124fd4fb4b248e75c3aa7fb3bbda"/>
      <w:r>
        <w:rPr>
          <w:rFonts w:hint="eastAsia" w:ascii="宋体" w:hAnsi="宋体"/>
          <w:color w:val="auto"/>
          <w:sz w:val="24"/>
          <w:szCs w:val="24"/>
          <w:highlight w:val="none"/>
        </w:rPr>
        <w:t xml:space="preserve">公共资源交易中心</w:t>
      </w:r>
      <w:bookmarkEnd w:id="143"/>
      <w:r>
        <w:rPr>
          <w:rFonts w:hint="eastAsia" w:ascii="宋体" w:hAnsi="宋体"/>
          <w:color w:val="auto"/>
          <w:sz w:val="24"/>
          <w:szCs w:val="24"/>
          <w:highlight w:val="none"/>
        </w:rPr>
        <w:t xml:space="preserve">将在收到供应商的质疑后七个工作日内作出答复，答复的内容不涉及商业秘密。</w:t>
      </w:r>
      <w:r/>
    </w:p>
    <w:p>
      <w:pPr>
        <w:ind w:firstLine="482"/>
        <w:keepLines/>
        <w:keepNext/>
        <w:spacing w:line="440" w:lineRule="exact"/>
        <w:rPr>
          <w:rFonts w:hint="eastAsia" w:ascii="宋体" w:hAnsi="宋体"/>
          <w:b/>
          <w:bCs/>
          <w:color w:val="auto"/>
          <w:sz w:val="24"/>
          <w:szCs w:val="24"/>
          <w:highlight w:val="none"/>
        </w:rPr>
        <w:outlineLvl w:val="3"/>
      </w:pPr>
      <w:r>
        <w:rPr>
          <w:rFonts w:hint="eastAsia" w:ascii="宋体" w:hAnsi="宋体"/>
          <w:b/>
          <w:bCs/>
          <w:color w:val="auto"/>
          <w:sz w:val="24"/>
          <w:szCs w:val="24"/>
          <w:highlight w:val="none"/>
        </w:rPr>
        <w:t xml:space="preserve">30.中标通知书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30.l在中标结果确定后2个工作日内，</w:t>
      </w:r>
      <w:bookmarkStart w:id="144" w:name="EB74ca8e7cbd0c43048dde3bacda3415fd"/>
      <w:r>
        <w:rPr>
          <w:rFonts w:hint="eastAsia" w:ascii="宋体" w:hAnsi="宋体"/>
          <w:color w:val="auto"/>
          <w:sz w:val="24"/>
          <w:szCs w:val="24"/>
          <w:highlight w:val="none"/>
        </w:rPr>
        <w:t xml:space="preserve">公共资源交易中心</w:t>
      </w:r>
      <w:bookmarkEnd w:id="144"/>
      <w:r>
        <w:rPr>
          <w:rFonts w:hint="eastAsia" w:ascii="宋体" w:hAnsi="宋体"/>
          <w:color w:val="auto"/>
          <w:sz w:val="24"/>
          <w:szCs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七、授予合同</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31. 签订合同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31.l</w:t>
      </w:r>
      <w:r>
        <w:rPr>
          <w:rFonts w:hint="eastAsia" w:ascii="宋体" w:hAnsi="宋体"/>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31.3 签订合同后，中标人不得将货物及其他相关服务进行转包和分包</w:t>
      </w:r>
      <w:r>
        <w:rPr>
          <w:rFonts w:hint="eastAsia" w:ascii="宋体" w:hAnsi="宋体"/>
          <w:color w:val="auto"/>
          <w:sz w:val="24"/>
          <w:szCs w:val="24"/>
          <w:highlight w:val="none"/>
        </w:rPr>
        <w:t xml:space="preserve">。</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32.履约保证金</w:t>
      </w:r>
      <w:r/>
    </w:p>
    <w:p>
      <w:pPr>
        <w:pStyle w:val="955"/>
        <w:ind w:firstLine="500"/>
        <w:spacing w:line="440" w:lineRule="exact"/>
        <w:rPr>
          <w:rStyle w:val="936"/>
          <w:rFonts w:hint="eastAsia" w:ascii="宋体" w:hAnsi="宋体"/>
          <w:color w:val="auto"/>
          <w:spacing w:val="7"/>
          <w:sz w:val="24"/>
          <w:szCs w:val="24"/>
          <w:highlight w:val="none"/>
        </w:rPr>
      </w:pPr>
      <w:r>
        <w:rPr>
          <w:rStyle w:val="936"/>
          <w:rFonts w:hint="eastAsia" w:ascii="宋体" w:hAnsi="宋体"/>
          <w:color w:val="auto"/>
          <w:spacing w:val="7"/>
          <w:sz w:val="24"/>
          <w:szCs w:val="24"/>
          <w:highlight w:val="none"/>
        </w:rPr>
        <w:t xml:space="preserve">32.1合同签订前，中标人向采购单位交付的履约保证金为合同总价款的</w:t>
      </w:r>
      <w:r>
        <w:rPr>
          <w:rStyle w:val="936"/>
          <w:rFonts w:hint="eastAsia" w:ascii="宋体" w:hAnsi="宋体"/>
          <w:color w:val="auto"/>
          <w:spacing w:val="7"/>
          <w:sz w:val="24"/>
          <w:szCs w:val="24"/>
          <w:highlight w:val="none"/>
          <w:lang w:val="en-US"/>
        </w:rPr>
        <w:t xml:space="preserve">2</w:t>
      </w:r>
      <w:r>
        <w:rPr>
          <w:rStyle w:val="936"/>
          <w:rFonts w:hint="eastAsia" w:ascii="宋体" w:hAnsi="宋体"/>
          <w:color w:val="auto"/>
          <w:spacing w:val="7"/>
          <w:sz w:val="24"/>
          <w:szCs w:val="24"/>
          <w:highlight w:val="none"/>
        </w:rPr>
        <w:t xml:space="preserve">％。</w:t>
      </w:r>
      <w:bookmarkStart w:id="145" w:name="EB8c6891da72364e93a7598f4884fbe954"/>
      <w:r/>
      <w:bookmarkEnd w:id="145"/>
      <w:r>
        <w:rPr>
          <w:rStyle w:val="936"/>
          <w:rFonts w:hint="eastAsia" w:ascii="宋体" w:hAnsi="宋体"/>
          <w:color w:val="auto"/>
          <w:spacing w:val="7"/>
          <w:sz w:val="24"/>
          <w:szCs w:val="24"/>
          <w:highlight w:val="none"/>
        </w:rPr>
        <w:t xml:space="preserve">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32.2履约保证金必须是人民币。</w:t>
      </w:r>
      <w:r>
        <w:rPr>
          <w:rFonts w:hint="eastAsia" w:ascii="宋体" w:hAnsi="宋体"/>
          <w:color w:val="auto"/>
          <w:sz w:val="24"/>
          <w:szCs w:val="24"/>
          <w:highlight w:val="none"/>
        </w:rPr>
        <w:t xml:space="preserve">履约保证金应当以支票、汇票、本票或者金融机构、担保机构出具的保函等非现金形式提交。</w:t>
      </w:r>
      <w:r/>
    </w:p>
    <w:p>
      <w:pPr>
        <w:ind w:firstLine="48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33.货物和服务的追加、添购</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2"/>
        <w:keepLines/>
        <w:keepNext/>
        <w:spacing w:line="440" w:lineRule="exact"/>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34.监督和公证</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34.1政府有关监督部门将对投标全过程进行监督。</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34.2 招标代理机构的采购过程将通过公证机关进行公证。</w:t>
      </w:r>
      <w:r/>
    </w:p>
    <w:p>
      <w:pPr>
        <w:pStyle w:val="943"/>
        <w:pageBreakBefore/>
        <w:spacing w:line="360" w:lineRule="auto"/>
        <w:rPr>
          <w:rFonts w:hint="eastAsia" w:ascii="宋体" w:hAnsi="宋体" w:eastAsia="宋体"/>
          <w:color w:val="auto"/>
          <w:highlight w:val="none"/>
        </w:rPr>
      </w:pPr>
      <w:r/>
      <w:bookmarkStart w:id="146" w:name="_Toc31775"/>
      <w:r/>
      <w:bookmarkStart w:id="147" w:name="_Toc35266027"/>
      <w:r/>
      <w:bookmarkStart w:id="148" w:name="_Toc22460"/>
      <w:r/>
      <w:bookmarkStart w:id="149" w:name="_Toc12745"/>
      <w:r/>
      <w:bookmarkStart w:id="150" w:name="_Toc3449"/>
      <w:r/>
      <w:bookmarkStart w:id="151" w:name="_Toc54615245"/>
      <w:r/>
      <w:bookmarkStart w:id="152" w:name="_Toc38368127"/>
      <w:r>
        <w:rPr>
          <w:rFonts w:hint="eastAsia" w:ascii="宋体" w:hAnsi="宋体" w:eastAsia="宋体"/>
          <w:color w:val="auto"/>
          <w:highlight w:val="none"/>
        </w:rPr>
        <w:t xml:space="preserve">第三章 合同条款及格式</w:t>
      </w:r>
      <w:bookmarkEnd w:id="146"/>
      <w:r/>
      <w:bookmarkEnd w:id="147"/>
      <w:r/>
      <w:bookmarkEnd w:id="148"/>
      <w:r/>
      <w:bookmarkEnd w:id="149"/>
      <w:r/>
      <w:bookmarkEnd w:id="150"/>
      <w:r/>
      <w:bookmarkEnd w:id="151"/>
      <w:r/>
      <w:bookmarkEnd w:id="152"/>
      <w:r/>
      <w:r/>
    </w:p>
    <w:p>
      <w:pPr>
        <w:pStyle w:val="956"/>
        <w:ind w:firstLine="480"/>
        <w:spacing w:line="440" w:lineRule="exact"/>
        <w:rPr>
          <w:rStyle w:val="936"/>
          <w:rFonts w:hAnsi="宋体" w:eastAsia="Times New Roman"/>
          <w:color w:val="auto"/>
          <w:sz w:val="24"/>
          <w:highlight w:val="none"/>
        </w:rPr>
      </w:pPr>
      <w:r>
        <w:rPr>
          <w:rStyle w:val="936"/>
          <w:rFonts w:hAnsi="宋体" w:eastAsia="Times New Roman"/>
          <w:color w:val="auto"/>
          <w:sz w:val="24"/>
          <w:highlight w:val="none"/>
        </w:rPr>
        <w:t xml:space="preserve">以下为中标</w:t>
      </w:r>
      <w:r>
        <w:rPr>
          <w:rStyle w:val="936"/>
          <w:rFonts w:hint="eastAsia" w:ascii="宋体" w:hAnsi="宋体"/>
          <w:color w:val="auto"/>
          <w:sz w:val="24"/>
          <w:highlight w:val="none"/>
        </w:rPr>
        <w:t xml:space="preserve">(</w:t>
      </w:r>
      <w:r>
        <w:rPr>
          <w:rStyle w:val="936"/>
          <w:rFonts w:hAnsi="宋体" w:eastAsia="Times New Roman"/>
          <w:color w:val="auto"/>
          <w:sz w:val="24"/>
          <w:highlight w:val="none"/>
        </w:rPr>
        <w:t xml:space="preserve">成交</w:t>
      </w:r>
      <w:r>
        <w:rPr>
          <w:rStyle w:val="936"/>
          <w:rFonts w:hint="eastAsia" w:ascii="宋体" w:hAnsi="宋体"/>
          <w:color w:val="auto"/>
          <w:sz w:val="24"/>
          <w:highlight w:val="none"/>
        </w:rPr>
        <w:t xml:space="preserve">)</w:t>
      </w:r>
      <w:r>
        <w:rPr>
          <w:rStyle w:val="936"/>
          <w:rFonts w:hAnsi="宋体" w:eastAsia="Times New Roman"/>
          <w:color w:val="auto"/>
          <w:sz w:val="24"/>
          <w:highlight w:val="none"/>
        </w:rPr>
        <w:t xml:space="preserve">后签定本项目合同的通用条款，中标</w:t>
      </w:r>
      <w:r>
        <w:rPr>
          <w:rStyle w:val="936"/>
          <w:rFonts w:hint="eastAsia" w:ascii="宋体" w:hAnsi="宋体"/>
          <w:color w:val="auto"/>
          <w:sz w:val="24"/>
          <w:highlight w:val="none"/>
        </w:rPr>
        <w:t xml:space="preserve">(</w:t>
      </w:r>
      <w:r>
        <w:rPr>
          <w:rStyle w:val="936"/>
          <w:rFonts w:hAnsi="宋体" w:eastAsia="Times New Roman"/>
          <w:color w:val="auto"/>
          <w:sz w:val="24"/>
          <w:highlight w:val="none"/>
        </w:rPr>
        <w:t xml:space="preserve">成交</w:t>
      </w:r>
      <w:r>
        <w:rPr>
          <w:rStyle w:val="936"/>
          <w:rFonts w:hint="eastAsia" w:ascii="宋体" w:hAnsi="宋体"/>
          <w:color w:val="auto"/>
          <w:sz w:val="24"/>
          <w:highlight w:val="none"/>
        </w:rPr>
        <w:t xml:space="preserve">)</w:t>
      </w:r>
      <w:r>
        <w:rPr>
          <w:rStyle w:val="936"/>
          <w:rFonts w:hAnsi="宋体" w:eastAsia="Times New Roman"/>
          <w:color w:val="auto"/>
          <w:sz w:val="24"/>
          <w:highlight w:val="none"/>
        </w:rPr>
        <w:t xml:space="preserve">供应商不得提出实质性的修改。</w:t>
      </w:r>
      <w:r/>
    </w:p>
    <w:p>
      <w:pPr>
        <w:pStyle w:val="956"/>
        <w:jc w:val="center"/>
        <w:rPr>
          <w:rStyle w:val="936"/>
          <w:rFonts w:hint="eastAsia"/>
          <w:b/>
          <w:color w:val="auto"/>
          <w:sz w:val="32"/>
          <w:highlight w:val="none"/>
        </w:rPr>
      </w:pPr>
      <w:r>
        <w:rPr>
          <w:rStyle w:val="936"/>
          <w:rFonts w:hint="eastAsia"/>
          <w:b/>
          <w:color w:val="auto"/>
          <w:sz w:val="32"/>
          <w:highlight w:val="none"/>
        </w:rPr>
        <w:t xml:space="preserve">张家港市政府采购合同</w:t>
      </w:r>
      <w:r/>
    </w:p>
    <w:p>
      <w:pPr>
        <w:pStyle w:val="956"/>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项目名称：</w:t>
      </w:r>
      <w:bookmarkStart w:id="153" w:name="biaoduanname_1"/>
      <w:r>
        <w:rPr>
          <w:rStyle w:val="936"/>
          <w:rFonts w:hint="eastAsia" w:ascii="宋体" w:hAnsi="宋体"/>
          <w:color w:val="auto"/>
          <w:sz w:val="24"/>
          <w:highlight w:val="none"/>
        </w:rPr>
        <w:t xml:space="preserve">                   </w:t>
      </w:r>
      <w:bookmarkEnd w:id="153"/>
      <w:r>
        <w:rPr>
          <w:rStyle w:val="936"/>
          <w:rFonts w:hint="eastAsia" w:ascii="宋体" w:hAnsi="宋体"/>
          <w:color w:val="auto"/>
          <w:sz w:val="24"/>
          <w:highlight w:val="none"/>
        </w:rPr>
        <w:t xml:space="preserve">         </w:t>
      </w:r>
      <w:r/>
    </w:p>
    <w:p>
      <w:pPr>
        <w:pStyle w:val="956"/>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项目编号：</w:t>
      </w:r>
      <w:bookmarkStart w:id="154" w:name="projectno"/>
      <w:r>
        <w:rPr>
          <w:rStyle w:val="936"/>
          <w:rFonts w:hint="eastAsia" w:ascii="宋体" w:hAnsi="宋体"/>
          <w:color w:val="auto"/>
          <w:sz w:val="24"/>
          <w:highlight w:val="none"/>
        </w:rPr>
        <w:t xml:space="preserve">                  </w:t>
      </w:r>
      <w:bookmarkEnd w:id="154"/>
      <w:r/>
      <w:r/>
    </w:p>
    <w:p>
      <w:pPr>
        <w:pStyle w:val="956"/>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甲方：（买方）</w:t>
      </w:r>
      <w:r>
        <w:rPr>
          <w:rStyle w:val="936"/>
          <w:rFonts w:hint="eastAsia" w:ascii="宋体" w:hAnsi="宋体"/>
          <w:color w:val="auto"/>
          <w:sz w:val="24"/>
          <w:highlight w:val="none"/>
          <w:u w:val="single"/>
        </w:rPr>
        <w:t xml:space="preserve"> </w:t>
      </w:r>
      <w:bookmarkStart w:id="155" w:name="jianshedanwei_1"/>
      <w:r>
        <w:rPr>
          <w:rStyle w:val="936"/>
          <w:rFonts w:hint="eastAsia" w:ascii="宋体" w:hAnsi="宋体"/>
          <w:color w:val="auto"/>
          <w:sz w:val="24"/>
          <w:highlight w:val="none"/>
          <w:u w:val="single"/>
        </w:rPr>
        <w:t xml:space="preserve">                  </w:t>
      </w:r>
      <w:bookmarkEnd w:id="155"/>
      <w:r>
        <w:rPr>
          <w:rStyle w:val="936"/>
          <w:rFonts w:hint="eastAsia" w:ascii="宋体" w:hAnsi="宋体"/>
          <w:color w:val="auto"/>
          <w:sz w:val="24"/>
          <w:highlight w:val="none"/>
          <w:u w:val="single"/>
        </w:rPr>
        <w:t xml:space="preserve"> </w:t>
      </w:r>
      <w:r/>
    </w:p>
    <w:p>
      <w:pPr>
        <w:pStyle w:val="956"/>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乙方：（卖方）</w:t>
      </w:r>
      <w:r>
        <w:rPr>
          <w:rStyle w:val="936"/>
          <w:rFonts w:hint="eastAsia" w:ascii="宋体" w:hAnsi="宋体"/>
          <w:color w:val="auto"/>
          <w:sz w:val="24"/>
          <w:highlight w:val="none"/>
          <w:u w:val="single"/>
        </w:rPr>
        <w:t xml:space="preserve"> </w:t>
      </w:r>
      <w:bookmarkStart w:id="156" w:name="zhongbiaodanweiname_1"/>
      <w:r>
        <w:rPr>
          <w:rStyle w:val="936"/>
          <w:rFonts w:hint="eastAsia" w:ascii="宋体" w:hAnsi="宋体"/>
          <w:color w:val="auto"/>
          <w:sz w:val="24"/>
          <w:highlight w:val="none"/>
          <w:u w:val="single"/>
        </w:rPr>
        <w:t xml:space="preserve">                    </w:t>
      </w:r>
      <w:bookmarkEnd w:id="156"/>
      <w:r>
        <w:rPr>
          <w:rStyle w:val="936"/>
          <w:rFonts w:hint="eastAsia" w:ascii="宋体" w:hAnsi="宋体"/>
          <w:color w:val="auto"/>
          <w:sz w:val="24"/>
          <w:highlight w:val="none"/>
          <w:u w:val="single"/>
        </w:rPr>
        <w:t xml:space="preserve"> </w:t>
      </w:r>
      <w:r/>
    </w:p>
    <w:p>
      <w:pPr>
        <w:pStyle w:val="956"/>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项目公开招标的结果，签署本合同。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一、货物内容</w:t>
      </w:r>
      <w:r/>
    </w:p>
    <w:tbl>
      <w:tblPr>
        <w:tblStyle w:val="749"/>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001"/>
      </w:tblGrid>
      <w:tr>
        <w:trPr>
          <w:cantSplit/>
          <w:trHeight w:val="789"/>
        </w:trPr>
        <w:tc>
          <w:tcPr>
            <w:tcBorders>
              <w:bottom w:val="single" w:color="auto" w:sz="4" w:space="0"/>
              <w:right w:val="single" w:color="auto" w:sz="4" w:space="0"/>
            </w:tcBorders>
            <w:tcW w:w="3216"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投标货物名称</w:t>
            </w:r>
            <w:r/>
          </w:p>
        </w:tc>
        <w:tc>
          <w:tcPr>
            <w:tcBorders>
              <w:left w:val="single" w:color="auto" w:sz="4" w:space="0"/>
              <w:bottom w:val="single" w:color="auto" w:sz="4" w:space="0"/>
              <w:right w:val="single" w:color="auto" w:sz="4" w:space="0"/>
            </w:tcBorders>
            <w:tcW w:w="2883"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总价（元）</w:t>
            </w:r>
            <w:r/>
          </w:p>
        </w:tc>
        <w:tc>
          <w:tcPr>
            <w:tcBorders>
              <w:left w:val="single" w:color="auto" w:sz="4" w:space="0"/>
              <w:bottom w:val="single" w:color="auto" w:sz="4" w:space="0"/>
            </w:tcBorders>
            <w:tcW w:w="2001" w:type="dxa"/>
            <w:vAlign w:val="center"/>
            <w:textDirection w:val="lrTb"/>
            <w:noWrap w:val="false"/>
          </w:tcPr>
          <w:p>
            <w:pPr>
              <w:jc w:val="cente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tc>
      </w:tr>
      <w:tr>
        <w:trPr>
          <w:cantSplit/>
          <w:trHeight w:val="679"/>
        </w:trPr>
        <w:tc>
          <w:tcPr>
            <w:tcBorders>
              <w:top w:val="single" w:color="auto" w:sz="4" w:space="0"/>
              <w:right w:val="single" w:color="auto" w:sz="4" w:space="0"/>
            </w:tcBorders>
            <w:tcW w:w="3216"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itemname"/>
            <w:r>
              <w:rPr>
                <w:rFonts w:hint="eastAsia" w:ascii="宋体" w:hAnsi="宋体"/>
                <w:color w:val="auto"/>
                <w:sz w:val="24"/>
                <w:szCs w:val="24"/>
                <w:highlight w:val="none"/>
              </w:rPr>
              <w:t xml:space="preserve">      </w:t>
            </w:r>
            <w:bookmarkEnd w:id="157"/>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tc>
        <w:tc>
          <w:tcPr>
            <w:tcBorders>
              <w:top w:val="single" w:color="auto" w:sz="4" w:space="0"/>
              <w:left w:val="single" w:color="auto" w:sz="4" w:space="0"/>
              <w:right w:val="single" w:color="auto" w:sz="4" w:space="0"/>
            </w:tcBorders>
            <w:tcW w:w="2883" w:type="dxa"/>
            <w:vAlign w:val="center"/>
            <w:textDirection w:val="lrTb"/>
            <w:noWrap w:val="false"/>
          </w:tcPr>
          <w:p>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8"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8"/>
            <w:r>
              <w:rPr>
                <w:rFonts w:ascii="宋体" w:hAnsi="宋体"/>
                <w:color w:val="auto"/>
                <w:sz w:val="24"/>
                <w:szCs w:val="24"/>
                <w:highlight w:val="none"/>
              </w:rPr>
              <w:t xml:space="preserve"> </w:t>
            </w:r>
            <w:r/>
          </w:p>
        </w:tc>
        <w:tc>
          <w:tcPr>
            <w:tcBorders>
              <w:top w:val="single" w:color="auto" w:sz="4" w:space="0"/>
              <w:left w:val="single" w:color="auto" w:sz="4" w:space="0"/>
            </w:tcBorders>
            <w:tcW w:w="2001" w:type="dxa"/>
            <w:vAlign w:val="center"/>
            <w:textDirection w:val="lrTb"/>
            <w:noWrap w:val="false"/>
          </w:tcPr>
          <w:p>
            <w:pPr>
              <w:jc w:val="center"/>
              <w:spacing w:before="120" w:after="120" w:line="440" w:lineRule="exact"/>
              <w:rPr>
                <w:rFonts w:ascii="宋体" w:hAnsi="宋体"/>
                <w:color w:val="auto"/>
                <w:sz w:val="24"/>
                <w:szCs w:val="24"/>
                <w:highlight w:val="none"/>
              </w:rPr>
            </w:pPr>
            <w:r>
              <w:rPr>
                <w:rFonts w:ascii="宋体" w:hAnsi="宋体"/>
                <w:color w:val="auto"/>
                <w:sz w:val="24"/>
                <w:szCs w:val="24"/>
                <w:highlight w:val="none"/>
              </w:rPr>
            </w:r>
            <w:r/>
          </w:p>
        </w:tc>
      </w:tr>
    </w:tbl>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二、合同金额</w:t>
      </w:r>
      <w:r/>
    </w:p>
    <w:p>
      <w:pPr>
        <w:pStyle w:val="956"/>
        <w:ind w:firstLine="480"/>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2.1 本合同金额为（大写）：</w:t>
      </w:r>
      <w:r>
        <w:rPr>
          <w:rStyle w:val="936"/>
          <w:rFonts w:hint="eastAsia" w:ascii="宋体" w:hAnsi="宋体"/>
          <w:color w:val="auto"/>
          <w:sz w:val="24"/>
          <w:highlight w:val="none"/>
          <w:u w:val="single"/>
        </w:rPr>
        <w:t xml:space="preserve"> </w:t>
      </w:r>
      <w:bookmarkStart w:id="159" w:name="zhongbiaopriceup"/>
      <w:r>
        <w:rPr>
          <w:rStyle w:val="936"/>
          <w:rFonts w:hint="eastAsia" w:ascii="宋体" w:hAnsi="宋体"/>
          <w:color w:val="auto"/>
          <w:sz w:val="24"/>
          <w:highlight w:val="none"/>
          <w:u w:val="single"/>
        </w:rPr>
        <w:t xml:space="preserve">             </w:t>
      </w:r>
      <w:bookmarkEnd w:id="159"/>
      <w:r>
        <w:rPr>
          <w:rStyle w:val="936"/>
          <w:rFonts w:hint="eastAsia" w:ascii="宋体" w:hAnsi="宋体"/>
          <w:color w:val="auto"/>
          <w:sz w:val="24"/>
          <w:highlight w:val="none"/>
        </w:rPr>
        <w:t xml:space="preserve">（</w:t>
      </w:r>
      <w:r>
        <w:rPr>
          <w:rStyle w:val="936"/>
          <w:rFonts w:hint="eastAsia" w:ascii="宋体" w:hAnsi="宋体"/>
          <w:color w:val="auto"/>
          <w:sz w:val="24"/>
          <w:highlight w:val="none"/>
          <w:u w:val="single"/>
        </w:rPr>
        <w:t xml:space="preserve"> </w:t>
      </w:r>
      <w:bookmarkStart w:id="160" w:name="zhongbiaopricelow"/>
      <w:r>
        <w:rPr>
          <w:rStyle w:val="936"/>
          <w:rFonts w:hint="eastAsia" w:ascii="宋体" w:hAnsi="宋体"/>
          <w:color w:val="auto"/>
          <w:sz w:val="24"/>
          <w:highlight w:val="none"/>
          <w:u w:val="single"/>
        </w:rPr>
        <w:t xml:space="preserve">           </w:t>
      </w:r>
      <w:bookmarkEnd w:id="160"/>
      <w:r>
        <w:rPr>
          <w:rStyle w:val="936"/>
          <w:rFonts w:hint="eastAsia" w:ascii="宋体" w:hAnsi="宋体"/>
          <w:color w:val="auto"/>
          <w:sz w:val="24"/>
          <w:highlight w:val="none"/>
          <w:u w:val="single"/>
        </w:rPr>
        <w:t xml:space="preserve"> </w:t>
      </w:r>
      <w:r>
        <w:rPr>
          <w:rStyle w:val="936"/>
          <w:rFonts w:hint="eastAsia" w:ascii="宋体" w:hAnsi="宋体"/>
          <w:color w:val="auto"/>
          <w:sz w:val="24"/>
          <w:highlight w:val="none"/>
        </w:rPr>
        <w:t xml:space="preserve">元）人民币。</w:t>
      </w:r>
      <w:r/>
    </w:p>
    <w:p>
      <w:pPr>
        <w:ind w:firstLine="472"/>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三、技术资料</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3.1乙方应按招标文件规定的时间向甲方提供使用货物的有关技术资料。</w:t>
      </w:r>
      <w:r/>
    </w:p>
    <w:p>
      <w:pPr>
        <w:ind w:firstLine="36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四、知识产权</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五、产权担保</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 乙方保证所交付的货物的所有权完全属于乙方且无任何抵押、查封等产权瑕疵。</w:t>
      </w:r>
      <w:r/>
    </w:p>
    <w:p>
      <w:pPr>
        <w:pStyle w:val="956"/>
        <w:ind w:left="407"/>
        <w:spacing w:line="440" w:lineRule="exact"/>
        <w:rPr>
          <w:rStyle w:val="936"/>
          <w:rFonts w:hint="eastAsia" w:ascii="宋体" w:hAnsi="宋体"/>
          <w:b/>
          <w:color w:val="auto"/>
          <w:sz w:val="24"/>
          <w:highlight w:val="none"/>
        </w:rPr>
      </w:pPr>
      <w:r>
        <w:rPr>
          <w:rStyle w:val="936"/>
          <w:rFonts w:hint="eastAsia" w:ascii="宋体" w:hAnsi="宋体"/>
          <w:b/>
          <w:color w:val="auto"/>
          <w:sz w:val="24"/>
          <w:highlight w:val="none"/>
        </w:rPr>
        <w:t xml:space="preserve">六、履约保证金</w:t>
      </w:r>
      <w:r/>
    </w:p>
    <w:p>
      <w:pPr>
        <w:pStyle w:val="956"/>
        <w:ind w:firstLine="480"/>
        <w:spacing w:line="440" w:lineRule="exact"/>
        <w:rPr>
          <w:rStyle w:val="936"/>
          <w:rFonts w:hint="eastAsia" w:ascii="宋体" w:hAnsi="宋体"/>
          <w:color w:val="auto"/>
          <w:sz w:val="24"/>
          <w:highlight w:val="none"/>
        </w:rPr>
      </w:pPr>
      <w:r>
        <w:rPr>
          <w:rStyle w:val="936"/>
          <w:rFonts w:hint="eastAsia" w:ascii="宋体" w:hAnsi="宋体"/>
          <w:color w:val="auto"/>
          <w:sz w:val="24"/>
          <w:highlight w:val="none"/>
        </w:rPr>
        <w:t xml:space="preserve">6.1合同签订前，乙方向采购单位交纳人民币</w:t>
      </w:r>
      <w:r>
        <w:rPr>
          <w:rStyle w:val="936"/>
          <w:rFonts w:hint="eastAsia" w:ascii="宋体" w:hAnsi="宋体"/>
          <w:color w:val="auto"/>
          <w:sz w:val="24"/>
          <w:highlight w:val="none"/>
          <w:u w:val="single"/>
        </w:rPr>
        <w:t xml:space="preserve"> </w:t>
      </w:r>
      <w:bookmarkStart w:id="161" w:name="lvbzj"/>
      <w:r>
        <w:rPr>
          <w:rStyle w:val="936"/>
          <w:rFonts w:hint="eastAsia" w:ascii="宋体" w:hAnsi="宋体"/>
          <w:color w:val="auto"/>
          <w:sz w:val="24"/>
          <w:highlight w:val="none"/>
          <w:u w:val="single"/>
        </w:rPr>
        <w:t xml:space="preserve">  </w:t>
      </w:r>
      <w:bookmarkEnd w:id="161"/>
      <w:r>
        <w:rPr>
          <w:rStyle w:val="936"/>
          <w:rFonts w:hint="eastAsia" w:ascii="宋体" w:hAnsi="宋体"/>
          <w:color w:val="auto"/>
          <w:sz w:val="24"/>
          <w:highlight w:val="none"/>
          <w:u w:val="single"/>
        </w:rPr>
        <w:t xml:space="preserve"> </w:t>
      </w:r>
      <w:r>
        <w:rPr>
          <w:rStyle w:val="936"/>
          <w:rFonts w:hint="eastAsia" w:ascii="宋体" w:hAnsi="宋体"/>
          <w:color w:val="auto"/>
          <w:sz w:val="24"/>
          <w:highlight w:val="none"/>
        </w:rPr>
        <w:t xml:space="preserve">元作为本合同的履约保证金。履约保证金应当以支票、汇票、本票或者金融机构、担保机构出具的保函等非现金形式提交。</w:t>
      </w:r>
      <w:r/>
    </w:p>
    <w:p>
      <w:pPr>
        <w:pStyle w:val="957"/>
        <w:spacing w:line="440" w:lineRule="exact"/>
        <w:rPr>
          <w:rFonts w:hint="eastAsia"/>
          <w:color w:val="auto"/>
          <w:highlight w:val="none"/>
        </w:rPr>
      </w:pPr>
      <w:r>
        <w:rPr>
          <w:rFonts w:hint="eastAsia"/>
          <w:color w:val="auto"/>
          <w:highlight w:val="none"/>
        </w:rPr>
        <w:t xml:space="preserve">6.2合同履行完毕退还履约保证金。逾期退还的，应当支付逾期利息，且逾期利息的利率不得低于合同订立时 1 年期贷款市场报价利率。</w:t>
      </w:r>
      <w:r/>
    </w:p>
    <w:p>
      <w:pPr>
        <w:pStyle w:val="957"/>
        <w:spacing w:line="440" w:lineRule="exact"/>
        <w:rPr>
          <w:rFonts w:hint="eastAsia"/>
          <w:color w:val="auto"/>
          <w:highlight w:val="none"/>
        </w:rPr>
      </w:pPr>
      <w:r>
        <w:rPr>
          <w:rFonts w:hint="eastAsia"/>
          <w:color w:val="auto"/>
          <w:highlight w:val="none"/>
        </w:rPr>
        <w:t xml:space="preserve">6.3乙方不履行与甲方订立的合同的，履约保证金不予退还。</w:t>
      </w:r>
      <w:r/>
    </w:p>
    <w:p>
      <w:pPr>
        <w:pStyle w:val="957"/>
        <w:spacing w:line="440" w:lineRule="exact"/>
        <w:rPr>
          <w:rFonts w:hint="eastAsia"/>
          <w:color w:val="auto"/>
          <w:highlight w:val="none"/>
        </w:rPr>
      </w:pPr>
      <w:r>
        <w:rPr>
          <w:rFonts w:hint="eastAsia"/>
          <w:color w:val="auto"/>
          <w:highlight w:val="none"/>
        </w:rPr>
        <w:t xml:space="preserve">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957"/>
        <w:spacing w:line="440" w:lineRule="exact"/>
        <w:rPr>
          <w:rFonts w:hint="eastAsia"/>
          <w:b/>
          <w:color w:val="auto"/>
          <w:highlight w:val="none"/>
        </w:rPr>
      </w:pPr>
      <w:r>
        <w:rPr>
          <w:rFonts w:hint="eastAsia"/>
          <w:b/>
          <w:color w:val="auto"/>
          <w:highlight w:val="none"/>
        </w:rPr>
        <w:t xml:space="preserve">七、转包或分包 </w:t>
      </w:r>
      <w:r/>
    </w:p>
    <w:p>
      <w:pPr>
        <w:pStyle w:val="957"/>
        <w:spacing w:line="440" w:lineRule="exact"/>
        <w:rPr>
          <w:rFonts w:hint="eastAsia"/>
          <w:color w:val="auto"/>
          <w:highlight w:val="none"/>
        </w:rPr>
      </w:pPr>
      <w:r>
        <w:rPr>
          <w:rFonts w:hint="eastAsia"/>
          <w:color w:val="auto"/>
          <w:highlight w:val="none"/>
        </w:rPr>
        <w:t xml:space="preserve">7.1 本合同范围的服务，应由乙方直接提供，不得转让他人提供；</w:t>
      </w:r>
      <w:r/>
    </w:p>
    <w:p>
      <w:pPr>
        <w:pStyle w:val="957"/>
        <w:spacing w:line="440" w:lineRule="exact"/>
        <w:rPr>
          <w:rFonts w:hint="eastAsia"/>
          <w:color w:val="auto"/>
          <w:highlight w:val="none"/>
        </w:rPr>
      </w:pPr>
      <w:r>
        <w:rPr>
          <w:rFonts w:hint="eastAsia"/>
          <w:color w:val="auto"/>
          <w:highlight w:val="none"/>
        </w:rPr>
        <w:t xml:space="preserve">7.2 如有转包和分包行为，甲方有权给予终止合同。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八、交货期、交货方式及交货地点</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 交货期：</w:t>
      </w:r>
      <w:r>
        <w:rPr>
          <w:rFonts w:hint="eastAsia" w:ascii="宋体" w:hAnsi="宋体"/>
          <w:color w:val="auto"/>
          <w:sz w:val="24"/>
          <w:szCs w:val="24"/>
          <w:highlight w:val="none"/>
          <w:u w:val="single"/>
        </w:rPr>
        <w:t xml:space="preserve"> </w:t>
      </w:r>
      <w:bookmarkStart w:id="162" w:name="jiaohuoq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8.2 交货方式：</w:t>
      </w:r>
      <w:r>
        <w:rPr>
          <w:rFonts w:hint="eastAsia" w:ascii="宋体" w:hAnsi="宋体"/>
          <w:color w:val="auto"/>
          <w:sz w:val="24"/>
          <w:szCs w:val="24"/>
          <w:highlight w:val="none"/>
          <w:u w:val="single"/>
        </w:rPr>
        <w:t xml:space="preserve"> </w:t>
      </w:r>
      <w:bookmarkStart w:id="163" w:name="jiaohuofangshi"/>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r/>
    </w:p>
    <w:p>
      <w:pPr>
        <w:ind w:firstLine="480"/>
        <w:spacing w:before="120" w:after="120"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8.3 交货地点：</w:t>
      </w:r>
      <w:r>
        <w:rPr>
          <w:rFonts w:hint="eastAsia" w:ascii="宋体" w:hAnsi="宋体"/>
          <w:color w:val="auto"/>
          <w:sz w:val="24"/>
          <w:szCs w:val="24"/>
          <w:highlight w:val="none"/>
          <w:u w:val="single"/>
        </w:rPr>
        <w:t xml:space="preserve"> </w:t>
      </w:r>
      <w:bookmarkStart w:id="164" w:name="jiaohuodidian"/>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p>
    <w:p>
      <w:pPr>
        <w:pStyle w:val="957"/>
        <w:spacing w:line="440" w:lineRule="exact"/>
        <w:rPr>
          <w:rFonts w:hint="eastAsia"/>
          <w:b/>
          <w:color w:val="auto"/>
          <w:highlight w:val="none"/>
        </w:rPr>
      </w:pPr>
      <w:r>
        <w:rPr>
          <w:rFonts w:hint="eastAsia"/>
          <w:b/>
          <w:color w:val="auto"/>
          <w:highlight w:val="none"/>
        </w:rPr>
        <w:t xml:space="preserve">九、货款支付 </w:t>
      </w:r>
      <w:r/>
    </w:p>
    <w:p>
      <w:pPr>
        <w:pStyle w:val="957"/>
        <w:spacing w:line="440" w:lineRule="exact"/>
        <w:rPr>
          <w:rFonts w:hint="eastAsia"/>
          <w:color w:val="auto"/>
          <w:highlight w:val="none"/>
        </w:rPr>
      </w:pPr>
      <w:r>
        <w:rPr>
          <w:rFonts w:hint="eastAsia"/>
          <w:color w:val="auto"/>
          <w:highlight w:val="none"/>
        </w:rPr>
        <w:t xml:space="preserve">9.1 结付程序：</w:t>
      </w:r>
      <w:r>
        <w:rPr>
          <w:rFonts w:hint="eastAsia"/>
          <w:color w:val="auto"/>
          <w:highlight w:val="none"/>
          <w:u w:val="single"/>
        </w:rPr>
        <w:t xml:space="preserve">       </w:t>
      </w:r>
      <w:r/>
    </w:p>
    <w:p>
      <w:pPr>
        <w:pStyle w:val="957"/>
        <w:spacing w:line="440" w:lineRule="exact"/>
        <w:rPr>
          <w:rFonts w:hint="eastAsia"/>
          <w:color w:val="auto"/>
          <w:highlight w:val="none"/>
        </w:rPr>
      </w:pPr>
      <w:r>
        <w:rPr>
          <w:rFonts w:hint="eastAsia"/>
          <w:color w:val="auto"/>
          <w:highlight w:val="none"/>
        </w:rPr>
        <w:t xml:space="preserve">9.2 结付期限：</w:t>
      </w:r>
      <w:r>
        <w:rPr>
          <w:rFonts w:hint="eastAsia"/>
          <w:color w:val="auto"/>
          <w:highlight w:val="none"/>
          <w:u w:val="single"/>
        </w:rPr>
        <w:t xml:space="preserve">      </w:t>
      </w:r>
      <w:r>
        <w:rPr>
          <w:rFonts w:hint="eastAsia"/>
          <w:color w:val="auto"/>
          <w:highlight w:val="none"/>
        </w:rPr>
        <w:t xml:space="preserve">  </w:t>
      </w:r>
      <w:r/>
    </w:p>
    <w:p>
      <w:pPr>
        <w:pStyle w:val="957"/>
        <w:spacing w:line="440" w:lineRule="exact"/>
        <w:rPr>
          <w:rFonts w:hint="eastAsia"/>
          <w:color w:val="auto"/>
          <w:highlight w:val="none"/>
        </w:rPr>
      </w:pPr>
      <w:r>
        <w:rPr>
          <w:rFonts w:hint="eastAsia"/>
          <w:color w:val="auto"/>
          <w:highlight w:val="none"/>
        </w:rPr>
        <w:t xml:space="preserve">9.3 乙方收款账户：</w:t>
      </w:r>
      <w:r>
        <w:rPr>
          <w:rFonts w:hint="eastAsia"/>
          <w:color w:val="auto"/>
          <w:highlight w:val="none"/>
          <w:u w:val="single"/>
        </w:rPr>
        <w:t xml:space="preserve">      </w:t>
      </w:r>
      <w:r/>
    </w:p>
    <w:p>
      <w:pPr>
        <w:pStyle w:val="957"/>
        <w:spacing w:line="440" w:lineRule="exact"/>
        <w:rPr>
          <w:rFonts w:hint="eastAsia"/>
          <w:color w:val="auto"/>
          <w:highlight w:val="none"/>
        </w:rPr>
      </w:pPr>
      <w:r>
        <w:rPr>
          <w:rFonts w:hint="eastAsia"/>
          <w:color w:val="auto"/>
          <w:highlight w:val="none"/>
        </w:rPr>
        <w:t xml:space="preserve">9.4 甲方合同款支付方式：</w:t>
      </w:r>
      <w:r>
        <w:rPr>
          <w:rFonts w:hint="eastAsia"/>
          <w:color w:val="auto"/>
          <w:highlight w:val="none"/>
          <w:u w:val="single"/>
        </w:rPr>
        <w:t xml:space="preserve">         </w:t>
      </w:r>
      <w:r>
        <w:rPr>
          <w:rFonts w:hint="eastAsia"/>
          <w:color w:val="auto"/>
          <w:highlight w:val="none"/>
        </w:rPr>
        <w:t xml:space="preserve">（若乙方为中小企业，不得强制其接受非现金支付方式）</w:t>
      </w:r>
      <w:r/>
    </w:p>
    <w:p>
      <w:pPr>
        <w:pStyle w:val="957"/>
        <w:spacing w:line="440" w:lineRule="exact"/>
        <w:rPr>
          <w:rFonts w:hint="eastAsia"/>
          <w:b/>
          <w:color w:val="auto"/>
          <w:highlight w:val="none"/>
        </w:rPr>
      </w:pPr>
      <w:r>
        <w:rPr>
          <w:rFonts w:hint="eastAsia"/>
          <w:b/>
          <w:color w:val="auto"/>
          <w:highlight w:val="none"/>
        </w:rPr>
        <w:t xml:space="preserve">十、税 </w:t>
      </w:r>
      <w:r/>
    </w:p>
    <w:p>
      <w:pPr>
        <w:pStyle w:val="957"/>
        <w:spacing w:line="440" w:lineRule="exact"/>
        <w:rPr>
          <w:rFonts w:hint="eastAsia"/>
          <w:color w:val="auto"/>
          <w:highlight w:val="none"/>
        </w:rPr>
      </w:pPr>
      <w:r>
        <w:rPr>
          <w:rFonts w:hint="eastAsia"/>
          <w:color w:val="auto"/>
          <w:highlight w:val="none"/>
        </w:rPr>
        <w:t xml:space="preserve">10.1 本合同执行中相关的一切税费均由乙方负担。</w:t>
      </w:r>
      <w:r/>
    </w:p>
    <w:p>
      <w:pPr>
        <w:ind w:left="409"/>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十一、质量保证及售后服务</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 乙方应按招标文件规定的货物性能、技术要求、质量标准向甲方提供未经使用的全新产品。</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 乙方提供的货物在免费质保期内因货物本身的质量问题发生故障，乙方应负责免费更换。对达不到技术要求者，根据实际情况，经双方协商，可按以下办法处理：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(1)更换：由乙方承担所发生的全部费用。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(2)贬值处理：由甲乙双方合议定价。</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(3)退货处理：乙方应退还甲方支付的合同款，同时应承担该货物的直接费用（运输、保险、检验、货款利息及银行手续费等）。</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11.3响应时间：</w:t>
      </w:r>
      <w:r>
        <w:rPr>
          <w:rFonts w:hint="eastAsia" w:ascii="宋体" w:hAnsi="宋体"/>
          <w:color w:val="auto"/>
          <w:sz w:val="24"/>
          <w:szCs w:val="24"/>
          <w:highlight w:val="none"/>
          <w:u w:val="single"/>
        </w:rPr>
        <w:t xml:space="preserve"> </w:t>
      </w:r>
      <w:bookmarkStart w:id="165" w:name="xiangyingdate"/>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11.4 在免费质保期内，乙方应对货物出现的质量及安全问题负责处理解决并承担一切费用。</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11.5上述的货物免费质保期为：</w:t>
      </w:r>
      <w:r>
        <w:rPr>
          <w:rFonts w:hint="eastAsia" w:ascii="宋体" w:hAnsi="宋体"/>
          <w:color w:val="auto"/>
          <w:sz w:val="24"/>
          <w:szCs w:val="24"/>
          <w:highlight w:val="none"/>
          <w:u w:val="single"/>
        </w:rPr>
        <w:t xml:space="preserve"> </w:t>
      </w:r>
      <w:bookmarkStart w:id="166"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6"/>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十二、调试和验收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 xml:space="preserve">货到后，甲方需在</w:t>
      </w:r>
      <w:r>
        <w:rPr>
          <w:rFonts w:hint="eastAsia" w:ascii="宋体" w:hAnsi="宋体"/>
          <w:b/>
          <w:color w:val="auto"/>
          <w:sz w:val="24"/>
          <w:szCs w:val="24"/>
          <w:highlight w:val="none"/>
          <w:u w:val="single"/>
        </w:rPr>
        <w:t xml:space="preserve"> </w:t>
      </w:r>
      <w:bookmarkStart w:id="167" w:name="wanchengyanshou"/>
      <w:r>
        <w:rPr>
          <w:rFonts w:hint="eastAsia" w:ascii="宋体" w:hAnsi="宋体"/>
          <w:b/>
          <w:color w:val="auto"/>
          <w:sz w:val="24"/>
          <w:szCs w:val="24"/>
          <w:highlight w:val="none"/>
          <w:u w:val="single"/>
        </w:rPr>
        <w:t xml:space="preserve">       </w:t>
      </w:r>
      <w:bookmarkEnd w:id="167"/>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个工作日内完成验收。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 乙方交货前应对产品作出全面检查和对验收文件进行整理，并列出清单，作为甲方收货验收和使用的技术条件依据，检验的结果应随货物交甲方。</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甲方对乙方提供的货物在使用前进行调试时，乙方需负责安装并培训甲方的使用操作人员，并协助甲方一起调试，直到符合技术要求，甲方才做最终验收。</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12.4甲方有权请国家认可的专业检测机构参与初步验收及最终验收，并由其出具质量检测报告。</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12.5 验收时乙方必须在现场，验收完毕后作出验收结果报告；验收费用由甲乙双方协商解决。</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十三、货物包装、发运及运输</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 乙方应在货物发运前对其进行满足运输距离、防潮、防震、防锈和防破损装卸等要求包装，以保证货物安全运达甲方指定地点。</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 使用说明书、质量检验证明书、随配附件和工具以及清单一并附于货物内。</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13.3 乙方在货物发运手续办理完毕后24小时内或货到甲方48小时前通知甲方，以准备接货。</w:t>
      </w:r>
      <w:r/>
    </w:p>
    <w:p>
      <w:pPr>
        <w:ind w:left="479"/>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13.4 货物在交付甲方前发生的风险均由乙方负责。</w:t>
      </w:r>
      <w:r/>
    </w:p>
    <w:p>
      <w:pPr>
        <w:ind w:right="26"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13.5 货物在规定的交付期限内由乙方送达甲方指定的地点视为交付，乙方同时需通知甲方货物已送达。</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十四、违约责任</w:t>
      </w:r>
      <w:r/>
    </w:p>
    <w:p>
      <w:pPr>
        <w:ind w:left="407"/>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甲方无正当理由拒收货物的，甲方向乙方偿付拒收货款总值的百分之五违约金。</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 甲方逾期办理货款支付的,应当支付逾期利息，且逾期利息的利率不得低于合同订立时1年期贷款市场报价利率。</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十五、不可抗力事件处理</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 在合同有效期内，任何一方因不可抗力事件导致不能履行合同，则合同履行期可延长，其延长期与不可抗力影响期相同。</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 不可抗力事件发生后，应立即通知对方，并寄送有关权威机构出具的证明。</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 不可抗力事件延续120天以上，双方应通过友好协商，确定是否继续履行合同。</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十六、诉讼</w:t>
      </w:r>
      <w:r/>
    </w:p>
    <w:p>
      <w:pPr>
        <w:ind w:firstLine="480"/>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 双方在执行合同中所发生的一切争议，应通过协商解决。如协商不成，可向合同签订地法院起诉，合同签订地在此约定为张家港市。</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十七、合同其他文件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17.1下列文件为本合同不可分割部份，与本合同具有同等效力。</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)供方中标的投标书；</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)招标文件；</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)供方在招投标过程中所作的其他承诺、声明、书面澄清等。</w:t>
      </w:r>
      <w:r/>
    </w:p>
    <w:p>
      <w:pPr>
        <w:ind w:firstLine="472"/>
        <w:spacing w:before="120" w:after="120"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十八、合同生效及其它</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18.1合同经双方法定代表人</w:t>
      </w:r>
      <w:r>
        <w:rPr>
          <w:rFonts w:hint="eastAsia" w:ascii="宋体" w:hAnsi="宋体"/>
          <w:bCs/>
          <w:color w:val="auto"/>
          <w:sz w:val="24"/>
          <w:szCs w:val="24"/>
          <w:highlight w:val="none"/>
        </w:rPr>
        <w:t xml:space="preserve">（或负责人）</w:t>
      </w:r>
      <w:r>
        <w:rPr>
          <w:rFonts w:hint="eastAsia" w:ascii="宋体" w:hAnsi="宋体"/>
          <w:color w:val="auto"/>
          <w:sz w:val="24"/>
          <w:szCs w:val="24"/>
          <w:highlight w:val="none"/>
        </w:rPr>
        <w:t xml:space="preserve">或授权委托代表人签字并加盖单位公章后生效,生效后至张家港市政府采购管理中心备案。</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18.2 本合同未尽事宜，遵照《民法典》合同编有关条文执行。</w:t>
      </w:r>
      <w:r/>
    </w:p>
    <w:p>
      <w:pPr>
        <w:pStyle w:val="957"/>
        <w:spacing w:line="440" w:lineRule="exact"/>
        <w:rPr>
          <w:rFonts w:hint="eastAsia"/>
          <w:color w:val="auto"/>
          <w:highlight w:val="none"/>
        </w:rPr>
      </w:pPr>
      <w:r>
        <w:rPr>
          <w:rFonts w:hint="eastAsia"/>
          <w:color w:val="auto"/>
          <w:highlight w:val="none"/>
        </w:rPr>
      </w:r>
      <w:r/>
    </w:p>
    <w:p>
      <w:pPr>
        <w:pStyle w:val="957"/>
        <w:spacing w:line="440" w:lineRule="exact"/>
        <w:rPr>
          <w:rFonts w:hint="eastAsia"/>
          <w:color w:val="auto"/>
          <w:highlight w:val="none"/>
        </w:rPr>
      </w:pPr>
      <w:r>
        <w:rPr>
          <w:rFonts w:hint="eastAsia"/>
          <w:color w:val="auto"/>
          <w:highlight w:val="none"/>
        </w:rPr>
        <w:t xml:space="preserve">甲方： </w:t>
      </w:r>
      <w:r/>
    </w:p>
    <w:p>
      <w:pPr>
        <w:pStyle w:val="957"/>
        <w:spacing w:line="440" w:lineRule="exact"/>
        <w:rPr>
          <w:rFonts w:hint="eastAsia"/>
          <w:color w:val="auto"/>
          <w:highlight w:val="none"/>
        </w:rPr>
      </w:pPr>
      <w:r>
        <w:rPr>
          <w:rFonts w:hint="eastAsia"/>
          <w:color w:val="auto"/>
          <w:highlight w:val="none"/>
        </w:rPr>
        <w:t xml:space="preserve">地址： </w:t>
      </w:r>
      <w:r/>
    </w:p>
    <w:p>
      <w:pPr>
        <w:pStyle w:val="957"/>
        <w:spacing w:line="440" w:lineRule="exact"/>
        <w:rPr>
          <w:rFonts w:hint="eastAsia"/>
          <w:color w:val="auto"/>
          <w:highlight w:val="none"/>
        </w:rPr>
      </w:pPr>
      <w:r>
        <w:rPr>
          <w:rFonts w:hint="eastAsia"/>
          <w:color w:val="auto"/>
          <w:highlight w:val="none"/>
        </w:rPr>
        <w:t xml:space="preserve">法定代表人或授权代表： </w:t>
      </w:r>
      <w:r/>
    </w:p>
    <w:p>
      <w:pPr>
        <w:pStyle w:val="957"/>
        <w:spacing w:line="440" w:lineRule="exact"/>
        <w:rPr>
          <w:rFonts w:hint="eastAsia"/>
          <w:color w:val="auto"/>
          <w:highlight w:val="none"/>
        </w:rPr>
      </w:pPr>
      <w:r>
        <w:rPr>
          <w:rFonts w:hint="eastAsia"/>
          <w:color w:val="auto"/>
          <w:highlight w:val="none"/>
        </w:rPr>
        <w:t xml:space="preserve">联系电话： </w:t>
      </w:r>
      <w:r/>
    </w:p>
    <w:p>
      <w:pPr>
        <w:pStyle w:val="957"/>
        <w:spacing w:line="440" w:lineRule="exact"/>
        <w:rPr>
          <w:rFonts w:hint="eastAsia"/>
          <w:color w:val="auto"/>
          <w:highlight w:val="none"/>
        </w:rPr>
      </w:pPr>
      <w:r>
        <w:rPr>
          <w:rFonts w:hint="eastAsia"/>
          <w:color w:val="auto"/>
          <w:highlight w:val="none"/>
        </w:rPr>
        <w:t xml:space="preserve">签订日期： 年 月 日 </w:t>
      </w:r>
      <w:r/>
    </w:p>
    <w:p>
      <w:pPr>
        <w:pStyle w:val="957"/>
        <w:spacing w:line="440" w:lineRule="exact"/>
        <w:rPr>
          <w:color w:val="auto"/>
          <w:highlight w:val="none"/>
        </w:rPr>
      </w:pPr>
      <w:r>
        <w:rPr>
          <w:color w:val="auto"/>
          <w:highlight w:val="none"/>
        </w:rPr>
      </w:r>
      <w:r/>
    </w:p>
    <w:p>
      <w:pPr>
        <w:pStyle w:val="957"/>
        <w:spacing w:line="440" w:lineRule="exact"/>
        <w:rPr>
          <w:rFonts w:hint="eastAsia"/>
          <w:color w:val="auto"/>
          <w:highlight w:val="none"/>
        </w:rPr>
      </w:pPr>
      <w:r>
        <w:rPr>
          <w:rFonts w:hint="eastAsia"/>
          <w:color w:val="auto"/>
          <w:highlight w:val="none"/>
        </w:rPr>
        <w:t xml:space="preserve">乙方： </w:t>
      </w:r>
      <w:r/>
    </w:p>
    <w:p>
      <w:pPr>
        <w:pStyle w:val="957"/>
        <w:spacing w:line="440" w:lineRule="exact"/>
        <w:rPr>
          <w:rFonts w:hint="eastAsia"/>
          <w:color w:val="auto"/>
          <w:highlight w:val="none"/>
        </w:rPr>
      </w:pPr>
      <w:r>
        <w:rPr>
          <w:rFonts w:hint="eastAsia"/>
          <w:color w:val="auto"/>
          <w:highlight w:val="none"/>
        </w:rPr>
        <w:t xml:space="preserve">地址： </w:t>
      </w:r>
      <w:r/>
    </w:p>
    <w:p>
      <w:pPr>
        <w:pStyle w:val="957"/>
        <w:spacing w:line="440" w:lineRule="exact"/>
        <w:rPr>
          <w:rFonts w:hint="eastAsia"/>
          <w:color w:val="auto"/>
          <w:highlight w:val="none"/>
        </w:rPr>
      </w:pPr>
      <w:r>
        <w:rPr>
          <w:rFonts w:hint="eastAsia"/>
          <w:color w:val="auto"/>
          <w:highlight w:val="none"/>
        </w:rPr>
        <w:t xml:space="preserve">法定代表人（或负责人）或授权代表： </w:t>
      </w:r>
      <w:r/>
    </w:p>
    <w:p>
      <w:pPr>
        <w:pStyle w:val="957"/>
        <w:spacing w:line="440" w:lineRule="exact"/>
        <w:rPr>
          <w:rFonts w:hint="eastAsia"/>
          <w:color w:val="auto"/>
          <w:highlight w:val="none"/>
        </w:rPr>
      </w:pPr>
      <w:r>
        <w:rPr>
          <w:rFonts w:hint="eastAsia"/>
          <w:color w:val="auto"/>
          <w:highlight w:val="none"/>
        </w:rPr>
        <w:t xml:space="preserve">联系电话： </w:t>
      </w:r>
      <w:r/>
    </w:p>
    <w:p>
      <w:pPr>
        <w:pStyle w:val="957"/>
        <w:spacing w:line="440" w:lineRule="exact"/>
        <w:rPr>
          <w:rFonts w:hint="eastAsia"/>
          <w:color w:val="auto"/>
          <w:highlight w:val="none"/>
        </w:rPr>
      </w:pPr>
      <w:r>
        <w:rPr>
          <w:rFonts w:hint="eastAsia"/>
          <w:color w:val="auto"/>
          <w:highlight w:val="none"/>
        </w:rPr>
        <w:t xml:space="preserve">签订日期： 年 月 日</w:t>
      </w:r>
      <w:r/>
    </w:p>
    <w:p>
      <w:pPr>
        <w:contextualSpacing/>
        <w:ind w:firstLine="508"/>
        <w:jc w:val="left"/>
        <w:spacing w:line="360" w:lineRule="auto"/>
        <w:widowControl/>
        <w:tabs>
          <w:tab w:val="left" w:pos="420" w:leader="none"/>
        </w:tabs>
        <w:rPr>
          <w:rFonts w:hint="default" w:ascii="宋体" w:hAnsi="宋体" w:eastAsia="宋体" w:cs="宋体"/>
          <w:spacing w:val="7"/>
          <w:sz w:val="24"/>
          <w:szCs w:val="24"/>
        </w:rPr>
      </w:pPr>
      <w:r/>
      <w:bookmarkStart w:id="168" w:name="_Toc822"/>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69" w:name="_Toc31993"/>
      <w:r>
        <w:rPr>
          <w:rFonts w:hint="eastAsia" w:ascii="宋体" w:hAnsi="宋体" w:eastAsia="宋体" w:cs="Times New Roman"/>
          <w:b/>
          <w:bCs/>
          <w:sz w:val="44"/>
          <w:szCs w:val="32"/>
          <w:lang w:val="en-US" w:eastAsia="zh-CN" w:bidi="ar-SA"/>
        </w:rPr>
        <w:t xml:space="preserve">第四章 项目需求</w:t>
      </w:r>
      <w:bookmarkEnd w:id="169"/>
      <w:r/>
      <w:bookmarkStart w:id="170" w:name="_Toc274321794"/>
      <w:r/>
      <w:bookmarkEnd w:id="170"/>
      <w:r/>
      <w:bookmarkStart w:id="171" w:name="_Toc319429198"/>
      <w:r/>
      <w:bookmarkEnd w:id="171"/>
      <w:r/>
      <w:r/>
    </w:p>
    <w:p>
      <w:pPr>
        <w:spacing w:line="360" w:lineRule="auto"/>
        <w:rPr>
          <w:rFonts w:hint="default" w:ascii="宋体" w:hAnsi="宋体" w:eastAsia="宋体" w:cs="Times New Roman"/>
          <w:b/>
          <w:sz w:val="28"/>
          <w:szCs w:val="28"/>
        </w:rPr>
        <w:outlineLvl w:val="1"/>
      </w:pPr>
      <w:r>
        <w:rPr>
          <w:rFonts w:hint="eastAsia" w:ascii="宋体" w:hAnsi="宋体" w:eastAsia="宋体" w:cs="Times New Roman"/>
          <w:b/>
          <w:sz w:val="28"/>
          <w:szCs w:val="28"/>
        </w:rPr>
        <w:t xml:space="preserve">一、清单</w:t>
      </w:r>
      <w:r/>
    </w:p>
    <w:p>
      <w:pPr>
        <w:rPr>
          <w:rFonts w:hint="default"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1.清单</w:t>
      </w:r>
      <w:r/>
    </w:p>
    <w:tbl>
      <w:tblPr>
        <w:tblStyle w:val="749"/>
        <w:tblW w:w="4588" w:type="pct"/>
        <w:tblInd w:w="0" w:type="dxa"/>
        <w:tblLayout w:type="fixed"/>
        <w:tblCellMar>
          <w:left w:w="108" w:type="dxa"/>
          <w:top w:w="0" w:type="dxa"/>
          <w:right w:w="108" w:type="dxa"/>
          <w:bottom w:w="0" w:type="dxa"/>
        </w:tblCellMar>
        <w:tblLook w:val="04A0" w:firstRow="1" w:lastRow="0" w:firstColumn="1" w:lastColumn="0" w:noHBand="0" w:noVBand="1"/>
      </w:tblPr>
      <w:tblGrid>
        <w:gridCol w:w="552"/>
        <w:gridCol w:w="1398"/>
        <w:gridCol w:w="770"/>
        <w:gridCol w:w="697"/>
        <w:gridCol w:w="2338"/>
        <w:gridCol w:w="1234"/>
        <w:gridCol w:w="1140"/>
      </w:tblGrid>
      <w:tr>
        <w:trPr>
          <w:trHeight w:val="655"/>
        </w:trPr>
        <w:tc>
          <w:tcPr>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所属行业</w:t>
            </w:r>
            <w:r/>
          </w:p>
        </w:tc>
        <w:tc>
          <w:tcPr>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标的类型</w:t>
            </w:r>
            <w:r/>
          </w:p>
        </w:tc>
        <w:tc>
          <w:tcPr>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highlight w:val="none"/>
              </w:rPr>
            </w:pPr>
            <w:r>
              <w:rPr>
                <w:rFonts w:hint="eastAsia" w:ascii="宋体" w:hAnsi="宋体" w:eastAsia="宋体" w:cs="宋体"/>
                <w:color w:val="auto"/>
                <w:highlight w:val="none"/>
              </w:rPr>
              <w:t xml:space="preserve">标的属性</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算力服务器（一）</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算力服务器（二）</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参数面交换机（一）</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参数面交换机（二）</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业务面交换机</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管理交换机</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工业（包括采矿业，制造业，电力、热力、燃气及水生产和供应业）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RPA流程自动化平台</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lang w:val="en-US" w:eastAsia="zh-CN"/>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货物类</w:t>
            </w:r>
            <w:r/>
          </w:p>
        </w:tc>
      </w:tr>
      <w:tr>
        <w:trPr>
          <w:trHeight w:val="627"/>
        </w:trPr>
        <w:tc>
          <w:tcPr>
            <w:shd w:val="clear" w:color="auto" w:fill="auto"/>
            <w:tcBorders>
              <w:top w:val="single" w:color="auto" w:sz="4" w:space="0"/>
              <w:left w:val="single" w:color="auto" w:sz="4" w:space="0"/>
              <w:bottom w:val="single" w:color="auto" w:sz="4" w:space="0"/>
              <w:right w:val="single" w:color="auto" w:sz="4" w:space="0"/>
            </w:tcBorders>
            <w:tcW w:w="339" w:type="pct"/>
            <w:vAlign w:val="center"/>
            <w:textDirection w:val="lrTb"/>
            <w:noWrap w:val="false"/>
          </w:tcPr>
          <w:p>
            <w:pPr>
              <w:pStyle w:val="1023"/>
              <w:jc w:val="center"/>
              <w:shd w:val="clear" w:color="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统一维护服务</w:t>
            </w:r>
            <w:r/>
          </w:p>
        </w:tc>
        <w:tc>
          <w:tcPr>
            <w:shd w:val="clear" w:color="auto" w:fill="auto"/>
            <w:tcBorders>
              <w:top w:val="single" w:color="auto" w:sz="4" w:space="0"/>
              <w:left w:val="single" w:color="auto" w:sz="4" w:space="0"/>
              <w:bottom w:val="single" w:color="auto" w:sz="4" w:space="0"/>
              <w:right w:val="single" w:color="auto" w:sz="4" w:space="0"/>
            </w:tcBorders>
            <w:tcW w:w="473"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437" w:type="pct"/>
            <w:vAlign w:val="center"/>
            <w:textDirection w:val="lrTb"/>
            <w:noWrap w:val="false"/>
          </w:tcPr>
          <w:p>
            <w:pPr>
              <w:pStyle w:val="1023"/>
              <w:jc w:val="center"/>
              <w:shd w:val="clear" w:color="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软件和信息技术服务业</w:t>
            </w:r>
            <w:r/>
          </w:p>
        </w:tc>
        <w:tc>
          <w:tcPr>
            <w:shd w:val="clear" w:color="auto" w:fill="auto"/>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主要采购标的</w:t>
            </w:r>
            <w:r/>
          </w:p>
        </w:tc>
        <w:tc>
          <w:tcPr>
            <w:shd w:val="clear" w:color="auto" w:fill="auto"/>
            <w:tcBorders>
              <w:top w:val="single" w:color="auto" w:sz="4" w:space="0"/>
              <w:left w:val="single" w:color="auto" w:sz="4" w:space="0"/>
              <w:bottom w:val="single" w:color="auto" w:sz="4" w:space="0"/>
              <w:right w:val="single" w:color="auto" w:sz="4" w:space="0"/>
            </w:tcBorders>
            <w:tcW w:w="701" w:type="pct"/>
            <w:vAlign w:val="center"/>
            <w:textDirection w:val="lrTb"/>
            <w:noWrap w:val="false"/>
          </w:tcPr>
          <w:p>
            <w:pPr>
              <w:pStyle w:val="1023"/>
              <w:jc w:val="center"/>
              <w:shd w:val="clear" w:color="auto"/>
              <w:rPr>
                <w:rFonts w:hint="eastAsia" w:ascii="宋体" w:hAnsi="宋体" w:eastAsia="宋体" w:cs="宋体"/>
                <w:color w:val="auto"/>
                <w:sz w:val="24"/>
                <w:szCs w:val="24"/>
                <w:highlight w:val="none"/>
                <w:lang w:val="en-US" w:eastAsia="zh-CN" w:bidi="ar-SA"/>
              </w:rPr>
            </w:pPr>
            <w:r>
              <w:rPr>
                <w:rFonts w:ascii="宋体" w:hAnsi="宋体" w:eastAsia="宋体" w:cs="宋体"/>
                <w:color w:val="auto"/>
                <w:highlight w:val="none"/>
              </w:rPr>
              <w:t xml:space="preserve">服务类</w:t>
            </w:r>
            <w:r/>
          </w:p>
        </w:tc>
      </w:tr>
    </w:tbl>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numPr>
          <w:ilvl w:val="0"/>
          <w:numId w:val="2"/>
        </w:num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核心产品清单</w:t>
      </w:r>
      <w:r/>
    </w:p>
    <w:tbl>
      <w:tblPr>
        <w:tblStyle w:val="749"/>
        <w:tblpPr w:horzAnchor="page" w:tblpX="2274" w:vertAnchor="text" w:tblpY="136" w:leftFromText="180" w:topFromText="0" w:rightFromText="180" w:bottomFromText="0"/>
        <w:tblW w:w="8664" w:type="dxa"/>
        <w:tblInd w:w="0" w:type="dxa"/>
        <w:tblLayout w:type="autofit"/>
        <w:tblCellMar>
          <w:left w:w="108" w:type="dxa"/>
          <w:top w:w="0" w:type="dxa"/>
          <w:right w:w="108" w:type="dxa"/>
          <w:bottom w:w="0" w:type="dxa"/>
        </w:tblCellMar>
        <w:tblLook w:val="04A0" w:firstRow="1" w:lastRow="0" w:firstColumn="1" w:lastColumn="0" w:noHBand="0" w:noVBand="1"/>
      </w:tblPr>
      <w:tblGrid>
        <w:gridCol w:w="1080"/>
        <w:gridCol w:w="7584"/>
      </w:tblGrid>
      <w:tr>
        <w:trPr>
          <w:trHeight w:val="28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名称</w:t>
            </w:r>
            <w:r/>
          </w:p>
        </w:tc>
      </w:tr>
      <w:tr>
        <w:trPr>
          <w:trHeight w:val="186"/>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584" w:type="dxa"/>
            <w:vAlign w:val="center"/>
            <w:textDirection w:val="lrTb"/>
            <w:noWrap w:val="false"/>
          </w:tcPr>
          <w:p>
            <w:pPr>
              <w:jc w:val="center"/>
              <w:widowControl/>
              <w:rPr>
                <w:rFonts w:hint="default" w:ascii="宋体" w:hAnsi="宋体" w:eastAsia="宋体" w:cs="宋体"/>
                <w:sz w:val="24"/>
                <w:szCs w:val="24"/>
              </w:rPr>
            </w:pPr>
            <w:r>
              <w:rPr>
                <w:rFonts w:hint="eastAsia" w:ascii="宋体" w:hAnsi="宋体" w:cs="宋体"/>
                <w:color w:val="auto"/>
                <w:sz w:val="24"/>
                <w:szCs w:val="24"/>
                <w:highlight w:val="none"/>
                <w:lang w:val="en-US" w:eastAsia="zh-CN"/>
              </w:rPr>
              <w:t xml:space="preserve">算力服务器（二）</w:t>
            </w:r>
            <w:r/>
          </w:p>
        </w:tc>
      </w:tr>
    </w:tbl>
    <w:p>
      <w:pPr>
        <w:jc w:val="center"/>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99"/>
        <w:spacing w:before="120" w:line="440" w:lineRule="exact"/>
        <w:rPr>
          <w:rFonts w:ascii="宋体" w:hAnsi="宋体" w:eastAsia="Times New Roman" w:cs="Times New Roman"/>
          <w:b/>
          <w:bCs/>
          <w:spacing w:val="7"/>
          <w:sz w:val="24"/>
          <w:szCs w:val="24"/>
          <w:lang w:val="en-US" w:eastAsia="zh-CN" w:bidi="ar-SA"/>
        </w:rPr>
      </w:pPr>
      <w:r>
        <w:rPr>
          <w:rFonts w:ascii="宋体" w:hAnsi="宋体" w:eastAsia="宋体" w:cs="Times New Roman"/>
          <w:b/>
          <w:bCs/>
          <w:spacing w:val="7"/>
          <w:sz w:val="24"/>
          <w:szCs w:val="24"/>
          <w:lang w:val="en-US" w:eastAsia="zh-CN" w:bidi="ar-SA"/>
        </w:rPr>
        <w:t xml:space="preserve">3、节能、环境标志产品清单(请提供国家确定的认证机构出具的、处于有效期之内的节能产品、环境标志产品认证证书（若证书有附件（附录）的，附件（附录）须随证书一起提供)）</w:t>
      </w:r>
      <w:r/>
    </w:p>
    <w:p>
      <w:pPr>
        <w:ind w:firstLine="500"/>
        <w:spacing w:line="440" w:lineRule="exact"/>
        <w:rPr>
          <w:rFonts w:hint="eastAsia" w:ascii="宋体" w:hAnsi="宋体" w:eastAsia="宋体"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节能产品政府采购品目清单：无</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zh-CN" w:eastAsia="zh-CN" w:bidi="ar-SA"/>
        </w:rPr>
        <w:t xml:space="preserve">注：以</w:t>
      </w:r>
      <w:r>
        <w:rPr>
          <w:rFonts w:hint="eastAsia" w:ascii="宋体" w:hAnsi="宋体" w:eastAsia="宋体" w:cs="Times New Roman"/>
          <w:spacing w:val="7"/>
          <w:sz w:val="24"/>
          <w:szCs w:val="24"/>
          <w:lang w:val="en-US" w:eastAsia="zh-CN" w:bidi="ar-SA"/>
        </w:rPr>
        <w:t xml:space="preserve">★</w:t>
      </w:r>
      <w:r>
        <w:rPr>
          <w:rFonts w:hint="eastAsia" w:ascii="宋体" w:hAnsi="宋体" w:eastAsia="宋体" w:cs="Times New Roman"/>
          <w:spacing w:val="7"/>
          <w:sz w:val="24"/>
          <w:szCs w:val="24"/>
          <w:lang w:val="zh-CN" w:eastAsia="zh-CN" w:bidi="ar-SA"/>
        </w:rPr>
        <w:t xml:space="preserve">标注的为政府强制采购产品</w:t>
      </w:r>
      <w:r/>
    </w:p>
    <w:p>
      <w:pPr>
        <w:ind w:firstLine="500"/>
        <w:spacing w:line="440" w:lineRule="exact"/>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凡“节能产品政府采购品目清单”中以★标注的为政府强制采购产品</w:t>
      </w:r>
      <w:r/>
    </w:p>
    <w:p>
      <w:pPr>
        <w:rPr>
          <w:rFonts w:ascii="宋体" w:hAnsi="宋体" w:eastAsia="Times New Roman" w:cs="Times New Roman"/>
          <w:spacing w:val="7"/>
          <w:sz w:val="24"/>
          <w:szCs w:val="24"/>
          <w:lang w:val="en-US" w:eastAsia="zh-CN" w:bidi="ar-SA"/>
        </w:rPr>
      </w:pPr>
      <w:r>
        <w:rPr>
          <w:rFonts w:ascii="宋体" w:hAnsi="宋体" w:eastAsia="Times New Roman" w:cs="Times New Roman"/>
          <w:spacing w:val="7"/>
          <w:sz w:val="24"/>
          <w:szCs w:val="24"/>
          <w:lang w:val="en-US" w:eastAsia="zh-CN" w:bidi="ar-SA"/>
        </w:rPr>
      </w:r>
      <w:r/>
    </w:p>
    <w:p>
      <w:pPr>
        <w:ind w:firstLine="508"/>
        <w:rPr>
          <w:rFonts w:ascii="宋体" w:hAnsi="宋体" w:eastAsia="Times New Roman" w:cs="Times New Roman"/>
          <w:spacing w:val="7"/>
          <w:sz w:val="24"/>
          <w:szCs w:val="24"/>
          <w:lang w:val="en-US" w:eastAsia="zh-CN" w:bidi="ar-SA"/>
        </w:rPr>
      </w:pPr>
      <w:r>
        <w:rPr>
          <w:rFonts w:ascii="宋体" w:hAnsi="宋体" w:eastAsia="宋体" w:cs="Times New Roman"/>
          <w:spacing w:val="7"/>
          <w:sz w:val="24"/>
          <w:szCs w:val="24"/>
          <w:lang w:val="en-US" w:eastAsia="zh-CN" w:bidi="ar-SA"/>
        </w:rPr>
        <w:t xml:space="preserve">环境标志产品政府采购品目清单:</w:t>
      </w:r>
      <w:r/>
    </w:p>
    <w:tbl>
      <w:tblPr>
        <w:tblStyle w:val="749"/>
        <w:tblpPr w:horzAnchor="page" w:tblpX="2425" w:vertAnchor="text" w:tblpY="255" w:leftFromText="180" w:topFromText="0" w:rightFromText="180" w:bottomFromText="0"/>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231"/>
        <w:gridCol w:w="7095"/>
      </w:tblGrid>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序号</w:t>
            </w:r>
            <w:r/>
          </w:p>
        </w:tc>
        <w:tc>
          <w:tcPr>
            <w:tcMar>
              <w:top w:w="100" w:type="dxa"/>
              <w:bottom w:w="100" w:type="dxa"/>
            </w:tcMar>
            <w:tcW w:w="4260"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Times New Roman"/>
              </w:rPr>
              <w:t xml:space="preserve">名称</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Times New Roman"/>
                <w:sz w:val="24"/>
                <w:szCs w:val="24"/>
              </w:rPr>
            </w:pPr>
            <w:r>
              <w:rPr>
                <w:rFonts w:hint="default" w:ascii="宋体" w:hAnsi="宋体" w:eastAsia="宋体" w:cs="宋体"/>
                <w:sz w:val="24"/>
                <w:szCs w:val="24"/>
              </w:rPr>
              <w:t xml:space="preserve">1</w:t>
            </w:r>
            <w:r/>
          </w:p>
        </w:tc>
        <w:tc>
          <w:tcPr>
            <w:tcMar>
              <w:top w:w="100" w:type="dxa"/>
              <w:bottom w:w="100" w:type="dxa"/>
            </w:tcMar>
            <w:tcW w:w="7095" w:type="dxa"/>
            <w:vAlign w:val="center"/>
            <w:textDirection w:val="lrTb"/>
            <w:noWrap w:val="false"/>
          </w:tcPr>
          <w:p>
            <w:pPr>
              <w:jc w:val="center"/>
              <w:shd w:val="clear" w:color="auto"/>
              <w:rPr>
                <w:rFonts w:hint="default" w:ascii="宋体" w:hAnsi="宋体" w:eastAsia="宋体" w:cs="Times New Roman"/>
                <w:sz w:val="22"/>
                <w:szCs w:val="24"/>
              </w:rPr>
            </w:pPr>
            <w:r>
              <w:rPr>
                <w:rFonts w:hint="eastAsia" w:ascii="宋体" w:hAnsi="宋体" w:cs="宋体"/>
                <w:color w:val="auto"/>
                <w:sz w:val="24"/>
                <w:szCs w:val="24"/>
                <w:highlight w:val="none"/>
                <w:lang w:val="en-US" w:eastAsia="zh-CN"/>
              </w:rPr>
              <w:t xml:space="preserve">算力服务器（一）</w:t>
            </w:r>
            <w:r/>
          </w:p>
        </w:tc>
      </w:tr>
      <w:tr>
        <w:trPr/>
        <w:tc>
          <w:tcPr>
            <w:tcMar>
              <w:top w:w="100" w:type="dxa"/>
              <w:bottom w:w="100" w:type="dxa"/>
            </w:tcMar>
            <w:tcW w:w="739" w:type="pct"/>
            <w:vAlign w:val="center"/>
            <w:textDirection w:val="lrTb"/>
            <w:noWrap w:val="false"/>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2</w:t>
            </w:r>
            <w:r/>
          </w:p>
        </w:tc>
        <w:tc>
          <w:tcPr>
            <w:tcMar>
              <w:top w:w="100" w:type="dxa"/>
              <w:bottom w:w="100" w:type="dxa"/>
            </w:tcMar>
            <w:tcW w:w="7095" w:type="dxa"/>
            <w:vAlign w:val="center"/>
            <w:textDirection w:val="lrTb"/>
            <w:noWrap w:val="false"/>
          </w:tcPr>
          <w:p>
            <w:pPr>
              <w:jc w:val="center"/>
              <w:shd w:val="clear" w:color="auto"/>
              <w:rPr>
                <w:rFonts w:hint="default" w:ascii="宋体" w:hAnsi="宋体" w:eastAsia="宋体" w:cs="Times New Roman"/>
                <w:spacing w:val="7"/>
                <w:sz w:val="24"/>
                <w:szCs w:val="24"/>
              </w:rPr>
            </w:pPr>
            <w:r>
              <w:rPr>
                <w:rFonts w:hint="eastAsia" w:ascii="宋体" w:hAnsi="宋体" w:cs="宋体"/>
                <w:color w:val="auto"/>
                <w:sz w:val="24"/>
                <w:szCs w:val="24"/>
                <w:highlight w:val="none"/>
                <w:lang w:val="en-US" w:eastAsia="zh-CN"/>
              </w:rPr>
              <w:t xml:space="preserve">算力服务器（二）</w:t>
            </w:r>
            <w:r/>
          </w:p>
        </w:tc>
      </w:tr>
    </w:tbl>
    <w:p>
      <w:pPr>
        <w:ind w:firstLine="500"/>
        <w:spacing w:line="440" w:lineRule="exact"/>
        <w:rPr>
          <w:rFonts w:ascii="宋体" w:hAnsi="宋体" w:eastAsia="宋体" w:cs="Times New Roman"/>
          <w:b/>
          <w:bCs/>
          <w:spacing w:val="7"/>
          <w:sz w:val="24"/>
          <w:szCs w:val="22"/>
          <w:lang w:val="en-US" w:eastAsia="zh-CN" w:bidi="ar-SA"/>
        </w:rPr>
      </w:pPr>
      <w:r>
        <w:rPr>
          <w:rFonts w:ascii="宋体" w:hAnsi="宋体" w:eastAsia="宋体" w:cs="Times New Roman"/>
          <w:b/>
          <w:bCs/>
          <w:spacing w:val="7"/>
          <w:sz w:val="24"/>
          <w:szCs w:val="22"/>
          <w:lang w:val="en-US" w:eastAsia="zh-CN" w:bidi="ar-SA"/>
        </w:rPr>
      </w:r>
      <w:r/>
    </w:p>
    <w:p>
      <w:pPr>
        <w:ind w:firstLine="500"/>
        <w:spacing w:line="440" w:lineRule="exact"/>
        <w:rPr>
          <w:rFonts w:ascii="宋体" w:hAnsi="宋体" w:eastAsia="宋体" w:cs="Times New Roman"/>
          <w:b/>
          <w:bCs/>
          <w:spacing w:val="7"/>
          <w:sz w:val="24"/>
          <w:szCs w:val="22"/>
          <w:lang w:val="en-US" w:eastAsia="zh-CN" w:bidi="ar-SA"/>
        </w:rPr>
      </w:pPr>
      <w:r>
        <w:rPr>
          <w:rFonts w:hint="eastAsia" w:ascii="宋体" w:hAnsi="宋体" w:eastAsia="宋体" w:cs="Times New Roman"/>
          <w:b/>
          <w:bCs/>
          <w:spacing w:val="7"/>
          <w:sz w:val="24"/>
          <w:szCs w:val="22"/>
          <w:lang w:val="en-US" w:eastAsia="zh-CN" w:bidi="ar-SA"/>
        </w:rPr>
        <w:t xml:space="preserve">4、绿色采购其他政策： </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2"/>
          <w:lang w:val="en-US" w:eastAsia="zh-CN" w:bidi="ar-SA"/>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500"/>
        <w:spacing w:line="440" w:lineRule="exact"/>
        <w:rPr>
          <w:rFonts w:ascii="宋体" w:hAnsi="宋体" w:eastAsia="Times New Roman" w:cs="Times New Roman"/>
          <w:b/>
          <w:bCs/>
          <w:spacing w:val="7"/>
          <w:sz w:val="24"/>
          <w:szCs w:val="24"/>
          <w:lang w:val="en-US" w:eastAsia="zh-CN" w:bidi="ar-SA"/>
        </w:rPr>
      </w:pPr>
      <w:r/>
      <w:bookmarkStart w:id="172" w:name="OLE_LINK22"/>
      <w:r>
        <w:rPr>
          <w:rFonts w:hint="eastAsia" w:ascii="宋体" w:hAnsi="宋体" w:eastAsia="宋体" w:cs="Times New Roman"/>
          <w:b/>
          <w:bCs/>
          <w:spacing w:val="7"/>
          <w:sz w:val="24"/>
          <w:szCs w:val="24"/>
          <w:lang w:val="en-US" w:eastAsia="zh-CN" w:bidi="ar-SA"/>
        </w:rPr>
        <w:t xml:space="preserve">5、政府采购中实施本国产品标准及相关政策</w:t>
      </w:r>
      <w:r/>
    </w:p>
    <w:p>
      <w:pPr>
        <w:ind w:firstLine="500"/>
        <w:spacing w:line="440" w:lineRule="exact"/>
        <w:rPr>
          <w:rFonts w:ascii="宋体" w:hAnsi="宋体" w:eastAsia="Times New Roman" w:cs="Times New Roman"/>
          <w:spacing w:val="7"/>
          <w:sz w:val="24"/>
          <w:szCs w:val="24"/>
          <w:lang w:val="en-US" w:eastAsia="zh-CN" w:bidi="ar-SA"/>
        </w:rPr>
      </w:pPr>
      <w:r>
        <w:rPr>
          <w:rFonts w:hint="eastAsia" w:ascii="宋体" w:hAnsi="宋体" w:eastAsia="宋体" w:cs="Times New Roman"/>
          <w:spacing w:val="7"/>
          <w:sz w:val="24"/>
          <w:szCs w:val="24"/>
          <w:lang w:val="en-US" w:eastAsia="zh-CN" w:bidi="ar-SA"/>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0"/>
        <w:spacing w:line="440" w:lineRule="exact"/>
        <w:rPr>
          <w:rFonts w:ascii="宋体" w:hAnsi="宋体" w:eastAsia="宋体" w:cs="Times New Roman"/>
          <w:spacing w:val="7"/>
          <w:sz w:val="24"/>
          <w:szCs w:val="22"/>
          <w:lang w:val="en-US" w:eastAsia="zh-CN" w:bidi="ar-SA"/>
        </w:rPr>
      </w:pPr>
      <w:r>
        <w:rPr>
          <w:rFonts w:hint="eastAsia" w:ascii="宋体" w:hAnsi="宋体" w:eastAsia="宋体" w:cs="Times New Roman"/>
          <w:spacing w:val="7"/>
          <w:sz w:val="24"/>
          <w:szCs w:val="24"/>
          <w:lang w:val="en-US" w:eastAsia="zh-CN" w:bidi="ar-SA"/>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10"/>
        <w:spacing w:line="440" w:lineRule="exact"/>
        <w:rPr>
          <w:rFonts w:hint="eastAsia" w:ascii="宋体" w:hAnsi="宋体" w:eastAsia="宋体" w:cs="Times New Roman"/>
          <w:b/>
          <w:bCs/>
          <w:spacing w:val="7"/>
          <w:sz w:val="24"/>
          <w:szCs w:val="24"/>
        </w:rPr>
      </w:pPr>
      <w:r>
        <w:rPr>
          <w:rFonts w:hint="eastAsia" w:ascii="宋体" w:hAnsi="宋体" w:eastAsia="宋体" w:cs="Times New Roman"/>
          <w:b/>
          <w:bCs/>
          <w:spacing w:val="7"/>
          <w:sz w:val="24"/>
          <w:szCs w:val="24"/>
        </w:rPr>
        <w:t xml:space="preserve">注意事项：</w:t>
      </w:r>
      <w:bookmarkEnd w:id="172"/>
      <w:r/>
      <w:r/>
    </w:p>
    <w:p>
      <w:pPr>
        <w:ind w:firstLine="500"/>
        <w:spacing w:line="440" w:lineRule="exact"/>
        <w:rPr>
          <w:rFonts w:hint="default" w:ascii="宋体" w:hAnsi="宋体" w:eastAsia="宋体" w:cs="Times New Roman"/>
          <w:spacing w:val="7"/>
          <w:sz w:val="24"/>
          <w:szCs w:val="24"/>
          <w:lang w:val="en-US" w:eastAsia="zh-CN" w:bidi="ar-SA"/>
        </w:rPr>
      </w:pPr>
      <w:r>
        <w:rPr>
          <w:rFonts w:hint="default" w:ascii="宋体" w:hAnsi="宋体" w:eastAsia="宋体" w:cs="Times New Roman"/>
          <w:spacing w:val="7"/>
          <w:sz w:val="24"/>
          <w:szCs w:val="24"/>
          <w:lang w:val="en-US" w:eastAsia="zh-CN" w:bidi="ar-SA"/>
        </w:rPr>
        <w:t xml:space="preserve">在项目实施过程中，涉及到与第三方系统对接的，由采购单位负责与第三方系统主管单位、第三方系统供应商沟通协调，确保第三方系统接口免费开放。</w:t>
      </w:r>
      <w:r/>
    </w:p>
    <w:p>
      <w:pPr>
        <w:ind w:firstLine="480"/>
        <w:spacing w:line="360"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numPr>
          <w:ilvl w:val="0"/>
          <w:numId w:val="3"/>
        </w:numPr>
        <w:spacing w:line="360" w:lineRule="auto"/>
        <w:rPr>
          <w:rFonts w:hint="eastAsia" w:ascii="宋体" w:hAnsi="宋体" w:eastAsia="宋体" w:cs="Times New Roman"/>
          <w:b/>
          <w:sz w:val="28"/>
          <w:szCs w:val="28"/>
        </w:rPr>
        <w:outlineLvl w:val="1"/>
      </w:pPr>
      <w:r/>
      <w:bookmarkStart w:id="173" w:name="EB547595d0f7824228afceafc3b60cc3d8"/>
      <w:r/>
      <w:bookmarkEnd w:id="173"/>
      <w:r>
        <w:rPr>
          <w:rFonts w:hint="eastAsia" w:ascii="宋体" w:hAnsi="宋体" w:eastAsia="宋体" w:cs="Times New Roman"/>
          <w:b/>
          <w:sz w:val="28"/>
          <w:szCs w:val="28"/>
        </w:rPr>
        <w:t xml:space="preserve">技术要求</w:t>
      </w:r>
      <w:r/>
    </w:p>
    <w:p>
      <w:pPr>
        <w:ind w:firstLine="482"/>
        <w:spacing w:line="520" w:lineRule="exact"/>
        <w:shd w:val="clear" w:color="auto"/>
        <w:tabs>
          <w:tab w:val="left" w:pos="0" w:leader="none"/>
        </w:tabs>
        <w:rPr>
          <w:rFonts w:hint="default" w:ascii="宋体" w:hAnsi="宋体" w:eastAsia="宋体" w:cs="宋体"/>
          <w:b/>
          <w:color w:val="auto"/>
          <w:sz w:val="24"/>
          <w:szCs w:val="24"/>
          <w:highlight w:val="none"/>
          <w:lang w:val="en-US" w:eastAsia="zh-CN"/>
        </w:rPr>
        <w:outlineLvl w:val="2"/>
      </w:pPr>
      <w:r>
        <w:rPr>
          <w:rFonts w:hint="eastAsia" w:ascii="宋体" w:hAnsi="宋体" w:eastAsia="宋体" w:cs="宋体"/>
          <w:b/>
          <w:color w:val="auto"/>
          <w:sz w:val="24"/>
          <w:szCs w:val="24"/>
          <w:highlight w:val="none"/>
          <w:lang w:val="en-US" w:eastAsia="zh-CN"/>
        </w:rPr>
        <w:t xml:space="preserve">（一）项目概述</w:t>
      </w:r>
      <w:r/>
    </w:p>
    <w:p>
      <w:pPr>
        <w:ind w:firstLine="468"/>
        <w:spacing w:line="360" w:lineRule="auto"/>
        <w:rPr>
          <w:rFonts w:hint="eastAsia" w:ascii="宋体" w:hAnsi="宋体" w:eastAsia="宋体" w:cs="宋体"/>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本项目通过采购适配智慧警务场景的智算资源，旨在搭建高速、稳定、可弹性扩展的人工智能计算底座，为</w:t>
      </w:r>
      <w:r>
        <w:rPr>
          <w:rFonts w:hint="eastAsia" w:ascii="宋体" w:hAnsi="宋体" w:eastAsia="宋体" w:cs="宋体"/>
          <w:color w:val="auto"/>
          <w:spacing w:val="-3"/>
          <w:sz w:val="24"/>
          <w:szCs w:val="24"/>
          <w:highlight w:val="none"/>
          <w:lang w:val="en-US" w:eastAsia="zh-CN"/>
        </w:rPr>
        <w:t xml:space="preserve">张家港</w:t>
      </w:r>
      <w:r>
        <w:rPr>
          <w:rFonts w:hint="eastAsia" w:ascii="宋体" w:hAnsi="宋体" w:cs="宋体"/>
          <w:color w:val="auto"/>
          <w:spacing w:val="-3"/>
          <w:sz w:val="24"/>
          <w:szCs w:val="24"/>
          <w:highlight w:val="none"/>
          <w:lang w:val="en-US" w:eastAsia="zh-CN"/>
        </w:rPr>
        <w:t xml:space="preserve">市公安局</w:t>
      </w:r>
      <w:r>
        <w:rPr>
          <w:rFonts w:hint="eastAsia" w:ascii="宋体" w:hAnsi="宋体" w:eastAsia="宋体" w:cs="宋体"/>
          <w:color w:val="auto"/>
          <w:spacing w:val="-3"/>
          <w:sz w:val="24"/>
          <w:szCs w:val="24"/>
          <w:highlight w:val="none"/>
          <w:lang w:eastAsia="zh-CN"/>
        </w:rPr>
        <w:t xml:space="preserve">各类多模态警务数据处理、AI模型训练与落地应用提供充足算力支撑，进一步夯实“数智公安”建设的硬件基础，助力</w:t>
      </w:r>
      <w:r>
        <w:rPr>
          <w:rFonts w:hint="eastAsia" w:ascii="宋体" w:hAnsi="宋体" w:eastAsia="宋体" w:cs="宋体"/>
          <w:color w:val="auto"/>
          <w:spacing w:val="-3"/>
          <w:sz w:val="24"/>
          <w:szCs w:val="24"/>
          <w:highlight w:val="none"/>
          <w:lang w:val="en-US" w:eastAsia="zh-CN"/>
        </w:rPr>
        <w:t xml:space="preserve">张家港</w:t>
      </w:r>
      <w:r>
        <w:rPr>
          <w:rFonts w:hint="eastAsia" w:ascii="宋体" w:hAnsi="宋体" w:cs="宋体"/>
          <w:color w:val="auto"/>
          <w:spacing w:val="-3"/>
          <w:sz w:val="24"/>
          <w:szCs w:val="24"/>
          <w:highlight w:val="none"/>
          <w:lang w:val="en-US" w:eastAsia="zh-CN"/>
        </w:rPr>
        <w:t xml:space="preserve">市公安局</w:t>
      </w:r>
      <w:r>
        <w:rPr>
          <w:rFonts w:hint="eastAsia" w:ascii="宋体" w:hAnsi="宋体" w:eastAsia="宋体" w:cs="宋体"/>
          <w:color w:val="auto"/>
          <w:spacing w:val="-3"/>
          <w:sz w:val="24"/>
          <w:szCs w:val="24"/>
          <w:highlight w:val="none"/>
          <w:lang w:eastAsia="zh-CN"/>
        </w:rPr>
        <w:t xml:space="preserve">提升警务处置效率与精准研</w:t>
      </w:r>
      <w:r>
        <w:rPr>
          <w:rFonts w:hint="eastAsia" w:ascii="宋体" w:hAnsi="宋体" w:eastAsia="宋体" w:cs="宋体"/>
          <w:spacing w:val="-3"/>
          <w:sz w:val="24"/>
          <w:szCs w:val="24"/>
          <w:highlight w:val="none"/>
          <w:lang w:eastAsia="zh-CN"/>
        </w:rPr>
        <w:t xml:space="preserve">判能力，更好地保障辖区公共安全、服务群众。</w:t>
      </w:r>
      <w:r/>
    </w:p>
    <w:p>
      <w:pPr>
        <w:ind w:firstLine="482"/>
        <w:spacing w:line="520" w:lineRule="exact"/>
        <w:shd w:val="clear" w:color="auto"/>
        <w:tabs>
          <w:tab w:val="left" w:pos="0" w:leader="none"/>
        </w:tabs>
        <w:rPr>
          <w:rFonts w:hint="eastAsia" w:eastAsia="宋体"/>
          <w:b/>
          <w:bCs/>
          <w:color w:val="auto"/>
          <w:sz w:val="24"/>
          <w:szCs w:val="24"/>
          <w:highlight w:val="none"/>
          <w:lang w:val="en-US" w:eastAsia="zh-CN"/>
        </w:rPr>
        <w:outlineLvl w:val="2"/>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技术需求</w:t>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1、算力服务器（一）技术参数：</w:t>
      </w:r>
      <w:r/>
    </w:p>
    <w:tbl>
      <w:tblPr>
        <w:tblStyle w:val="1032"/>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283"/>
        </w:trPr>
        <w:tc>
          <w:tcPr>
            <w:tcW w:w="655" w:type="pct"/>
            <w:vAlign w:val="center"/>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算力服务器（一）</w:t>
            </w:r>
            <w:r/>
          </w:p>
        </w:tc>
        <w:tc>
          <w:tcPr>
            <w:tcW w:w="4344" w:type="pct"/>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b/>
                <w:bCs/>
                <w:i w:val="0"/>
                <w:iCs w:val="0"/>
                <w:color w:val="auto"/>
                <w:sz w:val="24"/>
                <w:szCs w:val="24"/>
                <w:highlight w:val="none"/>
                <w:u w:val="none"/>
              </w:rPr>
            </w:pPr>
            <w:r>
              <w:rPr>
                <w:rFonts w:hint="eastAsia" w:ascii="宋体" w:hAnsi="宋体" w:eastAsia="宋体" w:cs="Times New Roman"/>
                <w:b/>
                <w:bCs/>
                <w:i w:val="0"/>
                <w:iCs w:val="0"/>
                <w:color w:val="auto"/>
                <w:sz w:val="24"/>
                <w:szCs w:val="24"/>
                <w:highlight w:val="none"/>
                <w:u w:val="none"/>
              </w:rPr>
              <w:t xml:space="preserve">硬件参数：</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1、总体要求：国产品牌，≤4U机架式服务器；</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2、处理器：配置≥4颗</w:t>
            </w:r>
            <w:r>
              <w:rPr>
                <w:rFonts w:hint="eastAsia" w:ascii="宋体" w:hAnsi="宋体" w:eastAsia="宋体" w:cs="Times New Roman"/>
                <w:i/>
                <w:iCs/>
                <w:color w:val="auto"/>
                <w:sz w:val="24"/>
                <w:szCs w:val="24"/>
                <w:highlight w:val="none"/>
                <w:u w:val="single"/>
                <w:lang w:val="en-US" w:eastAsia="zh-CN"/>
              </w:rPr>
              <w:t xml:space="preserve">国产ARM架构</w:t>
            </w:r>
            <w:r>
              <w:rPr>
                <w:rFonts w:hint="eastAsia" w:ascii="宋体" w:hAnsi="宋体" w:eastAsia="宋体" w:cs="Times New Roman"/>
                <w:i/>
                <w:iCs/>
                <w:color w:val="auto"/>
                <w:sz w:val="24"/>
                <w:szCs w:val="24"/>
                <w:highlight w:val="none"/>
                <w:u w:val="single"/>
              </w:rPr>
              <w:t xml:space="preserve">处理器，单颗处理器物理核心数≥48核，主频≥2.6GHz。</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3、内存：配置≥1</w:t>
            </w:r>
            <w:r>
              <w:rPr>
                <w:rFonts w:hint="eastAsia" w:ascii="宋体" w:hAnsi="宋体" w:eastAsia="宋体" w:cs="Times New Roman"/>
                <w:i/>
                <w:iCs/>
                <w:color w:val="auto"/>
                <w:sz w:val="24"/>
                <w:szCs w:val="24"/>
                <w:highlight w:val="none"/>
                <w:u w:val="single"/>
                <w:lang w:val="en-US" w:eastAsia="zh-CN"/>
              </w:rPr>
              <w:t xml:space="preserve">536</w:t>
            </w:r>
            <w:r>
              <w:rPr>
                <w:rFonts w:hint="eastAsia" w:ascii="宋体" w:hAnsi="宋体" w:eastAsia="宋体" w:cs="Times New Roman"/>
                <w:i/>
                <w:iCs/>
                <w:color w:val="auto"/>
                <w:sz w:val="24"/>
                <w:szCs w:val="24"/>
                <w:highlight w:val="none"/>
                <w:u w:val="single"/>
              </w:rPr>
              <w:t xml:space="preserve">GB DDR4内存；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4、硬盘：支持热插拔SATA/NVMe/SSD硬盘，硬盘配置：2块≥</w:t>
            </w:r>
            <w:r>
              <w:rPr>
                <w:rFonts w:hint="eastAsia" w:ascii="宋体" w:hAnsi="宋体" w:eastAsia="宋体" w:cs="Times New Roman"/>
                <w:i/>
                <w:iCs/>
                <w:color w:val="auto"/>
                <w:sz w:val="24"/>
                <w:szCs w:val="24"/>
                <w:highlight w:val="none"/>
                <w:u w:val="single"/>
                <w:lang w:val="en-US" w:eastAsia="zh-CN"/>
              </w:rPr>
              <w:t xml:space="preserve">48</w:t>
            </w:r>
            <w:r>
              <w:rPr>
                <w:rFonts w:hint="eastAsia" w:ascii="宋体" w:hAnsi="宋体" w:eastAsia="宋体" w:cs="Times New Roman"/>
                <w:i/>
                <w:iCs/>
                <w:color w:val="auto"/>
                <w:sz w:val="24"/>
                <w:szCs w:val="24"/>
                <w:highlight w:val="none"/>
                <w:u w:val="single"/>
              </w:rPr>
              <w:t xml:space="preserve">0G SSD企业级硬盘，2块≥</w:t>
            </w:r>
            <w:r>
              <w:rPr>
                <w:rFonts w:hint="eastAsia" w:ascii="宋体" w:hAnsi="宋体" w:eastAsia="宋体" w:cs="Times New Roman"/>
                <w:i/>
                <w:iCs/>
                <w:color w:val="auto"/>
                <w:sz w:val="24"/>
                <w:szCs w:val="24"/>
                <w:highlight w:val="none"/>
                <w:u w:val="single"/>
                <w:lang w:val="en-US" w:eastAsia="zh-CN"/>
              </w:rPr>
              <w:t xml:space="preserve">3276</w:t>
            </w:r>
            <w:r>
              <w:rPr>
                <w:rFonts w:hint="eastAsia" w:ascii="宋体" w:hAnsi="宋体" w:eastAsia="宋体" w:cs="Times New Roman"/>
                <w:i/>
                <w:iCs/>
                <w:color w:val="auto"/>
                <w:sz w:val="24"/>
                <w:szCs w:val="24"/>
                <w:highlight w:val="none"/>
                <w:u w:val="single"/>
              </w:rPr>
              <w:t xml:space="preserve">G NVNe SSD企业级硬盘；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5、AI处理器：配置≥8块AI处理器，单AI处理器显存配置≥64GB HBM，单AI处理器的FP16算力 ≥ 280TFLOPS。</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网络：配置≥8个200GE RoCE网口（含200G光模块）；≥2个25GE网口（含25G光模块）；</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RAID卡：支持RAID 0, 1, 5, 6, 10, 50, 60；4GB Cache，配置超级电容掉电保护；</w:t>
            </w:r>
            <w:r/>
          </w:p>
          <w:p>
            <w:pPr>
              <w:jc w:val="left"/>
              <w:keepLines w:val="0"/>
              <w:keepNext w:val="0"/>
              <w:pageBreakBefore w:val="0"/>
              <w:spacing w:line="390" w:lineRule="exact"/>
              <w:shd w:val="clear" w:color="auto"/>
              <w:widowControl w:val="off"/>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8、配置机柜数</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5个，功率</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6KW；</w:t>
            </w:r>
            <w:r/>
          </w:p>
          <w:p>
            <w:pPr>
              <w:jc w:val="left"/>
              <w:keepLines w:val="0"/>
              <w:keepNext w:val="0"/>
              <w:pageBreakBefore w:val="0"/>
              <w:spacing w:line="390" w:lineRule="exact"/>
              <w:shd w:val="clear" w:color="auto"/>
              <w:widowControl w:val="off"/>
              <w:rPr>
                <w:rFonts w:hint="eastAsia" w:ascii="宋体" w:hAnsi="宋体" w:eastAsia="宋体" w:cs="Times New Roman"/>
                <w:b/>
                <w:bCs/>
                <w:i w:val="0"/>
                <w:iCs w:val="0"/>
                <w:color w:val="auto"/>
                <w:sz w:val="24"/>
                <w:szCs w:val="24"/>
                <w:highlight w:val="none"/>
                <w:u w:val="none"/>
              </w:rPr>
            </w:pPr>
            <w:r>
              <w:rPr>
                <w:rFonts w:hint="eastAsia" w:ascii="宋体" w:hAnsi="宋体" w:eastAsia="宋体" w:cs="Times New Roman"/>
                <w:b/>
                <w:bCs/>
                <w:i w:val="0"/>
                <w:iCs w:val="0"/>
                <w:color w:val="auto"/>
                <w:sz w:val="24"/>
                <w:szCs w:val="24"/>
                <w:highlight w:val="none"/>
                <w:u w:val="none"/>
              </w:rPr>
              <w:t xml:space="preserve">配套智算服务平台参数：</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◆支持查看快速使用流程，可快捷跳转至对应页面</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支持查看已配置的应用、模型、镜像、GPU、CPU 等数据，以及模型调用数据；</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支持查看应用、模型、镜像的商店列表、我的列表，并可快捷跳转；</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Times New Roman"/>
                <w:i w:val="0"/>
                <w:iCs w:val="0"/>
                <w:color w:val="auto"/>
                <w:sz w:val="24"/>
                <w:szCs w:val="24"/>
                <w:highlight w:val="none"/>
                <w:u w:val="none"/>
              </w:rPr>
              <w:t xml:space="preserve">▲支持文件上传至服务器本地/workspace下</w:t>
            </w:r>
            <w:r>
              <w:rPr>
                <w:rFonts w:hint="eastAsia" w:ascii="宋体" w:hAnsi="宋体" w:eastAsia="宋体" w:cs="Times New Roman"/>
                <w:i w:val="0"/>
                <w:iCs w:val="0"/>
                <w:color w:val="auto"/>
                <w:sz w:val="24"/>
                <w:szCs w:val="24"/>
                <w:highlight w:val="none"/>
                <w:u w:val="none"/>
                <w:lang w:eastAsia="zh-CN"/>
              </w:rPr>
              <w:t xml:space="preserve">，支持将任务执行后生成的文件存储在 /workspace 目录下，并支持下载</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b w:val="0"/>
                <w:bCs w:val="0"/>
                <w:i w:val="0"/>
                <w:iCs w:val="0"/>
                <w:color w:val="auto"/>
                <w:sz w:val="24"/>
                <w:szCs w:val="24"/>
                <w:highlight w:val="none"/>
                <w:u w:val="none"/>
              </w:rPr>
              <w:t xml:space="preserve">（投标时须在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Times New Roman"/>
                <w:i w:val="0"/>
                <w:iCs w:val="0"/>
                <w:color w:val="auto"/>
                <w:sz w:val="24"/>
                <w:szCs w:val="24"/>
                <w:highlight w:val="none"/>
                <w:u w:val="none"/>
              </w:rPr>
              <w:t xml:space="preserve">▲可为OpenClaw接入模型服务，支持设置默认模型</w:t>
            </w:r>
            <w:r>
              <w:rPr>
                <w:rFonts w:hint="eastAsia" w:ascii="宋体" w:hAnsi="宋体" w:eastAsia="宋体" w:cs="Times New Roman"/>
                <w:i w:val="0"/>
                <w:iCs w:val="0"/>
                <w:color w:val="auto"/>
                <w:sz w:val="24"/>
                <w:szCs w:val="24"/>
                <w:highlight w:val="none"/>
                <w:u w:val="none"/>
                <w:lang w:eastAsia="zh-CN"/>
              </w:rPr>
              <w:t xml:space="preserve">，可通过界面快速为OpenClaw配置飞书、钉钉对接通道</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b w:val="0"/>
                <w:bCs w:val="0"/>
                <w:i w:val="0"/>
                <w:iCs w:val="0"/>
                <w:color w:val="auto"/>
                <w:sz w:val="24"/>
                <w:szCs w:val="24"/>
                <w:highlight w:val="none"/>
                <w:u w:val="none"/>
              </w:rPr>
              <w:t xml:space="preserve">（投标时须在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支持编辑或删除应用入口信息，操作不影响应用实际运行</w:t>
            </w:r>
            <w:r>
              <w:rPr>
                <w:rFonts w:hint="eastAsia" w:ascii="宋体" w:hAnsi="宋体" w:eastAsia="宋体" w:cs="Times New Roman"/>
                <w:i w:val="0"/>
                <w:iCs w:val="0"/>
                <w:color w:val="auto"/>
                <w:sz w:val="24"/>
                <w:szCs w:val="24"/>
                <w:highlight w:val="none"/>
                <w:u w:val="none"/>
                <w:lang w:eastAsia="zh-CN"/>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将知识库链接入口配置到知识库列表</w:t>
            </w:r>
            <w:r>
              <w:rPr>
                <w:rFonts w:hint="eastAsia" w:ascii="宋体" w:hAnsi="宋体" w:eastAsia="宋体" w:cs="Times New Roman"/>
                <w:i w:val="0"/>
                <w:iCs w:val="0"/>
                <w:color w:val="auto"/>
                <w:sz w:val="24"/>
                <w:szCs w:val="24"/>
                <w:highlight w:val="none"/>
                <w:u w:val="none"/>
                <w:lang w:eastAsia="zh-CN"/>
              </w:rPr>
              <w:t xml:space="preserve">，支持编辑或删除知识库链接入口信息，可点击知识库名称跳转至对应知识库页面查看内容</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查看模型服务使用流程，页面支持快捷跳转</w:t>
            </w:r>
            <w:r>
              <w:rPr>
                <w:rFonts w:hint="eastAsia" w:ascii="宋体" w:hAnsi="宋体" w:eastAsia="宋体" w:cs="Times New Roman"/>
                <w:i w:val="0"/>
                <w:iCs w:val="0"/>
                <w:color w:val="auto"/>
                <w:sz w:val="24"/>
                <w:szCs w:val="24"/>
                <w:highlight w:val="none"/>
                <w:u w:val="none"/>
                <w:lang w:eastAsia="zh-CN"/>
              </w:rPr>
              <w:t xml:space="preserve">，点击【部署服务】，可将自有模型部署成为在线推理服务，支持启用、停用已部署的模型服务，支持编辑模型服务信息或删除模型服务</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将第三方外部模型服务接入平台</w:t>
            </w:r>
            <w:r>
              <w:rPr>
                <w:rFonts w:hint="eastAsia" w:ascii="宋体" w:hAnsi="宋体" w:eastAsia="宋体" w:cs="Times New Roman"/>
                <w:i w:val="0"/>
                <w:iCs w:val="0"/>
                <w:color w:val="auto"/>
                <w:sz w:val="24"/>
                <w:szCs w:val="24"/>
                <w:highlight w:val="none"/>
                <w:u w:val="none"/>
                <w:lang w:eastAsia="zh-CN"/>
              </w:rPr>
              <w:t xml:space="preserve">，支持编辑外部服务信息、删除外部服务</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t>
            </w:r>
            <w:r>
              <w:rPr>
                <w:rFonts w:hint="eastAsia" w:ascii="宋体" w:hAnsi="宋体" w:eastAsia="宋体" w:cs="Times New Roman"/>
                <w:i w:val="0"/>
                <w:iCs w:val="0"/>
                <w:color w:val="auto"/>
                <w:sz w:val="24"/>
                <w:szCs w:val="24"/>
                <w:highlight w:val="none"/>
                <w:u w:val="none"/>
              </w:rPr>
              <w:t xml:space="preserve">绑定本地/外部模型服务，依托API实现接口调用</w:t>
            </w:r>
            <w:r>
              <w:rPr>
                <w:rFonts w:hint="eastAsia" w:ascii="宋体" w:hAnsi="宋体" w:eastAsia="宋体" w:cs="Times New Roman"/>
                <w:i w:val="0"/>
                <w:iCs w:val="0"/>
                <w:color w:val="auto"/>
                <w:sz w:val="24"/>
                <w:szCs w:val="24"/>
                <w:highlight w:val="none"/>
                <w:u w:val="none"/>
                <w:lang w:eastAsia="zh-CN"/>
              </w:rPr>
              <w:t xml:space="preserve">，创建App Key时可自定义失效时间，密钥到期自动失效</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i w:val="0"/>
                <w:iCs w:val="0"/>
                <w:color w:val="auto"/>
                <w:sz w:val="24"/>
                <w:szCs w:val="24"/>
                <w:highlight w:val="none"/>
                <w:u w:val="none"/>
                <w:lang w:val="en-US" w:eastAsia="zh-CN"/>
              </w:rPr>
              <w:t xml:space="preserve">支持模型服务调用监控，查看</w:t>
            </w:r>
            <w:r>
              <w:rPr>
                <w:rFonts w:hint="eastAsia" w:ascii="宋体" w:hAnsi="宋体" w:eastAsia="宋体" w:cs="Times New Roman"/>
                <w:i w:val="0"/>
                <w:iCs w:val="0"/>
                <w:color w:val="auto"/>
                <w:sz w:val="24"/>
                <w:szCs w:val="24"/>
                <w:highlight w:val="none"/>
                <w:u w:val="none"/>
              </w:rPr>
              <w:t xml:space="preserve">调用总量、tokens消耗总量数据；</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12、</w:t>
            </w:r>
            <w:r>
              <w:rPr>
                <w:rFonts w:hint="eastAsia" w:ascii="宋体" w:hAnsi="宋体" w:eastAsia="宋体" w:cs="Times New Roman"/>
                <w:i w:val="0"/>
                <w:iCs w:val="0"/>
                <w:color w:val="auto"/>
                <w:sz w:val="24"/>
                <w:szCs w:val="24"/>
                <w:highlight w:val="none"/>
                <w:u w:val="none"/>
              </w:rPr>
              <w:t xml:space="preserve">▲平台预置多种模型，可自行更新，支持按模型架构、状态等筛选</w:t>
            </w:r>
            <w:r>
              <w:rPr>
                <w:rFonts w:hint="eastAsia" w:ascii="宋体" w:hAnsi="宋体" w:eastAsia="宋体" w:cs="Times New Roman"/>
                <w:i w:val="0"/>
                <w:iCs w:val="0"/>
                <w:color w:val="auto"/>
                <w:sz w:val="24"/>
                <w:szCs w:val="24"/>
                <w:highlight w:val="none"/>
                <w:u w:val="none"/>
                <w:lang w:eastAsia="zh-CN"/>
              </w:rPr>
              <w:t xml:space="preserve">，</w:t>
            </w:r>
            <w:r>
              <w:rPr>
                <w:rFonts w:hint="eastAsia" w:ascii="宋体" w:hAnsi="宋体" w:eastAsia="宋体" w:cs="Times New Roman"/>
                <w:i w:val="0"/>
                <w:iCs w:val="0"/>
                <w:color w:val="auto"/>
                <w:sz w:val="24"/>
                <w:szCs w:val="24"/>
                <w:highlight w:val="none"/>
                <w:u w:val="none"/>
              </w:rPr>
              <w:t xml:space="preserve">支持查看模型名称、模型类型、模型详细描述等信息。支持DeepseekV4/3/R1、Qwen3-235B-A22B、Qwen2.5-VL-72B、BGE-M3、BGE-Reranker-V2-M3 等主流模型；</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支持按照硬件机型筛选平台内模型</w:t>
            </w:r>
            <w:r>
              <w:rPr>
                <w:rFonts w:hint="eastAsia" w:ascii="宋体" w:hAnsi="宋体" w:eastAsia="宋体" w:cs="Times New Roman"/>
                <w:i w:val="0"/>
                <w:iCs w:val="0"/>
                <w:color w:val="auto"/>
                <w:sz w:val="24"/>
                <w:szCs w:val="24"/>
                <w:highlight w:val="none"/>
                <w:u w:val="none"/>
                <w:lang w:eastAsia="zh-CN"/>
              </w:rPr>
              <w:t xml:space="preserve">，支持离线上传模型物料，依托上传向导完成离线模型入库</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模型可直接部署为在线推理服务</w:t>
            </w:r>
            <w:r>
              <w:rPr>
                <w:rFonts w:hint="eastAsia" w:ascii="宋体" w:hAnsi="宋体" w:eastAsia="宋体" w:cs="Times New Roman"/>
                <w:i w:val="0"/>
                <w:iCs w:val="0"/>
                <w:color w:val="auto"/>
                <w:sz w:val="24"/>
                <w:szCs w:val="24"/>
                <w:highlight w:val="none"/>
                <w:u w:val="none"/>
                <w:lang w:eastAsia="zh-CN"/>
              </w:rPr>
              <w:t xml:space="preserve">，部署模型时，实现模型、镜像、不同卡类型匹配，三者动态联动选择，正确调度到相应节点</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15、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硬件页面展示服务器型号、设备ID信息</w:t>
            </w:r>
            <w:r>
              <w:rPr>
                <w:rFonts w:hint="eastAsia" w:ascii="宋体" w:hAnsi="宋体" w:eastAsia="宋体" w:cs="Times New Roman"/>
                <w:i w:val="0"/>
                <w:iCs w:val="0"/>
                <w:color w:val="auto"/>
                <w:sz w:val="24"/>
                <w:szCs w:val="24"/>
                <w:highlight w:val="none"/>
                <w:u w:val="none"/>
                <w:lang w:val="en-US" w:eastAsia="zh-CN"/>
              </w:rPr>
              <w:t xml:space="preserve">，支持操作日志按操作对象、类型多维度筛选查询</w:t>
            </w:r>
            <w:r>
              <w:rPr>
                <w:rFonts w:hint="eastAsia" w:ascii="宋体" w:hAnsi="宋体" w:eastAsia="宋体" w:cs="Times New Roman"/>
                <w:i w:val="0"/>
                <w:iCs w:val="0"/>
                <w:color w:val="auto"/>
                <w:sz w:val="24"/>
                <w:szCs w:val="24"/>
                <w:highlight w:val="none"/>
                <w:u w:val="none"/>
                <w:lang w:eastAsia="zh-CN"/>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平台支持异构机型纳管（910B3、910B4、910C ）、构建异构算力集群；</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17、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支持跳转查看对应模型API文档</w:t>
            </w:r>
            <w:r>
              <w:rPr>
                <w:rFonts w:hint="eastAsia" w:ascii="宋体" w:hAnsi="宋体" w:eastAsia="宋体" w:cs="Times New Roman"/>
                <w:i w:val="0"/>
                <w:iCs w:val="0"/>
                <w:color w:val="auto"/>
                <w:sz w:val="24"/>
                <w:szCs w:val="24"/>
                <w:highlight w:val="none"/>
                <w:u w:val="none"/>
                <w:lang w:eastAsia="zh-CN"/>
              </w:rPr>
              <w:t xml:space="preserve">，镜像商店支持在线更新、离线更新两种列表更新方式；</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支持离线上传镜像文件，通过上传向导完成镜像导入</w:t>
            </w:r>
            <w:r>
              <w:rPr>
                <w:rFonts w:hint="eastAsia" w:ascii="宋体" w:hAnsi="宋体" w:eastAsia="宋体" w:cs="Times New Roman"/>
                <w:i w:val="0"/>
                <w:iCs w:val="0"/>
                <w:color w:val="auto"/>
                <w:sz w:val="24"/>
                <w:szCs w:val="24"/>
                <w:highlight w:val="none"/>
                <w:u w:val="none"/>
                <w:lang w:eastAsia="zh-CN"/>
              </w:rPr>
              <w:t xml:space="preserve">，可查看镜像配套适配的硬件机型，支持上传、更新许可证信息，生成并展示许可证</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支持修改平台名称、平台logo</w:t>
            </w:r>
            <w:r>
              <w:rPr>
                <w:rFonts w:hint="eastAsia" w:ascii="宋体" w:hAnsi="宋体" w:eastAsia="宋体" w:cs="Times New Roman"/>
                <w:i w:val="0"/>
                <w:iCs w:val="0"/>
                <w:color w:val="auto"/>
                <w:sz w:val="24"/>
                <w:szCs w:val="24"/>
                <w:highlight w:val="none"/>
                <w:u w:val="none"/>
                <w:lang w:eastAsia="zh-CN"/>
              </w:rPr>
              <w:t xml:space="preserve">，平台各模块采用key、value形式进行参数配置，支持编辑、删除系统配置信息</w:t>
            </w:r>
            <w:r>
              <w:rPr>
                <w:rFonts w:hint="eastAsia" w:ascii="宋体" w:hAnsi="宋体" w:eastAsia="宋体" w:cs="Times New Roman"/>
                <w:i w:val="0"/>
                <w:iCs w:val="0"/>
                <w:color w:val="auto"/>
                <w:sz w:val="24"/>
                <w:szCs w:val="24"/>
                <w:highlight w:val="none"/>
                <w:u w:val="none"/>
              </w:rPr>
              <w:t xml:space="preserve">；</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lang w:eastAsia="zh-CN"/>
              </w:rPr>
            </w:pPr>
            <w:r>
              <w:rPr>
                <w:rFonts w:hint="eastAsia" w:ascii="宋体" w:hAnsi="宋体" w:eastAsia="宋体" w:cs="Times New Roman"/>
                <w:i w:val="0"/>
                <w:iCs w:val="0"/>
                <w:color w:val="auto"/>
                <w:sz w:val="24"/>
                <w:szCs w:val="24"/>
                <w:highlight w:val="none"/>
                <w:u w:val="none"/>
                <w:lang w:val="en-US" w:eastAsia="zh-CN"/>
              </w:rPr>
              <w:t xml:space="preserve">20、</w:t>
            </w:r>
            <w:r>
              <w:rPr>
                <w:rFonts w:hint="eastAsia" w:ascii="宋体" w:hAnsi="宋体" w:eastAsia="宋体" w:cs="Times New Roman"/>
                <w:i w:val="0"/>
                <w:iCs w:val="0"/>
                <w:color w:val="auto"/>
                <w:sz w:val="24"/>
                <w:szCs w:val="24"/>
                <w:highlight w:val="none"/>
                <w:u w:val="none"/>
              </w:rPr>
              <w:t xml:space="preserve">▲</w:t>
            </w:r>
            <w:r>
              <w:rPr>
                <w:rFonts w:hint="eastAsia" w:ascii="宋体" w:hAnsi="宋体" w:eastAsia="宋体" w:cs="Times New Roman"/>
                <w:i w:val="0"/>
                <w:iCs w:val="0"/>
                <w:color w:val="auto"/>
                <w:sz w:val="24"/>
                <w:szCs w:val="24"/>
                <w:highlight w:val="none"/>
                <w:u w:val="none"/>
                <w:lang w:val="en-US" w:eastAsia="zh-CN"/>
              </w:rPr>
              <w:t xml:space="preserve">支持系统信息</w:t>
            </w:r>
            <w:r>
              <w:rPr>
                <w:rFonts w:hint="eastAsia" w:ascii="宋体" w:hAnsi="宋体" w:eastAsia="宋体" w:cs="Times New Roman"/>
                <w:i w:val="0"/>
                <w:iCs w:val="0"/>
                <w:color w:val="auto"/>
                <w:sz w:val="24"/>
                <w:szCs w:val="24"/>
                <w:highlight w:val="none"/>
                <w:u w:val="none"/>
              </w:rPr>
              <w:t xml:space="preserve">查看夜莺监控告警、VictoriaMetrics、日志服务、PostgreSQL、Milvus、Minio、Redis、MySQL组件信息</w:t>
            </w:r>
            <w:r>
              <w:rPr>
                <w:rFonts w:hint="eastAsia" w:ascii="宋体" w:hAnsi="宋体" w:eastAsia="宋体" w:cs="Times New Roman"/>
                <w:i w:val="0"/>
                <w:iCs w:val="0"/>
                <w:color w:val="auto"/>
                <w:sz w:val="24"/>
                <w:szCs w:val="24"/>
                <w:highlight w:val="none"/>
                <w:u w:val="none"/>
                <w:lang w:eastAsia="zh-CN"/>
              </w:rPr>
              <w:t xml:space="preserve">，支持多维度监控-支持</w:t>
            </w:r>
            <w:r>
              <w:rPr>
                <w:rFonts w:hint="eastAsia" w:ascii="宋体" w:hAnsi="宋体" w:eastAsia="宋体" w:cs="Times New Roman"/>
                <w:i w:val="0"/>
                <w:iCs w:val="0"/>
                <w:color w:val="auto"/>
                <w:sz w:val="24"/>
                <w:szCs w:val="24"/>
                <w:highlight w:val="none"/>
                <w:u w:val="none"/>
                <w:lang w:val="en-US" w:eastAsia="zh-CN"/>
              </w:rPr>
              <w:t xml:space="preserve">业务调用</w:t>
            </w:r>
            <w:r>
              <w:rPr>
                <w:rFonts w:hint="eastAsia" w:ascii="宋体" w:hAnsi="宋体" w:eastAsia="宋体" w:cs="Times New Roman"/>
                <w:i w:val="0"/>
                <w:iCs w:val="0"/>
                <w:color w:val="auto"/>
                <w:sz w:val="24"/>
                <w:szCs w:val="24"/>
                <w:highlight w:val="none"/>
                <w:u w:val="none"/>
                <w:lang w:eastAsia="zh-CN"/>
              </w:rPr>
              <w:t xml:space="preserve">监控、集群</w:t>
            </w:r>
            <w:r>
              <w:rPr>
                <w:rFonts w:hint="eastAsia" w:ascii="宋体" w:hAnsi="宋体" w:eastAsia="宋体" w:cs="Times New Roman"/>
                <w:i w:val="0"/>
                <w:iCs w:val="0"/>
                <w:color w:val="auto"/>
                <w:sz w:val="24"/>
                <w:szCs w:val="24"/>
                <w:highlight w:val="none"/>
                <w:u w:val="none"/>
                <w:lang w:val="en-US" w:eastAsia="zh-CN"/>
              </w:rPr>
              <w:t xml:space="preserve">节点</w:t>
            </w:r>
            <w:r>
              <w:rPr>
                <w:rFonts w:hint="eastAsia" w:ascii="宋体" w:hAnsi="宋体" w:eastAsia="宋体" w:cs="Times New Roman"/>
                <w:i w:val="0"/>
                <w:iCs w:val="0"/>
                <w:color w:val="auto"/>
                <w:sz w:val="24"/>
                <w:szCs w:val="24"/>
                <w:highlight w:val="none"/>
                <w:u w:val="none"/>
                <w:lang w:eastAsia="zh-CN"/>
              </w:rPr>
              <w:t xml:space="preserve">资源、节点NPU监控以及ElasticSearch、MySQL等组件监控。</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tc>
      </w:tr>
    </w:tbl>
    <w:p>
      <w:pPr>
        <w:shd w:val="clear" w:color="auto"/>
        <w:rPr>
          <w:rFonts w:hint="eastAsia" w:eastAsia="宋体"/>
          <w:b/>
          <w:bCs/>
          <w:color w:val="auto"/>
          <w:sz w:val="24"/>
          <w:szCs w:val="24"/>
          <w:highlight w:val="none"/>
          <w:lang w:val="en-US" w:eastAsia="zh-CN"/>
        </w:rPr>
      </w:pPr>
      <w:r>
        <w:rPr>
          <w:rFonts w:hint="eastAsia" w:eastAsia="宋体"/>
          <w:b/>
          <w:bCs/>
          <w:color w:val="auto"/>
          <w:sz w:val="24"/>
          <w:szCs w:val="24"/>
          <w:highlight w:val="none"/>
          <w:lang w:val="en-US" w:eastAsia="zh-CN"/>
        </w:rPr>
      </w:r>
      <w:r/>
    </w:p>
    <w:p>
      <w:pPr>
        <w:shd w:val="clear" w:color="auto"/>
        <w:rPr>
          <w:rFonts w:hint="default" w:eastAsia="宋体"/>
          <w:b/>
          <w:bCs/>
          <w:color w:val="auto"/>
          <w:sz w:val="24"/>
          <w:szCs w:val="24"/>
          <w:highlight w:val="none"/>
          <w:lang w:val="en-US" w:eastAsia="zh-CN"/>
        </w:rPr>
      </w:pPr>
      <w:r>
        <w:rPr>
          <w:rFonts w:hint="eastAsia" w:eastAsia="宋体"/>
          <w:b/>
          <w:bCs/>
          <w:color w:val="auto"/>
          <w:sz w:val="24"/>
          <w:szCs w:val="24"/>
          <w:highlight w:val="none"/>
          <w:lang w:val="en-US" w:eastAsia="zh-CN"/>
        </w:rPr>
        <w:t xml:space="preserve">2、算力服务器（二）技术参数：</w:t>
      </w:r>
      <w:r/>
    </w:p>
    <w:tbl>
      <w:tblPr>
        <w:tblStyle w:val="1032"/>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283"/>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算力服务器（二）</w:t>
            </w:r>
            <w:r/>
          </w:p>
        </w:tc>
        <w:tc>
          <w:tcPr>
            <w:tcW w:w="4344" w:type="pct"/>
            <w:textDirection w:val="lrTb"/>
            <w:noWrap w:val="false"/>
          </w:tcPr>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1、总体要求：国产品牌，≤4U机架式服务器；</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2、处理器：配置≥4颗</w:t>
            </w:r>
            <w:r>
              <w:rPr>
                <w:rFonts w:hint="eastAsia" w:ascii="宋体" w:hAnsi="宋体" w:eastAsia="宋体" w:cs="Times New Roman"/>
                <w:i/>
                <w:iCs/>
                <w:color w:val="auto"/>
                <w:sz w:val="24"/>
                <w:szCs w:val="24"/>
                <w:highlight w:val="none"/>
                <w:u w:val="single"/>
                <w:lang w:val="en-US" w:eastAsia="zh-CN"/>
              </w:rPr>
              <w:t xml:space="preserve">国产ARM架构</w:t>
            </w:r>
            <w:r>
              <w:rPr>
                <w:rFonts w:hint="eastAsia" w:ascii="宋体" w:hAnsi="宋体" w:eastAsia="宋体" w:cs="Times New Roman"/>
                <w:i/>
                <w:iCs/>
                <w:color w:val="auto"/>
                <w:sz w:val="24"/>
                <w:szCs w:val="24"/>
                <w:highlight w:val="none"/>
                <w:u w:val="single"/>
              </w:rPr>
              <w:t xml:space="preserve">处理器，单颗处理器物理核心数≥48核，主频≥2.6GHz，CPU符合安全可靠测评要求。</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3、内存：配置≥1024GB DDR4内存；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4、硬盘：支持热插拔SATA/NVMe/SSD硬盘，硬盘配置：2块≥960G SSD企业级硬盘，2块≥7680G NVNe SSD企业级硬盘；</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5、AI处理器：配置≥8块AI处理器，单AI处理器显存配置≥64GB HBM，单AI处理器的FP16算力 ≥ 280TFLOPS。</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rPr>
            </w:pPr>
            <w:r>
              <w:rPr>
                <w:rFonts w:hint="eastAsia" w:ascii="宋体" w:hAnsi="宋体" w:eastAsia="宋体" w:cs="Times New Roman"/>
                <w:i/>
                <w:iCs/>
                <w:color w:val="auto"/>
                <w:sz w:val="24"/>
                <w:szCs w:val="24"/>
                <w:highlight w:val="none"/>
                <w:u w:val="single"/>
              </w:rPr>
              <w:t xml:space="preserve">6、AI处理器：AI处理器间支持8卡fullmesh全互联，AI处理器间互联带宽≥380GB/s；</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网络：配置≥8个200GE RoCE网口（含200G光模块）；≥2个25GE网口（含25G光模块）；</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RAID卡：支持RAID 0, 1, 5, 6, 10, 50, 60；4GB Cache，配置超级电容掉电保护；</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可管理性：服务器管理系统支持国产自研管理芯片，管理芯片厂家为国产厂家；</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10、▲服务器管理软件通</w:t>
            </w:r>
            <w:r>
              <w:rPr>
                <w:rFonts w:hint="eastAsia" w:ascii="宋体" w:hAnsi="宋体" w:eastAsia="宋体" w:cs="Times New Roman"/>
                <w:b w:val="0"/>
                <w:bCs w:val="0"/>
                <w:i w:val="0"/>
                <w:iCs w:val="0"/>
                <w:color w:val="auto"/>
                <w:sz w:val="24"/>
                <w:szCs w:val="24"/>
                <w:highlight w:val="none"/>
                <w:u w:val="none"/>
              </w:rPr>
              <w:t xml:space="preserve">过完善的信息安全评估，包括保密性、</w:t>
            </w:r>
            <w:r>
              <w:rPr>
                <w:rFonts w:hint="eastAsia" w:ascii="宋体" w:hAnsi="宋体" w:eastAsia="宋体" w:cs="Times New Roman"/>
                <w:b w:val="0"/>
                <w:bCs w:val="0"/>
                <w:i w:val="0"/>
                <w:iCs w:val="0"/>
                <w:color w:val="auto"/>
                <w:sz w:val="24"/>
                <w:szCs w:val="24"/>
                <w:highlight w:val="none"/>
                <w:u w:val="none"/>
                <w:lang w:val="en-US" w:eastAsia="zh-CN"/>
              </w:rPr>
              <w:t xml:space="preserve">完整</w:t>
            </w:r>
            <w:r>
              <w:rPr>
                <w:rFonts w:hint="eastAsia" w:ascii="宋体" w:hAnsi="宋体" w:eastAsia="宋体" w:cs="Times New Roman"/>
                <w:b w:val="0"/>
                <w:bCs w:val="0"/>
                <w:i w:val="0"/>
                <w:iCs w:val="0"/>
                <w:color w:val="auto"/>
                <w:sz w:val="24"/>
                <w:szCs w:val="24"/>
                <w:highlight w:val="none"/>
                <w:u w:val="none"/>
              </w:rPr>
              <w:t xml:space="preserve">性、抗抵赖性、可核查性测试；（投标时须在</w:t>
            </w:r>
            <w:r>
              <w:rPr>
                <w:rFonts w:hint="eastAsia" w:ascii="宋体" w:hAnsi="宋体" w:eastAsia="宋体" w:cs="Times New Roman"/>
                <w:b w:val="0"/>
                <w:bCs w:val="0"/>
                <w:i w:val="0"/>
                <w:iCs w:val="0"/>
                <w:color w:val="auto"/>
                <w:sz w:val="24"/>
                <w:szCs w:val="24"/>
                <w:highlight w:val="none"/>
                <w:u w:val="none"/>
                <w:lang w:val="en-US" w:eastAsia="zh-CN"/>
              </w:rPr>
              <w:t xml:space="preserve">响应</w:t>
            </w:r>
            <w:r>
              <w:rPr>
                <w:rFonts w:hint="eastAsia" w:ascii="宋体" w:hAnsi="宋体" w:eastAsia="宋体" w:cs="Times New Roman"/>
                <w:b w:val="0"/>
                <w:bCs w:val="0"/>
                <w:i w:val="0"/>
                <w:iCs w:val="0"/>
                <w:color w:val="auto"/>
                <w:sz w:val="24"/>
                <w:szCs w:val="24"/>
                <w:highlight w:val="none"/>
                <w:u w:val="none"/>
              </w:rPr>
              <w:t xml:space="preserve">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rPr>
              <w:t xml:space="preserve">服务器管理软件通过安全渗透测试，包含认证安全、权限管理安全、会话安全、信息泄露安全、输入输出合法性安全性测试；</w:t>
            </w:r>
            <w:r/>
          </w:p>
          <w:p>
            <w:pPr>
              <w:jc w:val="left"/>
              <w:keepLines w:val="0"/>
              <w:keepNext w:val="0"/>
              <w:pageBreakBefore w:val="0"/>
              <w:spacing w:line="390" w:lineRule="exact"/>
              <w:shd w:val="clear" w:color="auto"/>
              <w:widowControl w:val="off"/>
              <w:rPr>
                <w:rFonts w:hint="eastAsia" w:ascii="宋体" w:hAnsi="宋体" w:eastAsia="宋体" w:cs="Times New Roman"/>
                <w:i w:val="0"/>
                <w:iCs w:val="0"/>
                <w:color w:val="0000ff"/>
                <w:sz w:val="24"/>
                <w:szCs w:val="24"/>
                <w:highlight w:val="none"/>
                <w:u w:val="none"/>
              </w:rPr>
            </w:pPr>
            <w:r>
              <w:rPr>
                <w:rFonts w:hint="eastAsia" w:ascii="宋体" w:hAnsi="宋体" w:eastAsia="宋体" w:cs="Times New Roman"/>
                <w:i w:val="0"/>
                <w:iCs w:val="0"/>
                <w:color w:val="auto"/>
                <w:sz w:val="24"/>
                <w:szCs w:val="24"/>
                <w:highlight w:val="none"/>
                <w:u w:val="none"/>
              </w:rPr>
              <w:t xml:space="preserve">1</w:t>
            </w: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Times New Roman"/>
                <w:i w:val="0"/>
                <w:iCs w:val="0"/>
                <w:color w:val="auto"/>
                <w:sz w:val="24"/>
                <w:szCs w:val="24"/>
                <w:highlight w:val="none"/>
                <w:u w:val="none"/>
              </w:rPr>
              <w:t xml:space="preserve">、▲为保证服务器稳定可靠，服务器的平均无故障间隔时间（MTBF）≥300000小时；（投标时须在响应文件中提供第三方检测机构出具的合格的检验报告或功能截图等相关证明材料）</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13、配置机柜数</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3个，功率</w:t>
            </w:r>
            <w:r>
              <w:rPr>
                <w:rFonts w:hint="eastAsia" w:ascii="宋体" w:hAnsi="宋体" w:eastAsia="宋体" w:cs="Times New Roman"/>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lang w:val="en-US" w:eastAsia="zh-CN"/>
              </w:rPr>
              <w:t xml:space="preserve">12KW。</w:t>
            </w:r>
            <w:r/>
          </w:p>
        </w:tc>
      </w:tr>
    </w:tbl>
    <w:p>
      <w:pPr>
        <w:jc w:val="left"/>
        <w:shd w:val="clear" w:color="auto"/>
        <w:rPr>
          <w:rFonts w:hint="default" w:eastAsia="宋体"/>
          <w:color w:val="auto"/>
          <w:highlight w:val="none"/>
        </w:rPr>
      </w:pPr>
      <w:r>
        <w:rPr>
          <w:rFonts w:hint="default"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3、参数面交换机（一）技术参数：</w:t>
      </w:r>
      <w:r/>
    </w:p>
    <w:tbl>
      <w:tblPr>
        <w:tblStyle w:val="1032"/>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1134"/>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参数面交换机（一）</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交换容量≥25.6Tbps，包转发率≥8000Mpps；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高度≤1U，固定接口交换机；</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电源模块槽位≥2个，电源1+1备份；</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风扇模块槽位≥6个；</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5、采用国产自研芯片；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400GE QSFP-DD光接口≥32个（兼容200GE/100GE/40GE），支持10GE≥2个；</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支持M-LAG，支持RIP、OSPF、ISIS、BGP等IPv4动态路由协议；支持PQ、DRR、PQ+DRR等队列调度方式；</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支持出方向ACL，支持出方向ACL限速，支持出方向IPv6 报文统计；</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支持基于VLAN/子接口/BD/VxLAN 隧道的MAC-LIMIT；支持MAC 漂移联动端口 error-down；支持PFC，支持PFC死锁预防；支持ECN Overlay；</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支持NSLB功能；Netstream满足10GE 1:1采样；</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配置≥20个400G多模模块(850nm,0.1km)，配置≥16根一分二线缆。</w:t>
            </w:r>
            <w:r/>
          </w:p>
        </w:tc>
      </w:tr>
    </w:tbl>
    <w:p>
      <w:pPr>
        <w:ind w:left="0" w:firstLine="0"/>
        <w:jc w:val="left"/>
        <w:spacing w:line="360" w:lineRule="auto"/>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4、参数面交换机（二）技术参数：</w:t>
      </w:r>
      <w:r/>
    </w:p>
    <w:tbl>
      <w:tblPr>
        <w:tblStyle w:val="1032"/>
        <w:tblW w:w="46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78"/>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参数面交换机（二）</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交换容量≥25.6Tbps，包转发率≥19200Mpps；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支持400GE QSFP-DD光接口≥32个（兼容200GE/100GE/40GE），支持10GE≥2个；</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3、</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电源模块槽位≥2个，电源1+1备份，风扇模块槽位≥6个；</w:t>
            </w:r>
            <w:r/>
          </w:p>
          <w:p>
            <w:pPr>
              <w:jc w:val="left"/>
              <w:keepLines w:val="0"/>
              <w:keepNext w:val="0"/>
              <w:pageBreakBefore w:val="0"/>
              <w:spacing w:line="390" w:lineRule="exact"/>
              <w:shd w:val="clear" w:color="auto"/>
              <w:widowControl w:val="off"/>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支持M-LAG，支持RIP、OSPF、ISIS、BGP等IPv4动态路由协议；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支持出方向ACL，支持出方向ACL限速，支持出方向IPv6 报文统计；</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7、▲支持基于VLAN/子接口/BD/</w:t>
            </w:r>
            <w:r>
              <w:rPr>
                <w:rFonts w:hint="eastAsia" w:ascii="宋体" w:hAnsi="宋体" w:eastAsia="宋体" w:cs="Times New Roman"/>
                <w:b w:val="0"/>
                <w:bCs w:val="0"/>
                <w:i w:val="0"/>
                <w:iCs w:val="0"/>
                <w:color w:val="auto"/>
                <w:sz w:val="24"/>
                <w:szCs w:val="24"/>
                <w:highlight w:val="none"/>
                <w:u w:val="none"/>
                <w:lang w:val="en-US" w:eastAsia="zh-CN"/>
              </w:rPr>
              <w:t xml:space="preserve">VxLAN 隧道的MAC-LIMIT，</w:t>
            </w:r>
            <w:r>
              <w:rPr>
                <w:rFonts w:hint="eastAsia" w:ascii="宋体" w:hAnsi="宋体" w:eastAsia="宋体" w:cs="Times New Roman"/>
                <w:i w:val="0"/>
                <w:iCs w:val="0"/>
                <w:color w:val="auto"/>
                <w:sz w:val="24"/>
                <w:szCs w:val="24"/>
                <w:highlight w:val="none"/>
                <w:u w:val="none"/>
                <w:lang w:val="en-US" w:eastAsia="zh-CN"/>
              </w:rPr>
              <w:t xml:space="preserve">支持网络级负载均衡（NSLB）功能</w:t>
            </w:r>
            <w:r>
              <w:rPr>
                <w:rFonts w:hint="eastAsia" w:ascii="宋体" w:hAnsi="宋体" w:eastAsia="宋体" w:cs="Times New Roman"/>
                <w:b w:val="0"/>
                <w:bCs w:val="0"/>
                <w:i w:val="0"/>
                <w:iCs w:val="0"/>
                <w:color w:val="auto"/>
                <w:sz w:val="24"/>
                <w:szCs w:val="24"/>
                <w:highlight w:val="none"/>
                <w:u w:val="none"/>
                <w:lang w:val="en-US" w:eastAsia="zh-CN"/>
              </w:rPr>
              <w:t xml:space="preserve">；</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8、</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支持MAC 漂移联动端口 error-down，支持PFC，支持PFC死锁预防；</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9、</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Netstream满足10GE 1:1采样；</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10、</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实配≥16个400G多模模块，≥16根一分二线缆。</w:t>
            </w:r>
            <w:r/>
          </w:p>
        </w:tc>
      </w:tr>
    </w:tbl>
    <w:p>
      <w:pPr>
        <w:rPr>
          <w:rFonts w:hint="eastAsia" w:eastAsia="宋体"/>
          <w:color w:val="auto"/>
          <w:highlight w:val="none"/>
        </w:rPr>
      </w:pPr>
      <w:r>
        <w:rPr>
          <w:rFonts w:hint="eastAsia"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5、业务面交换机技术参数：</w:t>
      </w:r>
      <w:r/>
    </w:p>
    <w:tbl>
      <w:tblPr>
        <w:tblStyle w:val="1032"/>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业务面交换机</w:t>
            </w:r>
            <w:r/>
          </w:p>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交换容量≥4.8Tbps，包转发率≥2000Mpps；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支持48个10GE/25GE接口，8个40/100 GE接口；</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支持RIPng、OSPFv3、ISISv6、BGP4+等IPv6动态路由协议；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支持防止DOS、ARP攻击功能、ICMP防攻击；</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6、▲支持AI ECN：识别流量模型，动态调节ECN门限，支持ERSPAN增强功能；支持缓存的微突发状态统计；</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实配≥32个25GE SFP28模块。</w:t>
            </w:r>
            <w:r/>
          </w:p>
        </w:tc>
      </w:tr>
    </w:tbl>
    <w:p>
      <w:pPr>
        <w:rPr>
          <w:rFonts w:hint="eastAsia" w:eastAsia="宋体"/>
          <w:color w:val="auto"/>
          <w:highlight w:val="none"/>
        </w:rPr>
      </w:pPr>
      <w:r>
        <w:rPr>
          <w:rFonts w:hint="eastAsia" w:eastAsia="宋体"/>
          <w:color w:val="auto"/>
          <w:highlight w:val="none"/>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6、管理交换机技术参数：</w:t>
      </w:r>
      <w:r/>
    </w:p>
    <w:tbl>
      <w:tblPr>
        <w:tblStyle w:val="1032"/>
        <w:tblW w:w="461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5"/>
        <w:gridCol w:w="7080"/>
      </w:tblGrid>
      <w:tr>
        <w:trPr>
          <w:jc w:val="center"/>
          <w:trHeight w:val="285"/>
        </w:trPr>
        <w:tc>
          <w:tcPr>
            <w:tcW w:w="670"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2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7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管理交换机</w:t>
            </w:r>
            <w:r/>
          </w:p>
        </w:tc>
        <w:tc>
          <w:tcPr>
            <w:tcW w:w="4329"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1.</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交换容量≥672 Gbps，包转发率≥207Mpps；</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支持48个10/100/1000BASE-T以太网端口,4个万兆SFP+,2个12GE专用堆叠口 ；</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3.采用国产自研芯片；</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内存支持2GB，保证系统可靠运行；</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设备支持复位按钮和清配置按钮；</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6.</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支持静态路由、RIP、OSPF、RIPng、OSPFv3；</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7.</w:t>
            </w:r>
            <w:r>
              <w:rPr>
                <w:rFonts w:hint="eastAsia" w:ascii="宋体" w:hAnsi="宋体" w:eastAsia="宋体" w:cs="宋体"/>
                <w:color w:val="auto"/>
                <w:spacing w:val="7"/>
                <w:sz w:val="24"/>
                <w:szCs w:val="24"/>
                <w:highlight w:val="none"/>
                <w:lang w:val="en-US" w:eastAsia="zh-CN"/>
              </w:rPr>
              <w:t xml:space="preserve">◆</w:t>
            </w:r>
            <w:r>
              <w:rPr>
                <w:rFonts w:hint="eastAsia" w:ascii="宋体" w:hAnsi="宋体" w:eastAsia="宋体" w:cs="Times New Roman"/>
                <w:i w:val="0"/>
                <w:iCs w:val="0"/>
                <w:color w:val="auto"/>
                <w:sz w:val="24"/>
                <w:szCs w:val="24"/>
                <w:highlight w:val="none"/>
                <w:u w:val="none"/>
                <w:lang w:val="en-US" w:eastAsia="zh-CN"/>
              </w:rPr>
              <w:t xml:space="preserve">支持WRR、DRR、SP、WRR＋SP、DRR+SP 队列调度算法。</w:t>
            </w:r>
            <w:r/>
          </w:p>
        </w:tc>
      </w:tr>
    </w:tbl>
    <w:p>
      <w:pPr>
        <w:numPr>
          <w:ilvl w:val="0"/>
          <w:numId w:val="0"/>
        </w:numPr>
        <w:ind w:firstLine="482"/>
        <w:jc w:val="left"/>
        <w:spacing w:line="360" w:lineRule="auto"/>
        <w:shd w:val="clear" w:color="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0"/>
        <w:jc w:val="left"/>
        <w:spacing w:line="360" w:lineRule="auto"/>
        <w:shd w:val="clear" w:color="auto"/>
        <w:widowControl w:val="off"/>
        <w:rPr>
          <w:rFonts w:hint="default" w:ascii="宋体" w:hAnsi="宋体" w:eastAsia="宋体" w:cs="Times New Roman"/>
          <w:sz w:val="24"/>
          <w:szCs w:val="22"/>
          <w:lang w:val="en-US" w:eastAsia="zh-CN" w:bidi="ar-SA"/>
        </w:rPr>
      </w:pPr>
      <w:r>
        <w:rPr>
          <w:rFonts w:hint="default" w:ascii="宋体" w:hAnsi="宋体" w:eastAsia="宋体" w:cs="Times New Roman"/>
          <w:sz w:val="24"/>
          <w:szCs w:val="22"/>
          <w:lang w:val="en-US" w:eastAsia="zh-CN" w:bidi="ar-SA"/>
        </w:rPr>
        <w:t xml:space="preserve">7、</w:t>
      </w:r>
      <w:r>
        <w:rPr>
          <w:rFonts w:hint="eastAsia" w:ascii="宋体" w:hAnsi="宋体" w:eastAsia="宋体" w:cs="Times New Roman"/>
          <w:b/>
          <w:bCs/>
          <w:color w:val="auto"/>
          <w:sz w:val="24"/>
          <w:szCs w:val="24"/>
          <w:highlight w:val="none"/>
          <w:lang w:val="en-US" w:eastAsia="zh-CN" w:bidi="ar-SA"/>
        </w:rPr>
        <w:t xml:space="preserve">RPA流程自动化平台技术参数:</w:t>
      </w:r>
      <w:r/>
    </w:p>
    <w:tbl>
      <w:tblPr>
        <w:tblStyle w:val="1032"/>
        <w:tblW w:w="46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3"/>
        <w:gridCol w:w="7079"/>
      </w:tblGrid>
      <w:tr>
        <w:trPr>
          <w:jc w:val="center"/>
          <w:trHeight w:val="285"/>
        </w:trPr>
        <w:tc>
          <w:tcPr>
            <w:tcW w:w="669"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技术指标</w:t>
            </w:r>
            <w:r/>
          </w:p>
        </w:tc>
        <w:tc>
          <w:tcPr>
            <w:tcW w:w="4330"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参数要求</w:t>
            </w:r>
            <w:r/>
          </w:p>
        </w:tc>
      </w:tr>
      <w:tr>
        <w:trPr>
          <w:jc w:val="center"/>
          <w:trHeight w:val="429"/>
        </w:trPr>
        <w:tc>
          <w:tcPr>
            <w:tcW w:w="669"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RPA流程自动化平台</w:t>
            </w:r>
            <w:r/>
          </w:p>
        </w:tc>
        <w:tc>
          <w:tcPr>
            <w:tcW w:w="4330" w:type="pct"/>
            <w:textDirection w:val="lrTb"/>
            <w:noWrap w:val="false"/>
          </w:tcPr>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1、支持私有化部署，包含不少于20个机器人账号永久授权。</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◆2、支持安装客户端到自定义目录，支持控制面板及安装目录下卸载客户端，支持客户端更新，支持静默更新和Update包更新，支持有效账号登录、账号登出及异地登录踢出账号。</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◆3、具备可视化操作能力，支持拖拽式流程设计器，便捷快速完成自动化流程搭建；提供可视化开发界面，无编程基础人员亦可快速上手，支持通用语言编程模式开发。</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◆4、支持编码开发，支持网页JS脚本、Python代码、Python表达式及各类Python库接入；支持PIP包管理，可进行Python模块安装与卸载。</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◆5、支持流程录制，可自动录制网页操作并自动生成自动化流程，支持拟人模式，支持仿真鼠标移动、点击及操作停顿，模拟真人操作习惯执行流程。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◆6、支持网页数据批量抓取，可自动形成结构化数据表格，并支持数据过滤、清洗，支持智能元素定位，可根据不同系统自动切换定位算法，实现元素自动修复。</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◆7、支持图像元素识别，能够自动适配分辨率及DPI变化，实现跨设备稳定运行，支持CV视觉元素识别，利用计算机视觉技术自动识别可操作目标元素。</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◆8、支持元素编辑器，可对捕获元素进行编辑、校验及相似元素捕获。</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◆9、支持图像截取，可截取网页及应用图像，也支持导入本地图像文件，支持图像管理，可对图像进行编辑、分组及搜索，支持图像编辑器，可对捕获图像进行校验及匹配模式设置。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◆10、支持智能指令联想，可根据上下文智能预测输入内容，提高开发效率，支持变量联想，可自动识别已有变量并智能推荐。</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◆11、支持智能运算，无需Python语法即可完成四则运算及变量取值。</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◆12、支持1000+自动化指令，涵盖网页自动化、软件自动化、鼠标键盘自动化、Excel自动化、数据处理及对话框等。</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◆13、支持智能轮盘菜单，根据当前场景智能推荐自动化应用，支持运行调试，可在设计页面及外部页面运行应用，并支持断点调试及快捷键启动。</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◆14、支持应用源码权限管理，可配置源码查看权限，增强安全控制，支持应用版本发布，支持查看应用历史版本，并支持版本回溯。</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◆15、支持多人协同开发，可配置协作开发人员共同维护应用，支持虚拟桌面运行，实现人机协同，提高资源利用率。</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◆16、提供学习中心，内置帮助文档、社区、教程及客户服务，提供初级、中级、高级培训课程，支持移动端学习。</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◆17、支持考试学院，可实现学习、练习、考试及认证一体化。</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◆18、支持定时触发器，可按指定时间自动执行流程；支持文件触发器，可根据文件变化自动执行流程；支持热键触发器，可根据快捷键触发流程运行；支持邮件触发器，可根据邮件自动触发流程执行。</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◆19、支持计划任务管理，可进行新增、编辑、删除、启停、搜索及筛选，支持计划任务列表展示，可查看任务名称、类型、应用及启用状态。</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20、支持运行日志管理，可查看触发日志、运行日志及录屏信息，并支持日志搜索、删除和导出，支持运行异常邮件通知；支持运行异常钉钉群通知；支持运行异常企业微信群通知；支持运行异常飞书群通知，支持异常后自动执行其他应用。</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◆21、支持组织运行数据首页展示，并提供学院及调度中心快捷入口。</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◆22、支持组织账号管理，包括账号增删改查、审批、登录信息管理及应用转移，支持账号权限控制，实现精细化权限管理，支持账号操作日志管理，增强安全审计能力，支持账号密码快速重置。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◆23、支持应用管理，实现应用转移、删除及应用维度管理，支持需求中心，实现需求全生命周期管理。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◆24、支持免登录跳转调度中心，支持应用保存。</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◆25、支持错误列表，可定位错误信息、流程名称及错误行号，支持运行日志查看及导出。</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◆26、内置AI OCR能力，支持文字识别、表格识别、票据识别、卡证识别及验证码识别。</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◆27、支持AI魔法指令，可通过自然语言生成自动化指令，并支持连续对话、文件上传及一键修复。</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◆28、支持自定义第三方AI接口接入，支持常见数据库操作，包括SQL执行，支持PDF、Word等办公软件自动化操作。</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◆29、包含控制中心，支持账号登录、权限校验、登录锁定、登出及密码重置。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◆30、支持异常告警，可通过企业邮箱、企业微信、钉钉及飞书发送通知，支持机器人运行状态大屏监控及实时预览。</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◆31、支持机器人分组管理，支持调度任务展示，可查看任务名称、应用、触发方式、执行时间及机器人组。</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◆32、支持调度任务新增、编辑、删除、手动执行及超时处理配置，支持任务执行记录管理及执行详情查看。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◆33、支持API调用记录管理，支持API配置，包括AccessKey等接口配置。</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◆34、支持学院管理，可查看及导出组织学习进度。</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◆35、支持企业应用管理及离职员工应用转交。</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◆36、支持应用发版审核，支持资产管理，可对凭证及文本资产进行加密管理。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◆37、包含客户端，支持账号增删改查、密码重置及权限管理。</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◆38、支持多租户管理，实现租户间数据隔离及资源独立。</w:t>
            </w:r>
            <w:r>
              <w:rPr>
                <w:rFonts w:hint="eastAsia" w:ascii="宋体" w:hAnsi="宋体" w:eastAsia="宋体" w:cs="Times New Roman"/>
                <w:i w:val="0"/>
                <w:iCs w:val="0"/>
                <w:color w:val="auto"/>
                <w:sz w:val="24"/>
                <w:szCs w:val="24"/>
                <w:highlight w:val="none"/>
                <w:u w:val="none"/>
                <w:lang w:val="en-US" w:eastAsia="zh-CN"/>
              </w:rPr>
              <w:br/>
            </w:r>
            <w:r>
              <w:rPr>
                <w:rFonts w:hint="eastAsia" w:ascii="宋体" w:hAnsi="宋体" w:eastAsia="宋体" w:cs="Times New Roman"/>
                <w:i w:val="0"/>
                <w:iCs w:val="0"/>
                <w:color w:val="auto"/>
                <w:sz w:val="24"/>
                <w:szCs w:val="24"/>
                <w:highlight w:val="none"/>
                <w:u w:val="none"/>
                <w:lang w:val="en-US" w:eastAsia="zh-CN"/>
              </w:rPr>
              <w:t xml:space="preserve">◆39、支持私有化部署，实现环境及数据本地隔离。</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◆40、系统兼容：支持信创系统上编辑、运行应用；支持统信UOS和银河麒麟的信创适配，CPU兼容飞腾、腾云、鲲鹏；适配宝兰德中间件、适配达梦数据库DM8。</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◆41、手机兼容：能驱动手机上（真机、模拟器）的任何APP进行输入、点击、手势滑动、提取数据等操作；支持同时控制多台手机设备进行自动化。</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◆42、支持通过对话智能生成魔法指令，解决包括数据处理、Excel、列表、图片、文本、文件、逻辑等类型的问题；有魔法指令模型：支持连续对话和文件上传；魔法指令支持一键智能修复。</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43、支持RPA流程自动化平台与AI无缝衔接，能够在RPA流程自动化平台流程中嵌入AI应用，在AI应用中调用RPA流程自动化平台流程，实现两者互相赋能，使得RPA流程自动化平台机器人能够处理非结构化数据、进行智能决策，提高RPA流程自动化平台操作的自适应能力和准确性。</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◆44、提供丰富AI组件扩展，包括但不限于各类语言大模型、文生图、文本内容提取、图片内容提取、视频内容提取、语音转文本、智能搜索、向量搜索等组件。</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45、AI扩展支持将文件、图片、网页、文字添加到知识库进行向量化解析，可以作为大模型的外挂知识库，形成更符合用户业务要求的AI知识库；支持开箱即用的AI业务工具扩展，提供文案创作模板、图片生成模板、智能对话助理、内容分析模板，用户快速上手配置，获得AI能力。</w:t>
            </w:r>
            <w:r>
              <w:rPr>
                <w:rFonts w:hint="eastAsia" w:ascii="宋体" w:hAnsi="宋体" w:eastAsia="宋体" w:cs="Times New Roman"/>
                <w:b w:val="0"/>
                <w:bCs w:val="0"/>
                <w:i w:val="0"/>
                <w:iCs w:val="0"/>
                <w:color w:val="auto"/>
                <w:sz w:val="24"/>
                <w:szCs w:val="24"/>
                <w:highlight w:val="none"/>
                <w:u w:val="none"/>
              </w:rPr>
              <w:t xml:space="preserve">（投标时须在响应文件中提供第三方检测机构出具的合格的检验报告或功能截图等相关证明材料）</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◆46、支持网页</w:t>
            </w:r>
            <w:bookmarkStart w:id="174" w:name="OLE_LINK31"/>
            <w:r>
              <w:rPr>
                <w:rFonts w:hint="eastAsia" w:ascii="宋体" w:hAnsi="宋体" w:eastAsia="宋体" w:cs="Times New Roman"/>
                <w:i w:val="0"/>
                <w:iCs w:val="0"/>
                <w:color w:val="auto"/>
                <w:sz w:val="24"/>
                <w:szCs w:val="24"/>
                <w:highlight w:val="none"/>
                <w:u w:val="none"/>
                <w:lang w:val="en-US" w:eastAsia="zh-CN"/>
              </w:rPr>
              <w:t xml:space="preserve">分享使用、对话交互使用、API集成使用等AI辅助能力扩展，用户可以轻松将链接通过电子邮件、社交媒体或即</w:t>
            </w:r>
            <w:bookmarkEnd w:id="174"/>
            <w:r>
              <w:rPr>
                <w:rFonts w:hint="eastAsia" w:ascii="宋体" w:hAnsi="宋体" w:eastAsia="宋体" w:cs="Times New Roman"/>
                <w:i w:val="0"/>
                <w:iCs w:val="0"/>
                <w:color w:val="auto"/>
                <w:sz w:val="24"/>
                <w:szCs w:val="24"/>
                <w:highlight w:val="none"/>
                <w:u w:val="none"/>
                <w:lang w:val="en-US" w:eastAsia="zh-CN"/>
              </w:rPr>
              <w:t xml:space="preserve">时通讯工具发送给他人；</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◆47、支持用户通过聊天界面与服务进行实时对话，获取信息或执行任务；用户可以将其集成到其他应用程序或系统中，实现自动化和定制化功能。</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◆48、支持零代码的形式搭建AI应用，支持国产大模型、开源模型。有AI智能体、AI工作流等板块，自有平台集成了市面上各种主流的AI技术能力。</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◆49、支持AI搭建流程：使基于自然语言的自动化流程的功能。你可以直接用对话描述业务场景，也可以录制一次真实的界面操作。AI 会理解你的意图，并将其转化为可运行、可修改的自动化流程。不需要编程语言，不需要低代码指令。</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◆50、支持AI辅助定位：元素锚点——为目标元素建立参照物，让定位更精准；升级了智能元素——在捕获瞬间，由 AI 自动选择更稳定的节点与属性，并同步生成 Xpath，显著提升元素的整体稳定性。</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◆51、支持AI工作流指令：使用代码编辑，自动进行代码保存和同步，可以对项目版本进行发布和回滚。</w:t>
            </w:r>
            <w:r/>
          </w:p>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◆52、支持AI录屏生成需求文档：一键录屏，完整演示一遍真实的业务操作。AI 会理解你的行为轨迹与操作逻辑，一步步还原为清晰、结构化的需求文档。</w:t>
            </w:r>
            <w:r/>
          </w:p>
        </w:tc>
      </w:tr>
    </w:tbl>
    <w:p>
      <w:pPr>
        <w:numPr>
          <w:ilvl w:val="0"/>
          <w:numId w:val="0"/>
        </w:numPr>
        <w:ind w:firstLine="482"/>
        <w:jc w:val="left"/>
        <w:spacing w:line="360" w:lineRule="auto"/>
        <w:shd w:val="clear" w:color="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numPr>
          <w:ilvl w:val="0"/>
          <w:numId w:val="0"/>
        </w:numPr>
        <w:ind w:firstLine="482"/>
        <w:jc w:val="left"/>
        <w:spacing w:line="360" w:lineRule="auto"/>
        <w:shd w:val="clear" w:color="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8、统一维护服务技术参数：</w:t>
      </w:r>
      <w:r/>
    </w:p>
    <w:tbl>
      <w:tblPr>
        <w:tblStyle w:val="1032"/>
        <w:tblW w:w="45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044"/>
      </w:tblGrid>
      <w:tr>
        <w:trPr>
          <w:jc w:val="center"/>
          <w:trHeight w:val="285"/>
        </w:trPr>
        <w:tc>
          <w:tcPr>
            <w:tcW w:w="655" w:type="pct"/>
            <w:vAlign w:val="center"/>
            <w:textDirection w:val="lrTb"/>
            <w:noWrap w:val="false"/>
          </w:tcPr>
          <w:p>
            <w:pPr>
              <w:ind w:left="0"/>
              <w:jc w:val="left"/>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技术指标</w:t>
            </w:r>
            <w:r/>
          </w:p>
        </w:tc>
        <w:tc>
          <w:tcPr>
            <w:tcW w:w="4344" w:type="pct"/>
            <w:vAlign w:val="center"/>
            <w:textDirection w:val="lrTb"/>
            <w:noWrap w:val="false"/>
          </w:tcPr>
          <w:p>
            <w:pPr>
              <w:ind w:left="0"/>
              <w:jc w:val="center"/>
              <w:spacing w:line="240" w:lineRule="auto"/>
              <w:shd w:val="clear" w:color="auto"/>
              <w:tabs>
                <w:tab w:val="left" w:pos="420" w:leader="none"/>
              </w:tabs>
              <w:rPr>
                <w:rFonts w:hint="eastAsia" w:ascii="宋体" w:hAnsi="宋体" w:eastAsia="宋体" w:cs="Times New Roman"/>
                <w:i w:val="0"/>
                <w:iCs w:val="0"/>
                <w:color w:val="auto"/>
                <w:sz w:val="24"/>
                <w:szCs w:val="24"/>
                <w:highlight w:val="none"/>
                <w:u w:val="none"/>
              </w:rPr>
            </w:pPr>
            <w:r>
              <w:rPr>
                <w:rFonts w:hint="eastAsia" w:ascii="宋体" w:hAnsi="宋体" w:eastAsia="宋体" w:cs="Times New Roman"/>
                <w:i w:val="0"/>
                <w:iCs w:val="0"/>
                <w:color w:val="auto"/>
                <w:sz w:val="24"/>
                <w:szCs w:val="24"/>
                <w:highlight w:val="none"/>
                <w:u w:val="none"/>
              </w:rPr>
              <w:t xml:space="preserve">参数要求</w:t>
            </w:r>
            <w:r/>
          </w:p>
        </w:tc>
      </w:tr>
      <w:tr>
        <w:trPr>
          <w:jc w:val="center"/>
          <w:trHeight w:val="7503"/>
        </w:trPr>
        <w:tc>
          <w:tcPr>
            <w:tcW w:w="655" w:type="pct"/>
            <w:vAlign w:val="center"/>
            <w:textDirection w:val="lrTb"/>
            <w:noWrap w:val="false"/>
          </w:tcPr>
          <w:p>
            <w:pPr>
              <w:ind w:left="0"/>
              <w:jc w:val="left"/>
              <w:spacing w:line="240" w:lineRule="auto"/>
              <w:shd w:val="clear" w:color="auto"/>
              <w:tabs>
                <w:tab w:val="left" w:pos="420" w:leader="none"/>
              </w:tabs>
              <w:rPr>
                <w:rFonts w:hint="default"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统一维护服务</w:t>
            </w:r>
            <w:r/>
          </w:p>
        </w:tc>
        <w:tc>
          <w:tcPr>
            <w:tcW w:w="4344" w:type="pct"/>
            <w:textDirection w:val="lrTb"/>
            <w:noWrap w:val="false"/>
          </w:tcPr>
          <w:p>
            <w:pPr>
              <w:shd w:val="clear" w:color="auto"/>
              <w:rPr>
                <w:rFonts w:hint="default"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1、提供5年统一维护服务；</w:t>
            </w:r>
            <w:r/>
          </w:p>
          <w:p>
            <w:pPr>
              <w:shd w:val="clear" w:color="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、维保服务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（1）中标人应与采购人签订保密协议，严格遵循保密协议之规定，确保系统数据安全，任何数据资料未经采购人许可不得向第三方提供。</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）中标人应具有效详细的运维管理办法，保障监控功能正常运行，并负责故障的全程处理。</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）服务期内中标人须对本项目所涉及的所有设备进行定期</w:t>
            </w:r>
            <w:r>
              <w:rPr>
                <w:rFonts w:hint="eastAsia" w:ascii="宋体" w:hAnsi="宋体" w:eastAsia="宋体" w:cs="宋体"/>
                <w:i/>
                <w:iCs/>
                <w:sz w:val="24"/>
                <w:szCs w:val="24"/>
                <w:u w:val="single"/>
                <w:lang w:val="en-US" w:eastAsia="zh-CN"/>
              </w:rPr>
              <w:t xml:space="preserve">巡检、</w:t>
            </w:r>
            <w:r>
              <w:rPr>
                <w:rFonts w:hint="eastAsia" w:ascii="宋体" w:hAnsi="宋体" w:eastAsia="宋体" w:cs="宋体"/>
                <w:i/>
                <w:iCs/>
                <w:sz w:val="24"/>
                <w:szCs w:val="24"/>
                <w:u w:val="single"/>
              </w:rPr>
              <w:t xml:space="preserve">保养。</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4</w:t>
            </w:r>
            <w:r>
              <w:rPr>
                <w:rFonts w:hint="eastAsia" w:ascii="宋体" w:hAnsi="宋体" w:eastAsia="宋体" w:cs="宋体"/>
                <w:i/>
                <w:iCs/>
                <w:sz w:val="24"/>
                <w:szCs w:val="24"/>
                <w:u w:val="single"/>
              </w:rPr>
              <w:t xml:space="preserve">）中标人应确保整个系统可靠性不低于99.99%。</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5</w:t>
            </w:r>
            <w:r>
              <w:rPr>
                <w:rFonts w:hint="eastAsia" w:ascii="宋体" w:hAnsi="宋体" w:eastAsia="宋体" w:cs="宋体"/>
                <w:i/>
                <w:iCs/>
                <w:sz w:val="24"/>
                <w:szCs w:val="24"/>
                <w:u w:val="single"/>
              </w:rPr>
              <w:t xml:space="preserve">）中标人应确保整个系统及网络安全。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rPr>
              <w:t xml:space="preserve">、运维要求 </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1</w:t>
            </w:r>
            <w:r>
              <w:rPr>
                <w:rFonts w:hint="eastAsia" w:ascii="宋体" w:hAnsi="宋体" w:eastAsia="宋体" w:cs="宋体"/>
                <w:i/>
                <w:iCs/>
                <w:sz w:val="24"/>
                <w:szCs w:val="24"/>
                <w:u w:val="single"/>
              </w:rPr>
              <w:t xml:space="preserve">）提供7X24小时热线仍值守以及响应电话，7X24小时全天候技术支持响应。</w:t>
            </w:r>
            <w:r/>
          </w:p>
          <w:p>
            <w:pPr>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2</w:t>
            </w:r>
            <w:r>
              <w:rPr>
                <w:rFonts w:hint="eastAsia" w:ascii="宋体" w:hAnsi="宋体" w:eastAsia="宋体" w:cs="宋体"/>
                <w:i/>
                <w:iCs/>
                <w:sz w:val="24"/>
                <w:szCs w:val="24"/>
                <w:u w:val="single"/>
              </w:rPr>
              <w:t xml:space="preserve">）中标人根据采购方需求</w:t>
            </w:r>
            <w:r>
              <w:rPr>
                <w:rFonts w:hint="eastAsia" w:ascii="宋体" w:hAnsi="宋体" w:eastAsia="宋体" w:cs="宋体"/>
                <w:i/>
                <w:iCs/>
                <w:sz w:val="24"/>
                <w:szCs w:val="24"/>
                <w:u w:val="single"/>
                <w:lang w:val="en-US" w:eastAsia="zh-CN"/>
              </w:rPr>
              <w:t xml:space="preserve">提供</w:t>
            </w:r>
            <w:r>
              <w:rPr>
                <w:rFonts w:hint="eastAsia" w:ascii="宋体" w:hAnsi="宋体" w:eastAsia="宋体" w:cs="宋体"/>
                <w:i/>
                <w:iCs/>
                <w:sz w:val="24"/>
                <w:szCs w:val="24"/>
                <w:u w:val="single"/>
              </w:rPr>
              <w:t xml:space="preserve">原厂技术</w:t>
            </w:r>
            <w:r>
              <w:rPr>
                <w:rFonts w:hint="eastAsia" w:ascii="宋体" w:hAnsi="宋体" w:eastAsia="宋体" w:cs="宋体"/>
                <w:i/>
                <w:iCs/>
                <w:sz w:val="24"/>
                <w:szCs w:val="24"/>
                <w:u w:val="single"/>
                <w:lang w:val="en-US" w:eastAsia="zh-CN"/>
              </w:rPr>
              <w:t xml:space="preserve">支持服务</w:t>
            </w:r>
            <w:r>
              <w:rPr>
                <w:rFonts w:hint="eastAsia" w:ascii="宋体" w:hAnsi="宋体" w:eastAsia="宋体" w:cs="宋体"/>
                <w:i/>
                <w:iCs/>
                <w:sz w:val="24"/>
                <w:szCs w:val="24"/>
                <w:u w:val="single"/>
              </w:rPr>
              <w:t xml:space="preserve">，在设备遇到故障时及时快速解决问题，做到7×24h响应。</w:t>
            </w:r>
            <w:r/>
          </w:p>
          <w:p>
            <w:pPr>
              <w:rPr>
                <w:rFonts w:hint="eastAsia" w:ascii="宋体" w:hAnsi="宋体" w:eastAsia="宋体" w:cs="宋体"/>
                <w:i/>
                <w:iCs/>
                <w:sz w:val="24"/>
                <w:szCs w:val="24"/>
                <w:highlight w:val="none"/>
                <w:u w:val="single"/>
                <w:lang w:val="en-US" w:eastAsia="zh-CN"/>
              </w:rPr>
            </w:pP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lang w:val="en-US" w:eastAsia="zh-CN"/>
              </w:rPr>
              <w:t xml:space="preserve">3</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项目实施过程中，投标人应免费提供专业培训，通过一系列专业化培训，使相关操作人员和系统运行维护管理人员等能够正确、熟练、有效地利用本系统进行信息系统的安全业务的操</w:t>
            </w:r>
            <w:r>
              <w:rPr>
                <w:rFonts w:hint="eastAsia" w:ascii="宋体" w:hAnsi="宋体" w:eastAsia="宋体" w:cs="宋体"/>
                <w:i/>
                <w:iCs/>
                <w:sz w:val="24"/>
                <w:szCs w:val="24"/>
                <w:highlight w:val="none"/>
                <w:u w:val="single"/>
              </w:rPr>
              <w:t xml:space="preserve">作、处理、管理和维护。</w:t>
            </w:r>
            <w:r/>
          </w:p>
          <w:p>
            <w:pPr>
              <w:ind w:left="0"/>
              <w:jc w:val="left"/>
              <w:spacing w:line="240" w:lineRule="auto"/>
              <w:shd w:val="clear" w:color="auto"/>
              <w:tabs>
                <w:tab w:val="left" w:pos="420" w:leader="none"/>
              </w:tabs>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4、算力服务器等设备安装部署所需机房及配套机柜、UPS电源、空调等设施由中标单位负责提供，所提供的机房内配套设施的供电运维和电费由中标单位承担，所提供机房服务须满足如下技术要求：</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w:t>
            </w:r>
            <w:r>
              <w:rPr>
                <w:rFonts w:hint="default" w:ascii="宋体" w:hAnsi="宋体" w:eastAsia="宋体" w:cs="Times New Roman"/>
                <w:i/>
                <w:iCs/>
                <w:color w:val="auto"/>
                <w:sz w:val="24"/>
                <w:szCs w:val="24"/>
                <w:highlight w:val="none"/>
                <w:u w:val="single"/>
                <w:lang w:val="en-US" w:eastAsia="zh-CN"/>
              </w:rPr>
              <w:t xml:space="preserve">机房的全年服务可用性≥99.999%；</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（2）</w:t>
            </w:r>
            <w:r>
              <w:rPr>
                <w:rFonts w:hint="default" w:ascii="宋体" w:hAnsi="宋体" w:eastAsia="宋体" w:cs="Times New Roman"/>
                <w:i/>
                <w:iCs/>
                <w:color w:val="auto"/>
                <w:sz w:val="24"/>
                <w:szCs w:val="24"/>
                <w:highlight w:val="none"/>
                <w:u w:val="single"/>
                <w:lang w:val="en-US" w:eastAsia="zh-CN"/>
              </w:rPr>
              <w:t xml:space="preserve">机房要求主机房区、运维管理区、不间断电源室等独立划分区域；</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（3）</w:t>
            </w:r>
            <w:r>
              <w:rPr>
                <w:rFonts w:hint="default" w:ascii="宋体" w:hAnsi="宋体" w:eastAsia="宋体" w:cs="Times New Roman"/>
                <w:i/>
                <w:iCs/>
                <w:color w:val="auto"/>
                <w:sz w:val="24"/>
                <w:szCs w:val="24"/>
                <w:highlight w:val="none"/>
                <w:u w:val="single"/>
                <w:lang w:val="en-US" w:eastAsia="zh-CN"/>
              </w:rPr>
              <w:t xml:space="preserve">机柜为标准机柜，机柜外径标准深度不少于120cm、宽度不少于60cm、高度不少于220cm；机柜可用空间不少于44U；</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（4）</w:t>
            </w:r>
            <w:r>
              <w:rPr>
                <w:rFonts w:hint="default" w:ascii="宋体" w:hAnsi="宋体" w:eastAsia="宋体" w:cs="Times New Roman"/>
                <w:i/>
                <w:iCs/>
                <w:color w:val="auto"/>
                <w:sz w:val="24"/>
                <w:szCs w:val="24"/>
                <w:highlight w:val="none"/>
                <w:u w:val="single"/>
                <w:lang w:val="en-US" w:eastAsia="zh-CN"/>
              </w:rPr>
              <w:t xml:space="preserve">机柜采用优质钢板，表面喷塑处理，外形美观；架体上的单元体安装孔位采用标准化设计，通用性好；所有紧固件连接牢固可靠，设备有明晰的线序示明标志，保护接地处有接地标志；</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（5）</w:t>
            </w:r>
            <w:r>
              <w:rPr>
                <w:rFonts w:hint="default" w:ascii="宋体" w:hAnsi="宋体" w:eastAsia="宋体" w:cs="Times New Roman"/>
                <w:i/>
                <w:iCs/>
                <w:color w:val="auto"/>
                <w:sz w:val="24"/>
                <w:szCs w:val="24"/>
                <w:highlight w:val="none"/>
                <w:u w:val="single"/>
                <w:lang w:val="en-US" w:eastAsia="zh-CN"/>
              </w:rPr>
              <w:t xml:space="preserve">机房不得在居住场所或对外经营性场所楼内，所提供机房需为相对独立空间。</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（6）</w:t>
            </w:r>
            <w:r>
              <w:rPr>
                <w:rFonts w:hint="default" w:ascii="宋体" w:hAnsi="宋体" w:eastAsia="宋体" w:cs="Times New Roman"/>
                <w:i/>
                <w:iCs/>
                <w:color w:val="auto"/>
                <w:sz w:val="24"/>
                <w:szCs w:val="24"/>
                <w:highlight w:val="none"/>
                <w:u w:val="single"/>
                <w:lang w:val="en-US" w:eastAsia="zh-CN"/>
              </w:rPr>
              <w:t xml:space="preserve">机房至少具有2路一类市电引入；每路配电系统采用不低于10kV标准的高压接入；</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（7）</w:t>
            </w:r>
            <w:r>
              <w:rPr>
                <w:rFonts w:hint="default" w:ascii="宋体" w:hAnsi="宋体" w:eastAsia="宋体" w:cs="Times New Roman"/>
                <w:i/>
                <w:iCs/>
                <w:color w:val="auto"/>
                <w:sz w:val="24"/>
                <w:szCs w:val="24"/>
                <w:highlight w:val="none"/>
                <w:u w:val="single"/>
                <w:lang w:val="en-US" w:eastAsia="zh-CN"/>
              </w:rPr>
              <w:t xml:space="preserve">每个机柜提供双路市电PDU，并提供每机柜不低于6kW供电能力，UPS电池后备时间不低于30分钟；在机房负载达到50%时，PUE可达到1.35，实现全流程高可靠保障等级；</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（8）</w:t>
            </w:r>
            <w:r>
              <w:rPr>
                <w:rFonts w:hint="default" w:ascii="宋体" w:hAnsi="宋体" w:eastAsia="宋体" w:cs="Times New Roman"/>
                <w:i/>
                <w:iCs/>
                <w:color w:val="auto"/>
                <w:sz w:val="24"/>
                <w:szCs w:val="24"/>
                <w:highlight w:val="none"/>
                <w:u w:val="single"/>
                <w:lang w:val="en-US" w:eastAsia="zh-CN"/>
              </w:rPr>
              <w:t xml:space="preserve">机房必须配备后备发电系统，发电机容量应包括不间断电源系统、空调和制冷设备的基本容量、应急照明及关系到生命安全等需要的负荷容量，并有至少20%的冗余；至少配备1台400kW的柴油发电机，可在满载情况下持续运行8小时以上；后备发电系统供电切换时间应小于UPS电池供电的最短时间；</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（9）</w:t>
            </w:r>
            <w:r>
              <w:rPr>
                <w:rFonts w:hint="default" w:ascii="宋体" w:hAnsi="宋体" w:eastAsia="宋体" w:cs="Times New Roman"/>
                <w:i/>
                <w:iCs/>
                <w:color w:val="auto"/>
                <w:sz w:val="24"/>
                <w:szCs w:val="24"/>
                <w:highlight w:val="none"/>
                <w:u w:val="single"/>
                <w:lang w:val="en-US" w:eastAsia="zh-CN"/>
              </w:rPr>
              <w:t xml:space="preserve">机房空调须采用N+1冗余方式，室内温湿度应符合设计环境指标要求，并且配备温湿度计、温度、湿度告警设备，机房温度：20-25℃，相对湿度：40%～55%，不间断电源室温度：15-25℃；</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（10）</w:t>
            </w:r>
            <w:r>
              <w:rPr>
                <w:rFonts w:hint="default" w:ascii="宋体" w:hAnsi="宋体" w:eastAsia="宋体" w:cs="Times New Roman"/>
                <w:i/>
                <w:iCs/>
                <w:color w:val="auto"/>
                <w:sz w:val="24"/>
                <w:szCs w:val="24"/>
                <w:highlight w:val="none"/>
                <w:u w:val="single"/>
                <w:lang w:val="en-US" w:eastAsia="zh-CN"/>
              </w:rPr>
              <w:t xml:space="preserve">机房所在建筑物需配置7*24小时专业保安人员值守，须建立严格的安检登记制度及准入制度；</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（11）</w:t>
            </w:r>
            <w:r>
              <w:rPr>
                <w:rFonts w:hint="default" w:ascii="宋体" w:hAnsi="宋体" w:eastAsia="宋体" w:cs="Times New Roman"/>
                <w:i/>
                <w:iCs/>
                <w:color w:val="auto"/>
                <w:sz w:val="24"/>
                <w:szCs w:val="24"/>
                <w:highlight w:val="none"/>
                <w:u w:val="single"/>
                <w:lang w:val="en-US" w:eastAsia="zh-CN"/>
              </w:rPr>
              <w:t xml:space="preserve">监控系统保证场地内（机房及办公区域）监控无死角，对场地进行7*24小时监控，本地监控录像保存时间不少于6个月；</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（12）</w:t>
            </w:r>
            <w:r>
              <w:rPr>
                <w:rFonts w:hint="default" w:ascii="宋体" w:hAnsi="宋体" w:eastAsia="宋体" w:cs="Times New Roman"/>
                <w:i/>
                <w:iCs/>
                <w:color w:val="auto"/>
                <w:sz w:val="24"/>
                <w:szCs w:val="24"/>
                <w:highlight w:val="none"/>
                <w:u w:val="single"/>
                <w:lang w:val="en-US" w:eastAsia="zh-CN"/>
              </w:rPr>
              <w:t xml:space="preserve">机房需使用门禁系统，人员进入机房采用刷卡方式，远端可监控到人员身份、进出机房的时间等信息并可实时存储；</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（13）</w:t>
            </w:r>
            <w:r>
              <w:rPr>
                <w:rFonts w:hint="default" w:ascii="宋体" w:hAnsi="宋体" w:eastAsia="宋体" w:cs="Times New Roman"/>
                <w:i/>
                <w:iCs/>
                <w:color w:val="auto"/>
                <w:sz w:val="24"/>
                <w:szCs w:val="24"/>
                <w:highlight w:val="none"/>
                <w:u w:val="single"/>
                <w:lang w:val="en-US" w:eastAsia="zh-CN"/>
              </w:rPr>
              <w:t xml:space="preserve">机房具有完善的机房维护管理方案及应急保障方案，对机房故障进行不同等级的划分和处理，第一时间通知采购人；</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（14）</w:t>
            </w:r>
            <w:r>
              <w:rPr>
                <w:rFonts w:hint="default" w:ascii="宋体" w:hAnsi="宋体" w:eastAsia="宋体" w:cs="Times New Roman"/>
                <w:i/>
                <w:iCs/>
                <w:color w:val="auto"/>
                <w:sz w:val="24"/>
                <w:szCs w:val="24"/>
                <w:highlight w:val="none"/>
                <w:u w:val="single"/>
                <w:lang w:val="en-US" w:eastAsia="zh-CN"/>
              </w:rPr>
              <w:t xml:space="preserve">机房须具备完善的动环监控系统，主要实现对机房温湿度、配电、UPS、制冷单元、漏水、门禁等状态进行实时监测、控制、报警等功能；</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（15）</w:t>
            </w:r>
            <w:r>
              <w:rPr>
                <w:rFonts w:hint="default" w:ascii="宋体" w:hAnsi="宋体" w:eastAsia="宋体" w:cs="Times New Roman"/>
                <w:i/>
                <w:iCs/>
                <w:color w:val="auto"/>
                <w:sz w:val="24"/>
                <w:szCs w:val="24"/>
                <w:highlight w:val="none"/>
                <w:u w:val="single"/>
                <w:lang w:val="en-US" w:eastAsia="zh-CN"/>
              </w:rPr>
              <w:t xml:space="preserve">机房安排7×24小时人员值班，进行环境监控、定期巡查。巡检频度保持不低于每个自然日4次，严格保存巡检日志记录；</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（16）</w:t>
            </w:r>
            <w:r>
              <w:rPr>
                <w:rFonts w:hint="default" w:ascii="宋体" w:hAnsi="宋体" w:eastAsia="宋体" w:cs="Times New Roman"/>
                <w:i/>
                <w:iCs/>
                <w:color w:val="auto"/>
                <w:sz w:val="24"/>
                <w:szCs w:val="24"/>
                <w:highlight w:val="none"/>
                <w:u w:val="single"/>
                <w:lang w:val="en-US" w:eastAsia="zh-CN"/>
              </w:rPr>
              <w:t xml:space="preserve">机房须具备不低于6人的现场驻点维护团队；</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（17）</w:t>
            </w:r>
            <w:r>
              <w:rPr>
                <w:rFonts w:hint="default" w:ascii="宋体" w:hAnsi="宋体" w:eastAsia="宋体" w:cs="Times New Roman"/>
                <w:i/>
                <w:iCs/>
                <w:color w:val="auto"/>
                <w:sz w:val="24"/>
                <w:szCs w:val="24"/>
                <w:highlight w:val="none"/>
                <w:u w:val="single"/>
                <w:lang w:val="en-US" w:eastAsia="zh-CN"/>
              </w:rPr>
              <w:t xml:space="preserve">机房具备环境智能监控，实现对设备电流量的监控、机房温度监控、机房湿度监控</w:t>
            </w:r>
            <w:r>
              <w:rPr>
                <w:rFonts w:hint="eastAsia" w:ascii="宋体" w:hAnsi="宋体" w:eastAsia="宋体" w:cs="Times New Roman"/>
                <w:i/>
                <w:iCs/>
                <w:color w:val="auto"/>
                <w:sz w:val="24"/>
                <w:szCs w:val="24"/>
                <w:highlight w:val="none"/>
                <w:u w:val="single"/>
                <w:lang w:val="en-US" w:eastAsia="zh-CN"/>
              </w:rPr>
              <w:t xml:space="preserve">；</w:t>
            </w:r>
            <w:r/>
          </w:p>
          <w:p>
            <w:pPr>
              <w:ind w:left="0"/>
              <w:jc w:val="left"/>
              <w:spacing w:line="240" w:lineRule="auto"/>
              <w:shd w:val="clear" w:color="auto"/>
              <w:tabs>
                <w:tab w:val="left" w:pos="420" w:leader="none"/>
              </w:tabs>
              <w:rPr>
                <w:rFonts w:hint="default"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 xml:space="preserve">（18）合同签订后</w:t>
            </w:r>
            <w:r>
              <w:rPr>
                <w:rFonts w:hint="eastAsia" w:ascii="宋体" w:hAnsi="宋体" w:cs="Times New Roman"/>
                <w:i/>
                <w:iCs/>
                <w:color w:val="auto"/>
                <w:sz w:val="24"/>
                <w:szCs w:val="24"/>
                <w:highlight w:val="none"/>
                <w:u w:val="single"/>
                <w:lang w:val="en-US" w:eastAsia="zh-CN"/>
              </w:rPr>
              <w:t xml:space="preserve">30</w:t>
            </w:r>
            <w:r>
              <w:rPr>
                <w:rFonts w:hint="eastAsia" w:ascii="宋体" w:hAnsi="宋体" w:eastAsia="宋体" w:cs="Times New Roman"/>
                <w:i/>
                <w:iCs/>
                <w:color w:val="auto"/>
                <w:sz w:val="24"/>
                <w:szCs w:val="24"/>
                <w:highlight w:val="none"/>
                <w:u w:val="single"/>
                <w:lang w:val="en-US" w:eastAsia="zh-CN"/>
              </w:rPr>
              <w:t xml:space="preserve">日内提供机房环境现场查验，如不符合则甲方有权要求解除合同。</w:t>
            </w:r>
            <w:r/>
          </w:p>
        </w:tc>
      </w:tr>
    </w:tbl>
    <w:p>
      <w:pPr>
        <w:ind w:firstLine="482"/>
        <w:spacing w:line="520" w:lineRule="exact"/>
        <w:shd w:val="clear" w:color="auto"/>
        <w:tabs>
          <w:tab w:val="left" w:pos="0" w:leader="none"/>
        </w:tabs>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（三）项目要求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总体实施要求</w:t>
      </w:r>
      <w:r/>
    </w:p>
    <w:p>
      <w:pPr>
        <w:ind w:firstLine="480"/>
        <w:jc w:val="left"/>
        <w:keepLines w:val="0"/>
        <w:keepNext w:val="0"/>
        <w:pageBreakBefore w:val="0"/>
        <w:spacing w:line="420" w:lineRule="exact"/>
        <w:shd w:val="clear" w:color="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中标供应商在项目服务期间应制定项目安全实施管理措施，并严格遵守安全管理要求，中标供应商在项目服务过程中因管理不当、维护措施不当等因素或不按安全管理要求，造成人员安全或财产损失事故的，其责任均由中标供应商自行承担，采购人不承担责任。</w:t>
      </w:r>
      <w:r>
        <w:rPr>
          <w:rFonts w:hint="eastAsia" w:ascii="宋体" w:hAnsi="宋体" w:eastAsia="宋体" w:cs="宋体"/>
          <w:bCs/>
          <w:color w:val="auto"/>
          <w:sz w:val="24"/>
          <w:szCs w:val="24"/>
          <w:highlight w:val="none"/>
          <w:lang w:val="en-US" w:eastAsia="zh-CN"/>
        </w:rPr>
        <w:t xml:space="preserve">供应商应按照采购方的需求搭建3个不同的算力资源池，将相关设备调试完毕，经采购方验收后后交由采购方使用。</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2.如因中标供应商投入人员过少原因，造成无法在承诺工期内完成服务，由此产生的一切责任由中标供应商承担。</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供应商应根据项目建设要求，提供针对本项目的项目建设方案、施工组织措施方案和服务保障方案，各方案需求如下：</w:t>
      </w:r>
      <w:r/>
    </w:p>
    <w:p>
      <w:pPr>
        <w:ind w:firstLine="480"/>
        <w:jc w:val="left"/>
        <w:keepLines w:val="0"/>
        <w:keepNext w:val="0"/>
        <w:pageBreakBefore w:val="0"/>
        <w:spacing w:line="420" w:lineRule="exact"/>
        <w:shd w:val="clear" w:color="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项目建设方案</w:t>
      </w:r>
      <w:r>
        <w:rPr>
          <w:rFonts w:hint="eastAsia" w:ascii="宋体" w:hAnsi="宋体" w:eastAsia="宋体" w:cs="宋体"/>
          <w:bCs/>
          <w:color w:val="auto"/>
          <w:sz w:val="24"/>
          <w:szCs w:val="24"/>
          <w:highlight w:val="none"/>
        </w:rPr>
        <w:t xml:space="preserve">应至少包含</w:t>
      </w:r>
      <w:r>
        <w:rPr>
          <w:rFonts w:hint="eastAsia" w:ascii="宋体" w:hAnsi="宋体" w:eastAsia="宋体" w:cs="宋体"/>
          <w:bCs/>
          <w:color w:val="auto"/>
          <w:sz w:val="24"/>
          <w:szCs w:val="24"/>
          <w:highlight w:val="none"/>
          <w:lang w:val="en-US" w:eastAsia="zh-CN"/>
        </w:rPr>
        <w:t xml:space="preserve">项目背景、需求分析、建设目标、总体建设方案、架构拓扑，架构拓扑需明确9台服务器的组网方式。</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施工组织方案</w:t>
      </w:r>
      <w:r>
        <w:rPr>
          <w:rFonts w:hint="eastAsia" w:ascii="宋体" w:hAnsi="宋体" w:eastAsia="宋体" w:cs="宋体"/>
          <w:bCs/>
          <w:color w:val="auto"/>
          <w:sz w:val="24"/>
          <w:szCs w:val="24"/>
          <w:highlight w:val="none"/>
        </w:rPr>
        <w:t xml:space="preserve">应至少包含：实施团队</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设备供货、进度控制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系统定制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w:t>
      </w:r>
      <w:r/>
    </w:p>
    <w:p>
      <w:pPr>
        <w:ind w:firstLine="480"/>
        <w:jc w:val="left"/>
        <w:keepLines w:val="0"/>
        <w:keepNext w:val="0"/>
        <w:pageBreakBefore w:val="0"/>
        <w:spacing w:line="420" w:lineRule="exact"/>
        <w:shd w:val="clear" w:color="auto"/>
        <w:widowControl w:val="off"/>
        <w:rPr>
          <w:rFonts w:hint="eastAsia" w:eastAsia="宋体"/>
          <w:color w:val="auto"/>
          <w:highlight w:val="none"/>
        </w:rPr>
      </w:pPr>
      <w:r>
        <w:rPr>
          <w:rFonts w:hint="eastAsia" w:ascii="宋体" w:hAnsi="宋体" w:eastAsia="宋体" w:cs="宋体"/>
          <w:bCs/>
          <w:color w:val="auto"/>
          <w:sz w:val="24"/>
          <w:szCs w:val="24"/>
          <w:highlight w:val="none"/>
        </w:rPr>
        <w:t xml:space="preserve">服务保障方案应至少包含：售后服务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培训服务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质量管理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风险应急管理</w:t>
      </w:r>
      <w:r>
        <w:rPr>
          <w:rFonts w:hint="eastAsia" w:ascii="宋体" w:hAnsi="宋体" w:eastAsia="宋体" w:cs="宋体"/>
          <w:bCs/>
          <w:color w:val="auto"/>
          <w:sz w:val="24"/>
          <w:szCs w:val="24"/>
          <w:highlight w:val="none"/>
          <w:lang w:eastAsia="zh-CN"/>
        </w:rPr>
        <w:t xml:space="preserve">。</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人员要求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熟悉本项目相关情况，根据自身专业优势和项目需要，精心组建项目团队，并对团队成员的政治素质和业务素质负责。人员结构及专业配置需规模适度、结构合理，与项目的内容和要求相适应。项目团队成员应有类似项目的工作经验，合同执行过程中，未经采购人同意，供应商不得随意更换项目团队成员。项目组人员岗位不得兼任，具体需求如下：</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项目</w:t>
      </w:r>
      <w:r>
        <w:rPr>
          <w:rFonts w:hint="eastAsia" w:ascii="宋体" w:hAnsi="宋体" w:eastAsia="宋体" w:cs="宋体"/>
          <w:bCs/>
          <w:sz w:val="24"/>
          <w:szCs w:val="24"/>
          <w:lang w:val="en-US" w:eastAsia="zh-CN"/>
        </w:rPr>
        <w:t xml:space="preserve">经理 </w:t>
      </w:r>
      <w:r>
        <w:rPr>
          <w:rFonts w:hint="eastAsia" w:ascii="宋体" w:hAnsi="宋体" w:eastAsia="宋体" w:cs="宋体"/>
          <w:bCs/>
          <w:sz w:val="24"/>
          <w:szCs w:val="24"/>
        </w:rPr>
        <w:t xml:space="preserve">1名</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拟派的项目</w:t>
      </w:r>
      <w:r>
        <w:rPr>
          <w:rFonts w:hint="eastAsia" w:ascii="宋体" w:hAnsi="宋体" w:eastAsia="宋体" w:cs="宋体"/>
          <w:bCs/>
          <w:sz w:val="24"/>
          <w:szCs w:val="24"/>
          <w:lang w:val="en-US" w:eastAsia="zh-CN"/>
        </w:rPr>
        <w:t xml:space="preserve">经理</w:t>
      </w:r>
      <w:r>
        <w:rPr>
          <w:rFonts w:hint="eastAsia" w:ascii="宋体" w:hAnsi="宋体" w:eastAsia="宋体" w:cs="宋体"/>
          <w:bCs/>
          <w:sz w:val="24"/>
          <w:szCs w:val="24"/>
        </w:rPr>
        <w:t xml:space="preserve">负责国产化集成与标准落地、警务数据与网络安全边界防范工作，具备信创集成项目管理师证书、高级网络信息安全工程师、网络安全能力认证（网络安全</w:t>
      </w:r>
      <w:r>
        <w:rPr>
          <w:rFonts w:hint="eastAsia" w:ascii="宋体" w:hAnsi="宋体" w:eastAsia="宋体" w:cs="宋体"/>
          <w:bCs/>
          <w:sz w:val="24"/>
          <w:szCs w:val="24"/>
          <w:lang w:val="en-US" w:eastAsia="zh-CN"/>
        </w:rPr>
        <w:t xml:space="preserve">技术</w:t>
      </w:r>
      <w:r>
        <w:rPr>
          <w:rFonts w:hint="eastAsia" w:ascii="宋体" w:hAnsi="宋体" w:eastAsia="宋体" w:cs="宋体"/>
          <w:bCs/>
          <w:sz w:val="24"/>
          <w:szCs w:val="24"/>
        </w:rPr>
        <w:t xml:space="preserve">Ⅰ级）证书。</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技术负责工程师1名</w:t>
      </w:r>
      <w:r/>
    </w:p>
    <w:p>
      <w:pPr>
        <w:ind w:firstLine="480"/>
        <w:jc w:val="left"/>
        <w:spacing w:line="420" w:lineRule="exact"/>
        <w:rPr>
          <w:rFonts w:hint="eastAsia" w:ascii="宋体" w:hAnsi="宋体" w:eastAsia="宋体" w:cs="宋体"/>
          <w:bCs/>
          <w:color w:val="auto"/>
          <w:sz w:val="24"/>
          <w:szCs w:val="24"/>
        </w:rPr>
      </w:pPr>
      <w:r>
        <w:rPr>
          <w:rFonts w:hint="eastAsia" w:ascii="宋体" w:hAnsi="宋体" w:eastAsia="宋体" w:cs="宋体"/>
          <w:bCs/>
          <w:sz w:val="24"/>
          <w:szCs w:val="24"/>
        </w:rPr>
        <w:t xml:space="preserve">拟投入的技术负责工程师负责信创软硬件深度集成和调优、警务数据安全防护与加</w:t>
      </w:r>
      <w:r>
        <w:rPr>
          <w:rFonts w:hint="eastAsia" w:ascii="宋体" w:hAnsi="宋体" w:eastAsia="宋体" w:cs="宋体"/>
          <w:bCs/>
          <w:color w:val="auto"/>
          <w:sz w:val="24"/>
          <w:szCs w:val="24"/>
        </w:rPr>
        <w:t xml:space="preserve">固、突发应急响应工作，具备信息安全工程师证书、信息安全保障人员认证证书（应急服务）</w:t>
      </w:r>
      <w:r>
        <w:rPr>
          <w:rFonts w:hint="eastAsia" w:ascii="宋体" w:hAnsi="宋体" w:eastAsia="宋体" w:cs="宋体"/>
          <w:bCs/>
          <w:color w:val="auto"/>
          <w:sz w:val="24"/>
          <w:szCs w:val="24"/>
          <w:lang w:eastAsia="zh-CN"/>
        </w:rPr>
        <w:t xml:space="preserve">、</w:t>
      </w:r>
      <w:r>
        <w:rPr>
          <w:rFonts w:hint="eastAsia" w:ascii="宋体" w:hAnsi="宋体" w:eastAsia="宋体" w:cs="宋体"/>
          <w:b w:val="0"/>
          <w:bCs w:val="0"/>
          <w:color w:val="auto"/>
          <w:sz w:val="24"/>
          <w:szCs w:val="24"/>
          <w:highlight w:val="none"/>
          <w:lang w:val="en-US" w:eastAsia="zh-CN"/>
        </w:rPr>
        <w:t xml:space="preserve">信息技术应用创新服务工程师证书</w:t>
      </w:r>
      <w:r>
        <w:rPr>
          <w:rFonts w:hint="eastAsia" w:ascii="宋体" w:hAnsi="宋体" w:eastAsia="宋体" w:cs="宋体"/>
          <w:bCs/>
          <w:color w:val="auto"/>
          <w:sz w:val="24"/>
          <w:szCs w:val="24"/>
        </w:rPr>
        <w:t xml:space="preserve">。</w:t>
      </w:r>
      <w:r/>
    </w:p>
    <w:p>
      <w:pPr>
        <w:ind w:firstLine="480"/>
        <w:jc w:val="left"/>
        <w:spacing w:line="42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运维工程师1名</w:t>
      </w:r>
      <w:r/>
    </w:p>
    <w:p>
      <w:pPr>
        <w:ind w:firstLine="480"/>
        <w:jc w:val="left"/>
        <w:spacing w:line="420" w:lineRule="exact"/>
        <w:rPr>
          <w:rFonts w:hint="eastAsia" w:ascii="宋体" w:hAnsi="宋体" w:eastAsia="宋体" w:cs="宋体"/>
          <w:bCs/>
          <w:sz w:val="24"/>
          <w:szCs w:val="24"/>
        </w:rPr>
      </w:pPr>
      <w:r>
        <w:rPr>
          <w:rFonts w:hint="eastAsia" w:ascii="宋体" w:hAnsi="宋体" w:eastAsia="宋体" w:cs="宋体"/>
          <w:bCs/>
          <w:color w:val="auto"/>
          <w:sz w:val="24"/>
          <w:szCs w:val="24"/>
        </w:rPr>
        <w:t xml:space="preserve">拟投入的运维工程师负责保障设备稳定运行与高可用、全国产化算力平台的策略维护、培训及团队协同工作，具备信息系统运</w:t>
      </w:r>
      <w:r>
        <w:rPr>
          <w:rFonts w:hint="eastAsia" w:ascii="宋体" w:hAnsi="宋体" w:eastAsia="宋体" w:cs="宋体"/>
          <w:bCs/>
          <w:sz w:val="24"/>
          <w:szCs w:val="24"/>
        </w:rPr>
        <w:t xml:space="preserve">维工程师证书、信创规划管理师证书。</w:t>
      </w:r>
      <w:r/>
    </w:p>
    <w:p>
      <w:pPr>
        <w:ind w:firstLine="480"/>
        <w:jc w:val="left"/>
        <w:keepLines w:val="0"/>
        <w:keepNext w:val="0"/>
        <w:pageBreakBefore w:val="0"/>
        <w:spacing w:line="420" w:lineRule="exact"/>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售后服务要求</w:t>
      </w:r>
      <w:r/>
    </w:p>
    <w:p>
      <w:pPr>
        <w:ind w:firstLine="480"/>
        <w:jc w:val="left"/>
        <w:keepLines w:val="0"/>
        <w:keepNext w:val="0"/>
        <w:pageBreakBefore w:val="0"/>
        <w:spacing w:line="420" w:lineRule="exact"/>
        <w:shd w:val="clear" w:color="auto"/>
        <w:widowControl w:val="off"/>
        <w:rPr>
          <w:rFonts w:hint="eastAsia" w:ascii="宋体" w:hAnsi="宋体" w:eastAsia="宋体" w:cs="宋体"/>
          <w:bCs/>
          <w:i/>
          <w:iCs/>
          <w:color w:val="auto"/>
          <w:sz w:val="24"/>
          <w:szCs w:val="24"/>
          <w:highlight w:val="none"/>
          <w:u w:val="single"/>
        </w:rPr>
      </w:pPr>
      <w:r>
        <w:rPr>
          <w:rFonts w:hint="eastAsia" w:ascii="宋体" w:hAnsi="宋体" w:eastAsia="宋体" w:cs="宋体"/>
          <w:bCs/>
          <w:i/>
          <w:iCs/>
          <w:color w:val="auto"/>
          <w:sz w:val="24"/>
          <w:szCs w:val="24"/>
          <w:highlight w:val="none"/>
          <w:u w:val="single"/>
        </w:rPr>
        <w:t xml:space="preserve">1、提供7X24小时热线仍值守以及响应电话，7X24小时全天候技术支持响应。</w:t>
      </w:r>
      <w:r/>
    </w:p>
    <w:p>
      <w:pPr>
        <w:ind w:left="479"/>
        <w:jc w:val="left"/>
        <w:keepLines w:val="0"/>
        <w:keepNext w:val="0"/>
        <w:pageBreakBefore w:val="0"/>
        <w:spacing w:line="420" w:lineRule="exact"/>
        <w:shd w:val="clear" w:color="auto"/>
        <w:widowControl w:val="off"/>
        <w:rPr>
          <w:rFonts w:hint="eastAsia" w:ascii="宋体" w:hAnsi="宋体" w:eastAsia="宋体" w:cs="宋体"/>
          <w:b/>
          <w:color w:val="auto"/>
          <w:sz w:val="30"/>
          <w:szCs w:val="30"/>
          <w:highlight w:val="none"/>
        </w:rPr>
      </w:pPr>
      <w:r>
        <w:rPr>
          <w:rFonts w:hint="eastAsia" w:ascii="宋体" w:hAnsi="宋体" w:eastAsia="宋体" w:cs="宋体"/>
          <w:bCs/>
          <w:i/>
          <w:iCs/>
          <w:color w:val="auto"/>
          <w:sz w:val="24"/>
          <w:szCs w:val="24"/>
          <w:highlight w:val="none"/>
          <w:u w:val="single"/>
          <w:lang w:val="en-US" w:eastAsia="zh-CN"/>
        </w:rPr>
        <w:t xml:space="preserve">2</w:t>
      </w:r>
      <w:r>
        <w:rPr>
          <w:rFonts w:hint="eastAsia" w:ascii="宋体" w:hAnsi="宋体" w:eastAsia="宋体" w:cs="宋体"/>
          <w:bCs/>
          <w:i/>
          <w:iCs/>
          <w:color w:val="auto"/>
          <w:sz w:val="24"/>
          <w:szCs w:val="24"/>
          <w:highlight w:val="none"/>
          <w:u w:val="single"/>
        </w:rPr>
        <w:t xml:space="preserve">、应急响应时间≤4小时。</w:t>
      </w:r>
      <w:r/>
    </w:p>
    <w:p>
      <w:pPr>
        <w:jc w:val="left"/>
        <w:spacing w:line="440" w:lineRule="exact"/>
        <w:shd w:val="clear" w:color="auto"/>
        <w:widowControl/>
        <w:rPr>
          <w:rFonts w:hint="eastAsia" w:ascii="宋体" w:hAnsi="宋体" w:eastAsia="宋体" w:cs="宋体"/>
          <w:b/>
          <w:color w:val="auto"/>
          <w:sz w:val="30"/>
          <w:szCs w:val="30"/>
          <w:highlight w:val="none"/>
        </w:rPr>
        <w:outlineLvl w:val="1"/>
      </w:pPr>
      <w:r>
        <w:rPr>
          <w:rFonts w:hint="eastAsia" w:ascii="宋体" w:hAnsi="宋体" w:eastAsia="宋体" w:cs="宋体"/>
          <w:b/>
          <w:color w:val="auto"/>
          <w:sz w:val="30"/>
          <w:szCs w:val="30"/>
          <w:highlight w:val="none"/>
        </w:rPr>
        <w:t xml:space="preserve">三、商务条款 </w:t>
      </w:r>
      <w:r/>
    </w:p>
    <w:p>
      <w:pPr>
        <w:ind w:firstLine="500"/>
        <w:spacing w:line="440" w:lineRule="exact"/>
        <w:shd w:val="clear" w:color="auto"/>
        <w:rPr>
          <w:rFonts w:hint="eastAsia" w:ascii="宋体" w:hAnsi="宋体" w:eastAsia="宋体" w:cs="宋体"/>
          <w:b/>
          <w:bCs/>
          <w:iCs/>
          <w:color w:val="auto"/>
          <w:spacing w:val="7"/>
          <w:sz w:val="24"/>
          <w:szCs w:val="24"/>
          <w:highlight w:val="none"/>
          <w:lang w:val="en-US" w:eastAsia="zh-CN" w:bidi="ar-SA"/>
        </w:rPr>
      </w:pPr>
      <w:r>
        <w:rPr>
          <w:rFonts w:hint="eastAsia" w:ascii="宋体" w:hAnsi="宋体" w:eastAsia="宋体" w:cs="宋体"/>
          <w:b/>
          <w:bCs/>
          <w:iCs/>
          <w:color w:val="auto"/>
          <w:spacing w:val="7"/>
          <w:sz w:val="24"/>
          <w:szCs w:val="24"/>
          <w:highlight w:val="none"/>
          <w:lang w:val="en-US" w:eastAsia="zh-CN" w:bidi="ar-SA"/>
        </w:rPr>
      </w:r>
      <w:r/>
    </w:p>
    <w:p>
      <w:pPr>
        <w:ind w:firstLine="500"/>
        <w:spacing w:line="440" w:lineRule="exact"/>
        <w:shd w:val="clear" w:color="auto"/>
        <w:rPr>
          <w:rFonts w:hint="eastAsia" w:ascii="宋体" w:hAnsi="宋体" w:eastAsia="宋体" w:cs="宋体"/>
          <w:b/>
          <w:bCs/>
          <w:iCs/>
          <w:color w:val="auto"/>
          <w:spacing w:val="7"/>
          <w:sz w:val="24"/>
          <w:szCs w:val="24"/>
          <w:highlight w:val="none"/>
          <w:lang w:val="en-US" w:eastAsia="zh-CN" w:bidi="ar-SA"/>
        </w:rPr>
      </w:pPr>
      <w:r>
        <w:rPr>
          <w:rFonts w:hint="eastAsia" w:ascii="宋体" w:hAnsi="宋体" w:eastAsia="宋体" w:cs="宋体"/>
          <w:b/>
          <w:bCs/>
          <w:iCs/>
          <w:color w:val="auto"/>
          <w:spacing w:val="7"/>
          <w:sz w:val="24"/>
          <w:szCs w:val="24"/>
          <w:highlight w:val="none"/>
          <w:lang w:val="en-US" w:eastAsia="zh-CN" w:bidi="ar-SA"/>
        </w:rPr>
        <w:t xml:space="preserve">1交货期限及地点</w:t>
      </w:r>
      <w:r/>
    </w:p>
    <w:p>
      <w:pPr>
        <w:ind w:firstLine="500"/>
        <w:spacing w:line="440" w:lineRule="exact"/>
        <w:shd w:val="clear" w:color="auto"/>
        <w:rPr>
          <w:rFonts w:hint="eastAsia" w:ascii="宋体" w:hAnsi="宋体" w:eastAsia="宋体" w:cs="宋体"/>
          <w:i/>
          <w:color w:val="auto"/>
          <w:spacing w:val="7"/>
          <w:sz w:val="24"/>
          <w:szCs w:val="24"/>
          <w:highlight w:val="none"/>
          <w:u w:val="single"/>
          <w:lang w:val="en-US" w:eastAsia="zh-CN" w:bidi="ar-SA"/>
        </w:rPr>
      </w:pPr>
      <w:r>
        <w:rPr>
          <w:rFonts w:ascii="宋体" w:hAnsi="宋体" w:eastAsia="宋体" w:cs="宋体"/>
          <w:i/>
          <w:color w:val="auto"/>
          <w:spacing w:val="7"/>
          <w:sz w:val="24"/>
          <w:szCs w:val="24"/>
          <w:highlight w:val="none"/>
          <w:u w:val="single"/>
          <w:lang w:val="en-US" w:eastAsia="zh-CN" w:bidi="ar-SA"/>
        </w:rPr>
        <w:t xml:space="preserve">1.</w:t>
      </w:r>
      <w:r>
        <w:rPr>
          <w:rFonts w:hint="eastAsia" w:ascii="宋体" w:hAnsi="宋体" w:eastAsia="宋体" w:cs="宋体"/>
          <w:i/>
          <w:color w:val="auto"/>
          <w:spacing w:val="7"/>
          <w:sz w:val="24"/>
          <w:szCs w:val="24"/>
          <w:highlight w:val="none"/>
          <w:u w:val="single"/>
          <w:lang w:val="en-US" w:eastAsia="zh-CN" w:bidi="ar-SA"/>
        </w:rPr>
        <w:t xml:space="preserve">1交货</w:t>
      </w:r>
      <w:r>
        <w:rPr>
          <w:rFonts w:ascii="宋体" w:hAnsi="宋体" w:eastAsia="宋体" w:cs="宋体"/>
          <w:i/>
          <w:color w:val="auto"/>
          <w:spacing w:val="7"/>
          <w:sz w:val="24"/>
          <w:szCs w:val="24"/>
          <w:highlight w:val="none"/>
          <w:u w:val="single"/>
          <w:lang w:val="en-US" w:eastAsia="zh-CN" w:bidi="ar-SA"/>
        </w:rPr>
        <w:t xml:space="preserve">期限</w:t>
      </w:r>
      <w:r/>
    </w:p>
    <w:p>
      <w:pPr>
        <w:ind w:firstLine="500"/>
        <w:spacing w:line="440" w:lineRule="exact"/>
        <w:shd w:val="clear" w:color="auto"/>
        <w:rPr>
          <w:rFonts w:hint="eastAsia" w:ascii="宋体" w:hAnsi="宋体" w:eastAsia="宋体" w:cs="宋体"/>
          <w:i/>
          <w:color w:val="auto"/>
          <w:spacing w:val="7"/>
          <w:sz w:val="24"/>
          <w:szCs w:val="24"/>
          <w:highlight w:val="none"/>
          <w:u w:val="single"/>
          <w:lang w:val="en-US" w:eastAsia="zh-CN" w:bidi="ar-SA"/>
        </w:rPr>
      </w:pPr>
      <w:r>
        <w:rPr>
          <w:rFonts w:ascii="宋体" w:hAnsi="宋体" w:eastAsia="宋体" w:cs="宋体"/>
          <w:i/>
          <w:color w:val="auto"/>
          <w:spacing w:val="7"/>
          <w:sz w:val="24"/>
          <w:szCs w:val="24"/>
          <w:highlight w:val="none"/>
          <w:u w:val="single"/>
          <w:lang w:val="en-US" w:eastAsia="zh-CN" w:bidi="ar-SA"/>
        </w:rPr>
        <w:t xml:space="preserve">合同签订后</w:t>
      </w:r>
      <w:r>
        <w:rPr>
          <w:rFonts w:hint="eastAsia" w:ascii="宋体" w:hAnsi="宋体" w:cs="宋体"/>
          <w:i/>
          <w:color w:val="auto"/>
          <w:spacing w:val="7"/>
          <w:sz w:val="24"/>
          <w:szCs w:val="24"/>
          <w:highlight w:val="none"/>
          <w:u w:val="single"/>
          <w:lang w:val="en-US" w:eastAsia="zh-CN" w:bidi="ar-SA"/>
        </w:rPr>
        <w:t xml:space="preserve">45</w:t>
      </w:r>
      <w:r>
        <w:rPr>
          <w:rFonts w:ascii="宋体" w:hAnsi="宋体" w:eastAsia="宋体" w:cs="宋体"/>
          <w:i/>
          <w:color w:val="auto"/>
          <w:spacing w:val="7"/>
          <w:sz w:val="24"/>
          <w:szCs w:val="24"/>
          <w:highlight w:val="none"/>
          <w:u w:val="single"/>
          <w:lang w:val="en-US" w:eastAsia="zh-CN" w:bidi="ar-SA"/>
        </w:rPr>
        <w:t xml:space="preserve">天内完成整个项目的建设及调试工作。自本项目终验合格后（以双方验收报告签订日期为准），所供硬件提供</w:t>
      </w:r>
      <w:r>
        <w:rPr>
          <w:rFonts w:hint="eastAsia" w:ascii="宋体" w:hAnsi="宋体" w:eastAsia="宋体" w:cs="宋体"/>
          <w:i/>
          <w:color w:val="auto"/>
          <w:spacing w:val="7"/>
          <w:sz w:val="24"/>
          <w:szCs w:val="24"/>
          <w:highlight w:val="none"/>
          <w:u w:val="single"/>
          <w:lang w:val="en-US" w:eastAsia="zh-CN" w:bidi="ar-SA"/>
        </w:rPr>
        <w:t xml:space="preserve">5</w:t>
      </w:r>
      <w:r>
        <w:rPr>
          <w:rFonts w:ascii="宋体" w:hAnsi="宋体" w:eastAsia="宋体" w:cs="宋体"/>
          <w:i/>
          <w:color w:val="auto"/>
          <w:spacing w:val="7"/>
          <w:sz w:val="24"/>
          <w:szCs w:val="24"/>
          <w:highlight w:val="none"/>
          <w:u w:val="single"/>
          <w:lang w:val="en-US" w:eastAsia="zh-CN" w:bidi="ar-SA"/>
        </w:rPr>
        <w:t xml:space="preserve">年</w:t>
      </w:r>
      <w:r>
        <w:rPr>
          <w:rFonts w:hint="eastAsia" w:ascii="宋体" w:hAnsi="宋体" w:eastAsia="宋体" w:cs="宋体"/>
          <w:i/>
          <w:color w:val="auto"/>
          <w:spacing w:val="7"/>
          <w:sz w:val="24"/>
          <w:szCs w:val="24"/>
          <w:highlight w:val="none"/>
          <w:u w:val="single"/>
          <w:lang w:val="en-US" w:eastAsia="zh-CN" w:bidi="ar-SA"/>
        </w:rPr>
        <w:t xml:space="preserve">质保服务</w:t>
      </w:r>
      <w:r>
        <w:rPr>
          <w:rFonts w:ascii="宋体" w:hAnsi="宋体" w:eastAsia="宋体" w:cs="宋体"/>
          <w:i/>
          <w:color w:val="auto"/>
          <w:spacing w:val="7"/>
          <w:sz w:val="24"/>
          <w:szCs w:val="24"/>
          <w:highlight w:val="none"/>
          <w:u w:val="single"/>
          <w:lang w:val="en-US" w:eastAsia="zh-CN" w:bidi="ar-SA"/>
        </w:rPr>
        <w:t xml:space="preserve">。</w:t>
      </w:r>
      <w:r/>
    </w:p>
    <w:p>
      <w:pPr>
        <w:ind w:firstLine="480"/>
        <w:spacing w:line="500" w:lineRule="exact"/>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rPr>
        <w:t xml:space="preserve">1.2交货地点</w:t>
      </w:r>
      <w:r/>
    </w:p>
    <w:p>
      <w:pPr>
        <w:ind w:firstLine="480"/>
        <w:spacing w:line="500" w:lineRule="exact"/>
        <w:shd w:val="clear" w:color="auto"/>
        <w:rPr>
          <w:rFonts w:hint="eastAsia" w:ascii="宋体" w:hAnsi="宋体" w:eastAsia="宋体" w:cs="宋体"/>
          <w:i/>
          <w:iCs/>
          <w:color w:val="auto"/>
          <w:sz w:val="24"/>
          <w:highlight w:val="none"/>
          <w:u w:val="single"/>
        </w:rPr>
      </w:pPr>
      <w:r>
        <w:rPr>
          <w:rFonts w:hint="eastAsia" w:ascii="宋体" w:hAnsi="宋体" w:eastAsia="宋体" w:cs="宋体"/>
          <w:i/>
          <w:iCs/>
          <w:color w:val="auto"/>
          <w:sz w:val="24"/>
          <w:highlight w:val="none"/>
          <w:u w:val="single"/>
          <w:lang w:val="en-US" w:eastAsia="zh-CN"/>
        </w:rPr>
        <w:t xml:space="preserve">张家港市公安局</w:t>
      </w:r>
      <w:r>
        <w:rPr>
          <w:rFonts w:hint="eastAsia" w:ascii="宋体" w:hAnsi="宋体" w:eastAsia="宋体" w:cs="宋体"/>
          <w:i/>
          <w:iCs/>
          <w:color w:val="auto"/>
          <w:sz w:val="24"/>
          <w:highlight w:val="none"/>
          <w:u w:val="single"/>
        </w:rPr>
        <w:t xml:space="preserve">。</w:t>
      </w:r>
      <w:r/>
    </w:p>
    <w:p>
      <w:pPr>
        <w:ind w:firstLine="510"/>
        <w:spacing w:line="360" w:lineRule="auto"/>
        <w:shd w:val="clear" w:color="auto"/>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 xml:space="preserve">2货款支付</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2.1结付程序</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中标人按合同内容合格地履行义务后，凭销售合同、验收报告、销售发票到采购单位办理结算手续。</w:t>
      </w:r>
      <w:r/>
    </w:p>
    <w:p>
      <w:pPr>
        <w:ind w:firstLine="508"/>
        <w:spacing w:line="360" w:lineRule="auto"/>
        <w:shd w:val="clear" w:color="auto"/>
        <w:rPr>
          <w:rFonts w:hint="eastAsia" w:ascii="宋体" w:hAnsi="宋体" w:eastAsia="宋体" w:cs="宋体"/>
          <w:i/>
          <w:iCs/>
          <w:color w:val="auto"/>
          <w:spacing w:val="7"/>
          <w:sz w:val="24"/>
          <w:szCs w:val="24"/>
          <w:highlight w:val="yellow"/>
          <w:u w:val="single"/>
          <w:lang w:val="en-US" w:eastAsia="zh-CN" w:bidi="ar-SA"/>
        </w:rPr>
      </w:pPr>
      <w:r>
        <w:rPr>
          <w:rFonts w:hint="eastAsia" w:ascii="宋体" w:hAnsi="宋体" w:eastAsia="Times New Roman" w:cs="宋体"/>
          <w:i/>
          <w:iCs/>
          <w:color w:val="auto"/>
          <w:spacing w:val="7"/>
          <w:sz w:val="24"/>
          <w:szCs w:val="24"/>
          <w:highlight w:val="none"/>
          <w:u w:val="single"/>
          <w:lang w:val="en-US" w:eastAsia="zh-CN" w:bidi="ar-SA"/>
        </w:rPr>
        <w:t xml:space="preserve">2.2结付期限</w:t>
      </w:r>
      <w:r/>
    </w:p>
    <w:p>
      <w:pPr>
        <w:ind w:firstLine="508"/>
        <w:spacing w:line="360" w:lineRule="auto"/>
        <w:shd w:val="clear" w:color="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（1）合同签订生效后，采购人支付合同总价的</w:t>
      </w:r>
      <w:r>
        <w:rPr>
          <w:rFonts w:hint="eastAsia" w:ascii="宋体" w:hAnsi="宋体" w:eastAsia="宋体" w:cs="宋体"/>
          <w:i/>
          <w:iCs/>
          <w:color w:val="auto"/>
          <w:spacing w:val="7"/>
          <w:sz w:val="24"/>
          <w:szCs w:val="24"/>
          <w:highlight w:val="none"/>
          <w:u w:val="single"/>
          <w:lang w:val="en-US" w:eastAsia="zh-CN" w:bidi="ar-SA"/>
        </w:rPr>
        <w:t xml:space="preserve">30</w:t>
      </w:r>
      <w:r>
        <w:rPr>
          <w:rFonts w:ascii="宋体" w:hAnsi="宋体" w:eastAsia="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作为预付款；</w:t>
      </w:r>
      <w:r/>
    </w:p>
    <w:p>
      <w:pPr>
        <w:ind w:firstLine="508"/>
        <w:spacing w:line="360" w:lineRule="auto"/>
        <w:shd w:val="clear" w:color="auto"/>
        <w:rPr>
          <w:rFonts w:hint="eastAsia" w:ascii="宋体" w:hAnsi="宋体" w:eastAsia="宋体" w:cs="宋体"/>
          <w:i/>
          <w:iCs/>
          <w:color w:val="auto"/>
          <w:spacing w:val="7"/>
          <w:sz w:val="24"/>
          <w:szCs w:val="24"/>
          <w:highlight w:val="none"/>
          <w:u w:val="single"/>
          <w:lang w:val="en-US" w:eastAsia="zh-CN" w:bidi="ar-SA"/>
        </w:rPr>
      </w:pPr>
      <w:r>
        <w:rPr>
          <w:rFonts w:ascii="宋体" w:hAnsi="宋体" w:eastAsia="宋体" w:cs="宋体"/>
          <w:i/>
          <w:iCs/>
          <w:color w:val="auto"/>
          <w:spacing w:val="7"/>
          <w:sz w:val="24"/>
          <w:szCs w:val="24"/>
          <w:highlight w:val="none"/>
          <w:u w:val="single"/>
          <w:lang w:val="en-US" w:eastAsia="zh-CN" w:bidi="ar-SA"/>
        </w:rPr>
        <w:t xml:space="preserve">（2）项目</w:t>
      </w:r>
      <w:r>
        <w:rPr>
          <w:rFonts w:hint="eastAsia" w:ascii="宋体" w:hAnsi="宋体" w:eastAsia="宋体" w:cs="宋体"/>
          <w:i/>
          <w:iCs/>
          <w:color w:val="auto"/>
          <w:spacing w:val="7"/>
          <w:sz w:val="24"/>
          <w:szCs w:val="24"/>
          <w:highlight w:val="none"/>
          <w:u w:val="single"/>
          <w:lang w:val="en-US" w:eastAsia="zh-CN" w:bidi="ar-SA"/>
        </w:rPr>
        <w:t xml:space="preserve">验收</w:t>
      </w:r>
      <w:r>
        <w:rPr>
          <w:rFonts w:ascii="宋体" w:hAnsi="宋体" w:eastAsia="宋体" w:cs="宋体"/>
          <w:i/>
          <w:iCs/>
          <w:color w:val="auto"/>
          <w:spacing w:val="7"/>
          <w:sz w:val="24"/>
          <w:szCs w:val="24"/>
          <w:highlight w:val="none"/>
          <w:u w:val="single"/>
          <w:lang w:val="en-US" w:eastAsia="zh-CN" w:bidi="ar-SA"/>
        </w:rPr>
        <w:t xml:space="preserve">合格后，</w:t>
      </w:r>
      <w:r>
        <w:rPr>
          <w:rFonts w:hint="eastAsia" w:ascii="宋体" w:hAnsi="宋体" w:cs="宋体"/>
          <w:i/>
          <w:iCs/>
          <w:color w:val="auto"/>
          <w:spacing w:val="7"/>
          <w:sz w:val="24"/>
          <w:szCs w:val="24"/>
          <w:highlight w:val="none"/>
          <w:u w:val="single"/>
          <w:lang w:val="en-US" w:eastAsia="zh-CN" w:bidi="ar-SA"/>
        </w:rPr>
        <w:t xml:space="preserve">需</w:t>
      </w:r>
      <w:r>
        <w:rPr>
          <w:rFonts w:ascii="宋体" w:hAnsi="宋体" w:eastAsia="宋体" w:cs="宋体"/>
          <w:i/>
          <w:iCs/>
          <w:color w:val="auto"/>
          <w:spacing w:val="7"/>
          <w:sz w:val="24"/>
          <w:szCs w:val="24"/>
          <w:highlight w:val="none"/>
          <w:u w:val="single"/>
          <w:lang w:val="en-US" w:eastAsia="zh-CN" w:bidi="ar-SA"/>
        </w:rPr>
        <w:t xml:space="preserve">甲方</w:t>
      </w:r>
      <w:r>
        <w:rPr>
          <w:rFonts w:hint="eastAsia" w:ascii="宋体" w:hAnsi="宋体" w:eastAsia="宋体" w:cs="宋体"/>
          <w:i/>
          <w:iCs/>
          <w:color w:val="auto"/>
          <w:spacing w:val="7"/>
          <w:sz w:val="24"/>
          <w:szCs w:val="24"/>
          <w:highlight w:val="none"/>
          <w:u w:val="single"/>
          <w:lang w:val="en-US" w:eastAsia="zh-CN" w:bidi="ar-SA"/>
        </w:rPr>
        <w:t xml:space="preserve">出具书面验收报告</w:t>
      </w:r>
      <w:r>
        <w:rPr>
          <w:rFonts w:hint="eastAsia" w:ascii="宋体" w:hAnsi="宋体" w:cs="宋体"/>
          <w:i/>
          <w:iCs/>
          <w:color w:val="auto"/>
          <w:spacing w:val="7"/>
          <w:sz w:val="24"/>
          <w:szCs w:val="24"/>
          <w:highlight w:val="none"/>
          <w:u w:val="single"/>
          <w:lang w:val="en-US" w:eastAsia="zh-CN" w:bidi="ar-SA"/>
        </w:rPr>
        <w:t xml:space="preserve">，甲方自收到发票等结算资料后10个工作日内</w:t>
      </w:r>
      <w:r>
        <w:rPr>
          <w:rFonts w:ascii="宋体" w:hAnsi="宋体" w:eastAsia="宋体" w:cs="宋体"/>
          <w:i/>
          <w:iCs/>
          <w:color w:val="auto"/>
          <w:spacing w:val="7"/>
          <w:sz w:val="24"/>
          <w:szCs w:val="24"/>
          <w:highlight w:val="none"/>
          <w:u w:val="single"/>
          <w:lang w:val="en-US" w:eastAsia="zh-CN" w:bidi="ar-SA"/>
        </w:rPr>
        <w:t xml:space="preserve">支付</w:t>
      </w:r>
      <w:r>
        <w:rPr>
          <w:rFonts w:hint="eastAsia" w:ascii="宋体" w:hAnsi="宋体" w:eastAsia="宋体" w:cs="宋体"/>
          <w:i/>
          <w:iCs/>
          <w:color w:val="auto"/>
          <w:spacing w:val="7"/>
          <w:sz w:val="24"/>
          <w:szCs w:val="24"/>
          <w:highlight w:val="none"/>
          <w:u w:val="single"/>
          <w:lang w:val="en-US" w:eastAsia="zh-CN" w:bidi="ar-SA"/>
        </w:rPr>
        <w:t xml:space="preserve">至</w:t>
      </w:r>
      <w:r>
        <w:rPr>
          <w:rFonts w:ascii="宋体" w:hAnsi="宋体" w:eastAsia="宋体" w:cs="宋体"/>
          <w:i/>
          <w:iCs/>
          <w:color w:val="auto"/>
          <w:spacing w:val="7"/>
          <w:sz w:val="24"/>
          <w:szCs w:val="24"/>
          <w:highlight w:val="none"/>
          <w:u w:val="single"/>
          <w:lang w:val="en-US" w:eastAsia="zh-CN" w:bidi="ar-SA"/>
        </w:rPr>
        <w:t xml:space="preserve">本项目合同总价的</w:t>
      </w:r>
      <w:r>
        <w:rPr>
          <w:rFonts w:hint="eastAsia" w:ascii="宋体" w:hAnsi="宋体" w:eastAsia="宋体" w:cs="宋体"/>
          <w:i/>
          <w:iCs/>
          <w:color w:val="auto"/>
          <w:spacing w:val="7"/>
          <w:sz w:val="24"/>
          <w:szCs w:val="24"/>
          <w:highlight w:val="none"/>
          <w:u w:val="single"/>
          <w:lang w:val="en-US" w:eastAsia="zh-CN" w:bidi="ar-SA"/>
        </w:rPr>
        <w:t xml:space="preserve">100</w:t>
      </w:r>
      <w:r>
        <w:rPr>
          <w:rFonts w:ascii="宋体" w:hAnsi="宋体" w:eastAsia="宋体" w:cs="宋体"/>
          <w:i/>
          <w:iCs/>
          <w:color w:val="auto"/>
          <w:spacing w:val="7"/>
          <w:sz w:val="24"/>
          <w:szCs w:val="24"/>
          <w:highlight w:val="none"/>
          <w:u w:val="single"/>
          <w:lang w:val="en-US" w:eastAsia="zh-CN" w:bidi="ar-SA"/>
        </w:rPr>
        <w:t xml:space="preserve">%</w:t>
      </w:r>
      <w:r>
        <w:rPr>
          <w:rFonts w:hint="eastAsia" w:ascii="宋体" w:hAnsi="宋体" w:eastAsia="宋体" w:cs="宋体"/>
          <w:i/>
          <w:iCs/>
          <w:color w:val="auto"/>
          <w:spacing w:val="7"/>
          <w:sz w:val="24"/>
          <w:szCs w:val="24"/>
          <w:highlight w:val="none"/>
          <w:u w:val="single"/>
          <w:lang w:val="en-US" w:eastAsia="zh-CN" w:bidi="ar-SA"/>
        </w:rPr>
        <w:t xml:space="preserve">；</w:t>
      </w:r>
      <w:r/>
    </w:p>
    <w:p>
      <w:pPr>
        <w:ind w:firstLine="510"/>
        <w:spacing w:line="360" w:lineRule="auto"/>
        <w:shd w:val="clear" w:color="auto"/>
        <w:rPr>
          <w:rFonts w:hint="eastAsia" w:ascii="宋体" w:hAnsi="宋体" w:eastAsia="宋体" w:cs="宋体"/>
          <w:b/>
          <w:color w:val="auto"/>
          <w:spacing w:val="7"/>
          <w:sz w:val="24"/>
          <w:szCs w:val="24"/>
          <w:highlight w:val="none"/>
          <w:lang w:val="en-US" w:eastAsia="zh-CN" w:bidi="ar-SA"/>
        </w:rPr>
      </w:pPr>
      <w:r>
        <w:rPr>
          <w:rFonts w:ascii="宋体" w:hAnsi="宋体" w:eastAsia="宋体" w:cs="宋体"/>
          <w:b/>
          <w:color w:val="auto"/>
          <w:spacing w:val="7"/>
          <w:sz w:val="24"/>
          <w:szCs w:val="24"/>
          <w:highlight w:val="none"/>
          <w:lang w:val="en-US" w:eastAsia="zh-CN" w:bidi="ar-SA"/>
        </w:rPr>
        <w:t xml:space="preserve">3投标货币</w:t>
      </w:r>
      <w:r/>
    </w:p>
    <w:p>
      <w:pPr>
        <w:ind w:firstLine="508"/>
        <w:spacing w:line="440" w:lineRule="exact"/>
        <w:shd w:val="clear" w:color="auto"/>
        <w:rPr>
          <w:rFonts w:hint="eastAsia" w:ascii="宋体" w:hAnsi="宋体" w:eastAsia="宋体" w:cs="宋体"/>
          <w:i/>
          <w:iCs/>
          <w:color w:val="auto"/>
          <w:spacing w:val="7"/>
          <w:sz w:val="24"/>
          <w:szCs w:val="24"/>
          <w:highlight w:val="none"/>
          <w:u w:val="single"/>
        </w:rPr>
      </w:pPr>
      <w:r>
        <w:rPr>
          <w:rFonts w:hint="eastAsia" w:ascii="宋体" w:hAnsi="宋体" w:eastAsia="宋体" w:cs="宋体"/>
          <w:i/>
          <w:iCs/>
          <w:color w:val="auto"/>
          <w:spacing w:val="7"/>
          <w:sz w:val="24"/>
          <w:szCs w:val="24"/>
          <w:highlight w:val="none"/>
          <w:u w:val="single"/>
        </w:rPr>
        <w:t xml:space="preserve">3.1投标货币：人民币</w:t>
      </w:r>
      <w:r/>
    </w:p>
    <w:p>
      <w:pPr>
        <w:ind w:firstLine="480"/>
        <w:jc w:val="left"/>
        <w:spacing w:line="360" w:lineRule="auto"/>
        <w:shd w:val="clear" w:color="auto"/>
        <w:widowControl w:val="off"/>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r>
      <w:r/>
    </w:p>
    <w:p>
      <w:pPr>
        <w:jc w:val="left"/>
        <w:spacing w:line="440" w:lineRule="exact"/>
        <w:shd w:val="clear" w:color="auto"/>
        <w:widowControl/>
        <w:rPr>
          <w:rFonts w:hint="eastAsia" w:ascii="宋体" w:hAnsi="宋体" w:eastAsia="宋体" w:cs="宋体"/>
          <w:b/>
          <w:color w:val="auto"/>
          <w:sz w:val="30"/>
          <w:szCs w:val="30"/>
          <w:highlight w:val="none"/>
          <w:lang w:eastAsia="zh-CN"/>
        </w:rPr>
        <w:outlineLvl w:val="1"/>
      </w:pPr>
      <w:r>
        <w:rPr>
          <w:rFonts w:hint="eastAsia" w:ascii="宋体" w:hAnsi="宋体" w:eastAsia="宋体" w:cs="宋体"/>
          <w:b/>
          <w:color w:val="auto"/>
          <w:sz w:val="30"/>
          <w:szCs w:val="30"/>
          <w:highlight w:val="none"/>
          <w:lang w:eastAsia="zh-CN"/>
        </w:rPr>
        <w:t xml:space="preserve">四、其他要求</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eastAsia" w:ascii="宋体" w:hAnsi="宋体" w:eastAsia="宋体" w:cs="宋体"/>
          <w:i w:val="0"/>
          <w:iCs w:val="0"/>
          <w:color w:val="auto"/>
          <w:spacing w:val="7"/>
          <w:sz w:val="24"/>
          <w:szCs w:val="24"/>
          <w:highlight w:val="none"/>
          <w:u w:val="none"/>
          <w:lang w:val="en-US" w:eastAsia="zh-CN" w:bidi="ar-SA"/>
        </w:rPr>
        <w:t xml:space="preserve">1</w:t>
      </w:r>
      <w:r>
        <w:rPr>
          <w:rFonts w:hint="default" w:ascii="宋体" w:hAnsi="宋体" w:eastAsia="宋体" w:cs="宋体"/>
          <w:i w:val="0"/>
          <w:iCs w:val="0"/>
          <w:color w:val="auto"/>
          <w:spacing w:val="7"/>
          <w:sz w:val="24"/>
          <w:szCs w:val="24"/>
          <w:highlight w:val="none"/>
          <w:u w:val="none"/>
          <w:lang w:val="en-US" w:eastAsia="zh-CN" w:bidi="ar-SA"/>
        </w:rPr>
        <w:t xml:space="preserve">.类似业绩</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default" w:ascii="宋体" w:hAnsi="宋体" w:eastAsia="宋体" w:cs="宋体"/>
          <w:i w:val="0"/>
          <w:iCs w:val="0"/>
          <w:color w:val="auto"/>
          <w:spacing w:val="7"/>
          <w:sz w:val="24"/>
          <w:szCs w:val="24"/>
          <w:highlight w:val="none"/>
          <w:u w:val="none"/>
          <w:lang w:val="en-US" w:eastAsia="zh-CN" w:bidi="ar-SA"/>
        </w:rPr>
        <w:t xml:space="preserve">投标人应具有202</w:t>
      </w:r>
      <w:r>
        <w:rPr>
          <w:rFonts w:hint="eastAsia" w:ascii="宋体" w:hAnsi="宋体" w:eastAsia="宋体" w:cs="宋体"/>
          <w:i w:val="0"/>
          <w:iCs w:val="0"/>
          <w:color w:val="auto"/>
          <w:spacing w:val="7"/>
          <w:sz w:val="24"/>
          <w:szCs w:val="24"/>
          <w:highlight w:val="none"/>
          <w:u w:val="none"/>
          <w:lang w:val="en-US" w:eastAsia="zh-CN" w:bidi="ar-SA"/>
        </w:rPr>
        <w:t xml:space="preserve">2</w:t>
      </w:r>
      <w:r>
        <w:rPr>
          <w:rFonts w:hint="default" w:ascii="宋体" w:hAnsi="宋体" w:eastAsia="宋体" w:cs="宋体"/>
          <w:i w:val="0"/>
          <w:iCs w:val="0"/>
          <w:color w:val="auto"/>
          <w:spacing w:val="7"/>
          <w:sz w:val="24"/>
          <w:szCs w:val="24"/>
          <w:highlight w:val="none"/>
          <w:u w:val="none"/>
          <w:lang w:val="en-US" w:eastAsia="zh-CN" w:bidi="ar-SA"/>
        </w:rPr>
        <w:t xml:space="preserve">年以来与本项目类似业绩。</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eastAsia" w:ascii="宋体" w:hAnsi="宋体" w:eastAsia="宋体" w:cs="宋体"/>
          <w:i w:val="0"/>
          <w:iCs w:val="0"/>
          <w:color w:val="auto"/>
          <w:spacing w:val="7"/>
          <w:sz w:val="24"/>
          <w:szCs w:val="24"/>
          <w:highlight w:val="none"/>
          <w:u w:val="none"/>
          <w:lang w:val="en-US" w:eastAsia="zh-CN" w:bidi="ar-SA"/>
        </w:rPr>
        <w:t xml:space="preserve">2</w:t>
      </w:r>
      <w:r>
        <w:rPr>
          <w:rFonts w:hint="default" w:ascii="宋体" w:hAnsi="宋体" w:eastAsia="宋体" w:cs="宋体"/>
          <w:i w:val="0"/>
          <w:iCs w:val="0"/>
          <w:color w:val="auto"/>
          <w:spacing w:val="7"/>
          <w:sz w:val="24"/>
          <w:szCs w:val="24"/>
          <w:highlight w:val="none"/>
          <w:u w:val="none"/>
          <w:lang w:val="en-US" w:eastAsia="zh-CN" w:bidi="ar-SA"/>
        </w:rPr>
        <w:t xml:space="preserve">.投标人获得的证书</w:t>
      </w:r>
      <w:r/>
    </w:p>
    <w:p>
      <w:pPr>
        <w:ind w:firstLine="508"/>
        <w:spacing w:line="360" w:lineRule="auto"/>
        <w:shd w:val="clear" w:color="auto"/>
        <w:rPr>
          <w:rFonts w:hint="default" w:ascii="宋体" w:hAnsi="宋体" w:eastAsia="宋体" w:cs="宋体"/>
          <w:i w:val="0"/>
          <w:iCs w:val="0"/>
          <w:color w:val="auto"/>
          <w:spacing w:val="7"/>
          <w:sz w:val="24"/>
          <w:szCs w:val="24"/>
          <w:highlight w:val="none"/>
          <w:u w:val="none"/>
          <w:lang w:val="en-US" w:eastAsia="zh-CN" w:bidi="ar-SA"/>
        </w:rPr>
      </w:pPr>
      <w:r>
        <w:rPr>
          <w:rFonts w:hint="default" w:ascii="宋体" w:hAnsi="宋体" w:eastAsia="宋体" w:cs="宋体"/>
          <w:i w:val="0"/>
          <w:iCs w:val="0"/>
          <w:color w:val="auto"/>
          <w:spacing w:val="7"/>
          <w:sz w:val="24"/>
          <w:szCs w:val="24"/>
          <w:highlight w:val="none"/>
          <w:u w:val="none"/>
          <w:lang w:val="en-US" w:eastAsia="zh-CN" w:bidi="ar-SA"/>
        </w:rPr>
        <w:t xml:space="preserve">投标人应具有有效期内的信息安全管理体系认证证书、人工智能管理体系认证证书、隐私信息管理体系认证证书、信息技术服务管理体系认证。</w:t>
      </w:r>
      <w:r/>
    </w:p>
    <w:p>
      <w:pPr>
        <w:jc w:val="center"/>
        <w:pageBreakBefore/>
        <w:spacing w:before="240" w:after="60" w:line="360" w:lineRule="auto"/>
        <w:widowControl w:val="off"/>
        <w:rPr>
          <w:rFonts w:ascii="宋体" w:hAnsi="宋体" w:eastAsia="宋体" w:cs="Times New Roman"/>
          <w:b/>
          <w:bCs/>
          <w:sz w:val="44"/>
          <w:szCs w:val="32"/>
          <w:lang w:val="en-US" w:eastAsia="zh-CN" w:bidi="ar-SA"/>
        </w:rPr>
        <w:outlineLvl w:val="0"/>
      </w:pPr>
      <w:r/>
      <w:bookmarkStart w:id="175" w:name="_Toc17224"/>
      <w:r>
        <w:rPr>
          <w:rFonts w:hint="eastAsia" w:ascii="宋体" w:hAnsi="宋体" w:eastAsia="宋体" w:cs="Times New Roman"/>
          <w:b/>
          <w:bCs/>
          <w:sz w:val="44"/>
          <w:szCs w:val="32"/>
          <w:lang w:val="en-US" w:eastAsia="zh-CN" w:bidi="ar-SA"/>
        </w:rPr>
        <w:t xml:space="preserve">第五章 评标方法与评标标准</w:t>
      </w:r>
      <w:bookmarkEnd w:id="175"/>
      <w:r/>
      <w:r/>
    </w:p>
    <w:p>
      <w:pPr>
        <w:ind w:firstLine="450"/>
        <w:spacing w:line="440" w:lineRule="exact"/>
        <w:rPr>
          <w:rFonts w:ascii="Times New Roman" w:hAnsi="Times New Roman" w:eastAsia="Times New Roman" w:cs="Times New Roman"/>
          <w:b/>
          <w:bCs/>
          <w:spacing w:val="7"/>
          <w:sz w:val="24"/>
          <w:szCs w:val="24"/>
          <w:lang w:val="en-US" w:eastAsia="zh-CN" w:bidi="ar-SA"/>
        </w:rPr>
        <w:outlineLvl w:val="1"/>
      </w:pPr>
      <w:r>
        <w:rPr>
          <w:rFonts w:hint="eastAsia" w:ascii="Calibri" w:hAnsi="Calibri" w:eastAsia="宋体" w:cs="Times New Roman"/>
          <w:b/>
          <w:bCs/>
          <w:spacing w:val="7"/>
          <w:sz w:val="24"/>
          <w:szCs w:val="24"/>
          <w:lang w:val="en-US" w:eastAsia="zh-CN" w:bidi="ar-SA"/>
        </w:rPr>
        <w:t xml:space="preserve">一、评标方法与定标原则</w:t>
      </w:r>
      <w:r/>
    </w:p>
    <w:p>
      <w:pPr>
        <w:ind w:firstLine="508"/>
        <w:spacing w:line="440" w:lineRule="exact"/>
        <w:rPr>
          <w:rFonts w:ascii="宋体" w:hAnsi="宋体" w:eastAsia="Times New Roman"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w:t>
      </w:r>
      <w:bookmarkStart w:id="176" w:name="EB7fb355fa72914ecb929ae586b8e28d83"/>
      <w:r/>
      <w:bookmarkEnd w:id="176"/>
      <w:r/>
      <w:bookmarkStart w:id="177" w:name="EB62ffe30267be4d9da459adf3124e9fe5"/>
      <w:r/>
      <w:bookmarkEnd w:id="177"/>
      <w:r>
        <w:rPr>
          <w:rFonts w:hint="eastAsia" w:ascii="宋体" w:hAnsi="宋体" w:eastAsia="宋体" w:cs="宋体"/>
          <w:spacing w:val="7"/>
          <w:sz w:val="24"/>
          <w:szCs w:val="24"/>
          <w:lang w:val="en-US" w:eastAsia="zh-CN" w:bidi="ar-SA"/>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78" w:name="EB5665b3cc3ef142c8a0c8bc5d3e5d286b"/>
      <w:r/>
      <w:bookmarkEnd w:id="178"/>
      <w:r/>
      <w:r/>
    </w:p>
    <w:p>
      <w:pPr>
        <w:ind w:firstLine="508"/>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2、针对中小型企业的评审：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（1）根据《政府采购促进中小企业发展管理办法》 (财库〔2020〕46号)及《苏州市政府采购促进中小企业发展实施意见》（苏财购〔2022〕16号）的规定，对符合办法规定的小微企业报价给予</w:t>
      </w:r>
      <w:r>
        <w:rPr>
          <w:rFonts w:hint="eastAsia" w:ascii="宋体" w:hAnsi="宋体" w:cs="宋体"/>
          <w:spacing w:val="7"/>
          <w:sz w:val="24"/>
          <w:szCs w:val="24"/>
          <w:lang w:val="en-US" w:eastAsia="zh-CN" w:bidi="ar-SA"/>
        </w:rPr>
        <w:t xml:space="preserve">15</w:t>
      </w:r>
      <w:r>
        <w:rPr>
          <w:rFonts w:hint="eastAsia" w:ascii="宋体" w:hAnsi="宋体" w:eastAsia="宋体" w:cs="宋体"/>
          <w:spacing w:val="7"/>
          <w:sz w:val="24"/>
          <w:szCs w:val="24"/>
          <w:lang w:val="en-US" w:eastAsia="zh-CN" w:bidi="ar-SA"/>
        </w:rPr>
        <w:t xml:space="preserve">% 的扣除，用扣除后的价格参加评审。</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注：①中小企业参加政府采购活动，应当出具《中小企业声明函》，否则不得享受相关中小企业扶持政策；②以上规定未尽事项，按《政府采购促进中小企业发展管理办法》等有关制度规定执行。</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（2）根据《关于促进残疾人就业政府采购政策的通知》（财库〔2017〕141号）的通知规定：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中标、成交供应商为残疾人福利性单位的，采购人或者其委托的采购代理机构应当随中标、成交结果同时公告其《残疾人福利性单位声明函》，接受社会监督。</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注：投标人如不提供以上声明函的，不得享受相关政府采购政策。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（3）根据《关于政府采购支持监狱企业发展有关问题的通知》（财库〔2014〕68号）的通知规定：</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在政府采购活动中，监狱企业视同小型、微型企业，享受预留份额、评审中价格扣除等促进中小企业发展的政府采购政策。监狱企业属于小型、微型企业的，不重复享受政策。</w:t>
      </w:r>
      <w:r/>
    </w:p>
    <w:p>
      <w:pPr>
        <w:ind w:firstLine="508"/>
        <w:spacing w:line="440" w:lineRule="exact"/>
        <w:rPr>
          <w:rFonts w:ascii="宋体" w:hAnsi="宋体" w:eastAsia="宋体" w:cs="宋体"/>
          <w:spacing w:val="7"/>
          <w:sz w:val="24"/>
          <w:szCs w:val="24"/>
          <w:lang w:val="en-US" w:eastAsia="zh-CN" w:bidi="ar-SA"/>
        </w:rPr>
      </w:pPr>
      <w:r>
        <w:rPr>
          <w:rFonts w:hint="eastAsia" w:ascii="宋体" w:hAnsi="宋体" w:eastAsia="宋体" w:cs="宋体"/>
          <w:spacing w:val="7"/>
          <w:sz w:val="24"/>
          <w:szCs w:val="24"/>
          <w:lang w:val="en-US" w:eastAsia="zh-CN" w:bidi="ar-SA"/>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508"/>
        <w:jc w:val="left"/>
        <w:spacing w:line="400" w:lineRule="exact"/>
        <w:rPr>
          <w:rFonts w:hint="default" w:ascii="宋体" w:hAnsi="宋体" w:eastAsia="宋体" w:cs="宋体"/>
          <w:spacing w:val="7"/>
          <w:sz w:val="24"/>
          <w:szCs w:val="24"/>
        </w:rPr>
      </w:pPr>
      <w:r>
        <w:rPr>
          <w:rFonts w:hint="eastAsia" w:ascii="宋体" w:hAnsi="宋体" w:eastAsia="宋体" w:cs="宋体"/>
          <w:spacing w:val="7"/>
          <w:sz w:val="24"/>
          <w:szCs w:val="24"/>
        </w:rPr>
        <w:t xml:space="preserve">注：投标人如不提供以上证明材料的，不得享受相关政府采购政策。</w:t>
      </w:r>
      <w:r/>
    </w:p>
    <w:p>
      <w:pPr>
        <w:ind w:firstLine="510"/>
        <w:spacing w:line="440" w:lineRule="exact"/>
        <w:rPr>
          <w:rFonts w:ascii="宋体" w:hAnsi="宋体" w:eastAsia="宋体" w:cs="宋体"/>
          <w:b/>
          <w:bCs/>
          <w:spacing w:val="7"/>
          <w:sz w:val="24"/>
          <w:szCs w:val="24"/>
          <w:lang w:val="en-US" w:eastAsia="zh-CN" w:bidi="ar-SA"/>
        </w:rPr>
      </w:pPr>
      <w:r>
        <w:rPr>
          <w:rFonts w:hint="eastAsia" w:ascii="宋体" w:hAnsi="宋体" w:eastAsia="宋体" w:cs="宋体"/>
          <w:b/>
          <w:bCs/>
          <w:spacing w:val="7"/>
          <w:sz w:val="24"/>
          <w:szCs w:val="24"/>
          <w:lang w:val="en-US" w:eastAsia="zh-CN" w:bidi="ar-SA"/>
        </w:rPr>
        <w:t xml:space="preserve">3、采购本国产品的支持政策 </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1）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（3）供应商需按照招标文件的要求提供《关于符合本国产品标准的声明函》（以下简称《声明函》），如不提供将不享受本国产品价格评审优惠。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440" w:lineRule="exact"/>
        <w:rPr>
          <w:rFonts w:ascii="Times New Roman" w:hAnsi="Times New Roman" w:eastAsia="宋体" w:cs="Times New Roman"/>
          <w:spacing w:val="7"/>
          <w:sz w:val="24"/>
          <w:szCs w:val="24"/>
          <w:lang w:val="en-US" w:eastAsia="zh-CN" w:bidi="ar-SA"/>
        </w:rPr>
      </w:pPr>
      <w:r>
        <w:rPr>
          <w:rFonts w:hint="eastAsia" w:ascii="Times New Roman" w:hAnsi="Times New Roman" w:eastAsia="宋体" w:cs="Times New Roman"/>
          <w:spacing w:val="7"/>
          <w:sz w:val="24"/>
          <w:szCs w:val="24"/>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widowControl w:val="off"/>
        <w:rPr>
          <w:rFonts w:ascii="宋体" w:hAnsi="宋体" w:eastAsia="宋体" w:cs="宋体"/>
          <w:spacing w:val="7"/>
          <w:sz w:val="24"/>
          <w:szCs w:val="24"/>
          <w:lang w:val="en-US" w:eastAsia="zh-CN" w:bidi="ar-SA"/>
        </w:rPr>
      </w:pPr>
      <w:r>
        <w:rPr>
          <w:rFonts w:ascii="宋体" w:hAnsi="宋体" w:eastAsia="宋体" w:cs="宋体"/>
          <w:spacing w:val="7"/>
          <w:sz w:val="24"/>
          <w:szCs w:val="24"/>
          <w:lang w:val="en-US" w:eastAsia="zh-CN" w:bidi="ar-SA"/>
        </w:rPr>
      </w:r>
      <w:r/>
    </w:p>
    <w:p>
      <w:pPr>
        <w:ind w:firstLine="482"/>
        <w:keepLines/>
        <w:keepNext/>
        <w:spacing w:line="440" w:lineRule="exact"/>
        <w:rPr>
          <w:rFonts w:hint="default" w:ascii="宋体" w:hAnsi="宋体" w:eastAsia="宋体" w:cs="Times New Roman"/>
          <w:b/>
          <w:sz w:val="24"/>
          <w:szCs w:val="24"/>
        </w:rPr>
      </w:pPr>
      <w:r>
        <w:rPr>
          <w:rFonts w:hint="eastAsia" w:eastAsia="宋体" w:cs="Times New Roman"/>
          <w:b/>
          <w:bCs/>
          <w:spacing w:val="7"/>
          <w:sz w:val="24"/>
          <w:szCs w:val="24"/>
        </w:rPr>
        <w:t xml:space="preserve">二、评标标准</w:t>
      </w:r>
      <w:r/>
    </w:p>
    <w:p>
      <w:pPr>
        <w:ind w:firstLine="538"/>
        <w:jc w:val="left"/>
        <w:spacing w:before="79" w:line="360" w:lineRule="auto"/>
        <w:widowControl/>
        <w:rPr>
          <w:rFonts w:hint="default" w:ascii="宋体" w:hAnsi="宋体" w:eastAsia="宋体" w:cs="Times New Roman"/>
          <w:b/>
          <w:sz w:val="24"/>
          <w:szCs w:val="24"/>
        </w:rPr>
      </w:pPr>
      <w:r>
        <w:rPr>
          <w:rFonts w:hint="default" w:ascii="宋体" w:hAnsi="宋体" w:eastAsia="宋体" w:cs="Times New Roman"/>
          <w:b/>
          <w:sz w:val="24"/>
          <w:szCs w:val="24"/>
        </w:rPr>
        <w:t xml:space="preserve">1 价格分</w:t>
      </w:r>
      <w:r/>
    </w:p>
    <w:p>
      <w:pPr>
        <w:ind w:left="22" w:right="118" w:firstLine="497"/>
        <w:jc w:val="left"/>
        <w:spacing w:before="200" w:line="360" w:lineRule="auto"/>
        <w:widowControl/>
        <w:rPr>
          <w:rFonts w:hint="default" w:ascii="宋体" w:hAnsi="宋体" w:eastAsia="宋体" w:cs="Times New Roman"/>
          <w:spacing w:val="13"/>
          <w:sz w:val="24"/>
          <w:szCs w:val="24"/>
        </w:rPr>
      </w:pPr>
      <w:r/>
      <w:bookmarkStart w:id="179" w:name="OLE_LINK1"/>
      <w:r>
        <w:rPr>
          <w:rFonts w:hint="default" w:ascii="宋体" w:hAnsi="宋体" w:eastAsia="宋体" w:cs="Times New Roman"/>
          <w:spacing w:val="13"/>
          <w:sz w:val="24"/>
          <w:szCs w:val="24"/>
        </w:rPr>
        <w:t xml:space="preserve">采用低价优先法计算，即满足招标文件要求且投标价格最低的投标价为评</w:t>
      </w:r>
      <w:r>
        <w:rPr>
          <w:rFonts w:hint="default" w:ascii="宋体" w:hAnsi="宋体" w:eastAsia="宋体" w:cs="Times New Roman"/>
          <w:spacing w:val="3"/>
          <w:sz w:val="24"/>
          <w:szCs w:val="24"/>
        </w:rPr>
        <w:t xml:space="preserve">标基准价，其价格分为满分</w:t>
      </w:r>
      <w:r>
        <w:rPr>
          <w:rFonts w:hint="eastAsia" w:ascii="宋体" w:hAnsi="宋体" w:cs="Times New Roman"/>
          <w:spacing w:val="3"/>
          <w:sz w:val="24"/>
          <w:szCs w:val="24"/>
          <w:lang w:val="en-US" w:eastAsia="zh-CN"/>
        </w:rPr>
        <w:t xml:space="preserve">35</w:t>
      </w:r>
      <w:r>
        <w:rPr>
          <w:rFonts w:hint="default" w:ascii="宋体" w:hAnsi="宋体" w:eastAsia="宋体" w:cs="Times New Roman"/>
          <w:spacing w:val="3"/>
          <w:sz w:val="24"/>
          <w:szCs w:val="24"/>
        </w:rPr>
        <w:t xml:space="preserve">.0分。其他投标人的价格分统一按照下列公式计</w:t>
      </w:r>
      <w:r>
        <w:rPr>
          <w:rFonts w:hint="default" w:ascii="宋体" w:hAnsi="宋体" w:eastAsia="宋体" w:cs="Times New Roman"/>
          <w:spacing w:val="-13"/>
          <w:sz w:val="24"/>
          <w:szCs w:val="24"/>
        </w:rPr>
        <w:t xml:space="preserve">算：</w:t>
      </w:r>
      <w:r/>
    </w:p>
    <w:p>
      <w:pPr>
        <w:ind w:firstLine="523"/>
        <w:jc w:val="left"/>
        <w:spacing w:before="199" w:line="360" w:lineRule="auto"/>
        <w:widowControl/>
        <w:rPr>
          <w:rFonts w:hint="default" w:ascii="宋体" w:hAnsi="宋体" w:eastAsia="宋体" w:cs="Times New Roman"/>
          <w:spacing w:val="4"/>
          <w:sz w:val="24"/>
          <w:szCs w:val="24"/>
        </w:rPr>
      </w:pPr>
      <w:r>
        <w:rPr>
          <w:rFonts w:hint="default" w:ascii="宋体" w:hAnsi="宋体" w:eastAsia="宋体" w:cs="Times New Roman"/>
          <w:spacing w:val="4"/>
          <w:sz w:val="24"/>
          <w:szCs w:val="24"/>
        </w:rPr>
        <w:t xml:space="preserve">投标报价得分=（评标基准价/投标报价）*</w:t>
      </w:r>
      <w:r>
        <w:rPr>
          <w:rFonts w:hint="eastAsia" w:ascii="宋体" w:hAnsi="宋体" w:cs="Times New Roman"/>
          <w:spacing w:val="4"/>
          <w:sz w:val="24"/>
          <w:szCs w:val="24"/>
          <w:lang w:val="en-US" w:eastAsia="zh-CN"/>
        </w:rPr>
        <w:t xml:space="preserve">35</w:t>
      </w:r>
      <w:r>
        <w:rPr>
          <w:rFonts w:hint="default" w:ascii="宋体" w:hAnsi="宋体" w:eastAsia="宋体" w:cs="Times New Roman"/>
          <w:spacing w:val="4"/>
          <w:sz w:val="24"/>
          <w:szCs w:val="24"/>
        </w:rPr>
        <w:t xml:space="preserve">.0%*100（保留二位小数</w:t>
      </w:r>
      <w:r>
        <w:rPr>
          <w:rFonts w:hint="default" w:ascii="宋体" w:hAnsi="宋体" w:eastAsia="宋体" w:cs="Times New Roman"/>
          <w:spacing w:val="-55"/>
          <w:sz w:val="24"/>
          <w:szCs w:val="24"/>
        </w:rPr>
        <w:t xml:space="preserve">）；</w:t>
      </w:r>
      <w:bookmarkEnd w:id="179"/>
      <w:r/>
      <w:r/>
    </w:p>
    <w:p>
      <w:pPr>
        <w:ind w:firstLine="523"/>
        <w:jc w:val="left"/>
        <w:spacing w:before="79" w:line="360" w:lineRule="auto"/>
        <w:widowControl/>
        <w:rPr>
          <w:rFonts w:hint="default" w:ascii="宋体" w:hAnsi="宋体" w:eastAsia="宋体" w:cs="Times New Roman"/>
          <w:b/>
          <w:spacing w:val="5"/>
          <w:sz w:val="24"/>
          <w:szCs w:val="24"/>
        </w:rPr>
        <w:outlineLvl w:val="0"/>
      </w:pPr>
      <w:r>
        <w:rPr>
          <w:rFonts w:hint="default" w:ascii="宋体" w:hAnsi="宋体" w:eastAsia="宋体" w:cs="Times New Roman"/>
          <w:b/>
          <w:spacing w:val="5"/>
          <w:sz w:val="24"/>
          <w:szCs w:val="24"/>
        </w:rPr>
        <w:t xml:space="preserve">2 性能</w:t>
      </w:r>
      <w:r>
        <w:rPr>
          <w:rFonts w:hint="eastAsia" w:ascii="宋体" w:hAnsi="宋体" w:eastAsia="宋体" w:cs="Times New Roman"/>
          <w:b/>
          <w:spacing w:val="5"/>
          <w:sz w:val="24"/>
          <w:szCs w:val="24"/>
        </w:rPr>
        <w:t xml:space="preserve">质量和技术指标</w:t>
      </w:r>
      <w:r>
        <w:rPr>
          <w:rFonts w:hint="default" w:ascii="宋体" w:hAnsi="宋体" w:eastAsia="宋体" w:cs="Times New Roman"/>
          <w:b/>
          <w:spacing w:val="5"/>
          <w:sz w:val="24"/>
          <w:szCs w:val="24"/>
        </w:rPr>
        <w:t xml:space="preserve">分</w:t>
      </w:r>
      <w:r/>
    </w:p>
    <w:p>
      <w:pPr>
        <w:ind w:firstLine="523"/>
        <w:jc w:val="left"/>
        <w:spacing w:before="199" w:line="360" w:lineRule="auto"/>
        <w:widowControl/>
        <w:rPr>
          <w:rFonts w:hint="default" w:ascii="宋体" w:hAnsi="宋体" w:eastAsia="宋体" w:cs="Times New Roman"/>
          <w:spacing w:val="9"/>
          <w:sz w:val="24"/>
          <w:szCs w:val="24"/>
          <w:lang w:val="en-US" w:eastAsia="zh-CN"/>
        </w:rPr>
      </w:pPr>
      <w:r>
        <w:rPr>
          <w:rFonts w:hint="default" w:ascii="宋体" w:hAnsi="宋体" w:eastAsia="宋体" w:cs="Times New Roman"/>
          <w:spacing w:val="9"/>
          <w:sz w:val="24"/>
          <w:szCs w:val="24"/>
        </w:rPr>
        <w:t xml:space="preserve">2.1.性能</w:t>
      </w:r>
      <w:r>
        <w:rPr>
          <w:rFonts w:hint="eastAsia" w:ascii="宋体" w:hAnsi="宋体" w:eastAsia="宋体" w:cs="Times New Roman"/>
          <w:spacing w:val="9"/>
          <w:sz w:val="24"/>
          <w:szCs w:val="24"/>
        </w:rPr>
        <w:t xml:space="preserve">质量和技术指标</w:t>
      </w:r>
      <w:r>
        <w:rPr>
          <w:rFonts w:hint="default" w:ascii="宋体" w:hAnsi="宋体" w:eastAsia="宋体" w:cs="Times New Roman"/>
          <w:spacing w:val="9"/>
          <w:sz w:val="24"/>
          <w:szCs w:val="24"/>
        </w:rPr>
        <w:t xml:space="preserve">分</w:t>
      </w:r>
      <w:r/>
    </w:p>
    <w:p>
      <w:pPr>
        <w:ind w:firstLine="525"/>
        <w:jc w:val="left"/>
        <w:spacing w:after="240" w:line="360" w:lineRule="auto"/>
        <w:widowControl/>
        <w:rPr>
          <w:rFonts w:hint="default" w:ascii="宋体" w:hAnsi="宋体" w:eastAsia="宋体" w:cs="Times New Roman"/>
          <w:spacing w:val="13"/>
          <w:sz w:val="24"/>
          <w:szCs w:val="24"/>
        </w:rPr>
      </w:pPr>
      <w:r>
        <w:rPr>
          <w:rFonts w:hint="eastAsia" w:ascii="宋体" w:hAnsi="宋体" w:eastAsia="宋体" w:cs="宋体"/>
          <w:sz w:val="24"/>
          <w:szCs w:val="24"/>
        </w:rPr>
        <w:t xml:space="preserve">根据投标人提供的物品性能质量、技术指标和系统功能要求进行评定，</w:t>
      </w:r>
      <w:r>
        <w:rPr>
          <w:rFonts w:hint="eastAsia" w:ascii="宋体" w:hAnsi="宋体" w:cs="宋体"/>
          <w:sz w:val="24"/>
          <w:szCs w:val="24"/>
          <w:lang w:eastAsia="zh-CN"/>
        </w:rPr>
        <w:t xml:space="preserve">标注“▲”、“◆”的指标项全部满足的得</w:t>
      </w:r>
      <w:r>
        <w:rPr>
          <w:rFonts w:hint="eastAsia" w:ascii="宋体" w:hAnsi="宋体" w:cs="宋体"/>
          <w:sz w:val="24"/>
          <w:szCs w:val="24"/>
          <w:lang w:val="en-US" w:eastAsia="zh-CN"/>
        </w:rPr>
        <w:t xml:space="preserve">30分。</w:t>
      </w:r>
      <w:r>
        <w:rPr>
          <w:rFonts w:hint="eastAsia" w:ascii="宋体" w:hAnsi="宋体" w:eastAsia="宋体" w:cs="宋体"/>
          <w:sz w:val="24"/>
          <w:szCs w:val="24"/>
        </w:rPr>
        <w:t xml:space="preserve">技术要求中标注“▲”的为重要指标项(共10条)，有1项负偏离减2分，技术要求中标注“◆”的为一般指标项(共100条)，有1项负偏离减 0.1分。（标注“▲”为重要指标项，须按项目需求中技术参数对应要求提供相关证明材料作为佐证，不提供则视为负偏离。）</w:t>
      </w:r>
      <w:r/>
    </w:p>
    <w:p>
      <w:pPr>
        <w:ind w:firstLine="525"/>
        <w:jc w:val="left"/>
        <w:spacing w:after="240" w:line="360" w:lineRule="auto"/>
        <w:widowControl/>
        <w:rPr>
          <w:rFonts w:hint="default" w:ascii="宋体" w:hAnsi="宋体" w:eastAsia="宋体" w:cs="Times New Roman"/>
          <w:b/>
          <w:spacing w:val="4"/>
          <w:sz w:val="24"/>
          <w:szCs w:val="24"/>
        </w:rPr>
        <w:outlineLvl w:val="0"/>
      </w:pPr>
      <w:r>
        <w:rPr>
          <w:rFonts w:hint="default" w:ascii="宋体" w:hAnsi="宋体" w:eastAsia="宋体" w:cs="Times New Roman"/>
          <w:b/>
          <w:spacing w:val="4"/>
          <w:sz w:val="24"/>
          <w:szCs w:val="24"/>
        </w:rPr>
        <w:t xml:space="preserve">3</w:t>
      </w:r>
      <w:r>
        <w:rPr>
          <w:rFonts w:hint="eastAsia" w:ascii="宋体" w:hAnsi="宋体" w:eastAsia="宋体" w:cs="Times New Roman"/>
          <w:b/>
          <w:spacing w:val="4"/>
          <w:sz w:val="24"/>
          <w:szCs w:val="24"/>
        </w:rPr>
        <w:t xml:space="preserve"> 技术方案及实施方案</w:t>
      </w:r>
      <w:r/>
    </w:p>
    <w:p>
      <w:pPr>
        <w:ind w:firstLine="525"/>
        <w:jc w:val="left"/>
        <w:spacing w:after="240" w:line="360" w:lineRule="auto"/>
        <w:widowControl/>
        <w:rPr>
          <w:rFonts w:hint="default" w:ascii="宋体" w:hAnsi="宋体" w:eastAsia="宋体" w:cs="Times New Roman"/>
          <w:spacing w:val="10"/>
          <w:sz w:val="24"/>
          <w:szCs w:val="24"/>
        </w:rPr>
      </w:pPr>
      <w:r>
        <w:rPr>
          <w:rFonts w:hint="default" w:ascii="宋体" w:hAnsi="宋体" w:eastAsia="宋体" w:cs="Times New Roman"/>
          <w:spacing w:val="10"/>
          <w:sz w:val="24"/>
          <w:szCs w:val="24"/>
        </w:rPr>
        <w:t xml:space="preserve">3.1.</w:t>
      </w:r>
      <w:r>
        <w:rPr>
          <w:rFonts w:hint="eastAsia" w:ascii="宋体" w:hAnsi="宋体" w:eastAsia="宋体" w:cs="Times New Roman"/>
          <w:spacing w:val="10"/>
          <w:sz w:val="24"/>
          <w:szCs w:val="24"/>
        </w:rPr>
        <w:t xml:space="preserve">项目建设方案</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项目建设方案进行综合评定，方案内容包含但不仅限于项目背景、需求分析、建设目标、总体建设方案、架构拓扑，方案完全包含上述内容且内容有实质性意义满足项目需求的，得9分；方案内有部分缺少或部分内容无实质性意义，但缺少量不满2项上述内容的，得</w:t>
      </w:r>
      <w:r>
        <w:rPr>
          <w:rFonts w:hint="eastAsia" w:ascii="宋体" w:hAnsi="宋体" w:cs="Times New Roman"/>
          <w:spacing w:val="13"/>
          <w:sz w:val="24"/>
          <w:szCs w:val="24"/>
          <w:lang w:val="en-US" w:eastAsia="zh-CN"/>
        </w:rPr>
        <w:t xml:space="preserve">7</w:t>
      </w:r>
      <w:r>
        <w:rPr>
          <w:rFonts w:hint="eastAsia" w:ascii="宋体" w:hAnsi="宋体" w:eastAsia="宋体" w:cs="Times New Roman"/>
          <w:spacing w:val="13"/>
          <w:sz w:val="24"/>
          <w:szCs w:val="24"/>
        </w:rPr>
        <w:t xml:space="preserve">分；方案内有缺少或部分内容无实质性意义，缺少量大于等于2项上述内容的，只能满足基本要求的，得</w:t>
      </w:r>
      <w:r>
        <w:rPr>
          <w:rFonts w:hint="eastAsia" w:ascii="宋体" w:hAnsi="宋体" w:cs="Times New Roman"/>
          <w:spacing w:val="13"/>
          <w:sz w:val="24"/>
          <w:szCs w:val="24"/>
          <w:lang w:val="en-US" w:eastAsia="zh-CN"/>
        </w:rPr>
        <w:t xml:space="preserve">5</w:t>
      </w:r>
      <w:bookmarkStart w:id="276" w:name="_GoBack"/>
      <w:r/>
      <w:bookmarkEnd w:id="276"/>
      <w:r>
        <w:rPr>
          <w:rFonts w:hint="eastAsia" w:ascii="宋体" w:hAnsi="宋体" w:eastAsia="宋体" w:cs="Times New Roman"/>
          <w:spacing w:val="13"/>
          <w:sz w:val="24"/>
          <w:szCs w:val="24"/>
        </w:rPr>
        <w:t xml:space="preserve">分；方案内容无实质性意义或未提供方案说明的，不得分</w:t>
      </w:r>
      <w:r>
        <w:rPr>
          <w:rFonts w:hint="default" w:ascii="宋体" w:hAnsi="宋体" w:eastAsia="宋体" w:cs="Times New Roman"/>
          <w:spacing w:val="4"/>
          <w:sz w:val="24"/>
          <w:szCs w:val="24"/>
        </w:rPr>
        <w:t xml:space="preserve">。</w:t>
      </w:r>
      <w:r/>
    </w:p>
    <w:p>
      <w:pPr>
        <w:ind w:firstLine="525"/>
        <w:jc w:val="left"/>
        <w:spacing w:before="199"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3.2.</w:t>
      </w:r>
      <w:r>
        <w:rPr>
          <w:rFonts w:hint="eastAsia" w:ascii="宋体" w:hAnsi="宋体" w:eastAsia="宋体" w:cs="Times New Roman"/>
          <w:spacing w:val="8"/>
          <w:sz w:val="24"/>
          <w:szCs w:val="24"/>
        </w:rPr>
        <w:t xml:space="preserve">施工组织方案</w:t>
      </w:r>
      <w:r/>
    </w:p>
    <w:p>
      <w:pPr>
        <w:ind w:left="21" w:right="12" w:firstLine="498"/>
        <w:jc w:val="left"/>
        <w:spacing w:before="198"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根据投标人提供的施工组织方案进行综合评定，方案内容包含但不仅限于实施团队、设备供货、进度控制、系统定制、安装调试，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r/>
    </w:p>
    <w:p>
      <w:pPr>
        <w:ind w:firstLine="525"/>
        <w:jc w:val="left"/>
        <w:spacing w:before="200" w:line="360" w:lineRule="auto"/>
        <w:widowControl/>
        <w:rPr>
          <w:rFonts w:hint="default" w:ascii="宋体" w:hAnsi="宋体" w:eastAsia="宋体" w:cs="Times New Roman"/>
          <w:spacing w:val="8"/>
          <w:sz w:val="24"/>
          <w:szCs w:val="24"/>
        </w:rPr>
        <w:outlineLvl w:val="0"/>
      </w:pPr>
      <w:r>
        <w:rPr>
          <w:rFonts w:hint="default" w:ascii="宋体" w:hAnsi="宋体" w:eastAsia="宋体" w:cs="Times New Roman"/>
          <w:spacing w:val="8"/>
          <w:sz w:val="24"/>
          <w:szCs w:val="24"/>
        </w:rPr>
        <w:t xml:space="preserve">3.</w:t>
      </w:r>
      <w:r>
        <w:rPr>
          <w:rFonts w:hint="eastAsia" w:ascii="宋体" w:hAnsi="宋体" w:eastAsia="宋体" w:cs="Times New Roman"/>
          <w:spacing w:val="8"/>
          <w:sz w:val="24"/>
          <w:szCs w:val="24"/>
        </w:rPr>
        <w:t xml:space="preserve">3</w:t>
      </w:r>
      <w:r>
        <w:rPr>
          <w:rFonts w:hint="default" w:ascii="宋体" w:hAnsi="宋体" w:eastAsia="宋体" w:cs="Times New Roman"/>
          <w:spacing w:val="8"/>
          <w:sz w:val="24"/>
          <w:szCs w:val="24"/>
        </w:rPr>
        <w:t xml:space="preserve">.服务保障方案</w:t>
      </w:r>
      <w:r/>
    </w:p>
    <w:p>
      <w:pPr>
        <w:ind w:left="21" w:right="12" w:firstLine="498"/>
        <w:jc w:val="left"/>
        <w:spacing w:before="198" w:line="360" w:lineRule="auto"/>
        <w:widowControl/>
        <w:rPr>
          <w:rFonts w:hint="eastAsia" w:ascii="宋体" w:hAnsi="宋体" w:eastAsia="宋体" w:cs="Times New Roman"/>
          <w:spacing w:val="13"/>
          <w:sz w:val="24"/>
          <w:szCs w:val="24"/>
        </w:rPr>
      </w:pPr>
      <w:r/>
      <w:bookmarkStart w:id="180" w:name="OLE_LINK4"/>
      <w:r>
        <w:rPr>
          <w:rFonts w:hint="eastAsia" w:ascii="宋体" w:hAnsi="宋体" w:eastAsia="宋体" w:cs="Times New Roman"/>
          <w:spacing w:val="13"/>
          <w:sz w:val="24"/>
          <w:szCs w:val="24"/>
        </w:rPr>
        <w:t xml:space="preserve">根据投标人提供的服务保障方案进行综合评定，方案内容包含但不仅限于售后服务、培训服务、质量管理、风险应急管理，方案完全包含上述内容且内容有实质性意义满足项目需求的，得6分；方案内有部分缺少或部分内容无实质性意义，但缺少量不满2项上述内容的，得4分；方案内有缺少或部分内容无实质性意义，缺少量大于等于2项上述内容的，只能满足基本要求的，得2分；方案内容无实质性意义或未提供方案说明的，不得分。</w:t>
      </w:r>
      <w:bookmarkEnd w:id="180"/>
      <w:r/>
      <w:r/>
    </w:p>
    <w:p>
      <w:pPr>
        <w:ind w:firstLine="519"/>
        <w:jc w:val="left"/>
        <w:spacing w:before="198" w:line="360" w:lineRule="auto"/>
        <w:widowControl/>
        <w:rPr>
          <w:rFonts w:hint="default" w:ascii="宋体" w:hAnsi="宋体" w:eastAsia="宋体" w:cs="Times New Roman"/>
          <w:b/>
          <w:spacing w:val="4"/>
          <w:sz w:val="24"/>
          <w:szCs w:val="24"/>
          <w:lang w:val="en-US" w:eastAsia="zh-CN"/>
        </w:rPr>
        <w:outlineLvl w:val="0"/>
      </w:pPr>
      <w:r>
        <w:rPr>
          <w:rFonts w:hint="eastAsia" w:ascii="宋体" w:hAnsi="宋体" w:eastAsia="宋体" w:cs="Times New Roman"/>
          <w:b/>
          <w:spacing w:val="4"/>
          <w:sz w:val="24"/>
          <w:szCs w:val="24"/>
          <w:lang w:val="en-US" w:eastAsia="zh-CN"/>
        </w:rPr>
        <w:t xml:space="preserve">4 </w:t>
      </w:r>
      <w:r>
        <w:rPr>
          <w:rFonts w:hint="default" w:ascii="宋体" w:hAnsi="宋体" w:eastAsia="宋体" w:cs="Times New Roman"/>
          <w:b/>
          <w:spacing w:val="4"/>
          <w:sz w:val="24"/>
          <w:szCs w:val="24"/>
          <w:lang w:val="en-US" w:eastAsia="zh-CN"/>
        </w:rPr>
        <w:t xml:space="preserve">人员配置</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4.1</w:t>
      </w:r>
      <w:r>
        <w:rPr>
          <w:rFonts w:hint="default" w:ascii="宋体" w:hAnsi="宋体" w:eastAsia="宋体" w:cs="Times New Roman"/>
          <w:spacing w:val="13"/>
          <w:sz w:val="24"/>
          <w:szCs w:val="24"/>
          <w:lang w:val="en-US" w:eastAsia="zh-CN"/>
        </w:rPr>
        <w:t xml:space="preserve">项目经理1名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拟派的项目经理具备信创集成项目管理师证书、高级网络信息安全工程师、网络安全能力认证（网络安全技术Ⅰ级），有1个得1分，最高得3分。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4.2</w:t>
      </w:r>
      <w:r>
        <w:rPr>
          <w:rFonts w:hint="default" w:ascii="宋体" w:hAnsi="宋体" w:eastAsia="宋体" w:cs="Times New Roman"/>
          <w:spacing w:val="13"/>
          <w:sz w:val="24"/>
          <w:szCs w:val="24"/>
          <w:lang w:val="en-US" w:eastAsia="zh-CN"/>
        </w:rPr>
        <w:t xml:space="preserve">技术负责工程师1名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拟投入的技术负责工程师具备信息安全工程师证书、信息安全保障人员认证证书（应急服务）、信息技术应用创新服务工程师证书，有1个得1分，最高得3分。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eastAsia" w:ascii="宋体" w:hAnsi="宋体" w:eastAsia="宋体" w:cs="Times New Roman"/>
          <w:spacing w:val="13"/>
          <w:sz w:val="24"/>
          <w:szCs w:val="24"/>
          <w:lang w:val="en-US" w:eastAsia="zh-CN"/>
        </w:rPr>
        <w:t xml:space="preserve">4.3</w:t>
      </w:r>
      <w:r>
        <w:rPr>
          <w:rFonts w:hint="default" w:ascii="宋体" w:hAnsi="宋体" w:eastAsia="宋体" w:cs="Times New Roman"/>
          <w:spacing w:val="13"/>
          <w:sz w:val="24"/>
          <w:szCs w:val="24"/>
          <w:lang w:val="en-US" w:eastAsia="zh-CN"/>
        </w:rPr>
        <w:t xml:space="preserve">运维工程师1名</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拟投入的运维工程师具备信息系统运维工程师证书、信创规划管理师证书，有1个得1分，最高得2分。</w:t>
      </w:r>
      <w:r/>
    </w:p>
    <w:p>
      <w:pPr>
        <w:ind w:left="21" w:right="12" w:firstLine="498"/>
        <w:jc w:val="left"/>
        <w:spacing w:before="198" w:line="360" w:lineRule="auto"/>
        <w:widowControl/>
        <w:rPr>
          <w:rFonts w:hint="default" w:ascii="宋体" w:hAnsi="宋体" w:eastAsia="宋体" w:cs="Times New Roman"/>
          <w:spacing w:val="13"/>
          <w:sz w:val="24"/>
          <w:szCs w:val="24"/>
          <w:lang w:val="en-US" w:eastAsia="zh-CN"/>
        </w:rPr>
      </w:pPr>
      <w:r>
        <w:rPr>
          <w:rFonts w:hint="default" w:ascii="宋体" w:hAnsi="宋体" w:eastAsia="宋体" w:cs="Times New Roman"/>
          <w:spacing w:val="13"/>
          <w:sz w:val="24"/>
          <w:szCs w:val="24"/>
          <w:lang w:val="en-US" w:eastAsia="zh-CN"/>
        </w:rPr>
        <w:t xml:space="preserve">（注：</w:t>
      </w:r>
      <w:r>
        <w:rPr>
          <w:rFonts w:hint="eastAsia" w:ascii="宋体" w:hAnsi="宋体" w:eastAsia="宋体" w:cs="Times New Roman"/>
          <w:spacing w:val="13"/>
          <w:sz w:val="24"/>
          <w:szCs w:val="24"/>
          <w:lang w:val="en-US" w:eastAsia="zh-CN"/>
        </w:rPr>
        <w:t xml:space="preserve">请在</w:t>
      </w:r>
      <w:r>
        <w:rPr>
          <w:rFonts w:hint="default" w:ascii="宋体" w:hAnsi="宋体" w:eastAsia="宋体" w:cs="Times New Roman"/>
          <w:spacing w:val="13"/>
          <w:sz w:val="24"/>
          <w:szCs w:val="24"/>
          <w:lang w:val="en-US" w:eastAsia="zh-CN"/>
        </w:rPr>
        <w:t xml:space="preserve">投标文件中需提供以上项目人员的证书</w:t>
      </w:r>
      <w:r>
        <w:rPr>
          <w:rFonts w:hint="eastAsia" w:ascii="宋体" w:hAnsi="宋体" w:eastAsia="宋体" w:cs="Times New Roman"/>
          <w:spacing w:val="13"/>
          <w:sz w:val="24"/>
          <w:szCs w:val="24"/>
          <w:lang w:val="en-US" w:eastAsia="zh-CN"/>
        </w:rPr>
        <w:t xml:space="preserve">，并附投标单位为项目人员缴纳社保的证明材料，</w:t>
      </w:r>
      <w:r>
        <w:rPr>
          <w:rFonts w:hint="default" w:ascii="宋体" w:hAnsi="宋体" w:eastAsia="宋体" w:cs="Times New Roman"/>
          <w:spacing w:val="13"/>
          <w:sz w:val="24"/>
          <w:szCs w:val="24"/>
          <w:lang w:val="en-US" w:eastAsia="zh-CN"/>
        </w:rPr>
        <w:t xml:space="preserve">未按要求提供或未提供的不得分。）</w:t>
      </w:r>
      <w:r/>
    </w:p>
    <w:p>
      <w:pPr>
        <w:ind w:firstLine="519"/>
        <w:jc w:val="left"/>
        <w:spacing w:before="198" w:line="360" w:lineRule="auto"/>
        <w:widowControl/>
        <w:rPr>
          <w:rFonts w:hint="default" w:ascii="宋体" w:hAnsi="宋体" w:eastAsia="宋体" w:cs="Times New Roman"/>
          <w:b/>
          <w:spacing w:val="4"/>
          <w:sz w:val="24"/>
          <w:szCs w:val="24"/>
        </w:rPr>
        <w:outlineLvl w:val="0"/>
      </w:pPr>
      <w:r>
        <w:rPr>
          <w:rFonts w:hint="eastAsia" w:ascii="宋体" w:hAnsi="宋体" w:cs="Times New Roman"/>
          <w:b/>
          <w:spacing w:val="4"/>
          <w:sz w:val="24"/>
          <w:szCs w:val="24"/>
          <w:lang w:val="en-US" w:eastAsia="zh-CN"/>
        </w:rPr>
        <w:t xml:space="preserve">5 </w:t>
      </w:r>
      <w:r>
        <w:rPr>
          <w:rFonts w:hint="default" w:ascii="宋体" w:hAnsi="宋体" w:eastAsia="宋体" w:cs="Times New Roman"/>
          <w:b/>
          <w:spacing w:val="4"/>
          <w:sz w:val="24"/>
          <w:szCs w:val="24"/>
        </w:rPr>
        <w:t xml:space="preserve">履约能力</w:t>
      </w:r>
      <w:r/>
    </w:p>
    <w:p>
      <w:pPr>
        <w:ind w:firstLine="500"/>
        <w:spacing w:line="440" w:lineRule="exact"/>
        <w:rPr>
          <w:rFonts w:hint="default" w:ascii="宋体" w:hAnsi="宋体" w:eastAsia="宋体" w:cs="宋体"/>
          <w:spacing w:val="7"/>
          <w:sz w:val="24"/>
          <w:szCs w:val="24"/>
        </w:rPr>
      </w:pPr>
      <w:r>
        <w:rPr>
          <w:rFonts w:hint="eastAsia" w:ascii="宋体" w:hAnsi="宋体" w:cs="宋体"/>
          <w:color w:val="000000"/>
          <w:spacing w:val="7"/>
          <w:sz w:val="24"/>
          <w:szCs w:val="24"/>
          <w:lang w:val="en-US" w:eastAsia="zh-CN"/>
        </w:rPr>
        <w:t xml:space="preserve">5</w:t>
      </w:r>
      <w:r>
        <w:rPr>
          <w:rFonts w:hint="eastAsia" w:ascii="宋体" w:hAnsi="宋体" w:eastAsia="宋体" w:cs="宋体"/>
          <w:color w:val="000000"/>
          <w:spacing w:val="7"/>
          <w:sz w:val="24"/>
          <w:szCs w:val="24"/>
        </w:rPr>
        <w:t xml:space="preserve">.1</w:t>
      </w:r>
      <w:r>
        <w:rPr>
          <w:rFonts w:hint="default" w:ascii="宋体" w:hAnsi="宋体" w:eastAsia="宋体" w:cs="宋体"/>
          <w:color w:val="000000"/>
          <w:spacing w:val="7"/>
          <w:sz w:val="24"/>
          <w:szCs w:val="24"/>
        </w:rPr>
        <w:t xml:space="preserve">类似业绩</w:t>
      </w:r>
      <w:r/>
    </w:p>
    <w:p>
      <w:pPr>
        <w:ind w:firstLine="500"/>
        <w:spacing w:line="440" w:lineRule="exact"/>
        <w:rPr>
          <w:rFonts w:hint="default" w:ascii="宋体" w:hAnsi="宋体" w:eastAsia="Times New Roman" w:cs="Times New Roman"/>
          <w:b/>
          <w:spacing w:val="4"/>
          <w:sz w:val="24"/>
          <w:szCs w:val="24"/>
        </w:rPr>
      </w:pPr>
      <w:r>
        <w:rPr>
          <w:rFonts w:hint="default" w:ascii="宋体" w:hAnsi="宋体" w:eastAsia="宋体" w:cs="宋体"/>
          <w:color w:val="000000"/>
          <w:spacing w:val="7"/>
          <w:sz w:val="24"/>
          <w:szCs w:val="24"/>
        </w:rPr>
        <w:t xml:space="preserve">投标人提供2022年1月1日以来承接的类似项目业绩，每提供一个得1分，本项最多得3分（请在投标文件中提供相关业绩合同，合同中须反映出相关内容，如合同中不能反映，须提供其他材料予以佐证，不提供的不得分）。</w:t>
      </w:r>
      <w:r/>
    </w:p>
    <w:p>
      <w:pPr>
        <w:ind w:firstLine="519"/>
        <w:jc w:val="left"/>
        <w:spacing w:before="199" w:line="360" w:lineRule="auto"/>
        <w:widowControl/>
        <w:rPr>
          <w:rFonts w:hint="default" w:ascii="宋体" w:hAnsi="宋体" w:eastAsia="宋体" w:cs="Times New Roman"/>
          <w:spacing w:val="9"/>
          <w:sz w:val="24"/>
          <w:szCs w:val="24"/>
        </w:rPr>
        <w:outlineLvl w:val="0"/>
      </w:pPr>
      <w:r>
        <w:rPr>
          <w:rFonts w:hint="eastAsia" w:ascii="宋体" w:hAnsi="宋体" w:cs="Times New Roman"/>
          <w:spacing w:val="9"/>
          <w:sz w:val="24"/>
          <w:szCs w:val="24"/>
          <w:lang w:val="en-US" w:eastAsia="zh-CN"/>
        </w:rPr>
        <w:t xml:space="preserve">5</w:t>
      </w:r>
      <w:r>
        <w:rPr>
          <w:rFonts w:hint="default" w:ascii="宋体" w:hAnsi="宋体" w:eastAsia="宋体" w:cs="Times New Roman"/>
          <w:spacing w:val="9"/>
          <w:sz w:val="24"/>
          <w:szCs w:val="24"/>
        </w:rPr>
        <w:t xml:space="preserve">.</w:t>
      </w:r>
      <w:r>
        <w:rPr>
          <w:rFonts w:hint="eastAsia" w:ascii="宋体" w:hAnsi="宋体" w:eastAsia="宋体" w:cs="Times New Roman"/>
          <w:spacing w:val="9"/>
          <w:sz w:val="24"/>
          <w:szCs w:val="24"/>
        </w:rPr>
        <w:t xml:space="preserve">2</w:t>
      </w:r>
      <w:r>
        <w:rPr>
          <w:rFonts w:hint="default" w:ascii="宋体" w:hAnsi="宋体" w:eastAsia="宋体" w:cs="Times New Roman"/>
          <w:spacing w:val="9"/>
          <w:sz w:val="24"/>
          <w:szCs w:val="24"/>
        </w:rPr>
        <w:t xml:space="preserve">.投标人获得的证书</w:t>
      </w:r>
      <w:r/>
    </w:p>
    <w:p>
      <w:pPr>
        <w:ind w:left="21" w:firstLine="501"/>
        <w:jc w:val="left"/>
        <w:spacing w:before="201" w:line="360" w:lineRule="auto"/>
        <w:widowControl/>
        <w:rPr>
          <w:rFonts w:hint="default" w:ascii="宋体" w:hAnsi="宋体" w:eastAsia="宋体" w:cs="Times New Roman"/>
          <w:spacing w:val="13"/>
          <w:sz w:val="24"/>
          <w:szCs w:val="24"/>
        </w:rPr>
      </w:pPr>
      <w:r>
        <w:rPr>
          <w:rFonts w:hint="default" w:ascii="宋体" w:hAnsi="宋体" w:eastAsia="宋体" w:cs="Times New Roman"/>
          <w:spacing w:val="13"/>
          <w:sz w:val="24"/>
          <w:szCs w:val="24"/>
        </w:rPr>
        <w:t xml:space="preserve">投标人具有信息安全管理体系认证证书、人工智能管理体系认证证书、隐私信息管理体系认证证书、信息技术服务管理体系认证证书，有一个得0.5分，本项最多得2分。（请在投标文件中提供相关证书的复印件，不提供不得分）</w:t>
      </w:r>
      <w:r/>
    </w:p>
    <w:p>
      <w:pPr>
        <w:ind w:left="21" w:firstLine="501"/>
        <w:jc w:val="left"/>
        <w:spacing w:before="201" w:line="480" w:lineRule="exact"/>
        <w:widowControl/>
        <w:rPr>
          <w:rFonts w:hint="default" w:ascii="宋体" w:hAnsi="宋体" w:eastAsia="宋体" w:cs="Times New Roman"/>
          <w:spacing w:val="13"/>
          <w:sz w:val="24"/>
          <w:szCs w:val="24"/>
        </w:rPr>
      </w:pPr>
      <w:r>
        <w:rPr>
          <w:rFonts w:hint="eastAsia" w:ascii="宋体" w:hAnsi="宋体" w:cs="Times New Roman"/>
          <w:b/>
          <w:spacing w:val="4"/>
          <w:sz w:val="24"/>
          <w:szCs w:val="24"/>
          <w:lang w:val="en-US" w:eastAsia="zh-CN"/>
        </w:rPr>
        <w:t xml:space="preserve">6</w:t>
      </w:r>
      <w:r>
        <w:rPr>
          <w:rFonts w:hint="eastAsia" w:ascii="宋体" w:hAnsi="宋体" w:eastAsia="宋体" w:cs="Times New Roman"/>
          <w:b/>
          <w:spacing w:val="4"/>
          <w:sz w:val="24"/>
          <w:szCs w:val="24"/>
        </w:rPr>
        <w:t xml:space="preserve"> 其他</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cs="Times New Roman"/>
          <w:spacing w:val="13"/>
          <w:sz w:val="24"/>
          <w:szCs w:val="24"/>
          <w:lang w:val="en-US" w:eastAsia="zh-CN"/>
        </w:rPr>
        <w:t xml:space="preserve">6</w:t>
      </w:r>
      <w:r>
        <w:rPr>
          <w:rFonts w:hint="eastAsia" w:ascii="宋体" w:hAnsi="宋体" w:eastAsia="宋体" w:cs="Times New Roman"/>
          <w:spacing w:val="13"/>
          <w:sz w:val="24"/>
          <w:szCs w:val="24"/>
        </w:rPr>
        <w:t xml:space="preserve">.1</w:t>
      </w:r>
      <w:r>
        <w:rPr>
          <w:rFonts w:hint="default" w:ascii="宋体" w:hAnsi="宋体" w:eastAsia="宋体" w:cs="Times New Roman"/>
          <w:spacing w:val="13"/>
          <w:sz w:val="24"/>
          <w:szCs w:val="24"/>
        </w:rPr>
        <w:t xml:space="preserve">环境标志产品</w:t>
      </w:r>
      <w:r/>
    </w:p>
    <w:p>
      <w:pPr>
        <w:ind w:left="21" w:firstLine="501"/>
        <w:jc w:val="left"/>
        <w:spacing w:before="201" w:line="360" w:lineRule="auto"/>
        <w:widowControl/>
        <w:rPr>
          <w:rFonts w:hint="default" w:ascii="宋体" w:hAnsi="宋体" w:eastAsia="宋体" w:cs="Times New Roman"/>
          <w:spacing w:val="13"/>
          <w:sz w:val="24"/>
          <w:szCs w:val="24"/>
        </w:rPr>
      </w:pPr>
      <w:r>
        <w:rPr>
          <w:rFonts w:hint="eastAsia" w:ascii="宋体" w:hAnsi="宋体" w:eastAsia="宋体" w:cs="Times New Roman"/>
          <w:spacing w:val="13"/>
          <w:sz w:val="24"/>
          <w:szCs w:val="24"/>
        </w:rPr>
        <w:t xml:space="preserve">评委根据其投报产品是否属于环境标志产品政府采购品目清单进行评分，有一个得</w:t>
      </w:r>
      <w:r>
        <w:rPr>
          <w:rFonts w:hint="eastAsia" w:ascii="宋体" w:hAnsi="宋体" w:cs="Times New Roman"/>
          <w:spacing w:val="13"/>
          <w:sz w:val="24"/>
          <w:szCs w:val="24"/>
          <w:lang w:val="en-US" w:eastAsia="zh-CN"/>
        </w:rPr>
        <w:t xml:space="preserve">0.5</w:t>
      </w:r>
      <w:r>
        <w:rPr>
          <w:rFonts w:hint="eastAsia" w:ascii="宋体" w:hAnsi="宋体" w:eastAsia="宋体" w:cs="Times New Roman"/>
          <w:spacing w:val="13"/>
          <w:sz w:val="24"/>
          <w:szCs w:val="24"/>
        </w:rPr>
        <w:t xml:space="preserve">分，最多得</w:t>
      </w:r>
      <w:r>
        <w:rPr>
          <w:rFonts w:hint="eastAsia" w:ascii="宋体" w:hAnsi="宋体" w:cs="Times New Roman"/>
          <w:spacing w:val="13"/>
          <w:sz w:val="24"/>
          <w:szCs w:val="24"/>
          <w:lang w:val="en-US" w:eastAsia="zh-CN"/>
        </w:rPr>
        <w:t xml:space="preserve">1</w:t>
      </w:r>
      <w:r>
        <w:rPr>
          <w:rFonts w:hint="eastAsia" w:ascii="宋体" w:hAnsi="宋体" w:eastAsia="宋体" w:cs="Times New Roman"/>
          <w:spacing w:val="13"/>
          <w:sz w:val="24"/>
          <w:szCs w:val="24"/>
        </w:rPr>
        <w:t xml:space="preserve">分（请在投标文件中提供国家确定的认证机构出具的、处于有效期之内的环境标志产品认证证书（若证书有附件（附录）的，附件（附录）须随证书一起提供），不提供的不得分）。</w:t>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r>
      <w:r/>
    </w:p>
    <w:p>
      <w:pPr>
        <w:ind w:right="-124" w:firstLine="480"/>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注：</w:t>
      </w:r>
      <w:r/>
    </w:p>
    <w:p>
      <w:pPr>
        <w:ind w:right="-124" w:firstLine="482"/>
        <w:jc w:val="left"/>
        <w:spacing w:line="440" w:lineRule="exact"/>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1、以上证明材料，不提供不得分</w:t>
      </w:r>
      <w:bookmarkStart w:id="181" w:name="EB5003b8401c234a0bb384207e4933917f"/>
      <w:r/>
      <w:bookmarkEnd w:id="181"/>
      <w:r/>
      <w:r/>
    </w:p>
    <w:p>
      <w:pPr>
        <w:pStyle w:val="774"/>
        <w:rPr>
          <w:rFonts w:hint="default"/>
        </w:rPr>
      </w:pPr>
      <w:r>
        <w:rPr>
          <w:rFonts w:hint="default"/>
        </w:rPr>
      </w:r>
      <w:r/>
    </w:p>
    <w:p>
      <w:pPr>
        <w:pStyle w:val="943"/>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第六章 投标文件格式</w:t>
      </w:r>
      <w:bookmarkEnd w:id="168"/>
      <w:r/>
      <w:r/>
    </w:p>
    <w:p>
      <w:pP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70"/>
        <w:jc w:val="center"/>
        <w:spacing w:after="400"/>
        <w:rPr>
          <w:rStyle w:val="936"/>
          <w:rFonts w:ascii="宋体" w:hAnsi="宋体"/>
          <w:color w:val="auto"/>
          <w:sz w:val="40"/>
          <w:szCs w:val="40"/>
          <w:highlight w:val="none"/>
        </w:rPr>
        <w:outlineLvl w:val="0"/>
      </w:pPr>
      <w:r/>
      <w:bookmarkStart w:id="182" w:name="_Toc290"/>
      <w:r/>
      <w:bookmarkStart w:id="183" w:name="_Toc653"/>
      <w:r/>
      <w:bookmarkStart w:id="184" w:name="_Toc29010"/>
      <w:r/>
      <w:bookmarkStart w:id="185" w:name="_Toc18049"/>
      <w:r>
        <w:rPr>
          <w:rStyle w:val="936"/>
          <w:rFonts w:ascii="宋体" w:hAnsi="宋体"/>
          <w:color w:val="auto"/>
          <w:sz w:val="40"/>
          <w:szCs w:val="40"/>
          <w:highlight w:val="none"/>
        </w:rPr>
        <w:t xml:space="preserve">投标主要文件目录</w:t>
      </w:r>
      <w:bookmarkEnd w:id="182"/>
      <w:r/>
      <w:bookmarkEnd w:id="183"/>
      <w:r/>
      <w:bookmarkEnd w:id="184"/>
      <w:r/>
      <w:bookmarkEnd w:id="185"/>
      <w:r/>
      <w:r/>
    </w:p>
    <w:p>
      <w:pPr>
        <w:pStyle w:val="970"/>
        <w:spacing w:before="240" w:after="240" w:line="200" w:lineRule="atLeast"/>
        <w:rPr>
          <w:rStyle w:val="936"/>
          <w:rFonts w:ascii="宋体" w:hAnsi="宋体"/>
          <w:color w:val="auto"/>
          <w:sz w:val="24"/>
          <w:szCs w:val="24"/>
          <w:highlight w:val="none"/>
        </w:rPr>
        <w:outlineLvl w:val="0"/>
      </w:pPr>
      <w:r/>
      <w:bookmarkStart w:id="186" w:name="_Toc14924"/>
      <w:r/>
      <w:bookmarkStart w:id="187" w:name="_Toc8210"/>
      <w:r/>
      <w:bookmarkStart w:id="188" w:name="_Toc15242"/>
      <w:r>
        <w:rPr>
          <w:rStyle w:val="936"/>
          <w:rFonts w:ascii="宋体" w:hAnsi="宋体"/>
          <w:color w:val="auto"/>
          <w:sz w:val="24"/>
          <w:szCs w:val="24"/>
          <w:highlight w:val="none"/>
        </w:rPr>
        <w:t xml:space="preserve">一、封面</w:t>
      </w:r>
      <w:bookmarkEnd w:id="186"/>
      <w:r/>
      <w:bookmarkEnd w:id="187"/>
      <w:r/>
      <w:bookmarkEnd w:id="188"/>
      <w:r/>
      <w:r/>
    </w:p>
    <w:p>
      <w:pPr>
        <w:pStyle w:val="970"/>
        <w:spacing w:before="240" w:after="240" w:line="200" w:lineRule="atLeast"/>
        <w:rPr>
          <w:rStyle w:val="936"/>
          <w:rFonts w:ascii="宋体" w:hAnsi="宋体"/>
          <w:color w:val="auto"/>
          <w:sz w:val="24"/>
          <w:szCs w:val="24"/>
          <w:highlight w:val="none"/>
        </w:rPr>
        <w:outlineLvl w:val="0"/>
      </w:pPr>
      <w:r/>
      <w:bookmarkStart w:id="189" w:name="_Toc9750"/>
      <w:r/>
      <w:bookmarkStart w:id="190" w:name="_Toc10768"/>
      <w:r/>
      <w:bookmarkStart w:id="191" w:name="_Toc8337"/>
      <w:r>
        <w:rPr>
          <w:rStyle w:val="936"/>
          <w:rFonts w:ascii="宋体" w:hAnsi="宋体"/>
          <w:color w:val="auto"/>
          <w:sz w:val="24"/>
          <w:szCs w:val="24"/>
          <w:highlight w:val="none"/>
        </w:rPr>
        <w:t xml:space="preserve">二、投标函</w:t>
      </w:r>
      <w:bookmarkEnd w:id="189"/>
      <w:r/>
      <w:bookmarkEnd w:id="190"/>
      <w:r/>
      <w:bookmarkEnd w:id="191"/>
      <w:r/>
      <w:r/>
    </w:p>
    <w:p>
      <w:pPr>
        <w:pStyle w:val="970"/>
        <w:spacing w:before="240" w:after="240" w:line="200" w:lineRule="atLeast"/>
        <w:rPr>
          <w:rStyle w:val="936"/>
          <w:rFonts w:ascii="宋体" w:hAnsi="宋体"/>
          <w:color w:val="auto"/>
          <w:sz w:val="24"/>
          <w:szCs w:val="24"/>
          <w:highlight w:val="none"/>
        </w:rPr>
        <w:outlineLvl w:val="0"/>
      </w:pPr>
      <w:r/>
      <w:bookmarkStart w:id="192" w:name="_Toc1247"/>
      <w:r/>
      <w:bookmarkStart w:id="193" w:name="_Toc5193"/>
      <w:r/>
      <w:bookmarkStart w:id="194" w:name="_Toc31912"/>
      <w:r>
        <w:rPr>
          <w:rStyle w:val="936"/>
          <w:rFonts w:ascii="宋体" w:hAnsi="宋体"/>
          <w:color w:val="auto"/>
          <w:sz w:val="24"/>
          <w:szCs w:val="24"/>
          <w:highlight w:val="none"/>
        </w:rPr>
        <w:t xml:space="preserve">三、开标一览表</w:t>
      </w:r>
      <w:bookmarkEnd w:id="192"/>
      <w:r/>
      <w:bookmarkEnd w:id="193"/>
      <w:r/>
      <w:bookmarkEnd w:id="194"/>
      <w:r/>
      <w:r/>
    </w:p>
    <w:p>
      <w:pPr>
        <w:pStyle w:val="970"/>
        <w:spacing w:before="240" w:after="240" w:line="200" w:lineRule="atLeast"/>
        <w:rPr>
          <w:rStyle w:val="936"/>
          <w:rFonts w:ascii="宋体" w:hAnsi="宋体"/>
          <w:color w:val="auto"/>
          <w:sz w:val="24"/>
          <w:szCs w:val="24"/>
          <w:highlight w:val="none"/>
        </w:rPr>
        <w:outlineLvl w:val="0"/>
      </w:pPr>
      <w:r/>
      <w:bookmarkStart w:id="195" w:name="_Toc12064"/>
      <w:r/>
      <w:bookmarkStart w:id="196" w:name="_Toc26828"/>
      <w:r/>
      <w:bookmarkStart w:id="197" w:name="_Toc25567"/>
      <w:r>
        <w:rPr>
          <w:rStyle w:val="936"/>
          <w:rFonts w:ascii="宋体" w:hAnsi="宋体"/>
          <w:color w:val="auto"/>
          <w:sz w:val="24"/>
          <w:szCs w:val="24"/>
          <w:highlight w:val="none"/>
        </w:rPr>
        <w:t xml:space="preserve">四、资格证明文件</w:t>
      </w:r>
      <w:bookmarkEnd w:id="195"/>
      <w:r/>
      <w:bookmarkEnd w:id="196"/>
      <w:r/>
      <w:bookmarkEnd w:id="197"/>
      <w:r/>
      <w:r/>
    </w:p>
    <w:p>
      <w:pPr>
        <w:pStyle w:val="971"/>
        <w:spacing w:before="240" w:after="240" w:line="200" w:lineRule="atLeast"/>
        <w:rPr>
          <w:rFonts w:ascii="宋体" w:hAnsi="宋体" w:eastAsia="宋体"/>
          <w:color w:val="auto"/>
          <w:highlight w:val="none"/>
        </w:rPr>
      </w:pPr>
      <w:r>
        <w:rPr>
          <w:rFonts w:ascii="宋体" w:hAnsi="宋体" w:eastAsia="宋体"/>
          <w:color w:val="auto"/>
          <w:highlight w:val="none"/>
        </w:rPr>
        <w:t xml:space="preserve">五、</w:t>
      </w:r>
      <w:r>
        <w:rPr>
          <w:rStyle w:val="936"/>
          <w:rFonts w:ascii="宋体" w:hAnsi="宋体"/>
          <w:color w:val="auto"/>
          <w:sz w:val="24"/>
          <w:szCs w:val="24"/>
          <w:highlight w:val="none"/>
        </w:rPr>
        <w:t xml:space="preserve">第四章项目需求中实质性要求响应对照表</w:t>
      </w:r>
      <w:r/>
    </w:p>
    <w:p>
      <w:pPr>
        <w:pStyle w:val="970"/>
        <w:spacing w:before="240" w:after="240" w:line="200" w:lineRule="atLeast"/>
        <w:rPr>
          <w:rStyle w:val="936"/>
          <w:rFonts w:hint="eastAsia" w:ascii="宋体" w:hAnsi="宋体"/>
          <w:color w:val="auto"/>
          <w:sz w:val="24"/>
          <w:szCs w:val="24"/>
          <w:highlight w:val="none"/>
        </w:rPr>
        <w:outlineLvl w:val="0"/>
      </w:pPr>
      <w:r/>
      <w:bookmarkStart w:id="198" w:name="_Toc1004"/>
      <w:r/>
      <w:bookmarkStart w:id="199" w:name="_Toc10544"/>
      <w:r>
        <w:rPr>
          <w:rStyle w:val="936"/>
          <w:rFonts w:hint="eastAsia" w:ascii="宋体" w:hAnsi="宋体"/>
          <w:color w:val="auto"/>
          <w:sz w:val="24"/>
          <w:szCs w:val="24"/>
          <w:highlight w:val="none"/>
        </w:rPr>
        <w:t xml:space="preserve">六、投标配置及分项报价表</w:t>
      </w:r>
      <w:bookmarkEnd w:id="198"/>
      <w:r/>
      <w:bookmarkEnd w:id="199"/>
      <w:r/>
      <w:r/>
    </w:p>
    <w:p>
      <w:pPr>
        <w:pStyle w:val="970"/>
        <w:spacing w:before="240" w:after="240" w:line="200" w:lineRule="atLeast"/>
        <w:rPr>
          <w:rStyle w:val="936"/>
          <w:rFonts w:hint="eastAsia" w:ascii="宋体" w:hAnsi="宋体"/>
          <w:color w:val="auto"/>
          <w:sz w:val="24"/>
          <w:szCs w:val="24"/>
          <w:highlight w:val="none"/>
        </w:rPr>
        <w:outlineLvl w:val="0"/>
      </w:pPr>
      <w:r/>
      <w:bookmarkStart w:id="200" w:name="_Toc5514"/>
      <w:r/>
      <w:bookmarkStart w:id="201" w:name="_Toc12806"/>
      <w:r>
        <w:rPr>
          <w:rStyle w:val="936"/>
          <w:rFonts w:hint="eastAsia" w:ascii="宋体" w:hAnsi="宋体"/>
          <w:color w:val="auto"/>
          <w:sz w:val="24"/>
          <w:szCs w:val="24"/>
          <w:highlight w:val="none"/>
        </w:rPr>
        <w:t xml:space="preserve">七、常用零件及耗材报价表</w:t>
      </w:r>
      <w:bookmarkEnd w:id="200"/>
      <w:r/>
      <w:bookmarkEnd w:id="201"/>
      <w:r/>
      <w:r/>
    </w:p>
    <w:p>
      <w:pPr>
        <w:pStyle w:val="970"/>
        <w:spacing w:before="240" w:after="240" w:line="200" w:lineRule="atLeast"/>
        <w:rPr>
          <w:rStyle w:val="936"/>
          <w:rFonts w:hint="eastAsia" w:ascii="宋体" w:hAnsi="宋体"/>
          <w:color w:val="auto"/>
          <w:sz w:val="24"/>
          <w:szCs w:val="24"/>
          <w:highlight w:val="none"/>
        </w:rPr>
        <w:outlineLvl w:val="0"/>
      </w:pPr>
      <w:r/>
      <w:bookmarkStart w:id="202" w:name="_Toc25418"/>
      <w:r/>
      <w:bookmarkStart w:id="203" w:name="_Toc5199"/>
      <w:r>
        <w:rPr>
          <w:rStyle w:val="936"/>
          <w:rFonts w:hint="eastAsia" w:ascii="宋体" w:hAnsi="宋体"/>
          <w:color w:val="auto"/>
          <w:sz w:val="24"/>
          <w:szCs w:val="24"/>
          <w:highlight w:val="none"/>
        </w:rPr>
        <w:t xml:space="preserve">八、技术参数响应及偏离表</w:t>
      </w:r>
      <w:bookmarkEnd w:id="202"/>
      <w:r/>
      <w:bookmarkEnd w:id="203"/>
      <w:r/>
      <w:r/>
    </w:p>
    <w:p>
      <w:pPr>
        <w:pStyle w:val="970"/>
        <w:spacing w:before="240" w:after="240" w:line="200" w:lineRule="atLeast"/>
        <w:rPr>
          <w:rStyle w:val="936"/>
          <w:rFonts w:hint="eastAsia" w:ascii="宋体" w:hAnsi="宋体"/>
          <w:color w:val="auto"/>
          <w:sz w:val="24"/>
          <w:szCs w:val="24"/>
          <w:highlight w:val="none"/>
        </w:rPr>
        <w:outlineLvl w:val="0"/>
      </w:pPr>
      <w:r/>
      <w:bookmarkStart w:id="204" w:name="_Toc3301"/>
      <w:r/>
      <w:bookmarkStart w:id="205" w:name="_Toc27270"/>
      <w:r>
        <w:rPr>
          <w:rStyle w:val="936"/>
          <w:rFonts w:hint="eastAsia" w:ascii="宋体" w:hAnsi="宋体"/>
          <w:color w:val="auto"/>
          <w:sz w:val="24"/>
          <w:szCs w:val="24"/>
          <w:highlight w:val="none"/>
        </w:rPr>
        <w:t xml:space="preserve">九、服务方案</w:t>
      </w:r>
      <w:bookmarkEnd w:id="204"/>
      <w:r/>
      <w:bookmarkEnd w:id="205"/>
      <w:r/>
      <w:r/>
    </w:p>
    <w:p>
      <w:pPr>
        <w:pStyle w:val="970"/>
        <w:spacing w:before="240" w:after="240" w:line="200" w:lineRule="atLeast"/>
        <w:rPr>
          <w:rStyle w:val="936"/>
          <w:rFonts w:hint="eastAsia" w:ascii="宋体" w:hAnsi="宋体"/>
          <w:color w:val="auto"/>
          <w:sz w:val="24"/>
          <w:szCs w:val="24"/>
          <w:highlight w:val="none"/>
        </w:rPr>
        <w:outlineLvl w:val="0"/>
      </w:pPr>
      <w:r/>
      <w:bookmarkStart w:id="206" w:name="_Toc12514"/>
      <w:r/>
      <w:bookmarkStart w:id="207" w:name="_Toc14133"/>
      <w:r>
        <w:rPr>
          <w:rStyle w:val="936"/>
          <w:rFonts w:hint="eastAsia" w:ascii="宋体" w:hAnsi="宋体"/>
          <w:color w:val="auto"/>
          <w:sz w:val="24"/>
          <w:szCs w:val="24"/>
          <w:highlight w:val="none"/>
        </w:rPr>
        <w:t xml:space="preserve">十、投标人情况介绍</w:t>
      </w:r>
      <w:bookmarkEnd w:id="206"/>
      <w:r/>
      <w:bookmarkEnd w:id="207"/>
      <w:r/>
      <w:r/>
    </w:p>
    <w:p>
      <w:pPr>
        <w:pStyle w:val="970"/>
        <w:spacing w:before="240" w:after="240" w:line="200" w:lineRule="atLeast"/>
        <w:rPr>
          <w:rStyle w:val="936"/>
          <w:rFonts w:hint="eastAsia" w:ascii="宋体" w:hAnsi="宋体"/>
          <w:color w:val="auto"/>
          <w:sz w:val="24"/>
          <w:szCs w:val="24"/>
          <w:highlight w:val="none"/>
        </w:rPr>
        <w:outlineLvl w:val="0"/>
      </w:pPr>
      <w:r/>
      <w:bookmarkStart w:id="208" w:name="_Toc11742"/>
      <w:r/>
      <w:bookmarkStart w:id="209" w:name="_Toc113"/>
      <w:r>
        <w:rPr>
          <w:rStyle w:val="936"/>
          <w:rFonts w:hint="eastAsia" w:ascii="宋体" w:hAnsi="宋体"/>
          <w:color w:val="auto"/>
          <w:sz w:val="24"/>
          <w:szCs w:val="24"/>
          <w:highlight w:val="none"/>
        </w:rPr>
        <w:t xml:space="preserve">十一、中小企业声明函等</w:t>
      </w:r>
      <w:bookmarkEnd w:id="208"/>
      <w:r/>
      <w:bookmarkEnd w:id="209"/>
      <w:r/>
      <w:r/>
    </w:p>
    <w:p>
      <w:pPr>
        <w:pStyle w:val="970"/>
        <w:spacing w:before="240" w:after="240" w:line="200" w:lineRule="atLeast"/>
        <w:rPr>
          <w:rStyle w:val="936"/>
          <w:rFonts w:hint="eastAsia" w:ascii="宋体" w:hAnsi="宋体"/>
          <w:sz w:val="24"/>
          <w:szCs w:val="24"/>
        </w:rPr>
        <w:outlineLvl w:val="0"/>
      </w:pPr>
      <w:r>
        <w:rPr>
          <w:rStyle w:val="936"/>
          <w:rFonts w:hint="eastAsia" w:ascii="宋体" w:hAnsi="宋体"/>
          <w:sz w:val="24"/>
          <w:szCs w:val="24"/>
        </w:rPr>
        <w:t xml:space="preserve">十</w:t>
      </w:r>
      <w:r>
        <w:rPr>
          <w:rStyle w:val="936"/>
          <w:rFonts w:hint="eastAsia" w:ascii="宋体" w:hAnsi="宋体"/>
          <w:color w:val="auto"/>
          <w:sz w:val="24"/>
          <w:szCs w:val="24"/>
          <w:highlight w:val="none"/>
        </w:rPr>
        <w:t xml:space="preserve">二</w:t>
      </w:r>
      <w:r>
        <w:rPr>
          <w:rStyle w:val="936"/>
          <w:rFonts w:hint="eastAsia" w:ascii="宋体" w:hAnsi="宋体"/>
          <w:sz w:val="24"/>
          <w:szCs w:val="24"/>
        </w:rPr>
        <w:t xml:space="preserve">、关于符合本国产品标准的声明函</w:t>
      </w:r>
      <w:r/>
    </w:p>
    <w:p>
      <w:pPr>
        <w:pStyle w:val="970"/>
        <w:spacing w:before="240" w:after="240" w:line="200" w:lineRule="atLeast"/>
        <w:rPr>
          <w:rStyle w:val="936"/>
          <w:rFonts w:hint="eastAsia" w:ascii="宋体" w:hAnsi="宋体"/>
          <w:color w:val="auto"/>
          <w:sz w:val="24"/>
          <w:szCs w:val="24"/>
          <w:highlight w:val="none"/>
        </w:rPr>
        <w:outlineLvl w:val="0"/>
      </w:pPr>
      <w:r>
        <w:rPr>
          <w:rFonts w:hint="eastAsia" w:ascii="宋体" w:hAnsi="宋体"/>
          <w:color w:val="auto"/>
          <w:sz w:val="24"/>
          <w:szCs w:val="24"/>
          <w:highlight w:val="none"/>
        </w:rPr>
      </w:r>
      <w:r/>
    </w:p>
    <w:p>
      <w:pPr>
        <w:pStyle w:val="972"/>
        <w:rPr>
          <w:rStyle w:val="936"/>
          <w:color w:val="auto"/>
          <w:highlight w:val="none"/>
        </w:rPr>
        <w:outlineLvl w:val="0"/>
      </w:pPr>
      <w:r>
        <w:rPr>
          <w:rStyle w:val="936"/>
          <w:color w:val="auto"/>
          <w:highlight w:val="none"/>
        </w:rPr>
        <w:br w:type="page" w:clear="all"/>
      </w:r>
      <w:bookmarkStart w:id="210" w:name="_Toc28279"/>
      <w:r/>
      <w:bookmarkStart w:id="211" w:name="_Toc795"/>
      <w:r/>
      <w:bookmarkStart w:id="212" w:name="_Toc1406"/>
      <w:r/>
      <w:bookmarkStart w:id="213" w:name="_Toc11328"/>
      <w:r/>
      <w:bookmarkStart w:id="214" w:name="_Toc21398"/>
      <w:r>
        <w:rPr>
          <w:rStyle w:val="936"/>
          <w:rFonts w:ascii="宋体" w:hAnsi="宋体"/>
          <w:b/>
          <w:color w:val="auto"/>
          <w:sz w:val="32"/>
          <w:highlight w:val="none"/>
        </w:rPr>
        <w:t xml:space="preserve">一、封面</w:t>
      </w:r>
      <w:bookmarkEnd w:id="210"/>
      <w:r/>
      <w:bookmarkEnd w:id="211"/>
      <w:r/>
      <w:bookmarkEnd w:id="212"/>
      <w:r/>
      <w:bookmarkEnd w:id="213"/>
      <w:r/>
      <w:bookmarkEnd w:id="214"/>
      <w:r/>
      <w:r/>
    </w:p>
    <w:p>
      <w:pPr>
        <w:pStyle w:val="973"/>
        <w:spacing w:line="440" w:lineRule="exact"/>
        <w:rPr>
          <w:rStyle w:val="936"/>
          <w:rFonts w:ascii="宋体" w:hAnsi="宋体"/>
          <w:color w:val="auto"/>
          <w:highlight w:val="none"/>
        </w:rPr>
      </w:pPr>
      <w:r>
        <w:rPr>
          <w:rStyle w:val="936"/>
          <w:rFonts w:ascii="宋体" w:hAnsi="宋体"/>
          <w:color w:val="auto"/>
          <w:highlight w:val="none"/>
        </w:rPr>
        <w:t xml:space="preserve">﻿ </w:t>
      </w:r>
      <w:r/>
    </w:p>
    <w:p>
      <w:pPr>
        <w:pStyle w:val="973"/>
        <w:jc w:val="center"/>
        <w:spacing w:before="540" w:after="540"/>
        <w:rPr>
          <w:rStyle w:val="936"/>
          <w:rFonts w:ascii="宋体" w:hAnsi="宋体"/>
          <w:color w:val="auto"/>
          <w:sz w:val="54"/>
          <w:szCs w:val="54"/>
          <w:highlight w:val="none"/>
        </w:rPr>
        <w:outlineLvl w:val="1"/>
      </w:pPr>
      <w:r/>
      <w:bookmarkStart w:id="215" w:name="_Toc5639"/>
      <w:r>
        <w:rPr>
          <w:rStyle w:val="936"/>
          <w:rFonts w:ascii="宋体" w:hAnsi="宋体"/>
          <w:color w:val="auto"/>
          <w:sz w:val="54"/>
          <w:szCs w:val="54"/>
          <w:highlight w:val="none"/>
        </w:rPr>
        <w:t xml:space="preserve">投 标 文 件</w:t>
      </w:r>
      <w:bookmarkEnd w:id="215"/>
      <w:r/>
      <w:r/>
    </w:p>
    <w:p>
      <w:pPr>
        <w:pStyle w:val="973"/>
        <w:spacing w:before="240" w:after="240"/>
        <w:rPr>
          <w:rStyle w:val="936"/>
          <w:rFonts w:ascii="宋体" w:hAnsi="宋体"/>
          <w:color w:val="auto"/>
          <w:highlight w:val="none"/>
        </w:rPr>
      </w:pPr>
      <w:r>
        <w:rPr>
          <w:rStyle w:val="936"/>
          <w:rFonts w:ascii="宋体" w:hAnsi="宋体"/>
          <w:color w:val="auto"/>
          <w:highlight w:val="none"/>
        </w:rPr>
        <w:t xml:space="preserve"> </w:t>
      </w:r>
      <w:r/>
    </w:p>
    <w:p>
      <w:pPr>
        <w:pStyle w:val="973"/>
        <w:jc w:val="center"/>
        <w:spacing w:before="400" w:after="400"/>
        <w:rPr>
          <w:rStyle w:val="936"/>
          <w:rFonts w:ascii="宋体" w:hAnsi="宋体"/>
          <w:color w:val="auto"/>
          <w:sz w:val="40"/>
          <w:szCs w:val="40"/>
          <w:highlight w:val="none"/>
        </w:rPr>
      </w:pPr>
      <w:r>
        <w:rPr>
          <w:rStyle w:val="936"/>
          <w:rFonts w:ascii="宋体" w:hAnsi="宋体"/>
          <w:color w:val="auto"/>
          <w:sz w:val="40"/>
          <w:szCs w:val="40"/>
          <w:highlight w:val="none"/>
        </w:rPr>
        <w:t xml:space="preserve"> </w:t>
      </w:r>
      <w:r/>
    </w:p>
    <w:p>
      <w:pPr>
        <w:pStyle w:val="973"/>
        <w:spacing w:before="240" w:after="240"/>
        <w:rPr>
          <w:rStyle w:val="936"/>
          <w:rFonts w:ascii="宋体" w:hAnsi="宋体"/>
          <w:color w:val="auto"/>
          <w:highlight w:val="none"/>
        </w:rPr>
      </w:pPr>
      <w:r>
        <w:rPr>
          <w:rStyle w:val="936"/>
          <w:rFonts w:ascii="宋体" w:hAnsi="宋体"/>
          <w:color w:val="auto"/>
          <w:highlight w:val="none"/>
        </w:rPr>
        <w:t xml:space="preserve"> </w:t>
      </w:r>
      <w:r/>
    </w:p>
    <w:p>
      <w:pPr>
        <w:pStyle w:val="973"/>
        <w:jc w:val="center"/>
        <w:spacing w:before="360" w:after="360"/>
        <w:rPr>
          <w:rStyle w:val="936"/>
          <w:rFonts w:ascii="宋体" w:hAnsi="宋体"/>
          <w:color w:val="auto"/>
          <w:sz w:val="36"/>
          <w:szCs w:val="36"/>
          <w:highlight w:val="none"/>
        </w:rPr>
        <w:outlineLvl w:val="1"/>
      </w:pPr>
      <w:r/>
      <w:bookmarkStart w:id="216" w:name="_Toc26027"/>
      <w:r>
        <w:rPr>
          <w:rStyle w:val="936"/>
          <w:rFonts w:ascii="宋体" w:hAnsi="宋体"/>
          <w:color w:val="auto"/>
          <w:sz w:val="36"/>
          <w:szCs w:val="36"/>
          <w:highlight w:val="none"/>
        </w:rPr>
        <w:t xml:space="preserve">项目名称：   </w:t>
      </w:r>
      <w:bookmarkEnd w:id="216"/>
      <w:r/>
      <w:r/>
    </w:p>
    <w:p>
      <w:pPr>
        <w:pStyle w:val="973"/>
        <w:jc w:val="center"/>
        <w:spacing w:before="360" w:after="360"/>
        <w:rPr>
          <w:rStyle w:val="936"/>
          <w:rFonts w:ascii="宋体" w:hAnsi="宋体"/>
          <w:color w:val="auto"/>
          <w:sz w:val="36"/>
          <w:szCs w:val="36"/>
          <w:highlight w:val="none"/>
        </w:rPr>
        <w:outlineLvl w:val="1"/>
      </w:pPr>
      <w:r/>
      <w:bookmarkStart w:id="217" w:name="_Toc5574"/>
      <w:r>
        <w:rPr>
          <w:rStyle w:val="936"/>
          <w:rFonts w:ascii="宋体" w:hAnsi="宋体"/>
          <w:color w:val="auto"/>
          <w:sz w:val="36"/>
          <w:szCs w:val="36"/>
          <w:highlight w:val="none"/>
        </w:rPr>
        <w:t xml:space="preserve">招标编号：   </w:t>
      </w:r>
      <w:bookmarkEnd w:id="217"/>
      <w:r/>
      <w:r/>
    </w:p>
    <w:p>
      <w:pPr>
        <w:pStyle w:val="973"/>
        <w:jc w:val="center"/>
        <w:spacing w:before="360" w:after="360"/>
        <w:rPr>
          <w:rStyle w:val="936"/>
          <w:rFonts w:ascii="宋体" w:hAnsi="宋体"/>
          <w:color w:val="auto"/>
          <w:sz w:val="36"/>
          <w:szCs w:val="36"/>
          <w:highlight w:val="none"/>
        </w:rPr>
      </w:pPr>
      <w:r>
        <w:rPr>
          <w:rStyle w:val="936"/>
          <w:rFonts w:ascii="宋体" w:hAnsi="宋体"/>
          <w:color w:val="auto"/>
          <w:sz w:val="36"/>
          <w:szCs w:val="36"/>
          <w:highlight w:val="none"/>
        </w:rPr>
        <w:t xml:space="preserve"> </w:t>
      </w:r>
      <w:r/>
    </w:p>
    <w:p>
      <w:pPr>
        <w:pStyle w:val="973"/>
        <w:jc w:val="center"/>
        <w:spacing w:before="360" w:after="360"/>
        <w:rPr>
          <w:rStyle w:val="936"/>
          <w:rFonts w:ascii="宋体" w:hAnsi="宋体"/>
          <w:color w:val="auto"/>
          <w:sz w:val="36"/>
          <w:szCs w:val="36"/>
          <w:highlight w:val="none"/>
        </w:rPr>
      </w:pPr>
      <w:r>
        <w:rPr>
          <w:rStyle w:val="936"/>
          <w:rFonts w:ascii="宋体" w:hAnsi="宋体"/>
          <w:color w:val="auto"/>
          <w:sz w:val="36"/>
          <w:szCs w:val="36"/>
          <w:highlight w:val="none"/>
        </w:rPr>
        <w:t xml:space="preserve"> </w:t>
      </w:r>
      <w:r/>
    </w:p>
    <w:p>
      <w:pPr>
        <w:pStyle w:val="973"/>
        <w:jc w:val="center"/>
        <w:spacing w:before="360" w:after="360"/>
        <w:rPr>
          <w:rStyle w:val="936"/>
          <w:rFonts w:ascii="宋体" w:hAnsi="宋体"/>
          <w:color w:val="auto"/>
          <w:sz w:val="36"/>
          <w:szCs w:val="36"/>
          <w:highlight w:val="none"/>
        </w:rPr>
        <w:outlineLvl w:val="1"/>
      </w:pPr>
      <w:r/>
      <w:bookmarkStart w:id="218" w:name="_Toc5779"/>
      <w:r>
        <w:rPr>
          <w:rStyle w:val="936"/>
          <w:rFonts w:ascii="宋体" w:hAnsi="宋体"/>
          <w:color w:val="auto"/>
          <w:sz w:val="36"/>
          <w:szCs w:val="36"/>
          <w:highlight w:val="none"/>
        </w:rPr>
        <w:t xml:space="preserve">投标人名称：   </w:t>
      </w:r>
      <w:bookmarkEnd w:id="218"/>
      <w:r/>
      <w:r/>
    </w:p>
    <w:p>
      <w:pPr>
        <w:pStyle w:val="973"/>
        <w:jc w:val="center"/>
        <w:spacing w:before="360" w:after="360"/>
        <w:rPr>
          <w:rStyle w:val="936"/>
          <w:rFonts w:ascii="宋体" w:hAnsi="宋体"/>
          <w:color w:val="auto"/>
          <w:sz w:val="36"/>
          <w:szCs w:val="36"/>
          <w:highlight w:val="none"/>
        </w:rPr>
        <w:outlineLvl w:val="1"/>
      </w:pPr>
      <w:r/>
      <w:bookmarkStart w:id="219" w:name="_Toc22080"/>
      <w:r>
        <w:rPr>
          <w:rStyle w:val="936"/>
          <w:rFonts w:ascii="宋体" w:hAnsi="宋体"/>
          <w:color w:val="auto"/>
          <w:sz w:val="36"/>
          <w:szCs w:val="36"/>
          <w:highlight w:val="none"/>
        </w:rPr>
        <w:t xml:space="preserve">日期：   </w:t>
      </w:r>
      <w:bookmarkEnd w:id="219"/>
      <w:r/>
      <w:r/>
    </w:p>
    <w:p>
      <w:pPr>
        <w:pStyle w:val="973"/>
        <w:jc w:val="center"/>
        <w:spacing w:before="360" w:after="360"/>
        <w:rPr>
          <w:rStyle w:val="936"/>
          <w:rFonts w:ascii="宋体" w:hAnsi="宋体"/>
          <w:color w:val="auto"/>
          <w:sz w:val="36"/>
          <w:szCs w:val="36"/>
          <w:highlight w:val="none"/>
        </w:rPr>
      </w:pPr>
      <w:r>
        <w:rPr>
          <w:rStyle w:val="936"/>
          <w:rFonts w:ascii="宋体" w:hAnsi="宋体"/>
          <w:color w:val="auto"/>
          <w:sz w:val="36"/>
          <w:szCs w:val="36"/>
          <w:highlight w:val="none"/>
        </w:rPr>
        <w:t xml:space="preserve"> </w:t>
      </w:r>
      <w:r/>
    </w:p>
    <w:p>
      <w:pPr>
        <w:pStyle w:val="973"/>
        <w:spacing w:before="240" w:after="240"/>
        <w:rPr>
          <w:rStyle w:val="936"/>
          <w:rFonts w:ascii="宋体" w:hAnsi="宋体"/>
          <w:color w:val="auto"/>
          <w:highlight w:val="none"/>
        </w:rPr>
      </w:pPr>
      <w:r>
        <w:rPr>
          <w:rStyle w:val="936"/>
          <w:rFonts w:ascii="宋体" w:hAnsi="宋体"/>
          <w:color w:val="auto"/>
          <w:highlight w:val="none"/>
        </w:rPr>
        <w:t xml:space="preserve"> </w:t>
      </w:r>
      <w:r/>
    </w:p>
    <w:p>
      <w:pPr>
        <w:pStyle w:val="974"/>
        <w:rPr>
          <w:rStyle w:val="936"/>
          <w:color w:val="auto"/>
          <w:highlight w:val="none"/>
        </w:rPr>
        <w:outlineLvl w:val="0"/>
      </w:pPr>
      <w:r>
        <w:rPr>
          <w:rStyle w:val="936"/>
          <w:color w:val="auto"/>
          <w:highlight w:val="none"/>
        </w:rPr>
        <w:br w:type="page" w:clear="all"/>
      </w:r>
      <w:bookmarkStart w:id="220" w:name="_Toc15138"/>
      <w:r/>
      <w:bookmarkStart w:id="221" w:name="_Toc24046"/>
      <w:r/>
      <w:bookmarkStart w:id="222" w:name="_Toc13967"/>
      <w:r/>
      <w:bookmarkStart w:id="223" w:name="_Toc22409"/>
      <w:r/>
      <w:bookmarkStart w:id="224" w:name="_Toc12462"/>
      <w:r>
        <w:rPr>
          <w:rStyle w:val="936"/>
          <w:rFonts w:ascii="宋体" w:hAnsi="宋体"/>
          <w:b/>
          <w:color w:val="auto"/>
          <w:sz w:val="32"/>
          <w:highlight w:val="none"/>
        </w:rPr>
        <w:t xml:space="preserve">二、投标函格式</w:t>
      </w:r>
      <w:bookmarkEnd w:id="220"/>
      <w:r/>
      <w:bookmarkEnd w:id="221"/>
      <w:r/>
      <w:bookmarkEnd w:id="222"/>
      <w:r/>
      <w:bookmarkEnd w:id="223"/>
      <w:r/>
      <w:bookmarkEnd w:id="224"/>
      <w:r/>
      <w:r/>
    </w:p>
    <w:p>
      <w:pPr>
        <w:pStyle w:val="975"/>
        <w:spacing w:line="440" w:lineRule="exact"/>
        <w:rPr>
          <w:rStyle w:val="936"/>
          <w:rFonts w:ascii="宋体" w:hAnsi="宋体"/>
          <w:color w:val="auto"/>
          <w:highlight w:val="none"/>
        </w:rPr>
      </w:pPr>
      <w:r>
        <w:rPr>
          <w:rStyle w:val="936"/>
          <w:rFonts w:ascii="宋体" w:hAnsi="宋体"/>
          <w:color w:val="auto"/>
          <w:highlight w:val="none"/>
        </w:rPr>
        <w:t xml:space="preserve">﻿ </w:t>
      </w:r>
      <w:r/>
    </w:p>
    <w:p>
      <w:pPr>
        <w:pStyle w:val="975"/>
        <w:ind w:firstLine="420"/>
        <w:jc w:val="center"/>
        <w:spacing w:before="320" w:after="320"/>
        <w:rPr>
          <w:rStyle w:val="936"/>
          <w:rFonts w:ascii="宋体" w:hAnsi="宋体"/>
          <w:b/>
          <w:bCs/>
          <w:color w:val="auto"/>
          <w:sz w:val="32"/>
          <w:szCs w:val="32"/>
          <w:highlight w:val="none"/>
        </w:rPr>
      </w:pPr>
      <w:r>
        <w:rPr>
          <w:rStyle w:val="936"/>
          <w:rFonts w:ascii="宋体" w:hAnsi="宋体"/>
          <w:b/>
          <w:bCs/>
          <w:color w:val="auto"/>
          <w:sz w:val="32"/>
          <w:szCs w:val="32"/>
          <w:highlight w:val="none"/>
        </w:rPr>
        <w:t xml:space="preserve">投标函</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致</w:t>
      </w:r>
      <w:r>
        <w:rPr>
          <w:rStyle w:val="936"/>
          <w:rFonts w:ascii="宋体" w:hAnsi="宋体"/>
          <w:color w:val="auto"/>
          <w:sz w:val="24"/>
          <w:szCs w:val="24"/>
          <w:highlight w:val="none"/>
          <w:u w:val="single"/>
        </w:rPr>
        <w:t xml:space="preserve">：   </w:t>
      </w:r>
      <w:r>
        <w:rPr>
          <w:rStyle w:val="936"/>
          <w:rFonts w:ascii="宋体" w:hAnsi="宋体"/>
          <w:color w:val="auto"/>
          <w:sz w:val="24"/>
          <w:szCs w:val="24"/>
          <w:highlight w:val="none"/>
        </w:rPr>
        <w:t xml:space="preserve">：</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根据贵方的</w:t>
      </w:r>
      <w:r>
        <w:rPr>
          <w:rStyle w:val="936"/>
          <w:rFonts w:ascii="宋体" w:hAnsi="宋体"/>
          <w:color w:val="auto"/>
          <w:sz w:val="24"/>
          <w:szCs w:val="24"/>
          <w:highlight w:val="none"/>
          <w:u w:val="single"/>
        </w:rPr>
        <w:t xml:space="preserve">   </w:t>
      </w:r>
      <w:r>
        <w:rPr>
          <w:rStyle w:val="936"/>
          <w:rFonts w:ascii="宋体" w:hAnsi="宋体"/>
          <w:color w:val="auto"/>
          <w:sz w:val="24"/>
          <w:szCs w:val="24"/>
          <w:highlight w:val="none"/>
        </w:rPr>
        <w:t xml:space="preserve">号招标文件，正式授权下述签字人</w:t>
      </w:r>
      <w:r>
        <w:rPr>
          <w:rStyle w:val="936"/>
          <w:rFonts w:ascii="宋体" w:hAnsi="宋体"/>
          <w:color w:val="auto"/>
          <w:sz w:val="24"/>
          <w:szCs w:val="24"/>
          <w:highlight w:val="none"/>
          <w:u w:val="single"/>
        </w:rPr>
        <w:t xml:space="preserve">     </w:t>
      </w:r>
      <w:r>
        <w:rPr>
          <w:rStyle w:val="936"/>
          <w:rFonts w:ascii="宋体" w:hAnsi="宋体"/>
          <w:color w:val="auto"/>
          <w:sz w:val="24"/>
          <w:szCs w:val="24"/>
          <w:highlight w:val="none"/>
        </w:rPr>
        <w:t xml:space="preserve"> (姓名和职务)代表我方</w:t>
      </w:r>
      <w:r>
        <w:rPr>
          <w:rStyle w:val="936"/>
          <w:rFonts w:ascii="宋体" w:hAnsi="宋体"/>
          <w:color w:val="auto"/>
          <w:sz w:val="24"/>
          <w:szCs w:val="24"/>
          <w:highlight w:val="none"/>
          <w:u w:val="single"/>
        </w:rPr>
        <w:t xml:space="preserve">   </w:t>
      </w:r>
      <w:r>
        <w:rPr>
          <w:rStyle w:val="936"/>
          <w:rFonts w:ascii="宋体" w:hAnsi="宋体"/>
          <w:color w:val="auto"/>
          <w:sz w:val="24"/>
          <w:szCs w:val="24"/>
          <w:highlight w:val="none"/>
        </w:rPr>
        <w:t xml:space="preserve">（投标人的名称），全权处理本次项目投标的有关事宜。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据此函，签字人兹宣布同意如下：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1、同意向贵方提供贵方可能另外要求的与投标有关的任何证据或资料；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2、我们完全理解贵方不一定将合同授予最低报价的投标人；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3、我们已详细审核全部招标文件及其有效补充文件，我们知道必须放弃提出含糊不清或误解问题的权利；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4、一旦我方中标，我们将根据招标文件的规定，严格履行合同条款的责任和义务，并保证按照合同条款提供服务；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5、与本投标有关的正式通讯地址为：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地址：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邮编：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电话：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传真：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投标单位代表姓名：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投标单位名称：    </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公章：</w:t>
      </w:r>
      <w:r/>
    </w:p>
    <w:p>
      <w:pPr>
        <w:pStyle w:val="975"/>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日期：   </w:t>
      </w:r>
      <w:r/>
    </w:p>
    <w:p>
      <w:pPr>
        <w:pStyle w:val="975"/>
        <w:spacing w:before="240" w:after="240"/>
        <w:rPr>
          <w:rStyle w:val="936"/>
          <w:rFonts w:ascii="宋体" w:hAnsi="宋体"/>
          <w:color w:val="auto"/>
          <w:highlight w:val="none"/>
        </w:rPr>
      </w:pPr>
      <w:r>
        <w:rPr>
          <w:rStyle w:val="936"/>
          <w:rFonts w:ascii="宋体" w:hAnsi="宋体"/>
          <w:color w:val="auto"/>
          <w:highlight w:val="none"/>
        </w:rPr>
        <w:t xml:space="preserve"> </w:t>
      </w:r>
      <w:r/>
    </w:p>
    <w:p>
      <w:pPr>
        <w:pStyle w:val="976"/>
        <w:rPr>
          <w:rStyle w:val="936"/>
          <w:color w:val="auto"/>
          <w:highlight w:val="none"/>
        </w:rPr>
        <w:outlineLvl w:val="0"/>
      </w:pPr>
      <w:r>
        <w:rPr>
          <w:rStyle w:val="936"/>
          <w:color w:val="auto"/>
          <w:highlight w:val="none"/>
        </w:rPr>
        <w:br w:type="page" w:clear="all"/>
      </w:r>
      <w:bookmarkStart w:id="225" w:name="_Toc689"/>
      <w:r/>
      <w:bookmarkStart w:id="226" w:name="_Toc30137"/>
      <w:r/>
      <w:bookmarkStart w:id="227" w:name="_Toc24631"/>
      <w:r/>
      <w:bookmarkStart w:id="228" w:name="_Toc30201"/>
      <w:r/>
      <w:bookmarkStart w:id="229" w:name="_Toc20603"/>
      <w:r>
        <w:rPr>
          <w:rStyle w:val="936"/>
          <w:rFonts w:ascii="宋体" w:hAnsi="宋体"/>
          <w:b/>
          <w:color w:val="auto"/>
          <w:sz w:val="32"/>
          <w:highlight w:val="none"/>
        </w:rPr>
        <w:t xml:space="preserve">三、开标一览表</w:t>
      </w:r>
      <w:bookmarkEnd w:id="225"/>
      <w:r/>
      <w:bookmarkEnd w:id="226"/>
      <w:r/>
      <w:bookmarkEnd w:id="227"/>
      <w:r/>
      <w:bookmarkEnd w:id="228"/>
      <w:r/>
      <w:bookmarkEnd w:id="229"/>
      <w:r/>
      <w:r/>
    </w:p>
    <w:p>
      <w:pPr>
        <w:pStyle w:val="977"/>
        <w:jc w:val="center"/>
        <w:spacing w:line="440" w:lineRule="exact"/>
        <w:rPr>
          <w:rStyle w:val="936"/>
          <w:rFonts w:ascii="宋体" w:hAnsi="宋体"/>
          <w:color w:val="auto"/>
          <w:sz w:val="24"/>
          <w:szCs w:val="24"/>
          <w:highlight w:val="none"/>
        </w:rPr>
      </w:pPr>
      <w:r>
        <w:rPr>
          <w:rStyle w:val="936"/>
          <w:rFonts w:ascii="宋体" w:hAnsi="宋体"/>
          <w:color w:val="auto"/>
          <w:sz w:val="24"/>
          <w:szCs w:val="24"/>
          <w:highlight w:val="none"/>
        </w:rPr>
        <w:t xml:space="preserve">﻿ </w:t>
      </w:r>
      <w:r>
        <w:rPr>
          <w:rStyle w:val="936"/>
          <w:rFonts w:hint="eastAsia" w:ascii="宋体" w:hAnsi="宋体"/>
          <w:color w:val="auto"/>
          <w:sz w:val="24"/>
          <w:szCs w:val="24"/>
          <w:highlight w:val="none"/>
        </w:rPr>
        <w:t xml:space="preserve">开标一览表（总报价）</w:t>
      </w:r>
      <w:r/>
    </w:p>
    <w:p>
      <w:pPr>
        <w:pStyle w:val="977"/>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投标</w:t>
      </w:r>
      <w:r>
        <w:rPr>
          <w:rStyle w:val="936"/>
          <w:rFonts w:hint="eastAsia" w:ascii="宋体" w:hAnsi="宋体"/>
          <w:color w:val="auto"/>
          <w:sz w:val="24"/>
          <w:szCs w:val="24"/>
          <w:highlight w:val="none"/>
        </w:rPr>
        <w:t xml:space="preserve">人</w:t>
      </w:r>
      <w:r>
        <w:rPr>
          <w:rStyle w:val="936"/>
          <w:rFonts w:ascii="宋体" w:hAnsi="宋体"/>
          <w:color w:val="auto"/>
          <w:sz w:val="24"/>
          <w:szCs w:val="24"/>
          <w:highlight w:val="none"/>
        </w:rPr>
        <w:t xml:space="preserve">全称（加盖公章）：</w:t>
      </w:r>
      <w:r/>
    </w:p>
    <w:p>
      <w:pPr>
        <w:pStyle w:val="977"/>
        <w:spacing w:before="240" w:after="240"/>
        <w:rPr>
          <w:rStyle w:val="936"/>
          <w:rFonts w:hint="eastAsia" w:ascii="宋体" w:hAnsi="宋体"/>
          <w:color w:val="auto"/>
          <w:sz w:val="24"/>
          <w:szCs w:val="24"/>
          <w:highlight w:val="none"/>
        </w:rPr>
      </w:pPr>
      <w:r>
        <w:rPr>
          <w:rStyle w:val="936"/>
          <w:rFonts w:hint="eastAsia" w:ascii="宋体" w:hAnsi="宋体"/>
          <w:color w:val="auto"/>
          <w:sz w:val="24"/>
          <w:szCs w:val="24"/>
          <w:highlight w:val="none"/>
        </w:rPr>
        <w:t xml:space="preserve">项目编号：</w:t>
      </w:r>
      <w:r>
        <w:rPr>
          <w:rStyle w:val="936"/>
          <w:rFonts w:ascii="宋体" w:hAnsi="宋体"/>
          <w:color w:val="auto"/>
          <w:sz w:val="24"/>
          <w:szCs w:val="24"/>
          <w:highlight w:val="none"/>
        </w:rPr>
        <w:t xml:space="preserve">    </w:t>
      </w:r>
      <w:r/>
    </w:p>
    <w:p>
      <w:pPr>
        <w:pStyle w:val="977"/>
        <w:spacing w:before="240" w:after="240"/>
        <w:rPr>
          <w:rStyle w:val="936"/>
          <w:rFonts w:hint="eastAsia" w:ascii="宋体" w:hAnsi="宋体"/>
          <w:color w:val="auto"/>
          <w:sz w:val="24"/>
          <w:szCs w:val="24"/>
          <w:highlight w:val="none"/>
        </w:rPr>
      </w:pPr>
      <w:r>
        <w:rPr>
          <w:rStyle w:val="936"/>
          <w:rFonts w:hint="eastAsia" w:ascii="宋体" w:hAnsi="宋体"/>
          <w:color w:val="auto"/>
          <w:sz w:val="24"/>
          <w:szCs w:val="24"/>
          <w:highlight w:val="none"/>
        </w:rPr>
        <w:t xml:space="preserve">分包号：</w:t>
      </w:r>
      <w:r/>
    </w:p>
    <w:tbl>
      <w:tblPr>
        <w:tblStyle w:val="749"/>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66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7"/>
              <w:jc w:val="both"/>
              <w:rPr>
                <w:rStyle w:val="936"/>
                <w:rFonts w:ascii="宋体" w:hAnsi="宋体"/>
                <w:color w:val="auto"/>
                <w:sz w:val="24"/>
                <w:szCs w:val="24"/>
                <w:highlight w:val="none"/>
              </w:rPr>
            </w:pPr>
            <w:r>
              <w:rPr>
                <w:rStyle w:val="936"/>
                <w:rFonts w:ascii="宋体" w:hAnsi="宋体"/>
                <w:color w:val="auto"/>
                <w:sz w:val="24"/>
                <w:szCs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7"/>
              <w:jc w:val="both"/>
              <w:rPr>
                <w:rStyle w:val="936"/>
                <w:rFonts w:hint="eastAsia" w:ascii="宋体" w:hAnsi="宋体"/>
                <w:color w:val="auto"/>
                <w:sz w:val="24"/>
                <w:szCs w:val="24"/>
                <w:highlight w:val="none"/>
              </w:rPr>
            </w:pPr>
            <w:r>
              <w:rPr>
                <w:rStyle w:val="936"/>
                <w:rFonts w:hint="eastAsia" w:ascii="宋体" w:hAnsi="宋体"/>
                <w:color w:val="auto"/>
                <w:sz w:val="24"/>
                <w:szCs w:val="24"/>
                <w:highlight w:val="none"/>
              </w:rPr>
              <w:t xml:space="preserve">投标总报价</w:t>
            </w:r>
            <w:r>
              <w:rPr>
                <w:rStyle w:val="936"/>
                <w:rFonts w:ascii="宋体" w:hAnsi="宋体"/>
                <w:color w:val="auto"/>
                <w:sz w:val="24"/>
                <w:szCs w:val="24"/>
                <w:highlight w:val="none"/>
              </w:rPr>
              <w:t xml:space="preserve">（元） </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7"/>
              <w:jc w:val="both"/>
              <w:rPr>
                <w:rStyle w:val="936"/>
                <w:rFonts w:ascii="宋体" w:hAnsi="宋体"/>
                <w:color w:val="auto"/>
                <w:sz w:val="24"/>
                <w:szCs w:val="24"/>
                <w:highlight w:val="none"/>
              </w:rPr>
            </w:pPr>
            <w:r>
              <w:rPr>
                <w:rFonts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7"/>
              <w:rPr>
                <w:rStyle w:val="936"/>
                <w:rFonts w:ascii="宋体" w:hAnsi="宋体"/>
                <w:color w:val="auto"/>
                <w:sz w:val="24"/>
                <w:szCs w:val="24"/>
                <w:highlight w:val="none"/>
              </w:rPr>
            </w:pPr>
            <w:r>
              <w:rPr>
                <w:rStyle w:val="936"/>
                <w:rFonts w:ascii="宋体" w:hAnsi="宋体"/>
                <w:color w:val="auto"/>
                <w:sz w:val="24"/>
                <w:szCs w:val="24"/>
                <w:highlight w:val="none"/>
              </w:rPr>
              <w:t xml:space="preserve">  </w:t>
            </w:r>
            <w:r/>
          </w:p>
          <w:p>
            <w:pPr>
              <w:pStyle w:val="977"/>
              <w:rPr>
                <w:rStyle w:val="936"/>
                <w:rFonts w:hint="eastAsia" w:ascii="宋体" w:hAnsi="宋体"/>
                <w:color w:val="auto"/>
                <w:sz w:val="24"/>
                <w:szCs w:val="24"/>
                <w:highlight w:val="none"/>
              </w:rPr>
            </w:pPr>
            <w:r>
              <w:rPr>
                <w:rStyle w:val="936"/>
                <w:rFonts w:hint="eastAsia" w:ascii="宋体" w:hAnsi="宋体"/>
                <w:color w:val="auto"/>
                <w:sz w:val="24"/>
                <w:szCs w:val="24"/>
                <w:highlight w:val="none"/>
              </w:rPr>
              <w:t xml:space="preserve">小写：      （元人民币）</w:t>
            </w:r>
            <w:r/>
          </w:p>
          <w:p>
            <w:pPr>
              <w:pStyle w:val="977"/>
              <w:rPr>
                <w:rStyle w:val="936"/>
                <w:rFonts w:ascii="宋体" w:hAnsi="宋体"/>
                <w:color w:val="auto"/>
                <w:sz w:val="24"/>
                <w:szCs w:val="24"/>
                <w:highlight w:val="none"/>
              </w:rPr>
            </w:pPr>
            <w:r>
              <w:rPr>
                <w:rStyle w:val="936"/>
                <w:rFonts w:ascii="宋体" w:hAnsi="宋体"/>
                <w:color w:val="auto"/>
                <w:sz w:val="24"/>
                <w:szCs w:val="24"/>
                <w:highlight w:val="none"/>
              </w:rPr>
              <w:t xml:space="preserve">     </w:t>
            </w:r>
            <w:r/>
          </w:p>
        </w:tc>
      </w:tr>
      <w:tr>
        <w:trPr>
          <w:trHeight w:val="70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728" w:type="dxa"/>
            <w:vAlign w:val="center"/>
            <w:textDirection w:val="lrTb"/>
            <w:noWrap w:val="false"/>
          </w:tcPr>
          <w:p>
            <w:pPr>
              <w:pStyle w:val="977"/>
              <w:rPr>
                <w:rStyle w:val="936"/>
                <w:rFonts w:ascii="宋体" w:hAnsi="宋体"/>
                <w:color w:val="auto"/>
                <w:sz w:val="24"/>
                <w:szCs w:val="24"/>
                <w:highlight w:val="none"/>
              </w:rPr>
            </w:pPr>
            <w:r>
              <w:rPr>
                <w:rStyle w:val="936"/>
                <w:rFonts w:ascii="宋体" w:hAnsi="宋体"/>
                <w:color w:val="auto"/>
                <w:sz w:val="24"/>
                <w:szCs w:val="24"/>
                <w:highlight w:val="none"/>
              </w:rPr>
              <w:t xml:space="preserve">投标</w:t>
            </w:r>
            <w:r>
              <w:rPr>
                <w:rStyle w:val="936"/>
                <w:rFonts w:hint="eastAsia" w:ascii="宋体" w:hAnsi="宋体"/>
                <w:color w:val="auto"/>
                <w:sz w:val="24"/>
                <w:szCs w:val="24"/>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57" w:type="dxa"/>
            <w:vAlign w:val="center"/>
            <w:textDirection w:val="lrTb"/>
            <w:noWrap w:val="false"/>
          </w:tcPr>
          <w:p>
            <w:pPr>
              <w:pStyle w:val="977"/>
              <w:rPr>
                <w:rStyle w:val="936"/>
                <w:rFonts w:ascii="宋体" w:hAnsi="宋体"/>
                <w:color w:val="auto"/>
                <w:sz w:val="24"/>
                <w:szCs w:val="24"/>
                <w:highlight w:val="none"/>
              </w:rPr>
            </w:pPr>
            <w:r>
              <w:rPr>
                <w:rStyle w:val="936"/>
                <w:rFonts w:ascii="宋体" w:hAnsi="宋体"/>
                <w:color w:val="auto"/>
                <w:sz w:val="24"/>
                <w:szCs w:val="24"/>
                <w:highlight w:val="none"/>
              </w:rPr>
              <w:t xml:space="preserve">  </w:t>
            </w:r>
            <w:r>
              <w:rPr>
                <w:rStyle w:val="936"/>
                <w:rFonts w:hint="eastAsia" w:ascii="宋体" w:hAnsi="宋体"/>
                <w:color w:val="auto"/>
                <w:sz w:val="24"/>
                <w:szCs w:val="24"/>
                <w:highlight w:val="none"/>
              </w:rPr>
              <w:t xml:space="preserve">金额大写</w:t>
            </w:r>
            <w:r>
              <w:rPr>
                <w:rStyle w:val="936"/>
                <w:rFonts w:ascii="宋体" w:hAnsi="宋体"/>
                <w:color w:val="auto"/>
                <w:sz w:val="24"/>
                <w:szCs w:val="24"/>
                <w:highlight w:val="none"/>
              </w:rPr>
              <w:t xml:space="preserve">  </w:t>
            </w:r>
            <w:r/>
          </w:p>
        </w:tc>
      </w:tr>
    </w:tbl>
    <w:p>
      <w:pPr>
        <w:pStyle w:val="977"/>
        <w:spacing w:before="240" w:after="240"/>
        <w:rPr>
          <w:rStyle w:val="936"/>
          <w:rFonts w:ascii="宋体" w:hAnsi="宋体"/>
          <w:color w:val="auto"/>
          <w:sz w:val="24"/>
          <w:szCs w:val="24"/>
          <w:highlight w:val="none"/>
        </w:rPr>
      </w:pPr>
      <w:r>
        <w:rPr>
          <w:rStyle w:val="936"/>
          <w:rFonts w:ascii="宋体" w:hAnsi="宋体"/>
          <w:color w:val="auto"/>
          <w:sz w:val="24"/>
          <w:szCs w:val="24"/>
          <w:highlight w:val="none"/>
        </w:rPr>
        <w:t xml:space="preserve"> </w:t>
      </w:r>
      <w:r>
        <w:rPr>
          <w:rStyle w:val="936"/>
          <w:rFonts w:hint="eastAsia" w:ascii="宋体" w:hAnsi="宋体"/>
          <w:color w:val="auto"/>
          <w:sz w:val="24"/>
          <w:szCs w:val="24"/>
          <w:highlight w:val="none"/>
        </w:rPr>
        <w:t xml:space="preserve">                                           日期：  年   月   日</w:t>
      </w:r>
      <w:r/>
    </w:p>
    <w:p>
      <w:pPr>
        <w:pStyle w:val="978"/>
        <w:rPr>
          <w:rStyle w:val="936"/>
          <w:rFonts w:hint="eastAsia"/>
          <w:color w:val="auto"/>
          <w:sz w:val="24"/>
          <w:szCs w:val="28"/>
          <w:highlight w:val="none"/>
        </w:rPr>
        <w:outlineLvl w:val="0"/>
      </w:pPr>
      <w:r/>
      <w:bookmarkStart w:id="230" w:name="_Toc30336"/>
      <w:r/>
      <w:bookmarkStart w:id="231" w:name="_Toc1415"/>
      <w:r/>
      <w:bookmarkStart w:id="232" w:name="_Toc15499"/>
      <w:r>
        <w:rPr>
          <w:rStyle w:val="936"/>
          <w:rFonts w:hint="eastAsia"/>
          <w:color w:val="auto"/>
          <w:sz w:val="24"/>
          <w:szCs w:val="28"/>
          <w:highlight w:val="none"/>
        </w:rPr>
        <w:t xml:space="preserve">填写说明：</w:t>
      </w:r>
      <w:bookmarkEnd w:id="230"/>
      <w:r/>
      <w:bookmarkEnd w:id="231"/>
      <w:r/>
      <w:bookmarkEnd w:id="232"/>
      <w:r/>
      <w:r/>
    </w:p>
    <w:p>
      <w:pPr>
        <w:pStyle w:val="978"/>
        <w:numPr>
          <w:ilvl w:val="0"/>
          <w:numId w:val="4"/>
        </w:numPr>
        <w:keepLines w:val="0"/>
        <w:keepNext w:val="0"/>
        <w:pageBreakBefore w:val="0"/>
        <w:spacing w:line="440" w:lineRule="exact"/>
        <w:widowControl/>
        <w:rPr>
          <w:rStyle w:val="936"/>
          <w:rFonts w:hint="eastAsia"/>
          <w:i/>
          <w:iCs/>
          <w:color w:val="auto"/>
          <w:sz w:val="24"/>
          <w:szCs w:val="28"/>
          <w:highlight w:val="none"/>
          <w:u w:val="single"/>
        </w:rPr>
        <w:outlineLvl w:val="0"/>
      </w:pPr>
      <w:r/>
      <w:bookmarkStart w:id="233" w:name="_Toc18256"/>
      <w:r/>
      <w:bookmarkStart w:id="234" w:name="_Toc5584"/>
      <w:r/>
      <w:bookmarkStart w:id="235" w:name="_Toc24830"/>
      <w:r>
        <w:rPr>
          <w:rStyle w:val="936"/>
          <w:rFonts w:hint="eastAsia"/>
          <w:i/>
          <w:iCs/>
          <w:color w:val="auto"/>
          <w:sz w:val="24"/>
          <w:szCs w:val="28"/>
          <w:highlight w:val="none"/>
          <w:u w:val="single"/>
        </w:rPr>
        <w:t xml:space="preserve">开标一览表必须加盖投标人公章（复印件无效）。</w:t>
      </w:r>
      <w:bookmarkEnd w:id="233"/>
      <w:r/>
      <w:bookmarkEnd w:id="234"/>
      <w:r/>
      <w:bookmarkEnd w:id="235"/>
      <w:r/>
      <w:r/>
    </w:p>
    <w:p>
      <w:pPr>
        <w:pStyle w:val="978"/>
        <w:numPr>
          <w:ilvl w:val="0"/>
          <w:numId w:val="4"/>
        </w:numPr>
        <w:keepLines w:val="0"/>
        <w:keepNext w:val="0"/>
        <w:pageBreakBefore w:val="0"/>
        <w:spacing w:line="440" w:lineRule="exact"/>
        <w:widowControl/>
        <w:rPr>
          <w:rStyle w:val="936"/>
          <w:rFonts w:hint="eastAsia"/>
          <w:i/>
          <w:iCs/>
          <w:color w:val="auto"/>
          <w:sz w:val="24"/>
          <w:szCs w:val="28"/>
          <w:highlight w:val="none"/>
          <w:u w:val="single"/>
        </w:rPr>
        <w:outlineLvl w:val="0"/>
      </w:pPr>
      <w:r/>
      <w:bookmarkStart w:id="236" w:name="_Toc30690"/>
      <w:r/>
      <w:bookmarkStart w:id="237" w:name="_Toc1241"/>
      <w:r/>
      <w:bookmarkStart w:id="238" w:name="_Toc30436"/>
      <w:r>
        <w:rPr>
          <w:rStyle w:val="936"/>
          <w:rFonts w:hint="eastAsia"/>
          <w:i/>
          <w:iCs/>
          <w:color w:val="auto"/>
          <w:sz w:val="24"/>
          <w:szCs w:val="28"/>
          <w:highlight w:val="none"/>
          <w:u w:val="single"/>
        </w:rPr>
        <w:t xml:space="preserve">如有分包，投标人投任何一个包的标的，都需单独填写开标一览表。</w:t>
      </w:r>
      <w:bookmarkEnd w:id="236"/>
      <w:r/>
      <w:bookmarkEnd w:id="237"/>
      <w:r/>
      <w:bookmarkEnd w:id="238"/>
      <w:r/>
      <w:r/>
    </w:p>
    <w:p>
      <w:pPr>
        <w:pStyle w:val="978"/>
        <w:rPr>
          <w:rStyle w:val="936"/>
          <w:color w:val="auto"/>
          <w:highlight w:val="none"/>
        </w:rPr>
        <w:outlineLvl w:val="0"/>
      </w:pPr>
      <w:r>
        <w:rPr>
          <w:rStyle w:val="936"/>
          <w:color w:val="auto"/>
          <w:highlight w:val="none"/>
        </w:rPr>
        <w:br w:type="page" w:clear="all"/>
      </w:r>
      <w:bookmarkStart w:id="239" w:name="_Toc25301"/>
      <w:r/>
      <w:bookmarkStart w:id="240" w:name="_Toc32613"/>
      <w:r/>
      <w:bookmarkStart w:id="241" w:name="_Toc13295"/>
      <w:r/>
      <w:bookmarkStart w:id="242" w:name="_Toc10307"/>
      <w:r/>
      <w:bookmarkStart w:id="243" w:name="_Toc4776"/>
      <w:r>
        <w:rPr>
          <w:rStyle w:val="936"/>
          <w:rFonts w:ascii="宋体" w:hAnsi="宋体"/>
          <w:b/>
          <w:color w:val="auto"/>
          <w:sz w:val="32"/>
          <w:highlight w:val="none"/>
        </w:rPr>
        <w:t xml:space="preserve">四、资格证明文件</w:t>
      </w:r>
      <w:bookmarkEnd w:id="239"/>
      <w:r/>
      <w:bookmarkEnd w:id="240"/>
      <w:r/>
      <w:bookmarkEnd w:id="241"/>
      <w:r/>
      <w:bookmarkEnd w:id="242"/>
      <w:r/>
      <w:bookmarkEnd w:id="243"/>
      <w:r/>
      <w:r/>
    </w:p>
    <w:p>
      <w:pPr>
        <w:pStyle w:val="979"/>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979"/>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7、关于资格证明文件的书面承诺（格式见后）。</w:t>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0"/>
        <w:spacing w:before="240" w:after="240" w:line="360" w:lineRule="auto"/>
        <w:rPr>
          <w:rStyle w:val="936"/>
          <w:rFonts w:ascii="宋体" w:hAnsi="宋体"/>
          <w:b/>
          <w:color w:val="auto"/>
          <w:sz w:val="28"/>
          <w:highlight w:val="none"/>
        </w:rPr>
      </w:pPr>
      <w:r>
        <w:rPr>
          <w:rFonts w:ascii="宋体" w:hAnsi="宋体"/>
          <w:b/>
          <w:color w:val="auto"/>
          <w:sz w:val="28"/>
          <w:highlight w:val="none"/>
        </w:rPr>
      </w:r>
      <w:r/>
    </w:p>
    <w:p>
      <w:pPr>
        <w:pStyle w:val="981"/>
        <w:spacing w:line="440" w:lineRule="exact"/>
        <w:rPr>
          <w:rStyle w:val="936"/>
          <w:color w:val="auto"/>
          <w:highlight w:val="none"/>
        </w:rPr>
      </w:pPr>
      <w:r>
        <w:rPr>
          <w:rStyle w:val="936"/>
          <w:color w:val="auto"/>
          <w:highlight w:val="none"/>
        </w:rPr>
        <w:t xml:space="preserve">﻿ </w:t>
      </w:r>
      <w:r/>
    </w:p>
    <w:p>
      <w:pPr>
        <w:pStyle w:val="982"/>
        <w:ind w:firstLine="420"/>
        <w:jc w:val="center"/>
        <w:spacing w:before="320" w:after="320"/>
        <w:rPr>
          <w:rStyle w:val="936"/>
          <w:rFonts w:ascii="宋体" w:hAnsi="宋体"/>
          <w:b/>
          <w:bCs/>
          <w:color w:val="auto"/>
          <w:sz w:val="32"/>
          <w:szCs w:val="32"/>
          <w:highlight w:val="none"/>
        </w:rPr>
        <w:outlineLvl w:val="1"/>
      </w:pPr>
      <w:r/>
      <w:bookmarkStart w:id="244" w:name="_Toc27904"/>
      <w:r/>
      <w:bookmarkStart w:id="245" w:name="OLE_LINK5"/>
      <w:r/>
      <w:bookmarkStart w:id="246" w:name="OLE_LINK9"/>
      <w:r>
        <w:rPr>
          <w:rStyle w:val="936"/>
          <w:rFonts w:ascii="宋体" w:hAnsi="宋体"/>
          <w:b/>
          <w:bCs/>
          <w:color w:val="auto"/>
          <w:sz w:val="32"/>
          <w:szCs w:val="32"/>
          <w:highlight w:val="none"/>
        </w:rPr>
        <w:t xml:space="preserve">具备履行合同所必需的设备和专业技术能力的书面声明</w:t>
      </w:r>
      <w:bookmarkEnd w:id="244"/>
      <w:r/>
      <w:r/>
    </w:p>
    <w:p>
      <w:pPr>
        <w:pStyle w:val="982"/>
        <w:ind w:firstLine="420"/>
        <w:spacing w:before="240" w:after="240"/>
        <w:rPr>
          <w:rStyle w:val="936"/>
          <w:rFonts w:ascii="宋体" w:hAnsi="宋体"/>
          <w:color w:val="auto"/>
          <w:highlight w:val="none"/>
        </w:rPr>
      </w:pPr>
      <w:r>
        <w:rPr>
          <w:rStyle w:val="936"/>
          <w:rFonts w:ascii="宋体" w:hAnsi="宋体"/>
          <w:color w:val="auto"/>
          <w:highlight w:val="none"/>
        </w:rPr>
        <w:t xml:space="preserve"> </w:t>
      </w:r>
      <w:r/>
    </w:p>
    <w:p>
      <w:pPr>
        <w:pStyle w:val="982"/>
        <w:ind w:firstLine="420"/>
        <w:spacing w:before="320" w:after="320"/>
        <w:rPr>
          <w:rStyle w:val="936"/>
          <w:rFonts w:ascii="宋体" w:hAnsi="宋体"/>
          <w:color w:val="auto"/>
          <w:sz w:val="24"/>
          <w:szCs w:val="24"/>
          <w:highlight w:val="none"/>
        </w:rPr>
      </w:pPr>
      <w:r>
        <w:rPr>
          <w:rStyle w:val="936"/>
          <w:rFonts w:ascii="宋体" w:hAnsi="宋体"/>
          <w:color w:val="auto"/>
          <w:sz w:val="24"/>
          <w:szCs w:val="24"/>
          <w:highlight w:val="none"/>
        </w:rPr>
        <w:t xml:space="preserve">我单位郑重声明： </w:t>
      </w:r>
      <w:r/>
    </w:p>
    <w:p>
      <w:pPr>
        <w:pStyle w:val="982"/>
        <w:ind w:firstLine="420"/>
        <w:spacing w:before="320" w:after="320"/>
        <w:rPr>
          <w:rStyle w:val="936"/>
          <w:rFonts w:ascii="宋体" w:hAnsi="宋体"/>
          <w:color w:val="auto"/>
          <w:sz w:val="24"/>
          <w:szCs w:val="24"/>
          <w:highlight w:val="none"/>
        </w:rPr>
      </w:pPr>
      <w:r>
        <w:rPr>
          <w:rStyle w:val="936"/>
          <w:rFonts w:ascii="宋体" w:hAnsi="宋体"/>
          <w:color w:val="auto"/>
          <w:sz w:val="24"/>
          <w:szCs w:val="24"/>
          <w:highlight w:val="none"/>
        </w:rPr>
        <w:t xml:space="preserve">我单位具备履行本项采购合同所必需的设备和专业技术能力。 </w:t>
      </w:r>
      <w:r/>
    </w:p>
    <w:p>
      <w:pPr>
        <w:pStyle w:val="982"/>
        <w:ind w:firstLine="420"/>
        <w:spacing w:before="360" w:after="360"/>
        <w:rPr>
          <w:rStyle w:val="936"/>
          <w:rFonts w:ascii="宋体" w:hAnsi="宋体"/>
          <w:color w:val="auto"/>
          <w:highlight w:val="none"/>
        </w:rPr>
      </w:pPr>
      <w:r>
        <w:rPr>
          <w:rStyle w:val="936"/>
          <w:rFonts w:ascii="宋体" w:hAnsi="宋体"/>
          <w:color w:val="auto"/>
          <w:highlight w:val="none"/>
        </w:rPr>
        <w:t xml:space="preserve"> </w:t>
      </w:r>
      <w:r/>
    </w:p>
    <w:p>
      <w:pPr>
        <w:pStyle w:val="982"/>
        <w:ind w:firstLine="420"/>
        <w:jc w:val="center"/>
        <w:spacing w:before="360" w:after="360"/>
        <w:rPr>
          <w:rStyle w:val="936"/>
          <w:rFonts w:ascii="宋体" w:hAnsi="宋体"/>
          <w:color w:val="auto"/>
          <w:sz w:val="36"/>
          <w:szCs w:val="36"/>
          <w:highlight w:val="none"/>
        </w:rPr>
        <w:outlineLvl w:val="1"/>
      </w:pPr>
      <w:r/>
      <w:bookmarkStart w:id="247" w:name="_Toc419"/>
      <w:r>
        <w:rPr>
          <w:rStyle w:val="936"/>
          <w:rFonts w:ascii="宋体" w:hAnsi="宋体"/>
          <w:color w:val="auto"/>
          <w:sz w:val="36"/>
          <w:szCs w:val="36"/>
          <w:highlight w:val="none"/>
        </w:rPr>
        <w:t xml:space="preserve"> </w:t>
      </w:r>
      <w:r>
        <w:rPr>
          <w:rFonts w:hint="eastAsia" w:hAnsi="宋体"/>
          <w:color w:val="auto"/>
          <w:highlight w:val="none"/>
        </w:rPr>
        <w:t xml:space="preserve">    供应商名称（加盖公章）：</w:t>
      </w:r>
      <w:bookmarkEnd w:id="247"/>
      <w:r/>
      <w:bookmarkEnd w:id="245"/>
      <w:r/>
      <w:r/>
    </w:p>
    <w:p>
      <w:pPr>
        <w:pStyle w:val="983"/>
        <w:rPr>
          <w:rStyle w:val="936"/>
          <w:rFonts w:ascii="宋体" w:hAnsi="宋体"/>
          <w:color w:val="auto"/>
          <w:sz w:val="36"/>
          <w:szCs w:val="36"/>
          <w:highlight w:val="none"/>
        </w:rPr>
      </w:pPr>
      <w:r>
        <w:rPr>
          <w:rStyle w:val="936"/>
          <w:rFonts w:ascii="宋体" w:hAnsi="宋体"/>
          <w:color w:val="auto"/>
          <w:sz w:val="36"/>
          <w:szCs w:val="36"/>
          <w:highlight w:val="none"/>
        </w:rPr>
        <w:t xml:space="preserve"> </w:t>
      </w:r>
      <w:bookmarkEnd w:id="246"/>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3"/>
        <w:rPr>
          <w:rStyle w:val="936"/>
          <w:rFonts w:ascii="宋体" w:hAnsi="宋体"/>
          <w:color w:val="auto"/>
          <w:sz w:val="36"/>
          <w:szCs w:val="36"/>
          <w:highlight w:val="none"/>
        </w:rPr>
      </w:pPr>
      <w:r>
        <w:rPr>
          <w:rFonts w:ascii="宋体" w:hAnsi="宋体"/>
          <w:color w:val="auto"/>
          <w:sz w:val="36"/>
          <w:szCs w:val="36"/>
          <w:highlight w:val="none"/>
        </w:rPr>
      </w:r>
      <w:r/>
    </w:p>
    <w:p>
      <w:pPr>
        <w:pStyle w:val="984"/>
        <w:spacing w:line="440" w:lineRule="exact"/>
        <w:rPr>
          <w:rStyle w:val="936"/>
          <w:rFonts w:ascii="宋体" w:hAnsi="宋体"/>
          <w:color w:val="auto"/>
          <w:highlight w:val="none"/>
        </w:rPr>
      </w:pPr>
      <w:r>
        <w:rPr>
          <w:rStyle w:val="936"/>
          <w:rFonts w:ascii="宋体" w:hAnsi="宋体"/>
          <w:color w:val="auto"/>
          <w:highlight w:val="none"/>
        </w:rPr>
        <w:t xml:space="preserve">﻿ </w:t>
      </w:r>
      <w:r/>
    </w:p>
    <w:p>
      <w:pPr>
        <w:ind w:firstLine="899"/>
        <w:jc w:val="center"/>
        <w:spacing w:line="560" w:lineRule="exact"/>
        <w:rPr>
          <w:rFonts w:hint="eastAsia" w:ascii="宋体" w:hAnsi="宋体"/>
          <w:b/>
          <w:color w:val="auto"/>
          <w:sz w:val="32"/>
          <w:szCs w:val="32"/>
          <w:highlight w:val="none"/>
        </w:rPr>
        <w:outlineLvl w:val="1"/>
      </w:pPr>
      <w:r/>
      <w:bookmarkStart w:id="248" w:name="_Toc18420"/>
      <w:r/>
      <w:bookmarkStart w:id="249" w:name="OLE_LINK10"/>
      <w:r>
        <w:rPr>
          <w:rFonts w:hint="eastAsia" w:ascii="宋体" w:hAnsi="宋体"/>
          <w:b/>
          <w:color w:val="auto"/>
          <w:sz w:val="32"/>
          <w:szCs w:val="32"/>
          <w:highlight w:val="none"/>
        </w:rPr>
        <w:t xml:space="preserve">参加政府采购活动前3年内在经营活动中没有重大违法记录的书面声明</w:t>
      </w:r>
      <w:bookmarkEnd w:id="248"/>
      <w:r/>
      <w:r/>
    </w:p>
    <w:p>
      <w:pPr>
        <w:ind w:firstLine="420"/>
        <w:spacing w:line="360" w:lineRule="auto"/>
        <w:rPr>
          <w:color w:val="auto"/>
          <w:highlight w:val="none"/>
        </w:rPr>
      </w:pPr>
      <w:r>
        <w:rPr>
          <w:color w:val="auto"/>
          <w:highlight w:val="none"/>
        </w:rPr>
      </w:r>
      <w:r/>
    </w:p>
    <w:p>
      <w:pPr>
        <w:ind w:firstLine="420"/>
        <w:jc w:val="center"/>
        <w:spacing w:line="360" w:lineRule="auto"/>
        <w:rPr>
          <w:rFonts w:hint="eastAsia"/>
          <w:b/>
          <w:color w:val="auto"/>
          <w:sz w:val="48"/>
          <w:szCs w:val="48"/>
          <w:highlight w:val="none"/>
        </w:rPr>
      </w:pPr>
      <w:r>
        <w:rPr>
          <w:rFonts w:hint="eastAsia"/>
          <w:b/>
          <w:color w:val="auto"/>
          <w:sz w:val="48"/>
          <w:szCs w:val="48"/>
          <w:highlight w:val="none"/>
        </w:rPr>
        <w:t xml:space="preserve">声明</w:t>
      </w:r>
      <w:r/>
    </w:p>
    <w:p>
      <w:pPr>
        <w:ind w:firstLine="899"/>
        <w:spacing w:line="360" w:lineRule="auto"/>
        <w:rPr>
          <w:color w:val="auto"/>
          <w:sz w:val="24"/>
          <w:highlight w:val="none"/>
        </w:rPr>
      </w:pPr>
      <w:r>
        <w:rPr>
          <w:color w:val="auto"/>
          <w:sz w:val="24"/>
          <w:highlight w:val="none"/>
        </w:rPr>
      </w:r>
      <w:r/>
    </w:p>
    <w:p>
      <w:pPr>
        <w:ind w:firstLine="899"/>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899"/>
        <w:spacing w:line="360" w:lineRule="auto"/>
        <w:rPr>
          <w:color w:val="auto"/>
          <w:sz w:val="24"/>
          <w:highlight w:val="none"/>
        </w:rPr>
      </w:pPr>
      <w:r>
        <w:rPr>
          <w:color w:val="auto"/>
          <w:sz w:val="24"/>
          <w:highlight w:val="none"/>
        </w:rPr>
      </w:r>
      <w:r/>
    </w:p>
    <w:p>
      <w:pPr>
        <w:ind w:firstLine="899"/>
        <w:spacing w:line="360" w:lineRule="auto"/>
        <w:rPr>
          <w:color w:val="auto"/>
          <w:sz w:val="24"/>
          <w:highlight w:val="none"/>
        </w:rPr>
      </w:pPr>
      <w:r>
        <w:rPr>
          <w:color w:val="auto"/>
          <w:sz w:val="24"/>
          <w:highlight w:val="none"/>
        </w:rPr>
      </w:r>
      <w:r/>
    </w:p>
    <w:p>
      <w:pPr>
        <w:ind w:firstLine="899"/>
        <w:spacing w:line="360" w:lineRule="auto"/>
        <w:rPr>
          <w:rFonts w:hint="eastAsia"/>
          <w:color w:val="auto"/>
          <w:sz w:val="24"/>
          <w:highlight w:val="none"/>
        </w:rPr>
      </w:pPr>
      <w:r>
        <w:rPr>
          <w:rFonts w:hint="eastAsia"/>
          <w:color w:val="auto"/>
          <w:sz w:val="24"/>
          <w:highlight w:val="none"/>
        </w:rPr>
        <w:t xml:space="preserve"> </w:t>
      </w:r>
      <w:r/>
    </w:p>
    <w:p>
      <w:pPr>
        <w:ind w:firstLine="899"/>
        <w:spacing w:line="360" w:lineRule="auto"/>
        <w:rPr>
          <w:rFonts w:hint="eastAsia"/>
          <w:color w:val="auto"/>
          <w:sz w:val="24"/>
          <w:highlight w:val="none"/>
        </w:rPr>
      </w:pPr>
      <w:r>
        <w:rPr>
          <w:rFonts w:hint="eastAsia"/>
          <w:color w:val="auto"/>
          <w:sz w:val="24"/>
          <w:highlight w:val="none"/>
        </w:rPr>
        <w:t xml:space="preserve">                                供应商名称（加盖公章）：</w:t>
      </w:r>
      <w:bookmarkEnd w:id="249"/>
      <w:r/>
      <w:r/>
    </w:p>
    <w:p>
      <w:pPr>
        <w:pStyle w:val="984"/>
        <w:spacing w:before="240" w:after="240"/>
        <w:rPr>
          <w:rStyle w:val="936"/>
          <w:rFonts w:ascii="宋体" w:hAnsi="宋体"/>
          <w:color w:val="auto"/>
          <w:highlight w:val="none"/>
        </w:rPr>
      </w:pPr>
      <w:r>
        <w:rPr>
          <w:rStyle w:val="936"/>
          <w:rFonts w:ascii="宋体" w:hAnsi="宋体"/>
          <w:color w:val="auto"/>
          <w:highlight w:val="none"/>
        </w:rPr>
        <w:t xml:space="preserve"> </w:t>
      </w:r>
      <w:r/>
    </w:p>
    <w:p>
      <w:pPr>
        <w:ind w:firstLine="420"/>
        <w:jc w:val="center"/>
        <w:spacing w:line="360" w:lineRule="auto"/>
        <w:rPr>
          <w:rStyle w:val="936"/>
          <w:rFonts w:ascii="Times New Roman" w:hAnsi="Times New Roman" w:eastAsia="Times New Roman"/>
          <w:color w:val="auto"/>
          <w:highlight w:val="none"/>
        </w:rPr>
      </w:pPr>
      <w:r>
        <w:rPr>
          <w:rStyle w:val="936"/>
          <w:rFonts w:ascii="Times New Roman" w:hAnsi="Times New Roman" w:eastAsia="Times New Roman"/>
          <w:color w:val="auto"/>
          <w:highlight w:val="none"/>
        </w:rPr>
        <w:br w:type="page" w:clear="all"/>
      </w:r>
      <w:r/>
    </w:p>
    <w:p>
      <w:pPr>
        <w:ind w:firstLine="420"/>
        <w:jc w:val="center"/>
        <w:spacing w:line="360" w:lineRule="auto"/>
        <w:rPr>
          <w:rStyle w:val="936"/>
          <w:rFonts w:ascii="Times New Roman" w:hAnsi="Times New Roman" w:eastAsia="Times New Roman"/>
          <w:color w:val="auto"/>
          <w:highlight w:val="none"/>
        </w:rPr>
      </w:pPr>
      <w:r/>
      <w:bookmarkStart w:id="250" w:name="OLE_LINK7"/>
      <w:r/>
      <w:r/>
    </w:p>
    <w:p>
      <w:pPr>
        <w:ind w:firstLine="562"/>
        <w:jc w:val="center"/>
        <w:spacing w:line="360" w:lineRule="auto"/>
        <w:rPr>
          <w:rStyle w:val="936"/>
          <w:rFonts w:ascii="宋体" w:hAnsi="宋体"/>
          <w:b/>
          <w:color w:val="auto"/>
          <w:sz w:val="28"/>
          <w:highlight w:val="none"/>
        </w:rPr>
        <w:outlineLvl w:val="1"/>
      </w:pPr>
      <w:r/>
      <w:bookmarkStart w:id="251" w:name="OLE_LINK6"/>
      <w:r/>
      <w:bookmarkStart w:id="252" w:name="OLE_LINK11"/>
      <w:r>
        <w:rPr>
          <w:rStyle w:val="936"/>
          <w:rFonts w:ascii="宋体" w:hAnsi="宋体"/>
          <w:b/>
          <w:color w:val="auto"/>
          <w:sz w:val="28"/>
          <w:highlight w:val="none"/>
        </w:rPr>
        <w:t xml:space="preserve">  </w:t>
      </w:r>
      <w:bookmarkStart w:id="253" w:name="_Toc13190"/>
      <w:r>
        <w:rPr>
          <w:rFonts w:hint="eastAsia"/>
          <w:b/>
          <w:color w:val="auto"/>
          <w:sz w:val="32"/>
          <w:szCs w:val="32"/>
          <w:highlight w:val="none"/>
        </w:rPr>
        <w:t xml:space="preserve">关于资格证明文件</w:t>
      </w:r>
      <w:r>
        <w:rPr>
          <w:rFonts w:hint="eastAsia" w:ascii="宋体" w:hAnsi="宋体"/>
          <w:b/>
          <w:color w:val="auto"/>
          <w:sz w:val="32"/>
          <w:szCs w:val="32"/>
          <w:highlight w:val="none"/>
        </w:rPr>
        <w:t xml:space="preserve">的书面承诺</w:t>
      </w:r>
      <w:bookmarkEnd w:id="253"/>
      <w:r/>
      <w:r/>
    </w:p>
    <w:p>
      <w:pPr>
        <w:ind w:firstLine="643"/>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985"/>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643"/>
        <w:jc w:val="center"/>
        <w:spacing w:line="360" w:lineRule="auto"/>
        <w:rPr>
          <w:b/>
          <w:color w:val="auto"/>
          <w:sz w:val="32"/>
          <w:szCs w:val="32"/>
          <w:highlight w:val="none"/>
        </w:rPr>
      </w:pPr>
      <w:r>
        <w:rPr>
          <w:b/>
          <w:color w:val="auto"/>
          <w:sz w:val="32"/>
          <w:szCs w:val="32"/>
          <w:highlight w:val="none"/>
        </w:rPr>
      </w:r>
      <w:r/>
    </w:p>
    <w:p>
      <w:pPr>
        <w:ind w:firstLine="480"/>
        <w:jc w:val="center"/>
        <w:spacing w:line="360" w:lineRule="auto"/>
        <w:rPr>
          <w:rFonts w:hint="eastAsia" w:ascii="宋体" w:hAnsi="宋体"/>
          <w:color w:val="auto"/>
          <w:sz w:val="24"/>
          <w:highlight w:val="none"/>
        </w:rPr>
        <w:outlineLvl w:val="1"/>
      </w:pPr>
      <w:r>
        <w:rPr>
          <w:rFonts w:hint="eastAsia" w:ascii="宋体" w:hAnsi="宋体"/>
          <w:color w:val="auto"/>
          <w:sz w:val="24"/>
          <w:highlight w:val="none"/>
        </w:rPr>
        <w:t xml:space="preserve">         </w:t>
      </w:r>
      <w:bookmarkStart w:id="254" w:name="_Toc5040"/>
      <w:r>
        <w:rPr>
          <w:rFonts w:hint="eastAsia" w:ascii="宋体" w:hAnsi="宋体"/>
          <w:color w:val="auto"/>
          <w:sz w:val="24"/>
          <w:highlight w:val="none"/>
        </w:rPr>
        <w:t xml:space="preserve">供应商名称（加盖公章）：</w:t>
      </w:r>
      <w:bookmarkEnd w:id="254"/>
      <w:r/>
      <w:bookmarkEnd w:id="250"/>
      <w:r/>
      <w:bookmarkEnd w:id="251"/>
      <w:r/>
      <w:r/>
    </w:p>
    <w:p>
      <w:pPr>
        <w:pStyle w:val="986"/>
        <w:rPr>
          <w:rStyle w:val="936"/>
          <w:rFonts w:ascii="宋体" w:hAnsi="宋体"/>
          <w:b/>
          <w:color w:val="auto"/>
          <w:sz w:val="28"/>
          <w:highlight w:val="none"/>
        </w:rPr>
      </w:pPr>
      <w:r>
        <w:rPr>
          <w:rFonts w:ascii="宋体" w:hAnsi="宋体"/>
          <w:b/>
          <w:color w:val="auto"/>
          <w:sz w:val="28"/>
          <w:highlight w:val="none"/>
        </w:rPr>
      </w:r>
      <w:bookmarkEnd w:id="252"/>
      <w:r/>
      <w:r/>
    </w:p>
    <w:p>
      <w:pPr>
        <w:rPr>
          <w:rStyle w:val="936"/>
          <w:rFonts w:ascii="宋体" w:hAnsi="宋体"/>
          <w:b/>
          <w:color w:val="auto"/>
          <w:sz w:val="28"/>
          <w:highlight w:val="none"/>
        </w:rPr>
      </w:pPr>
      <w:r>
        <w:rPr>
          <w:rStyle w:val="936"/>
          <w:rFonts w:ascii="宋体" w:hAnsi="宋体"/>
          <w:b/>
          <w:color w:val="auto"/>
          <w:sz w:val="28"/>
          <w:highlight w:val="none"/>
        </w:rPr>
        <w:br w:type="page" w:clear="all"/>
      </w:r>
      <w:r/>
    </w:p>
    <w:p>
      <w:pPr>
        <w:jc w:val="left"/>
        <w:spacing w:before="320" w:after="320"/>
        <w:rPr>
          <w:rFonts w:hint="eastAsia" w:ascii="Times New Roman" w:hAnsi="Times New Roman" w:eastAsia="Times New Roman"/>
          <w:bCs/>
          <w:i/>
          <w:color w:val="auto"/>
          <w:sz w:val="24"/>
          <w:szCs w:val="24"/>
          <w:highlight w:val="none"/>
          <w:u w:val="single"/>
        </w:rPr>
        <w:outlineLvl w:val="1"/>
      </w:pPr>
      <w:r/>
      <w:bookmarkStart w:id="255" w:name="OLE_LINK12"/>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r>
      <w:r/>
    </w:p>
    <w:p>
      <w:pPr>
        <w:jc w:val="center"/>
        <w:spacing w:before="320" w:after="320"/>
        <w:rPr>
          <w:rFonts w:hint="eastAsia"/>
          <w:b/>
          <w:bCs/>
          <w:color w:val="auto"/>
          <w:sz w:val="32"/>
          <w:szCs w:val="32"/>
          <w:highlight w:val="none"/>
        </w:rPr>
        <w:outlineLvl w:val="1"/>
      </w:pPr>
      <w:r>
        <w:rPr>
          <w:rFonts w:hint="eastAsia"/>
          <w:b/>
          <w:bCs/>
          <w:color w:val="auto"/>
          <w:sz w:val="32"/>
          <w:szCs w:val="32"/>
          <w:highlight w:val="none"/>
        </w:rPr>
        <w:t xml:space="preserve">1、</w:t>
      </w:r>
      <w:r>
        <w:rPr>
          <w:b/>
          <w:bCs/>
          <w:color w:val="auto"/>
          <w:sz w:val="32"/>
          <w:szCs w:val="32"/>
          <w:highlight w:val="none"/>
        </w:rPr>
        <w:t xml:space="preserve">授权委托书</w:t>
      </w:r>
      <w:r/>
    </w:p>
    <w:p>
      <w:pPr>
        <w:ind w:firstLine="500"/>
        <w:spacing w:before="240" w:after="240"/>
        <w:rPr>
          <w:color w:val="auto"/>
          <w:sz w:val="24"/>
          <w:szCs w:val="24"/>
          <w:highlight w:val="none"/>
        </w:rPr>
      </w:pPr>
      <w:r>
        <w:rPr>
          <w:color w:val="auto"/>
          <w:sz w:val="24"/>
          <w:szCs w:val="24"/>
          <w:highlight w:val="none"/>
        </w:rPr>
        <w:t xml:space="preserve">本授权书声明：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w:t>
      </w:r>
      <w:r>
        <w:rPr>
          <w:color w:val="auto"/>
          <w:sz w:val="24"/>
          <w:szCs w:val="24"/>
          <w:highlight w:val="none"/>
        </w:rPr>
        <w:t xml:space="preserve">名称）授权</w:t>
      </w:r>
      <w:bookmarkStart w:id="256" w:name="sys_STR"/>
      <w:r/>
      <w:bookmarkEnd w:id="256"/>
      <w:r>
        <w:rPr>
          <w:rFonts w:hint="eastAsia"/>
          <w:color w:val="auto"/>
          <w:sz w:val="24"/>
          <w:szCs w:val="24"/>
          <w:highlight w:val="none"/>
          <w:u w:val="single"/>
        </w:rPr>
        <w:t xml:space="preserve">        </w:t>
      </w:r>
      <w:r>
        <w:rPr>
          <w:color w:val="auto"/>
          <w:sz w:val="24"/>
          <w:szCs w:val="24"/>
          <w:highlight w:val="none"/>
        </w:rPr>
        <w:t xml:space="preserve">(被授权人的姓名)（</w:t>
      </w:r>
      <w:r>
        <w:rPr>
          <w:rFonts w:hint="eastAsia"/>
          <w:color w:val="auto"/>
          <w:sz w:val="24"/>
          <w:szCs w:val="24"/>
          <w:highlight w:val="none"/>
        </w:rPr>
        <w:t xml:space="preserve">被授权人身份证号码</w:t>
      </w:r>
      <w:r>
        <w:rPr>
          <w:rFonts w:hint="eastAsia"/>
          <w:color w:val="auto"/>
          <w:sz w:val="24"/>
          <w:szCs w:val="24"/>
          <w:highlight w:val="none"/>
          <w:u w:val="single"/>
        </w:rPr>
        <w:t xml:space="preserve">：         </w:t>
      </w:r>
      <w:r>
        <w:rPr>
          <w:color w:val="auto"/>
          <w:sz w:val="24"/>
          <w:szCs w:val="24"/>
          <w:highlight w:val="none"/>
        </w:rPr>
        <w:t xml:space="preserve">）为我方就</w:t>
      </w:r>
      <w:r>
        <w:rPr>
          <w:rFonts w:hint="eastAsia"/>
          <w:color w:val="auto"/>
          <w:sz w:val="24"/>
          <w:szCs w:val="24"/>
          <w:highlight w:val="none"/>
          <w:u w:val="single"/>
        </w:rPr>
        <w:t xml:space="preserve">              （项目编号：     ）</w:t>
      </w:r>
      <w:r>
        <w:rPr>
          <w:color w:val="auto"/>
          <w:sz w:val="24"/>
          <w:szCs w:val="24"/>
          <w:highlight w:val="none"/>
        </w:rPr>
        <w:t xml:space="preserve">项目采购活动的合法代理人，以本单位名义全权处理一切与该项目采购有关的事务</w:t>
      </w:r>
      <w:r>
        <w:rPr>
          <w:rFonts w:hint="eastAsia"/>
          <w:color w:val="auto"/>
          <w:sz w:val="24"/>
          <w:szCs w:val="24"/>
          <w:highlight w:val="none"/>
        </w:rPr>
        <w:t xml:space="preserve">，其代表本单位处理相关事项所产生的一切责任由本单位承担。</w:t>
      </w:r>
      <w:r/>
    </w:p>
    <w:p>
      <w:pPr>
        <w:ind w:firstLine="500"/>
        <w:spacing w:before="240" w:after="240"/>
        <w:rPr>
          <w:color w:val="auto"/>
          <w:sz w:val="24"/>
          <w:szCs w:val="24"/>
          <w:highlight w:val="none"/>
        </w:rPr>
      </w:pPr>
      <w:r>
        <w:rPr>
          <w:color w:val="auto"/>
          <w:sz w:val="24"/>
          <w:szCs w:val="24"/>
          <w:highlight w:val="none"/>
        </w:rPr>
        <w:t xml:space="preserve">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r/>
    </w:p>
    <w:p>
      <w:pPr>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3570"/>
        <w:spacing w:before="240" w:after="240"/>
        <w:rPr>
          <w:color w:val="auto"/>
          <w:sz w:val="24"/>
          <w:szCs w:val="24"/>
          <w:highlight w:val="none"/>
        </w:rPr>
      </w:pPr>
      <w:r>
        <w:rPr>
          <w:color w:val="auto"/>
          <w:sz w:val="24"/>
          <w:szCs w:val="24"/>
          <w:highlight w:val="none"/>
        </w:rPr>
        <w:t xml:space="preserve">被授权人联系电话：（手机）   </w:t>
      </w:r>
      <w:r/>
    </w:p>
    <w:p>
      <w:pPr>
        <w:ind w:firstLine="3570"/>
        <w:spacing w:before="240" w:after="240"/>
        <w:rPr>
          <w:color w:val="auto"/>
          <w:sz w:val="24"/>
          <w:szCs w:val="24"/>
          <w:highlight w:val="none"/>
        </w:rPr>
      </w:pPr>
      <w:r>
        <w:rPr>
          <w:color w:val="auto"/>
          <w:sz w:val="24"/>
          <w:szCs w:val="24"/>
          <w:highlight w:val="none"/>
        </w:rPr>
        <w:t xml:space="preserve">授权单位名称：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widowControl/>
        <w:rPr>
          <w:rFonts w:ascii="宋体" w:hAnsi="宋体"/>
          <w:color w:val="auto"/>
          <w:szCs w:val="21"/>
          <w:highlight w:val="none"/>
        </w:rPr>
      </w:pPr>
      <w:r>
        <w:rPr>
          <w:rFonts w:ascii="宋体" w:hAnsi="宋体"/>
          <w:color w:val="auto"/>
          <w:szCs w:val="21"/>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bookmarkEnd w:id="255"/>
      <w:r/>
      <w:r/>
    </w:p>
    <w:p>
      <w:pPr>
        <w:rPr>
          <w:rStyle w:val="936"/>
          <w:rFonts w:ascii="宋体" w:hAnsi="宋体"/>
          <w:b/>
          <w:color w:val="auto"/>
          <w:sz w:val="28"/>
          <w:highlight w:val="none"/>
        </w:rPr>
      </w:pPr>
      <w:r>
        <w:rPr>
          <w:rFonts w:ascii="宋体" w:hAnsi="宋体"/>
          <w:b/>
          <w:color w:val="auto"/>
          <w:sz w:val="28"/>
          <w:highlight w:val="none"/>
        </w:rPr>
      </w:r>
      <w:r/>
    </w:p>
    <w:p>
      <w:pPr>
        <w:pStyle w:val="1014"/>
        <w:rPr>
          <w:rStyle w:val="936"/>
          <w:rFonts w:ascii="宋体"/>
          <w:b/>
          <w:color w:val="auto"/>
          <w:sz w:val="28"/>
          <w:highlight w:val="none"/>
        </w:rPr>
      </w:pPr>
      <w:r>
        <w:rPr>
          <w:rFonts w:ascii="宋体"/>
          <w:b/>
          <w:color w:val="auto"/>
          <w:sz w:val="28"/>
          <w:highlight w:val="none"/>
        </w:rPr>
      </w:r>
      <w:r/>
    </w:p>
    <w:p>
      <w:pPr>
        <w:pStyle w:val="986"/>
        <w:rPr>
          <w:rStyle w:val="936"/>
          <w:rFonts w:ascii="宋体" w:hAnsi="宋体"/>
          <w:b/>
          <w:color w:val="auto"/>
          <w:sz w:val="28"/>
          <w:highlight w:val="none"/>
        </w:rPr>
        <w:outlineLvl w:val="0"/>
      </w:pPr>
      <w:r>
        <w:rPr>
          <w:rFonts w:ascii="宋体" w:hAnsi="宋体"/>
          <w:b/>
          <w:color w:val="auto"/>
          <w:sz w:val="28"/>
          <w:highlight w:val="none"/>
        </w:rPr>
      </w:r>
      <w:r/>
    </w:p>
    <w:p>
      <w:pPr>
        <w:pStyle w:val="986"/>
        <w:rPr>
          <w:rStyle w:val="936"/>
          <w:rFonts w:ascii="宋体" w:hAnsi="宋体"/>
          <w:b/>
          <w:color w:val="auto"/>
          <w:sz w:val="32"/>
          <w:highlight w:val="none"/>
        </w:rPr>
        <w:outlineLvl w:val="0"/>
      </w:pPr>
      <w:r/>
      <w:bookmarkStart w:id="257" w:name="_Toc15093"/>
      <w:r/>
      <w:bookmarkStart w:id="258" w:name="_Toc13868"/>
      <w:r>
        <w:rPr>
          <w:rStyle w:val="936"/>
          <w:rFonts w:ascii="宋体" w:hAnsi="宋体"/>
          <w:b/>
          <w:color w:val="auto"/>
          <w:sz w:val="32"/>
          <w:highlight w:val="none"/>
        </w:rPr>
        <w:t xml:space="preserve">五、第四章项目需求中实质性要求响应对照表</w:t>
      </w:r>
      <w:bookmarkEnd w:id="257"/>
      <w:r/>
      <w:bookmarkEnd w:id="258"/>
      <w:r/>
      <w:r/>
    </w:p>
    <w:p>
      <w:pPr>
        <w:pStyle w:val="994"/>
        <w:spacing w:line="440" w:lineRule="exact"/>
        <w:rPr>
          <w:rFonts w:ascii="宋体" w:hAnsi="宋体" w:eastAsia="宋体"/>
          <w:b/>
          <w:bCs/>
          <w:color w:val="auto"/>
          <w:highlight w:val="none"/>
        </w:rPr>
      </w:pPr>
      <w:r>
        <w:rPr>
          <w:rFonts w:ascii="宋体" w:hAnsi="宋体" w:eastAsia="宋体"/>
          <w:b/>
          <w:bCs/>
          <w:color w:val="auto"/>
          <w:highlight w:val="none"/>
        </w:rPr>
        <w:t xml:space="preserve"> </w:t>
      </w:r>
      <w:r>
        <w:rPr>
          <w:rFonts w:hint="eastAsia" w:ascii="宋体" w:hAnsi="宋体" w:eastAsia="宋体"/>
          <w:b/>
          <w:bCs/>
          <w:color w:val="auto"/>
          <w:highlight w:val="none"/>
        </w:rPr>
        <w:t xml:space="preserve">1、</w:t>
      </w:r>
      <w:bookmarkStart w:id="259" w:name="OLE_LINK13"/>
      <w:r>
        <w:rPr>
          <w:rFonts w:hint="eastAsia" w:ascii="宋体" w:hAnsi="宋体" w:eastAsia="宋体"/>
          <w:b/>
          <w:bCs/>
          <w:color w:val="auto"/>
          <w:highlight w:val="none"/>
        </w:rPr>
        <w:t xml:space="preserve">商务条款的实质性格式</w:t>
      </w:r>
      <w:r>
        <w:rPr>
          <w:rFonts w:ascii="宋体" w:hAnsi="宋体" w:eastAsia="宋体"/>
          <w:b/>
          <w:bCs/>
          <w:color w:val="auto"/>
          <w:highlight w:val="none"/>
        </w:rPr>
        <w:t xml:space="preserve"> </w:t>
      </w:r>
      <w:r/>
    </w:p>
    <w:tbl>
      <w:tblPr>
        <w:tblStyle w:val="749"/>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商务条款</w:t>
            </w:r>
            <w:r>
              <w:rPr>
                <w:rFonts w:ascii="宋体" w:hAnsi="宋体" w:eastAsia="宋体"/>
                <w:color w:val="auto"/>
                <w:highlight w:val="none"/>
              </w:rPr>
              <w:t xml:space="preserve">的实质性要求</w:t>
            </w:r>
            <w:r/>
          </w:p>
          <w:p>
            <w:pPr>
              <w:pStyle w:val="994"/>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65"/>
              <w:ind w:firstLine="500"/>
              <w:spacing w:line="440" w:lineRule="exact"/>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488"/>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65"/>
              <w:ind w:firstLine="500"/>
              <w:spacing w:line="440" w:lineRule="exact"/>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50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0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44" w:type="dxa"/>
            <w:vAlign w:val="center"/>
            <w:textDirection w:val="lrTb"/>
            <w:noWrap w:val="false"/>
          </w:tcPr>
          <w:p>
            <w:pPr>
              <w:pStyle w:val="965"/>
              <w:spacing w:line="440" w:lineRule="exact"/>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62"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59"/>
      <w:r/>
      <w:r/>
    </w:p>
    <w:p>
      <w:pPr>
        <w:pStyle w:val="994"/>
        <w:rPr>
          <w:rFonts w:ascii="宋体" w:hAnsi="宋体" w:eastAsia="宋体"/>
          <w:color w:val="auto"/>
          <w:highlight w:val="none"/>
        </w:rPr>
      </w:pPr>
      <w:r>
        <w:rPr>
          <w:rFonts w:ascii="宋体" w:hAnsi="宋体" w:eastAsia="宋体"/>
          <w:color w:val="auto"/>
          <w:highlight w:val="none"/>
        </w:rPr>
      </w:r>
      <w:r/>
    </w:p>
    <w:p>
      <w:pPr>
        <w:pStyle w:val="994"/>
        <w:ind w:firstLine="482"/>
        <w:rPr>
          <w:rFonts w:ascii="宋体" w:hAnsi="宋体" w:eastAsia="宋体"/>
          <w:b/>
          <w:bCs/>
          <w:color w:val="auto"/>
          <w:highlight w:val="none"/>
        </w:rPr>
      </w:pPr>
      <w:r>
        <w:rPr>
          <w:rFonts w:ascii="宋体" w:hAnsi="宋体" w:eastAsia="宋体"/>
          <w:b/>
          <w:bCs/>
          <w:color w:val="auto"/>
          <w:highlight w:val="none"/>
        </w:rPr>
      </w:r>
      <w:r/>
    </w:p>
    <w:p>
      <w:pPr>
        <w:pStyle w:val="994"/>
        <w:ind w:firstLine="482"/>
        <w:rPr>
          <w:rFonts w:hint="eastAsia" w:ascii="宋体" w:hAnsi="宋体" w:eastAsia="宋体"/>
          <w:b/>
          <w:bCs/>
          <w:color w:val="auto"/>
          <w:highlight w:val="none"/>
        </w:rPr>
      </w:pPr>
      <w:r>
        <w:rPr>
          <w:rFonts w:hint="eastAsia" w:ascii="宋体" w:hAnsi="宋体" w:eastAsia="宋体"/>
          <w:b/>
          <w:bCs/>
          <w:color w:val="auto"/>
          <w:highlight w:val="none"/>
        </w:rPr>
        <w:t xml:space="preserve">2、</w:t>
      </w:r>
      <w:bookmarkStart w:id="260" w:name="OLE_LINK8"/>
      <w:r/>
      <w:bookmarkStart w:id="261" w:name="OLE_LINK14"/>
      <w:r>
        <w:rPr>
          <w:rFonts w:hint="eastAsia" w:ascii="宋体" w:hAnsi="宋体" w:eastAsia="宋体"/>
          <w:b/>
          <w:bCs/>
          <w:color w:val="auto"/>
          <w:highlight w:val="none"/>
        </w:rPr>
        <w:t xml:space="preserve">技术要求的实质性格式</w:t>
      </w:r>
      <w:r/>
    </w:p>
    <w:tbl>
      <w:tblPr>
        <w:tblStyle w:val="749"/>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技术要求</w:t>
            </w:r>
            <w:r>
              <w:rPr>
                <w:rFonts w:ascii="宋体" w:hAnsi="宋体" w:eastAsia="宋体"/>
                <w:color w:val="auto"/>
                <w:highlight w:val="none"/>
              </w:rPr>
              <w:t xml:space="preserve">的实质性要求</w:t>
            </w:r>
            <w:r/>
          </w:p>
          <w:p>
            <w:pPr>
              <w:pStyle w:val="994"/>
              <w:jc w:val="center"/>
              <w:rPr>
                <w:rFonts w:hint="eastAsia" w:ascii="宋体" w:hAnsi="宋体"/>
                <w:i/>
                <w:color w:val="auto"/>
                <w:highlight w:val="none"/>
                <w:u w:val="single"/>
              </w:rPr>
            </w:pPr>
            <w:r>
              <w:rPr>
                <w:rFonts w:hint="eastAsia" w:ascii="宋体" w:hAnsi="宋体"/>
                <w:i/>
                <w:color w:val="auto"/>
                <w:highlight w:val="none"/>
                <w:u w:val="single"/>
              </w:rPr>
              <w:t xml:space="preserve">（加</w:t>
            </w:r>
            <w:r>
              <w:rPr>
                <w:rFonts w:ascii="宋体" w:hAnsi="宋体"/>
                <w:i/>
                <w:color w:val="auto"/>
                <w:highlight w:val="none"/>
                <w:u w:val="single"/>
              </w:rPr>
              <w:t xml:space="preserve">斜体下划线内容</w:t>
            </w:r>
            <w:r>
              <w:rPr>
                <w:rFonts w:hint="eastAsia" w:ascii="宋体" w:hAnsi="宋体"/>
                <w:i/>
                <w:color w:val="auto"/>
                <w:highlight w:val="none"/>
                <w:u w:val="singl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投标响应情况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正偏离、符合或负偏离</w:t>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94"/>
              <w:rPr>
                <w:rFonts w:ascii="宋体" w:hAnsi="宋体" w:eastAsia="宋体"/>
                <w:i/>
                <w:color w:val="auto"/>
                <w:highlight w:val="none"/>
                <w:u w:val="single"/>
              </w:rPr>
            </w:pPr>
            <w:r>
              <w:rPr>
                <w:rFonts w:ascii="宋体" w:hAnsi="宋体" w:eastAsia="宋体"/>
                <w:i/>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94"/>
              <w:rPr>
                <w:rFonts w:ascii="宋体" w:hAnsi="宋体"/>
                <w:b/>
                <w:i/>
                <w:iCs/>
                <w:color w:val="auto"/>
                <w:highlight w:val="none"/>
                <w:u w:val="single"/>
              </w:rPr>
            </w:pPr>
            <w:r>
              <w:rPr>
                <w:rFonts w:ascii="宋体" w:hAnsi="宋体"/>
                <w:b/>
                <w:i/>
                <w:iCs/>
                <w:color w:val="auto"/>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94"/>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7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510" w:type="dxa"/>
            <w:vAlign w:val="center"/>
            <w:textDirection w:val="lrTb"/>
            <w:noWrap w:val="false"/>
          </w:tcPr>
          <w:p>
            <w:pPr>
              <w:pStyle w:val="994"/>
              <w:rPr>
                <w:rFonts w:hint="eastAsia" w:ascii="宋体" w:hAnsi="宋体" w:eastAsia="宋体"/>
                <w:color w:val="auto"/>
                <w:highlight w:val="none"/>
              </w:rPr>
            </w:pPr>
            <w:r>
              <w:rPr>
                <w:rFonts w:hint="eastAsia" w:ascii="宋体" w:hAnsi="宋体" w:eastAsia="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否则该采购包作无效投标处理</w:t>
      </w:r>
      <w:r>
        <w:rPr>
          <w:rFonts w:ascii="宋体" w:hAnsi="宋体"/>
          <w:color w:val="auto"/>
          <w:sz w:val="24"/>
          <w:highlight w:val="none"/>
        </w:rPr>
        <w:t xml:space="preserve">。</w:t>
      </w:r>
      <w:bookmarkEnd w:id="260"/>
      <w:r/>
      <w:r/>
    </w:p>
    <w:p>
      <w:pPr>
        <w:spacing w:line="400" w:lineRule="exact"/>
        <w:rPr>
          <w:rStyle w:val="936"/>
          <w:rFonts w:ascii="Times New Roman" w:hAnsi="Times New Roman" w:eastAsia="Times New Roman"/>
          <w:color w:val="auto"/>
          <w:highlight w:val="none"/>
        </w:rPr>
      </w:pPr>
      <w:r>
        <w:rPr>
          <w:rFonts w:ascii="Times New Roman" w:hAnsi="Times New Roman" w:eastAsia="Times New Roman"/>
          <w:color w:val="auto"/>
          <w:highlight w:val="none"/>
        </w:rPr>
      </w:r>
      <w:bookmarkEnd w:id="261"/>
      <w:r/>
      <w:r/>
    </w:p>
    <w:p>
      <w:pPr>
        <w:pStyle w:val="995"/>
        <w:rPr>
          <w:rStyle w:val="936"/>
          <w:color w:val="auto"/>
          <w:highlight w:val="none"/>
        </w:rPr>
      </w:pPr>
      <w:r>
        <w:rPr>
          <w:rStyle w:val="936"/>
          <w:color w:val="auto"/>
          <w:highlight w:val="none"/>
        </w:rPr>
        <w:br w:type="page" w:clear="all"/>
      </w:r>
      <w:bookmarkStart w:id="262" w:name="_Toc256000018"/>
      <w:r/>
      <w:bookmarkEnd w:id="262"/>
      <w:r/>
      <w:r/>
    </w:p>
    <w:p>
      <w:pPr>
        <w:pStyle w:val="986"/>
        <w:rPr>
          <w:rStyle w:val="936"/>
          <w:rFonts w:hint="eastAsia" w:ascii="宋体" w:hAnsi="宋体"/>
          <w:b/>
          <w:color w:val="auto"/>
          <w:sz w:val="32"/>
          <w:highlight w:val="none"/>
        </w:rPr>
        <w:outlineLvl w:val="1"/>
      </w:pPr>
      <w:r/>
      <w:bookmarkStart w:id="263" w:name="_Toc23281"/>
      <w:r/>
      <w:bookmarkStart w:id="264" w:name="_Toc31328"/>
      <w:r>
        <w:rPr>
          <w:rStyle w:val="936"/>
          <w:rFonts w:hint="eastAsia" w:ascii="宋体" w:hAnsi="宋体"/>
          <w:b/>
          <w:color w:val="auto"/>
          <w:sz w:val="32"/>
          <w:highlight w:val="none"/>
        </w:rPr>
        <w:t xml:space="preserve">六、</w:t>
      </w:r>
      <w:bookmarkEnd w:id="263"/>
      <w:r/>
      <w:bookmarkEnd w:id="264"/>
      <w:r>
        <w:rPr>
          <w:rFonts w:ascii="宋体" w:hAnsi="宋体" w:eastAsia="宋体"/>
          <w:b/>
          <w:color w:val="auto"/>
          <w:sz w:val="32"/>
          <w:highlight w:val="none"/>
        </w:rPr>
        <w:t xml:space="preserve">投标配置及分项报价表</w:t>
      </w:r>
      <w:r/>
    </w:p>
    <w:p>
      <w:pPr>
        <w:pStyle w:val="994"/>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994"/>
        <w:ind w:firstLine="420"/>
        <w:jc w:val="center"/>
        <w:spacing w:before="400" w:after="400" w:line="300" w:lineRule="auto"/>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r/>
    </w:p>
    <w:p>
      <w:pPr>
        <w:pStyle w:val="994"/>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49"/>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7"/>
        <w:gridCol w:w="1401"/>
        <w:gridCol w:w="923"/>
        <w:gridCol w:w="764"/>
        <w:gridCol w:w="923"/>
        <w:gridCol w:w="923"/>
        <w:gridCol w:w="923"/>
        <w:gridCol w:w="446"/>
        <w:gridCol w:w="1149"/>
        <w:gridCol w:w="945"/>
      </w:tblGrid>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rHeight w:val="28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4"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23"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46"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149"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945" w:type="dxa"/>
            <w:vAlign w:val="center"/>
            <w:textDirection w:val="lrTb"/>
            <w:noWrap w:val="false"/>
          </w:tcPr>
          <w:p>
            <w:pPr>
              <w:pStyle w:val="994"/>
              <w:jc w:val="center"/>
              <w:rPr>
                <w:rFonts w:ascii="宋体" w:hAnsi="宋体" w:eastAsia="宋体"/>
                <w:color w:val="auto"/>
                <w:highlight w:val="none"/>
              </w:rPr>
            </w:pPr>
            <w:r>
              <w:rPr>
                <w:rFonts w:ascii="宋体" w:hAnsi="宋体" w:eastAsia="宋体"/>
                <w:color w:val="auto"/>
                <w:highlight w:val="none"/>
              </w:rPr>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367" w:type="dxa"/>
            <w:vAlign w:val="center"/>
            <w:textDirection w:val="lrTb"/>
            <w:noWrap w:val="false"/>
          </w:tcPr>
          <w:p>
            <w:pPr>
              <w:pStyle w:val="994"/>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01" w:type="dxa"/>
            <w:vAlign w:val="center"/>
            <w:textDirection w:val="lrTb"/>
            <w:noWrap w:val="false"/>
          </w:tcPr>
          <w:p>
            <w:pPr>
              <w:pStyle w:val="994"/>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996" w:type="dxa"/>
            <w:vAlign w:val="center"/>
            <w:textDirection w:val="lrTb"/>
            <w:noWrap w:val="false"/>
          </w:tcPr>
          <w:p>
            <w:pPr>
              <w:pStyle w:val="994"/>
              <w:rPr>
                <w:rFonts w:ascii="宋体" w:hAnsi="宋体" w:eastAsia="宋体"/>
                <w:color w:val="auto"/>
                <w:highlight w:val="none"/>
              </w:rPr>
            </w:pPr>
            <w:r>
              <w:rPr>
                <w:rFonts w:ascii="宋体" w:hAnsi="宋体" w:eastAsia="宋体"/>
                <w:color w:val="auto"/>
                <w:highlight w:val="none"/>
              </w:rPr>
              <w:t xml:space="preserve">   元(大写：   ) </w:t>
            </w:r>
            <w:r/>
          </w:p>
        </w:tc>
      </w:tr>
      <w:tr>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64" w:type="dxa"/>
            <w:vAlign w:val="center"/>
            <w:textDirection w:val="lrTb"/>
            <w:noWrap w:val="false"/>
          </w:tcPr>
          <w:p>
            <w:pPr>
              <w:pStyle w:val="994"/>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pStyle w:val="994"/>
        <w:spacing w:before="240" w:after="240"/>
        <w:rPr>
          <w:rFonts w:ascii="宋体" w:hAnsi="宋体" w:eastAsia="宋体"/>
          <w:color w:val="auto"/>
          <w:highlight w:val="none"/>
        </w:rPr>
      </w:pPr>
      <w:r>
        <w:rPr>
          <w:rFonts w:ascii="宋体" w:hAnsi="宋体" w:eastAsia="宋体"/>
          <w:color w:val="auto"/>
          <w:highlight w:val="none"/>
        </w:rPr>
        <w:t xml:space="preserve">  </w:t>
      </w:r>
      <w:r/>
    </w:p>
    <w:p>
      <w:pPr>
        <w:pStyle w:val="994"/>
        <w:spacing w:before="240" w:after="240"/>
        <w:rPr>
          <w:rFonts w:ascii="宋体" w:hAnsi="宋体" w:eastAsia="宋体"/>
          <w:color w:val="auto"/>
          <w:highlight w:val="none"/>
        </w:rPr>
      </w:pPr>
      <w:r>
        <w:rPr>
          <w:rFonts w:ascii="宋体" w:hAnsi="宋体" w:eastAsia="宋体"/>
          <w:color w:val="auto"/>
          <w:highlight w:val="none"/>
        </w:rPr>
        <w:t xml:space="preserve">注： </w:t>
      </w:r>
      <w:r/>
    </w:p>
    <w:p>
      <w:pPr>
        <w:pStyle w:val="994"/>
        <w:spacing w:before="240" w:after="240"/>
        <w:rPr>
          <w:rFonts w:ascii="宋体" w:hAnsi="宋体" w:eastAsia="宋体"/>
          <w:color w:val="auto"/>
          <w:highlight w:val="none"/>
        </w:rPr>
      </w:pP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技术要求详见招标文件第四章项目需求；此表的总计金额应与开标一览表相符。 </w:t>
      </w:r>
      <w:r/>
    </w:p>
    <w:p>
      <w:pPr>
        <w:pStyle w:val="994"/>
        <w:spacing w:before="240" w:after="240"/>
        <w:rPr>
          <w:rFonts w:ascii="宋体" w:hAnsi="宋体" w:eastAsia="宋体"/>
          <w:color w:val="auto"/>
          <w:highlight w:val="none"/>
        </w:rPr>
      </w:pPr>
      <w:r>
        <w:rPr>
          <w:rFonts w:ascii="宋体" w:hAnsi="宋体" w:eastAsia="宋体"/>
          <w:color w:val="auto"/>
          <w:highlight w:val="none"/>
        </w:rPr>
        <w:t xml:space="preserve">2</w:t>
      </w:r>
      <w:r>
        <w:rPr>
          <w:rFonts w:hint="eastAsia" w:ascii="宋体" w:hAnsi="宋体" w:eastAsia="宋体"/>
          <w:color w:val="auto"/>
          <w:highlight w:val="none"/>
        </w:rPr>
        <w:t xml:space="preserve">.</w:t>
      </w:r>
      <w:r>
        <w:rPr>
          <w:rFonts w:ascii="宋体" w:hAnsi="宋体" w:eastAsia="宋体"/>
          <w:color w:val="auto"/>
          <w:highlight w:val="none"/>
        </w:rPr>
        <w:t xml:space="preserve">请提供本</w:t>
      </w:r>
      <w:r>
        <w:rPr>
          <w:rFonts w:hint="eastAsia" w:ascii="宋体" w:hAnsi="宋体" w:eastAsia="宋体"/>
          <w:color w:val="auto"/>
          <w:highlight w:val="none"/>
        </w:rPr>
        <w:t xml:space="preserve">标书</w:t>
      </w:r>
      <w:r>
        <w:rPr>
          <w:rFonts w:ascii="宋体" w:hAnsi="宋体" w:eastAsia="宋体"/>
          <w:color w:val="auto"/>
          <w:highlight w:val="none"/>
        </w:rPr>
        <w:t xml:space="preserve">要求设备详细的配置清单及分项报价，包括标准件及选购件。 </w:t>
      </w:r>
      <w:r/>
    </w:p>
    <w:p>
      <w:pPr>
        <w:pStyle w:val="994"/>
        <w:spacing w:before="240" w:after="240"/>
        <w:rPr>
          <w:rFonts w:ascii="宋体" w:hAnsi="宋体" w:eastAsia="宋体"/>
          <w:color w:val="auto"/>
          <w:highlight w:val="none"/>
        </w:rPr>
      </w:pPr>
      <w:r>
        <w:rPr>
          <w:rFonts w:ascii="宋体" w:hAnsi="宋体" w:eastAsia="宋体"/>
          <w:color w:val="auto"/>
          <w:highlight w:val="none"/>
        </w:rPr>
        <w:t xml:space="preserve">3</w:t>
      </w:r>
      <w:r>
        <w:rPr>
          <w:rFonts w:hint="eastAsia" w:ascii="宋体" w:hAnsi="宋体" w:eastAsia="宋体"/>
          <w:color w:val="auto"/>
          <w:highlight w:val="none"/>
        </w:rPr>
        <w:t xml:space="preserve">.</w:t>
      </w:r>
      <w:r>
        <w:rPr>
          <w:rFonts w:ascii="宋体" w:hAnsi="宋体" w:eastAsia="宋体"/>
          <w:color w:val="auto"/>
          <w:highlight w:val="none"/>
        </w:rPr>
        <w:t xml:space="preserve">若无</w:t>
      </w:r>
      <w:r>
        <w:rPr>
          <w:rFonts w:hint="eastAsia" w:ascii="宋体" w:hAnsi="宋体" w:eastAsia="宋体"/>
          <w:color w:val="auto"/>
          <w:highlight w:val="none"/>
        </w:rPr>
        <w:t xml:space="preserve">品牌</w:t>
      </w:r>
      <w:r>
        <w:rPr>
          <w:rFonts w:ascii="宋体" w:hAnsi="宋体" w:eastAsia="宋体"/>
          <w:color w:val="auto"/>
          <w:highlight w:val="none"/>
        </w:rPr>
        <w:t xml:space="preserve">，可填“自制”。 </w:t>
      </w:r>
      <w:r/>
    </w:p>
    <w:p>
      <w:pPr>
        <w:pStyle w:val="994"/>
        <w:spacing w:before="240" w:after="240"/>
        <w:rPr>
          <w:rFonts w:ascii="宋体" w:hAnsi="宋体" w:eastAsia="宋体"/>
          <w:b/>
          <w:color w:val="auto"/>
          <w:sz w:val="32"/>
          <w:highlight w:val="none"/>
        </w:rPr>
      </w:pPr>
      <w:r>
        <w:rPr>
          <w:rFonts w:hint="eastAsia" w:ascii="宋体" w:hAnsi="宋体" w:eastAsia="宋体" w:cs="Times New Roman"/>
          <w:lang w:val="en-US" w:eastAsia="zh-CN"/>
        </w:rPr>
        <w:t xml:space="preserve">4</w:t>
      </w:r>
      <w:r>
        <w:rPr>
          <w:rFonts w:hint="eastAsia" w:ascii="宋体" w:hAnsi="宋体" w:eastAsia="宋体" w:cs="Times New Roma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95"/>
        <w:rPr>
          <w:rFonts w:ascii="宋体" w:hAnsi="宋体" w:eastAsia="宋体"/>
          <w:b/>
          <w:color w:val="auto"/>
          <w:sz w:val="32"/>
          <w:highlight w:val="none"/>
        </w:rPr>
      </w:pPr>
      <w:r>
        <w:rPr>
          <w:rFonts w:ascii="宋体" w:hAnsi="宋体" w:eastAsia="宋体"/>
          <w:b/>
          <w:color w:val="auto"/>
          <w:sz w:val="32"/>
          <w:highlight w:val="none"/>
        </w:rPr>
      </w:r>
      <w:r/>
    </w:p>
    <w:p>
      <w:pPr>
        <w:pStyle w:val="995"/>
        <w:rPr>
          <w:rFonts w:hint="eastAsia" w:ascii="宋体" w:hAnsi="宋体" w:eastAsia="宋体"/>
          <w:b/>
          <w:color w:val="auto"/>
          <w:sz w:val="32"/>
          <w:highlight w:val="none"/>
        </w:rPr>
      </w:pPr>
      <w:r>
        <w:rPr>
          <w:rFonts w:hint="eastAsia" w:ascii="宋体" w:hAnsi="宋体" w:eastAsia="宋体"/>
          <w:b/>
          <w:color w:val="auto"/>
          <w:sz w:val="32"/>
          <w:highlight w:val="none"/>
        </w:rPr>
        <w:t xml:space="preserve">七</w:t>
      </w:r>
      <w:r>
        <w:rPr>
          <w:rFonts w:ascii="宋体" w:hAnsi="宋体" w:eastAsia="宋体"/>
          <w:b/>
          <w:color w:val="auto"/>
          <w:sz w:val="32"/>
          <w:highlight w:val="none"/>
        </w:rPr>
        <w:t xml:space="preserve">、常用零件及耗材报价表</w:t>
      </w:r>
      <w:r/>
    </w:p>
    <w:p>
      <w:pPr>
        <w:pStyle w:val="996"/>
        <w:spacing w:line="440" w:lineRule="exact"/>
        <w:rPr>
          <w:rFonts w:ascii="宋体" w:hAnsi="宋体" w:eastAsia="宋体"/>
        </w:rPr>
      </w:pPr>
      <w:r>
        <w:rPr>
          <w:rFonts w:ascii="宋体" w:hAnsi="宋体" w:eastAsia="宋体"/>
        </w:rPr>
        <w:t xml:space="preserve">﻿ </w:t>
      </w:r>
      <w:r/>
    </w:p>
    <w:p>
      <w:pPr>
        <w:pStyle w:val="994"/>
        <w:ind w:firstLine="420"/>
        <w:jc w:val="center"/>
        <w:spacing w:before="400" w:after="400" w:line="300" w:lineRule="auto"/>
        <w:rPr>
          <w:rFonts w:hint="eastAsia" w:ascii="黑体" w:hAnsi="黑体" w:eastAsia="黑体"/>
          <w:b/>
          <w:bCs/>
          <w:sz w:val="40"/>
          <w:szCs w:val="40"/>
        </w:rPr>
      </w:pPr>
      <w:r/>
      <w:bookmarkStart w:id="265" w:name="OLE_LINK23"/>
      <w:r>
        <w:rPr>
          <w:rFonts w:hint="eastAsia" w:ascii="黑体" w:hAnsi="黑体" w:eastAsia="黑体"/>
          <w:b/>
          <w:bCs/>
          <w:sz w:val="40"/>
          <w:szCs w:val="40"/>
        </w:rPr>
        <w:t xml:space="preserve">常用零配件及耗材报价表</w:t>
      </w:r>
      <w:r/>
    </w:p>
    <w:p>
      <w:pPr>
        <w:pStyle w:val="996"/>
        <w:spacing w:before="240" w:after="240"/>
        <w:rPr>
          <w:rFonts w:ascii="宋体" w:hAnsi="宋体" w:eastAsia="宋体"/>
        </w:rPr>
      </w:pPr>
      <w:r>
        <w:rPr>
          <w:rFonts w:ascii="宋体" w:hAnsi="宋体" w:eastAsia="宋体"/>
        </w:rPr>
        <w:t xml:space="preserve"> </w:t>
      </w:r>
      <w:r/>
    </w:p>
    <w:tbl>
      <w:tblPr>
        <w:tblStyle w:val="749"/>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996"/>
              <w:jc w:val="center"/>
              <w:rPr>
                <w:rFonts w:ascii="宋体" w:hAnsi="宋体" w:eastAsia="宋体"/>
              </w:rPr>
            </w:pPr>
            <w:r>
              <w:rPr>
                <w:rFonts w:ascii="宋体" w:hAnsi="宋体" w:eastAsia="宋体"/>
              </w:rPr>
              <w:t xml:space="preserve">序号</w:t>
            </w:r>
            <w:r/>
          </w:p>
        </w:tc>
        <w:tc>
          <w:tcPr>
            <w:tcMar>
              <w:left w:w="0" w:type="dxa"/>
              <w:top w:w="0" w:type="dxa"/>
              <w:right w:w="0" w:type="dxa"/>
              <w:bottom w:w="0" w:type="dxa"/>
            </w:tcMar>
            <w:tcW w:w="2183" w:type="dxa"/>
            <w:vAlign w:val="center"/>
            <w:textDirection w:val="lrTb"/>
            <w:noWrap w:val="false"/>
          </w:tcPr>
          <w:p>
            <w:pPr>
              <w:pStyle w:val="996"/>
              <w:jc w:val="center"/>
              <w:rPr>
                <w:rFonts w:ascii="宋体" w:hAnsi="宋体" w:eastAsia="宋体"/>
              </w:rPr>
            </w:pPr>
            <w:r>
              <w:rPr>
                <w:rFonts w:ascii="宋体" w:hAnsi="宋体" w:eastAsia="宋体"/>
              </w:rPr>
              <w:t xml:space="preserve">产品名称</w:t>
            </w:r>
            <w:r/>
          </w:p>
        </w:tc>
        <w:tc>
          <w:tcPr>
            <w:tcMar>
              <w:left w:w="0" w:type="dxa"/>
              <w:top w:w="0" w:type="dxa"/>
              <w:right w:w="0" w:type="dxa"/>
              <w:bottom w:w="0" w:type="dxa"/>
            </w:tcMar>
            <w:tcW w:w="2817" w:type="dxa"/>
            <w:vAlign w:val="center"/>
            <w:textDirection w:val="lrTb"/>
            <w:noWrap w:val="false"/>
          </w:tcPr>
          <w:p>
            <w:pPr>
              <w:pStyle w:val="996"/>
              <w:jc w:val="center"/>
              <w:rPr>
                <w:rFonts w:ascii="宋体" w:hAnsi="宋体" w:eastAsia="宋体"/>
              </w:rPr>
            </w:pPr>
            <w:r>
              <w:rPr>
                <w:rFonts w:ascii="宋体" w:hAnsi="宋体" w:eastAsia="宋体"/>
              </w:rPr>
              <w:t xml:space="preserve">规格型号</w:t>
            </w:r>
            <w:r/>
          </w:p>
        </w:tc>
        <w:tc>
          <w:tcPr>
            <w:tcMar>
              <w:left w:w="0" w:type="dxa"/>
              <w:top w:w="0" w:type="dxa"/>
              <w:right w:w="0" w:type="dxa"/>
              <w:bottom w:w="0" w:type="dxa"/>
            </w:tcMar>
            <w:tcW w:w="1040" w:type="dxa"/>
            <w:vAlign w:val="center"/>
            <w:textDirection w:val="lrTb"/>
            <w:noWrap w:val="false"/>
          </w:tcPr>
          <w:p>
            <w:pPr>
              <w:pStyle w:val="996"/>
              <w:jc w:val="center"/>
              <w:rPr>
                <w:rFonts w:ascii="宋体" w:hAnsi="宋体" w:eastAsia="宋体"/>
              </w:rPr>
            </w:pPr>
            <w:r>
              <w:rPr>
                <w:rFonts w:ascii="宋体" w:hAnsi="宋体" w:eastAsia="宋体"/>
              </w:rPr>
              <w:t xml:space="preserve">计量单位</w:t>
            </w:r>
            <w:r/>
          </w:p>
        </w:tc>
        <w:tc>
          <w:tcPr>
            <w:tcMar>
              <w:left w:w="0" w:type="dxa"/>
              <w:top w:w="0" w:type="dxa"/>
              <w:right w:w="0" w:type="dxa"/>
              <w:bottom w:w="0" w:type="dxa"/>
            </w:tcMar>
            <w:tcW w:w="1040" w:type="dxa"/>
            <w:vAlign w:val="center"/>
            <w:textDirection w:val="lrTb"/>
            <w:noWrap w:val="false"/>
          </w:tcPr>
          <w:p>
            <w:pPr>
              <w:pStyle w:val="996"/>
              <w:jc w:val="center"/>
              <w:rPr>
                <w:rFonts w:ascii="宋体" w:hAnsi="宋体" w:eastAsia="宋体"/>
              </w:rPr>
            </w:pPr>
            <w:r>
              <w:rPr>
                <w:rFonts w:ascii="宋体" w:hAnsi="宋体" w:eastAsia="宋体"/>
              </w:rPr>
              <w:t xml:space="preserve">数量</w:t>
            </w:r>
            <w:r/>
          </w:p>
        </w:tc>
        <w:tc>
          <w:tcPr>
            <w:tcMar>
              <w:left w:w="0" w:type="dxa"/>
              <w:top w:w="0" w:type="dxa"/>
              <w:right w:w="0" w:type="dxa"/>
              <w:bottom w:w="0" w:type="dxa"/>
            </w:tcMar>
            <w:tcW w:w="1421" w:type="dxa"/>
            <w:vAlign w:val="center"/>
            <w:textDirection w:val="lrTb"/>
            <w:noWrap w:val="false"/>
          </w:tcPr>
          <w:p>
            <w:pPr>
              <w:pStyle w:val="996"/>
              <w:jc w:val="center"/>
              <w:rPr>
                <w:rFonts w:ascii="宋体" w:hAnsi="宋体" w:eastAsia="宋体"/>
              </w:rPr>
            </w:pPr>
            <w:r>
              <w:rPr>
                <w:rFonts w:ascii="宋体" w:hAnsi="宋体" w:eastAsia="宋体"/>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996"/>
              <w:jc w:val="center"/>
              <w:rPr>
                <w:rFonts w:ascii="宋体" w:hAnsi="宋体" w:eastAsia="宋体"/>
              </w:rPr>
            </w:pPr>
            <w:r>
              <w:rPr>
                <w:rFonts w:ascii="宋体" w:hAnsi="宋体" w:eastAsia="宋体"/>
              </w:rPr>
              <w:t xml:space="preserve">1</w:t>
            </w:r>
            <w:r/>
          </w:p>
        </w:tc>
        <w:tc>
          <w:tcPr>
            <w:tcMar>
              <w:left w:w="0" w:type="dxa"/>
              <w:top w:w="0" w:type="dxa"/>
              <w:right w:w="0" w:type="dxa"/>
              <w:bottom w:w="0" w:type="dxa"/>
            </w:tcMar>
            <w:tcW w:w="2183" w:type="dxa"/>
            <w:vAlign w:val="center"/>
            <w:textDirection w:val="lrTb"/>
            <w:noWrap w:val="false"/>
          </w:tcPr>
          <w:p>
            <w:pPr>
              <w:pStyle w:val="99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2817" w:type="dxa"/>
            <w:vAlign w:val="center"/>
            <w:textDirection w:val="lrTb"/>
            <w:noWrap w:val="false"/>
          </w:tcPr>
          <w:p>
            <w:pPr>
              <w:pStyle w:val="99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040" w:type="dxa"/>
            <w:vAlign w:val="center"/>
            <w:textDirection w:val="lrTb"/>
            <w:noWrap w:val="false"/>
          </w:tcPr>
          <w:p>
            <w:pPr>
              <w:pStyle w:val="996"/>
              <w:jc w:val="center"/>
              <w:rPr>
                <w:rFonts w:ascii="宋体" w:hAnsi="宋体" w:eastAsia="宋体"/>
              </w:rPr>
            </w:pPr>
            <w:r>
              <w:rPr>
                <w:rFonts w:ascii="宋体" w:hAnsi="宋体" w:eastAsia="宋体"/>
              </w:rPr>
              <w:t xml:space="preserve">    </w:t>
            </w:r>
            <w:r/>
          </w:p>
        </w:tc>
        <w:tc>
          <w:tcPr>
            <w:tcMar>
              <w:left w:w="0" w:type="dxa"/>
              <w:top w:w="0" w:type="dxa"/>
              <w:right w:w="0" w:type="dxa"/>
              <w:bottom w:w="0" w:type="dxa"/>
            </w:tcMar>
            <w:tcW w:w="1421" w:type="dxa"/>
            <w:vAlign w:val="center"/>
            <w:textDirection w:val="lrTb"/>
            <w:noWrap w:val="false"/>
          </w:tcPr>
          <w:p>
            <w:pPr>
              <w:pStyle w:val="996"/>
              <w:jc w:val="center"/>
              <w:rPr>
                <w:rFonts w:ascii="宋体" w:hAnsi="宋体" w:eastAsia="宋体"/>
              </w:rPr>
            </w:pPr>
            <w:r>
              <w:rPr>
                <w:rFonts w:ascii="宋体" w:hAnsi="宋体" w:eastAsia="宋体"/>
              </w:rPr>
              <w:t xml:space="preserve">    </w:t>
            </w:r>
            <w:r/>
          </w:p>
        </w:tc>
      </w:tr>
    </w:tbl>
    <w:p>
      <w:pPr>
        <w:pStyle w:val="996"/>
        <w:spacing w:before="240" w:after="240"/>
        <w:rPr>
          <w:rFonts w:ascii="宋体" w:hAnsi="宋体" w:eastAsia="宋体"/>
        </w:rPr>
      </w:pPr>
      <w:r>
        <w:rPr>
          <w:rFonts w:ascii="宋体" w:hAnsi="宋体" w:eastAsia="宋体"/>
        </w:rPr>
        <w:t xml:space="preserve">注：以上常用零配件及耗材必须保证与所投报设备兼容配套使用。</w:t>
      </w:r>
      <w:bookmarkEnd w:id="265"/>
      <w:r/>
      <w:r/>
    </w:p>
    <w:p>
      <w:pPr>
        <w:rPr>
          <w:rStyle w:val="936"/>
          <w:rFonts w:ascii="宋体" w:hAnsi="宋体"/>
          <w:b/>
          <w:sz w:val="32"/>
        </w:rPr>
      </w:pPr>
      <w:r>
        <w:rPr>
          <w:rStyle w:val="936"/>
          <w:rFonts w:hint="eastAsia" w:ascii="宋体" w:hAnsi="宋体"/>
          <w:b/>
          <w:sz w:val="32"/>
        </w:rPr>
        <w:br w:type="page" w:clear="all"/>
      </w:r>
      <w:r/>
    </w:p>
    <w:p>
      <w:pPr>
        <w:pStyle w:val="774"/>
      </w:pPr>
      <w:r/>
      <w:r/>
    </w:p>
    <w:p>
      <w:pPr>
        <w:pStyle w:val="997"/>
        <w:rPr>
          <w:rFonts w:ascii="宋体" w:hAnsi="宋体"/>
          <w:b/>
          <w:bCs/>
          <w:sz w:val="20"/>
          <w:szCs w:val="32"/>
          <w:highlight w:val="white"/>
        </w:rPr>
      </w:pPr>
      <w:r>
        <w:rPr>
          <w:rFonts w:ascii="宋体" w:hAnsi="宋体"/>
          <w:b/>
          <w:bCs/>
          <w:sz w:val="20"/>
          <w:szCs w:val="32"/>
          <w:highlight w:val="white"/>
        </w:rPr>
      </w:r>
      <w:r/>
    </w:p>
    <w:p>
      <w:pPr>
        <w:spacing w:line="400" w:lineRule="exact"/>
        <w:rPr>
          <w:rFonts w:hint="eastAsia" w:ascii="宋体" w:hAnsi="宋体" w:cs="宋体"/>
          <w:b/>
          <w:sz w:val="32"/>
          <w:szCs w:val="24"/>
        </w:rPr>
      </w:pPr>
      <w:r>
        <w:rPr>
          <w:rStyle w:val="936"/>
          <w:rFonts w:hint="eastAsia" w:ascii="宋体" w:hAnsi="宋体" w:cs="宋体"/>
          <w:b/>
          <w:sz w:val="32"/>
        </w:rPr>
        <w:t xml:space="preserve">八、</w:t>
      </w:r>
      <w:r>
        <w:rPr>
          <w:rFonts w:hint="eastAsia" w:ascii="宋体" w:hAnsi="宋体" w:cs="宋体"/>
          <w:b/>
          <w:sz w:val="32"/>
          <w:szCs w:val="24"/>
        </w:rPr>
        <w:t xml:space="preserve">技术参数响应及偏离表</w:t>
      </w:r>
      <w:r/>
    </w:p>
    <w:p>
      <w:pPr>
        <w:ind w:firstLine="480"/>
        <w:jc w:val="left"/>
        <w:spacing w:line="360" w:lineRule="auto"/>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025"/>
        <w:jc w:val="center"/>
        <w:spacing w:before="320" w:after="320" w:line="300" w:lineRule="auto"/>
        <w:rPr>
          <w:rFonts w:hint="eastAsia" w:ascii="黑体" w:hAnsi="黑体" w:eastAsia="黑体" w:cs="黑体"/>
          <w:b/>
          <w:bCs/>
          <w:sz w:val="32"/>
          <w:szCs w:val="32"/>
        </w:rPr>
      </w:pPr>
      <w:r/>
      <w:bookmarkStart w:id="266" w:name="OLE_LINK21"/>
      <w:r/>
      <w:bookmarkStart w:id="267" w:name="OLE_LINK15"/>
      <w:r>
        <w:rPr>
          <w:rFonts w:hint="eastAsia" w:ascii="黑体" w:hAnsi="黑体" w:eastAsia="黑体" w:cs="黑体"/>
          <w:b/>
          <w:bCs/>
          <w:sz w:val="32"/>
          <w:szCs w:val="32"/>
        </w:rPr>
        <w:t xml:space="preserve">技术参数</w:t>
      </w:r>
      <w:r>
        <w:rPr>
          <w:rFonts w:hint="default" w:ascii="黑体" w:hAnsi="黑体" w:eastAsia="黑体" w:cs="黑体"/>
          <w:b/>
          <w:bCs/>
          <w:sz w:val="32"/>
          <w:szCs w:val="32"/>
        </w:rPr>
        <w:t xml:space="preserve">响应及偏离表 </w:t>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r>
      <w:r/>
    </w:p>
    <w:tbl>
      <w:tblPr>
        <w:tblStyle w:val="7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cs="宋体"/>
                <w:sz w:val="24"/>
                <w:szCs w:val="24"/>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textDirection w:val="lrTb"/>
            <w:noWrap w:val="false"/>
          </w:tcPr>
          <w:p>
            <w:pPr>
              <w:jc w:val="center"/>
              <w:spacing w:line="400" w:lineRule="exact"/>
              <w:rPr>
                <w:rFonts w:hint="eastAsia" w:ascii="宋体" w:hAnsi="宋体"/>
                <w:sz w:val="24"/>
                <w:szCs w:val="24"/>
              </w:rPr>
            </w:pPr>
            <w:r>
              <w:rPr>
                <w:rFonts w:hint="default" w:ascii="宋体" w:hAnsi="宋体"/>
                <w:sz w:val="24"/>
                <w:szCs w:val="24"/>
              </w:rPr>
              <w:t xml:space="preserve">……</w:t>
            </w:r>
            <w:r/>
          </w:p>
        </w:tc>
        <w:tc>
          <w:tcPr>
            <w:tcW w:w="3191"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hint="default"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1.投标人需</w:t>
      </w:r>
      <w:r>
        <w:rPr>
          <w:rFonts w:hint="default" w:ascii="宋体" w:hAnsi="宋体"/>
          <w:sz w:val="24"/>
          <w:szCs w:val="24"/>
        </w:rPr>
        <w:t xml:space="preserve">对技术</w:t>
      </w:r>
      <w:r>
        <w:rPr>
          <w:rFonts w:hint="eastAsia" w:ascii="宋体" w:hAnsi="宋体"/>
          <w:sz w:val="24"/>
          <w:szCs w:val="24"/>
        </w:rPr>
        <w:t xml:space="preserve">要求（未加斜体</w:t>
      </w:r>
      <w:r>
        <w:rPr>
          <w:rFonts w:hint="default" w:ascii="宋体" w:hAnsi="宋体"/>
          <w:sz w:val="24"/>
          <w:szCs w:val="24"/>
        </w:rPr>
        <w:t xml:space="preserve">下划线的</w:t>
      </w:r>
      <w:r>
        <w:rPr>
          <w:rFonts w:hint="eastAsia" w:ascii="宋体" w:hAnsi="宋体"/>
          <w:sz w:val="24"/>
          <w:szCs w:val="24"/>
        </w:rPr>
        <w:t xml:space="preserve">非</w:t>
      </w:r>
      <w:r>
        <w:rPr>
          <w:rFonts w:hint="default" w:ascii="宋体" w:hAnsi="宋体"/>
          <w:sz w:val="24"/>
          <w:szCs w:val="24"/>
        </w:rPr>
        <w:t xml:space="preserve">实质性</w:t>
      </w:r>
      <w:r>
        <w:rPr>
          <w:rFonts w:hint="eastAsia" w:ascii="宋体" w:hAnsi="宋体"/>
          <w:sz w:val="24"/>
          <w:szCs w:val="24"/>
        </w:rPr>
        <w:t xml:space="preserve">要求）</w:t>
      </w:r>
      <w:r>
        <w:rPr>
          <w:rFonts w:hint="default" w:ascii="宋体" w:hAnsi="宋体"/>
          <w:sz w:val="24"/>
          <w:szCs w:val="24"/>
        </w:rPr>
        <w:t xml:space="preserve">逐条做出明确响应</w:t>
      </w:r>
      <w:r>
        <w:rPr>
          <w:rFonts w:hint="eastAsia" w:ascii="宋体" w:hAnsi="宋体"/>
          <w:sz w:val="24"/>
          <w:szCs w:val="24"/>
        </w:rPr>
        <w:t xml:space="preserve">。因未标明或表述含糊导致的评标风险将由投标人承担。</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hint="default" w:ascii="宋体" w:hAnsi="宋体"/>
          <w:sz w:val="24"/>
          <w:szCs w:val="24"/>
        </w:rPr>
        <w:t xml:space="preserve">文件要求提供</w:t>
      </w:r>
      <w:r>
        <w:rPr>
          <w:rFonts w:hint="eastAsia" w:ascii="宋体" w:hAnsi="宋体"/>
          <w:sz w:val="24"/>
          <w:szCs w:val="24"/>
        </w:rPr>
        <w:t xml:space="preserve">证明</w:t>
      </w:r>
      <w:r>
        <w:rPr>
          <w:rFonts w:hint="default" w:ascii="宋体" w:hAnsi="宋体"/>
          <w:sz w:val="24"/>
          <w:szCs w:val="24"/>
        </w:rPr>
        <w:t xml:space="preserve">材料，投标人</w:t>
      </w:r>
      <w:r>
        <w:rPr>
          <w:rFonts w:hint="eastAsia" w:ascii="宋体" w:hAnsi="宋体"/>
          <w:sz w:val="24"/>
          <w:szCs w:val="24"/>
        </w:rPr>
        <w:t xml:space="preserve">需</w:t>
      </w:r>
      <w:r>
        <w:rPr>
          <w:rFonts w:hint="default" w:ascii="宋体" w:hAnsi="宋体"/>
          <w:sz w:val="24"/>
          <w:szCs w:val="24"/>
        </w:rPr>
        <w:t xml:space="preserve">将证明材料</w:t>
      </w:r>
      <w:r>
        <w:rPr>
          <w:rFonts w:hint="eastAsia" w:ascii="宋体" w:hAnsi="宋体"/>
          <w:sz w:val="24"/>
          <w:szCs w:val="24"/>
        </w:rPr>
        <w:t xml:space="preserve">列于</w:t>
      </w:r>
      <w:r>
        <w:rPr>
          <w:rFonts w:hint="default" w:ascii="宋体" w:hAnsi="宋体"/>
          <w:sz w:val="24"/>
          <w:szCs w:val="24"/>
        </w:rPr>
        <w:t xml:space="preserve">该表之下。</w:t>
      </w:r>
      <w:bookmarkEnd w:id="266"/>
      <w:r/>
      <w:r/>
    </w:p>
    <w:p>
      <w:pPr>
        <w:rPr>
          <w:rStyle w:val="936"/>
          <w:rFonts w:ascii="宋体" w:hAnsi="宋体"/>
          <w:b/>
          <w:sz w:val="32"/>
        </w:rPr>
      </w:pPr>
      <w:r>
        <w:rPr>
          <w:rFonts w:ascii="宋体" w:hAnsi="宋体"/>
          <w:b/>
          <w:sz w:val="32"/>
        </w:rPr>
      </w:r>
      <w:bookmarkEnd w:id="267"/>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rPr>
          <w:rStyle w:val="936"/>
          <w:rFonts w:ascii="宋体" w:hAnsi="宋体"/>
          <w:b/>
          <w:sz w:val="32"/>
        </w:rPr>
      </w:pPr>
      <w:r>
        <w:rPr>
          <w:rFonts w:ascii="宋体" w:hAnsi="宋体"/>
          <w:b/>
          <w:sz w:val="32"/>
        </w:rPr>
      </w:r>
      <w:r/>
    </w:p>
    <w:p>
      <w:pPr>
        <w:rPr>
          <w:rStyle w:val="936"/>
          <w:rFonts w:ascii="宋体" w:hAnsi="宋体"/>
          <w:b/>
          <w:sz w:val="32"/>
        </w:rPr>
      </w:pPr>
      <w:r>
        <w:rPr>
          <w:rFonts w:ascii="宋体" w:hAnsi="宋体"/>
          <w:b/>
          <w:sz w:val="32"/>
        </w:rPr>
      </w:r>
      <w:r/>
    </w:p>
    <w:p>
      <w:pPr>
        <w:pStyle w:val="774"/>
      </w:pPr>
      <w:r/>
      <w:r/>
    </w:p>
    <w:p>
      <w:pPr>
        <w:pStyle w:val="997"/>
        <w:rPr>
          <w:rStyle w:val="936"/>
          <w:rFonts w:hint="default"/>
        </w:rPr>
      </w:pPr>
      <w:r>
        <w:rPr>
          <w:rStyle w:val="936"/>
          <w:rFonts w:hint="eastAsia" w:ascii="宋体" w:hAnsi="宋体" w:cs="宋体"/>
          <w:b/>
          <w:sz w:val="32"/>
        </w:rPr>
        <w:t xml:space="preserve">九、</w:t>
      </w:r>
      <w:r>
        <w:rPr>
          <w:rStyle w:val="936"/>
          <w:rFonts w:hint="default" w:ascii="宋体" w:hAnsi="宋体" w:cs="宋体"/>
          <w:b/>
          <w:sz w:val="32"/>
        </w:rPr>
        <w:t xml:space="preserve">服务方案</w:t>
      </w:r>
      <w:r/>
    </w:p>
    <w:p>
      <w:pPr>
        <w:jc w:val="center"/>
        <w:keepLines/>
        <w:keepNext/>
        <w:spacing w:before="260" w:after="260" w:line="415" w:lineRule="auto"/>
        <w:widowControl w:val="off"/>
        <w:rPr>
          <w:rStyle w:val="936"/>
          <w:rFonts w:hint="eastAsia" w:ascii="宋体" w:hAnsi="宋体" w:eastAsia="宋体" w:cs="Times New Roman"/>
          <w:b/>
          <w:bCs/>
          <w:sz w:val="28"/>
          <w:szCs w:val="28"/>
          <w:lang w:val="en-US" w:eastAsia="zh-CN" w:bidi="ar-SA"/>
        </w:rPr>
        <w:outlineLvl w:val="1"/>
      </w:pPr>
      <w:r>
        <w:rPr>
          <w:rStyle w:val="936"/>
          <w:rFonts w:hint="eastAsia" w:ascii="宋体" w:hAnsi="宋体"/>
          <w:b/>
          <w:bCs/>
          <w:sz w:val="28"/>
          <w:szCs w:val="28"/>
        </w:rPr>
        <w:t xml:space="preserve">服务方案</w:t>
      </w:r>
      <w:r/>
    </w:p>
    <w:p>
      <w:pPr>
        <w:jc w:val="left"/>
        <w:spacing w:line="360" w:lineRule="auto"/>
        <w:widowControl w:val="off"/>
        <w:rPr>
          <w:rStyle w:val="936"/>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r>
      <w:r/>
    </w:p>
    <w:p>
      <w:pPr>
        <w:jc w:val="center"/>
        <w:spacing w:line="360" w:lineRule="auto"/>
        <w:widowControl w:val="off"/>
        <w:rPr>
          <w:rStyle w:val="936"/>
          <w:rFonts w:hint="eastAsia" w:ascii="宋体" w:hAnsi="宋体" w:eastAsia="宋体" w:cs="Arial"/>
          <w:sz w:val="24"/>
          <w:szCs w:val="21"/>
          <w:lang w:val="en-US" w:eastAsia="zh-CN" w:bidi="ar-SA"/>
        </w:rPr>
        <w:outlineLvl w:val="1"/>
      </w:pPr>
      <w:r>
        <w:rPr>
          <w:rStyle w:val="936"/>
          <w:rFonts w:hint="eastAsia" w:ascii="宋体" w:hAnsi="宋体" w:cs="Arial"/>
          <w:sz w:val="24"/>
          <w:szCs w:val="21"/>
        </w:rPr>
        <w:t xml:space="preserve">（服务方案的内容编排等由投标人自定）</w:t>
      </w:r>
      <w:r/>
    </w:p>
    <w:p>
      <w:pPr>
        <w:pStyle w:val="998"/>
        <w:rPr>
          <w:rFonts w:hint="eastAsia" w:ascii="宋体" w:hAnsi="宋体" w:eastAsia="宋体" w:cs="宋体"/>
          <w:sz w:val="24"/>
          <w:szCs w:val="24"/>
          <w:lang w:bidi="ar"/>
        </w:rPr>
        <w:outlineLvl w:val="0"/>
      </w:pPr>
      <w:r>
        <w:rPr>
          <w:rStyle w:val="936"/>
          <w:rFonts w:hint="default"/>
        </w:rPr>
        <w:br w:type="page" w:clear="all"/>
      </w:r>
      <w:bookmarkStart w:id="268" w:name="_Toc16991"/>
      <w:r/>
      <w:bookmarkStart w:id="269" w:name="_Toc11335"/>
      <w:r/>
      <w:bookmarkStart w:id="270" w:name="_Toc17468"/>
      <w:r>
        <w:rPr>
          <w:rStyle w:val="936"/>
          <w:rFonts w:hint="eastAsia" w:ascii="宋体" w:hAnsi="宋体" w:cs="宋体"/>
          <w:b/>
          <w:sz w:val="32"/>
        </w:rPr>
        <w:t xml:space="preserve">十</w:t>
      </w:r>
      <w:r>
        <w:rPr>
          <w:rStyle w:val="936"/>
          <w:rFonts w:hint="default" w:ascii="宋体" w:hAnsi="宋体" w:cs="宋体"/>
          <w:b/>
          <w:sz w:val="32"/>
        </w:rPr>
        <w:t xml:space="preserve">、投标人情况介绍</w:t>
      </w:r>
      <w:r>
        <w:rPr>
          <w:rStyle w:val="936"/>
          <w:rFonts w:hint="eastAsia" w:ascii="宋体" w:hAnsi="宋体" w:cs="Arial"/>
          <w:sz w:val="24"/>
          <w:szCs w:val="24"/>
        </w:rPr>
        <w:t xml:space="preserve">（内容自定，可参考如下）</w:t>
      </w:r>
      <w:bookmarkEnd w:id="268"/>
      <w:r/>
      <w:bookmarkEnd w:id="269"/>
      <w:r/>
      <w:bookmarkEnd w:id="270"/>
      <w:r/>
      <w:r/>
    </w:p>
    <w:p>
      <w:pPr>
        <w:spacing w:line="440" w:lineRule="exact"/>
        <w:widowControl/>
        <w:rPr>
          <w:rFonts w:hint="eastAsia" w:ascii="宋体" w:hAnsi="宋体" w:cs="宋体"/>
          <w:color w:val="000000"/>
          <w:sz w:val="24"/>
          <w:szCs w:val="24"/>
          <w:lang w:bidi="ar"/>
        </w:rPr>
      </w:pPr>
      <w:r/>
      <w:bookmarkStart w:id="271" w:name="_Toc29985"/>
      <w:r>
        <w:rPr>
          <w:rFonts w:hint="eastAsia" w:ascii="宋体" w:hAnsi="宋体" w:cs="宋体"/>
          <w:color w:val="000000"/>
          <w:sz w:val="24"/>
          <w:szCs w:val="24"/>
          <w:lang w:bidi="ar"/>
        </w:rPr>
        <w:t xml:space="preserve">1.类似业绩</w:t>
      </w:r>
      <w:r/>
    </w:p>
    <w:p>
      <w:pPr>
        <w:spacing w:line="440" w:lineRule="exact"/>
        <w:widowControl/>
        <w:rPr>
          <w:rFonts w:hint="eastAsia" w:ascii="宋体" w:hAnsi="宋体"/>
          <w:color w:val="000000"/>
          <w:sz w:val="24"/>
          <w:szCs w:val="24"/>
        </w:rPr>
      </w:pPr>
      <w:r>
        <w:rPr>
          <w:rFonts w:hint="eastAsia" w:ascii="宋体" w:hAnsi="宋体"/>
          <w:color w:val="000000"/>
          <w:sz w:val="24"/>
          <w:szCs w:val="24"/>
        </w:rPr>
        <w:t xml:space="preserve">……</w:t>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b/>
          <w:sz w:val="32"/>
        </w:rPr>
        <w:outlineLvl w:val="0"/>
      </w:pPr>
      <w:r>
        <w:rPr>
          <w:rFonts w:hint="eastAsia" w:ascii="宋体" w:hAnsi="宋体" w:eastAsia="宋体" w:cs="宋体"/>
          <w:b/>
          <w:sz w:val="32"/>
        </w:rPr>
      </w:r>
      <w:r/>
    </w:p>
    <w:p>
      <w:pPr>
        <w:pStyle w:val="999"/>
        <w:rPr>
          <w:rFonts w:hint="eastAsia" w:ascii="宋体" w:hAnsi="宋体" w:eastAsia="宋体" w:cs="宋体"/>
        </w:rPr>
        <w:outlineLvl w:val="0"/>
      </w:pPr>
      <w:r/>
      <w:bookmarkStart w:id="272" w:name="_Toc11441"/>
      <w:r/>
      <w:bookmarkStart w:id="273" w:name="_Toc20966"/>
      <w:r>
        <w:rPr>
          <w:rFonts w:hint="eastAsia" w:ascii="宋体" w:hAnsi="宋体" w:eastAsia="宋体" w:cs="宋体"/>
          <w:b/>
          <w:sz w:val="32"/>
        </w:rPr>
        <w:t xml:space="preserve">十</w:t>
      </w:r>
      <w:r>
        <w:rPr>
          <w:rFonts w:hint="eastAsia" w:ascii="宋体" w:hAnsi="宋体" w:eastAsia="宋体" w:cs="宋体"/>
          <w:b/>
          <w:sz w:val="32"/>
          <w:lang w:eastAsia="zh-CN"/>
        </w:rPr>
        <w:t xml:space="preserve">一</w:t>
      </w:r>
      <w:r>
        <w:rPr>
          <w:rFonts w:hint="eastAsia" w:ascii="宋体" w:hAnsi="宋体" w:eastAsia="宋体" w:cs="宋体"/>
          <w:b/>
          <w:sz w:val="32"/>
        </w:rPr>
        <w:t xml:space="preserve">、</w:t>
      </w:r>
      <w:r>
        <w:rPr>
          <w:rFonts w:hint="default" w:ascii="宋体" w:hAnsi="宋体" w:eastAsia="宋体" w:cs="宋体"/>
          <w:b/>
          <w:sz w:val="32"/>
        </w:rPr>
        <w:t xml:space="preserve">中小企业声明函</w:t>
      </w:r>
      <w:r>
        <w:rPr>
          <w:rFonts w:hint="eastAsia" w:ascii="宋体" w:hAnsi="宋体" w:eastAsia="宋体" w:cs="宋体"/>
          <w:b/>
          <w:sz w:val="32"/>
        </w:rPr>
        <w:t xml:space="preserve">等</w:t>
      </w:r>
      <w:bookmarkEnd w:id="271"/>
      <w:r/>
      <w:bookmarkEnd w:id="272"/>
      <w:r/>
      <w:bookmarkEnd w:id="273"/>
      <w:r/>
      <w:r/>
    </w:p>
    <w:p>
      <w:pPr>
        <w:pStyle w:val="987"/>
        <w:jc w:val="center"/>
        <w:spacing w:before="320" w:after="320"/>
        <w:rPr>
          <w:rFonts w:hint="eastAsia" w:ascii="宋体" w:hAnsi="宋体" w:eastAsia="宋体" w:cs="宋体"/>
          <w:sz w:val="32"/>
          <w:szCs w:val="32"/>
        </w:rPr>
      </w:pPr>
      <w:r/>
      <w:bookmarkStart w:id="274" w:name="OLE_LINK16"/>
      <w:r>
        <w:rPr>
          <w:rFonts w:hint="eastAsia" w:ascii="宋体" w:hAnsi="宋体" w:eastAsia="宋体" w:cs="宋体"/>
          <w:sz w:val="32"/>
          <w:szCs w:val="32"/>
        </w:rPr>
        <w:t xml:space="preserve">中小企业声明函（货物）</w:t>
      </w:r>
      <w:r>
        <w:rPr>
          <w:rFonts w:hint="default" w:ascii="宋体" w:hAnsi="宋体" w:eastAsia="宋体" w:cs="宋体"/>
          <w:sz w:val="32"/>
          <w:szCs w:val="32"/>
        </w:rPr>
        <w:t xml:space="preserve"> </w:t>
      </w:r>
      <w:r/>
    </w:p>
    <w:p>
      <w:pPr>
        <w:pStyle w:val="987"/>
        <w:ind w:firstLine="480"/>
        <w:spacing w:before="240" w:after="240"/>
        <w:rPr>
          <w:rFonts w:hint="eastAsia" w:ascii="宋体" w:hAnsi="宋体" w:eastAsia="宋体" w:cs="宋体"/>
        </w:rPr>
      </w:pPr>
      <w:r>
        <w:rPr>
          <w:rFonts w:hint="default" w:ascii="宋体" w:hAnsi="宋体" w:eastAsia="宋体" w:cs="宋体"/>
        </w:rPr>
        <w:t xml:space="preserve">本公司郑重声明，根据《政府采购促进中小企业发展管理办法》 (财库〔2020〕46号)的规定，本公司参加</w:t>
      </w:r>
      <w:r>
        <w:rPr>
          <w:rFonts w:hint="default" w:ascii="宋体" w:hAnsi="宋体" w:eastAsia="宋体" w:cs="宋体"/>
          <w:u w:val="single"/>
        </w:rPr>
        <w:t xml:space="preserve">   （</w:t>
      </w:r>
      <w:r>
        <w:rPr>
          <w:rFonts w:hint="default" w:ascii="宋体" w:hAnsi="宋体" w:eastAsia="宋体" w:cs="宋体"/>
        </w:rPr>
        <w:t xml:space="preserve">单位名称）的</w:t>
      </w:r>
      <w:r>
        <w:rPr>
          <w:rFonts w:hint="default" w:ascii="宋体" w:hAnsi="宋体" w:eastAsia="宋体" w:cs="宋体"/>
          <w:u w:val="single"/>
        </w:rPr>
        <w:t xml:space="preserve"> </w:t>
      </w:r>
      <w:r>
        <w:rPr>
          <w:rFonts w:hint="eastAsia" w:ascii="宋体" w:hAnsi="宋体" w:eastAsia="宋体" w:cs="宋体"/>
          <w:u w:val="single"/>
        </w:rPr>
        <w:t xml:space="preserve">  </w:t>
      </w:r>
      <w:r>
        <w:rPr>
          <w:rFonts w:hint="default" w:ascii="宋体" w:hAnsi="宋体" w:eastAsia="宋体" w:cs="宋体"/>
          <w:u w:val="single"/>
        </w:rPr>
        <w:t xml:space="preserve">  </w:t>
      </w:r>
      <w:r>
        <w:rPr>
          <w:rFonts w:hint="default" w:ascii="宋体" w:hAnsi="宋体" w:eastAsia="宋体" w:cs="宋体"/>
        </w:rPr>
        <w:t xml:space="preserve">（项目名称）采购活动，提供的货物全部由符合政策要求的中小企业制造。相关企业的具体情况如下：</w:t>
      </w:r>
      <w:r/>
    </w:p>
    <w:p>
      <w:pPr>
        <w:pStyle w:val="988"/>
        <w:spacing w:line="44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8"/>
        <w:spacing w:line="440" w:lineRule="exact"/>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 xml:space="preserve">（企业名称）</w:t>
      </w:r>
      <w:r>
        <w:rPr>
          <w:rFonts w:hint="eastAsia" w:ascii="宋体" w:hAnsi="宋体" w:eastAsia="宋体" w:cs="宋体"/>
        </w:rPr>
        <w:t xml:space="preserve">，从业人员</w:t>
      </w:r>
      <w:r>
        <w:rPr>
          <w:rFonts w:hint="eastAsia" w:ascii="宋体" w:hAnsi="宋体" w:eastAsia="宋体" w:cs="宋体"/>
          <w:i/>
          <w:iCs/>
          <w:u w:val="single"/>
        </w:rPr>
        <w:t xml:space="preserve">    </w:t>
      </w:r>
      <w:r>
        <w:rPr>
          <w:rFonts w:hint="eastAsia" w:ascii="宋体" w:hAnsi="宋体" w:eastAsia="宋体" w:cs="宋体"/>
        </w:rPr>
        <w:t xml:space="preserve">人，营业收入为</w:t>
      </w:r>
      <w:r>
        <w:rPr>
          <w:rFonts w:hint="eastAsia" w:ascii="宋体" w:hAnsi="宋体" w:eastAsia="宋体" w:cs="宋体"/>
          <w:i/>
          <w:iCs/>
          <w:u w:val="single"/>
        </w:rPr>
        <w:t xml:space="preserve">    </w:t>
      </w:r>
      <w:r>
        <w:rPr>
          <w:rFonts w:hint="eastAsia" w:ascii="宋体" w:hAnsi="宋体" w:eastAsia="宋体" w:cs="宋体"/>
        </w:rPr>
        <w:t xml:space="preserve">万元，资产总额为</w:t>
      </w:r>
      <w:r>
        <w:rPr>
          <w:rFonts w:hint="eastAsia" w:ascii="宋体" w:hAnsi="宋体" w:eastAsia="宋体" w:cs="宋体"/>
          <w:i/>
          <w:iCs/>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987"/>
        <w:spacing w:before="240" w:after="240"/>
        <w:rPr>
          <w:rFonts w:hint="eastAsia" w:ascii="宋体" w:hAnsi="宋体" w:eastAsia="宋体" w:cs="宋体"/>
        </w:rPr>
      </w:pPr>
      <w:r>
        <w:rPr>
          <w:rFonts w:hint="eastAsia" w:ascii="宋体" w:hAnsi="宋体" w:eastAsia="宋体" w:cs="宋体"/>
        </w:rPr>
        <w:t xml:space="preserve">3.</w:t>
      </w:r>
      <w:r/>
    </w:p>
    <w:p>
      <w:pPr>
        <w:pStyle w:val="987"/>
        <w:spacing w:before="240" w:after="240"/>
        <w:rPr>
          <w:rFonts w:hint="eastAsia" w:ascii="宋体" w:hAnsi="宋体" w:eastAsia="宋体" w:cs="宋体"/>
        </w:rPr>
      </w:pPr>
      <w:r>
        <w:rPr>
          <w:rFonts w:hint="eastAsia" w:ascii="宋体" w:hAnsi="宋体" w:eastAsia="宋体" w:cs="宋体"/>
        </w:rPr>
        <w:t xml:space="preserve">4.</w:t>
      </w:r>
      <w:r/>
    </w:p>
    <w:p>
      <w:pPr>
        <w:pStyle w:val="987"/>
        <w:ind w:firstLine="480"/>
        <w:spacing w:before="240" w:after="24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r/>
    </w:p>
    <w:p>
      <w:pPr>
        <w:pStyle w:val="987"/>
        <w:ind w:firstLine="480"/>
        <w:spacing w:before="240" w:after="24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r/>
    </w:p>
    <w:p>
      <w:pPr>
        <w:pStyle w:val="987"/>
        <w:spacing w:before="240" w:after="240"/>
        <w:rPr>
          <w:rFonts w:hint="eastAsia" w:ascii="宋体" w:hAnsi="宋体" w:eastAsia="宋体" w:cs="宋体"/>
        </w:rPr>
      </w:pPr>
      <w:r>
        <w:rPr>
          <w:rFonts w:hint="default" w:ascii="宋体" w:hAnsi="宋体" w:eastAsia="宋体" w:cs="宋体"/>
        </w:rPr>
        <w:t xml:space="preserve">企业名称（盖章）：   </w:t>
      </w:r>
      <w:r/>
    </w:p>
    <w:p>
      <w:pPr>
        <w:pStyle w:val="987"/>
        <w:spacing w:before="240" w:after="240"/>
        <w:rPr>
          <w:rFonts w:hint="eastAsia" w:ascii="宋体" w:hAnsi="宋体" w:eastAsia="宋体" w:cs="宋体"/>
        </w:rPr>
      </w:pPr>
      <w:r>
        <w:rPr>
          <w:rFonts w:hint="default" w:ascii="宋体" w:hAnsi="宋体" w:eastAsia="宋体" w:cs="宋体"/>
        </w:rPr>
        <w:t xml:space="preserve">日期：   </w:t>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default" w:ascii="宋体" w:hAnsi="宋体" w:eastAsia="宋体" w:cs="宋体"/>
        </w:rPr>
        <w:t xml:space="preserve">注：供应商对照《关于印发中小企业划型标准规定的通知》（工信部联企业【2011】300号）中的标准，明确标的承接企业所属企业类型。</w:t>
      </w:r>
      <w:r/>
    </w:p>
    <w:p>
      <w:pPr>
        <w:pStyle w:val="987"/>
        <w:spacing w:before="240" w:after="240"/>
        <w:rPr>
          <w:rFonts w:hint="eastAsia" w:ascii="宋体" w:hAnsi="宋体" w:eastAsia="宋体" w:cs="宋体"/>
        </w:rPr>
      </w:pPr>
      <w:r>
        <w:rPr>
          <w:rFonts w:hint="default" w:ascii="宋体" w:hAnsi="宋体" w:eastAsia="宋体" w:cs="宋体"/>
        </w:rPr>
        <w:t xml:space="preserve">备注：1.从业人员、营业收入、资产总额填报上一年度数据，无上一年度数据的新成立企业可不填报。</w:t>
      </w:r>
      <w:r/>
    </w:p>
    <w:p>
      <w:pPr>
        <w:pStyle w:val="987"/>
        <w:spacing w:before="240" w:after="240"/>
        <w:rPr>
          <w:rFonts w:hint="eastAsia" w:ascii="宋体" w:hAnsi="宋体" w:eastAsia="宋体" w:cs="宋体"/>
          <w:sz w:val="24"/>
          <w:szCs w:val="24"/>
        </w:rPr>
      </w:pPr>
      <w:r>
        <w:rPr>
          <w:rFonts w:hint="default" w:ascii="宋体" w:hAnsi="宋体" w:eastAsia="宋体" w:cs="宋体"/>
        </w:rPr>
        <w:t xml:space="preserve">2.涉及多个采购标的的项目，供应商应当</w:t>
      </w:r>
      <w:r>
        <w:rPr>
          <w:rFonts w:hint="default" w:ascii="宋体" w:hAnsi="宋体" w:eastAsia="宋体" w:cs="宋体"/>
          <w:b/>
          <w:bCs/>
        </w:rPr>
        <w:t xml:space="preserve">逐一填报与采购项目属性一致的每个采购标的（主要采购标的，不包括配件、辅料等</w:t>
      </w:r>
      <w:r>
        <w:rPr>
          <w:rFonts w:hint="default" w:ascii="宋体" w:hAnsi="宋体" w:eastAsia="宋体" w:cs="宋体"/>
        </w:rPr>
        <w:t xml:space="preserve">）的制造商或者承建（承接）供应商信</w:t>
      </w:r>
      <w:r>
        <w:rPr>
          <w:rFonts w:hint="default" w:ascii="宋体" w:hAnsi="宋体" w:eastAsia="宋体" w:cs="宋体"/>
          <w:sz w:val="24"/>
          <w:szCs w:val="24"/>
        </w:rPr>
        <w:t xml:space="preserve">息。</w:t>
      </w:r>
      <w:r/>
    </w:p>
    <w:p>
      <w:pPr>
        <w:pStyle w:val="987"/>
        <w:spacing w:before="240" w:after="240"/>
        <w:rPr>
          <w:rStyle w:val="936"/>
          <w:rFonts w:hint="eastAsia" w:ascii="宋体" w:hAnsi="宋体" w:cs="宋体"/>
          <w:b/>
          <w:bCs/>
          <w:color w:val="000000"/>
          <w:sz w:val="24"/>
          <w:szCs w:val="24"/>
        </w:rPr>
      </w:pPr>
      <w:r>
        <w:rPr>
          <w:rStyle w:val="936"/>
          <w:rFonts w:hint="eastAsia" w:ascii="宋体" w:hAnsi="宋体" w:cs="宋体"/>
          <w:color w:val="000000"/>
          <w:sz w:val="24"/>
          <w:szCs w:val="24"/>
        </w:rPr>
        <w:t xml:space="preserve">3.</w:t>
      </w:r>
      <w:r>
        <w:rPr>
          <w:rStyle w:val="936"/>
          <w:rFonts w:hint="default"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Style w:val="936"/>
          <w:rFonts w:hint="default" w:ascii="宋体" w:hAnsi="宋体" w:cs="宋体"/>
          <w:b/>
          <w:bCs/>
          <w:color w:val="000000"/>
          <w:sz w:val="24"/>
          <w:szCs w:val="24"/>
        </w:rPr>
        <w:t xml:space="preserve">服务类项目中供应商若使用退休人员，将不享受相应扶持政策。</w:t>
      </w:r>
      <w:r/>
    </w:p>
    <w:p>
      <w:pPr>
        <w:pStyle w:val="987"/>
        <w:spacing w:line="440" w:lineRule="exact"/>
        <w:rPr>
          <w:rFonts w:hint="eastAsia" w:ascii="宋体" w:hAnsi="宋体" w:eastAsia="宋体" w:cs="宋体"/>
        </w:rPr>
      </w:pPr>
      <w:r>
        <w:rPr>
          <w:rFonts w:hint="eastAsia" w:ascii="宋体" w:hAnsi="宋体" w:eastAsia="宋体" w:cs="宋体"/>
        </w:rPr>
        <w:t xml:space="preserve">4.</w:t>
      </w:r>
      <w:r>
        <w:rPr>
          <w:rFonts w:hint="default" w:ascii="宋体" w:hAnsi="宋体" w:eastAsia="宋体" w:cs="宋体"/>
        </w:rPr>
        <w:t xml:space="preserve">若供应商对照《政府采购促进中小企业发展管理办法》 (财库〔2020〕46号)中的规定，明确不符合</w:t>
      </w:r>
      <w:r>
        <w:rPr>
          <w:rFonts w:hint="eastAsia" w:ascii="宋体" w:hAnsi="宋体" w:eastAsia="宋体" w:cs="宋体"/>
        </w:rPr>
        <w:t xml:space="preserve">中小企业</w:t>
      </w:r>
      <w:r>
        <w:rPr>
          <w:rFonts w:hint="default" w:ascii="宋体" w:hAnsi="宋体" w:eastAsia="宋体" w:cs="宋体"/>
        </w:rPr>
        <w:t xml:space="preserve">的，则无需提供此声明函。 </w:t>
      </w:r>
      <w:r/>
    </w:p>
    <w:p>
      <w:pPr>
        <w:pStyle w:val="987"/>
        <w:spacing w:before="240" w:after="240"/>
        <w:rPr>
          <w:rFonts w:hint="eastAsia" w:ascii="宋体" w:hAnsi="宋体" w:eastAsia="宋体" w:cs="宋体"/>
        </w:rPr>
      </w:pPr>
      <w:r>
        <w:rPr>
          <w:rFonts w:hint="eastAsia" w:ascii="宋体" w:hAnsi="宋体" w:eastAsia="宋体" w:cs="宋体"/>
        </w:rPr>
      </w:r>
      <w:r/>
    </w:p>
    <w:p>
      <w:pPr>
        <w:pStyle w:val="987"/>
        <w:spacing w:before="240" w:after="240"/>
        <w:rPr>
          <w:rFonts w:hint="eastAsia" w:ascii="宋体" w:hAnsi="宋体" w:eastAsia="宋体" w:cs="宋体"/>
        </w:rPr>
      </w:pPr>
      <w:r>
        <w:rPr>
          <w:rFonts w:hint="default" w:ascii="宋体" w:hAnsi="宋体" w:eastAsia="宋体" w:cs="宋体"/>
        </w:rPr>
        <w:t xml:space="preserve">附：中小企业划型标准规定</w:t>
      </w:r>
      <w:r/>
    </w:p>
    <w:p>
      <w:pPr>
        <w:pStyle w:val="987"/>
        <w:spacing w:before="240" w:after="240"/>
        <w:rPr>
          <w:rFonts w:hint="eastAsia" w:ascii="宋体" w:hAnsi="宋体" w:eastAsia="宋体" w:cs="宋体"/>
        </w:rPr>
      </w:pPr>
      <w:r>
        <w:rPr>
          <w:rFonts w:hint="default"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987"/>
        <w:spacing w:before="240" w:after="240"/>
        <w:rPr>
          <w:rFonts w:hint="eastAsia" w:ascii="宋体" w:hAnsi="宋体" w:eastAsia="宋体" w:cs="宋体"/>
        </w:rPr>
      </w:pPr>
      <w:r>
        <w:rPr>
          <w:rFonts w:hint="default"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87"/>
        <w:spacing w:before="240" w:after="240"/>
        <w:rPr>
          <w:rFonts w:hint="eastAsia" w:ascii="宋体" w:hAnsi="宋体" w:eastAsia="宋体" w:cs="宋体"/>
        </w:rPr>
      </w:pPr>
      <w:r>
        <w:rPr>
          <w:rFonts w:hint="default"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989"/>
        <w:spacing w:before="240" w:after="240"/>
        <w:rPr>
          <w:rFonts w:hint="eastAsia" w:ascii="宋体" w:hAnsi="宋体" w:eastAsia="宋体" w:cs="宋体"/>
        </w:rPr>
      </w:pPr>
      <w:r>
        <w:rPr>
          <w:rFonts w:hint="eastAsia" w:ascii="宋体" w:hAnsi="宋体" w:eastAsia="宋体" w:cs="宋体"/>
        </w:rPr>
      </w:r>
      <w:r/>
    </w:p>
    <w:p>
      <w:pPr>
        <w:pStyle w:val="989"/>
        <w:spacing w:before="240" w:after="240"/>
        <w:rPr>
          <w:rFonts w:hint="eastAsia" w:ascii="宋体" w:hAnsi="宋体" w:eastAsia="宋体" w:cs="宋体"/>
        </w:rPr>
      </w:pPr>
      <w:r>
        <w:rPr>
          <w:rFonts w:hint="eastAsia" w:ascii="宋体" w:hAnsi="宋体" w:eastAsia="宋体" w:cs="宋体"/>
        </w:rPr>
      </w:r>
      <w:r/>
    </w:p>
    <w:p>
      <w:pPr>
        <w:pStyle w:val="989"/>
        <w:spacing w:before="240" w:after="240"/>
        <w:rPr>
          <w:rFonts w:hint="eastAsia" w:ascii="宋体" w:hAnsi="宋体" w:eastAsia="宋体" w:cs="宋体"/>
        </w:rPr>
      </w:pPr>
      <w:r>
        <w:rPr>
          <w:rFonts w:hint="eastAsia" w:ascii="宋体" w:hAnsi="宋体" w:eastAsia="宋体" w:cs="宋体"/>
        </w:rPr>
      </w:r>
      <w:r/>
    </w:p>
    <w:p>
      <w:pPr>
        <w:pStyle w:val="989"/>
        <w:spacing w:before="240" w:after="240"/>
        <w:rPr>
          <w:rFonts w:hint="eastAsia" w:ascii="宋体" w:hAnsi="宋体" w:eastAsia="宋体" w:cs="宋体"/>
        </w:rPr>
      </w:pPr>
      <w:r>
        <w:rPr>
          <w:rFonts w:hint="default" w:ascii="宋体" w:hAnsi="宋体" w:eastAsia="宋体" w:cs="宋体"/>
        </w:rPr>
        <w:t xml:space="preserve"> </w:t>
      </w:r>
      <w:r/>
    </w:p>
    <w:p>
      <w:pPr>
        <w:pStyle w:val="989"/>
        <w:jc w:val="center"/>
        <w:spacing w:before="320" w:after="320"/>
        <w:rPr>
          <w:rFonts w:hint="eastAsia" w:ascii="宋体" w:hAnsi="宋体" w:eastAsia="宋体" w:cs="宋体"/>
          <w:sz w:val="32"/>
          <w:szCs w:val="32"/>
        </w:rPr>
      </w:pPr>
      <w:r>
        <w:rPr>
          <w:rFonts w:hint="default" w:ascii="宋体" w:hAnsi="宋体" w:eastAsia="宋体" w:cs="宋体"/>
          <w:sz w:val="32"/>
          <w:szCs w:val="32"/>
        </w:rPr>
        <w:t xml:space="preserve">残疾人福利性单位声明函 </w:t>
      </w:r>
      <w:r/>
    </w:p>
    <w:p>
      <w:pPr>
        <w:pStyle w:val="989"/>
        <w:spacing w:before="240" w:after="240"/>
        <w:rPr>
          <w:rFonts w:hint="eastAsia" w:ascii="宋体" w:hAnsi="宋体" w:eastAsia="宋体" w:cs="宋体"/>
        </w:rPr>
      </w:pPr>
      <w:r>
        <w:rPr>
          <w:rFonts w:hint="default" w:ascii="宋体" w:hAnsi="宋体" w:eastAsia="宋体" w:cs="宋体"/>
        </w:rPr>
        <w:t xml:space="preserve"> </w:t>
      </w:r>
      <w:r/>
    </w:p>
    <w:p>
      <w:pPr>
        <w:pStyle w:val="989"/>
        <w:spacing w:before="240" w:after="240"/>
        <w:rPr>
          <w:rFonts w:hint="eastAsia" w:ascii="宋体" w:hAnsi="宋体" w:eastAsia="宋体" w:cs="宋体"/>
        </w:rPr>
      </w:pPr>
      <w:r>
        <w:rPr>
          <w:rFonts w:hint="default"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xml:space="preserve">   </w:t>
      </w:r>
      <w:r>
        <w:rPr>
          <w:rFonts w:hint="default" w:ascii="宋体" w:hAnsi="宋体" w:eastAsia="宋体" w:cs="宋体"/>
        </w:rPr>
        <w:t xml:space="preserve">单位的</w:t>
      </w:r>
      <w:r>
        <w:rPr>
          <w:rFonts w:hint="default" w:ascii="宋体" w:hAnsi="宋体" w:eastAsia="宋体" w:cs="宋体"/>
          <w:u w:val="single"/>
        </w:rPr>
        <w:t xml:space="preserve">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r/>
    </w:p>
    <w:p>
      <w:pPr>
        <w:pStyle w:val="989"/>
        <w:spacing w:before="240" w:after="240"/>
        <w:rPr>
          <w:rFonts w:hint="eastAsia" w:ascii="宋体" w:hAnsi="宋体" w:eastAsia="宋体" w:cs="宋体"/>
        </w:rPr>
      </w:pPr>
      <w:r>
        <w:rPr>
          <w:rFonts w:hint="default" w:ascii="宋体" w:hAnsi="宋体" w:eastAsia="宋体" w:cs="宋体"/>
        </w:rPr>
        <w:t xml:space="preserve">本单位对上述声明的真实性负责。如有虚假，将依法承担相应责任。</w:t>
      </w:r>
      <w:r/>
    </w:p>
    <w:p>
      <w:pPr>
        <w:pStyle w:val="989"/>
        <w:jc w:val="center"/>
        <w:spacing w:before="240" w:after="240"/>
        <w:rPr>
          <w:rFonts w:hint="eastAsia" w:ascii="宋体" w:hAnsi="宋体" w:eastAsia="宋体" w:cs="宋体"/>
        </w:rPr>
      </w:pPr>
      <w:r>
        <w:rPr>
          <w:rFonts w:hint="default" w:ascii="宋体" w:hAnsi="宋体" w:eastAsia="宋体" w:cs="宋体"/>
        </w:rPr>
        <w:t xml:space="preserve"> </w:t>
      </w:r>
      <w:r/>
    </w:p>
    <w:p>
      <w:pPr>
        <w:pStyle w:val="989"/>
        <w:jc w:val="center"/>
        <w:spacing w:before="240" w:after="240"/>
        <w:rPr>
          <w:rFonts w:hint="eastAsia" w:ascii="宋体" w:hAnsi="宋体" w:eastAsia="宋体" w:cs="宋体"/>
        </w:rPr>
      </w:pPr>
      <w:r>
        <w:rPr>
          <w:rFonts w:hint="default" w:ascii="宋体" w:hAnsi="宋体" w:eastAsia="宋体" w:cs="宋体"/>
        </w:rPr>
        <w:t xml:space="preserve"> </w:t>
      </w:r>
      <w:r/>
    </w:p>
    <w:p>
      <w:pPr>
        <w:pStyle w:val="989"/>
        <w:jc w:val="center"/>
        <w:spacing w:before="240" w:after="240"/>
        <w:rPr>
          <w:rFonts w:hint="eastAsia" w:ascii="宋体" w:hAnsi="宋体" w:eastAsia="宋体" w:cs="宋体"/>
        </w:rPr>
      </w:pPr>
      <w:r>
        <w:rPr>
          <w:rFonts w:hint="default" w:ascii="宋体" w:hAnsi="宋体" w:eastAsia="宋体" w:cs="宋体"/>
        </w:rPr>
        <w:t xml:space="preserve"> </w:t>
      </w:r>
      <w:r/>
    </w:p>
    <w:p>
      <w:pPr>
        <w:pStyle w:val="989"/>
        <w:spacing w:before="240" w:after="240"/>
        <w:rPr>
          <w:rFonts w:hint="eastAsia" w:ascii="宋体" w:hAnsi="宋体" w:eastAsia="宋体" w:cs="宋体"/>
        </w:rPr>
      </w:pPr>
      <w:r>
        <w:rPr>
          <w:rFonts w:hint="default" w:ascii="宋体" w:hAnsi="宋体" w:eastAsia="宋体" w:cs="宋体"/>
        </w:rPr>
        <w:t xml:space="preserve">单位名称（盖章）：   </w:t>
      </w:r>
      <w:r/>
    </w:p>
    <w:p>
      <w:pPr>
        <w:pStyle w:val="989"/>
        <w:spacing w:before="240" w:after="240"/>
        <w:rPr>
          <w:rFonts w:hint="eastAsia" w:ascii="宋体" w:hAnsi="宋体" w:eastAsia="宋体" w:cs="宋体"/>
        </w:rPr>
      </w:pPr>
      <w:r>
        <w:rPr>
          <w:rFonts w:hint="default" w:ascii="宋体" w:hAnsi="宋体" w:eastAsia="宋体" w:cs="宋体"/>
        </w:rPr>
        <w:t xml:space="preserve">日期：   </w:t>
      </w:r>
      <w:r/>
    </w:p>
    <w:p>
      <w:pPr>
        <w:pStyle w:val="989"/>
        <w:spacing w:before="240" w:after="240"/>
        <w:rPr>
          <w:rFonts w:hint="eastAsia" w:ascii="宋体" w:hAnsi="宋体" w:eastAsia="宋体" w:cs="宋体"/>
        </w:rPr>
      </w:pPr>
      <w:r>
        <w:rPr>
          <w:rFonts w:hint="default"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989"/>
        <w:spacing w:before="240" w:after="240"/>
        <w:rPr>
          <w:rFonts w:hint="eastAsia" w:ascii="宋体" w:hAnsi="宋体" w:eastAsia="宋体" w:cs="宋体"/>
        </w:rPr>
      </w:pPr>
      <w:r>
        <w:rPr>
          <w:rFonts w:hint="default" w:ascii="宋体" w:hAnsi="宋体" w:eastAsia="宋体" w:cs="宋体"/>
        </w:rPr>
        <w:t xml:space="preserve">供应商提供的《残疾人福利性单位声明函》与事实不符的，依照《政府采购法》第七十七条第一款的规定追究法律责任。</w:t>
      </w:r>
      <w:r/>
    </w:p>
    <w:p>
      <w:pPr>
        <w:pStyle w:val="989"/>
        <w:spacing w:before="240" w:after="240"/>
        <w:rPr>
          <w:rFonts w:hint="eastAsia" w:ascii="宋体" w:hAnsi="宋体" w:eastAsia="宋体" w:cs="宋体"/>
        </w:rPr>
      </w:pPr>
      <w:r>
        <w:rPr>
          <w:rFonts w:hint="default"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989"/>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990"/>
        <w:rPr>
          <w:rFonts w:hint="default"/>
        </w:rPr>
        <w:outlineLvl w:val="0"/>
      </w:pPr>
      <w:r>
        <w:rPr>
          <w:rFonts w:hint="default"/>
        </w:rPr>
        <w:br w:type="page" w:clear="all"/>
      </w:r>
      <w:r/>
    </w:p>
    <w:p>
      <w:pPr>
        <w:jc w:val="center"/>
        <w:rPr>
          <w:rFonts w:hint="default"/>
          <w:sz w:val="32"/>
          <w:szCs w:val="32"/>
        </w:rPr>
      </w:pPr>
      <w:r>
        <w:rPr>
          <w:rFonts w:hint="eastAsia"/>
          <w:sz w:val="32"/>
          <w:szCs w:val="32"/>
        </w:rPr>
        <w:t xml:space="preserve">监狱企业的证明文件</w:t>
      </w:r>
      <w:r/>
    </w:p>
    <w:p>
      <w:pPr>
        <w:rPr>
          <w:rFonts w:hint="eastAsia" w:ascii="宋体" w:hAnsi="宋体" w:eastAsia="宋体" w:cs="宋体"/>
          <w:sz w:val="24"/>
          <w:szCs w:val="28"/>
        </w:rPr>
      </w:pPr>
      <w:r>
        <w:rPr>
          <w:rFonts w:hint="eastAsia" w:ascii="宋体" w:hAnsi="宋体" w:eastAsia="宋体" w:cs="宋体"/>
          <w:sz w:val="24"/>
          <w:szCs w:val="28"/>
        </w:rPr>
        <w:t xml:space="preserve">（证明文件）</w:t>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jc w:val="left"/>
        <w:spacing w:line="360" w:lineRule="auto"/>
        <w:widowControl w:val="off"/>
        <w:rPr>
          <w:rFonts w:hint="eastAsia" w:ascii="等线" w:hAnsi="等线" w:eastAsia="等线" w:cs="Times New Roman"/>
          <w:sz w:val="21"/>
          <w:szCs w:val="22"/>
          <w:lang w:val="en-US" w:eastAsia="zh-CN" w:bidi="ar-SA"/>
        </w:rPr>
      </w:pPr>
      <w:r>
        <w:rPr>
          <w:rFonts w:hint="eastAsia" w:ascii="等线" w:hAnsi="等线" w:eastAsia="等线" w:cs="Times New Roman"/>
          <w:sz w:val="21"/>
          <w:szCs w:val="22"/>
          <w:lang w:val="en-US" w:eastAsia="zh-CN" w:bidi="ar-SA"/>
        </w:rPr>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rPr>
      </w:pPr>
      <w:r>
        <w:rPr>
          <w:rFonts w:hint="eastAsia" w:ascii="等线" w:hAnsi="等线" w:eastAsia="等线"/>
        </w:rPr>
        <w:t xml:space="preserve">      </w:t>
      </w:r>
      <w:r/>
    </w:p>
    <w:p>
      <w:pPr>
        <w:ind w:firstLine="480"/>
        <w:spacing w:line="440" w:lineRule="exact"/>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spacing w:line="440" w:lineRule="exact"/>
        <w:widowControl/>
        <w:rPr>
          <w:rFonts w:hint="eastAsia" w:ascii="宋体" w:hAnsi="宋体"/>
          <w:sz w:val="24"/>
          <w:szCs w:val="24"/>
        </w:rPr>
      </w:pPr>
      <w:r>
        <w:rPr>
          <w:rFonts w:hint="eastAsia" w:ascii="宋体" w:hAnsi="宋体"/>
          <w:sz w:val="24"/>
          <w:szCs w:val="24"/>
        </w:rPr>
      </w:r>
      <w:bookmarkEnd w:id="274"/>
      <w:r/>
      <w:r/>
    </w:p>
    <w:p>
      <w:pPr>
        <w:pStyle w:val="996"/>
        <w:rPr>
          <w:rStyle w:val="936"/>
          <w:rFonts w:hint="default"/>
        </w:rPr>
      </w:pPr>
      <w:r>
        <w:rPr>
          <w:rFonts w:hint="default"/>
        </w:rPr>
      </w:r>
      <w:r/>
    </w:p>
    <w:p>
      <w:pPr>
        <w:pStyle w:val="1026"/>
        <w:jc w:val="center"/>
        <w:spacing w:before="240" w:after="240"/>
        <w:rPr>
          <w:rStyle w:val="936"/>
          <w:rFonts w:hint="default"/>
        </w:rPr>
      </w:pPr>
      <w:r>
        <w:rPr>
          <w:rStyle w:val="936"/>
          <w:rFonts w:hint="default" w:ascii="宋体" w:hAnsi="宋体" w:cs="宋体"/>
          <w:b/>
          <w:sz w:val="28"/>
        </w:rPr>
        <w:t xml:space="preserve"> </w:t>
      </w:r>
      <w:r/>
    </w:p>
    <w:p>
      <w:pPr>
        <w:pStyle w:val="1027"/>
        <w:spacing w:before="240" w:after="240"/>
        <w:rPr>
          <w:rStyle w:val="936"/>
          <w:rFonts w:hint="default"/>
        </w:rPr>
      </w:pPr>
      <w:r>
        <w:rPr>
          <w:rStyle w:val="936"/>
          <w:rFonts w:hint="default"/>
        </w:rPr>
        <w:t xml:space="preserve"> </w:t>
      </w:r>
      <w:r/>
    </w:p>
    <w:p>
      <w:pPr>
        <w:pStyle w:val="1025"/>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rPr>
          <w:rFonts w:ascii="宋体" w:hAnsi="宋体"/>
          <w:b/>
          <w:bCs/>
          <w:sz w:val="20"/>
          <w:szCs w:val="32"/>
          <w:highlight w:val="white"/>
        </w:rPr>
      </w:pPr>
      <w:r>
        <w:rPr>
          <w:rFonts w:ascii="宋体" w:hAnsi="宋体"/>
          <w:b/>
          <w:bCs/>
          <w:sz w:val="20"/>
          <w:szCs w:val="32"/>
          <w:highlight w:val="white"/>
        </w:rPr>
        <w:br w:type="page" w:clear="all"/>
      </w:r>
      <w:r/>
    </w:p>
    <w:p>
      <w:pPr>
        <w:pStyle w:val="999"/>
        <w:numPr>
          <w:ilvl w:val="0"/>
          <w:numId w:val="0"/>
        </w:numPr>
        <w:rPr>
          <w:rFonts w:hint="default" w:ascii="宋体" w:hAnsi="宋体" w:eastAsia="宋体" w:cs="宋体"/>
          <w:b/>
          <w:sz w:val="32"/>
          <w:highlight w:val="none"/>
        </w:rPr>
        <w:outlineLvl w:val="0"/>
      </w:pPr>
      <w:r>
        <w:rPr>
          <w:rFonts w:hint="eastAsia" w:ascii="宋体" w:hAnsi="宋体" w:eastAsia="宋体" w:cs="宋体"/>
          <w:b/>
          <w:sz w:val="32"/>
          <w:highlight w:val="none"/>
          <w:lang w:eastAsia="zh-CN"/>
        </w:rPr>
        <w:t xml:space="preserve">十二、</w:t>
      </w:r>
      <w:r>
        <w:rPr>
          <w:rFonts w:hint="default" w:ascii="宋体" w:hAnsi="宋体" w:eastAsia="宋体" w:cs="宋体"/>
          <w:b/>
          <w:sz w:val="32"/>
          <w:highlight w:val="none"/>
        </w:rPr>
        <w:t xml:space="preserve">关于符合本国产品标准的声明函</w:t>
      </w:r>
      <w:r/>
    </w:p>
    <w:p>
      <w:pPr>
        <w:pStyle w:val="999"/>
        <w:numPr>
          <w:ilvl w:val="0"/>
          <w:numId w:val="0"/>
        </w:numPr>
        <w:rPr>
          <w:rFonts w:hint="eastAsia" w:ascii="宋体" w:hAnsi="宋体" w:eastAsia="宋体" w:cs="宋体"/>
          <w:b/>
          <w:sz w:val="32"/>
        </w:rPr>
        <w:outlineLvl w:val="0"/>
      </w:pPr>
      <w:r>
        <w:rPr>
          <w:rFonts w:hint="eastAsia" w:ascii="宋体" w:hAnsi="宋体" w:eastAsia="宋体" w:cs="宋体"/>
          <w:b/>
          <w:sz w:val="32"/>
        </w:rPr>
      </w:r>
      <w:r/>
    </w:p>
    <w:p>
      <w:pPr>
        <w:pStyle w:val="999"/>
        <w:numPr>
          <w:ilvl w:val="0"/>
          <w:numId w:val="0"/>
        </w:numPr>
        <w:ind w:firstLine="1920"/>
        <w:rPr>
          <w:rFonts w:hint="eastAsia" w:ascii="宋体" w:hAnsi="宋体" w:eastAsia="宋体" w:cs="宋体"/>
          <w:b w:val="0"/>
          <w:bCs/>
          <w:sz w:val="32"/>
        </w:rPr>
        <w:outlineLvl w:val="0"/>
      </w:pPr>
      <w:r/>
      <w:bookmarkStart w:id="275" w:name="OLE_LINK17"/>
      <w:r>
        <w:rPr>
          <w:rFonts w:hint="eastAsia" w:ascii="宋体" w:hAnsi="宋体" w:eastAsia="宋体" w:cs="宋体"/>
          <w:b w:val="0"/>
          <w:bCs/>
          <w:sz w:val="32"/>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lang w:val="en-US" w:eastAsia="zh-CN" w:bidi="ar-SA"/>
        </w:rPr>
      </w:pPr>
      <w:r>
        <w:rPr>
          <w:rFonts w:hint="default" w:ascii="方正魏碑_GBK" w:hAnsi="方正魏碑_GBK" w:eastAsia="方正魏碑_GBK" w:cs="方正魏碑_GBK"/>
          <w:color w:val="ff0000"/>
          <w:sz w:val="24"/>
          <w:szCs w:val="24"/>
          <w:lang w:val="en-US" w:eastAsia="zh-CN" w:bidi="ar-SA"/>
        </w:rPr>
      </w:r>
      <w:r/>
    </w:p>
    <w:p>
      <w:pPr>
        <w:ind w:firstLine="420"/>
        <w:jc w:val="left"/>
        <w:spacing w:before="0" w:beforeAutospacing="0" w:after="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10.1pt;mso-position-horizontal:absolute;mso-position-vertical-relative:text;margin-top:31.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9.5pt;mso-position-horizontal:absolute;mso-position-vertical-relative:text;margin-top:20.6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25.5pt;mso-position-horizontal:absolute;mso-position-vertical-relative:text;margin-top:31.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0.9pt;mso-position-horizontal:absolute;mso-position-vertical-relative:text;margin-top:18.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1.9pt;mso-position-horizontal:absolute;mso-position-vertical-relative:text;margin-top:3.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32.2pt;mso-position-horizontal:absolute;mso-position-vertical-relative:text;margin-top:32.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97.6pt;mso-position-horizontal:absolute;mso-position-vertical-relative:text;margin-top:19.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2.7pt;mso-position-horizontal:absolute;mso-position-vertical-relative:text;margin-top:19.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771"/>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771"/>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771"/>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771"/>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771"/>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2576;o:allowoverlap:true;o:allowincell:true;mso-position-horizontal-relative:text;margin-left:370.9pt;mso-position-horizontal:absolute;mso-position-vertical-relative:text;margin-top:15.3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06.5pt;mso-position-horizontal:absolute;mso-position-vertical-relative:text;margin-top:29.2pt;mso-position-vertical:absolute;width:60.1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200.4pt;mso-position-horizontal:absolute;mso-position-vertical-relative:text;margin-top:31.8pt;mso-position-vertical:absolute;width:49.9pt;height:9.5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69.6pt;mso-position-horizontal:absolute;mso-position-vertical-relative:text;margin-top:16.4pt;mso-position-vertical:absolute;width:60.1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80.5pt;mso-position-horizontal:absolute;mso-position-vertical-relative:text;margin-top:16.4pt;mso-position-vertical:absolute;width:54.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Style w:val="771"/>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firstLine="3720"/>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 xml:space="preserve">6.用斜线划除的地方无需填写。</w:t>
      </w:r>
      <w:bookmarkEnd w:id="275"/>
      <w:r/>
      <w:r/>
    </w:p>
    <w:p>
      <w:pPr>
        <w:jc w:val="center"/>
        <w:rPr>
          <w:rFonts w:hint="default" w:ascii="黑体" w:hAnsi="黑体" w:eastAsia="黑体" w:cs="Times New Roman"/>
          <w:b/>
          <w:color w:val="000000"/>
          <w:sz w:val="32"/>
          <w:szCs w:val="32"/>
        </w:rPr>
      </w:pPr>
      <w:r>
        <w:rPr>
          <w:rFonts w:hint="default" w:ascii="黑体" w:hAnsi="黑体" w:eastAsia="黑体" w:cs="Times New Roman"/>
          <w:b/>
          <w:color w:val="000000"/>
          <w:sz w:val="32"/>
          <w:szCs w:val="32"/>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997"/>
        <w:rPr>
          <w:rFonts w:ascii="宋体" w:hAnsi="宋体"/>
          <w:b/>
          <w:bCs/>
          <w:sz w:val="20"/>
          <w:szCs w:val="32"/>
          <w:highlight w:val="white"/>
        </w:rPr>
      </w:pPr>
      <w:r>
        <w:rPr>
          <w:rFonts w:ascii="宋体" w:hAnsi="宋体"/>
          <w:b/>
          <w:bCs/>
          <w:sz w:val="20"/>
          <w:szCs w:val="32"/>
          <w:highlight w:val="white"/>
        </w:rPr>
      </w:r>
      <w:r/>
    </w:p>
    <w:p>
      <w:pPr>
        <w:pStyle w:val="774"/>
      </w:pPr>
      <w:r/>
      <w:r/>
    </w:p>
    <w:p>
      <w:r/>
      <w:r/>
    </w:p>
    <w:sectPr>
      <w:footerReference w:type="default" r:id="rId14"/>
      <w:footerReference w:type="first" r:id="rId15"/>
      <w:footnotePr/>
      <w:endnotePr/>
      <w:type w:val="nextPage"/>
      <w:pgSz w:w="11906" w:h="16838" w:orient="portrait"/>
      <w:pgMar w:top="1440" w:right="1466" w:bottom="1440" w:left="1797"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ourier New">
    <w:panose1 w:val="02070309020205020404"/>
  </w:font>
  <w:font w:name="Cambria">
    <w:panose1 w:val="02040503050406030204"/>
  </w:font>
  <w:font w:name="华文中宋">
    <w:panose1 w:val="02010600040101010101"/>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framePr w:wrap="around" w:vAnchor="text" w:hAnchor="margin" w:xAlign="center" w:y="1"/>
    </w:pPr>
    <w:r>
      <w:fldChar w:fldCharType="begin"/>
    </w:r>
    <w:r>
      <w:rPr>
        <w:rStyle w:val="1002"/>
        <w:sz w:val="21"/>
        <w:szCs w:val="22"/>
        <w:highlight w:val="white"/>
      </w:rPr>
      <w:instrText xml:space="preserve">PAGE  </w:instrText>
    </w:r>
    <w:r>
      <w:fldChar w:fldCharType="separate"/>
    </w:r>
    <w:r>
      <w:rPr>
        <w:rStyle w:val="1002"/>
        <w:sz w:val="21"/>
        <w:szCs w:val="22"/>
        <w:highlight w:val="white"/>
      </w:rPr>
      <w:t xml:space="preserve">1</w:t>
    </w:r>
    <w:r>
      <w:fldChar w:fldCharType="end"/>
    </w:r>
    <w:r/>
  </w:p>
  <w:p>
    <w:pPr>
      <w:pStyle w:val="100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framePr w:wrap="around" w:vAnchor="text" w:hAnchor="margin" w:xAlign="center" w:y="1"/>
    </w:pPr>
    <w:r>
      <w:fldChar w:fldCharType="begin"/>
    </w:r>
    <w:r>
      <w:rPr>
        <w:rStyle w:val="1002"/>
        <w:sz w:val="21"/>
        <w:szCs w:val="22"/>
        <w:highlight w:val="white"/>
      </w:rPr>
      <w:instrText xml:space="preserve">PAGE  </w:instrTex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0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1016"/>
    <w:uiPriority w:val="0"/>
    <w:qFormat/>
    <w:pPr>
      <w:jc w:val="both"/>
      <w:widowControl w:val="off"/>
    </w:pPr>
    <w:rPr>
      <w:rFonts w:hint="default" w:ascii="Calibri" w:hAnsi="Calibri" w:eastAsia="宋体" w:cs="Times New Roman"/>
      <w:sz w:val="21"/>
      <w:szCs w:val="22"/>
      <w:lang w:val="en-US" w:eastAsia="zh-CN" w:bidi="ar-SA"/>
    </w:rPr>
  </w:style>
  <w:style w:type="paragraph" w:styleId="739">
    <w:name w:val="Heading 1"/>
    <w:basedOn w:val="738"/>
    <w:next w:val="738"/>
    <w:link w:val="775"/>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6"/>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7"/>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8"/>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9"/>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0"/>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1"/>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2"/>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3"/>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0"/>
    <w:semiHidden/>
    <w:qFormat/>
  </w:style>
  <w:style w:type="table" w:styleId="749" w:default="1">
    <w:name w:val="Normal Table"/>
    <w:uiPriority w:val="0"/>
    <w:semiHidden/>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annotation text"/>
    <w:basedOn w:val="738"/>
    <w:uiPriority w:val="0"/>
    <w:qFormat/>
    <w:pPr>
      <w:jc w:val="left"/>
    </w:pPr>
  </w:style>
  <w:style w:type="paragraph" w:styleId="753">
    <w:name w:val="toc 5"/>
    <w:basedOn w:val="738"/>
    <w:next w:val="738"/>
    <w:uiPriority w:val="39"/>
    <w:unhideWhenUsed/>
    <w:qFormat/>
    <w:pPr>
      <w:ind w:left="1134" w:right="0" w:firstLine="0"/>
      <w:spacing w:after="57"/>
    </w:pPr>
  </w:style>
  <w:style w:type="paragraph" w:styleId="754">
    <w:name w:val="toc 3"/>
    <w:basedOn w:val="738"/>
    <w:next w:val="738"/>
    <w:uiPriority w:val="39"/>
    <w:unhideWhenUsed/>
    <w:qFormat/>
    <w:pPr>
      <w:ind w:left="567" w:right="0" w:firstLine="0"/>
      <w:spacing w:after="57"/>
    </w:pPr>
  </w:style>
  <w:style w:type="paragraph" w:styleId="755">
    <w:name w:val="toc 8"/>
    <w:basedOn w:val="738"/>
    <w:next w:val="738"/>
    <w:uiPriority w:val="39"/>
    <w:unhideWhenUsed/>
    <w:qFormat/>
    <w:pPr>
      <w:ind w:left="1984" w:right="0" w:firstLine="0"/>
      <w:spacing w:after="57"/>
    </w:pPr>
  </w:style>
  <w:style w:type="paragraph" w:styleId="756">
    <w:name w:val="endnote text"/>
    <w:basedOn w:val="738"/>
    <w:link w:val="921"/>
    <w:uiPriority w:val="99"/>
    <w:semiHidden/>
    <w:unhideWhenUsed/>
    <w:qFormat/>
    <w:pPr>
      <w:spacing w:after="0" w:line="240" w:lineRule="auto"/>
    </w:pPr>
    <w:rPr>
      <w:sz w:val="20"/>
    </w:rPr>
  </w:style>
  <w:style w:type="paragraph" w:styleId="757">
    <w:name w:val="Footer"/>
    <w:basedOn w:val="738"/>
    <w:uiPriority w:val="99"/>
    <w:unhideWhenUsed/>
    <w:qFormat/>
    <w:pPr>
      <w:tabs>
        <w:tab w:val="center" w:pos="7143" w:leader="none"/>
        <w:tab w:val="right" w:pos="14287" w:leader="none"/>
      </w:tabs>
    </w:pPr>
  </w:style>
  <w:style w:type="paragraph" w:styleId="758">
    <w:name w:val="Header"/>
    <w:basedOn w:val="738"/>
    <w:uiPriority w:val="99"/>
    <w:unhideWhenUsed/>
    <w:qFormat/>
    <w:pPr>
      <w:tabs>
        <w:tab w:val="center" w:pos="7143" w:leader="none"/>
        <w:tab w:val="right" w:pos="14287" w:leader="none"/>
      </w:tabs>
    </w:pPr>
  </w:style>
  <w:style w:type="paragraph" w:styleId="759">
    <w:name w:val="toc 1"/>
    <w:basedOn w:val="738"/>
    <w:next w:val="738"/>
    <w:uiPriority w:val="0"/>
    <w:qFormat/>
  </w:style>
  <w:style w:type="paragraph" w:styleId="760">
    <w:name w:val="toc 4"/>
    <w:basedOn w:val="738"/>
    <w:next w:val="738"/>
    <w:uiPriority w:val="39"/>
    <w:unhideWhenUsed/>
    <w:qFormat/>
    <w:pPr>
      <w:ind w:left="850" w:right="0" w:firstLine="0"/>
      <w:spacing w:after="57"/>
    </w:pPr>
  </w:style>
  <w:style w:type="paragraph" w:styleId="761">
    <w:name w:val="Subtitle"/>
    <w:basedOn w:val="738"/>
    <w:next w:val="738"/>
    <w:link w:val="787"/>
    <w:uiPriority w:val="11"/>
    <w:qFormat/>
    <w:pPr>
      <w:spacing w:before="200" w:after="200"/>
    </w:pPr>
    <w:rPr>
      <w:sz w:val="24"/>
      <w:szCs w:val="24"/>
    </w:rPr>
  </w:style>
  <w:style w:type="paragraph" w:styleId="762">
    <w:name w:val="footnote text"/>
    <w:basedOn w:val="738"/>
    <w:link w:val="920"/>
    <w:uiPriority w:val="99"/>
    <w:semiHidden/>
    <w:unhideWhenUsed/>
    <w:qFormat/>
    <w:pPr>
      <w:spacing w:after="40" w:line="240" w:lineRule="auto"/>
    </w:pPr>
    <w:rPr>
      <w:sz w:val="18"/>
    </w:rPr>
  </w:style>
  <w:style w:type="paragraph" w:styleId="763">
    <w:name w:val="toc 6"/>
    <w:basedOn w:val="738"/>
    <w:next w:val="738"/>
    <w:uiPriority w:val="39"/>
    <w:unhideWhenUsed/>
    <w:qFormat/>
    <w:pPr>
      <w:ind w:left="1417" w:right="0" w:firstLine="0"/>
      <w:spacing w:after="57"/>
    </w:pPr>
  </w:style>
  <w:style w:type="paragraph" w:styleId="764">
    <w:name w:val="table of figures"/>
    <w:basedOn w:val="738"/>
    <w:next w:val="738"/>
    <w:uiPriority w:val="99"/>
    <w:unhideWhenUsed/>
    <w:qFormat/>
    <w:pPr>
      <w:spacing w:after="0" w:afterAutospacing="0"/>
    </w:pPr>
  </w:style>
  <w:style w:type="paragraph" w:styleId="765">
    <w:name w:val="toc 2"/>
    <w:basedOn w:val="738"/>
    <w:next w:val="738"/>
    <w:uiPriority w:val="39"/>
    <w:unhideWhenUsed/>
    <w:qFormat/>
    <w:pPr>
      <w:ind w:left="283" w:right="0" w:firstLine="0"/>
      <w:spacing w:after="57"/>
    </w:pPr>
  </w:style>
  <w:style w:type="paragraph" w:styleId="766">
    <w:name w:val="toc 9"/>
    <w:basedOn w:val="738"/>
    <w:next w:val="738"/>
    <w:uiPriority w:val="39"/>
    <w:unhideWhenUsed/>
    <w:qFormat/>
    <w:pPr>
      <w:ind w:left="2268" w:right="0" w:firstLine="0"/>
      <w:spacing w:after="57"/>
    </w:pPr>
  </w:style>
  <w:style w:type="paragraph" w:styleId="767">
    <w:name w:val="Normal (Web)"/>
    <w:basedOn w:val="738"/>
    <w:uiPriority w:val="99"/>
    <w:qFormat/>
    <w:pPr>
      <w:jc w:val="left"/>
      <w:spacing w:before="100" w:beforeAutospacing="1" w:after="100" w:afterAutospacing="1"/>
      <w:widowControl/>
    </w:pPr>
    <w:rPr>
      <w:rFonts w:ascii="宋体" w:hAnsi="宋体" w:eastAsia="宋体" w:cs="宋体"/>
      <w:sz w:val="24"/>
      <w:szCs w:val="24"/>
    </w:rPr>
  </w:style>
  <w:style w:type="paragraph" w:styleId="768">
    <w:name w:val="Title"/>
    <w:basedOn w:val="738"/>
    <w:next w:val="738"/>
    <w:link w:val="786"/>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basedOn w:val="748"/>
    <w:uiPriority w:val="99"/>
    <w:semiHidden/>
    <w:unhideWhenUsed/>
    <w:qFormat/>
    <w:rPr>
      <w:vertAlign w:val="superscript"/>
    </w:rPr>
  </w:style>
  <w:style w:type="character" w:styleId="771">
    <w:name w:val="Emphasis"/>
    <w:uiPriority w:val="0"/>
    <w:qFormat/>
    <w:rPr>
      <w:i/>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basedOn w:val="748"/>
    <w:uiPriority w:val="99"/>
    <w:unhideWhenUsed/>
    <w:qFormat/>
    <w:rPr>
      <w:vertAlign w:val="superscript"/>
    </w:rPr>
  </w:style>
  <w:style w:type="paragraph" w:styleId="774" w:customStyle="1">
    <w:name w:val="首行缩进"/>
    <w:next w:val="738"/>
    <w:uiPriority w:val="0"/>
    <w:qFormat/>
    <w:pPr>
      <w:ind w:firstLine="480"/>
      <w:spacing w:line="360" w:lineRule="auto"/>
      <w:widowControl w:val="off"/>
    </w:pPr>
    <w:rPr>
      <w:rFonts w:hint="default" w:ascii="宋体" w:hAnsi="宋体" w:eastAsia="宋体" w:cs="Times New Roman"/>
      <w:sz w:val="24"/>
      <w:szCs w:val="22"/>
      <w:lang w:val="en-US" w:eastAsia="zh-CN" w:bidi="ar-SA"/>
    </w:rPr>
  </w:style>
  <w:style w:type="character" w:styleId="775" w:customStyle="1">
    <w:name w:val="Heading 1 Char"/>
    <w:basedOn w:val="748"/>
    <w:link w:val="739"/>
    <w:uiPriority w:val="9"/>
    <w:qFormat/>
    <w:rPr>
      <w:rFonts w:ascii="Arial" w:hAnsi="Arial" w:eastAsia="Arial" w:cs="Arial"/>
      <w:sz w:val="40"/>
      <w:szCs w:val="40"/>
    </w:rPr>
  </w:style>
  <w:style w:type="character" w:styleId="776" w:customStyle="1">
    <w:name w:val="Heading 2 Char"/>
    <w:basedOn w:val="748"/>
    <w:link w:val="740"/>
    <w:uiPriority w:val="9"/>
    <w:qFormat/>
    <w:rPr>
      <w:rFonts w:ascii="Arial" w:hAnsi="Arial" w:eastAsia="Arial" w:cs="Arial"/>
      <w:sz w:val="34"/>
    </w:rPr>
  </w:style>
  <w:style w:type="character" w:styleId="777" w:customStyle="1">
    <w:name w:val="Heading 3 Char"/>
    <w:basedOn w:val="748"/>
    <w:link w:val="741"/>
    <w:uiPriority w:val="9"/>
    <w:qFormat/>
    <w:rPr>
      <w:rFonts w:ascii="Arial" w:hAnsi="Arial" w:eastAsia="Arial" w:cs="Arial"/>
      <w:sz w:val="30"/>
      <w:szCs w:val="30"/>
    </w:rPr>
  </w:style>
  <w:style w:type="character" w:styleId="778" w:customStyle="1">
    <w:name w:val="Heading 4 Char"/>
    <w:basedOn w:val="748"/>
    <w:link w:val="742"/>
    <w:uiPriority w:val="9"/>
    <w:qFormat/>
    <w:rPr>
      <w:rFonts w:ascii="Arial" w:hAnsi="Arial" w:eastAsia="Arial" w:cs="Arial"/>
      <w:b/>
      <w:bCs/>
      <w:sz w:val="26"/>
      <w:szCs w:val="26"/>
    </w:rPr>
  </w:style>
  <w:style w:type="character" w:styleId="779" w:customStyle="1">
    <w:name w:val="Heading 5 Char"/>
    <w:basedOn w:val="748"/>
    <w:link w:val="743"/>
    <w:uiPriority w:val="9"/>
    <w:qFormat/>
    <w:rPr>
      <w:rFonts w:ascii="Arial" w:hAnsi="Arial" w:eastAsia="Arial" w:cs="Arial"/>
      <w:b/>
      <w:bCs/>
      <w:sz w:val="24"/>
      <w:szCs w:val="24"/>
    </w:rPr>
  </w:style>
  <w:style w:type="character" w:styleId="780" w:customStyle="1">
    <w:name w:val="Heading 6 Char"/>
    <w:basedOn w:val="748"/>
    <w:link w:val="744"/>
    <w:uiPriority w:val="9"/>
    <w:qFormat/>
    <w:rPr>
      <w:rFonts w:ascii="Arial" w:hAnsi="Arial" w:eastAsia="Arial" w:cs="Arial"/>
      <w:b/>
      <w:bCs/>
      <w:sz w:val="22"/>
      <w:szCs w:val="22"/>
    </w:rPr>
  </w:style>
  <w:style w:type="character" w:styleId="781" w:customStyle="1">
    <w:name w:val="Heading 7 Char"/>
    <w:basedOn w:val="748"/>
    <w:link w:val="745"/>
    <w:uiPriority w:val="9"/>
    <w:qFormat/>
    <w:rPr>
      <w:rFonts w:ascii="Arial" w:hAnsi="Arial" w:eastAsia="Arial" w:cs="Arial"/>
      <w:b/>
      <w:bCs/>
      <w:i/>
      <w:iCs/>
      <w:sz w:val="22"/>
      <w:szCs w:val="22"/>
    </w:rPr>
  </w:style>
  <w:style w:type="character" w:styleId="782" w:customStyle="1">
    <w:name w:val="Heading 8 Char"/>
    <w:basedOn w:val="748"/>
    <w:link w:val="746"/>
    <w:uiPriority w:val="9"/>
    <w:qFormat/>
    <w:rPr>
      <w:rFonts w:ascii="Arial" w:hAnsi="Arial" w:eastAsia="Arial" w:cs="Arial"/>
      <w:i/>
      <w:iCs/>
      <w:sz w:val="22"/>
      <w:szCs w:val="22"/>
    </w:rPr>
  </w:style>
  <w:style w:type="character" w:styleId="783" w:customStyle="1">
    <w:name w:val="Heading 9 Char"/>
    <w:basedOn w:val="748"/>
    <w:link w:val="747"/>
    <w:uiPriority w:val="9"/>
    <w:qFormat/>
    <w:rPr>
      <w:rFonts w:ascii="Arial" w:hAnsi="Arial" w:eastAsia="Arial" w:cs="Arial"/>
      <w:i/>
      <w:iCs/>
      <w:sz w:val="21"/>
      <w:szCs w:val="21"/>
    </w:rPr>
  </w:style>
  <w:style w:type="paragraph" w:styleId="784">
    <w:name w:val="List Paragraph"/>
    <w:basedOn w:val="738"/>
    <w:uiPriority w:val="34"/>
    <w:qFormat/>
    <w:pPr>
      <w:contextualSpacing/>
      <w:ind w:left="720"/>
    </w:pPr>
  </w:style>
  <w:style w:type="paragraph" w:styleId="785">
    <w:name w:val="No Spacing"/>
    <w:uiPriority w:val="1"/>
    <w:qFormat/>
    <w:pPr>
      <w:spacing w:before="0" w:after="0" w:line="240" w:lineRule="auto"/>
    </w:pPr>
    <w:rPr>
      <w:rFonts w:hint="default" w:ascii="Times New Roman" w:hAnsi="Times New Roman" w:eastAsia="宋体" w:cs="Times New Roman"/>
    </w:rPr>
  </w:style>
  <w:style w:type="character" w:styleId="786" w:customStyle="1">
    <w:name w:val="Title Char"/>
    <w:basedOn w:val="748"/>
    <w:link w:val="768"/>
    <w:uiPriority w:val="10"/>
    <w:qFormat/>
    <w:rPr>
      <w:sz w:val="48"/>
      <w:szCs w:val="48"/>
    </w:rPr>
  </w:style>
  <w:style w:type="character" w:styleId="787" w:customStyle="1">
    <w:name w:val="Subtitle Char"/>
    <w:basedOn w:val="748"/>
    <w:link w:val="761"/>
    <w:uiPriority w:val="11"/>
    <w:qFormat/>
    <w:rPr>
      <w:sz w:val="24"/>
      <w:szCs w:val="24"/>
    </w:rPr>
  </w:style>
  <w:style w:type="paragraph" w:styleId="788">
    <w:name w:val="Quote"/>
    <w:basedOn w:val="738"/>
    <w:next w:val="738"/>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38"/>
    <w:next w:val="738"/>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basedOn w:val="748"/>
    <w:uiPriority w:val="99"/>
    <w:qFormat/>
  </w:style>
  <w:style w:type="character" w:styleId="793" w:customStyle="1">
    <w:name w:val="Footer Char"/>
    <w:basedOn w:val="748"/>
    <w:uiPriority w:val="99"/>
    <w:qFormat/>
  </w:style>
  <w:style w:type="character" w:styleId="794" w:customStyle="1">
    <w:name w:val="Caption Char"/>
    <w:uiPriority w:val="99"/>
    <w:qFormat/>
  </w:style>
  <w:style w:type="table" w:styleId="795"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62"/>
    <w:uiPriority w:val="99"/>
    <w:qFormat/>
    <w:rPr>
      <w:sz w:val="18"/>
    </w:rPr>
  </w:style>
  <w:style w:type="character" w:styleId="921" w:customStyle="1">
    <w:name w:val="Endnote Text Char"/>
    <w:link w:val="756"/>
    <w:uiPriority w:val="99"/>
    <w:qFormat/>
    <w:rPr>
      <w:sz w:val="20"/>
    </w:rPr>
  </w:style>
  <w:style w:type="paragraph" w:styleId="922" w:customStyle="1">
    <w:name w:val="TOC Heading"/>
    <w:uiPriority w:val="39"/>
    <w:unhideWhenUsed/>
    <w:qFormat/>
    <w:rPr>
      <w:rFonts w:hint="default" w:ascii="Times New Roman" w:hAnsi="Times New Roman" w:eastAsia="宋体" w:cs="Times New Roman"/>
    </w:rPr>
  </w:style>
  <w:style w:type="paragraph" w:styleId="923" w:customStyle="1">
    <w:name w:val="标题 11"/>
    <w:uiPriority w:val="0"/>
    <w:qFormat/>
    <w:pPr>
      <w:jc w:val="both"/>
      <w:keepLines/>
      <w:keepNext/>
      <w:spacing w:before="480" w:after="200"/>
      <w:widowControl w:val="off"/>
      <w:outlineLvl w:val="0"/>
    </w:pPr>
    <w:rPr>
      <w:rFonts w:hint="default" w:ascii="Arial" w:hAnsi="Arial" w:eastAsia="Arial" w:cs="Times New Roman"/>
      <w:sz w:val="40"/>
      <w:szCs w:val="40"/>
      <w:lang w:val="en-US" w:eastAsia="zh-CN" w:bidi="ar-SA"/>
    </w:rPr>
  </w:style>
  <w:style w:type="paragraph" w:styleId="924" w:customStyle="1">
    <w:name w:val="标题 212"/>
    <w:basedOn w:val="738"/>
    <w:uiPriority w:val="0"/>
    <w:qFormat/>
    <w:pPr>
      <w:keepLines/>
      <w:keepNext/>
      <w:spacing w:before="360" w:after="200"/>
      <w:outlineLvl w:val="1"/>
    </w:pPr>
    <w:rPr>
      <w:rFonts w:ascii="Arial" w:hAnsi="Arial"/>
      <w:sz w:val="34"/>
      <w:szCs w:val="22"/>
    </w:rPr>
  </w:style>
  <w:style w:type="character" w:styleId="925" w:customStyle="1">
    <w:name w:val="默认段落字体13"/>
    <w:link w:val="738"/>
    <w:uiPriority w:val="0"/>
    <w:semiHidden/>
    <w:qFormat/>
  </w:style>
  <w:style w:type="table" w:styleId="926"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sz w:val="20"/>
      <w:szCs w:val="20"/>
    </w:rPr>
    <w:tblPr/>
  </w:style>
  <w:style w:type="paragraph" w:styleId="927" w:customStyle="1">
    <w:name w:val="正文缩进11"/>
    <w:basedOn w:val="738"/>
    <w:uiPriority w:val="0"/>
    <w:qFormat/>
    <w:pPr>
      <w:ind w:firstLine="420"/>
      <w:jc w:val="left"/>
    </w:pPr>
    <w:rPr>
      <w:sz w:val="24"/>
      <w:szCs w:val="24"/>
    </w:rPr>
  </w:style>
  <w:style w:type="paragraph" w:styleId="928" w:customStyle="1">
    <w:name w:val="批注文字1"/>
    <w:basedOn w:val="738"/>
    <w:uiPriority w:val="0"/>
    <w:qFormat/>
    <w:pPr>
      <w:jc w:val="left"/>
    </w:pPr>
  </w:style>
  <w:style w:type="paragraph" w:styleId="929" w:customStyle="1">
    <w:name w:val="正文文本缩进11"/>
    <w:basedOn w:val="738"/>
    <w:uiPriority w:val="0"/>
    <w:qFormat/>
    <w:pPr>
      <w:ind w:firstLine="645"/>
      <w:jc w:val="both"/>
      <w:widowControl w:val="off"/>
    </w:pPr>
    <w:rPr>
      <w:rFonts w:ascii="楷体_GB2312" w:hAnsi="宋体" w:eastAsia="楷体_GB2312"/>
      <w:sz w:val="32"/>
      <w:szCs w:val="32"/>
      <w:lang w:val="en-US" w:eastAsia="zh-CN" w:bidi="ar-SA"/>
    </w:rPr>
  </w:style>
  <w:style w:type="paragraph" w:styleId="930" w:customStyle="1">
    <w:name w:val="寄信人地址11"/>
    <w:uiPriority w:val="0"/>
    <w:qFormat/>
    <w:pPr>
      <w:jc w:val="both"/>
      <w:widowControl w:val="off"/>
    </w:pPr>
    <w:rPr>
      <w:rFonts w:hint="default" w:ascii="Arial" w:hAnsi="Arial" w:eastAsia="宋体" w:cs="Times New Roman"/>
      <w:sz w:val="21"/>
      <w:szCs w:val="22"/>
      <w:lang w:val="en-US" w:eastAsia="zh-CN" w:bidi="ar-SA"/>
    </w:rPr>
  </w:style>
  <w:style w:type="paragraph" w:styleId="931" w:customStyle="1">
    <w:name w:val="普通(网站)1"/>
    <w:basedOn w:val="738"/>
    <w:uiPriority w:val="0"/>
    <w:qFormat/>
    <w:pPr>
      <w:jc w:val="left"/>
      <w:spacing w:beforeAutospacing="1" w:afterAutospacing="1"/>
      <w:widowControl w:val="off"/>
    </w:pPr>
    <w:rPr>
      <w:rFonts w:ascii="Calibri" w:hAnsi="Calibri" w:eastAsia="宋体"/>
      <w:sz w:val="24"/>
      <w:szCs w:val="22"/>
      <w:lang w:val="en-US" w:eastAsia="zh-CN" w:bidi="ar-SA"/>
    </w:rPr>
  </w:style>
  <w:style w:type="paragraph" w:styleId="932" w:customStyle="1">
    <w:name w:val="正文首行缩进 21"/>
    <w:basedOn w:val="929"/>
    <w:uiPriority w:val="0"/>
    <w:qFormat/>
    <w:pPr>
      <w:ind w:left="420" w:firstLine="420"/>
      <w:jc w:val="both"/>
      <w:spacing w:line="360" w:lineRule="exact"/>
      <w:widowControl w:val="off"/>
    </w:pPr>
    <w:rPr>
      <w:rFonts w:ascii="Times New Roman" w:hAnsi="Times New Roman" w:eastAsia="宋体"/>
      <w:sz w:val="21"/>
      <w:szCs w:val="22"/>
      <w:lang w:val="en-US" w:eastAsia="zh-CN" w:bidi="ar-SA"/>
    </w:rPr>
  </w:style>
  <w:style w:type="table" w:styleId="933" w:customStyle="1">
    <w:name w:val="网格型11"/>
    <w:uiPriority w:val="0"/>
    <w:qFormat/>
    <w:rPr>
      <w:lang w:val="en-US" w:eastAsia="zh-CN" w:bidi="ar-SA"/>
    </w:rPr>
    <w:tblPr/>
  </w:style>
  <w:style w:type="character" w:styleId="934" w:customStyle="1">
    <w:name w:val="要点1"/>
    <w:link w:val="738"/>
    <w:uiPriority w:val="0"/>
    <w:qFormat/>
    <w:rPr>
      <w:b/>
    </w:rPr>
  </w:style>
  <w:style w:type="character" w:styleId="935" w:customStyle="1">
    <w:name w:val="超链接1"/>
    <w:basedOn w:val="925"/>
    <w:link w:val="738"/>
    <w:uiPriority w:val="0"/>
    <w:qFormat/>
    <w:rPr>
      <w:color w:val="0000ff"/>
      <w:u w:val="single"/>
    </w:rPr>
  </w:style>
  <w:style w:type="character" w:styleId="936" w:customStyle="1">
    <w:name w:val="默认段落字体11"/>
    <w:link w:val="738"/>
    <w:uiPriority w:val="0"/>
    <w:qFormat/>
    <w:rPr>
      <w:rFonts w:ascii="Calibri" w:hAnsi="Calibri" w:eastAsia="宋体"/>
      <w:sz w:val="21"/>
      <w:szCs w:val="22"/>
      <w:lang w:val="en-US" w:eastAsia="zh-CN" w:bidi="ar-SA"/>
    </w:rPr>
  </w:style>
  <w:style w:type="paragraph" w:styleId="937" w:customStyle="1">
    <w:name w:val="标题 211"/>
    <w:basedOn w:val="738"/>
    <w:uiPriority w:val="0"/>
    <w:qFormat/>
    <w:pPr>
      <w:jc w:val="center"/>
      <w:keepLines/>
      <w:keepNext/>
      <w:spacing w:before="260" w:after="260" w:line="416" w:lineRule="auto"/>
      <w:outlineLvl w:val="1"/>
    </w:pPr>
    <w:rPr>
      <w:rFonts w:ascii="幼圆" w:eastAsia="楷体_GB2312"/>
      <w:b/>
      <w:sz w:val="44"/>
      <w:szCs w:val="20"/>
    </w:rPr>
  </w:style>
  <w:style w:type="character" w:styleId="938" w:customStyle="1">
    <w:name w:val="已访问的超链接1"/>
    <w:link w:val="738"/>
    <w:uiPriority w:val="0"/>
    <w:qFormat/>
    <w:rPr>
      <w:color w:val="800080"/>
      <w:u w:val="single"/>
    </w:rPr>
  </w:style>
  <w:style w:type="paragraph" w:styleId="939" w:customStyle="1">
    <w:name w:val="普通正文"/>
    <w:uiPriority w:val="0"/>
    <w:qFormat/>
    <w:pPr>
      <w:ind w:firstLine="480"/>
      <w:spacing w:before="120" w:after="120" w:line="360" w:lineRule="auto"/>
      <w:widowControl w:val="off"/>
    </w:pPr>
    <w:rPr>
      <w:rFonts w:hint="default" w:ascii="Arial" w:hAnsi="Arial" w:eastAsia="宋体" w:cs="Times New Roman"/>
      <w:sz w:val="24"/>
      <w:szCs w:val="22"/>
      <w:lang w:val="en-US" w:eastAsia="zh-CN" w:bidi="ar-SA"/>
    </w:rPr>
  </w:style>
  <w:style w:type="paragraph" w:styleId="940" w:customStyle="1">
    <w:name w:val="日期1"/>
    <w:uiPriority w:val="0"/>
    <w:qFormat/>
    <w:pPr>
      <w:jc w:val="both"/>
      <w:widowControl w:val="off"/>
    </w:pPr>
    <w:rPr>
      <w:rFonts w:hint="default" w:ascii="Calibri" w:hAnsi="Calibri" w:eastAsia="宋体" w:cs="Times New Roman"/>
      <w:sz w:val="24"/>
      <w:szCs w:val="22"/>
      <w:lang w:val="en-US" w:eastAsia="zh-CN" w:bidi="ar-SA"/>
    </w:rPr>
  </w:style>
  <w:style w:type="paragraph" w:styleId="941" w:customStyle="1">
    <w:name w:val="WPSOffice手动目录 1"/>
    <w:uiPriority w:val="0"/>
    <w:qFormat/>
    <w:rPr>
      <w:rFonts w:hint="default" w:ascii="Times New Roman" w:hAnsi="Times New Roman" w:eastAsia="宋体" w:cs="Times New Roman"/>
      <w:lang w:val="en-US" w:eastAsia="zh-CN" w:bidi="ar-SA"/>
    </w:rPr>
  </w:style>
  <w:style w:type="paragraph" w:styleId="942"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43" w:customStyle="1">
    <w:name w:val="标题11"/>
    <w:uiPriority w:val="0"/>
    <w:qFormat/>
    <w:pPr>
      <w:jc w:val="center"/>
      <w:spacing w:before="240" w:after="60"/>
      <w:widowControl w:val="off"/>
      <w:outlineLvl w:val="0"/>
    </w:pPr>
    <w:rPr>
      <w:rFonts w:hint="default" w:ascii="Arial" w:hAnsi="Arial" w:eastAsia="黑体" w:cs="Times New Roman"/>
      <w:b/>
      <w:bCs/>
      <w:sz w:val="44"/>
      <w:szCs w:val="32"/>
      <w:lang w:val="en-US" w:eastAsia="zh-CN" w:bidi="ar-SA"/>
    </w:rPr>
  </w:style>
  <w:style w:type="paragraph" w:styleId="944" w:customStyle="1">
    <w:name w:val="标题 21"/>
    <w:uiPriority w:val="0"/>
    <w:qFormat/>
    <w:pPr>
      <w:jc w:val="center"/>
      <w:keepLines/>
      <w:keepNext/>
      <w:spacing w:before="260" w:after="260" w:line="415" w:lineRule="auto"/>
      <w:widowControl w:val="off"/>
      <w:outlineLvl w:val="1"/>
    </w:pPr>
    <w:rPr>
      <w:rFonts w:hint="default" w:ascii="Arial" w:hAnsi="Arial" w:eastAsia="幼圆" w:cs="Times New Roman"/>
      <w:b/>
      <w:bCs/>
      <w:sz w:val="44"/>
      <w:szCs w:val="44"/>
      <w:lang w:val="en-US" w:eastAsia="zh-CN" w:bidi="ar-SA"/>
    </w:rPr>
  </w:style>
  <w:style w:type="character" w:styleId="945" w:customStyle="1">
    <w:name w:val="标题 4 Char"/>
    <w:link w:val="738"/>
    <w:uiPriority w:val="0"/>
    <w:qFormat/>
    <w:rPr>
      <w:rFonts w:ascii="Cambria" w:hAnsi="Cambria" w:eastAsia="宋体"/>
      <w:b/>
      <w:bCs/>
      <w:sz w:val="28"/>
      <w:szCs w:val="28"/>
    </w:rPr>
  </w:style>
  <w:style w:type="paragraph" w:styleId="946" w:customStyle="1">
    <w:name w:val="p0"/>
    <w:uiPriority w:val="0"/>
    <w:qFormat/>
    <w:pPr>
      <w:jc w:val="both"/>
    </w:pPr>
    <w:rPr>
      <w:rFonts w:hint="default" w:ascii="Calibri" w:hAnsi="Calibri" w:eastAsia="宋体" w:cs="Times New Roman"/>
      <w:sz w:val="21"/>
      <w:szCs w:val="21"/>
      <w:lang w:val="en-US" w:eastAsia="zh-CN" w:bidi="ar-SA"/>
    </w:rPr>
  </w:style>
  <w:style w:type="paragraph" w:styleId="947"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4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56" w:customStyle="1">
    <w:name w:val="Normal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首行缩进_0"/>
    <w:uiPriority w:val="0"/>
    <w:qFormat/>
    <w:pPr>
      <w:ind w:firstLine="480"/>
      <w:spacing w:line="360" w:lineRule="auto"/>
      <w:widowControl w:val="off"/>
    </w:pPr>
    <w:rPr>
      <w:rFonts w:hint="default" w:ascii="宋体" w:hAnsi="宋体" w:eastAsia="宋体" w:cs="Times New Roman"/>
      <w:sz w:val="24"/>
      <w:szCs w:val="24"/>
      <w:lang w:val="en-US" w:eastAsia="zh-CN" w:bidi="ar-SA"/>
    </w:rPr>
  </w:style>
  <w:style w:type="paragraph" w:styleId="95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961"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62" w:customStyle="1">
    <w:name w:val="Normal_0_0_2"/>
    <w:uiPriority w:val="0"/>
    <w:qFormat/>
    <w:rPr>
      <w:rFonts w:hint="default" w:ascii="Times New Roman" w:hAnsi="Times New Roman" w:eastAsia="Times New Roman" w:cs="Times New Roman"/>
      <w:sz w:val="24"/>
      <w:szCs w:val="24"/>
      <w:lang w:val="en-US" w:eastAsia="zh-CN" w:bidi="ar-SA"/>
    </w:rPr>
  </w:style>
  <w:style w:type="paragraph" w:styleId="963"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66"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67"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68"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0_7"/>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975"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976"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77"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979" w:customStyle="1">
    <w:name w:val="样式1"/>
    <w:uiPriority w:val="0"/>
    <w:qFormat/>
    <w:pPr>
      <w:numPr>
        <w:ilvl w:val="0"/>
        <w:numId w:val="1"/>
      </w:numPr>
      <w:jc w:val="both"/>
      <w:widowControl w:val="off"/>
    </w:pPr>
    <w:rPr>
      <w:rFonts w:hint="default" w:ascii="宋体" w:hAnsi="宋体" w:eastAsia="宋体" w:cs="Times New Roman"/>
      <w:sz w:val="21"/>
      <w:szCs w:val="21"/>
      <w:lang w:val="en-US" w:eastAsia="zh-CN" w:bidi="ar-SA"/>
    </w:rPr>
  </w:style>
  <w:style w:type="paragraph" w:styleId="980"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985" w:customStyle="1">
    <w:name w:val="正文缩进1"/>
    <w:uiPriority w:val="0"/>
    <w:qFormat/>
    <w:pPr>
      <w:ind w:firstLine="420"/>
      <w:jc w:val="both"/>
      <w:widowControl w:val="off"/>
    </w:pPr>
    <w:rPr>
      <w:rFonts w:hint="default" w:ascii="Calibri" w:hAnsi="Calibri" w:eastAsia="宋体" w:cs="Times New Roman"/>
      <w:sz w:val="21"/>
      <w:szCs w:val="21"/>
      <w:lang w:val="en-US" w:eastAsia="zh-CN" w:bidi="ar-SA"/>
    </w:rPr>
  </w:style>
  <w:style w:type="paragraph" w:styleId="986"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987"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9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92" w:customStyle="1">
    <w:name w:val="正文文本_0"/>
    <w:uiPriority w:val="0"/>
    <w:qFormat/>
    <w:pPr>
      <w:jc w:val="both"/>
      <w:spacing w:line="400" w:lineRule="exact"/>
      <w:widowControl w:val="off"/>
    </w:pPr>
    <w:rPr>
      <w:rFonts w:hint="default" w:ascii="Times New Roman" w:hAnsi="Times New Roman" w:eastAsia="宋体" w:cs="Times New Roman"/>
      <w:sz w:val="24"/>
      <w:lang w:val="en-US" w:eastAsia="zh-CN" w:bidi="ar-SA"/>
    </w:rPr>
  </w:style>
  <w:style w:type="paragraph" w:styleId="993"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paragraph" w:styleId="994"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00" w:customStyle="1">
    <w:name w:val="页眉1"/>
    <w:uiPriority w:val="0"/>
    <w:qFormat/>
    <w:pPr>
      <w:jc w:val="center"/>
      <w:widowControl w:val="off"/>
      <w:tabs>
        <w:tab w:val="center" w:pos="4153" w:leader="none"/>
        <w:tab w:val="right" w:pos="8306" w:leader="none"/>
      </w:tabs>
      <w:pBdr>
        <w:bottom w:val="single" w:color="auto" w:sz="6" w:space="1"/>
      </w:pBdr>
    </w:pPr>
    <w:rPr>
      <w:rFonts w:hint="default" w:ascii="Calibri" w:hAnsi="Calibri" w:eastAsia="宋体" w:cs="Times New Roman"/>
      <w:sz w:val="18"/>
      <w:szCs w:val="18"/>
      <w:lang w:val="en-US" w:eastAsia="zh-CN" w:bidi="ar-SA"/>
    </w:rPr>
  </w:style>
  <w:style w:type="paragraph" w:styleId="1001" w:customStyle="1">
    <w:name w:val="页脚1"/>
    <w:uiPriority w:val="0"/>
    <w:qFormat/>
    <w:pPr>
      <w:widowControl w:val="off"/>
      <w:tabs>
        <w:tab w:val="center" w:pos="4153" w:leader="none"/>
        <w:tab w:val="right" w:pos="8306" w:leader="none"/>
      </w:tabs>
    </w:pPr>
    <w:rPr>
      <w:rFonts w:hint="default" w:ascii="Calibri" w:hAnsi="Calibri" w:eastAsia="宋体" w:cs="Times New Roman"/>
      <w:sz w:val="18"/>
      <w:szCs w:val="18"/>
      <w:lang w:val="en-US" w:eastAsia="zh-CN" w:bidi="ar-SA"/>
    </w:rPr>
  </w:style>
  <w:style w:type="character" w:styleId="1002" w:customStyle="1">
    <w:name w:val="页码1"/>
    <w:link w:val="738"/>
    <w:uiPriority w:val="0"/>
    <w:qFormat/>
  </w:style>
  <w:style w:type="character" w:styleId="1003" w:customStyle="1">
    <w:name w:val="标题 4 Char3"/>
    <w:link w:val="738"/>
    <w:uiPriority w:val="0"/>
    <w:qFormat/>
    <w:rPr>
      <w:rFonts w:ascii="Cambria" w:hAnsi="Cambria" w:eastAsia="宋体"/>
      <w:b/>
      <w:bCs/>
      <w:sz w:val="28"/>
      <w:szCs w:val="28"/>
    </w:rPr>
  </w:style>
  <w:style w:type="paragraph" w:styleId="100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07" w:customStyle="1">
    <w:name w:val="默认段落字体12"/>
    <w:link w:val="738"/>
    <w:uiPriority w:val="0"/>
    <w:qFormat/>
  </w:style>
  <w:style w:type="character" w:styleId="1008" w:customStyle="1">
    <w:name w:val="默认段落字体111"/>
    <w:link w:val="738"/>
    <w:uiPriority w:val="0"/>
    <w:qFormat/>
  </w:style>
  <w:style w:type="paragraph" w:styleId="1009" w:customStyle="1">
    <w:name w:val="Plain Text1"/>
    <w:basedOn w:val="738"/>
    <w:uiPriority w:val="0"/>
    <w:qFormat/>
    <w:rPr>
      <w:rFonts w:ascii="宋体" w:hAnsi="Courier New"/>
      <w:szCs w:val="24"/>
    </w:rPr>
  </w:style>
  <w:style w:type="paragraph" w:styleId="1010" w:customStyle="1">
    <w:name w:val="纯文本11"/>
    <w:basedOn w:val="738"/>
    <w:uiPriority w:val="0"/>
    <w:qFormat/>
    <w:pPr>
      <w:jc w:val="left"/>
      <w:widowControl/>
    </w:pPr>
    <w:rPr>
      <w:rFonts w:ascii="宋体" w:hAnsi="Courier New" w:eastAsia="楷体_GB2312"/>
      <w:sz w:val="26"/>
    </w:rPr>
  </w:style>
  <w:style w:type="character" w:styleId="1011" w:customStyle="1">
    <w:name w:val="15"/>
    <w:basedOn w:val="925"/>
    <w:link w:val="738"/>
    <w:uiPriority w:val="0"/>
    <w:qFormat/>
    <w:rPr>
      <w:rFonts w:ascii="Times New Roman" w:hAnsi="Times New Roman"/>
    </w:rPr>
  </w:style>
  <w:style w:type="paragraph" w:styleId="1012" w:customStyle="1">
    <w:name w:val="纯文本1"/>
    <w:basedOn w:val="738"/>
    <w:uiPriority w:val="0"/>
    <w:qFormat/>
    <w:rPr>
      <w:rFonts w:hint="eastAsia" w:ascii="宋体" w:hAnsi="Courier New"/>
      <w:sz w:val="28"/>
      <w:szCs w:val="20"/>
    </w:rPr>
  </w:style>
  <w:style w:type="paragraph" w:styleId="1013" w:customStyle="1">
    <w:name w:val="寄信人地址1"/>
    <w:basedOn w:val="738"/>
    <w:uiPriority w:val="0"/>
    <w:qFormat/>
    <w:rPr>
      <w:rFonts w:ascii="Arial" w:hAnsi="Arial"/>
      <w:sz w:val="21"/>
      <w:szCs w:val="22"/>
    </w:rPr>
  </w:style>
  <w:style w:type="paragraph" w:styleId="1014" w:customStyle="1">
    <w:name w:val="正文文本缩进1"/>
    <w:uiPriority w:val="0"/>
    <w:qFormat/>
    <w:pPr>
      <w:ind w:firstLine="645"/>
      <w:jc w:val="both"/>
      <w:widowControl w:val="off"/>
    </w:pPr>
    <w:rPr>
      <w:rFonts w:hint="default" w:ascii="楷体_GB2312" w:hAnsi="宋体" w:eastAsia="楷体_GB2312" w:cs="Times New Roman"/>
      <w:sz w:val="32"/>
      <w:szCs w:val="32"/>
      <w:lang w:val="en-US" w:eastAsia="zh-CN" w:bidi="ar-SA"/>
    </w:rPr>
  </w:style>
  <w:style w:type="table" w:styleId="1015" w:customStyle="1">
    <w:name w:val="网格型1"/>
    <w:uiPriority w:val="0"/>
    <w:qFormat/>
    <w:rPr>
      <w:lang w:val="en-US" w:eastAsia="zh-CN" w:bidi="ar-SA"/>
    </w:rPr>
    <w:tblPr/>
  </w:style>
  <w:style w:type="character" w:styleId="1016" w:customStyle="1">
    <w:name w:val="默认段落字体1"/>
    <w:link w:val="738"/>
    <w:uiPriority w:val="0"/>
    <w:qFormat/>
  </w:style>
  <w:style w:type="paragraph" w:styleId="1017" w:customStyle="1">
    <w:name w:val="页眉2"/>
    <w:basedOn w:val="738"/>
    <w:link w:val="1018"/>
    <w:uiPriority w:val="0"/>
    <w:qFormat/>
    <w:pPr>
      <w:jc w:val="center"/>
      <w:tabs>
        <w:tab w:val="center" w:pos="4153" w:leader="none"/>
        <w:tab w:val="right" w:pos="8306" w:leader="none"/>
      </w:tabs>
      <w:pBdr>
        <w:bottom w:val="single" w:color="auto" w:sz="6" w:space="1"/>
      </w:pBdr>
    </w:pPr>
    <w:rPr>
      <w:sz w:val="18"/>
      <w:szCs w:val="18"/>
    </w:rPr>
  </w:style>
  <w:style w:type="character" w:styleId="1018" w:customStyle="1">
    <w:name w:val="页眉 Char"/>
    <w:basedOn w:val="925"/>
    <w:link w:val="1017"/>
    <w:uiPriority w:val="0"/>
    <w:qFormat/>
    <w:rPr>
      <w:rFonts w:ascii="Calibri" w:hAnsi="Calibri"/>
      <w:sz w:val="18"/>
      <w:szCs w:val="18"/>
    </w:rPr>
  </w:style>
  <w:style w:type="paragraph" w:styleId="1019" w:customStyle="1">
    <w:name w:val="页脚2"/>
    <w:basedOn w:val="738"/>
    <w:link w:val="1020"/>
    <w:uiPriority w:val="0"/>
    <w:qFormat/>
    <w:pPr>
      <w:jc w:val="left"/>
      <w:tabs>
        <w:tab w:val="center" w:pos="4153" w:leader="none"/>
        <w:tab w:val="right" w:pos="8306" w:leader="none"/>
      </w:tabs>
    </w:pPr>
    <w:rPr>
      <w:sz w:val="18"/>
      <w:szCs w:val="18"/>
    </w:rPr>
  </w:style>
  <w:style w:type="character" w:styleId="1020" w:customStyle="1">
    <w:name w:val="页脚 Char"/>
    <w:basedOn w:val="925"/>
    <w:link w:val="1019"/>
    <w:uiPriority w:val="0"/>
    <w:qFormat/>
    <w:rPr>
      <w:rFonts w:ascii="Calibri" w:hAnsi="Calibri"/>
      <w:sz w:val="18"/>
      <w:szCs w:val="18"/>
    </w:rPr>
  </w:style>
  <w:style w:type="paragraph" w:styleId="1021" w:customStyle="1">
    <w:name w:val="批注框文本1"/>
    <w:basedOn w:val="738"/>
    <w:link w:val="1022"/>
    <w:uiPriority w:val="0"/>
    <w:qFormat/>
    <w:rPr>
      <w:sz w:val="18"/>
      <w:szCs w:val="18"/>
    </w:rPr>
  </w:style>
  <w:style w:type="character" w:styleId="1022" w:customStyle="1">
    <w:name w:val="批注框文本 Char"/>
    <w:basedOn w:val="925"/>
    <w:link w:val="1021"/>
    <w:uiPriority w:val="0"/>
    <w:qFormat/>
    <w:rPr>
      <w:rFonts w:ascii="Calibri" w:hAnsi="Calibri"/>
      <w:sz w:val="18"/>
      <w:szCs w:val="18"/>
    </w:rPr>
  </w:style>
  <w:style w:type="paragraph" w:styleId="1023"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028" w:customStyle="1">
    <w:name w:val="段"/>
    <w:next w:val="73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29" w:customStyle="1">
    <w:name w:val="Normal_1_0_0"/>
    <w:uiPriority w:val="0"/>
    <w:qFormat/>
    <w:rPr>
      <w:rFonts w:hint="default" w:ascii="Times New Roman" w:hAnsi="Times New Roman" w:eastAsia="Times New Roman" w:cs="Times New Roman"/>
      <w:sz w:val="24"/>
      <w:szCs w:val="24"/>
    </w:rPr>
  </w:style>
  <w:style w:type="paragraph" w:styleId="1030" w:customStyle="1">
    <w:name w:val="标题 411"/>
    <w:basedOn w:val="738"/>
    <w:next w:val="738"/>
    <w:uiPriority w:val="0"/>
    <w:unhideWhenUsed/>
    <w:qFormat/>
    <w:pPr>
      <w:keepLines/>
      <w:keepNext/>
      <w:spacing w:before="280" w:after="290" w:line="374" w:lineRule="auto"/>
      <w:outlineLvl w:val="3"/>
    </w:pPr>
    <w:rPr>
      <w:rFonts w:ascii="Arial" w:hAnsi="Arial" w:eastAsia="黑体" w:cs="Arial"/>
      <w:b/>
      <w:bCs/>
      <w:sz w:val="28"/>
      <w:szCs w:val="28"/>
    </w:rPr>
  </w:style>
  <w:style w:type="table" w:styleId="1031" w:customStyle="1">
    <w:name w:val="Table Normal"/>
    <w:uiPriority w:val="0"/>
    <w:semiHidden/>
    <w:unhideWhenUsed/>
    <w:qFormat/>
    <w:tblPr>
      <w:tblCellMar>
        <w:left w:w="0" w:type="dxa"/>
        <w:top w:w="0" w:type="dxa"/>
        <w:right w:w="0" w:type="dxa"/>
        <w:bottom w:w="0" w:type="dxa"/>
      </w:tblCellMar>
    </w:tblPr>
  </w:style>
  <w:style w:type="table" w:styleId="1032" w:customStyle="1">
    <w:name w:val="网格型3"/>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林空鹿饮溪</dc:creator>
  <cp:lastModifiedBy>孙玮泽</cp:lastModifiedBy>
  <cp:revision>9</cp:revision>
  <dcterms:created xsi:type="dcterms:W3CDTF">2025-09-16T01:10:00Z</dcterms:created>
  <dcterms:modified xsi:type="dcterms:W3CDTF">2026-09-18T02:54:11Z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667CC299A5A544E6ABBE5DF753B38CDE_13</vt:lpwstr>
  </property>
  <property fmtid="{D5CDD505-2E9C-101B-9397-08002B2CF9AE}" pid="4" name="KSOTemplateDocerSaveRecord">
    <vt:lpwstr>eyJoZGlkIjoiZmQzZjFkOGQxMDdiNTkxYTkyYzZmMGE4YTIxMTU2YTAiLCJ1c2VySWQiOiIxMzkxNTc0MTQ5In0=</vt:lpwstr>
  </property>
</Properties>
</file>