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57"/>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pStyle w:val="957"/>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 w:val="0"/>
          <w:bCs/>
          <w:color w:val="000000" w:themeColor="text1"/>
          <w:spacing w:val="76"/>
          <w:sz w:val="72"/>
          <w:szCs w:val="72"/>
          <w:highlight w:val="none"/>
          <w14:textFill>
            <w14:solidFill>
              <w14:schemeClr w14:val="tx1"/>
            </w14:solidFill>
          </w14:textFill>
        </w:rPr>
      </w:pPr>
      <w:r>
        <w:rPr>
          <w:rFonts w:hint="eastAsia" w:ascii="宋体" w:hAnsi="宋体" w:eastAsia="宋体" w:cs="宋体"/>
          <w:b w:val="0"/>
          <w:bCs/>
          <w:color w:val="000000" w:themeColor="text1"/>
          <w:spacing w:val="76"/>
          <w:sz w:val="72"/>
          <w:szCs w:val="72"/>
          <w:highlight w:val="none"/>
          <w:lang w:eastAsia="zh-CN"/>
          <w14:textFill>
            <w14:solidFill>
              <w14:schemeClr w14:val="tx1"/>
            </w14:solidFill>
          </w14:textFill>
        </w:rPr>
        <w:t xml:space="preserve">招标文件</w:t>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pStyle w:val="995"/>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pStyle w:val="99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ind w:firstLine="128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JSZC-320324-JSKJ-G2026-0040</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2874" w:hanging="1599"/>
        <w:keepLines w:val="0"/>
        <w:keepNext w:val="0"/>
        <w:pageBreakBefore w:val="0"/>
        <w:spacing w:line="360" w:lineRule="auto"/>
        <w:widowControl w:val="off"/>
        <w:rPr>
          <w:rFonts w:hint="eastAsia" w:ascii="宋体" w:hAnsi="宋体" w:cs="宋体"/>
          <w:spacing w:val="-6"/>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pacing w:val="-6"/>
          <w:sz w:val="30"/>
          <w:szCs w:val="30"/>
          <w:highlight w:val="none"/>
          <w:lang w:eastAsia="zh-CN"/>
          <w14:textFill>
            <w14:solidFill>
              <w14:schemeClr w14:val="tx1"/>
            </w14:solidFill>
          </w14:textFill>
        </w:rPr>
        <w:t xml:space="preserve">睢宁县人民医院彩色多普勒超声诊断仪</w:t>
      </w:r>
      <w:r>
        <w:rPr>
          <w:rFonts w:hint="eastAsia" w:ascii="宋体" w:hAnsi="宋体" w:eastAsia="宋体" w:cs="宋体"/>
          <w:color w:val="000000" w:themeColor="text1"/>
          <w:sz w:val="30"/>
          <w:szCs w:val="30"/>
          <w:highlight w:val="none"/>
          <w:lang w:eastAsia="zh-CN"/>
          <w14:textFill>
            <w14:solidFill>
              <w14:schemeClr w14:val="tx1"/>
            </w14:solidFill>
          </w14:textFill>
        </w:rPr>
      </w:r>
    </w:p>
    <w:p>
      <w:pPr>
        <w:ind w:left="2874" w:hanging="1599"/>
        <w:keepLines w:val="0"/>
        <w:keepNext w:val="0"/>
        <w:pageBreakBefore w:val="0"/>
        <w:spacing w:line="360" w:lineRule="auto"/>
        <w:widowControl w:val="off"/>
        <w:rPr>
          <w:rFonts w:hint="eastAsia" w:ascii="宋体" w:hAnsi="宋体" w:eastAsia="宋体" w:cs="宋体"/>
          <w:sz w:val="30"/>
          <w:szCs w:val="30"/>
          <w:highlight w:val="none"/>
          <w:lang w:eastAsia="zh-CN"/>
          <w14:textFill>
            <w14:solidFill>
              <w14:schemeClr w14:val="tx1"/>
            </w14:solidFill>
          </w14:textFill>
        </w:rPr>
      </w:pPr>
      <w:r>
        <w:rPr>
          <w:rFonts w:hint="eastAsia" w:ascii="宋体" w:hAnsi="宋体" w:cs="宋体"/>
          <w:color w:val="000000" w:themeColor="text1"/>
          <w:spacing w:val="-6"/>
          <w:sz w:val="30"/>
          <w:szCs w:val="30"/>
          <w:highlight w:val="none"/>
          <w:lang w:eastAsia="zh-CN"/>
          <w14:textFill>
            <w14:solidFill>
              <w14:schemeClr w14:val="tx1"/>
            </w14:solidFill>
          </w14:textFill>
        </w:rPr>
        <w:t xml:space="preserve">          (泌尿外科专用)采购项目</w:t>
      </w:r>
      <w:r/>
      <w:r/>
    </w:p>
    <w:p>
      <w:pPr>
        <w:ind w:left="2873"/>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1280"/>
        <w:rPr>
          <w:rFonts w:hint="eastAsia" w:ascii="宋体" w:hAnsi="宋体" w:eastAsia="宋体" w:cs="宋体"/>
          <w:color w:val="000000" w:themeColor="text1"/>
          <w:sz w:val="32"/>
          <w:szCs w:val="21"/>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睢宁县人民医院</w:t>
      </w:r>
      <w:r/>
    </w:p>
    <w:p>
      <w:pPr>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pStyle w:val="953"/>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0"/>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mc:AlternateContent>
          <mc:Choice Requires="wpg">
            <w:drawing>
              <wp:inline xmlns:wp="http://schemas.openxmlformats.org/drawingml/2006/wordprocessingDrawing" distT="0" distB="0" distL="0" distR="0">
                <wp:extent cx="4762500" cy="68580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10" name="图片 8"/>
                        <pic:cNvPicPr/>
                        <pic:nvPr/>
                      </pic:nvPicPr>
                      <pic:blipFill>
                        <a:blip r:embed="rId21"/>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5.0pt;height:54.0pt;mso-wrap-distance-left:0.0pt;mso-wrap-distance-top:0.0pt;mso-wrap-distance-right:0.0pt;mso-wrap-distance-bottom:0.0pt;" stroked="f">
                <v:path textboxrect="0,0,0,0"/>
                <v:imagedata r:id="rId21" o:title=""/>
              </v:shape>
            </w:pict>
          </mc:Fallback>
        </mc:AlternateConten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cs="宋体"/>
          <w:bCs/>
          <w:color w:val="000000" w:themeColor="text1"/>
          <w:sz w:val="32"/>
          <w:szCs w:val="32"/>
          <w:highlight w:val="none"/>
          <w14:textFill>
            <w14:solidFill>
              <w14:schemeClr w14:val="tx1"/>
            </w14:solidFill>
          </w14:textFill>
        </w:rPr>
        <w:sectPr>
          <w:headerReference w:type="default" r:id="rId9"/>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z w:val="32"/>
          <w:szCs w:val="32"/>
          <w:highlight w:val="none"/>
          <w14:textFill>
            <w14:solidFill>
              <w14:schemeClr w14:val="tx1"/>
            </w14:solidFill>
          </w14:textFill>
        </w:rPr>
        <w:t xml:space="preserve">二〇二</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32"/>
          <w:szCs w:val="32"/>
          <w:highlight w:val="none"/>
          <w14:textFill>
            <w14:solidFill>
              <w14:schemeClr w14:val="tx1"/>
            </w14:solidFill>
          </w14:textFill>
        </w:rPr>
        <w:t xml:space="preserve">年</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32"/>
          <w:szCs w:val="32"/>
          <w:highlight w:val="none"/>
          <w14:textFill>
            <w14:solidFill>
              <w14:schemeClr w14:val="tx1"/>
            </w14:solidFill>
          </w14:textFill>
        </w:rPr>
        <w:t xml:space="preserve">月</w:t>
      </w:r>
      <w:r/>
    </w:p>
    <w:p>
      <w:pPr>
        <w:jc w:val="center"/>
        <w:spacing w:line="360" w:lineRule="auto"/>
        <w:rPr>
          <w:rFonts w:hint="default" w:ascii="Times New Roman" w:hAnsi="Times New Roman" w:eastAsia="宋体" w:cs="Times New Roman"/>
          <w:color w:val="000000" w:themeColor="text1"/>
          <w:sz w:val="44"/>
          <w:szCs w:val="44"/>
          <w:highlight w:val="none"/>
          <w14:textFill>
            <w14:solidFill>
              <w14:schemeClr w14:val="tx1"/>
            </w14:solidFill>
          </w14:textFill>
        </w:rPr>
      </w:pPr>
      <w:r>
        <w:rPr>
          <w:rFonts w:hint="default" w:ascii="宋体" w:hAnsi="宋体" w:eastAsia="宋体" w:cs="Times New Roman"/>
          <w:color w:val="000000" w:themeColor="text1"/>
          <w:sz w:val="44"/>
          <w:szCs w:val="44"/>
          <w:highlight w:val="none"/>
          <w14:textFill>
            <w14:solidFill>
              <w14:schemeClr w14:val="tx1"/>
            </w14:solidFill>
          </w14:textFill>
        </w:rPr>
        <w:t xml:space="preserve">目录</w:t>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TOC \o "1-1" \h \u </w:instrTex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"_Toc11429"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_Toc11429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"_Toc31695"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_Toc31695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"_Toc23056"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第三章  投标资料表</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_Toc23056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"_Toc14205"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56"/>
          <w:highlight w:val="none"/>
          <w:lang w:val="en-US" w:eastAsia="zh-CN" w:bidi="ar-SA"/>
          <w14:textFill>
            <w14:solidFill>
              <w14:schemeClr w14:val="tx1"/>
            </w14:solidFill>
          </w14:textFill>
        </w:rPr>
        <w:t xml:space="preserve">第四章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评标标准</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_Toc14205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25</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"_Toc25688"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0"/>
          <w:highlight w:val="none"/>
          <w:lang w:val="en-US" w:eastAsia="zh-CN" w:bidi="ar-SA"/>
          <w14:textFill>
            <w14:solidFill>
              <w14:schemeClr w14:val="tx1"/>
            </w14:solidFill>
          </w14:textFill>
        </w:rPr>
        <w:t xml:space="preserve">第五章  采购需求</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_Toc25688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28</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"_Toc17747"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第六章  拟签订的合同文本</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_Toc17747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28</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"_Toc1772"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第七章  投标文件相关格式</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_Toc1772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51</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before="120"/>
        <w:widowControl w:val="off"/>
        <w:rPr>
          <w:rFonts w:hint="default" w:ascii="Cambria" w:hAnsi="Cambria" w:eastAsia="宋体" w:cs="Cambria"/>
          <w:color w:val="000000" w:themeColor="text1"/>
          <w:sz w:val="24"/>
          <w:szCs w:val="21"/>
          <w:highlight w:val="none"/>
          <w:lang w:val="en-US" w:eastAsia="zh-CN" w:bidi="ar-SA"/>
          <w14:textFill>
            <w14:solidFill>
              <w14:schemeClr w14:val="tx1"/>
            </w14:solidFill>
          </w14:textFill>
        </w:rPr>
      </w:pPr>
      <w:r>
        <w:rPr>
          <w:rFonts w:hint="eastAsia" w:ascii="Cambria" w:hAnsi="Cambria" w:eastAsia="宋体" w:cs="Cambria"/>
          <w:color w:val="000000" w:themeColor="text1"/>
          <w:sz w:val="24"/>
          <w:szCs w:val="21"/>
          <w:highlight w:val="none"/>
          <w:lang w:val="en-US" w:eastAsia="zh-CN" w:bidi="ar-SA"/>
          <w14:textFill>
            <w14:solidFill>
              <w14:schemeClr w14:val="tx1"/>
            </w14:solidFill>
          </w14:textFill>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themeColor="text1"/>
          <w:sz w:val="28"/>
          <w:szCs w:val="28"/>
          <w:highlight w:val="none"/>
          <w14:textFill>
            <w14:solidFill>
              <w14:schemeClr w14:val="tx1"/>
            </w14:solidFill>
          </w14:textFill>
        </w:rPr>
        <w:br w:type="column"/>
      </w:r>
      <w:r>
        <w:rPr>
          <w:rFonts w:hint="eastAsia" w:ascii="宋体" w:hAnsi="宋体" w:cs="宋体"/>
          <w:b/>
          <w:bCs/>
          <w:color w:val="000000" w:themeColor="text1"/>
          <w:sz w:val="28"/>
          <w:szCs w:val="28"/>
          <w:highlight w:val="none"/>
          <w:lang w:eastAsia="zh-CN"/>
          <w14:textFill>
            <w14:solidFill>
              <w14:schemeClr w14:val="tx1"/>
            </w14:solidFill>
          </w14:textFill>
        </w:rPr>
        <w:t xml:space="preserve">睢宁县人民医院</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睢宁县人民医院彩色多普勒超声诊断仪(泌尿外科专用)采购项目</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0" w:name="_Toc11429"/>
      <w:r>
        <w:rPr>
          <w:rFonts w:hint="eastAsia" w:ascii="宋体" w:hAnsi="宋体" w:eastAsia="宋体" w:cs="宋体"/>
          <w:b/>
          <w:bCs/>
          <w:color w:val="000000" w:themeColor="text1"/>
          <w:sz w:val="32"/>
          <w:szCs w:val="32"/>
          <w:highlight w:val="none"/>
          <w14:textFill>
            <w14:solidFill>
              <w14:schemeClr w14:val="tx1"/>
            </w14:solidFill>
          </w14:textFill>
        </w:rPr>
        <w:t xml:space="preserve">第一章  投标邀请</w:t>
      </w:r>
      <w:bookmarkEnd w:id="0"/>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江苏科建工程项目管理有限公司</w:t>
      </w:r>
      <w:r>
        <w:rPr>
          <w:rFonts w:hint="eastAsia" w:ascii="宋体" w:hAnsi="宋体" w:eastAsia="宋体" w:cs="宋体"/>
          <w:color w:val="000000" w:themeColor="text1"/>
          <w:sz w:val="24"/>
          <w:szCs w:val="21"/>
          <w:highlight w:val="none"/>
          <w14:textFill>
            <w14:solidFill>
              <w14:schemeClr w14:val="tx1"/>
            </w14:solidFill>
          </w14:textFill>
        </w:rPr>
        <w:t xml:space="preserve">对</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睢宁县人民医院彩色多普勒超声诊断仪(泌尿外科专用)采购项目</w:t>
      </w:r>
      <w:r>
        <w:rPr>
          <w:rFonts w:hint="eastAsia" w:ascii="宋体" w:hAnsi="宋体" w:eastAsia="宋体" w:cs="宋体"/>
          <w:color w:val="000000" w:themeColor="text1"/>
          <w:sz w:val="24"/>
          <w:szCs w:val="21"/>
          <w:highlight w:val="none"/>
          <w14:textFill>
            <w14:solidFill>
              <w14:schemeClr w14:val="tx1"/>
            </w14:solidFill>
          </w14:textFill>
        </w:rPr>
        <w:t xml:space="preserve">进行公开招标采购，现欢迎符合相关条件的投标人投标。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一、项目名称和项目编号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1.项目名称：</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睢宁县人民医院彩色多普勒超声诊断仪(泌尿外科专用)采购项目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JSZC-320324-JSKJ-G2026-0040</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二、投标人的资格要求：</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详</w:t>
      </w:r>
      <w:r>
        <w:rPr>
          <w:rFonts w:hint="eastAsia" w:ascii="宋体" w:hAnsi="宋体" w:eastAsia="宋体" w:cs="宋体"/>
          <w:color w:val="000000" w:themeColor="text1"/>
          <w:sz w:val="24"/>
          <w:szCs w:val="21"/>
          <w:highlight w:val="none"/>
          <w14:textFill>
            <w14:solidFill>
              <w14:schemeClr w14:val="tx1"/>
            </w14:solidFill>
          </w14:textFill>
        </w:rPr>
        <w:t xml:space="preserve">见本项目公开招标公告</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JSZC-320324-JSKJ-G2026-0040）</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（1）潜在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系统用户注册-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②潜在</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访问“苏采云”系统的网络地址和方法：“苏采云”系统的网址：</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；或进入徐州政府采购网（网址：</w:t>
      </w:r>
      <w:r>
        <w:rPr>
          <w:rFonts w:hint="eastAsia" w:ascii="宋体" w:hAnsi="宋体" w:cs="宋体"/>
          <w:color w:val="000000" w:themeColor="text1"/>
          <w:sz w:val="24"/>
          <w:szCs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④采购文件（后缀名为“.kedt”）、</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操作手册及政府采购客户端工具可通过“苏采云”系统--已报名项目--报名详情页面内相应链接进行下载；</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（2）采购代理机构将数据电文形式的招标文件加载至电子招标投标交易平台，供潜在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000000" w:themeColor="text1"/>
          <w:sz w:val="24"/>
          <w:szCs w:val="28"/>
          <w:highlight w:val="none"/>
          <w14:textFill>
            <w14:solidFill>
              <w14:schemeClr w14:val="tx1"/>
            </w14:solidFill>
          </w14:textFill>
        </w:rP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（4）售价：免费。</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四、投标有关信息：</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1.投标截止时间：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11月04日</w:t>
      </w:r>
      <w:r>
        <w:rPr>
          <w:rFonts w:hint="eastAsia" w:ascii="宋体" w:hAnsi="宋体" w:cs="宋体"/>
          <w:bCs/>
          <w:color w:val="000000" w:themeColor="text1"/>
          <w:sz w:val="24"/>
          <w:szCs w:val="28"/>
          <w:highlight w:val="none"/>
          <w:lang w:eastAsia="zh-CN"/>
          <w14:textFill>
            <w14:solidFill>
              <w14:schemeClr w14:val="tx1"/>
            </w14:solidFill>
          </w14:textFill>
        </w:rPr>
        <w:t xml:space="preserve">09点10分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2.开标时间：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11月04日</w:t>
      </w:r>
      <w:r>
        <w:rPr>
          <w:rFonts w:hint="eastAsia" w:ascii="宋体" w:hAnsi="宋体" w:cs="宋体"/>
          <w:bCs/>
          <w:color w:val="000000" w:themeColor="text1"/>
          <w:sz w:val="24"/>
          <w:szCs w:val="28"/>
          <w:highlight w:val="none"/>
          <w:lang w:eastAsia="zh-CN"/>
          <w14:textFill>
            <w14:solidFill>
              <w14:schemeClr w14:val="tx1"/>
            </w14:solidFill>
          </w14:textFill>
        </w:rPr>
        <w:t xml:space="preserve">09点10分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3.线上开标地点：“苏采云”系统（网址：</w:t>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t xml:space="preserve">）“开标大厅”或进入徐州政府采购网（网址： </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五、公告发布媒介：在徐州政府采购网（</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）上发布。</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六、采购人</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名称</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睢宁县八一西路2号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3.联系方式：</w:t>
      </w:r>
      <w:r>
        <w:rPr>
          <w:rFonts w:hint="eastAsia" w:ascii="宋体" w:hAnsi="宋体" w:cs="宋体"/>
          <w:color w:val="000000" w:themeColor="text1"/>
          <w:sz w:val="24"/>
          <w:szCs w:val="21"/>
          <w:highlight w:val="none"/>
          <w:lang w:val="en-US" w:eastAsia="zh-CN"/>
          <w14:textFill>
            <w14:solidFill>
              <w14:schemeClr w14:val="tx1"/>
            </w14:solidFill>
          </w14:textFill>
        </w:rPr>
        <w:t xml:space="preserve">0516-68062028</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七、采购代理机构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1.名称：江苏科建工程项目管理有限公司</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2.地址：徐州市泉山区软件园路2号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3.采购项目联系人：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朱文颖</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朱柄昱</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4.联系方式：0516-85610680</w:t>
      </w:r>
      <w:r/>
    </w:p>
    <w:p>
      <w:pPr>
        <w:jc w:val="righ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bookmarkStart w:id="1" w:name="_Toc31695"/>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第二章  投标人须知</w:t>
      </w:r>
      <w:bookmarkEnd w:id="1"/>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目录</w:t>
      </w:r>
      <w:r/>
    </w:p>
    <w:p>
      <w:pPr>
        <w:ind w:left="42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一、总则</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二、招标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三、投标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四、开标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五、评标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六、定标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七、政府采购合同</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八、询问和质疑</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九、电子招标投标交易平台</w:t>
      </w:r>
      <w:r/>
    </w:p>
    <w:p>
      <w:pPr>
        <w:jc w:val="center"/>
        <w:spacing w:line="312"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24"/>
          <w:szCs w:val="21"/>
          <w:highlight w:val="none"/>
          <w14:textFill>
            <w14:solidFill>
              <w14:schemeClr w14:val="tx1"/>
            </w14:solidFill>
          </w14:textFill>
        </w:rPr>
        <w:t xml:space="preserve">一、总则</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（一）采购人。采购人是指依法进行政府采购的国家机关、事业单位、团体组织。</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（六）投标人的资格条件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1.参加采购货物服务投标活动的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（以下简称“投标人”），应当是提供本国货物服务的本国</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，但法律、行政法规规定外国</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可以参加货物服务招标投标活动的除外。</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投标人，是指响应招标、参加投标竞争的法人、其他组织或者自然人。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2.投标人授权代表系指法定代表人或受法人委托的受托人。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（七）投标费用：投标人应承担所有与准备和参加投标有关的</w:t>
      </w:r>
      <w:r>
        <w:rPr>
          <w:rFonts w:hint="eastAsia" w:ascii="宋体" w:hAnsi="宋体" w:cs="宋体"/>
          <w:color w:val="000000" w:themeColor="text1"/>
          <w:sz w:val="24"/>
          <w:szCs w:val="21"/>
          <w:highlight w:val="none"/>
          <w:lang w:val="en-US" w:eastAsia="zh-CN"/>
          <w14:textFill>
            <w14:solidFill>
              <w14:schemeClr w14:val="tx1"/>
            </w14:solidFill>
          </w14:textFill>
        </w:rPr>
        <w:t xml:space="preserve">代理及评审</w:t>
      </w:r>
      <w:r>
        <w:rPr>
          <w:rFonts w:hint="eastAsia" w:ascii="宋体" w:hAnsi="宋体" w:eastAsia="宋体" w:cs="宋体"/>
          <w:color w:val="000000" w:themeColor="text1"/>
          <w:sz w:val="24"/>
          <w:szCs w:val="21"/>
          <w:highlight w:val="none"/>
          <w14:textFill>
            <w14:solidFill>
              <w14:schemeClr w14:val="tx1"/>
            </w14:solidFill>
          </w14:textFill>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二、招标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（八）招标文件的内容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1.招标文件包括以下内容：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第一章 投标邀请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第二章 投标人须知</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第三章 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第四章 评标标准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第五章 采购需求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第六章 拟签订的合同文本</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第七章 投标文件相关格式</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3.样品 本项目对样品的要求：见招标文件第三章《投标资料表》。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（九）招标文件澄清或者修改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2.现场考察以招标文件第三章《投标资料表》中的要求为准。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3.开标前答疑会以招标文件第三章《投标资料表》中的要求为准。</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三、投标</w:t>
      </w:r>
      <w:r/>
    </w:p>
    <w:p>
      <w:pPr>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（十二）投标文件的构成</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1.投标文件的构成以招标文件第三章《投标资料表》中的要求为准。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（十三）投标函和价格表、商务条件、交货和提供服务的时间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2.商务条件：以招标文件第三章《投标资料表》中的要求为准。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3.交货和提供服务的时间：以招标文件第三章《投标资料表》中的要求为准。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（十四）投标报价要求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1.投标人应按照招标文件的要求报出分项价格和总价。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3.采购人不支付报价以外的任何费用。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（十五）投标货币。以招标文件第三章《投标资料表》中的要求为准。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（十六）投标有效期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。采购人可以要求对投标有效期延长一次，但该延长期最长不得超过30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（十七）本项目为电子投标，电子投标文件编制要求和签署要求：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（1）投标人应由其法定代表人或法定代表人授权代表在规定的网上投标时间，凭 CA 证书</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1"/>
          <w:highlight w:val="none"/>
          <w14:textFill>
            <w14:solidFill>
              <w14:schemeClr w14:val="tx1"/>
            </w14:solidFill>
          </w14:textFill>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（十八）投标文件的盖章要求：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1.投标文件的盖章要求以招标文件第三章《投标资料表》中的要求为准。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（二十二）本项目不允许分包。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（二十四）有下列情形之一的，其投标无效：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不同投标人委托同一单位或者个人办理投标事宜的；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.不同投标人的投标文件中，所载明的项目管理成员或联系人为同一人；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.不同投标人的投标文件，异常一致或者投标报价呈规律性差异；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5.不同投标人的单位负责人为同一人或者存在直接控股、管理关系的；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电子</w:t>
      </w:r>
      <w:r>
        <w:rPr>
          <w:rFonts w:hint="eastAsia" w:ascii="宋体" w:hAnsi="宋体" w:eastAsia="宋体" w:cs="宋体"/>
          <w:color w:val="000000" w:themeColor="text1"/>
          <w:sz w:val="24"/>
          <w:szCs w:val="21"/>
          <w:highlight w:val="none"/>
          <w14:textFill>
            <w14:solidFill>
              <w14:schemeClr w14:val="tx1"/>
            </w14:solidFill>
          </w14:textFill>
        </w:rPr>
        <w:t xml:space="preserve">投标文件未按招标文件要求签署、盖章的；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1"/>
          <w:highlight w:val="none"/>
          <w14:textFill>
            <w14:solidFill>
              <w14:schemeClr w14:val="tx1"/>
            </w14:solidFill>
          </w14:textFill>
        </w:rPr>
        <w:t xml:space="preserve">.项目（标段）投标总价超过本项目（标段）预算或最高限价的；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.投标文件含有采购人不能接受的附加条件的；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.投标人的法定代表人授权代表，无法定代表人授权委托书的；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.投标文件中有招标文件未允许提供的选择性内容；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.提供虚假材料的（包括工商营业执照、财务报表、资格证明文件等）；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.投标文件内容不全或不符合招标文件中规定的其它实质性要求的；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.电子投标文件未按规定期限和地址递交的；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.电子投标文件未按招标文件要求签章的；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.投标人未在规定时间内解密电子投标文件的；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.法律法规和招标文件规定的其它无效情形。 </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四、开标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（二十五）开标</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开标由工作人员操作系统进行开标、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由电子招标投标交易平台主持，邀请投标人参加。</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6.投标人未参加开标的，视同认可开标结果。</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五、评标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1.评标工作由采购代理机构负责组织，并履行下列职责：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（2）宣布评标纪律；</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（3）公布投标人名单，告知评审专家应当回避的情形；</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（4）组织评标委员会推选评标组长，采购人代表不得担任组长；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（6）根据评标委员会的要求介绍政府采购相关政策法规、招标文件；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（8）核对评标结果，有《</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"http://www.caigou2003.com/"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政府采购</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（10）处理与评标有关的其他事项。</w:t>
      </w:r>
      <w:r/>
    </w:p>
    <w:p>
      <w:pPr>
        <w:ind w:firstLine="36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一并存档。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2.评标委员会负责具体评标事务，并独立履行下列职责：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（2）要求投标人对投标文件有关事项作出澄清或者说明；</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（3）对投标文件进行比较和评价；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（4）确定中标候选人名单，以及根据采购人委托直接确定中标人；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（二十八）评标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1.评标工作程序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（1）投标文件初审。</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①资格性审查。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②符合性审查。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（2）澄清有关问题。</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（3）比较与评价。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（4）推荐中标候选投标人名单。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（5）编写评审报告（评标报告）。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3.采用</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"http://lilun.caigou2003.com/recijiedu/2365668.html"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采用</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"http://lilun.caigou2003.com/recijiedu/2365667.html" \t "_blank"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综合评分法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（二十九）投标文件报价出现前后不一致的，按照下列规定修正：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2.大写金额和小写金额不一致的，以大写金额为准；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实施政府采购异常低价审查的有关要求：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相关法律法规对供应商报价有规定的，从其规定。</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4"/>
          <w:highlight w:val="none"/>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4"/>
          <w:highlight w:val="none"/>
          <w14:textFill>
            <w14:solidFill>
              <w14:schemeClr w14:val="tx1"/>
            </w14:solidFill>
          </w14:textFill>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（三十二）废标条款：</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出现下列情形之一的，应予废标：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1.符合专业条件的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或者对招标文件作实质响应的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不足三家的；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2.出现影响采购公正的违法、违规行为的；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3.投标人的报价均超过了采购预算，采购人不能支付的；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4.因重大变故，采购任务取消的。</w:t>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六、定标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000000" w:themeColor="text1"/>
          <w:sz w:val="24"/>
          <w:szCs w:val="21"/>
          <w:highlight w:val="none"/>
          <w14:textFill>
            <w14:solidFill>
              <w14:schemeClr w14:val="tx1"/>
            </w14:solidFill>
          </w14:textFill>
        </w:rPr>
        <w:t xml:space="preserve">徐州政府采购网（</w:t>
      </w:r>
      <w:r>
        <w:rPr>
          <w:rFonts w:hint="eastAsia" w:ascii="宋体" w:hAnsi="宋体" w:cs="宋体"/>
          <w:bCs/>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bCs/>
          <w:color w:val="000000" w:themeColor="text1"/>
          <w:sz w:val="24"/>
          <w:szCs w:val="21"/>
          <w:highlight w:val="none"/>
          <w14:textFill>
            <w14:solidFill>
              <w14:schemeClr w14:val="tx1"/>
            </w14:solidFill>
          </w14:textFill>
        </w:rPr>
        <w:t xml:space="preserve">）上发布</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（三十五）</w:t>
      </w:r>
      <w:bookmarkStart w:id="2" w:name="OLE_LINK1"/>
      <w:r/>
      <w:bookmarkStart w:id="3" w:name="OLE_LINK14"/>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000000" w:themeColor="text1"/>
          <w:sz w:val="24"/>
          <w:szCs w:val="21"/>
          <w:highlight w:val="none"/>
          <w14:textFill>
            <w14:solidFill>
              <w14:schemeClr w14:val="tx1"/>
            </w14:solidFill>
          </w14:textFill>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七、政府采购合同</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（三十六）签订政府采购合同（合同签订方式）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2.中标或者成交</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拒绝与采购人签订合同的，采购人可以按照评审报告推荐的中标或者成交候选人名单排序，确定下一个候选人为中标或者成交</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，也可以重新开展政府采购活动。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（三十八）履约保证金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（三十九）腐败和欺诈行为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（1）腐败和欺诈行为的含义：</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（2）如果被推荐的中标人有腐败和欺诈行为，将取消其中标资格。</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八、询问和质疑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（四十）询问和质疑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对政府采购活动事项有疑问的，向采购代理机构提出询问；</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认为</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九、电子招标投标交易平台</w:t>
      </w:r>
      <w:r/>
    </w:p>
    <w:p>
      <w:pPr>
        <w:ind w:firstLine="48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）相关要求是本招标文件的组成部分。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br w:type="page" w:clear="all"/>
      </w:r>
      <w:bookmarkStart w:id="4" w:name="_Toc23056"/>
      <w:r>
        <w:rPr>
          <w:rFonts w:hint="eastAsia" w:ascii="宋体" w:hAnsi="宋体" w:eastAsia="宋体" w:cs="宋体"/>
          <w:b/>
          <w:bCs/>
          <w:color w:val="000000" w:themeColor="text1"/>
          <w:sz w:val="32"/>
          <w:szCs w:val="32"/>
          <w:highlight w:val="none"/>
          <w14:textFill>
            <w14:solidFill>
              <w14:schemeClr w14:val="tx1"/>
            </w14:solidFill>
          </w14:textFill>
        </w:rPr>
        <w:t xml:space="preserve">第三章  投标资料表</w:t>
      </w:r>
      <w:bookmarkEnd w:id="4"/>
      <w:r/>
      <w:r/>
    </w:p>
    <w:p>
      <w:pPr>
        <w:ind w:firstLine="480"/>
        <w:jc w:val="both"/>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该资料表的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是与第二章《投标人须知》中</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对应的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；若有</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增加的条款，是对第二章《投标人须知》的补充、修改和完善，如果</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因此</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有矛盾的话，应以本资料表为准。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bl>
      <w:tblPr>
        <w:tblStyle w:val="951"/>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本项目采购人：</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本次采购采用的政府采购方式：</w:t>
            </w:r>
            <w:r>
              <w:rPr>
                <w:rFonts w:hint="eastAsia" w:ascii="宋体" w:hAnsi="宋体" w:eastAsia="宋体" w:cs="宋体"/>
                <w:b/>
                <w:bCs/>
                <w:color w:val="000000" w:themeColor="text1"/>
                <w:sz w:val="24"/>
                <w:szCs w:val="21"/>
                <w:highlight w:val="none"/>
                <w14:textFill>
                  <w14:solidFill>
                    <w14:schemeClr w14:val="tx1"/>
                  </w14:solidFill>
                </w14:textFill>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1"/>
                <w:highlight w:val="none"/>
                <w14:textFill>
                  <w14:solidFill>
                    <w14:schemeClr w14:val="tx1"/>
                  </w14:solidFill>
                </w14:textFill>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符合《中华人民共和国政府采购法》第二十二条的规定；</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（二）落实政府采购政策需满足的资格要求：</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此项目不属于专门面向中小微企业采购的项目。</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（三）本项目的特定资格要求： </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1、所投产品为第二类医疗器械时，提供投标人有效的第二类医疗器械经营备案凭证扫描件；所投产品为第三类医疗器械时，提供投标人有效的医疗器械经营许可证扫描件。</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2、提供所投产品的有效的医疗器械注册证扫描件。</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本项目是否接受进口产品：否。</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同时明确相关事项如下：</w:t>
            </w:r>
            <w:r/>
          </w:p>
          <w:p>
            <w:pPr>
              <w:ind w:left="0" w:right="0" w:firstLine="24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1、单位负责人为同一人或者存在实际控制、直接控股、管理关系的不同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ind w:left="0" w:right="0" w:firstLine="24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2、为本采购项目提供整体设计、规范编制或者项目管理、监理、检测等服务的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，不得再参加本采购项目的采购活动。</w:t>
            </w:r>
            <w:r/>
          </w:p>
          <w:p>
            <w:pPr>
              <w:ind w:left="0" w:right="0" w:firstLine="24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3、查询及使用</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信用记录：</w:t>
            </w:r>
            <w:r/>
          </w:p>
          <w:p>
            <w:pPr>
              <w:ind w:left="0" w:right="0" w:firstLine="480"/>
              <w:jc w:val="both"/>
              <w:keepLines w:val="0"/>
              <w:keepNext w:val="0"/>
              <w:pageBreakBefore w:val="0"/>
              <w:spacing w:before="0" w:beforeAutospacing="0" w:after="0" w:afterAutospacing="0" w:line="288"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(1)由采购人查询信用信息。</w:t>
            </w:r>
            <w:r/>
          </w:p>
          <w:p>
            <w:pPr>
              <w:ind w:left="0" w:right="0" w:firstLine="480"/>
              <w:jc w:val="both"/>
              <w:keepLines w:val="0"/>
              <w:keepNext w:val="0"/>
              <w:pageBreakBefore w:val="0"/>
              <w:spacing w:before="0" w:beforeAutospacing="0" w:after="0" w:afterAutospacing="0" w:line="288"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(2)查询渠道包括：</w:t>
            </w:r>
            <w:r/>
          </w:p>
          <w:p>
            <w:pPr>
              <w:ind w:left="0" w:right="0" w:firstLine="480"/>
              <w:jc w:val="both"/>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①“信用中国”网（https://www.creditchina.gov.cn/）；</w:t>
            </w:r>
            <w:r/>
          </w:p>
          <w:p>
            <w:pPr>
              <w:ind w:left="0" w:right="0" w:firstLine="480"/>
              <w:jc w:val="both"/>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②中国政府采购网（http://www.ccgp.gov.cn/）；</w:t>
            </w:r>
            <w:r/>
          </w:p>
          <w:p>
            <w:pPr>
              <w:ind w:left="0" w:right="0" w:firstLine="480"/>
              <w:jc w:val="both"/>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③“信用江苏”网（http://credit.jiangsu.gov.cn/）；</w:t>
            </w:r>
            <w:r/>
          </w:p>
          <w:p>
            <w:pPr>
              <w:ind w:left="0" w:right="0" w:firstLine="480"/>
              <w:jc w:val="both"/>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④“信用中国（江苏徐州）”网（https://xuzhoucredit.gov.cn/）；</w:t>
            </w:r>
            <w:r/>
          </w:p>
          <w:p>
            <w:pPr>
              <w:ind w:left="0" w:right="0" w:firstLine="480"/>
              <w:jc w:val="both"/>
              <w:keepLines w:val="0"/>
              <w:keepNext w:val="0"/>
              <w:pageBreakBefore w:val="0"/>
              <w:spacing w:before="0" w:beforeAutospacing="0" w:after="0" w:afterAutospacing="0" w:line="288"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(3)截止时点（查询环节）：</w:t>
            </w:r>
            <w:r>
              <w:rPr>
                <w:rFonts w:hint="eastAsia" w:ascii="宋体" w:hAnsi="宋体" w:eastAsia="宋体" w:cs="宋体"/>
                <w:color w:val="000000" w:themeColor="text1"/>
                <w:sz w:val="24"/>
                <w:szCs w:val="24"/>
                <w:highlight w:val="none"/>
                <w14:textFill>
                  <w14:solidFill>
                    <w14:schemeClr w14:val="tx1"/>
                  </w14:solidFill>
                </w14:textFill>
              </w:rPr>
              <w:t xml:space="preserve">开标后</w:t>
            </w:r>
            <w:r>
              <w:rPr>
                <w:rFonts w:hint="default" w:ascii="宋体" w:hAnsi="宋体" w:eastAsia="宋体" w:cs="宋体"/>
                <w:color w:val="000000" w:themeColor="text1"/>
                <w:sz w:val="24"/>
                <w:szCs w:val="24"/>
                <w:highlight w:val="none"/>
                <w14:textFill>
                  <w14:solidFill>
                    <w14:schemeClr w14:val="tx1"/>
                  </w14:solidFill>
                </w14:textFill>
              </w:rPr>
              <w:t xml:space="preserve">资格审查结束前</w:t>
            </w:r>
            <w:r>
              <w:rPr>
                <w:rFonts w:hint="default"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⑷信用信息查询记录和证据留存的具体方式：</w:t>
            </w:r>
            <w:r/>
          </w:p>
          <w:p>
            <w:pPr>
              <w:ind w:left="0" w:right="0" w:firstLine="72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网页截屏打印，与其他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一并保存。</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⑸信用信息的使用规则：</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采购人对</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招标代理服务费由</w:t>
            </w:r>
            <w:r>
              <w:rPr>
                <w:rFonts w:hint="eastAsia" w:ascii="宋体" w:hAnsi="宋体" w:cs="宋体"/>
                <w:color w:val="000000" w:themeColor="text1"/>
                <w:sz w:val="24"/>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1"/>
                <w:highlight w:val="none"/>
                <w14:textFill>
                  <w14:solidFill>
                    <w14:schemeClr w14:val="tx1"/>
                  </w14:solidFill>
                </w14:textFill>
              </w:rPr>
              <w:t xml:space="preserve">支付，《招标代理服务收费标准》（见附件）。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敬请各潜在投标人关注本项目的“更正（澄清）公告”，并通过“苏采云”系统重新下载更正（澄清）后的</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szCs w:val="21"/>
                <w:highlight w:val="none"/>
                <w14:textFill>
                  <w14:solidFill>
                    <w14:schemeClr w14:val="tx1"/>
                  </w14:solidFill>
                </w14:textFill>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投标人须用政府采购客户端工具导入</w:t>
            </w:r>
            <w:r>
              <w:rPr>
                <w:rFonts w:hint="eastAsia" w:ascii="宋体" w:hAnsi="宋体" w:eastAsia="宋体" w:cs="宋体"/>
                <w:color w:val="000000" w:themeColor="text1"/>
                <w:sz w:val="24"/>
                <w:szCs w:val="21"/>
                <w:highlight w:val="none"/>
                <w14:textFill>
                  <w14:solidFill>
                    <w14:schemeClr w14:val="tx1"/>
                  </w14:solidFill>
                </w14:textFill>
              </w:rPr>
              <w:t xml:space="preserve">“苏采云”系统下载的招标文件后，离线编制投标文件。招标文件、</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操作手册及政府采购客户端工具可通过“苏采云”系统（网址：</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"http://jszfcg.jsczt.cn/"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）--已报名项目--</w:t>
            </w:r>
            <w:r>
              <w:rPr>
                <w:rFonts w:hint="eastAsia" w:ascii="宋体" w:hAnsi="宋体" w:eastAsia="宋体" w:cs="宋体"/>
                <w:bCs/>
                <w:color w:val="000000" w:themeColor="text1"/>
                <w:sz w:val="24"/>
                <w:szCs w:val="21"/>
                <w:highlight w:val="none"/>
                <w14:textFill>
                  <w14:solidFill>
                    <w14:schemeClr w14:val="tx1"/>
                  </w14:solidFill>
                </w14:textFill>
              </w:rPr>
              <w:t xml:space="preserve">报名详情页面内相应链接进行下载</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1"/>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1"/>
                <w:highlight w:val="none"/>
                <w14:textFill>
                  <w14:solidFill>
                    <w14:schemeClr w14:val="tx1"/>
                  </w14:solidFill>
                </w14:textFill>
              </w:rPr>
              <w:t xml:space="preserve">下载，点击进入《江苏省政府采购管理交易系统（苏采云）</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操作手册及政府采购客户端》，进行下载。</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特别说明：政府采购客户端工具需要导出加密的投标文件（后缀名为zip）。</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1"/>
                <w:highlight w:val="none"/>
                <w14:textFill>
                  <w14:solidFill>
                    <w14:schemeClr w14:val="tx1"/>
                  </w14:solidFill>
                </w14:textFill>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线上投标文件编制要求</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请按照以下要求</w:t>
            </w:r>
            <w:r>
              <w:rPr>
                <w:rFonts w:hint="eastAsia" w:ascii="宋体" w:hAnsi="宋体" w:eastAsia="宋体" w:cs="宋体"/>
                <w:color w:val="000000" w:themeColor="text1"/>
                <w:sz w:val="24"/>
                <w:szCs w:val="24"/>
                <w:highlight w:val="none"/>
                <w14:textFill>
                  <w14:solidFill>
                    <w14:schemeClr w14:val="tx1"/>
                  </w14:solidFill>
                </w14:textFill>
              </w:rPr>
              <w:t xml:space="preserve">（包括但不限于以下要求）制作：</w:t>
            </w:r>
            <w:r/>
          </w:p>
          <w:p>
            <w:pPr>
              <w:ind w:left="0" w:right="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一、基本目录</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1、目录</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》（加盖电子签章，政府采购客户端工具输入报价自动生成）。</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3、所投产品的环境标志产品认证证书的扫描件（如有）。</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4、所投产品的节能产品认证证书的扫描件（如有）。</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88"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投标人认为需要提供的其他资料</w:t>
            </w:r>
            <w:r>
              <w:rPr>
                <w:rFonts w:hint="eastAsia" w:ascii="宋体" w:hAnsi="宋体" w:eastAsia="宋体" w:cs="宋体"/>
                <w:color w:val="000000" w:themeColor="text1"/>
                <w:sz w:val="24"/>
                <w:szCs w:val="24"/>
                <w:highlight w:val="none"/>
                <w14:textFill>
                  <w14:solidFill>
                    <w14:schemeClr w14:val="tx1"/>
                  </w14:solidFill>
                </w14:textFill>
              </w:rPr>
              <w:t xml:space="preserve">（如有）</w:t>
            </w:r>
            <w:r/>
          </w:p>
          <w:p>
            <w:pPr>
              <w:ind w:left="0" w:right="0"/>
              <w:keepLines w:val="0"/>
              <w:keepNext w:val="0"/>
              <w:pageBreakBefore w:val="0"/>
              <w:spacing w:before="0" w:beforeAutospacing="0" w:after="0" w:afterAutospacing="0" w:line="288"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二、资格条件（以下1-</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必须提供且加盖电子签章，否则投标无效）</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1.具有独立承担民事责任的能力，提供投标人合法有效的营业执照（或事业单位法人证书，或民办非企业单位登记证书）的扫描件；</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2.具有良好的商业信誉和健全的财务会计制度</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提供</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或提供投标人</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（2025年度</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经审计的财务报告扫描件一份）；</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3.</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有</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依法缴纳税收和社会保障资金的记录（提供</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投标人</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投标人</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,提供相应</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证明</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文件扫描件证明其依法免税或不需要缴纳社会保障资金)；</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4.具备履行合同所必需的设备和专业技术能力的证明材料。</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即投标文件中提供：①所投产品为第二类医疗器械时，</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提供</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投标人有效的第二类医疗器械经营备案凭证</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扫描件</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；所投产品为第三类医疗器械时，</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提供</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投标人有效的医疗器械经营许可证</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扫描件；</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②提供所投产品的有效的医疗器械注册证扫描件</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.投标人参加政府采购活动前3年内在经营活动中没有重大违法记录的书面声明（加盖电子签章，格式见招标文件第七章《投标文件相关格式》）。</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本项目的特定资格要求：</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 </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①所投产品为第二类医疗器械时，提供投标人有效的第二类医疗器械经营备案凭证，所投产品为第三类医疗器械时，提供投标人有效的医疗器械经营许可证扫描件；</w:t>
            </w:r>
            <w:r/>
          </w:p>
          <w:p>
            <w:pPr>
              <w:pStyle w:val="973"/>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②提供所投产品的有效的医疗器械注册证扫描件。</w:t>
            </w:r>
            <w:r/>
          </w:p>
          <w:p>
            <w:pPr>
              <w:ind w:left="0" w:right="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三、符合性条件（必须提供，否则投标无效）</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（一）报价</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（二）商务资信</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2、《法定代表人授权委托书》（加盖电子签章，格式见招标文件第七章《投标文件相关格式》）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（三）技术响应</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1、《偏离表》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商务偏离和技术偏离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（加盖电子签章，格式见招标文件第七章《投标文件相关格式》。）</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综合评审评分项</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（一）技术部分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第五章《采购需求》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（二）商务部分</w:t>
            </w:r>
            <w:r/>
          </w:p>
          <w:p>
            <w:pPr>
              <w:ind w:left="0" w:right="0" w:firstLine="480"/>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、所投产品为“环境标志产品”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所投产品为“节能产品”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投标人其它证明文件及材料扫描件。</w:t>
            </w:r>
            <w:r/>
          </w:p>
          <w:p>
            <w:pPr>
              <w:ind w:left="0" w:right="0"/>
              <w:keepLines w:val="0"/>
              <w:keepNext w:val="0"/>
              <w:pageBreakBefore w:val="0"/>
              <w:spacing w:before="0" w:beforeAutospacing="0" w:after="0" w:afterAutospacing="0" w:line="288"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其他部分</w:t>
            </w:r>
            <w:r/>
          </w:p>
          <w:p>
            <w:pPr>
              <w:ind w:left="0" w:right="0"/>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4"/>
                <w:szCs w:val="24"/>
                <w:highlight w:val="none"/>
                <w14:textFill>
                  <w14:solidFill>
                    <w14:schemeClr w14:val="tx1"/>
                  </w14:solidFill>
                </w14:textFill>
              </w:rPr>
              <w:t xml:space="preserve">（请填写完整，</w:t>
            </w:r>
            <w:r>
              <w:rPr>
                <w:rFonts w:hint="eastAsia" w:ascii="宋体" w:hAnsi="宋体" w:eastAsia="宋体" w:cs="宋体"/>
                <w:b/>
                <w:bCs/>
                <w:color w:val="000000" w:themeColor="text1"/>
                <w:sz w:val="24"/>
                <w:szCs w:val="24"/>
                <w:highlight w:val="none"/>
                <w14:textFill>
                  <w14:solidFill>
                    <w14:schemeClr w14:val="tx1"/>
                  </w14:solidFill>
                </w14:textFill>
              </w:rPr>
              <w:t xml:space="preserve">如不填写完整或未按要求填写的，视为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本国产品应当符合以下条件：</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（一）在中国境内生产</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产品应当在中国境内生产，即在中华人民共和国关境内实现从原材料、组件到产品的属性改变。</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1.为确保产品在运输或者储存期间保持某种状态而进行的操作；</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2.为产品运输或者销售进行的包装或者展示；</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3.在产品或者其包装上粘贴或者印刷品牌、标志、标识以及其他用于区别的标记；</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4.简单的上漆、磨光和分装；</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5.其他不属于属性改变的情形。</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（二）在中国境内生产的组件成本占比达到规定比例</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产品在中国境内生产的组件成本占比应当达到规定比例，计算公式为：</w:t>
            </w:r>
            <w:r/>
          </w:p>
          <w:p>
            <w:pPr>
              <w:ind w:left="0" w:right="0"/>
              <w:jc w:val="center"/>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2"/>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8.0pt;height:39.0pt;mso-wrap-distance-left:0.0pt;mso-wrap-distance-top:0.0pt;mso-wrap-distance-right:0.0pt;mso-wrap-distance-bottom:0.0pt;" stroked="f">
                      <v:path textboxrect="0,0,0,0"/>
                      <v:imagedata r:id="rId22" o:title=""/>
                    </v:shape>
                  </w:pict>
                </mc:Fallback>
              </mc:AlternateConten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（三）特定产品的关键组件、关键工序符合相关要求</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本国产品标准的适用范围</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对本国产品的支持政策</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具体以《国务院办公厅关于在政府采购中实施本国产品标准及相关政策的通知》（国办发〔2025〕34号）规定为准。</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注：中国境内生产的组件成本核算基本规则</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before="0" w:beforeAutospacing="0" w:after="0" w:afterAutospacing="0" w:line="288"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此项目</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color w:val="000000" w:themeColor="text1"/>
                <w:sz w:val="24"/>
                <w:szCs w:val="24"/>
                <w:highlight w:val="none"/>
                <w14:textFill>
                  <w14:solidFill>
                    <w14:schemeClr w14:val="tx1"/>
                  </w14:solidFill>
                </w14:textFill>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288"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1"/>
                <w:highlight w:val="none"/>
                <w14:textFill>
                  <w14:solidFill>
                    <w14:schemeClr w14:val="tx1"/>
                  </w14:solidFill>
                </w14:textFill>
              </w:rPr>
              <w:t xml:space="preserve">提供的货物全部由符合政策要求的中小企业制造，提供《中小企业声明函》</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1"/>
                <w:highlight w:val="none"/>
                <w14:textFill>
                  <w14:solidFill>
                    <w14:schemeClr w14:val="tx1"/>
                  </w14:solidFill>
                </w14:textFill>
              </w:rPr>
              <w:t xml:space="preserve">非必须提供</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（加盖电子签章，格式见招标文件第七章《投标文件相关格式》）</w:t>
            </w:r>
            <w:r>
              <w:rPr>
                <w:rFonts w:hint="eastAsia" w:ascii="宋体" w:hAnsi="宋体" w:eastAsia="宋体" w:cs="宋体"/>
                <w:b/>
                <w:color w:val="000000" w:themeColor="text1"/>
                <w:sz w:val="24"/>
                <w:szCs w:val="21"/>
                <w:highlight w:val="none"/>
                <w14:textFill>
                  <w14:solidFill>
                    <w14:schemeClr w14:val="tx1"/>
                  </w14:solidFill>
                </w14:textFill>
              </w:rPr>
              <w:t xml:space="preserve">（如提供请填写完整，如不填写完整或未按要求填写的，视为无效）</w:t>
            </w:r>
            <w:r>
              <w:rPr>
                <w:rFonts w:hint="eastAsia" w:ascii="宋体" w:hAnsi="宋体" w:eastAsia="宋体" w:cs="宋体"/>
                <w:bCs/>
                <w:color w:val="000000" w:themeColor="text1"/>
                <w:sz w:val="24"/>
                <w:szCs w:val="21"/>
                <w:highlight w:val="none"/>
                <w14:textFill>
                  <w14:solidFill>
                    <w14:schemeClr w14:val="tx1"/>
                  </w14:solidFill>
                </w14:textFill>
              </w:rPr>
              <w:t xml:space="preserve">。《中小企业声明函》查询渠道用微信搜索“中小企业规模类型自测小程序”。</w:t>
            </w:r>
            <w:r/>
          </w:p>
          <w:p>
            <w:pPr>
              <w:ind w:left="0" w:right="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需满足的条件</w:t>
            </w:r>
            <w:r>
              <w:rPr>
                <w:rFonts w:hint="eastAsia" w:ascii="宋体" w:hAnsi="宋体" w:eastAsia="宋体" w:cs="宋体"/>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投标人为监狱企业的，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投标人为残疾人福利性单位的，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提供《残疾人福利性单位声明函》（加盖电子签章，格式见招标文件第七章《投标文件相关格式》）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1、投标人应对以上文件的合法性、真实性负责。</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288" w:lineRule="auto"/>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商务条件见：</w:t>
            </w:r>
            <w:r/>
          </w:p>
          <w:p>
            <w:pPr>
              <w:ind w:left="0" w:right="0" w:firstLine="482"/>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1、招标文件第四章《评标标准》中《评分细则》</w:t>
            </w:r>
            <w:r/>
          </w:p>
          <w:p>
            <w:pPr>
              <w:ind w:left="0" w:right="0" w:firstLine="482"/>
              <w:keepLines w:val="0"/>
              <w:keepNext w:val="0"/>
              <w:pageBreakBefore w:val="0"/>
              <w:spacing w:before="0" w:beforeAutospacing="0" w:after="0" w:afterAutospacing="0" w:line="288"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交货和提供服务的时间：招标文件第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1"/>
                <w:highlight w:val="none"/>
                <w14:textFill>
                  <w14:solidFill>
                    <w14:schemeClr w14:val="tx1"/>
                  </w14:solidFill>
                </w14:textFill>
              </w:rPr>
              <w:t xml:space="preserve">章《采购需求》及或招标文件第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1"/>
                <w:highlight w:val="none"/>
                <w14:textFill>
                  <w14:solidFill>
                    <w14:schemeClr w14:val="tx1"/>
                  </w14:solidFill>
                </w14:textFill>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本项目不接受超过人民</w:t>
            </w:r>
            <w:r>
              <w:rPr>
                <w:rFonts w:hint="eastAsia" w:ascii="宋体" w:hAnsi="宋体" w:eastAsia="宋体" w:cs="宋体"/>
                <w:b/>
                <w:bCs/>
                <w:color w:val="000000" w:themeColor="text1"/>
                <w:sz w:val="24"/>
                <w:szCs w:val="24"/>
                <w:highlight w:val="none"/>
                <w14:textFill>
                  <w14:solidFill>
                    <w14:schemeClr w14:val="tx1"/>
                  </w14:solidFill>
                </w14:textFill>
              </w:rPr>
              <w:t xml:space="preserve">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99</w:t>
            </w:r>
            <w:r>
              <w:rPr>
                <w:rFonts w:hint="eastAsia" w:ascii="宋体" w:hAnsi="宋体" w:eastAsia="宋体" w:cs="宋体"/>
                <w:b/>
                <w:bCs/>
                <w:color w:val="000000" w:themeColor="text1"/>
                <w:sz w:val="24"/>
                <w:szCs w:val="24"/>
                <w:highlight w:val="none"/>
                <w14:textFill>
                  <w14:solidFill>
                    <w14:schemeClr w14:val="tx1"/>
                  </w14:solidFill>
                </w14:textFill>
              </w:rPr>
              <w:t xml:space="preserve">.00万元</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eastAsia="宋体"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最高限价</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）的投标报价。</w:t>
            </w:r>
            <w:r/>
          </w:p>
          <w:p>
            <w:pPr>
              <w:ind w:left="0" w:right="0" w:firstLine="482"/>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投标文件的退还：</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说明：本项目采用线上投标，即</w:t>
            </w:r>
            <w:r>
              <w:rPr>
                <w:rFonts w:hint="eastAsia" w:ascii="宋体" w:hAnsi="宋体" w:cs="宋体"/>
                <w:b/>
                <w:bCs/>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线上投标文件的密封、签署、盖章要求：</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一、投标文件的密封（加密）要求：</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一、投标文件提交时间：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11月04日</w:t>
            </w:r>
            <w:r>
              <w:rPr>
                <w:rFonts w:hint="eastAsia" w:ascii="宋体" w:hAnsi="宋体" w:cs="宋体"/>
                <w:b/>
                <w:bCs/>
                <w:color w:val="000000" w:themeColor="text1"/>
                <w:sz w:val="24"/>
                <w:szCs w:val="21"/>
                <w:highlight w:val="none"/>
                <w:u w:val="none"/>
                <w:lang w:eastAsia="zh-CN"/>
                <w14:textFill>
                  <w14:solidFill>
                    <w14:schemeClr w14:val="tx1"/>
                  </w14:solidFill>
                </w14:textFill>
              </w:rPr>
              <w:t xml:space="preserve">09:10</w:t>
            </w:r>
            <w:r>
              <w:rPr>
                <w:rFonts w:hint="eastAsia" w:ascii="宋体" w:hAnsi="宋体" w:eastAsia="宋体" w:cs="宋体"/>
                <w:b/>
                <w:bCs/>
                <w:color w:val="000000" w:themeColor="text1"/>
                <w:sz w:val="24"/>
                <w:szCs w:val="21"/>
                <w:highlight w:val="none"/>
                <w:u w:val="none"/>
                <w14:textFill>
                  <w14:solidFill>
                    <w14:schemeClr w14:val="tx1"/>
                  </w14:solidFill>
                </w14:textFill>
              </w:rPr>
              <w:t xml:space="preserve">前</w:t>
            </w:r>
            <w:r>
              <w:rPr>
                <w:rFonts w:hint="eastAsia" w:ascii="宋体" w:hAnsi="宋体" w:eastAsia="宋体" w:cs="宋体"/>
                <w:color w:val="000000" w:themeColor="text1"/>
                <w:sz w:val="24"/>
                <w:szCs w:val="21"/>
                <w:highlight w:val="none"/>
                <w:u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u w:val="none"/>
                <w14:textFill>
                  <w14:solidFill>
                    <w14:schemeClr w14:val="tx1"/>
                  </w14:solidFill>
                </w14:textFill>
              </w:rPr>
              <w:t xml:space="preserve">二、投标截止时间：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11月04日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09:10</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1"/>
                <w:highlight w:val="none"/>
                <w14:textFill>
                  <w14:solidFill>
                    <w14:schemeClr w14:val="tx1"/>
                  </w14:solidFill>
                </w14:textFill>
              </w:rPr>
              <w:t xml:space="preserve">开标时间：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11月04日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09:10</w:t>
            </w:r>
            <w:r>
              <w:rPr>
                <w:rFonts w:hint="eastAsia" w:ascii="宋体" w:hAnsi="宋体" w:eastAsia="宋体" w:cs="宋体"/>
                <w:color w:val="000000" w:themeColor="text1"/>
                <w:sz w:val="24"/>
                <w:szCs w:val="21"/>
                <w:highlight w:val="none"/>
                <w14:textFill>
                  <w14:solidFill>
                    <w14:schemeClr w14:val="tx1"/>
                  </w14:solidFill>
                </w14:textFill>
              </w:rPr>
              <w:br w:type="textWrapping" w:clear="all"/>
            </w:r>
            <w:r>
              <w:rPr>
                <w:rFonts w:hint="eastAsia" w:ascii="宋体" w:hAnsi="宋体" w:eastAsia="宋体" w:cs="宋体"/>
                <w:b/>
                <w:color w:val="000000" w:themeColor="text1"/>
                <w:sz w:val="24"/>
                <w:szCs w:val="21"/>
                <w:highlight w:val="none"/>
                <w14:textFill>
                  <w14:solidFill>
                    <w14:schemeClr w14:val="tx1"/>
                  </w14:solidFill>
                </w14:textFill>
              </w:rPr>
              <w:t xml:space="preserve">开标地点：</w:t>
            </w:r>
            <w:r>
              <w:rPr>
                <w:rFonts w:hint="eastAsia" w:ascii="宋体" w:hAnsi="宋体" w:eastAsia="宋体" w:cs="宋体"/>
                <w:color w:val="000000" w:themeColor="text1"/>
                <w:sz w:val="24"/>
                <w:szCs w:val="21"/>
                <w:highlight w:val="none"/>
                <w14:textFill>
                  <w14:solidFill>
                    <w14:schemeClr w14:val="tx1"/>
                  </w14:solidFill>
                </w14:textFill>
              </w:rPr>
              <w:t xml:space="preserve">线上“苏采云”系统（网址：</w:t>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t xml:space="preserve">）“开标大厅”或进入徐州政府采购网（网址：</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(二十八)1</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实施</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方案得分顺序排列。</w:t>
            </w:r>
            <w:r/>
          </w:p>
          <w:p>
            <w:pPr>
              <w:ind w:left="0" w:right="0" w:firstLine="480"/>
              <w:keepLines w:val="0"/>
              <w:keepNext w:val="0"/>
              <w:pageBreakBefore w:val="0"/>
              <w:spacing w:before="0" w:beforeAutospacing="0" w:after="0" w:afterAutospacing="0" w:line="288"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三、采购人应当自收到评标报告之日起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（二十九）</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cs="宋体"/>
                <w:color w:val="000000" w:themeColor="text1"/>
                <w:sz w:val="22"/>
                <w:szCs w:val="22"/>
                <w:highlight w:val="none"/>
                <w:lang w:val="en-US" w:eastAsia="zh-CN"/>
                <w14:textFill>
                  <w14:solidFill>
                    <w14:schemeClr w14:val="tx1"/>
                  </w14:solidFill>
                </w14:textFill>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w:t>
            </w:r>
            <w:r>
              <w:rPr>
                <w:rFonts w:hint="eastAsia" w:ascii="宋体" w:hAnsi="宋体" w:cs="宋体"/>
                <w:color w:val="000000" w:themeColor="text1"/>
                <w:sz w:val="24"/>
                <w:szCs w:val="21"/>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szCs w:val="21"/>
                <w:highlight w:val="none"/>
                <w14:textFill>
                  <w14:solidFill>
                    <w14:schemeClr w14:val="tx1"/>
                  </w14:solidFill>
                </w14:textFill>
              </w:rPr>
              <w:t xml:space="preserve">采购人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1"/>
                <w:highlight w:val="none"/>
                <w14:textFill>
                  <w14:solidFill>
                    <w14:schemeClr w14:val="tx1"/>
                  </w14:solidFill>
                </w14:textFill>
              </w:rPr>
              <w:t xml:space="preserve">提交其投标文件中所有扫描件的原件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或其他证明文件</w:t>
            </w:r>
            <w:r>
              <w:rPr>
                <w:rFonts w:hint="eastAsia" w:ascii="宋体" w:hAnsi="宋体" w:eastAsia="宋体" w:cs="宋体"/>
                <w:color w:val="000000" w:themeColor="text1"/>
                <w:sz w:val="24"/>
                <w:szCs w:val="21"/>
                <w:highlight w:val="none"/>
                <w14:textFill>
                  <w14:solidFill>
                    <w14:schemeClr w14:val="tx1"/>
                  </w14:solidFill>
                </w14:textFill>
              </w:rPr>
              <w:t xml:space="preserve">，采购人核查无误后，签订合同。如中标人不能在采购人规定的时间内向采购人提供原件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或其他证明材料</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或提供虚假材料的，</w:t>
            </w:r>
            <w:r>
              <w:rPr>
                <w:rFonts w:hint="eastAsia" w:ascii="宋体" w:hAnsi="宋体" w:eastAsia="宋体" w:cs="宋体"/>
                <w:color w:val="000000" w:themeColor="text1"/>
                <w:sz w:val="24"/>
                <w:szCs w:val="21"/>
                <w:highlight w:val="none"/>
                <w14:textFill>
                  <w14:solidFill>
                    <w14:schemeClr w14:val="tx1"/>
                  </w14:solidFill>
                </w14:textFill>
              </w:rPr>
              <w:t xml:space="preserve">将被采购人视为放弃中标资格</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七、</w:t>
            </w:r>
            <w:r>
              <w:rPr>
                <w:rFonts w:hint="eastAsia" w:ascii="宋体" w:hAnsi="宋体" w:cs="宋体"/>
                <w:color w:val="000000" w:themeColor="text1"/>
                <w:sz w:val="24"/>
                <w:szCs w:val="21"/>
                <w:highlight w:val="none"/>
                <w:lang w:val="en-US" w:eastAsia="zh-CN"/>
                <w14:textFill>
                  <w14:solidFill>
                    <w14:schemeClr w14:val="tx1"/>
                  </w14:solidFill>
                </w14:textFill>
              </w:rPr>
              <w:t xml:space="preserve">政府</w:t>
            </w:r>
            <w:r>
              <w:rPr>
                <w:rFonts w:hint="eastAsia" w:ascii="宋体" w:hAnsi="宋体" w:eastAsia="宋体" w:cs="宋体"/>
                <w:color w:val="000000" w:themeColor="text1"/>
                <w:sz w:val="24"/>
                <w:szCs w:val="21"/>
                <w:highlight w:val="none"/>
                <w14:textFill>
                  <w14:solidFill>
                    <w14:schemeClr w14:val="tx1"/>
                  </w14:solidFill>
                </w14:textFill>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采购人与中标、成交</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应当在中标、成交通知书发出之日起30日内，按照</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履约保证金：</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本项目不收取履约保证金</w:t>
            </w: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2、质疑和投诉按《政府采购质疑和投诉办法》执行，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3、质疑时效期间的计算：（1）对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提出质疑的，为收到</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之日或</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质疑接收人：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朱文颖 朱柄昱</w:t>
            </w:r>
            <w:r>
              <w:rPr>
                <w:rFonts w:hint="eastAsia" w:ascii="宋体" w:hAnsi="宋体" w:eastAsia="宋体" w:cs="宋体"/>
                <w:color w:val="000000" w:themeColor="text1"/>
                <w:sz w:val="24"/>
                <w:szCs w:val="21"/>
                <w:highlight w:val="none"/>
                <w14:textFill>
                  <w14:solidFill>
                    <w14:schemeClr w14:val="tx1"/>
                  </w14:solidFill>
                </w14:textFill>
              </w:rPr>
              <w:t xml:space="preserve">   联系电话：0516-85610680</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000000" w:themeColor="text1"/>
          <w:sz w:val="30"/>
          <w:szCs w:val="30"/>
          <w:highlight w:val="none"/>
          <w14:textFill>
            <w14:solidFill>
              <w14:schemeClr w14:val="tx1"/>
            </w14:solidFill>
          </w14:textFill>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本章</w:t>
      </w:r>
      <w:r>
        <w:rPr>
          <w:rFonts w:hint="eastAsia" w:ascii="宋体" w:hAnsi="宋体" w:eastAsia="宋体" w:cs="宋体"/>
          <w:color w:val="000000" w:themeColor="text1"/>
          <w:sz w:val="24"/>
          <w:szCs w:val="21"/>
          <w:highlight w:val="none"/>
          <w14:textFill>
            <w14:solidFill>
              <w14:schemeClr w14:val="tx1"/>
            </w14:solidFill>
          </w14:textFill>
        </w:rPr>
        <w:t xml:space="preserve">附件：</w:t>
      </w:r>
      <w:r/>
    </w:p>
    <w:p>
      <w:pPr>
        <w:numPr>
          <w:ilvl w:val="0"/>
          <w:numId w:val="0"/>
        </w:numPr>
        <w:jc w:val="center"/>
        <w:spacing w:after="120"/>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招标代理服务收费</w:t>
      </w:r>
      <w:bookmarkStart w:id="5" w:name="_Toc13017"/>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标准</w:t>
      </w:r>
      <w:bookmarkEnd w:id="5"/>
      <w:r/>
      <w:r/>
    </w:p>
    <w:tbl>
      <w:tblPr>
        <w:tblStyle w:val="951"/>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b/>
                <w:color w:val="000000" w:themeColor="text1"/>
                <w:spacing w:val="-3"/>
                <w:sz w:val="24"/>
                <w:szCs w:val="24"/>
                <w:highlight w:val="none"/>
                <w14:textFill>
                  <w14:solidFill>
                    <w14:schemeClr w14:val="tx1"/>
                  </w14:solidFill>
                </w14:textFill>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b/>
                <w:color w:val="000000" w:themeColor="text1"/>
                <w:spacing w:val="-1"/>
                <w:sz w:val="24"/>
                <w:szCs w:val="24"/>
                <w:highlight w:val="none"/>
                <w:lang w:eastAsia="zh-CN"/>
                <w14:textFill>
                  <w14:solidFill>
                    <w14:schemeClr w14:val="tx1"/>
                  </w14:solidFill>
                </w14:textFill>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说 明 ：</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3.代理服务费基准金额(按差额定率累进法计算的)=中标金额(按差额定率累进法计算的)*</w:t>
      </w:r>
      <w:r>
        <w:rPr>
          <w:rFonts w:hint="eastAsia" w:ascii="宋体" w:hAnsi="宋体" w:cs="宋体"/>
          <w:color w:val="000000" w:themeColor="text1"/>
          <w:spacing w:val="-2"/>
          <w:sz w:val="24"/>
          <w:szCs w:val="24"/>
          <w:highlight w:val="none"/>
          <w:lang w:val="en-US" w:eastAsia="zh-CN" w:bidi="ar-SA"/>
          <w14:textFill>
            <w14:solidFill>
              <w14:schemeClr w14:val="tx1"/>
            </w14:solidFill>
          </w14:textFill>
        </w:rPr>
        <w:t xml:space="preserve">费率</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6.有分包(分标段)的按一个项目计算。</w:t>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bookmarkStart w:id="6" w:name="_Toc14205"/>
      <w:r/>
      <w:bookmarkStart w:id="7" w:name="_Toc9429"/>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br w:type="page" w:clear="all"/>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第四章 评标标准</w:t>
      </w:r>
      <w:r/>
    </w:p>
    <w:p>
      <w:pPr>
        <w:jc w:val="both"/>
        <w:spacing w:line="312"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本项目采用综合评分法。投标人技术部分得分取所有评委的平均值，保留小数点后二位。</w:t>
      </w:r>
      <w:r/>
    </w:p>
    <w:tbl>
      <w:tblPr>
        <w:tblStyle w:val="951"/>
        <w:tblW w:w="51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239"/>
        <w:gridCol w:w="7453"/>
      </w:tblGrid>
      <w:tr>
        <w:trPr>
          <w:trHeight w:val="541"/>
          <w:tblHeader/>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评分内容</w:t>
            </w:r>
            <w:r/>
          </w:p>
        </w:tc>
        <w:tc>
          <w:tcPr>
            <w:tcW w:w="3753"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评分标准</w:t>
            </w:r>
            <w:r/>
          </w:p>
        </w:tc>
      </w:tr>
      <w:tr>
        <w:trPr>
          <w:trHeight w:val="6638"/>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报价部分（30分）</w:t>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投标报价（30分）</w:t>
            </w:r>
            <w:r/>
          </w:p>
        </w:tc>
        <w:tc>
          <w:tcPr>
            <w:tcW w:w="3753" w:type="pct"/>
            <w:vAlign w:val="center"/>
            <w:textDirection w:val="lrTb"/>
            <w:noWrap w:val="false"/>
          </w:tcPr>
          <w:p>
            <w:pPr>
              <w:ind w:left="0" w:right="0" w:firstLine="0"/>
              <w:keepLines w:val="0"/>
              <w:keepNext w:val="0"/>
              <w:pageBreakBefore w:val="0"/>
              <w:spacing w:before="0" w:beforeAutospacing="0" w:after="0" w:afterAutospacing="0" w:line="264"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各投标人价格得分=最低报价（投标人的最低评审价格）÷各投标人评审价格×30</w:t>
            </w:r>
            <w:r/>
          </w:p>
          <w:p>
            <w:pPr>
              <w:ind w:left="0" w:right="0" w:firstLine="0"/>
              <w:keepLines w:val="0"/>
              <w:keepNext w:val="0"/>
              <w:pageBreakBefore w:val="0"/>
              <w:spacing w:before="0" w:beforeAutospacing="0" w:after="0" w:afterAutospacing="0" w:line="264"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注：</w:t>
            </w:r>
            <w:r/>
          </w:p>
          <w:p>
            <w:pPr>
              <w:ind w:left="0" w:right="0" w:firstLine="0"/>
              <w:keepLines w:val="0"/>
              <w:keepNext w:val="0"/>
              <w:pageBreakBefore w:val="0"/>
              <w:spacing w:before="0" w:beforeAutospacing="0" w:after="0" w:afterAutospacing="0" w:line="264"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64"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该投标人的评审价格=《开标一览表》中的“总价”*（100%-10%）</w:t>
            </w:r>
            <w:r/>
          </w:p>
          <w:p>
            <w:pPr>
              <w:ind w:left="0" w:right="0" w:firstLine="0"/>
              <w:keepLines w:val="0"/>
              <w:keepNext w:val="0"/>
              <w:pageBreakBefore w:val="0"/>
              <w:spacing w:before="0" w:beforeAutospacing="0" w:after="0" w:afterAutospacing="0" w:line="264"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64"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64"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该投标人的评审价格=《开标一览表》中的“总价”*（100%-20%）</w:t>
            </w:r>
            <w:r/>
          </w:p>
          <w:p>
            <w:pPr>
              <w:ind w:left="0" w:right="0" w:firstLine="0"/>
              <w:keepLines w:val="0"/>
              <w:keepNext w:val="0"/>
              <w:pageBreakBefore w:val="0"/>
              <w:spacing w:before="0" w:beforeAutospacing="0" w:after="0" w:afterAutospacing="0" w:line="264"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64" w:lineRule="auto"/>
              <w:rPr>
                <w:rFonts w:hint="default"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享受价格评审优惠不改变最终中标、成交价格，政府采购合同仍按照中标、成交供应商的报价签订。</w:t>
            </w:r>
            <w:r/>
          </w:p>
        </w:tc>
      </w:tr>
      <w:tr>
        <w:trPr>
          <w:trHeight w:val="90"/>
        </w:trPr>
        <w:tc>
          <w:tcPr>
            <w:tcW w:w="622"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64"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技术部分（61分）</w:t>
            </w:r>
            <w:r/>
          </w:p>
        </w:tc>
        <w:tc>
          <w:tcPr>
            <w:tcW w:w="624"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64" w:lineRule="auto"/>
              <w:rPr>
                <w:rFonts w:hint="default" w:ascii="宋体" w:hAnsi="宋体" w:eastAsia="宋体" w:cs="宋体"/>
                <w:b w:val="0"/>
                <w:bCs/>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技术参数（34分）</w:t>
            </w:r>
            <w:r/>
          </w:p>
        </w:tc>
        <w:tc>
          <w:tcPr>
            <w:tcW w:w="3753" w:type="pct"/>
            <w:vAlign w:val="center"/>
            <w:textDirection w:val="lrTb"/>
            <w:noWrap w:val="false"/>
          </w:tcPr>
          <w:p>
            <w:pPr>
              <w:ind w:left="0" w:right="0" w:firstLine="0"/>
              <w:keepLines w:val="0"/>
              <w:keepNext w:val="0"/>
              <w:pageBreakBefore w:val="0"/>
              <w:spacing w:before="0" w:beforeAutospacing="0" w:after="0" w:afterAutospacing="0" w:line="264" w:lineRule="auto"/>
              <w:widowControl w:val="off"/>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suppressLineNumbers w:val="0"/>
            </w:pP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依据投标文件中</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偏离表、技术规格说明对招标文件《采购需求》中"技术规格参数要求"满足程度进行综合评分</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完全满足招标文件要求的得34分</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其中：</w:t>
            </w:r>
            <w:r/>
          </w:p>
          <w:p>
            <w:pPr>
              <w:ind w:left="0" w:right="0" w:firstLine="0"/>
              <w:keepLines w:val="0"/>
              <w:keepNext w:val="0"/>
              <w:pageBreakBefore w:val="0"/>
              <w:spacing w:before="0" w:beforeAutospacing="0" w:after="0" w:afterAutospacing="0" w:line="264" w:lineRule="auto"/>
              <w:widowControl w:val="off"/>
              <w:rPr>
                <w:rFonts w:hint="default"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suppressLineNumbers w:val="0"/>
            </w:pPr>
            <w:r>
              <w:rPr>
                <w:rFonts w:hint="default" w:ascii="Segoe UI" w:hAnsi="Segoe UI" w:eastAsia="Segoe UI" w:cs="Segoe UI"/>
                <w:b/>
                <w:bCs/>
                <w:i w:val="0"/>
                <w:iCs w:val="0"/>
                <w:caps w:val="0"/>
                <w:strike w:val="0"/>
                <w:color w:val="000000" w:themeColor="text1"/>
                <w:spacing w:val="0"/>
                <w:sz w:val="24"/>
                <w:szCs w:val="24"/>
                <w:highlight w:val="none"/>
                <w:shd w:val="clear" w:color="auto" w:fill="ffffff"/>
                <w14:textFill>
                  <w14:solidFill>
                    <w14:schemeClr w14:val="tx1"/>
                  </w14:solidFill>
                </w14:textFill>
              </w:rPr>
              <w:t xml:space="preserve">加"★"标志为实质性响应指标不允许负偏离</w:t>
            </w:r>
            <w:r>
              <w:rPr>
                <w:rFonts w:hint="eastAsia" w:ascii="Segoe UI" w:hAnsi="Segoe UI" w:eastAsia="宋体" w:cs="Segoe UI"/>
                <w:b/>
                <w:bCs/>
                <w:i w:val="0"/>
                <w:iCs w:val="0"/>
                <w:caps w:val="0"/>
                <w:strike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b/>
                <w:bCs/>
                <w:i w:val="0"/>
                <w:iCs w:val="0"/>
                <w:caps w:val="0"/>
                <w:strike w:val="0"/>
                <w:color w:val="000000" w:themeColor="text1"/>
                <w:spacing w:val="0"/>
                <w:sz w:val="24"/>
                <w:szCs w:val="24"/>
                <w:highlight w:val="none"/>
                <w:shd w:val="clear" w:color="auto" w:fill="ffffff"/>
                <w:lang w:val="en-US" w:eastAsia="zh-CN"/>
                <w14:textFill>
                  <w14:solidFill>
                    <w14:schemeClr w14:val="tx1"/>
                  </w14:solidFill>
                </w14:textFill>
              </w:rPr>
              <w:t xml:space="preserve">否则为无效投标</w:t>
            </w:r>
            <w:r>
              <w:rPr>
                <w:rFonts w:hint="eastAsia" w:ascii="Segoe UI" w:hAnsi="Segoe UI" w:eastAsia="宋体" w:cs="Segoe UI"/>
                <w:b/>
                <w:bCs/>
                <w:i w:val="0"/>
                <w:iCs w:val="0"/>
                <w:caps w:val="0"/>
                <w:strike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加"▲"的次重要响应指标不满足或负偏离每项扣</w:t>
            </w:r>
            <w:r>
              <w:rPr>
                <w:rFonts w:hint="eastAsia" w:ascii="Segoe UI" w:hAnsi="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分；其余响应指标如有不满足或负偏离，每项扣</w:t>
            </w:r>
            <w:r>
              <w:rPr>
                <w:rFonts w:hint="eastAsia" w:ascii="Segoe UI" w:hAnsi="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0.5</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分</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，扣完为止</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最低得0分。</w:t>
            </w:r>
            <w:r/>
          </w:p>
          <w:p>
            <w:pPr>
              <w:ind w:left="0" w:right="0"/>
              <w:keepLines w:val="0"/>
              <w:keepNext w:val="0"/>
              <w:pageBreakBefore w:val="0"/>
              <w:spacing w:before="0" w:beforeAutospacing="0" w:after="0" w:afterAutospacing="0" w:line="264" w:lineRule="auto"/>
              <w:widowControl w:val="off"/>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suppressLineNumbers w:val="0"/>
            </w:pP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所有</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技术规格参数</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（含标注"★"的核心参数</w:t>
            </w:r>
            <w:r>
              <w:rPr>
                <w:rFonts w:hint="eastAsia" w:ascii="Segoe UI" w:hAnsi="Segoe UI" w:eastAsia="宋体" w:cs="Segoe UI"/>
                <w:b/>
                <w:bCs/>
                <w:i w:val="0"/>
                <w:iCs w:val="0"/>
                <w:caps w:val="0"/>
                <w:strike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b/>
                <w:bCs/>
                <w:i w:val="0"/>
                <w:iCs w:val="0"/>
                <w:caps w:val="0"/>
                <w:strike w:val="0"/>
                <w:color w:val="000000" w:themeColor="text1"/>
                <w:spacing w:val="0"/>
                <w:sz w:val="24"/>
                <w:szCs w:val="24"/>
                <w:highlight w:val="none"/>
                <w:shd w:val="clear" w:color="auto" w:fill="ffffff"/>
                <w:lang w:val="en-US" w:eastAsia="zh-CN"/>
                <w14:textFill>
                  <w14:solidFill>
                    <w14:schemeClr w14:val="tx1"/>
                  </w14:solidFill>
                </w14:textFill>
              </w:rPr>
              <w:t xml:space="preserve">3项）</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、标注"▲"的次重要参数</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项</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及未标注的一般参数</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28</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）的满足情况，均须提供</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证明材料，未提供或提供不符合要求的，对应参数按不满足处理。</w:t>
            </w:r>
            <w:r/>
          </w:p>
          <w:p>
            <w:pPr>
              <w:ind w:left="0" w:right="0"/>
              <w:keepLines w:val="0"/>
              <w:keepNext w:val="0"/>
              <w:pageBreakBefore w:val="0"/>
              <w:spacing w:before="0" w:beforeAutospacing="0" w:after="0" w:afterAutospacing="0" w:line="264" w:lineRule="auto"/>
              <w:widowControl w:val="off"/>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suppressLineNumbers w:val="0"/>
            </w:pP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 若参数</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响应</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存在正、负偏离的均应详细说明，如实填写偏离表</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并提供</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技术证明材料包括不限于</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白皮书、厂家对外公开发布的产品彩页、产品说明书、认证证书、检测/检验报告等扫描件加盖电子签章</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经评委审核技术</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证明</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材料有效，视为满足。</w:t>
            </w:r>
            <w:r/>
          </w:p>
          <w:p>
            <w:pPr>
              <w:ind w:left="0" w:right="0"/>
              <w:keepLines w:val="0"/>
              <w:keepNext w:val="0"/>
              <w:pageBreakBefore w:val="0"/>
              <w:spacing w:before="0" w:beforeAutospacing="0" w:after="0" w:afterAutospacing="0" w:line="264" w:lineRule="auto"/>
              <w:widowControl w:val="off"/>
              <w:rPr>
                <w:rFonts w:hint="eastAsia"/>
                <w:color w:val="000000" w:themeColor="text1"/>
                <w:highlight w:val="none"/>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投标文件中</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需在《</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偏离表》中清楚标注每一证明材料对应项的具体页码，未提供或提供不符合要求的，自行承担被判定为负偏离的风险。</w:t>
            </w:r>
            <w:r/>
          </w:p>
        </w:tc>
      </w:tr>
      <w:tr>
        <w:trPr>
          <w:trHeight w:val="2843"/>
        </w:trPr>
        <w:tc>
          <w:tcPr>
            <w:shd w:val="clear" w:color="auto" w:fill="auto"/>
            <w:tcW w:w="622" w:type="pct"/>
            <w:vAlign w:val="center"/>
            <w:vMerge w:val="continue"/>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产品质量、性能评价（9分）</w:t>
            </w:r>
            <w:r/>
          </w:p>
        </w:tc>
        <w:tc>
          <w:tcPr>
            <w:shd w:val="clear" w:color="auto" w:fill="auto"/>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根据所投产品实样照片、产品配置</w:t>
            </w:r>
            <w:r>
              <w:rPr>
                <w:rFonts w:hint="eastAsia" w:ascii="宋体" w:hAnsi="宋体" w:cs="宋体"/>
                <w:color w:val="000000" w:themeColor="text1"/>
                <w:sz w:val="24"/>
                <w:szCs w:val="24"/>
                <w:highlight w:val="none"/>
                <w:lang w:val="en-US" w:eastAsia="zh-CN"/>
                <w14:textFill>
                  <w14:solidFill>
                    <w14:schemeClr w14:val="tx1"/>
                  </w14:solidFill>
                </w14:textFill>
              </w:rPr>
              <w:t xml:space="preserve">清单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产品质量佐证资料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、医疗机构</w:t>
            </w:r>
            <w:r>
              <w:rPr>
                <w:rFonts w:ascii="宋体" w:hAnsi="宋体" w:eastAsia="宋体" w:cs="宋体"/>
                <w:color w:val="000000" w:themeColor="text1"/>
                <w:sz w:val="24"/>
                <w:szCs w:val="24"/>
                <w:highlight w:val="none"/>
                <w14:textFill>
                  <w14:solidFill>
                    <w14:schemeClr w14:val="tx1"/>
                  </w14:solidFill>
                </w14:textFill>
              </w:rPr>
              <w:t xml:space="preserve">同类项目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应用情况</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以及针对采购包关注重点等内容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等，从性能稳定性、质量可靠性、技术先进</w:t>
            </w:r>
            <w:r>
              <w:rPr>
                <w:rFonts w:hint="eastAsia" w:ascii="宋体" w:hAnsi="宋体" w:cs="宋体"/>
                <w:color w:val="000000" w:themeColor="text1"/>
                <w:sz w:val="24"/>
                <w:szCs w:val="24"/>
                <w:highlight w:val="none"/>
                <w:lang w:val="en-US" w:eastAsia="zh-CN"/>
                <w14:textFill>
                  <w14:solidFill>
                    <w14:schemeClr w14:val="tx1"/>
                  </w14:solidFill>
                </w14:textFill>
              </w:rPr>
              <w:t xml:space="preserve">性等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方面综合评分。</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性能稳定性（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运行参数持续达标，具备多家医疗机构成熟落地应用案例，运行故障率低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具备少量医疗机构应用案例，整体运行平稳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得2分；</w:t>
            </w:r>
            <w:r>
              <w:rPr>
                <w:rFonts w:ascii="宋体" w:hAnsi="宋体" w:eastAsia="宋体" w:cs="宋体"/>
                <w:color w:val="000000" w:themeColor="text1"/>
                <w:sz w:val="24"/>
                <w:szCs w:val="24"/>
                <w:highlight w:val="none"/>
                <w14:textFill>
                  <w14:solidFill>
                    <w14:schemeClr w14:val="tx1"/>
                  </w14:solidFill>
                </w14:textFill>
              </w:rPr>
              <w:t xml:space="preserve">无医疗机构应用案例，仅可满足基础运行条件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性能稳定性较差得1分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质量可靠性（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完全满足招标文件全部质量技术要求，无任何负偏离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次要质量指标存在轻微负偏离，主体质量符合采购需求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得2分；</w:t>
            </w:r>
            <w:r>
              <w:rPr>
                <w:rFonts w:ascii="宋体" w:hAnsi="宋体" w:eastAsia="宋体" w:cs="宋体"/>
                <w:color w:val="000000" w:themeColor="text1"/>
                <w:sz w:val="24"/>
                <w:szCs w:val="24"/>
                <w:highlight w:val="none"/>
                <w14:textFill>
                  <w14:solidFill>
                    <w14:schemeClr w14:val="tx1"/>
                  </w14:solidFill>
                </w14:textFill>
              </w:rPr>
              <w:t xml:space="preserve">多项质量指标存在偏离，仅能满足最低使用标准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技术先进性（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核心技术优于招标文件要求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产品技术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能</w:t>
            </w:r>
            <w:r>
              <w:rPr>
                <w:rFonts w:ascii="宋体" w:hAnsi="宋体" w:eastAsia="宋体" w:cs="宋体"/>
                <w:color w:val="000000" w:themeColor="text1"/>
                <w:sz w:val="24"/>
                <w:szCs w:val="24"/>
                <w:highlight w:val="none"/>
                <w14:textFill>
                  <w14:solidFill>
                    <w14:schemeClr w14:val="tx1"/>
                  </w14:solidFill>
                </w14:textFill>
              </w:rPr>
              <w:t xml:space="preserve">满足招标文件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技术常规老旧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最低得0分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r>
      <w:tr>
        <w:trPr>
          <w:trHeight w:val="2290"/>
        </w:trPr>
        <w:tc>
          <w:tcPr>
            <w:shd w:val="clear" w:color="auto" w:fill="auto"/>
            <w:tcW w:w="622" w:type="pct"/>
            <w:vAlign w:val="center"/>
            <w:vMerge w:val="continue"/>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项目实施方案（9分）</w:t>
            </w:r>
            <w:r/>
          </w:p>
        </w:tc>
        <w:tc>
          <w:tcPr>
            <w:shd w:val="clear" w:color="auto" w:fill="auto"/>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根据投标文件中提供的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项目实施方案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进行综合评价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，内容包含但不限于</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实施</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人员安排、整体实施流程、供货保障措施、供货排期安排、安装调试方案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完整涵盖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w:t>
            </w:r>
            <w:r>
              <w:rPr>
                <w:rFonts w:ascii="宋体" w:hAnsi="宋体" w:eastAsia="宋体" w:cs="宋体"/>
                <w:color w:val="000000" w:themeColor="text1"/>
                <w:sz w:val="24"/>
                <w:szCs w:val="24"/>
                <w:highlight w:val="none"/>
                <w14:textFill>
                  <w14:solidFill>
                    <w14:schemeClr w14:val="tx1"/>
                  </w14:solidFill>
                </w14:textFill>
              </w:rPr>
              <w:t xml:space="preserve">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w:t>
            </w:r>
            <w:r>
              <w:rPr>
                <w:rFonts w:ascii="宋体" w:hAnsi="宋体" w:eastAsia="宋体" w:cs="宋体"/>
                <w:color w:val="000000" w:themeColor="text1"/>
                <w:sz w:val="24"/>
                <w:szCs w:val="24"/>
                <w:highlight w:val="none"/>
                <w14:textFill>
                  <w14:solidFill>
                    <w14:schemeClr w14:val="tx1"/>
                  </w14:solidFill>
                </w14:textFill>
              </w:rPr>
              <w:t xml:space="preserve">，详实细致</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内容完整，</w:t>
            </w:r>
            <w:r>
              <w:rPr>
                <w:rFonts w:ascii="宋体" w:hAnsi="宋体" w:eastAsia="宋体" w:cs="宋体"/>
                <w:color w:val="000000" w:themeColor="text1"/>
                <w:sz w:val="24"/>
                <w:szCs w:val="24"/>
                <w:highlight w:val="none"/>
                <w14:textFill>
                  <w14:solidFill>
                    <w14:schemeClr w14:val="tx1"/>
                  </w14:solidFill>
                </w14:textFill>
              </w:rPr>
              <w:t xml:space="preserve">个别内容简略、细节不足</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内容不完整</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所有内容贴合本项目采购需求，充分考虑项目重难点</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基本契合本项目采购要求</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未结合本项目实际情况配性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差</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人员、安装工期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ascii="宋体" w:hAnsi="宋体" w:eastAsia="宋体" w:cs="宋体"/>
                <w:color w:val="000000" w:themeColor="text1"/>
                <w:sz w:val="24"/>
                <w:szCs w:val="24"/>
                <w:highlight w:val="none"/>
                <w14:textFill>
                  <w14:solidFill>
                    <w14:schemeClr w14:val="tx1"/>
                  </w14:solidFill>
                </w14:textFill>
              </w:rPr>
              <w:t xml:space="preserve">科学合理，可落地执行</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安排基本合理，可正常落地，少量细节有待完善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ascii="宋体" w:hAnsi="宋体" w:eastAsia="宋体" w:cs="宋体"/>
                <w:color w:val="000000" w:themeColor="text1"/>
                <w:sz w:val="24"/>
                <w:szCs w:val="24"/>
                <w:highlight w:val="none"/>
                <w14:textFill>
                  <w14:solidFill>
                    <w14:schemeClr w14:val="tx1"/>
                  </w14:solidFill>
                </w14:textFill>
              </w:rPr>
              <w:t xml:space="preserve">工期、实施安排不合理，难以落地实施</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最低得0分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2551"/>
        </w:trPr>
        <w:tc>
          <w:tcPr>
            <w:shd w:val="clear" w:color="auto" w:fill="auto"/>
            <w:tcW w:w="622" w:type="pct"/>
            <w:vAlign w:val="center"/>
            <w:vMerge w:val="continue"/>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售后服务方案（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3753" w:type="pct"/>
            <w:vAlign w:val="center"/>
            <w:textDirection w:val="lrTb"/>
            <w:noWrap w:val="false"/>
          </w:tcPr>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根据投标文件中提供的售后服务方案进行综合评价，内容包含但不限于质保期限承诺、售后服务方式、响应时间、</w:t>
            </w:r>
            <w:r>
              <w:rPr>
                <w:rFonts w:ascii="宋体" w:hAnsi="宋体" w:eastAsia="宋体" w:cs="宋体"/>
                <w:color w:val="000000" w:themeColor="text1"/>
                <w:sz w:val="24"/>
                <w:szCs w:val="24"/>
                <w:highlight w:val="none"/>
                <w14:textFill>
                  <w14:solidFill>
                    <w14:schemeClr w14:val="tx1"/>
                  </w14:solidFill>
                </w14:textFill>
              </w:rPr>
              <w:t xml:space="preserve">故障响应时限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故障处理流程、</w:t>
            </w:r>
            <w:r>
              <w:rPr>
                <w:rFonts w:ascii="宋体" w:hAnsi="宋体" w:eastAsia="宋体" w:cs="宋体"/>
                <w:color w:val="000000" w:themeColor="text1"/>
                <w:sz w:val="24"/>
                <w:szCs w:val="24"/>
                <w:highlight w:val="none"/>
                <w14:textFill>
                  <w14:solidFill>
                    <w14:schemeClr w14:val="tx1"/>
                  </w14:solidFill>
                </w14:textFill>
              </w:rPr>
              <w:t xml:space="preserve">突发故障</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应急保障措施、质保期满后配件供应等。</w:t>
            </w:r>
            <w:r/>
          </w:p>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ascii="宋体" w:hAnsi="宋体" w:eastAsia="宋体" w:cs="宋体"/>
                <w:color w:val="000000" w:themeColor="text1"/>
                <w:sz w:val="24"/>
                <w:szCs w:val="24"/>
                <w:highlight w:val="none"/>
                <w14:textFill>
                  <w14:solidFill>
                    <w14:schemeClr w14:val="tx1"/>
                  </w14:solidFill>
                </w14:textFill>
              </w:rPr>
              <w:t xml:space="preserve">完整涵盖全部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全部</w:t>
            </w:r>
            <w:r>
              <w:rPr>
                <w:rFonts w:ascii="宋体" w:hAnsi="宋体" w:eastAsia="宋体" w:cs="宋体"/>
                <w:color w:val="000000" w:themeColor="text1"/>
                <w:sz w:val="24"/>
                <w:szCs w:val="24"/>
                <w:highlight w:val="none"/>
                <w14:textFill>
                  <w14:solidFill>
                    <w14:schemeClr w14:val="tx1"/>
                  </w14:solidFill>
                </w14:textFill>
              </w:rPr>
              <w:t xml:space="preserve">服务内容；质保承诺优于招标文件要求，售后响应机制完善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服务计划落地性极强</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得6分；</w:t>
            </w:r>
            <w:r/>
          </w:p>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ascii="宋体" w:hAnsi="宋体" w:eastAsia="宋体" w:cs="宋体"/>
                <w:color w:val="000000" w:themeColor="text1"/>
                <w:sz w:val="24"/>
                <w:szCs w:val="24"/>
                <w:highlight w:val="none"/>
                <w14:textFill>
                  <w14:solidFill>
                    <w14:schemeClr w14:val="tx1"/>
                  </w14:solidFill>
                </w14:textFill>
              </w:rPr>
              <w:t xml:space="preserve">核心内容具备，部分内容细节简略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得4分；</w:t>
            </w:r>
            <w:r/>
          </w:p>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ascii="宋体" w:hAnsi="宋体" w:eastAsia="宋体" w:cs="宋体"/>
                <w:color w:val="000000" w:themeColor="text1"/>
                <w:sz w:val="24"/>
                <w:szCs w:val="24"/>
                <w:highlight w:val="none"/>
                <w14:textFill>
                  <w14:solidFill>
                    <w14:schemeClr w14:val="tx1"/>
                  </w14:solidFill>
                </w14:textFill>
              </w:rPr>
              <w:t xml:space="preserve">核心内容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欠缺，</w:t>
            </w:r>
            <w:r>
              <w:rPr>
                <w:rFonts w:ascii="宋体" w:hAnsi="宋体" w:eastAsia="宋体" w:cs="宋体"/>
                <w:color w:val="000000" w:themeColor="text1"/>
                <w:sz w:val="24"/>
                <w:szCs w:val="24"/>
                <w:highlight w:val="none"/>
                <w14:textFill>
                  <w14:solidFill>
                    <w14:schemeClr w14:val="tx1"/>
                  </w14:solidFill>
                </w14:textFill>
              </w:rPr>
              <w:t xml:space="preserve">保障力度不足</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得2分；</w:t>
            </w:r>
            <w:r/>
          </w:p>
          <w:p>
            <w:pPr>
              <w:numPr>
                <w:ilvl w:val="0"/>
                <w:numId w:val="0"/>
              </w:numPr>
              <w:ind w:left="0" w:right="0"/>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未提供的不得分，本项最高得6分，最低得0分。</w:t>
            </w:r>
            <w:r/>
          </w:p>
        </w:tc>
      </w:tr>
      <w:tr>
        <w:trPr>
          <w:trHeight w:val="1834"/>
        </w:trPr>
        <w:tc>
          <w:tcPr>
            <w:shd w:val="clear" w:color="auto" w:fill="auto"/>
            <w:tcW w:w="622" w:type="pct"/>
            <w:vAlign w:val="center"/>
            <w:vMerge w:val="continue"/>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技术培训方案（3分）</w:t>
            </w:r>
            <w:r/>
          </w:p>
        </w:tc>
        <w:tc>
          <w:tcPr>
            <w:shd w:val="clear" w:color="auto" w:fill="auto"/>
            <w:tcW w:w="3753" w:type="pct"/>
            <w:vAlign w:val="center"/>
            <w:textDirection w:val="lrTb"/>
            <w:noWrap w:val="false"/>
          </w:tcPr>
          <w:p>
            <w:pPr>
              <w:numPr>
                <w:ilvl w:val="0"/>
                <w:numId w:val="0"/>
              </w:numPr>
              <w:ind w:left="0" w:right="0"/>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根据投标文件中提供的技术</w:t>
            </w:r>
            <w:r>
              <w:rPr>
                <w:rFonts w:hint="eastAsia" w:ascii="宋体" w:hAnsi="宋体" w:eastAsia="宋体" w:cs="宋体"/>
                <w:color w:val="000000" w:themeColor="text1"/>
                <w:sz w:val="24"/>
                <w:szCs w:val="24"/>
                <w:highlight w:val="none"/>
                <w14:textFill>
                  <w14:solidFill>
                    <w14:schemeClr w14:val="tx1"/>
                  </w14:solidFill>
                </w14:textFill>
              </w:rPr>
              <w:t xml:space="preserve">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进行综合评价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，内容包含但不限于：培训计划、培训内容、培训方式等。</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ascii="宋体" w:hAnsi="宋体" w:eastAsia="宋体" w:cs="宋体"/>
                <w:color w:val="000000" w:themeColor="text1"/>
                <w:sz w:val="24"/>
                <w:szCs w:val="24"/>
                <w:highlight w:val="none"/>
                <w14:textFill>
                  <w14:solidFill>
                    <w14:schemeClr w14:val="tx1"/>
                  </w14:solidFill>
                </w14:textFill>
              </w:rPr>
              <w:t xml:space="preserve">内容完整齐全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贴合所投设备实际操作需求，课程充足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技术培训方案</w:t>
            </w:r>
            <w:r>
              <w:rPr>
                <w:rFonts w:ascii="宋体" w:hAnsi="宋体" w:eastAsia="宋体" w:cs="宋体"/>
                <w:color w:val="000000" w:themeColor="text1"/>
                <w:sz w:val="24"/>
                <w:szCs w:val="24"/>
                <w:highlight w:val="none"/>
                <w14:textFill>
                  <w14:solidFill>
                    <w14:schemeClr w14:val="tx1"/>
                  </w14:solidFill>
                </w14:textFill>
              </w:rPr>
              <w:t xml:space="preserve">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较齐全</w:t>
            </w:r>
            <w:r>
              <w:rPr>
                <w:rFonts w:ascii="宋体" w:hAnsi="宋体" w:eastAsia="宋体" w:cs="宋体"/>
                <w:color w:val="000000" w:themeColor="text1"/>
                <w:sz w:val="24"/>
                <w:szCs w:val="24"/>
                <w:highlight w:val="none"/>
                <w14:textFill>
                  <w14:solidFill>
                    <w14:schemeClr w14:val="tx1"/>
                  </w14:solidFill>
                </w14:textFill>
              </w:rPr>
              <w:t xml:space="preserve">，细节略有欠缺，整体可实施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ascii="宋体" w:hAnsi="宋体" w:eastAsia="宋体" w:cs="宋体"/>
                <w:color w:val="000000" w:themeColor="text1"/>
                <w:sz w:val="24"/>
                <w:szCs w:val="24"/>
                <w:highlight w:val="none"/>
                <w14:textFill>
                  <w14:solidFill>
                    <w14:schemeClr w14:val="tx1"/>
                  </w14:solidFill>
                </w14:textFill>
              </w:rPr>
              <w:t xml:space="preserve">内容存在缺项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培训安排合理性不足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得1分。</w:t>
            </w:r>
            <w:r/>
          </w:p>
          <w:p>
            <w:pPr>
              <w:pStyle w:val="982"/>
              <w:ind w:left="0" w:right="0"/>
              <w:keepLines w:val="0"/>
              <w:keepNext w:val="0"/>
              <w:pageBreakBefore w:val="0"/>
              <w:spacing w:before="0" w:beforeAutospacing="0" w:after="0" w:afterAutospacing="0" w:line="264"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未提供的不得分，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最低得0分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r>
      <w:tr>
        <w:trPr>
          <w:trHeight w:val="1272"/>
        </w:trPr>
        <w:tc>
          <w:tcPr>
            <w:shd w:val="clear" w:color="auto" w:fill="auto"/>
            <w:tcW w:w="622" w:type="pct"/>
            <w:vAlign w:val="center"/>
            <w:vMerge w:val="restart"/>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商务部分（9分）</w:t>
            </w:r>
            <w:r/>
          </w:p>
        </w:tc>
        <w:tc>
          <w:tcPr>
            <w:shd w:val="clear" w:color="auto" w:fill="auto"/>
            <w:tcW w:w="624" w:type="pct"/>
            <w:vAlign w:val="center"/>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业绩</w:t>
            </w:r>
            <w:r/>
          </w:p>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（4分）</w:t>
            </w:r>
            <w:r/>
          </w:p>
        </w:tc>
        <w:tc>
          <w:tcPr>
            <w:shd w:val="clear" w:color="auto" w:fill="auto"/>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szCs w:val="24"/>
                <w:highlight w:val="none"/>
                <w:lang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月1日</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（以合同签订时间为准）以来</w:t>
            </w:r>
            <w:r>
              <w:rPr>
                <w:rFonts w:hint="eastAsia" w:ascii="宋体" w:hAnsi="宋体" w:cs="宋体"/>
                <w:color w:val="000000" w:themeColor="text1"/>
                <w:sz w:val="24"/>
                <w:szCs w:val="24"/>
                <w:highlight w:val="none"/>
                <w:lang w:eastAsia="zh-CN"/>
                <w14:textFill>
                  <w14:solidFill>
                    <w14:schemeClr w14:val="tx1"/>
                  </w14:solidFill>
                </w14:textFill>
              </w:rPr>
              <w:t xml:space="preserve">与</w:t>
            </w:r>
            <w:r>
              <w:rPr>
                <w:rFonts w:hint="eastAsia" w:ascii="宋体" w:hAnsi="宋体" w:eastAsia="宋体" w:cs="宋体"/>
                <w:color w:val="000000" w:themeColor="text1"/>
                <w:sz w:val="24"/>
                <w:szCs w:val="24"/>
                <w:highlight w:val="none"/>
                <w14:textFill>
                  <w14:solidFill>
                    <w14:schemeClr w14:val="tx1"/>
                  </w14:solidFill>
                </w14:textFill>
              </w:rPr>
              <w:t xml:space="preserve">所</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w:t>
            </w:r>
            <w:r>
              <w:rPr>
                <w:rFonts w:hint="eastAsia" w:ascii="宋体" w:hAnsi="宋体" w:eastAsia="宋体" w:cs="宋体"/>
                <w:color w:val="000000" w:themeColor="text1"/>
                <w:sz w:val="24"/>
                <w:szCs w:val="24"/>
                <w:highlight w:val="none"/>
                <w14:textFill>
                  <w14:solidFill>
                    <w14:schemeClr w14:val="tx1"/>
                  </w14:solidFill>
                </w14:textFill>
              </w:rPr>
              <w:t xml:space="preserve">产品</w:t>
            </w:r>
            <w:r>
              <w:rPr>
                <w:rFonts w:hint="eastAsia" w:ascii="宋体" w:hAnsi="宋体" w:cs="宋体"/>
                <w:color w:val="000000" w:themeColor="text1"/>
                <w:sz w:val="24"/>
                <w:szCs w:val="24"/>
                <w:highlight w:val="none"/>
                <w:lang w:eastAsia="zh-CN"/>
                <w14:textFill>
                  <w14:solidFill>
                    <w14:schemeClr w14:val="tx1"/>
                  </w14:solidFill>
                </w14:textFill>
              </w:rPr>
              <w:t xml:space="preserve">相类似的销售</w:t>
            </w:r>
            <w:r>
              <w:rPr>
                <w:rFonts w:hint="eastAsia" w:ascii="宋体" w:hAnsi="宋体" w:eastAsia="宋体" w:cs="宋体"/>
                <w:color w:val="000000" w:themeColor="text1"/>
                <w:sz w:val="24"/>
                <w:szCs w:val="24"/>
                <w:highlight w:val="none"/>
                <w14:textFill>
                  <w14:solidFill>
                    <w14:schemeClr w14:val="tx1"/>
                  </w14:solidFill>
                </w14:textFill>
              </w:rPr>
              <w:t xml:space="preserve">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业绩</w:t>
            </w:r>
            <w:r>
              <w:rPr>
                <w:rFonts w:hint="eastAsia" w:ascii="宋体" w:hAnsi="宋体" w:eastAsia="宋体" w:cs="宋体"/>
                <w:color w:val="000000" w:themeColor="text1"/>
                <w:sz w:val="24"/>
                <w:szCs w:val="24"/>
                <w:highlight w:val="none"/>
                <w14:textFill>
                  <w14:solidFill>
                    <w14:schemeClr w14:val="tx1"/>
                  </w14:solidFill>
                </w14:textFill>
              </w:rPr>
              <w:t xml:space="preserve">，业绩证明材料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关键页清晰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eastAsia="宋体" w:cs="宋体"/>
                <w:color w:val="000000" w:themeColor="text1"/>
                <w:sz w:val="24"/>
                <w:szCs w:val="24"/>
                <w:highlight w:val="none"/>
                <w14:textFill>
                  <w14:solidFill>
                    <w14:schemeClr w14:val="tx1"/>
                  </w14:solidFill>
                </w14:textFill>
              </w:rPr>
              <w:t xml:space="preserve">份得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分，本项最多得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分。未提供不得分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注：投标文件中提供销售合同扫描件加盖电子签章。</w:t>
            </w:r>
            <w:r/>
          </w:p>
        </w:tc>
      </w:tr>
      <w:tr>
        <w:trPr>
          <w:trHeight w:val="302"/>
        </w:trPr>
        <w:tc>
          <w:tcPr>
            <w:shd w:val="clear" w:color="auto" w:fill="auto"/>
            <w:tcW w:w="622" w:type="pct"/>
            <w:vAlign w:val="center"/>
            <w:vMerge w:val="continue"/>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免费质保期（3分）</w:t>
            </w:r>
            <w:r/>
          </w:p>
        </w:tc>
        <w:tc>
          <w:tcPr>
            <w:shd w:val="clear" w:color="auto" w:fill="auto"/>
            <w:tcW w:w="3753" w:type="pct"/>
            <w:vAlign w:val="center"/>
            <w:textDirection w:val="lrTb"/>
            <w:noWrap w:val="false"/>
          </w:tcPr>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在满足招标文件质保期基本要求（5年）的基础上，每免费延长1年质保期的得1分，增加不足1年的不计分，本项最高得3分。</w:t>
            </w:r>
            <w:r/>
          </w:p>
          <w:p>
            <w:pPr>
              <w:numPr>
                <w:ilvl w:val="0"/>
                <w:numId w:val="0"/>
              </w:numPr>
              <w:ind w:left="0" w:right="0"/>
              <w:keepLines w:val="0"/>
              <w:keepNext w:val="0"/>
              <w:pageBreakBefore w:val="0"/>
              <w:spacing w:before="0" w:beforeAutospacing="0" w:after="0" w:afterAutospacing="0" w:line="264" w:lineRule="auto"/>
              <w:rPr>
                <w:rFonts w:hint="eastAsia" w:ascii="宋体" w:hAnsi="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注：投标文件中须提供原厂质保期承诺函并加盖投标人公章，否则不得分。</w:t>
            </w:r>
            <w:r/>
          </w:p>
        </w:tc>
      </w:tr>
      <w:tr>
        <w:trPr>
          <w:trHeight w:val="1874"/>
        </w:trPr>
        <w:tc>
          <w:tcPr>
            <w:tcW w:w="622" w:type="pct"/>
            <w:vAlign w:val="center"/>
            <w:vMerge w:val="continue"/>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24" w:type="pct"/>
            <w:vAlign w:val="center"/>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所投产品为“环境标志产品”</w:t>
            </w:r>
            <w:r/>
          </w:p>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w:t>
            </w:r>
            <w:r>
              <w:rPr>
                <w:rFonts w:hint="eastAsia" w:ascii="宋体" w:hAnsi="宋体" w:cs="宋体"/>
                <w:color w:val="000000" w:themeColor="text1"/>
                <w:sz w:val="24"/>
                <w:szCs w:val="24"/>
                <w:highlight w:val="none"/>
                <w:lang w:eastAsia="zh-CN"/>
                <w14:textFill>
                  <w14:solidFill>
                    <w14:schemeClr w14:val="tx1"/>
                  </w14:solidFill>
                </w14:textFill>
              </w:rPr>
              <w:t xml:space="preserve">员会</w:t>
            </w:r>
            <w:r>
              <w:rPr>
                <w:rFonts w:hint="eastAsia" w:ascii="宋体" w:hAnsi="宋体" w:eastAsia="宋体" w:cs="宋体"/>
                <w:color w:val="000000" w:themeColor="text1"/>
                <w:sz w:val="24"/>
                <w:szCs w:val="24"/>
                <w:highlight w:val="none"/>
                <w14:textFill>
                  <w14:solidFill>
                    <w14:schemeClr w14:val="tx1"/>
                  </w14:solidFill>
                </w14:textFill>
              </w:rPr>
              <w:t xml:space="preserve">在市场监管总局节能产品、环境标志产品认证结果信息发布平台核查无误，得1分。投标时不须提供原件核查。</w:t>
            </w:r>
            <w:r/>
          </w:p>
        </w:tc>
      </w:tr>
      <w:tr>
        <w:trPr>
          <w:trHeight w:val="436"/>
        </w:trPr>
        <w:tc>
          <w:tcPr>
            <w:tcW w:w="622" w:type="pct"/>
            <w:vAlign w:val="center"/>
            <w:vMerge w:val="continue"/>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24" w:type="pct"/>
            <w:vAlign w:val="center"/>
            <w:textDirection w:val="lrTb"/>
            <w:noWrap w:val="false"/>
          </w:tcPr>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所投产品为“节能产品”</w:t>
            </w:r>
            <w:r/>
          </w:p>
          <w:p>
            <w:pPr>
              <w:pStyle w:val="988"/>
              <w:ind w:left="0" w:right="0" w:firstLine="0"/>
              <w:jc w:val="center"/>
              <w:keepLines w:val="0"/>
              <w:keepNext w:val="0"/>
              <w:pageBreakBefore w:val="0"/>
              <w:spacing w:before="0" w:beforeAutospacing="0" w:after="0" w:afterAutospacing="0" w:line="264"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w:t>
            </w:r>
            <w:r>
              <w:rPr>
                <w:rFonts w:hint="eastAsia" w:ascii="宋体" w:hAnsi="宋体" w:cs="宋体"/>
                <w:color w:val="000000" w:themeColor="text1"/>
                <w:sz w:val="24"/>
                <w:szCs w:val="24"/>
                <w:highlight w:val="none"/>
                <w:lang w:eastAsia="zh-CN"/>
                <w14:textFill>
                  <w14:solidFill>
                    <w14:schemeClr w14:val="tx1"/>
                  </w14:solidFill>
                </w14:textFill>
              </w:rPr>
              <w:t xml:space="preserve">员会</w:t>
            </w:r>
            <w:r>
              <w:rPr>
                <w:rFonts w:hint="eastAsia" w:ascii="宋体" w:hAnsi="宋体" w:eastAsia="宋体" w:cs="宋体"/>
                <w:color w:val="000000" w:themeColor="text1"/>
                <w:sz w:val="24"/>
                <w:szCs w:val="24"/>
                <w:highlight w:val="none"/>
                <w14:textFill>
                  <w14:solidFill>
                    <w14:schemeClr w14:val="tx1"/>
                  </w14:solidFill>
                </w14:textFill>
              </w:rPr>
              <w:t xml:space="preserve">在市场监管总局节能产品、环境标志产品认证结果信息发布平台核查无误，得1分。投标时不须提供原件核查。</w:t>
            </w:r>
            <w:r/>
          </w:p>
        </w:tc>
      </w:tr>
    </w:tbl>
    <w:p>
      <w:pP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br w:type="page" w:clear="all"/>
      </w:r>
      <w:bookmarkEnd w:id="6"/>
      <w:r/>
      <w:bookmarkEnd w:id="7"/>
      <w:r/>
      <w:r/>
    </w:p>
    <w:p>
      <w:pPr>
        <w:ind w:firstLine="420"/>
        <w:jc w:val="center"/>
        <w:spacing w:line="480" w:lineRule="auto"/>
        <w:rPr>
          <w:rFonts w:hint="eastAsia" w:ascii="宋体" w:hAnsi="宋体" w:eastAsia="宋体" w:cs="宋体"/>
          <w:bCs/>
          <w:color w:val="000000" w:themeColor="text1"/>
          <w:sz w:val="24"/>
          <w:szCs w:val="21"/>
          <w:highlight w:val="none"/>
          <w14:textFill>
            <w14:solidFill>
              <w14:schemeClr w14:val="tx1"/>
            </w14:solidFill>
          </w14:textFill>
        </w:rPr>
        <w:outlineLvl w:val="0"/>
      </w:pPr>
      <w:r/>
      <w:bookmarkStart w:id="8" w:name="_Toc17747"/>
      <w:r/>
      <w:bookmarkStart w:id="9" w:name="_Toc25688"/>
      <w:r>
        <w:rPr>
          <w:rFonts w:hint="eastAsia" w:ascii="宋体" w:hAnsi="宋体" w:eastAsia="宋体" w:cs="宋体"/>
          <w:b/>
          <w:bCs/>
          <w:color w:val="000000" w:themeColor="text1"/>
          <w:sz w:val="28"/>
          <w:szCs w:val="28"/>
          <w:highlight w:val="none"/>
          <w14:textFill>
            <w14:solidFill>
              <w14:schemeClr w14:val="tx1"/>
            </w14:solidFill>
          </w14:textFill>
        </w:rPr>
        <w:t xml:space="preserve">第</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8"/>
          <w:szCs w:val="28"/>
          <w:highlight w:val="none"/>
          <w14:textFill>
            <w14:solidFill>
              <w14:schemeClr w14:val="tx1"/>
            </w14:solidFill>
          </w14:textFill>
        </w:rPr>
        <w:t xml:space="preserve">章  采购需求</w:t>
      </w:r>
      <w:r/>
    </w:p>
    <w:p>
      <w:pPr>
        <w:keepLines w:val="0"/>
        <w:keepNext w:val="0"/>
        <w:pageBreakBefore w:val="0"/>
        <w:spacing w:line="312" w:lineRule="auto"/>
        <w:widowControl w:val="off"/>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14:textFill>
            <w14:solidFill>
              <w14:schemeClr w14:val="tx1"/>
            </w14:solidFill>
          </w14:textFill>
        </w:rPr>
        <w:t xml:space="preserve">一、</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此项目不属于专门面向中小微企业采购的项目。</w:t>
      </w:r>
      <w:r/>
    </w:p>
    <w:p>
      <w:pPr>
        <w:keepLines w:val="0"/>
        <w:keepNext w:val="0"/>
        <w:pageBreakBefore w:val="0"/>
        <w:spacing w:line="312" w:lineRule="auto"/>
        <w:widowControl w:val="off"/>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二、本项目不接受进口产品投标</w:t>
      </w:r>
      <w:r>
        <w:rPr>
          <w:rFonts w:hint="eastAsia" w:ascii="宋体" w:hAnsi="宋体" w:cs="宋体"/>
          <w:b w:val="0"/>
          <w:bCs w:val="0"/>
          <w:color w:val="000000" w:themeColor="text1"/>
          <w:sz w:val="24"/>
          <w:szCs w:val="24"/>
          <w:highlight w:val="none"/>
          <w:lang w:val="en-US"/>
          <w14:textFill>
            <w14:solidFill>
              <w14:schemeClr w14:val="tx1"/>
            </w14:solidFill>
          </w14:textFill>
        </w:rPr>
        <w:t xml:space="preserve">。</w:t>
      </w:r>
      <w:r/>
    </w:p>
    <w:p>
      <w:pPr>
        <w:keepLines w:val="0"/>
        <w:keepNext w:val="0"/>
        <w:pageBreakBefore w:val="0"/>
        <w:spacing w:line="312" w:lineRule="auto"/>
        <w:widowControl w:val="off"/>
        <w:rPr>
          <w:rFonts w:hint="default" w:ascii="宋体" w:hAnsi="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14:textFill>
            <w14:solidFill>
              <w14:schemeClr w14:val="tx1"/>
            </w14:solidFill>
          </w14:textFill>
        </w:rPr>
        <w:t xml:space="preserve">三、采购最高限价：</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本项目不接受超过人民币</w:t>
      </w:r>
      <w:r>
        <w:rPr>
          <w:rFonts w:hint="eastAsia" w:ascii="宋体" w:hAnsi="宋体" w:cs="宋体"/>
          <w:b w:val="0"/>
          <w:bCs w:val="0"/>
          <w:color w:val="000000" w:themeColor="text1"/>
          <w:sz w:val="24"/>
          <w:szCs w:val="24"/>
          <w:highlight w:val="none"/>
          <w:lang w:val="en-US"/>
          <w14:textFill>
            <w14:solidFill>
              <w14:schemeClr w14:val="tx1"/>
            </w14:solidFill>
          </w14:textFill>
        </w:rPr>
        <w:t xml:space="preserve">99</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万元的投标报价。</w:t>
      </w:r>
      <w:r/>
    </w:p>
    <w:p>
      <w:pPr>
        <w:keepLines w:val="0"/>
        <w:keepNext w:val="0"/>
        <w:pageBreakBefore w:val="0"/>
        <w:spacing w:line="312" w:lineRule="auto"/>
        <w:widowControl w:val="off"/>
        <w:rPr>
          <w:rFonts w:hint="eastAsia" w:ascii="宋体" w:hAnsi="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14:textFill>
            <w14:solidFill>
              <w14:schemeClr w14:val="tx1"/>
            </w14:solidFill>
          </w14:textFill>
        </w:rPr>
        <w:t xml:space="preserve">四、采购内容：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1台</w:t>
      </w:r>
      <w:r>
        <w:rPr>
          <w:rFonts w:hint="eastAsia" w:ascii="宋体" w:hAnsi="宋体" w:cs="宋体"/>
          <w:b w:val="0"/>
          <w:bCs w:val="0"/>
          <w:color w:val="000000" w:themeColor="text1"/>
          <w:sz w:val="24"/>
          <w:szCs w:val="24"/>
          <w:highlight w:val="none"/>
          <w:lang w:val="en-US"/>
          <w14:textFill>
            <w14:solidFill>
              <w14:schemeClr w14:val="tx1"/>
            </w14:solidFill>
          </w14:textFill>
        </w:rPr>
        <w:t xml:space="preserve">彩色多普勒超声诊断仪（泌尿外科专用）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采购、安装调试及配套服务。</w:t>
      </w:r>
      <w:r/>
    </w:p>
    <w:p>
      <w:pPr>
        <w:numPr>
          <w:ilvl w:val="0"/>
          <w:numId w:val="0"/>
        </w:numPr>
        <w:ind w:firstLine="480"/>
        <w:keepLines w:val="0"/>
        <w:keepNext w:val="0"/>
        <w:pageBreakBefore w:val="0"/>
        <w:spacing w:line="312" w:lineRule="auto"/>
        <w:widowControl w:val="off"/>
        <w:rPr>
          <w:rFonts w:hint="eastAsia"/>
          <w:b w:val="0"/>
          <w:bCs w:val="0"/>
          <w:color w:val="000000" w:themeColor="text1"/>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14:textFill>
            <w14:solidFill>
              <w14:schemeClr w14:val="tx1"/>
            </w14:solidFill>
          </w14:textFill>
        </w:rPr>
        <w:t xml:space="preserve">1、采购清单</w:t>
      </w:r>
      <w:r/>
    </w:p>
    <w:tbl>
      <w:tblPr>
        <w:tblStyle w:val="975"/>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8"/>
        <w:gridCol w:w="3924"/>
        <w:gridCol w:w="1733"/>
        <w:gridCol w:w="2233"/>
      </w:tblGrid>
      <w:tr>
        <w:trPr>
          <w:jc w:val="center"/>
          <w:trHeight w:val="504"/>
        </w:trPr>
        <w:tc>
          <w:tcPr>
            <w:tcW w:w="142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3924"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1733"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  量</w:t>
            </w:r>
            <w:r/>
          </w:p>
        </w:tc>
        <w:tc>
          <w:tcPr>
            <w:tcW w:w="2233"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w:t>
            </w:r>
            <w:r/>
          </w:p>
        </w:tc>
      </w:tr>
      <w:tr>
        <w:trPr>
          <w:jc w:val="center"/>
          <w:trHeight w:val="464"/>
        </w:trPr>
        <w:tc>
          <w:tcPr>
            <w:tcW w:w="142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1</w:t>
            </w:r>
            <w:r/>
          </w:p>
        </w:tc>
        <w:tc>
          <w:tcPr>
            <w:tcW w:w="392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主机</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台式机</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c>
        <w:tc>
          <w:tcPr>
            <w:tcW w:w="1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p>
        </w:tc>
        <w:tc>
          <w:tcPr>
            <w:tcW w:w="22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台</w:t>
            </w:r>
            <w:r/>
          </w:p>
        </w:tc>
      </w:tr>
      <w:tr>
        <w:trPr>
          <w:jc w:val="center"/>
          <w:trHeight w:val="464"/>
        </w:trPr>
        <w:tc>
          <w:tcPr>
            <w:tcW w:w="142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2</w:t>
            </w:r>
            <w:r/>
          </w:p>
        </w:tc>
        <w:tc>
          <w:tcPr>
            <w:tcW w:w="392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腹部凸阵探头</w:t>
            </w:r>
            <w:r/>
          </w:p>
        </w:tc>
        <w:tc>
          <w:tcPr>
            <w:tcW w:w="1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w:t>
            </w:r>
            <w:r/>
          </w:p>
        </w:tc>
        <w:tc>
          <w:tcPr>
            <w:tcW w:w="22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支</w:t>
            </w:r>
            <w:r/>
          </w:p>
        </w:tc>
      </w:tr>
      <w:tr>
        <w:trPr>
          <w:jc w:val="center"/>
          <w:trHeight w:val="464"/>
        </w:trPr>
        <w:tc>
          <w:tcPr>
            <w:tcW w:w="142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p>
        </w:tc>
        <w:tc>
          <w:tcPr>
            <w:tcW w:w="392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腔内双平面探头</w:t>
            </w:r>
            <w:r/>
          </w:p>
        </w:tc>
        <w:tc>
          <w:tcPr>
            <w:tcW w:w="1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p>
        </w:tc>
        <w:tc>
          <w:tcPr>
            <w:tcW w:w="22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支</w:t>
            </w:r>
            <w:r/>
          </w:p>
        </w:tc>
      </w:tr>
      <w:tr>
        <w:trPr>
          <w:jc w:val="center"/>
          <w:trHeight w:val="807"/>
        </w:trPr>
        <w:tc>
          <w:tcPr>
            <w:gridSpan w:val="4"/>
            <w:tcW w:w="9318"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特别提醒：</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该项目要求投标人按采购清单报价；投标报价为采购清单总价。</w:t>
            </w:r>
            <w:r/>
          </w:p>
          <w:p>
            <w:pPr>
              <w:ind w:firstLine="1201"/>
              <w:jc w:val="both"/>
              <w:keepLines w:val="0"/>
              <w:keepNext w:val="0"/>
              <w:pageBreakBefore w:val="0"/>
              <w:spacing w:line="312"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2.报价包含安装调试及配套服务。</w:t>
            </w:r>
            <w:r/>
          </w:p>
        </w:tc>
      </w:tr>
    </w:tbl>
    <w:p>
      <w:pPr>
        <w:ind w:firstLine="480"/>
        <w:keepLines w:val="0"/>
        <w:keepNext w:val="0"/>
        <w:pageBreakBefore w:val="0"/>
        <w:spacing w:line="312" w:lineRule="auto"/>
        <w:widowControl w:val="off"/>
        <w:rPr>
          <w:rFonts w:hint="eastAsia" w:ascii="Times New Roman" w:hAnsi="Times New Roman" w:eastAsia="宋体" w:cs="Times New Roman"/>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Times New Roman"/>
          <w:b w:val="0"/>
          <w:bCs/>
          <w:color w:val="000000" w:themeColor="text1"/>
          <w:sz w:val="24"/>
          <w:szCs w:val="24"/>
          <w:highlight w:val="none"/>
          <w:lang w:val="en-US" w:eastAsia="zh-CN" w:bidi="ar-SA"/>
          <w14:textFill>
            <w14:solidFill>
              <w14:schemeClr w14:val="tx1"/>
            </w14:solidFill>
          </w14:textFill>
        </w:rPr>
        <w:t xml:space="preserve">设备用途</w:t>
      </w:r>
      <w:r/>
    </w:p>
    <w:p>
      <w:pPr>
        <w:ind w:firstLine="480"/>
        <w:keepLines w:val="0"/>
        <w:keepNext w:val="0"/>
        <w:pageBreakBefore w:val="0"/>
        <w:spacing w:line="312" w:lineRule="auto"/>
        <w:widowControl w:val="off"/>
        <w:rPr>
          <w:rFonts w:hint="eastAsia" w:ascii="Times New Roman" w:hAnsi="Times New Roman" w:cs="Times New Roman"/>
          <w:b w:val="0"/>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cs="Times New Roman"/>
          <w:b w:val="0"/>
          <w:bCs/>
          <w:color w:val="000000" w:themeColor="text1"/>
          <w:sz w:val="24"/>
          <w:szCs w:val="24"/>
          <w:highlight w:val="none"/>
          <w:lang w:val="en-US" w:eastAsia="zh-CN" w:bidi="ar-SA"/>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应用于引导经皮肾穿刺手术及常规肾脏检查评估；</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应用于泌尿外科前列腺检查和超声引导下穿刺活检，经皮肾镜手术诊疗</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；应用于瞄靶经会阴全饱和前列腺穿刺活检；应用于前列腺癌放射粒子植入治疗；应用于膀胱、阴茎、睾丸检查及功能评估。</w:t>
      </w:r>
      <w:r/>
    </w:p>
    <w:p>
      <w:pPr>
        <w:ind w:firstLine="480"/>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可为泌尿外科开展临床诊断，科研教学、疑难病例会诊工作，具备持续升级能力，可以满足开展新的临床应用需求。</w:t>
      </w:r>
      <w:r/>
    </w:p>
    <w:p>
      <w:pPr>
        <w:numPr>
          <w:ilvl w:val="0"/>
          <w:numId w:val="0"/>
        </w:numPr>
        <w:jc w:val="both"/>
        <w:keepLines w:val="0"/>
        <w:keepNext w:val="0"/>
        <w:pageBreakBefore w:val="0"/>
        <w:spacing w:line="312" w:lineRule="auto"/>
        <w:widowControl w:val="off"/>
        <w:rPr>
          <w:color w:val="000000" w:themeColor="text1"/>
          <w:highlight w:val="none"/>
          <w14:textFill>
            <w14:solidFill>
              <w14:schemeClr w14:val="tx1"/>
            </w14:solidFill>
          </w14:textFill>
        </w:rPr>
      </w:pPr>
      <w:r>
        <w:rPr>
          <w:rFonts w:hint="eastAsia" w:ascii="Calibri" w:hAnsi="Calibri" w:eastAsia="宋体" w:cs="宋体"/>
          <w:b/>
          <w:bCs/>
          <w:color w:val="000000" w:themeColor="text1"/>
          <w:sz w:val="24"/>
          <w:szCs w:val="24"/>
          <w:highlight w:val="none"/>
          <w:lang w:val="en-US" w:eastAsia="zh-CN" w:bidi="ar-SA"/>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技术</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规格</w:t>
      </w:r>
      <w:r>
        <w:rPr>
          <w:rFonts w:hint="eastAsia" w:ascii="宋体" w:hAnsi="宋体" w:eastAsia="宋体" w:cs="宋体"/>
          <w:b/>
          <w:bCs/>
          <w:color w:val="000000" w:themeColor="text1"/>
          <w:sz w:val="24"/>
          <w:szCs w:val="24"/>
          <w:highlight w:val="none"/>
          <w14:textFill>
            <w14:solidFill>
              <w14:schemeClr w14:val="tx1"/>
            </w14:solidFill>
          </w14:textFill>
        </w:rPr>
        <w:t xml:space="preserve">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核心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参数，不允许负偏离，否则投标无效；加“▲”为次重要参数；其他未标注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为一般参数)</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0" w:firstLine="420"/>
        <w:jc w:val="center"/>
        <w:spacing w:after="0" w:line="360" w:lineRule="auto"/>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技术规格参数要求</w:t>
      </w:r>
      <w:r/>
    </w:p>
    <w:tbl>
      <w:tblPr>
        <w:tblStyle w:val="951"/>
        <w:tblW w:w="49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987"/>
        <w:gridCol w:w="6859"/>
      </w:tblGrid>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color w:val="000000" w:themeColor="text1"/>
                <w:sz w:val="21"/>
                <w:szCs w:val="21"/>
                <w:highlight w:val="none"/>
                <w14:textFill>
                  <w14:solidFill>
                    <w14:schemeClr w14:val="tx1"/>
                  </w14:solidFill>
                </w14:textFill>
              </w:rPr>
              <w:t xml:space="preserve">编号</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color w:val="000000" w:themeColor="text1"/>
                <w:sz w:val="21"/>
                <w:szCs w:val="21"/>
                <w:highlight w:val="none"/>
                <w14:textFill>
                  <w14:solidFill>
                    <w14:schemeClr w14:val="tx1"/>
                  </w14:solidFill>
                </w14:textFill>
              </w:rPr>
              <w:t xml:space="preserve">项目</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suppressLineNumbers w:val="0"/>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技术</w:t>
            </w:r>
            <w:r>
              <w:rPr>
                <w:rFonts w:hint="eastAsia" w:ascii="宋体" w:hAnsi="宋体" w:eastAsia="宋体" w:cs="宋体"/>
                <w:b/>
                <w:color w:val="000000" w:themeColor="text1"/>
                <w:sz w:val="21"/>
                <w:szCs w:val="21"/>
                <w:highlight w:val="none"/>
                <w14:textFill>
                  <w14:solidFill>
                    <w14:schemeClr w14:val="tx1"/>
                  </w14:solidFill>
                </w14:textFill>
              </w:rPr>
              <w:t xml:space="preserve">规格描述</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p>
        </w:tc>
        <w:tc>
          <w:tcPr>
            <w:gridSpan w:val="2"/>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56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主机</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操作显示屏</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≥21.5英寸宽屏高对比度液晶显示器，宽视野，高对比度图像显示。</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数据传输方式</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USB 接口≥1个，网络接口≥1个，支持连接医院 PACS （或相关）系统，支持U 盘、光盘导入数据。</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配备探头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腹部凸阵探头</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支</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腔内双平面探头1支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探头接口</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探头杯</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探头接口≥2个。探头杯≥4个</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存储空间</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固态硬盘≥128GB，数据存储硬盘≥1TB。</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触控屏</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≥10英寸彩色液晶触控屏，人体工程学舒适角度，直观操作，并可自定义页面布局。梯形拓展成像功能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扩大扫查视野。</w:t>
            </w:r>
            <w:r/>
          </w:p>
        </w:tc>
      </w:tr>
      <w:tr>
        <w:trPr>
          <w:jc w:val="center"/>
          <w:trHeight w:val="526"/>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p>
        </w:tc>
        <w:tc>
          <w:tcPr>
            <w:gridSpan w:val="2"/>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568" w:type="pct"/>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功能参数</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双平面探头功能</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支持同屏同时显示矢状面和横断面的实时超声图像。</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辅助规划穿刺路径</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支持辅助规划穿刺路径，穿刺引导线指引</w:t>
            </w:r>
            <w:r>
              <w:rPr>
                <w:rFonts w:hint="eastAsia" w:ascii="宋体" w:hAnsi="宋体" w:eastAsia="宋体" w:cs="宋体"/>
                <w:color w:val="000000" w:themeColor="text1"/>
                <w:sz w:val="21"/>
                <w:szCs w:val="21"/>
                <w:highlight w:val="none"/>
                <w14:textFill>
                  <w14:solidFill>
                    <w14:schemeClr w14:val="tx1"/>
                  </w14:solidFill>
                </w14:textFill>
              </w:rPr>
              <w:t xml:space="preserve">，支持 0 角度引导线功能。</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配备穿刺架</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前列腺穿刺架：角度多档位可调</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增益调节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动态范围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增益可独立调节，≥50dB。动态范围可调，≥70dB。</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图像增强功能</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图像增强功能，</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档可调。</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正常/镜像显示</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支持正常显示及镜像显示调节。</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扫描深度</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扫描深度连续可调。</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超声频率</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超声频率：≥3 档可调。</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谐波成像</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伪彩</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支持谐波成像。伪彩：≥8 档可调。</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灰阶</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灰阶：二维图像≥256 灰阶，≥</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档可调。</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TGC</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深度刻度尺</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TGC：可独立调节，≥8 段可调。有深度刻度尺，直观查看探头深度。</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C模式血流切换</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在C模式下，可切换血流模式与能量模式。</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血流方向显示</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支持血流方向显示切换。</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取样门</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取样门：可调节取样门位置和大小，0.5-20mm可调。</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最大扫描深度</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最大扫描深度： ≥35cm可调。</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16</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测量功能</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测量功能：支持测量距离、面积、角度、流速等。</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17</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冻结/解冻功能</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冻结/解冻功能：支持超声图像冻结和解冻。</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18</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病人数据管理模块</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病人数据管理模块：管理病人信息、检查记录等，自动化分析和建立病人档案，支持图像文件、电影文件及测量结果存储。</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19</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保存功能</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支持保存图像、保存视频，记录手术操作细节，可在病人管理界面回看已保存的图像和视频。</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快捷功能模块</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快捷功能模块：内置快捷功能菜单，可快速跳转至常用功能列表。</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21</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梯形拓展成像功能，扩大扫查视野</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梯形拓展成像功能，扩大扫查视野</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p>
        </w:tc>
        <w:tc>
          <w:tcPr>
            <w:gridSpan w:val="2"/>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56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探头技术要求</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多层晶体匹配探头技术</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提高灵敏度，改善阻抗匹配，使得接收的声信息量得到数百倍提升，海量信息得以被真实还原。</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频率</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超宽频带及变频探头，中心频率可视可调，二维中心频率可选择≥5种，多普勒中心频率可选择≥2种。</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gridSpan w:val="2"/>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56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超宽频凸阵经皮肾穿刺探头</w:t>
            </w:r>
            <w:r/>
          </w:p>
        </w:tc>
      </w:tr>
      <w:tr>
        <w:trPr>
          <w:jc w:val="center"/>
          <w:trHeight w:val="641"/>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▲3.1</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频率范围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频率范围 1.0-5.0MHz</w:t>
            </w:r>
            <w:r/>
          </w:p>
        </w:tc>
      </w:tr>
      <w:tr>
        <w:trPr>
          <w:jc w:val="center"/>
          <w:trHeight w:val="611"/>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3.2</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曲率</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color w:val="000000" w:themeColor="text1"/>
                <w:sz w:val="22"/>
                <w:szCs w:val="22"/>
                <w:u w:val="none"/>
                <w:lang w:val="en-US" w:eastAsia="zh-CN" w:bidi="ar"/>
                <w14:textFill>
                  <w14:solidFill>
                    <w14:schemeClr w14:val="tx1"/>
                  </w14:solidFill>
                </w14:textFill>
              </w:rPr>
              <w:t xml:space="preserve">曲率</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 R40和R60 </w:t>
            </w:r>
            <w:r/>
          </w:p>
        </w:tc>
      </w:tr>
      <w:tr>
        <w:trPr>
          <w:jc w:val="center"/>
          <w:trHeight w:val="596"/>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3.3</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扫描角度</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color w:val="000000" w:themeColor="text1"/>
                <w:sz w:val="22"/>
                <w:szCs w:val="22"/>
                <w:u w:val="none"/>
                <w:lang w:val="en-US" w:eastAsia="zh-CN" w:bidi="ar"/>
                <w14:textFill>
                  <w14:solidFill>
                    <w14:schemeClr w14:val="tx1"/>
                  </w14:solidFill>
                </w14:textFill>
              </w:rPr>
              <w:t xml:space="preserve">扫描角度</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 ≥65° </w:t>
            </w:r>
            <w:r/>
          </w:p>
        </w:tc>
      </w:tr>
      <w:tr>
        <w:trPr>
          <w:jc w:val="center"/>
          <w:trHeight w:val="641"/>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3.4</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探头灭菌方式</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color w:val="000000" w:themeColor="text1"/>
                <w:sz w:val="22"/>
                <w:szCs w:val="22"/>
                <w:u w:val="none"/>
                <w:lang w:val="en-US" w:eastAsia="zh-CN" w:bidi="ar"/>
                <w14:textFill>
                  <w14:solidFill>
                    <w14:schemeClr w14:val="tx1"/>
                  </w14:solidFill>
                </w14:textFill>
              </w:rPr>
              <w:t xml:space="preserve">探头灭菌方式</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 1、环氧乙烷气体（EOG）杀菌</w:t>
            </w:r>
            <w:r>
              <w:rPr>
                <w:rFonts w:hint="eastAsia" w:ascii="宋体" w:hAnsi="宋体"/>
                <w:color w:val="000000" w:themeColor="text1"/>
                <w:szCs w:val="21"/>
                <w:u w:val="none"/>
                <w:lang w:val="en-US" w:eastAsia="zh-CN" w:bidi="ar"/>
                <w14:textFill>
                  <w14:solidFill>
                    <w14:schemeClr w14:val="tx1"/>
                  </w14:solidFill>
                </w14:textFill>
              </w:rPr>
              <w:t xml:space="preserve">或</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2、低温等离子</w:t>
            </w:r>
            <w:r/>
          </w:p>
        </w:tc>
      </w:tr>
      <w:tr>
        <w:trPr>
          <w:jc w:val="center"/>
          <w:trHeight w:val="626"/>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穿刺探头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color w:val="000000" w:themeColor="text1"/>
                <w:sz w:val="22"/>
                <w:szCs w:val="22"/>
                <w:u w:val="none"/>
                <w:lang w:val="en-US" w:eastAsia="zh-CN" w:bidi="ar"/>
                <w14:textFill>
                  <w14:solidFill>
                    <w14:schemeClr w14:val="tx1"/>
                  </w14:solidFill>
                </w14:textFill>
              </w:rPr>
              <w:t xml:space="preserve">探头扫查面厚度</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 ≤16mm </w:t>
            </w:r>
            <w:r>
              <w:rPr>
                <w:rFonts w:hint="eastAsia" w:ascii="宋体" w:hAnsi="宋体"/>
                <w:b/>
                <w:bCs/>
                <w:color w:val="000000" w:themeColor="text1"/>
                <w:szCs w:val="21"/>
                <w:u w:val="none"/>
                <w:lang w:val="en-US" w:eastAsia="zh-CN" w:bidi="ar"/>
                <w14:textFill>
                  <w14:solidFill>
                    <w14:schemeClr w14:val="tx1"/>
                  </w14:solidFill>
                </w14:textFill>
              </w:rPr>
              <w:t xml:space="preserve">，可以避开肋骨，多角度穿刺，角度范围</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 0-40，支持0角度穿刺 </w:t>
            </w:r>
            <w:r>
              <w:rPr>
                <w:rFonts w:hint="eastAsia" w:ascii="宋体" w:hAnsi="宋体"/>
                <w:b/>
                <w:bCs/>
                <w:color w:val="000000" w:themeColor="text1"/>
                <w:szCs w:val="21"/>
                <w:u w:val="none"/>
                <w:lang w:val="en-US" w:eastAsia="zh-CN" w:bidi="ar"/>
                <w14:textFill>
                  <w14:solidFill>
                    <w14:schemeClr w14:val="tx1"/>
                  </w14:solidFill>
                </w14:textFill>
              </w:rPr>
              <w:t xml:space="preserve">。</w:t>
            </w:r>
            <w:r/>
          </w:p>
        </w:tc>
      </w:tr>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泌尿专业宽频变频凸 / 线阵粒子植入穿刺探头</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泌尿专业宽频变频凸 / 线阵粒子植入穿刺探头，频率（凸/线） 4-8  MHz/ 5-10 MHz，凸阵扫描角度 ≥120°，能用于经会阴前列腺穿刺使用。</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机器人腹腔镜探头（可升级）</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tabs>
                <w:tab w:val="left" w:pos="1107"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后期可升级机器人腹腔镜探头，支持T型成像，支持造影。</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02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设备兼容性</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54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tabs>
                <w:tab w:val="left" w:pos="1107" w:leader="none"/>
              </w:tabs>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设备能够兼容市场上主流品牌和规格的前列腺穿刺活检针，不能专机专用，具有良好的通用性。</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73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7</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74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支持软件免费升级</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601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tabs>
                <w:tab w:val="left" w:pos="1107" w:leader="none"/>
              </w:tabs>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支持软件免费升级</w:t>
            </w:r>
            <w:r/>
          </w:p>
        </w:tc>
      </w:tr>
      <w:tr>
        <w:trPr>
          <w:jc w:val="cente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73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8</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174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设备使用年限</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601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tabs>
                <w:tab w:val="left" w:pos="1107" w:leader="none"/>
              </w:tabs>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7年</w:t>
            </w:r>
            <w:r/>
          </w:p>
        </w:tc>
      </w:tr>
    </w:tbl>
    <w:p>
      <w:pPr>
        <w:keepLines w:val="0"/>
        <w:keepNext w:val="0"/>
        <w:pageBreakBefore w:val="0"/>
        <w:spacing w:line="312" w:lineRule="auto"/>
        <w:widowControl w:val="off"/>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备注：功能相同，描述不同，视为符合。</w:t>
      </w:r>
      <w:r/>
    </w:p>
    <w:p>
      <w:pPr>
        <w:ind w:firstLine="482"/>
        <w:keepLines w:val="0"/>
        <w:keepNext w:val="0"/>
        <w:pageBreakBefore w:val="0"/>
        <w:spacing w:line="312" w:lineRule="auto"/>
        <w:widowControl w:val="off"/>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特别说明：</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所有</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技术规格参数</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（含标注"★"的核心参数</w:t>
      </w:r>
      <w:r>
        <w:rPr>
          <w:rFonts w:hint="eastAsia" w:ascii="Segoe UI" w:hAnsi="Segoe UI" w:eastAsia="宋体" w:cs="Segoe UI"/>
          <w:b/>
          <w:bCs/>
          <w:i w:val="0"/>
          <w:iCs w:val="0"/>
          <w:caps w:val="0"/>
          <w:strike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b/>
          <w:bCs/>
          <w:i w:val="0"/>
          <w:iCs w:val="0"/>
          <w:caps w:val="0"/>
          <w:strike w:val="0"/>
          <w:color w:val="000000" w:themeColor="text1"/>
          <w:spacing w:val="0"/>
          <w:sz w:val="24"/>
          <w:szCs w:val="24"/>
          <w:highlight w:val="none"/>
          <w:shd w:val="clear" w:color="auto" w:fill="ffffff"/>
          <w:lang w:val="en-US" w:eastAsia="zh-CN"/>
          <w14:textFill>
            <w14:solidFill>
              <w14:schemeClr w14:val="tx1"/>
            </w14:solidFill>
          </w14:textFill>
        </w:rPr>
        <w:t xml:space="preserve">3项）</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、标注"▲"的次重要参数</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项</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及未标注的一般参数</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Segoe UI" w:hAnsi="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）的满足情况，均须提供</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证明材料，未提供或提供不符合要求的，对应参数按不满足处理。</w:t>
      </w:r>
      <w:r/>
    </w:p>
    <w:p>
      <w:pPr>
        <w:ind w:firstLine="480"/>
        <w:keepLines w:val="0"/>
        <w:keepNext w:val="0"/>
        <w:pageBreakBefore w:val="0"/>
        <w:spacing w:line="312" w:lineRule="auto"/>
        <w:widowControl w:val="off"/>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pP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 若参数</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响应</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存在正、负偏离的均应详细说明，如实填写偏离表</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并提供</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技术证明材料包括不限于</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白皮书、厂家对外公开发布的产品彩页、产品说明书、认证证书、检测/检验报告等扫描件加盖电子签章</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经评委审核技术</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证明</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材料有效，视为满足。</w:t>
      </w:r>
      <w:r/>
    </w:p>
    <w:p>
      <w:pPr>
        <w:ind w:firstLine="480"/>
        <w:keepLines w:val="0"/>
        <w:keepNext w:val="0"/>
        <w:pageBreakBefore w:val="0"/>
        <w:spacing w:line="312" w:lineRule="auto"/>
        <w:widowControl w:val="off"/>
        <w:rPr>
          <w:color w:val="000000" w:themeColor="text1"/>
          <w:highlight w:val="none"/>
          <w14:textFill>
            <w14:solidFill>
              <w14:schemeClr w14:val="tx1"/>
            </w14:solidFill>
          </w14:textFill>
        </w:rPr>
      </w:pP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投标文件中</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需在《</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偏离表》中清楚标注每一证明材料对应项的具体页码，未提供或提供不符合要求的，自行承担被判定为负偏离的风险。</w:t>
      </w:r>
      <w:r/>
    </w:p>
    <w:p>
      <w:pPr>
        <w:keepLines w:val="0"/>
        <w:keepNext w:val="0"/>
        <w:pageBreakBefore w:val="0"/>
        <w:spacing w:line="312"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六、项目质量保障及实施要求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（一）项目实施要求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1、为保证本项目的顺利实施，供应商应结合各自产品特点，自行编制实施方案。</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2、交货及安装期限要求：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中标人须在合同签订之日起30日内完成供货并安装调试完毕（地址为睢宁县人民医院，具体情况可现场踏勘）。</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设备送到项目实施现场后，中标人与采购人一</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说明：“2、交货及安装期限要求”为不允许负偏离的实质性要求和条件，如有负偏离，在符合性审查时按照投标无效处理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3、厂家专职工程师到医院现场，负责仪器安装、调试，并负责本科室1至2名医师操作使用、维护培训，培训时间不少于一周。</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（二）质量保障要求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在质量管理上，严格按照规范要求，建立完善的质量管理体系，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2、投标人须提供所投产品的实样照片、提供所投产品配置清单、产品手册或技术说明书，针对所投产品的技术指标、性能稳定性进行具体说明。</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（三）配送、安装要求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1、投标人成立配送安装小组，指定具体负责人。产品出厂前，必须明确安装/维修要求，备齐所需工具。提供人员安排和配置。</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七、项目验收、售后服务以及培训要求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（一）验收标准：</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2、验收期限：安装、调试、培训完成后验收。采购人按国际和国家标准及生产厂家标准进行质量验收。中标人应向采购人提供详细的验收标准、验收手册。</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3、设备安装完成后，采购人安排专人按照货物技术指标要求和中标人的投标文件中相关指标，以及验货</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（二）售后服务要求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一）质保期内的服务要求</w:t>
      </w:r>
      <w:r/>
    </w:p>
    <w:p>
      <w:pPr>
        <w:keepLines w:val="0"/>
        <w:keepNext w:val="0"/>
        <w:pageBreakBefore w:val="0"/>
        <w:spacing w:line="312"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1、质保期：提供主机、工作站及所有探头不少于5年免费原厂质保和软件终身免费使用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免费升级、免费重装服务（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自最终验收合格之日起，开始进入质保期）。</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2、质保期内设备免费维护、维修，解决各种技术瑕疵。</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3、全年设备故障电话1小时内响应，24小时内到达现场维修。</w:t>
      </w:r>
      <w:r/>
    </w:p>
    <w:p>
      <w:pPr>
        <w:keepLines w:val="0"/>
        <w:keepNext w:val="0"/>
        <w:pageBreakBefore w:val="0"/>
        <w:spacing w:line="312"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4、质保期内探头故障只换不修（换原厂全新探头）。</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5、质保期过后的升级维护维修只收取部分工本维护费用。长期提供设备保养、系统升级、网络接入、链接调试、科研指导、教学培训等服务。</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二）质保期满后的服务要求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1、投标文件中提供后续维保报价、设备常用配件报价。提供的质保期满后的服务方案须满足临床使用需求。后续维保报价、设备常用配件报价须科学合理。</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2、投标文件中提供质保期满后的响应时间、人员安排。</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3、配件供应：保证10年以上配件供应。</w:t>
      </w:r>
      <w:r/>
    </w:p>
    <w:p>
      <w:pPr>
        <w:ind w:right="-153"/>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三）</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软件维保服务要求：</w:t>
      </w:r>
      <w:r/>
    </w:p>
    <w:p>
      <w:pPr>
        <w:ind w:right="-153"/>
        <w:keepLines w:val="0"/>
        <w:keepNext w:val="0"/>
        <w:pageBreakBefore w:val="0"/>
        <w:spacing w:line="312"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四</w:t>
      </w:r>
      <w:r>
        <w:rPr>
          <w:rFonts w:hint="eastAsia" w:ascii="宋体" w:hAnsi="宋体" w:eastAsia="宋体" w:cs="宋体"/>
          <w:b w:val="0"/>
          <w:bCs/>
          <w:color w:val="000000" w:themeColor="text1"/>
          <w:sz w:val="24"/>
          <w:szCs w:val="24"/>
          <w:highlight w:val="none"/>
          <w14:textFill>
            <w14:solidFill>
              <w14:schemeClr w14:val="tx1"/>
            </w14:solidFill>
          </w14:textFill>
        </w:rPr>
        <w:t xml:space="preserve">）硬件服务要求：</w:t>
      </w:r>
      <w:r/>
    </w:p>
    <w:p>
      <w:pPr>
        <w:ind w:right="-153"/>
        <w:keepLines w:val="0"/>
        <w:keepNext w:val="0"/>
        <w:pageBreakBefore w:val="0"/>
        <w:spacing w:line="312"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ind w:left="420"/>
        <w:jc w:val="both"/>
        <w:keepLines w:val="0"/>
        <w:keepNext w:val="0"/>
        <w:pageBreakBefore w:val="0"/>
        <w:spacing w:after="0" w:line="312"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五）培训要求：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1、产品验收合格后，中标人应选派专业技术人员对采购单位的相关人员进行技术培训，保证被培训人员能掌握操作方法和维护。</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2、中标人免费提供相关培训和产品的相关资料及演示视频等，并配备相应的操作流程、注意事项及保养方法。</w:t>
      </w:r>
      <w:r/>
    </w:p>
    <w:p>
      <w:pPr>
        <w:numPr>
          <w:ilvl w:val="0"/>
          <w:numId w:val="0"/>
        </w:numPr>
        <w:ind w:left="420"/>
        <w:jc w:val="both"/>
        <w:keepLines w:val="0"/>
        <w:keepNext w:val="0"/>
        <w:pageBreakBefore w:val="0"/>
        <w:spacing w:after="0" w:line="312"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他相关技术要求的培训。</w:t>
      </w:r>
      <w:r/>
    </w:p>
    <w:p>
      <w:pPr>
        <w:keepLines w:val="0"/>
        <w:keepNext w:val="0"/>
        <w:pageBreakBefore w:val="0"/>
        <w:spacing w:line="312"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八、其他要求：</w:t>
      </w:r>
      <w:r/>
    </w:p>
    <w:p>
      <w:pPr>
        <w:keepLines w:val="0"/>
        <w:keepNext w:val="0"/>
        <w:pageBreakBefore w:val="0"/>
        <w:spacing w:line="312"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numPr>
          <w:ilvl w:val="0"/>
          <w:numId w:val="0"/>
        </w:numPr>
        <w:jc w:val="both"/>
        <w:keepLines w:val="0"/>
        <w:keepNext w:val="0"/>
        <w:pageBreakBefore w:val="0"/>
        <w:spacing w:line="312"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2、其它要求见招标文件《拟签订的合同文本》。</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643"/>
        <w:jc w:val="center"/>
        <w:keepLines w:val="0"/>
        <w:keepNext w:val="0"/>
        <w:pageBreakBefore w:val="0"/>
        <w:spacing w:line="312"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643"/>
        <w:jc w:val="center"/>
        <w:keepLines w:val="0"/>
        <w:keepNext w:val="0"/>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br w:type="page" w:clear="all"/>
      </w:r>
      <w:r/>
    </w:p>
    <w:p>
      <w:pPr>
        <w:jc w:val="center"/>
        <w:spacing w:line="360" w:lineRule="auto"/>
        <w:rPr>
          <w:color w:val="000000" w:themeColor="text1"/>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32"/>
          <w:szCs w:val="32"/>
          <w:highlight w:val="none"/>
          <w14:textFill>
            <w14:solidFill>
              <w14:schemeClr w14:val="tx1"/>
            </w14:solidFill>
          </w14:textFill>
        </w:rPr>
        <w:t xml:space="preserve">章  拟签订的合同文本</w:t>
      </w:r>
      <w:bookmarkEnd w:id="8"/>
      <w:r/>
      <w:r/>
    </w:p>
    <w:p>
      <w:pPr>
        <w:ind w:left="256" w:right="6" w:firstLine="624"/>
        <w:jc w:val="both"/>
        <w:widowControl w:val="off"/>
        <w:rPr>
          <w:rFonts w:hint="eastAsia" w:ascii="宋体" w:hAnsi="宋体" w:eastAsia="宋体" w:cs="宋体"/>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r>
      <w:r/>
    </w:p>
    <w:p>
      <w:pPr>
        <w:ind w:left="540"/>
        <w:jc w:val="center"/>
        <w:spacing w:before="1"/>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4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520"/>
        <w:jc w:val="both"/>
        <w:spacing w:after="120"/>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30"/>
          <w:szCs w:val="30"/>
          <w:highlight w:val="none"/>
          <w:lang w:val="en-US" w:eastAsia="zh-CN" w:bidi="ar-SA"/>
          <w14:textFill>
            <w14:solidFill>
              <w14:schemeClr w14:val="tx1"/>
            </w14:solidFill>
          </w14:textFill>
        </w:rPr>
      </w:pPr>
      <w:r>
        <w:rPr>
          <w:rFonts w:hint="default" w:ascii="宋体" w:hAnsi="宋体" w:eastAsia="宋体" w:cs="Times New Roman"/>
          <w:color w:val="000000" w:themeColor="text1"/>
          <w:sz w:val="30"/>
          <w:szCs w:val="30"/>
          <w:highlight w:val="none"/>
          <w:lang w:val="en-US" w:eastAsia="zh-CN" w:bidi="ar-SA"/>
          <w14:textFill>
            <w14:solidFill>
              <w14:schemeClr w14:val="tx1"/>
            </w14:solidFill>
          </w14:textFill>
        </w:rPr>
        <w:t xml:space="preserve">项目名称：</w:t>
      </w:r>
      <w:r>
        <w:rPr>
          <w:rFonts w:hint="eastAsia" w:ascii="宋体" w:hAnsi="宋体" w:cs="Times New Roman"/>
          <w:color w:val="000000" w:themeColor="text1"/>
          <w:sz w:val="30"/>
          <w:szCs w:val="30"/>
          <w:highlight w:val="none"/>
          <w:lang w:val="en-US" w:eastAsia="zh-CN" w:bidi="ar-SA"/>
          <w14:textFill>
            <w14:solidFill>
              <w14:schemeClr w14:val="tx1"/>
            </w14:solidFill>
          </w14:textFill>
        </w:rPr>
        <w:t xml:space="preserve">彩色多普勒超声诊断仪(泌尿外科专用)采购项目</w:t>
      </w:r>
      <w:r/>
    </w:p>
    <w:p>
      <w:pPr>
        <w:jc w:val="center"/>
        <w:spacing w:after="120"/>
        <w:rPr>
          <w:rFonts w:hint="eastAsia" w:ascii="宋体" w:hAnsi="宋体" w:eastAsia="宋体" w:cs="Times New Roman"/>
          <w:color w:val="000000" w:themeColor="text1"/>
          <w:sz w:val="30"/>
          <w:szCs w:val="30"/>
          <w:highlight w:val="none"/>
          <w:lang w:val="en-US" w:eastAsia="zh-CN" w:bidi="ar-SA"/>
          <w14:textFill>
            <w14:solidFill>
              <w14:schemeClr w14:val="tx1"/>
            </w14:solidFill>
          </w14:textFill>
        </w:rPr>
      </w:pPr>
      <w:r>
        <w:rPr>
          <w:rFonts w:hint="default" w:ascii="宋体" w:hAnsi="宋体" w:eastAsia="宋体" w:cs="Times New Roman"/>
          <w:color w:val="000000" w:themeColor="text1"/>
          <w:sz w:val="30"/>
          <w:szCs w:val="30"/>
          <w:highlight w:val="none"/>
          <w:lang w:val="en-US" w:eastAsia="zh-CN" w:bidi="ar-SA"/>
          <w14:textFill>
            <w14:solidFill>
              <w14:schemeClr w14:val="tx1"/>
            </w14:solidFill>
          </w14:textFill>
        </w:rPr>
        <w:t xml:space="preserve">项目编号：</w:t>
      </w:r>
      <w:r>
        <w:rPr>
          <w:rFonts w:hint="eastAsia" w:ascii="宋体" w:hAnsi="宋体" w:cs="Times New Roman"/>
          <w:color w:val="000000" w:themeColor="text1"/>
          <w:sz w:val="30"/>
          <w:szCs w:val="30"/>
          <w:highlight w:val="none"/>
          <w:lang w:val="en-US" w:eastAsia="zh-CN" w:bidi="ar-SA"/>
          <w14:textFill>
            <w14:solidFill>
              <w14:schemeClr w14:val="tx1"/>
            </w14:solidFill>
          </w14:textFill>
        </w:rPr>
        <w:t xml:space="preserve">JSZC-320324-JSKJ-G2026-0040</w:t>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default" w:ascii="宋体" w:hAnsi="宋体" w:eastAsia="宋体" w:cs="Times New Roman"/>
          <w:color w:val="000000" w:themeColor="text1"/>
          <w:sz w:val="56"/>
          <w:szCs w:val="56"/>
          <w:highlight w:val="none"/>
          <w:lang w:val="en-US" w:eastAsia="zh-CN" w:bidi="ar-SA"/>
          <w14:textFill>
            <w14:solidFill>
              <w14:schemeClr w14:val="tx1"/>
            </w14:solidFill>
          </w14:textFill>
        </w:rPr>
        <w:t xml:space="preserve">政府采购合同</w:t>
      </w:r>
      <w:r/>
    </w:p>
    <w:p>
      <w:pPr>
        <w:jc w:val="both"/>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jc w:val="both"/>
        <w:spacing w:after="120"/>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采  购  人</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（甲方）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cs="Times New Roman"/>
          <w:color w:val="000000" w:themeColor="text1"/>
          <w:sz w:val="28"/>
          <w:szCs w:val="28"/>
          <w:highlight w:val="none"/>
          <w:u w:val="single"/>
          <w:lang w:val="en-US" w:eastAsia="zh-CN" w:bidi="ar-SA"/>
          <w14:textFill>
            <w14:solidFill>
              <w14:schemeClr w14:val="tx1"/>
            </w14:solidFill>
          </w14:textFill>
        </w:rPr>
        <w:t xml:space="preserve">睢宁县人民医院</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供</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应</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商</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（乙方）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合同签订日期：   年   月   日</w:t>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友情提醒：采购人与中标、成交</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投标人</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应当在中标、成交通知书发出之日起30日内，按照</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招标文件</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确定的事项签订政府采购合同。</w:t>
      </w:r>
      <w:r/>
    </w:p>
    <w:p>
      <w:pPr>
        <w:ind w:firstLine="480"/>
        <w:jc w:val="both"/>
        <w:spacing w:line="360" w:lineRule="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采购人应当自政府采购合同签订之日起2个</w:t>
      </w:r>
      <w:r>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bookmarkEnd w:id="9"/>
      <w:r/>
      <w:r/>
    </w:p>
    <w:p>
      <w:pPr>
        <w:spacing w:line="312" w:lineRule="auto"/>
        <w:rPr>
          <w:rFonts w:hint="eastAsia" w:ascii="宋体" w:hAnsi="宋体" w:cs="宋体"/>
          <w:color w:val="000000" w:themeColor="text1"/>
          <w:sz w:val="24"/>
          <w:highlight w:val="none"/>
          <w14:textFill>
            <w14:solidFill>
              <w14:schemeClr w14:val="tx1"/>
            </w14:solidFill>
          </w14:textFill>
        </w:rPr>
        <w:sectPr>
          <w:footerReference w:type="default" r:id="rId16"/>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000000" w:themeColor="text1"/>
          <w:sz w:val="24"/>
          <w:highlight w:val="none"/>
          <w14:textFill>
            <w14:solidFill>
              <w14:schemeClr w14:val="tx1"/>
            </w14:solidFill>
          </w14:textFill>
        </w:rPr>
      </w:r>
      <w:r/>
    </w:p>
    <w:p>
      <w:pPr>
        <w:ind w:firstLine="420"/>
        <w:jc w:val="center"/>
        <w:spacing w:line="520" w:lineRule="exact"/>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合同通用条款</w:t>
      </w:r>
      <w:r/>
    </w:p>
    <w:p>
      <w:pPr>
        <w:ind w:firstLine="600"/>
        <w:jc w:val="cente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keepLines w:val="0"/>
        <w:keepNext w:val="0"/>
        <w:pageBreakBefore w:val="0"/>
        <w:spacing w:line="312" w:lineRule="auto"/>
        <w:widowControl w:val="off"/>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1.12“合同生效日”见《合同协议书》（合同附件1）第5 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 见合同附件6。</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2.2数量：见招标文件第六章《采购需求》中“三、</w:t>
      </w:r>
      <w:r>
        <w:rPr>
          <w:rFonts w:hint="eastAsia" w:ascii="宋体" w:hAnsi="宋体" w:eastAsia="宋体" w:cs="宋体"/>
          <w:color w:val="000000" w:themeColor="text1"/>
          <w:sz w:val="24"/>
          <w:highlight w:val="none"/>
          <w:lang w:eastAsia="zh-CN"/>
          <w14:textFill>
            <w14:solidFill>
              <w14:schemeClr w14:val="tx1"/>
            </w14:solidFill>
          </w14:textFill>
        </w:rPr>
        <w:t xml:space="preserve">项目说明</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 项目实施方案见合同附件7。</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54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ind w:left="1" w:firstLine="537"/>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12" w:lineRule="auto"/>
        <w:widowControl w:val="off"/>
        <w:rPr>
          <w:rFonts w:hint="eastAsia" w:ascii="宋体" w:hAnsi="宋体" w:eastAsia="宋体" w:cs="宋体"/>
          <w:color w:val="000000" w:themeColor="text1"/>
          <w:sz w:val="30"/>
          <w:szCs w:val="30"/>
          <w:highlight w:val="none"/>
          <w14:textFill>
            <w14:solidFill>
              <w14:schemeClr w14:val="tx1"/>
            </w14:solidFill>
          </w14:textFill>
        </w:rPr>
        <w:sectPr>
          <w:headerReference w:type="default" r:id="rId11"/>
          <w:footerReference w:type="default" r:id="rId17"/>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center"/>
        <w:spacing w:line="360" w:lineRule="auto"/>
        <w:rPr>
          <w:rFonts w:hint="eastAsia" w:ascii="宋体" w:hAnsi="宋体" w:eastAsia="宋体" w:cs="宋体"/>
          <w:b w:val="0"/>
          <w:bCs/>
          <w:color w:val="000000" w:themeColor="text1"/>
          <w:sz w:val="30"/>
          <w:szCs w:val="30"/>
          <w:highlight w:val="none"/>
          <w14:textFill>
            <w14:solidFill>
              <w14:schemeClr w14:val="tx1"/>
            </w14:solidFill>
          </w14:textFill>
        </w:rPr>
      </w:pPr>
      <w:r>
        <w:rPr>
          <w:rFonts w:hint="eastAsia" w:ascii="宋体" w:hAnsi="宋体" w:eastAsia="宋体" w:cs="宋体"/>
          <w:b w:val="0"/>
          <w:bCs/>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甲方（买方）：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乙方（卖方）：</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firstLine="48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keepLines w:val="0"/>
        <w:keepNext w:val="0"/>
        <w:pageBreakBefore w:val="0"/>
        <w:spacing w:line="312" w:lineRule="auto"/>
        <w:rPr>
          <w:rStyle w:val="1165"/>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合同标的</w:t>
      </w:r>
      <w:r/>
    </w:p>
    <w:p>
      <w:pPr>
        <w:ind w:left="426"/>
        <w:keepLines w:val="0"/>
        <w:keepNext w:val="0"/>
        <w:pageBreakBefore w:val="0"/>
        <w:spacing w:line="312" w:lineRule="auto"/>
        <w:rPr>
          <w:rStyle w:val="1165"/>
          <w:rFonts w:hint="eastAsia" w:ascii="宋体" w:hAnsi="宋体" w:eastAsia="宋体" w:cs="宋体"/>
          <w:b w:val="0"/>
          <w:bCs/>
          <w:color w:val="000000" w:themeColor="text1"/>
          <w:sz w:val="24"/>
          <w:szCs w:val="24"/>
          <w:highlight w:val="none"/>
          <w14:textFill>
            <w14:solidFill>
              <w14:schemeClr w14:val="tx1"/>
            </w14:solidFill>
          </w14:textFill>
        </w:rPr>
      </w:pPr>
      <w:r>
        <w:rPr>
          <w:rStyle w:val="1165"/>
          <w:rFonts w:hint="eastAsia" w:ascii="宋体" w:hAnsi="宋体" w:eastAsia="宋体" w:cs="宋体"/>
          <w:b w:val="0"/>
          <w:bCs/>
          <w:color w:val="000000" w:themeColor="text1"/>
          <w:sz w:val="24"/>
          <w:szCs w:val="24"/>
          <w:highlight w:val="none"/>
          <w14:textFill>
            <w14:solidFill>
              <w14:schemeClr w14:val="tx1"/>
            </w14:solidFill>
          </w14:textFill>
        </w:rPr>
        <w:t xml:space="preserve">1.1产品名称、型号、规格、数量及价款</w:t>
      </w:r>
      <w:r/>
    </w:p>
    <w:tbl>
      <w:tblPr>
        <w:tblStyle w:val="951"/>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产品名称</w:t>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型号</w:t>
            </w:r>
            <w:r/>
          </w:p>
        </w:tc>
        <w:tc>
          <w:tcPr>
            <w:tcW w:w="110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单价（元）</w:t>
            </w:r>
            <w:r/>
          </w:p>
        </w:tc>
        <w:tc>
          <w:tcPr>
            <w:tcW w:w="108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单位</w:t>
            </w:r>
            <w:r/>
          </w:p>
        </w:tc>
        <w:tc>
          <w:tcPr>
            <w:tcW w:w="91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数量</w:t>
            </w:r>
            <w:r/>
          </w:p>
        </w:tc>
        <w:tc>
          <w:tcPr>
            <w:tcW w:w="1075"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金额（元）</w:t>
            </w:r>
            <w:r/>
          </w:p>
        </w:tc>
        <w:tc>
          <w:tcPr>
            <w:tcW w:w="138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w:t>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37"/>
        </w:trPr>
        <w:tc>
          <w:tcPr>
            <w:gridSpan w:val="7"/>
            <w:tcW w:w="8678"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合计（大写）：人民币</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元整 </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（含税含运费）</w:t>
            </w:r>
            <w:r/>
          </w:p>
        </w:tc>
      </w:tr>
    </w:tbl>
    <w:p>
      <w:pPr>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36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1.5本项目所有设备应包含所有有关互连所需的相关配件，保证其能正常运行，甲方不再为此另行支付任何费用。</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2.交货方法、交货期限、到货地点及风险转移</w:t>
      </w:r>
      <w:r/>
    </w:p>
    <w:p>
      <w:pPr>
        <w:pStyle w:val="1166"/>
        <w:ind w:left="0" w:firstLine="480"/>
        <w:keepLines w:val="0"/>
        <w:keepNext w:val="0"/>
        <w:pageBreakBefore w:val="0"/>
        <w:spacing w:line="312" w:lineRule="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交货期：自本合同签订生效之日起</w:t>
      </w: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 xml:space="preserve">____</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日内，将货物送达甲方指定地点，并完成安装调试及投入使用。</w:t>
      </w:r>
      <w:r/>
    </w:p>
    <w:p>
      <w:pPr>
        <w:ind w:firstLine="42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2.3甲方指定的到货地点：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指定地点</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2.4在乙方将货物交付甲方指定的交货地点和人员前，货物的毁损、灭失风险完全由乙方承担。</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 货物包装及质量保证</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3.4乙方应保证本合同货物和服务或其任何一部分享有合法专利权、版权、商标权和工业设计权等知识产权，或经第三方合法授权。一旦出现侵权，由乙方负全部责任。</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3.6乙方保证所提供设备的技术规格符合甲方采购需求，符合国家有关部门最新颁布的标准及规范。</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4.交货物验收、异议</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4.1货物到达甲方指定到货地点后，甲、乙双方共同进行验收、测试。</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4.2验收标准: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val="0"/>
          <w:bCs/>
          <w:color w:val="000000" w:themeColor="text1"/>
          <w:sz w:val="24"/>
          <w:szCs w:val="24"/>
          <w:highlight w:val="none"/>
          <w14:textFill>
            <w14:solidFill>
              <w14:schemeClr w14:val="tx1"/>
            </w14:solidFill>
          </w14:textFill>
        </w:rPr>
        <w:t xml:space="preserve">所</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供</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4.4双方</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在验收中，如果发现货物的品种、型号、规格、数量、质量与本合同附件规定不符，甲方应就此签署书面异议文件，</w:t>
      </w:r>
      <w:r>
        <w:rPr>
          <w:rFonts w:hint="eastAsia" w:ascii="宋体" w:hAnsi="宋体" w:eastAsia="宋体" w:cs="宋体"/>
          <w:b w:val="0"/>
          <w:bCs/>
          <w:color w:val="000000" w:themeColor="text1"/>
          <w:sz w:val="24"/>
          <w:szCs w:val="24"/>
          <w:highlight w:val="none"/>
          <w14:textFill>
            <w14:solidFill>
              <w14:schemeClr w14:val="tx1"/>
            </w14:solidFill>
          </w14:textFill>
        </w:rPr>
        <w:t xml:space="preserve">并</w:t>
      </w:r>
      <w:r>
        <w:rPr>
          <w:rFonts w:hint="default" w:ascii="宋体" w:hAnsi="宋体" w:eastAsia="宋体" w:cs="宋体"/>
          <w:b w:val="0"/>
          <w:bCs/>
          <w:color w:val="000000" w:themeColor="text1"/>
          <w:sz w:val="24"/>
          <w:szCs w:val="24"/>
          <w:highlight w:val="none"/>
          <w14:textFill>
            <w14:solidFill>
              <w14:schemeClr w14:val="tx1"/>
            </w14:solidFill>
          </w14:textFill>
        </w:rPr>
        <w:t xml:space="preserve">有权要求乙方在 [5] 日内无条件更换、补足全部或部分货物，或直接退货。乙方未能按时更换或更换后仍不符合约定的，甲方有权解除本合同，并要求乙方承担合同总价款 [20%] 的违约金。由此产生的一切费用和损失由乙方承担。</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4.5如甲方未按规定期限提出书面异议的，视为所交货物符合合同规定，但货物存在隐蔽瑕疵或者对质量保证期另有规定的除外。</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4.6乙方在接到甲方书面异议后，应在三日内提出处理意见，否则，即视为默认甲方提出的异议和处理意见，乙方应照此执行。</w:t>
      </w:r>
      <w:r/>
    </w:p>
    <w:p>
      <w:pPr>
        <w:pStyle w:val="1155"/>
        <w:ind w:left="480"/>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 安装、调试与验收</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5.3质量符合国家法律法规规定的标准、招标文件和投标文件的要求。</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乙方提供设备安装和维修所需的专用工具和辅助材料。</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14:textFill>
            <w14:solidFill>
              <w14:schemeClr w14:val="tx1"/>
            </w14:solidFill>
          </w14:textFill>
        </w:rPr>
        <w:t xml:space="preserve"> 如乙方提供的设备设有维修软件密码，乙方应保证无条件地为甲方永久免费打开。</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乙方所供设备如验收不合格，根据甲方的要求，乙方必须无条件换货或退货，由此引起的一切损失由乙方承担。</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5.14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.如果设备中含不可收费的一次性耗材，乙方需终身免费提供。</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 付款方式</w:t>
      </w:r>
      <w:r/>
    </w:p>
    <w:p>
      <w:pPr>
        <w:ind w:firstLine="54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本合同总金额为人民币大写金额</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元（小写金额：</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元）。</w:t>
      </w:r>
      <w:r/>
    </w:p>
    <w:p>
      <w:pPr>
        <w:ind w:firstLine="540"/>
        <w:keepLines w:val="0"/>
        <w:keepNext w:val="0"/>
        <w:pageBreakBefore w:val="0"/>
        <w:spacing w:line="312"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6.2</w:t>
      </w:r>
      <w:r>
        <w:rPr>
          <w:rFonts w:hint="eastAsia" w:ascii="宋体" w:hAnsi="宋体" w:cs="宋体"/>
          <w:b/>
          <w:bCs w:val="0"/>
          <w:color w:val="000000" w:themeColor="text1"/>
          <w:sz w:val="24"/>
          <w:szCs w:val="24"/>
          <w:highlight w:val="none"/>
          <w14:textFill>
            <w14:solidFill>
              <w14:schemeClr w14:val="tx1"/>
            </w14:solidFill>
          </w14:textFill>
        </w:rPr>
        <w:t xml:space="preserve">付款方式：</w:t>
      </w:r>
      <w:r/>
    </w:p>
    <w:p>
      <w:pPr>
        <w:ind w:firstLine="54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在双方签订合同后，标的全部交付并安装完毕验收合格后支付至合同总价的60%，</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验收合格半年后支付至合同总价的30%，</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无质量问题，满一年后付清余款</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6.3 乙方需提交的申请支付文件包括：</w:t>
      </w:r>
      <w:r/>
    </w:p>
    <w:p>
      <w:pPr>
        <w:ind w:firstLine="54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（1）乙方出具的全额正式发票；</w:t>
      </w:r>
      <w:r/>
    </w:p>
    <w:p>
      <w:pPr>
        <w:ind w:firstLine="54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（2）甲方出具的验收合格证明</w:t>
      </w:r>
      <w:r/>
    </w:p>
    <w:p>
      <w:pPr>
        <w:ind w:firstLine="54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乙方未提交上述申请文件的，甲方有权拒绝付款且不承担违约责任，但乙方仍应按照约定履行合同义务。</w:t>
      </w:r>
      <w:r/>
    </w:p>
    <w:p>
      <w:pPr>
        <w:ind w:firstLine="54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6.4 合同约定的乙方收款账户：</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开户银行：</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银行帐号：</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乙方出具的全额正式发票。乙方未出具发票的，甲方有权拒绝付款且不承担违约责任，但乙方仍应按照约定履行合同义务。</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7.质量保证期及售后服务</w:t>
      </w:r>
      <w:r/>
    </w:p>
    <w:p>
      <w:pPr>
        <w:pStyle w:val="1167"/>
        <w:ind w:firstLine="482"/>
        <w:jc w:val="both"/>
        <w:keepLines w:val="0"/>
        <w:keepNext w:val="0"/>
        <w:pageBreakBefore w:val="0"/>
        <w:spacing w:before="0" w:after="0" w:line="312" w:lineRule="auto"/>
        <w:shd w:val="clear" w:color="auto" w:fill="auto"/>
        <w:tabs>
          <w:tab w:val="left" w:pos="1009" w:leader="none"/>
        </w:tabs>
        <w:rPr>
          <w:rFonts w:hint="eastAsia" w:ascii="宋体" w:hAnsi="宋体" w:eastAsia="宋体" w:cs="宋体"/>
          <w:b w:val="0"/>
          <w:bCs/>
          <w:color w:val="000000" w:themeColor="text1"/>
          <w:spacing w:val="0"/>
          <w:sz w:val="24"/>
          <w:szCs w:val="24"/>
          <w:highlight w:val="none"/>
          <w14:textFill>
            <w14:solidFill>
              <w14:schemeClr w14:val="tx1"/>
            </w14:solidFill>
          </w14:textFill>
        </w:rPr>
      </w:pP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7.1质量保证期：</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免费</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质保</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期为</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167"/>
        <w:ind w:firstLine="520"/>
        <w:jc w:val="both"/>
        <w:keepLines w:val="0"/>
        <w:keepNext w:val="0"/>
        <w:pageBreakBefore w:val="0"/>
        <w:spacing w:before="0" w:after="0" w:line="312"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67"/>
        <w:ind w:firstLine="520"/>
        <w:jc w:val="both"/>
        <w:keepLines w:val="0"/>
        <w:keepNext w:val="0"/>
        <w:pageBreakBefore w:val="0"/>
        <w:spacing w:before="0" w:after="0" w:line="312"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7.3质保期内产品出现超过三次影响设备正常使用的故障，甲方有权要求乙方免费更换全新的同品牌同型号设备。</w:t>
      </w:r>
      <w:r/>
    </w:p>
    <w:p>
      <w:pPr>
        <w:pStyle w:val="1167"/>
        <w:ind w:firstLine="520"/>
        <w:jc w:val="both"/>
        <w:keepLines w:val="0"/>
        <w:keepNext w:val="0"/>
        <w:pageBreakBefore w:val="0"/>
        <w:spacing w:before="0" w:after="0" w:line="312" w:lineRule="auto"/>
        <w:shd w:val="clear" w:color="auto" w:fill="auto"/>
        <w:tabs>
          <w:tab w:val="left" w:pos="1028"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zh-CN" w:bidi="zh-CN"/>
          <w14:textFill>
            <w14:solidFill>
              <w14:schemeClr w14:val="tx1"/>
            </w14:solidFill>
          </w14:textFill>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如设备发生故障，乙方在接到甲方报修电话后</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1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小时内予以响应，</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24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质保期内，设备如因故障维修超过2天，按1:2延长质保期（具体时间，按天数算）。</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无论在质保期内还是质保期外，乙方必须上门维修，乙方工程师来甲方维修本设备，必须事先与甲方设备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取得联系，并与甲方工程师共同完成维修工作。乙方未尽到维修质保义务的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或超过两次联系不到乙方，或约定时间内未到场维修，或维修工作无法完成的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，甲方可以委托第三方维修，由此产生的费用由乙方支付，并甲方有权追偿合同总金额的百分之</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的违约金。</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软件终身免费升级，并及时提供设备新功能和临床应用资料。</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质保期后，如甲方需延长保修时间，乙方质保费不得高于第一年销售合同里单台设备全额的5%，年度定期预防性维护保养次数不少于4次。</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 技术培训</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8.2临床培训： 免费提供现场临床培训。</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9．知识产权 </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9.2本合同价包含所有应向所有权人支付的专利权、商标权或其它知识产权的一切相关费用。</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9.3系统软件、通用软件必须是具有在中国境内的合法使用权或版权的正版软件，涉及到第三方提出侵权或知识产权的起诉及支付版税等费用由乙方承担所有责任及费用。</w:t>
      </w:r>
      <w:r/>
    </w:p>
    <w:p>
      <w:pPr>
        <w:pStyle w:val="1152"/>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10.违约责任</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10.1乙方的违约责任：</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向甲方支付违约金，并赔偿因此造成的损失。</w:t>
      </w:r>
      <w:r/>
    </w:p>
    <w:p>
      <w:pPr>
        <w:ind w:firstLine="42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10.2甲方违约责任：</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10.2.1非乙方供货质量问题，甲方中途不得退货，否则甲方应按合同总额的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向乙方支付违约金。</w:t>
      </w:r>
      <w:r/>
    </w:p>
    <w:p>
      <w:pPr>
        <w:ind w:firstLine="482"/>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11.不可抗力</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55"/>
        <w:ind w:firstLine="472"/>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12.争议解决方法</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甲、乙双方因履行本合同发生争议时，应友好协商；协商不成时，向甲方所在地人民法院提出诉讼。</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13.其它</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13.2本合同壹式</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份，甲方执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份，乙方执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w:t>
      </w:r>
      <w:r/>
    </w:p>
    <w:p>
      <w:pPr>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14.合同附件</w:t>
      </w:r>
      <w:r/>
    </w:p>
    <w:p>
      <w:pPr>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（下页为合同签署页）</w:t>
      </w:r>
      <w:r/>
    </w:p>
    <w:p>
      <w:pPr>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  方：</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14:textFill>
            <w14:solidFill>
              <w14:schemeClr w14:val="tx1"/>
            </w14:solidFill>
          </w14:textFill>
        </w:rPr>
        <w:t xml:space="preserve">           乙 方：</w:t>
      </w:r>
      <w:r/>
    </w:p>
    <w:p>
      <w:pPr>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left="6000" w:hanging="6000"/>
        <w:jc w:val="left"/>
        <w:keepLines w:val="0"/>
        <w:keepNext w:val="0"/>
        <w:pageBreakBefore w:val="0"/>
        <w:spacing w:line="312" w:lineRule="auto"/>
        <w:tabs>
          <w:tab w:val="left" w:pos="467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地址：                               地址： </w:t>
      </w:r>
      <w:r/>
    </w:p>
    <w:p>
      <w:pPr>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电  话：                             电 话：</w:t>
      </w:r>
      <w:r/>
    </w:p>
    <w:p>
      <w:pPr>
        <w:keepLines w:val="0"/>
        <w:keepNext w:val="0"/>
        <w:pageBreakBefore w:val="0"/>
        <w:spacing w:line="312"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签订日期：                           签订日期：</w:t>
      </w:r>
      <w:r>
        <w:rPr>
          <w:rFonts w:hint="eastAsia" w:ascii="宋体" w:hAnsi="宋体" w:eastAsia="宋体" w:cs="宋体"/>
          <w:b w:val="0"/>
          <w:bCs/>
          <w:color w:val="000000" w:themeColor="text1"/>
          <w:sz w:val="24"/>
          <w:highlight w:val="none"/>
          <w14:textFill>
            <w14:solidFill>
              <w14:schemeClr w14:val="tx1"/>
            </w14:solidFill>
          </w14:textFill>
        </w:rPr>
        <w:t xml:space="preserve"> </w:t>
      </w:r>
      <w:r/>
    </w:p>
    <w:p>
      <w:pPr>
        <w:jc w:val="center"/>
        <w:rPr>
          <w:rFonts w:hint="eastAsia" w:ascii="宋体" w:hAnsi="宋体" w:eastAsia="宋体" w:cs="宋体"/>
          <w:b w:val="0"/>
          <w:bCs/>
          <w:color w:val="000000" w:themeColor="text1"/>
          <w:sz w:val="30"/>
          <w:szCs w:val="30"/>
          <w:highlight w:val="none"/>
          <w14:textFill>
            <w14:solidFill>
              <w14:schemeClr w14:val="tx1"/>
            </w14:solidFill>
          </w14:textFill>
        </w:rPr>
      </w:pPr>
      <w:r>
        <w:rPr>
          <w:rFonts w:hint="eastAsia" w:ascii="宋体" w:hAnsi="宋体" w:eastAsia="宋体" w:cs="宋体"/>
          <w:b w:val="0"/>
          <w:bCs/>
          <w:color w:val="000000" w:themeColor="text1"/>
          <w:sz w:val="30"/>
          <w:szCs w:val="30"/>
          <w:highlight w:val="none"/>
          <w14:textFill>
            <w14:solidFill>
              <w14:schemeClr w14:val="tx1"/>
            </w14:solidFill>
          </w14:textFill>
        </w:rPr>
      </w:r>
      <w:r/>
    </w:p>
    <w:p>
      <w:pPr>
        <w:jc w:val="both"/>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合同附件</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合同附件1：合同协议书</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合同附件2：技术规格和技术性能</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(要求见招标文件第六章《采购需求》；合同见卖方投标文件中《技术规格说明》。)</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合同附件3：售后服务</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(要求见招标文件第六章《采购需求》；合同见卖方投标文件中《售后服务方案》。)</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合同附件4：供货范围和价格清单</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合同附件5：验收标准（验收要求、验收标准和程序）</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合同附件6：采购需求</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(见招标文件第六章《采购需求》。)</w:t>
      </w:r>
      <w:r/>
    </w:p>
    <w:p>
      <w:pPr>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br w:type="page" w:clear="all"/>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bookmarkStart w:id="10" w:name="_Toc1772"/>
      <w:r>
        <w:rPr>
          <w:rFonts w:hint="eastAsia" w:ascii="宋体" w:hAnsi="宋体" w:eastAsia="宋体" w:cs="宋体"/>
          <w:b/>
          <w:bCs/>
          <w:color w:val="000000" w:themeColor="text1"/>
          <w:sz w:val="32"/>
          <w:szCs w:val="32"/>
          <w:highlight w:val="none"/>
          <w14:textFill>
            <w14:solidFill>
              <w14:schemeClr w14:val="tx1"/>
            </w14:solidFill>
          </w14:textFill>
        </w:rPr>
        <w:t xml:space="preserve">第七章  投标文件相关格式</w:t>
      </w:r>
      <w:bookmarkEnd w:id="10"/>
      <w:r/>
      <w:r/>
    </w:p>
    <w:p>
      <w:pPr>
        <w:jc w:val="center"/>
        <w:widowControl w:val="off"/>
        <w:rPr>
          <w:rFonts w:hint="eastAsia" w:ascii="宋体" w:hAnsi="宋体" w:eastAsia="宋体" w:cs="宋体"/>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（本章仅提供投标文件中的部分文件格式，不应被理解为包含了投标文件所需的全部资料）</w: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5"/>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5"/>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5"/>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cs="宋体"/>
          <w:bCs/>
          <w:color w:val="000000" w:themeColor="text1"/>
          <w:sz w:val="32"/>
          <w:szCs w:val="32"/>
          <w:highlight w:val="none"/>
          <w:lang w:eastAsia="zh-CN"/>
          <w14:textFill>
            <w14:solidFill>
              <w14:schemeClr w14:val="tx1"/>
            </w14:solidFill>
          </w14:textFill>
        </w:rPr>
        <w:t xml:space="preserve">睢宁县人民医院彩色多普勒超声诊断仪(泌尿外科专用)采购项目</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5"/>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5"/>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5"/>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48"/>
          <w:szCs w:val="48"/>
          <w:highlight w:val="none"/>
          <w14:textFill>
            <w14:solidFill>
              <w14:schemeClr w14:val="tx1"/>
            </w14:solidFill>
          </w14:textFill>
        </w:rPr>
        <w:t xml:space="preserve">投标文件</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     ）</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（名称打印并盖法人公章）</w:t>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法定代表人或其委托代理人：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（签字或盖章）</w:t>
      </w:r>
      <w:r/>
    </w:p>
    <w:p>
      <w:pPr>
        <w:jc w:val="center"/>
        <w:spacing w:line="48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年  月  日</w:t>
      </w:r>
      <w:r/>
    </w:p>
    <w:p>
      <w:pPr>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256" w:right="6" w:firstLine="482"/>
        <w:jc w:val="both"/>
        <w:widowControl w:val="off"/>
        <w:rPr>
          <w:rFonts w:hint="eastAsia" w:ascii="宋体" w:hAnsi="宋体" w:eastAsia="仿宋_GB2312"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特别提醒：</w:t>
      </w:r>
      <w:r/>
    </w:p>
    <w:p>
      <w:pPr>
        <w:ind w:left="256" w:right="6" w:firstLine="48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中标人领取中标通知书时须向代理机构提交纸质胶装投标文件一正四副，电子版投标文件</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份。</w:t>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目 录</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开标一览表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分项价格表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4．偏离表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 法定代表人授权书</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 中小企业声明函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 残疾人福利性单位声明函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 具备履行合同所必需的设备和专业技术能力的书面声明（附证明材料</w:t>
      </w:r>
      <w:r>
        <w:rPr>
          <w:rFonts w:hint="eastAsia" w:ascii="宋体" w:hAnsi="宋体" w:cs="宋体"/>
          <w:color w:val="000000" w:themeColor="text1"/>
          <w:sz w:val="24"/>
          <w:szCs w:val="21"/>
          <w:highlight w:val="none"/>
          <w:lang w:eastAsia="zh-CN"/>
          <w14:textFill>
            <w14:solidFill>
              <w14:schemeClr w14:val="tx1"/>
            </w14:solidFill>
          </w14:textFill>
        </w:rPr>
        <w:t xml:space="preserve">扫描件</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left="840" w:firstLine="0"/>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关于符合本国产品标准的声明函</w:t>
      </w:r>
      <w:r/>
    </w:p>
    <w:p>
      <w:pPr>
        <w:ind w:left="840" w:firstLine="0"/>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2"/>
          <w:footerReference w:type="default" r:id="rId18"/>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1"/>
          <w:highlight w:val="none"/>
          <w14:textFill>
            <w14:solidFill>
              <w14:schemeClr w14:val="tx1"/>
            </w14:solidFill>
          </w14:textFill>
        </w:rPr>
        <w:t xml:space="preserve">预付款保函支付条款模板</w:t>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 投标函</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致：</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睢宁县人民医院</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根据</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]招标文件，</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(姓名)代表我方</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（投标人的名称）全权处理本次投标的有关事宜。</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据此函，投标人承诺并同意如下：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投标人唯一投标报价见《开标一览表》。</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投标人将按招标文件的规定履行合同责任和义务。</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 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eastAsia="宋体" w:cs="宋体"/>
          <w:color w:val="000000" w:themeColor="text1"/>
          <w:sz w:val="24"/>
          <w:szCs w:val="24"/>
          <w:highlight w:val="none"/>
          <w14:textFill>
            <w14:solidFill>
              <w14:schemeClr w14:val="tx1"/>
            </w14:solidFill>
          </w14:textFill>
        </w:rPr>
        <w:t xml:space="preserve">愿意遵守招标文件中所列的收费标准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与本投标有关的一切正式往来信函请寄：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地址：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电话：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传真：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jc w:val="center"/>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4"/>
          <w:szCs w:val="21"/>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2、开标一览表</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                              货币单位：人民币元</w:t>
      </w:r>
      <w:r/>
    </w:p>
    <w:p>
      <w:pPr>
        <w:ind w:left="256" w:right="6" w:firstLine="480"/>
        <w:jc w:val="both"/>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r>
      <w:r/>
    </w:p>
    <w:p>
      <w:pPr>
        <w:ind w:left="256" w:right="6" w:firstLine="480"/>
        <w:jc w:val="center"/>
        <w:widowControl w:val="off"/>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ind w:left="256" w:right="6" w:firstLine="480"/>
        <w:jc w:val="center"/>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详见苏采云系统中的格式。</w:t>
      </w:r>
      <w:r/>
    </w:p>
    <w:p>
      <w:pPr>
        <w:ind w:firstLine="48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b/>
          <w:bCs/>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     </w:t>
      </w:r>
      <w:r/>
    </w:p>
    <w:p>
      <w:pPr>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货币单位：人民币元</w:t>
      </w:r>
      <w:r/>
    </w:p>
    <w:p>
      <w:pPr>
        <w:spacing w:line="360" w:lineRule="auto"/>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pPr>
      <w:r>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r>
      <w:r/>
    </w:p>
    <w:tbl>
      <w:tblPr>
        <w:tblStyle w:val="951"/>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序</w:t>
            </w:r>
            <w:r>
              <w:rPr>
                <w:rFonts w:hint="eastAsia" w:ascii="宋体" w:hAnsi="宋体" w:cs="宋体"/>
                <w:b/>
                <w:bCs/>
                <w:color w:val="000000" w:themeColor="text1"/>
                <w:sz w:val="24"/>
                <w:szCs w:val="24"/>
                <w:highlight w:val="none"/>
                <w:lang w:eastAsia="zh-CN"/>
                <w14:textFill>
                  <w14:solidFill>
                    <w14:schemeClr w14:val="tx1"/>
                  </w14:solidFill>
                </w14:textFill>
              </w:rPr>
              <w:t xml:space="preserve">序</w:t>
            </w:r>
            <w:r>
              <w:rPr>
                <w:rFonts w:hint="eastAsia" w:ascii="宋体" w:hAnsi="宋体" w:eastAsia="宋体" w:cs="宋体"/>
                <w:b/>
                <w:bCs/>
                <w:color w:val="000000" w:themeColor="text1"/>
                <w:sz w:val="24"/>
                <w:szCs w:val="24"/>
                <w:highlight w:val="none"/>
                <w14:textFill>
                  <w14:solidFill>
                    <w14:schemeClr w14:val="tx1"/>
                  </w14:solidFill>
                </w14:textFill>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数</w:t>
            </w:r>
            <w:r>
              <w:rPr>
                <w:rFonts w:hint="eastAsia" w:ascii="宋体" w:hAnsi="宋体" w:cs="宋体"/>
                <w:b/>
                <w:bCs/>
                <w:color w:val="000000" w:themeColor="text1"/>
                <w:sz w:val="24"/>
                <w:szCs w:val="24"/>
                <w:highlight w:val="none"/>
                <w:lang w:eastAsia="zh-CN"/>
                <w14:textFill>
                  <w14:solidFill>
                    <w14:schemeClr w14:val="tx1"/>
                  </w14:solidFill>
                </w14:textFill>
              </w:rPr>
              <w:t xml:space="preserve">数</w:t>
            </w:r>
            <w:r>
              <w:rPr>
                <w:rFonts w:hint="eastAsia" w:ascii="宋体" w:hAnsi="宋体" w:eastAsia="宋体" w:cs="宋体"/>
                <w:b/>
                <w:bCs/>
                <w:color w:val="000000" w:themeColor="text1"/>
                <w:sz w:val="24"/>
                <w:szCs w:val="24"/>
                <w:highlight w:val="none"/>
                <w14:textFill>
                  <w14:solidFill>
                    <w14:schemeClr w14:val="tx1"/>
                  </w14:solidFill>
                </w14:textFill>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2.《投标分项</w:t>
      </w:r>
      <w:r>
        <w:rPr>
          <w:rFonts w:hint="eastAsia" w:ascii="宋体" w:hAnsi="宋体" w:cs="宋体"/>
          <w:color w:val="000000" w:themeColor="text1"/>
          <w:szCs w:val="21"/>
          <w:highlight w:val="none"/>
          <w:lang w:val="en-US" w:eastAsia="zh-CN"/>
          <w14:textFill>
            <w14:solidFill>
              <w14:schemeClr w14:val="tx1"/>
            </w14:solidFill>
          </w14:textFill>
        </w:rPr>
        <w:t xml:space="preserve">价格</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表》中“投标总价”应当与《开标一览表》中“投标总价”一致。</w:t>
      </w:r>
      <w:r/>
    </w:p>
    <w:p>
      <w:pPr>
        <w:ind w:firstLine="420"/>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ind w:firstLine="420"/>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①如果不提供详细分项</w:t>
      </w:r>
      <w:r>
        <w:rPr>
          <w:rFonts w:hint="eastAsia" w:ascii="宋体" w:hAnsi="宋体" w:cs="宋体"/>
          <w:color w:val="000000" w:themeColor="text1"/>
          <w:szCs w:val="21"/>
          <w:highlight w:val="none"/>
          <w:lang w:val="en-US" w:eastAsia="zh-CN"/>
          <w14:textFill>
            <w14:solidFill>
              <w14:schemeClr w14:val="tx1"/>
            </w14:solidFill>
          </w14:textFill>
        </w:rPr>
        <w:t xml:space="preserve">价格表</w:t>
      </w:r>
      <w:r>
        <w:rPr>
          <w:rFonts w:hint="eastAsia" w:ascii="宋体" w:hAnsi="宋体" w:eastAsia="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en-US" w:eastAsia="zh-CN"/>
          <w14:textFill>
            <w14:solidFill>
              <w14:schemeClr w14:val="tx1"/>
            </w14:solidFill>
          </w14:textFill>
        </w:rPr>
        <w:t xml:space="preserve">没有提供维保费用金额的，</w:t>
      </w:r>
      <w:r>
        <w:rPr>
          <w:rFonts w:hint="eastAsia" w:ascii="宋体" w:hAnsi="宋体" w:eastAsia="宋体" w:cs="宋体"/>
          <w:color w:val="000000" w:themeColor="text1"/>
          <w:szCs w:val="21"/>
          <w:highlight w:val="none"/>
          <w14:textFill>
            <w14:solidFill>
              <w14:schemeClr w14:val="tx1"/>
            </w14:solidFill>
          </w14:textFill>
        </w:rPr>
        <w:t xml:space="preserve">将视为没有实质性响应招标文件。</w:t>
      </w:r>
      <w:r/>
    </w:p>
    <w:p>
      <w:pPr>
        <w:ind w:firstLine="420"/>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②投标人对以上数据的真实性负责。</w:t>
      </w:r>
      <w:r/>
    </w:p>
    <w:p>
      <w:pPr>
        <w:ind w:firstLine="211"/>
        <w:spacing w:line="312" w:lineRule="auto"/>
        <w:rPr>
          <w:rFonts w:hint="eastAsia" w:ascii="宋体" w:hAnsi="宋体" w:eastAsia="宋体" w:cs="宋体"/>
          <w:b/>
          <w:i/>
          <w:color w:val="000000" w:themeColor="text1"/>
          <w:szCs w:val="21"/>
          <w:highlight w:val="none"/>
          <w14:textFill>
            <w14:solidFill>
              <w14:schemeClr w14:val="tx1"/>
            </w14:solidFill>
          </w14:textFill>
        </w:rPr>
      </w:pPr>
      <w:r>
        <w:rPr>
          <w:rFonts w:hint="eastAsia" w:ascii="宋体" w:hAnsi="宋体" w:eastAsia="宋体" w:cs="宋体"/>
          <w:b/>
          <w:i/>
          <w:color w:val="000000" w:themeColor="text1"/>
          <w:szCs w:val="21"/>
          <w:highlight w:val="none"/>
          <w14:textFill>
            <w14:solidFill>
              <w14:schemeClr w14:val="tx1"/>
            </w14:solidFill>
          </w14:textFill>
        </w:rPr>
        <w:t xml:space="preserve">江苏科建工程项目管理有限公司有权将以上内容进行公示。</w:t>
      </w:r>
      <w:r/>
    </w:p>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4、偏离表</w:t>
      </w:r>
      <w:r/>
    </w:p>
    <w:p>
      <w:pPr>
        <w:jc w:val="center"/>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jc w:val="center"/>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4.1商务</w:t>
      </w:r>
      <w:r>
        <w:rPr>
          <w:rFonts w:hint="eastAsia" w:ascii="宋体" w:hAnsi="宋体" w:eastAsia="宋体" w:cs="宋体"/>
          <w:color w:val="000000" w:themeColor="text1"/>
          <w:sz w:val="28"/>
          <w:szCs w:val="28"/>
          <w:highlight w:val="none"/>
          <w14:textFill>
            <w14:solidFill>
              <w14:schemeClr w14:val="tx1"/>
            </w14:solidFill>
          </w14:textFill>
        </w:rPr>
        <w:t xml:space="preserve">偏离表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bl>
      <w:tblPr>
        <w:tblStyle w:val="951"/>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r>
      <w:r/>
    </w:p>
    <w:p>
      <w:pPr>
        <w:spacing w:line="360"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br w:type="page" w:clear="all"/>
      </w:r>
      <w:r/>
    </w:p>
    <w:p>
      <w:pPr>
        <w:jc w:val="center"/>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4</w:t>
      </w:r>
      <w:r>
        <w:rPr>
          <w:rFonts w:hint="eastAsia" w:ascii="宋体" w:hAnsi="宋体" w:cs="宋体"/>
          <w:color w:val="000000" w:themeColor="text1"/>
          <w:sz w:val="28"/>
          <w:szCs w:val="28"/>
          <w:highlight w:val="none"/>
          <w:lang w:val="en-US" w:eastAsia="zh-CN"/>
          <w14:textFill>
            <w14:solidFill>
              <w14:schemeClr w14:val="tx1"/>
            </w14:solidFill>
          </w14:textFill>
        </w:rPr>
        <w:t xml:space="preserve">.2技术</w:t>
      </w:r>
      <w:r>
        <w:rPr>
          <w:rFonts w:hint="eastAsia" w:ascii="宋体" w:hAnsi="宋体" w:eastAsia="宋体" w:cs="宋体"/>
          <w:color w:val="000000" w:themeColor="text1"/>
          <w:sz w:val="28"/>
          <w:szCs w:val="28"/>
          <w:highlight w:val="none"/>
          <w14:textFill>
            <w14:solidFill>
              <w14:schemeClr w14:val="tx1"/>
            </w14:solidFill>
          </w14:textFill>
        </w:rPr>
        <w:t xml:space="preserve">偏离表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bl>
      <w:tblPr>
        <w:tblStyle w:val="951"/>
        <w:tblW w:w="9514"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1463"/>
        <w:gridCol w:w="1463"/>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cs="宋体"/>
                <w:caps/>
                <w:color w:val="000000" w:themeColor="text1"/>
                <w:sz w:val="24"/>
                <w:szCs w:val="21"/>
                <w:highlight w:val="none"/>
                <w:lang w:val="en-US" w:eastAsia="zh-CN"/>
                <w14:textFill>
                  <w14:solidFill>
                    <w14:schemeClr w14:val="tx1"/>
                  </w14:solidFill>
                </w14:textFill>
              </w:rPr>
              <w:t xml:space="preserve">技术规格</w:t>
            </w:r>
            <w:r>
              <w:rPr>
                <w:rFonts w:hint="eastAsia" w:ascii="宋体" w:hAnsi="宋体" w:eastAsia="宋体" w:cs="宋体"/>
                <w:caps/>
                <w:color w:val="000000" w:themeColor="text1"/>
                <w:sz w:val="24"/>
                <w:szCs w:val="21"/>
                <w:highlight w:val="none"/>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aps/>
                <w:color w:val="000000" w:themeColor="text1"/>
                <w:sz w:val="24"/>
                <w:szCs w:val="21"/>
                <w:highlight w:val="none"/>
                <w:lang w:val="en-US" w:eastAsia="zh-CN"/>
                <w14:textFill>
                  <w14:solidFill>
                    <w14:schemeClr w14:val="tx1"/>
                  </w14:solidFill>
                </w14:textFill>
              </w:rPr>
              <w:suppressLineNumbers w:val="0"/>
            </w:pPr>
            <w:r>
              <w:rPr>
                <w:rFonts w:hint="eastAsia" w:ascii="宋体" w:hAnsi="宋体" w:cs="宋体"/>
                <w:caps/>
                <w:color w:val="000000" w:themeColor="text1"/>
                <w:sz w:val="24"/>
                <w:szCs w:val="21"/>
                <w:highlight w:val="none"/>
                <w:lang w:val="en-US" w:eastAsia="zh-CN"/>
                <w14:textFill>
                  <w14:solidFill>
                    <w14:schemeClr w14:val="tx1"/>
                  </w14:solidFill>
                </w14:textFill>
              </w:rPr>
              <w:t xml:space="preserve">备注</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r>
      <w:r/>
    </w:p>
    <w:p>
      <w:pPr>
        <w:keepLines w:val="0"/>
        <w:keepNext w:val="0"/>
        <w:pageBreakBefore w:val="0"/>
        <w:spacing w:line="312" w:lineRule="auto"/>
        <w:widowControl w:val="off"/>
        <w:rPr>
          <w:rFonts w:hint="eastAsia" w:ascii="宋体" w:hAnsi="宋体" w:eastAsia="宋体" w:cs="宋体"/>
          <w:b/>
          <w:bCs/>
          <w:i/>
          <w:iCs/>
          <w:color w:val="000000" w:themeColor="text1"/>
          <w:sz w:val="24"/>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1、供应商必须对招标文件第五章《采购需求》</w:t>
      </w:r>
      <w:r>
        <w:rPr>
          <w:rFonts w:hint="eastAsia" w:ascii="宋体" w:hAnsi="宋体" w:eastAsia="宋体" w:cs="宋体"/>
          <w:b/>
          <w:bCs/>
          <w:i/>
          <w:iCs/>
          <w:color w:val="000000" w:themeColor="text1"/>
          <w:sz w:val="24"/>
          <w:szCs w:val="21"/>
          <w:highlight w:val="none"/>
          <w:lang w:val="en-US" w:eastAsia="zh-CN"/>
          <w14:textFill>
            <w14:solidFill>
              <w14:schemeClr w14:val="tx1"/>
            </w14:solidFill>
          </w14:textFill>
        </w:rPr>
        <w:t xml:space="preserve">“技术规格参数要求”中的实质性要求及其他要求逐条做出明确响应，否则视为无效投标。</w:t>
      </w:r>
      <w:r/>
    </w:p>
    <w:p>
      <w:pPr>
        <w:ind w:firstLine="482"/>
        <w:keepLines w:val="0"/>
        <w:keepNext w:val="0"/>
        <w:pageBreakBefore w:val="0"/>
        <w:spacing w:line="312" w:lineRule="auto"/>
        <w:widowControl w:val="off"/>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Segoe UI" w:hAnsi="Segoe UI"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特别说明：</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所有</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技术规格参数</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含标注"★"的核心参数</w:t>
      </w:r>
      <w:r>
        <w:rPr>
          <w:rFonts w:hint="eastAsia" w:ascii="Segoe UI" w:hAnsi="Segoe UI" w:eastAsia="宋体" w:cs="Segoe UI"/>
          <w:b/>
          <w:bCs/>
          <w:i w:val="0"/>
          <w:iCs w:val="0"/>
          <w:caps w:val="0"/>
          <w:strike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b/>
          <w:bCs/>
          <w:i w:val="0"/>
          <w:iCs w:val="0"/>
          <w:caps w:val="0"/>
          <w:strike w:val="0"/>
          <w:color w:val="000000" w:themeColor="text1"/>
          <w:spacing w:val="0"/>
          <w:sz w:val="24"/>
          <w:szCs w:val="24"/>
          <w:highlight w:val="none"/>
          <w:shd w:val="clear" w:color="auto" w:fill="ffffff"/>
          <w:lang w:val="en-US" w:eastAsia="zh-CN"/>
          <w14:textFill>
            <w14:solidFill>
              <w14:schemeClr w14:val="tx1"/>
            </w14:solidFill>
          </w14:textFill>
        </w:rPr>
        <w:t xml:space="preserve">3项）</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、标注"▲"的次重要参数</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及未标注的一般参数</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28</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）的满足情况，均须提供</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证明材料，未提供或提供不符合要求的，对应参数按不满足处理。</w:t>
      </w:r>
      <w:r/>
    </w:p>
    <w:p>
      <w:pPr>
        <w:ind w:firstLine="480"/>
        <w:keepLines w:val="0"/>
        <w:keepNext w:val="0"/>
        <w:pageBreakBefore w:val="0"/>
        <w:spacing w:line="312" w:lineRule="auto"/>
        <w:widowControl w:val="off"/>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 若参数</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响应</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存在正、负偏离的均应详细说明，如实填写偏离表</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并提供</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hint="default"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技术证明材料包括不限于</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白皮书、厂家对外公开发布的产品彩页、产品说明书、认证证书、检测/检验报告等扫描件加盖电子签章</w:t>
      </w:r>
      <w:r>
        <w:rPr>
          <w:rFonts w:hint="eastAsia" w:ascii="Segoe UI" w:hAnsi="Segoe UI" w:eastAsia="宋体" w:cs="Segoe UI"/>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经评委审核技术</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证明</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材料有效，视为满足。</w:t>
      </w:r>
      <w:r/>
    </w:p>
    <w:p>
      <w:pPr>
        <w:ind w:firstLine="480"/>
        <w:keepLines w:val="0"/>
        <w:keepNext w:val="0"/>
        <w:pageBreakBefore w:val="0"/>
        <w:spacing w:line="312" w:lineRule="auto"/>
        <w:widowControl w:val="off"/>
        <w:rPr>
          <w:color w:val="000000" w:themeColor="text1"/>
          <w:highlight w:val="none"/>
          <w14:textFill>
            <w14:solidFill>
              <w14:schemeClr w14:val="tx1"/>
            </w14:solidFill>
          </w14:textFill>
        </w:rPr>
      </w:pP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投标文件中</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需在《</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技术</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偏离表》中清楚标注每一证明材料对应项的具体页码，未提供或提供不符合要求的，自行承担被判定为负偏离的风险。</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5、法定代表人授权委托书</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委托人：</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地  址：</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法定代表人：               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统一社会信用代码：</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受托人：                   性别：男（女）  </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年龄：  岁                 民族：   族</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身份证号：</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left="412" w:firstLine="48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兹委托（</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）全权代表我企业（公司）参与[</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项目[项目编号：</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]的招、投标活动及签订经济合同。（</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）无转委托权。委托期限自  年  月   日起至  年  月    日止。</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特此授权委托。</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  年   月   日 </w:t>
      </w:r>
      <w:r/>
    </w:p>
    <w:tbl>
      <w:tblPr>
        <w:tblStyle w:val="975"/>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000000" w:themeColor="text1"/>
                <w:sz w:val="24"/>
                <w:szCs w:val="21"/>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14:textFill>
                  <w14:solidFill>
                    <w14:schemeClr w14:val="tx1"/>
                  </w14:solidFill>
                </w14:textFill>
              </w:rPr>
            </w:r>
            <w:r/>
          </w:p>
          <w:p>
            <w:pPr>
              <w:ind w:firstLine="950"/>
              <w:jc w:val="both"/>
              <w:spacing w:line="360" w:lineRule="auto"/>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(受托人</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有效</w:t>
            </w:r>
            <w:r>
              <w:rPr>
                <w:rFonts w:hint="eastAsia" w:ascii="宋体" w:hAnsi="宋体" w:eastAsia="宋体" w:cs="宋体"/>
                <w:b w:val="0"/>
                <w:bCs/>
                <w:color w:val="000000" w:themeColor="text1"/>
                <w:sz w:val="24"/>
                <w:szCs w:val="21"/>
                <w:highlight w:val="none"/>
                <w14:textFill>
                  <w14:solidFill>
                    <w14:schemeClr w14:val="tx1"/>
                  </w14:solidFill>
                </w14:textFill>
              </w:rPr>
              <w:t xml:space="preserve">身份证</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正反面</w:t>
            </w:r>
            <w:r>
              <w:rPr>
                <w:rFonts w:hint="eastAsia" w:ascii="宋体" w:hAnsi="宋体" w:eastAsia="宋体" w:cs="宋体"/>
                <w:b w:val="0"/>
                <w:bCs/>
                <w:color w:val="000000" w:themeColor="text1"/>
                <w:sz w:val="24"/>
                <w:szCs w:val="21"/>
                <w:highlight w:val="none"/>
                <w14:textFill>
                  <w14:solidFill>
                    <w14:schemeClr w14:val="tx1"/>
                  </w14:solidFill>
                </w14:textFill>
              </w:rPr>
              <w:t xml:space="preserve">扫描件附后)</w:t>
            </w:r>
            <w:r/>
          </w:p>
          <w:p>
            <w:pPr>
              <w:spacing w:line="360" w:lineRule="auto"/>
              <w:rPr>
                <w:rFonts w:hint="eastAsia" w:ascii="宋体" w:hAnsi="宋体" w:eastAsia="宋体" w:cs="宋体"/>
                <w:bCs/>
                <w:color w:val="000000" w:themeColor="text1"/>
                <w:sz w:val="24"/>
                <w:szCs w:val="21"/>
                <w:highlight w:val="none"/>
                <w:vertAlign w:val="baseline"/>
                <w14:textFill>
                  <w14:solidFill>
                    <w14:schemeClr w14:val="tx1"/>
                  </w14:solidFill>
                </w14:textFill>
              </w:rPr>
            </w:pPr>
            <w:r>
              <w:rPr>
                <w:rFonts w:hint="eastAsia" w:ascii="宋体" w:hAnsi="宋体" w:eastAsia="宋体" w:cs="宋体"/>
                <w:bCs/>
                <w:color w:val="000000" w:themeColor="text1"/>
                <w:sz w:val="24"/>
                <w:szCs w:val="21"/>
                <w:highlight w:val="none"/>
                <w:vertAlign w:val="baseline"/>
                <w14:textFill>
                  <w14:solidFill>
                    <w14:schemeClr w14:val="tx1"/>
                  </w14:solidFill>
                </w14:textFill>
              </w:rPr>
            </w:r>
            <w:r/>
          </w:p>
        </w:tc>
      </w:tr>
    </w:tbl>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6、中小企业声明函格式</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本公司郑重声明，根据《政府采购促进中小企业发展暂行办法》（财库﹝2020﹞46 号）的规定，本公司参加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eastAsia="宋体" w:cs="宋体"/>
          <w:color w:val="000000" w:themeColor="text1"/>
          <w:sz w:val="24"/>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1"/>
          <w:highlight w:val="none"/>
          <w14:textFill>
            <w14:solidFill>
              <w14:schemeClr w14:val="tx1"/>
            </w14:solidFill>
          </w14:textFill>
        </w:rPr>
        <w:t xml:space="preserve">采购活动，</w:t>
      </w:r>
      <w:r>
        <w:rPr>
          <w:rFonts w:hint="eastAsia" w:ascii="宋体" w:hAnsi="宋体" w:eastAsia="宋体" w:cs="宋体"/>
          <w:b/>
          <w:bCs/>
          <w:color w:val="000000" w:themeColor="text1"/>
          <w:sz w:val="24"/>
          <w:szCs w:val="21"/>
          <w:highlight w:val="none"/>
          <w14:textFill>
            <w14:solidFill>
              <w14:schemeClr w14:val="tx1"/>
            </w14:solidFill>
          </w14:textFill>
        </w:rPr>
        <w:t xml:space="preserve">提供的货物全部由符合政策要求的中小企业制造</w:t>
      </w:r>
      <w:r>
        <w:rPr>
          <w:rFonts w:hint="eastAsia" w:ascii="宋体" w:hAnsi="宋体" w:eastAsia="宋体" w:cs="宋体"/>
          <w:color w:val="000000" w:themeColor="text1"/>
          <w:sz w:val="24"/>
          <w:szCs w:val="21"/>
          <w:highlight w:val="none"/>
          <w14:textFill>
            <w14:solidFill>
              <w14:schemeClr w14:val="tx1"/>
            </w14:solidFill>
          </w14:textFill>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彩色多普勒超声诊断仪</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本企业对上述声明内容的真实性负责。如有虚假，</w:t>
      </w:r>
      <w:bookmarkStart w:id="11" w:name="OLE_LINK15"/>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bookmarkEnd w:id="11"/>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注：本采</w:t>
      </w:r>
      <w:r>
        <w:rPr>
          <w:rFonts w:hint="eastAsia" w:ascii="宋体" w:hAnsi="宋体" w:eastAsia="宋体" w:cs="宋体"/>
          <w:color w:val="000000" w:themeColor="text1"/>
          <w:sz w:val="24"/>
          <w:szCs w:val="22"/>
          <w:highlight w:val="none"/>
          <w14:textFill>
            <w14:solidFill>
              <w14:schemeClr w14:val="tx1"/>
            </w14:solidFill>
          </w14:textFill>
        </w:rPr>
        <w:t xml:space="preserve">购</w:t>
      </w:r>
      <w:r>
        <w:rPr>
          <w:rFonts w:hint="eastAsia" w:ascii="宋体" w:hAnsi="宋体" w:eastAsia="宋体" w:cs="宋体"/>
          <w:color w:val="000000" w:themeColor="text1"/>
          <w:sz w:val="24"/>
          <w:szCs w:val="21"/>
          <w:highlight w:val="none"/>
          <w14:textFill>
            <w14:solidFill>
              <w14:schemeClr w14:val="tx1"/>
            </w14:solidFill>
          </w14:textFill>
        </w:rPr>
        <w:t xml:space="preserve">项目</w:t>
      </w:r>
      <w:r>
        <w:rPr>
          <w:rFonts w:hint="eastAsia" w:ascii="宋体" w:hAnsi="宋体" w:eastAsia="宋体" w:cs="宋体"/>
          <w:color w:val="000000" w:themeColor="text1"/>
          <w:sz w:val="24"/>
          <w:szCs w:val="22"/>
          <w:highlight w:val="none"/>
          <w14:textFill>
            <w14:solidFill>
              <w14:schemeClr w14:val="tx1"/>
            </w14:solidFill>
          </w14:textFill>
        </w:rPr>
        <w:t xml:space="preserve">属于</w:t>
      </w:r>
      <w:r>
        <w:rPr>
          <w:rFonts w:hint="eastAsia" w:ascii="宋体" w:hAnsi="宋体" w:eastAsia="宋体" w:cs="宋体"/>
          <w:color w:val="000000" w:themeColor="text1"/>
          <w:sz w:val="24"/>
          <w:szCs w:val="22"/>
          <w:highlight w:val="none"/>
          <w:u w:val="single"/>
          <w14:textFill>
            <w14:solidFill>
              <w14:schemeClr w14:val="tx1"/>
            </w14:solidFill>
          </w14:textFill>
        </w:rPr>
        <w:t xml:space="preserve">“工业”</w:t>
      </w:r>
      <w:r>
        <w:rPr>
          <w:rFonts w:hint="eastAsia" w:ascii="宋体" w:hAnsi="宋体" w:cs="宋体"/>
          <w:color w:val="000000" w:themeColor="text1"/>
          <w:sz w:val="24"/>
          <w:szCs w:val="22"/>
          <w:highlight w:val="none"/>
          <w:u w:val="none"/>
          <w:lang w:val="en-US" w:eastAsia="zh-CN"/>
          <w14:textFill>
            <w14:solidFill>
              <w14:schemeClr w14:val="tx1"/>
            </w14:solidFill>
          </w14:textFill>
        </w:rPr>
        <w:t xml:space="preserve">行业</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2"/>
          <w:highlight w:val="none"/>
          <w14:textFill>
            <w14:solidFill>
              <w14:schemeClr w14:val="tx1"/>
            </w14:solidFill>
          </w14:textFill>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中标、成交</w:t>
      </w:r>
      <w:r>
        <w:rPr>
          <w:rFonts w:hint="eastAsia" w:ascii="宋体" w:hAnsi="宋体" w:cs="Times New Roman"/>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2"/>
          <w:highlight w:val="none"/>
          <w14:textFill>
            <w14:solidFill>
              <w14:schemeClr w14:val="tx1"/>
            </w14:solidFill>
          </w14:textFill>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pStyle w:val="985"/>
        <w:ind w:left="0"/>
        <w:jc w:val="left"/>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pStyle w:val="985"/>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5"/>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2、从业人员、营业收入、资产总额填报上一年度数据，无上一年度数据的新成立企业可不填报。</w:t>
      </w:r>
      <w:r/>
    </w:p>
    <w:p>
      <w:pPr>
        <w:pStyle w:val="985"/>
        <w:ind w:left="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中标、成交供应商提供的货物全部由符合政策要求的小型、微型企业</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制造</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000000" w:themeColor="text1"/>
          <w:sz w:val="24"/>
          <w:szCs w:val="24"/>
          <w:highlight w:val="none"/>
          <w:lang w:eastAsia="zh-CN"/>
          <w14:textFill>
            <w14:solidFill>
              <w14:schemeClr w14:val="tx1"/>
            </w14:solidFill>
          </w14:textFill>
        </w:rPr>
        <w:t xml:space="preserve">。</w:t>
      </w:r>
      <w:r/>
    </w:p>
    <w:p>
      <w:pPr>
        <w:pStyle w:val="985"/>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4、执行江苏省财政厅关于进一步加大政府采购支持中小企业力度的通知（苏财购〔2022〕45号）的规定。</w:t>
      </w:r>
      <w:r/>
    </w:p>
    <w:p>
      <w:pPr>
        <w:pStyle w:val="985"/>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3"/>
          <w:footerReference w:type="even" r:id="rId19"/>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000000" w:themeColor="text1"/>
          <w:sz w:val="24"/>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12"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2" name="图片 1" descr="c014e88440e9256c45b9cc11fb0c77e"/>
                        <pic:cNvPicPr/>
                        <pic:nvPr/>
                      </pic:nvPicPr>
                      <pic:blipFill>
                        <a:blip r:embed="rId23"/>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3" o:title=""/>
              </v:shape>
            </w:pict>
          </mc:Fallback>
        </mc:AlternateContent>
      </w:r>
      <w:r/>
    </w:p>
    <w:p>
      <w:pPr>
        <w:numPr>
          <w:ilvl w:val="0"/>
          <w:numId w:val="0"/>
        </w:num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残疾人福利性单位声明函</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p>
    <w:p>
      <w:pPr>
        <w:numPr>
          <w:ilvl w:val="0"/>
          <w:numId w:val="0"/>
        </w:num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非必须，</w:t>
      </w:r>
      <w:r>
        <w:rPr>
          <w:rFonts w:hint="eastAsia" w:ascii="宋体" w:hAnsi="宋体" w:eastAsia="宋体" w:cs="宋体"/>
          <w:color w:val="000000" w:themeColor="text1"/>
          <w:sz w:val="21"/>
          <w:szCs w:val="21"/>
          <w:highlight w:val="none"/>
          <w14:textFill>
            <w14:solidFill>
              <w14:schemeClr w14:val="tx1"/>
            </w14:solidFill>
          </w14:textFill>
        </w:rPr>
        <w:t xml:space="preserve">如投标人不属于残疾人福利性单位不需要提供此声明函）</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1"/>
          <w:highlight w:val="none"/>
          <w14:textFill>
            <w14:solidFill>
              <w14:schemeClr w14:val="tx1"/>
            </w14:solidFill>
          </w14:textFill>
        </w:rPr>
        <w:t xml:space="preserve">〔2017〕 141</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单位的</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中标人为残疾人福利</w:t>
      </w:r>
      <w:r>
        <w:rPr>
          <w:rFonts w:hint="eastAsia" w:ascii="宋体" w:hAnsi="宋体"/>
          <w:color w:val="000000" w:themeColor="text1"/>
          <w:sz w:val="24"/>
          <w:highlight w:val="none"/>
          <w:lang w:val="en-US" w:eastAsia="zh-CN"/>
          <w14:textFill>
            <w14:solidFill>
              <w14:schemeClr w14:val="tx1"/>
            </w14:solidFill>
          </w14:textFill>
        </w:rPr>
        <w:t xml:space="preserve">性</w:t>
      </w:r>
      <w:r>
        <w:rPr>
          <w:rFonts w:hint="eastAsia" w:ascii="宋体" w:hAnsi="宋体"/>
          <w:color w:val="000000" w:themeColor="text1"/>
          <w:sz w:val="24"/>
          <w:highlight w:val="none"/>
          <w14:textFill>
            <w14:solidFill>
              <w14:schemeClr w14:val="tx1"/>
            </w14:solidFill>
          </w14:textFill>
        </w:rPr>
        <w:t xml:space="preserve">单位的</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此声明函将随中标结果同时公告</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接受社会监督</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投标人参加政府采购活动前3年内在经营活动中没有重大违法记录的</w:t>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书面声明</w:t>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ind w:firstLine="47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我单位在参加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我单位对上述声明的真实性负责。如有虚假，将依法承担相应责任。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9、具备履行合同所必需的设备和专业技术能力的证明材料。即投标文件中提供：（投标人根据本项目需求提供证明材料或承诺函，格式自拟）</w:t>
      </w:r>
      <w:r/>
    </w:p>
    <w:p>
      <w:pPr>
        <w:jc w:val="center"/>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项目名称：</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none"/>
          <w14:textFill>
            <w14:solidFill>
              <w14:schemeClr w14:val="tx1"/>
            </w14:solidFill>
          </w14:textFill>
        </w:rPr>
        <w:t xml:space="preserve">投标人郑重声明：投标人具备履行合同（项目名称：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所必需的设备和专业技术能力</w:t>
      </w:r>
      <w:r>
        <w:rPr>
          <w:rFonts w:hint="eastAsia" w:ascii="宋体" w:hAnsi="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none"/>
          <w14:textFill>
            <w14:solidFill>
              <w14:schemeClr w14:val="tx1"/>
            </w14:solidFill>
          </w14:textFill>
        </w:rPr>
        <w:t xml:space="preserve">①所投产品为第二类医疗器械时，</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提供</w:t>
      </w:r>
      <w:r>
        <w:rPr>
          <w:rFonts w:hint="eastAsia" w:ascii="宋体" w:hAnsi="宋体" w:eastAsia="宋体" w:cs="宋体"/>
          <w:bCs/>
          <w:color w:val="000000" w:themeColor="text1"/>
          <w:sz w:val="24"/>
          <w:szCs w:val="21"/>
          <w:highlight w:val="none"/>
          <w14:textFill>
            <w14:solidFill>
              <w14:schemeClr w14:val="tx1"/>
            </w14:solidFill>
          </w14:textFill>
        </w:rPr>
        <w:t xml:space="preserve">投标人有效的第二类医疗器械经营备案凭证</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扫描件</w:t>
      </w:r>
      <w:r>
        <w:rPr>
          <w:rFonts w:hint="eastAsia" w:ascii="宋体" w:hAnsi="宋体" w:eastAsia="宋体" w:cs="宋体"/>
          <w:bCs/>
          <w:color w:val="000000" w:themeColor="text1"/>
          <w:sz w:val="24"/>
          <w:szCs w:val="21"/>
          <w:highlight w:val="none"/>
          <w14:textFill>
            <w14:solidFill>
              <w14:schemeClr w14:val="tx1"/>
            </w14:solidFill>
          </w14:textFill>
        </w:rPr>
        <w:t xml:space="preserve">；所投产品为第三类医疗器械时，</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提供</w:t>
      </w:r>
      <w:r>
        <w:rPr>
          <w:rFonts w:hint="eastAsia" w:ascii="宋体" w:hAnsi="宋体" w:eastAsia="宋体" w:cs="宋体"/>
          <w:bCs/>
          <w:color w:val="000000" w:themeColor="text1"/>
          <w:sz w:val="24"/>
          <w:szCs w:val="21"/>
          <w:highlight w:val="none"/>
          <w14:textFill>
            <w14:solidFill>
              <w14:schemeClr w14:val="tx1"/>
            </w14:solidFill>
          </w14:textFill>
        </w:rPr>
        <w:t xml:space="preserve">投标人有效的医疗器械经营许可证</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扫描件；</w:t>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none"/>
          <w14:textFill>
            <w14:solidFill>
              <w14:schemeClr w14:val="tx1"/>
            </w14:solidFill>
          </w14:textFill>
        </w:rPr>
        <w:t xml:space="preserve">②提供所投产品的有效的医疗器械注册证扫描件</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特此声明。</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投标人对上述声明的真实性负责。如有虚假，将依法承担相应责任。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spacing w:line="360" w:lineRule="auto"/>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10、关于符合本国产品标准的声明函</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pStyle w:val="973"/>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关于符合本国产品标准的声明函</w:t>
      </w:r>
      <w:r/>
    </w:p>
    <w:p>
      <w:pPr>
        <w:pStyle w:val="97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cs="宋体"/>
          <w:color w:val="000000" w:themeColor="text1"/>
          <w:sz w:val="24"/>
          <w:szCs w:val="24"/>
          <w:highlight w:val="none"/>
          <w:lang w:val="en-US" w:eastAsia="zh-CN" w:bidi="ar-SA"/>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产品名称</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，生产厂为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厂名</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，厂址为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生产厂址</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的中国境内生产的组件成本占比≥</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在中国境内生产。</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在中国境内完成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7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p>
    <w:p>
      <w:pPr>
        <w:pStyle w:val="97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本公司（单位）对上述声明内容的真实性负责。如有虚假，愿承担相应法律责任。</w:t>
      </w:r>
      <w:r/>
    </w:p>
    <w:p>
      <w:pPr>
        <w:pStyle w:val="973"/>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7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公司（单位）名称（</w:t>
      </w:r>
      <w:r>
        <w:rPr>
          <w:rFonts w:hint="eastAsia" w:ascii="宋体" w:hAnsi="宋体"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电子签章</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7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日期：</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年</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月</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w:t>
      </w:r>
      <w:r/>
    </w:p>
    <w:p>
      <w:pPr>
        <w:pStyle w:val="973"/>
        <w:ind w:right="0"/>
        <w:keepLines w:val="0"/>
        <w:keepNext w:val="0"/>
        <w:spacing w:before="30" w:beforeAutospacing="0" w:after="30" w:afterAutospacing="0" w:line="240" w:lineRule="auto"/>
        <w:shd w:val="clear" w:color="auto" w:fill="ffffff"/>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r>
      <w:r/>
    </w:p>
    <w:p>
      <w:pPr>
        <w:pStyle w:val="973"/>
        <w:ind w:right="0"/>
        <w:keepLines w:val="0"/>
        <w:keepNext w:val="0"/>
        <w:spacing w:before="30" w:beforeAutospacing="0" w:after="30" w:afterAutospacing="0" w:line="360" w:lineRule="auto"/>
        <w:shd w:val="clear" w:color="auto" w:fill="ffffff"/>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注：</w:t>
      </w:r>
      <w:r/>
    </w:p>
    <w:p>
      <w:pPr>
        <w:pStyle w:val="97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1.产品如有型号，请在“产品名称”栏一并填写。</w:t>
      </w:r>
      <w:r/>
    </w:p>
    <w:p>
      <w:pPr>
        <w:pStyle w:val="97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2.生产厂名与厂址应与生产厂营业执照载明的相关信息保持一致。</w:t>
      </w:r>
      <w:r/>
    </w:p>
    <w:p>
      <w:pPr>
        <w:pStyle w:val="97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3.该产品的中国境内生产的组件成本占比相关要求实施前，“规定比例”栏可不填，下同。</w:t>
      </w:r>
      <w:r/>
    </w:p>
    <w:p>
      <w:pPr>
        <w:pStyle w:val="97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4.该产品的关键组件要求实施前，“关键组件”栏可不填，下同。</w:t>
      </w:r>
      <w:r/>
    </w:p>
    <w:p>
      <w:pPr>
        <w:pStyle w:val="97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5.该产品的关键工序要求实施前，“关键工序”栏可不填，下同。</w:t>
      </w:r>
      <w:r/>
    </w:p>
    <w:p>
      <w:pPr>
        <w:ind w:firstLine="480"/>
        <w:jc w:val="both"/>
        <w:spacing w:line="360" w:lineRule="auto"/>
        <w:rPr>
          <w:rFonts w:hint="eastAsia" w:ascii="宋体" w:hAnsi="宋体" w:eastAsia="宋体" w:cs="宋体"/>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.《声明函》中标注“</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”的地方无需填写</w:t>
      </w:r>
      <w:r>
        <w:rPr>
          <w:rFonts w:hint="eastAsia" w:cs="宋体"/>
          <w:color w:val="000000" w:themeColor="text1"/>
          <w:sz w:val="24"/>
          <w:szCs w:val="24"/>
          <w:highlight w:val="none"/>
          <w:lang w:eastAsia="zh-CN"/>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、预付款保函支付条款模板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符合条件一：提交预付款保函的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 。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符合条件二：不提交预付款保函的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（以下无正文）</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p>
    <w:p>
      <w:pPr>
        <w:rPr>
          <w:color w:val="000000" w:themeColor="text1"/>
          <w:highlight w:val="none"/>
          <w14:textFill>
            <w14:solidFill>
              <w14:schemeClr w14:val="tx1"/>
            </w14:solidFill>
          </w14:textFill>
        </w:rPr>
      </w:pPr>
      <w:r/>
      <w:bookmarkStart w:id="12" w:name="_GoBack"/>
      <w:r/>
      <w:bookmarkEnd w:id="12"/>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Segoe UI">
    <w:panose1 w:val="020B0502040204020203"/>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wps:txbx>
                    <wps:bodyPr vert="horz" wrap="none" lIns="0" tIns="0" rIns="0" bIns="0" anchor="t">
                      <a:spAutoFit/>
                    </wps:bodyPr>
                  </wps:wsp>
                </a:graphicData>
              </a:graphic>
            </wp:anchor>
          </w:drawing>
        </mc:Choice>
        <mc:Fallback>
          <w:pict>
            <v:shape id="shape 6" o:spid="_x0000_s6"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7" o:spid="_x0000_s7"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left" w:pos="4912"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8" o:spid="_x0000_s8"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睢宁县人民医院彩色多普勒超声诊断仪(泌尿外科专用)采购项目</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睢宁县人民医院彩色多普勒超声诊断仪(泌尿外科专用)采购项目</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睢宁县人民医院</w:t>
    </w:r>
    <w:r>
      <w:rPr>
        <w:rFonts w:hint="eastAsia" w:ascii="宋体" w:hAnsi="宋体" w:eastAsia="宋体" w:cs="宋体"/>
        <w:sz w:val="21"/>
        <w:szCs w:val="21"/>
        <w:lang w:val="en-US" w:eastAsia="zh-CN" w:bidi="ar-SA"/>
      </w:rPr>
      <w:t xml:space="preserve">彩色多普勒</w:t>
    </w:r>
    <w:r>
      <w:rPr>
        <w:rFonts w:hint="eastAsia" w:ascii="宋体" w:hAnsi="宋体" w:cs="宋体"/>
        <w:sz w:val="21"/>
        <w:szCs w:val="21"/>
        <w:lang w:val="en-US" w:eastAsia="zh-CN" w:bidi="ar-SA"/>
      </w:rPr>
      <w:t xml:space="preserve">超声诊断仪</w:t>
    </w:r>
    <w:r>
      <w:rPr>
        <w:rFonts w:hint="eastAsia" w:ascii="宋体" w:hAnsi="宋体" w:eastAsia="宋体" w:cs="宋体"/>
        <w:sz w:val="21"/>
        <w:szCs w:val="21"/>
        <w:lang w:val="en-US" w:eastAsia="zh-CN" w:bidi="ar-S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睢宁县人民医院彩色多普勒超声诊断仪</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21"/>
        <w:lang w:eastAsia="zh-CN"/>
      </w:rPr>
      <w:t xml:space="preserve">睢宁县人民医院彩色多普勒超声诊断仪(泌尿外科专用)采购项目</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6"/>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0" w:default="1">
    <w:name w:val="Normal"/>
    <w:link w:val="1165"/>
    <w:uiPriority w:val="0"/>
    <w:qFormat/>
    <w:pPr>
      <w:jc w:val="both"/>
      <w:widowControl w:val="off"/>
    </w:pPr>
    <w:rPr>
      <w:rFonts w:hint="default" w:ascii="Calibri" w:hAnsi="Calibri" w:eastAsia="宋体" w:cs="宋体"/>
      <w:sz w:val="21"/>
      <w:szCs w:val="24"/>
      <w:lang w:val="en-US" w:eastAsia="zh-CN" w:bidi="ar-SA"/>
    </w:rPr>
  </w:style>
  <w:style w:type="paragraph" w:styleId="941">
    <w:name w:val="Heading 1"/>
    <w:basedOn w:val="940"/>
    <w:next w:val="940"/>
    <w:link w:val="997"/>
    <w:uiPriority w:val="9"/>
    <w:qFormat/>
    <w:pPr>
      <w:keepLines/>
      <w:keepNext/>
      <w:spacing w:before="480" w:after="200"/>
      <w:outlineLvl w:val="0"/>
    </w:pPr>
    <w:rPr>
      <w:rFonts w:ascii="Arial" w:hAnsi="Arial" w:eastAsia="Arial" w:cs="Arial"/>
      <w:sz w:val="40"/>
      <w:szCs w:val="40"/>
    </w:rPr>
  </w:style>
  <w:style w:type="paragraph" w:styleId="942">
    <w:name w:val="Heading 2"/>
    <w:basedOn w:val="940"/>
    <w:next w:val="940"/>
    <w:link w:val="998"/>
    <w:uiPriority w:val="9"/>
    <w:unhideWhenUsed/>
    <w:qFormat/>
    <w:pPr>
      <w:keepLines/>
      <w:keepNext/>
      <w:spacing w:before="360" w:after="200"/>
      <w:outlineLvl w:val="1"/>
    </w:pPr>
    <w:rPr>
      <w:rFonts w:ascii="Arial" w:hAnsi="Arial" w:eastAsia="Arial" w:cs="Arial"/>
      <w:sz w:val="34"/>
    </w:rPr>
  </w:style>
  <w:style w:type="paragraph" w:styleId="943">
    <w:name w:val="Heading 3"/>
    <w:basedOn w:val="940"/>
    <w:next w:val="940"/>
    <w:link w:val="999"/>
    <w:uiPriority w:val="9"/>
    <w:unhideWhenUsed/>
    <w:qFormat/>
    <w:pPr>
      <w:keepLines/>
      <w:keepNext/>
      <w:spacing w:before="320" w:after="200"/>
      <w:outlineLvl w:val="2"/>
    </w:pPr>
    <w:rPr>
      <w:rFonts w:ascii="Arial" w:hAnsi="Arial" w:eastAsia="Arial" w:cs="Arial"/>
      <w:sz w:val="30"/>
      <w:szCs w:val="30"/>
    </w:rPr>
  </w:style>
  <w:style w:type="paragraph" w:styleId="944">
    <w:name w:val="Heading 4"/>
    <w:basedOn w:val="940"/>
    <w:next w:val="940"/>
    <w:link w:val="1000"/>
    <w:uiPriority w:val="9"/>
    <w:unhideWhenUsed/>
    <w:qFormat/>
    <w:pPr>
      <w:keepLines/>
      <w:keepNext/>
      <w:spacing w:before="320" w:after="200"/>
      <w:outlineLvl w:val="3"/>
    </w:pPr>
    <w:rPr>
      <w:rFonts w:ascii="Arial" w:hAnsi="Arial" w:eastAsia="Arial" w:cs="Arial"/>
      <w:b/>
      <w:bCs/>
      <w:sz w:val="26"/>
      <w:szCs w:val="26"/>
    </w:rPr>
  </w:style>
  <w:style w:type="paragraph" w:styleId="945">
    <w:name w:val="Heading 5"/>
    <w:basedOn w:val="940"/>
    <w:next w:val="940"/>
    <w:link w:val="1001"/>
    <w:uiPriority w:val="9"/>
    <w:unhideWhenUsed/>
    <w:qFormat/>
    <w:pPr>
      <w:keepLines/>
      <w:keepNext/>
      <w:spacing w:before="320" w:after="200"/>
      <w:outlineLvl w:val="4"/>
    </w:pPr>
    <w:rPr>
      <w:rFonts w:ascii="Arial" w:hAnsi="Arial" w:eastAsia="Arial" w:cs="Arial"/>
      <w:b/>
      <w:bCs/>
      <w:sz w:val="24"/>
      <w:szCs w:val="24"/>
    </w:rPr>
  </w:style>
  <w:style w:type="paragraph" w:styleId="946">
    <w:name w:val="Heading 6"/>
    <w:basedOn w:val="940"/>
    <w:next w:val="940"/>
    <w:link w:val="1002"/>
    <w:uiPriority w:val="9"/>
    <w:unhideWhenUsed/>
    <w:qFormat/>
    <w:pPr>
      <w:keepLines/>
      <w:keepNext/>
      <w:spacing w:before="320" w:after="200"/>
      <w:outlineLvl w:val="5"/>
    </w:pPr>
    <w:rPr>
      <w:rFonts w:ascii="Arial" w:hAnsi="Arial" w:eastAsia="Arial" w:cs="Arial"/>
      <w:b/>
      <w:bCs/>
      <w:sz w:val="22"/>
      <w:szCs w:val="22"/>
    </w:rPr>
  </w:style>
  <w:style w:type="paragraph" w:styleId="947">
    <w:name w:val="Heading 7"/>
    <w:basedOn w:val="940"/>
    <w:next w:val="940"/>
    <w:link w:val="1003"/>
    <w:uiPriority w:val="9"/>
    <w:unhideWhenUsed/>
    <w:qFormat/>
    <w:pPr>
      <w:keepLines/>
      <w:keepNext/>
      <w:spacing w:before="320" w:after="200"/>
      <w:outlineLvl w:val="6"/>
    </w:pPr>
    <w:rPr>
      <w:rFonts w:ascii="Arial" w:hAnsi="Arial" w:eastAsia="Arial" w:cs="Arial"/>
      <w:b/>
      <w:bCs/>
      <w:i/>
      <w:iCs/>
      <w:sz w:val="22"/>
      <w:szCs w:val="22"/>
    </w:rPr>
  </w:style>
  <w:style w:type="paragraph" w:styleId="948">
    <w:name w:val="Heading 8"/>
    <w:basedOn w:val="940"/>
    <w:next w:val="940"/>
    <w:link w:val="1004"/>
    <w:uiPriority w:val="9"/>
    <w:unhideWhenUsed/>
    <w:qFormat/>
    <w:pPr>
      <w:keepLines/>
      <w:keepNext/>
      <w:spacing w:before="320" w:after="200"/>
      <w:outlineLvl w:val="7"/>
    </w:pPr>
    <w:rPr>
      <w:rFonts w:ascii="Arial" w:hAnsi="Arial" w:eastAsia="Arial" w:cs="Arial"/>
      <w:i/>
      <w:iCs/>
      <w:sz w:val="22"/>
      <w:szCs w:val="22"/>
    </w:rPr>
  </w:style>
  <w:style w:type="paragraph" w:styleId="949">
    <w:name w:val="Heading 9"/>
    <w:basedOn w:val="940"/>
    <w:next w:val="940"/>
    <w:link w:val="1005"/>
    <w:uiPriority w:val="9"/>
    <w:unhideWhenUsed/>
    <w:qFormat/>
    <w:pPr>
      <w:keepLines/>
      <w:keepNext/>
      <w:spacing w:before="320" w:after="200"/>
      <w:outlineLvl w:val="8"/>
    </w:pPr>
    <w:rPr>
      <w:rFonts w:ascii="Arial" w:hAnsi="Arial" w:eastAsia="Arial" w:cs="Arial"/>
      <w:i/>
      <w:iCs/>
      <w:sz w:val="21"/>
      <w:szCs w:val="21"/>
    </w:rPr>
  </w:style>
  <w:style w:type="character" w:styleId="950" w:default="1">
    <w:name w:val="Default Paragraph Font"/>
    <w:uiPriority w:val="0"/>
    <w:qFormat/>
  </w:style>
  <w:style w:type="table" w:styleId="951"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2">
    <w:name w:val="toc 7"/>
    <w:basedOn w:val="940"/>
    <w:next w:val="940"/>
    <w:uiPriority w:val="39"/>
    <w:unhideWhenUsed/>
    <w:qFormat/>
    <w:pPr>
      <w:ind w:left="1701" w:right="0" w:firstLine="0"/>
      <w:spacing w:after="57"/>
    </w:pPr>
  </w:style>
  <w:style w:type="paragraph" w:styleId="953">
    <w:name w:val="table of authorities"/>
    <w:basedOn w:val="940"/>
    <w:next w:val="940"/>
    <w:uiPriority w:val="0"/>
    <w:qFormat/>
    <w:pPr>
      <w:ind w:left="420"/>
    </w:pPr>
  </w:style>
  <w:style w:type="paragraph" w:styleId="954">
    <w:name w:val="Caption"/>
    <w:basedOn w:val="940"/>
    <w:next w:val="9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5">
    <w:name w:val="annotation text"/>
    <w:basedOn w:val="940"/>
    <w:uiPriority w:val="99"/>
    <w:semiHidden/>
    <w:unhideWhenUsed/>
    <w:qFormat/>
    <w:pPr>
      <w:jc w:val="left"/>
    </w:pPr>
  </w:style>
  <w:style w:type="paragraph" w:styleId="956">
    <w:name w:val="Body Text"/>
    <w:basedOn w:val="940"/>
    <w:uiPriority w:val="99"/>
    <w:qFormat/>
    <w:rPr>
      <w:rFonts w:ascii="Verdana" w:hAnsi="Verdana" w:cs="Verdana"/>
      <w:sz w:val="24"/>
      <w:szCs w:val="24"/>
    </w:rPr>
  </w:style>
  <w:style w:type="paragraph" w:styleId="957">
    <w:name w:val="Block Text"/>
    <w:basedOn w:val="940"/>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58">
    <w:name w:val="toc 5"/>
    <w:basedOn w:val="940"/>
    <w:next w:val="940"/>
    <w:uiPriority w:val="39"/>
    <w:unhideWhenUsed/>
    <w:qFormat/>
    <w:pPr>
      <w:ind w:left="1134" w:right="0" w:firstLine="0"/>
      <w:spacing w:after="57"/>
    </w:pPr>
  </w:style>
  <w:style w:type="paragraph" w:styleId="959">
    <w:name w:val="toc 3"/>
    <w:basedOn w:val="940"/>
    <w:next w:val="940"/>
    <w:uiPriority w:val="39"/>
    <w:unhideWhenUsed/>
    <w:qFormat/>
    <w:pPr>
      <w:ind w:left="567" w:right="0" w:firstLine="0"/>
      <w:spacing w:after="57"/>
    </w:pPr>
  </w:style>
  <w:style w:type="paragraph" w:styleId="960">
    <w:name w:val="Plain Text"/>
    <w:basedOn w:val="940"/>
    <w:uiPriority w:val="99"/>
    <w:qFormat/>
    <w:rPr>
      <w:rFonts w:ascii="宋体" w:hAnsi="Courier New" w:cs="宋体"/>
    </w:rPr>
  </w:style>
  <w:style w:type="paragraph" w:styleId="961">
    <w:name w:val="toc 8"/>
    <w:basedOn w:val="940"/>
    <w:next w:val="940"/>
    <w:uiPriority w:val="39"/>
    <w:unhideWhenUsed/>
    <w:qFormat/>
    <w:pPr>
      <w:ind w:left="1984" w:right="0" w:firstLine="0"/>
      <w:spacing w:after="57"/>
    </w:pPr>
  </w:style>
  <w:style w:type="paragraph" w:styleId="962">
    <w:name w:val="endnote text"/>
    <w:basedOn w:val="940"/>
    <w:link w:val="1143"/>
    <w:uiPriority w:val="99"/>
    <w:semiHidden/>
    <w:unhideWhenUsed/>
    <w:qFormat/>
    <w:pPr>
      <w:spacing w:after="0" w:line="240" w:lineRule="auto"/>
    </w:pPr>
    <w:rPr>
      <w:sz w:val="20"/>
    </w:rPr>
  </w:style>
  <w:style w:type="paragraph" w:styleId="963">
    <w:name w:val="Footer"/>
    <w:basedOn w:val="940"/>
    <w:uiPriority w:val="99"/>
    <w:qFormat/>
    <w:pPr>
      <w:tabs>
        <w:tab w:val="center" w:pos="7143" w:leader="none"/>
        <w:tab w:val="right" w:pos="14287" w:leader="none"/>
      </w:tabs>
    </w:pPr>
  </w:style>
  <w:style w:type="paragraph" w:styleId="964">
    <w:name w:val="Header"/>
    <w:basedOn w:val="940"/>
    <w:link w:val="1014"/>
    <w:uiPriority w:val="99"/>
    <w:unhideWhenUsed/>
    <w:qFormat/>
    <w:pPr>
      <w:spacing w:after="0" w:line="240" w:lineRule="auto"/>
      <w:tabs>
        <w:tab w:val="center" w:pos="7143" w:leader="none"/>
        <w:tab w:val="right" w:pos="14287" w:leader="none"/>
      </w:tabs>
    </w:pPr>
  </w:style>
  <w:style w:type="paragraph" w:styleId="965">
    <w:name w:val="toc 1"/>
    <w:basedOn w:val="940"/>
    <w:next w:val="940"/>
    <w:uiPriority w:val="39"/>
    <w:unhideWhenUsed/>
    <w:qFormat/>
    <w:pPr>
      <w:spacing w:after="57"/>
    </w:pPr>
  </w:style>
  <w:style w:type="paragraph" w:styleId="966">
    <w:name w:val="toc 4"/>
    <w:basedOn w:val="940"/>
    <w:next w:val="940"/>
    <w:uiPriority w:val="39"/>
    <w:unhideWhenUsed/>
    <w:qFormat/>
    <w:pPr>
      <w:ind w:left="850" w:right="0" w:firstLine="0"/>
      <w:spacing w:after="57"/>
    </w:pPr>
  </w:style>
  <w:style w:type="paragraph" w:styleId="967">
    <w:name w:val="Subtitle"/>
    <w:basedOn w:val="940"/>
    <w:next w:val="940"/>
    <w:link w:val="1009"/>
    <w:uiPriority w:val="11"/>
    <w:qFormat/>
    <w:pPr>
      <w:spacing w:before="200" w:after="200"/>
    </w:pPr>
    <w:rPr>
      <w:sz w:val="24"/>
      <w:szCs w:val="24"/>
    </w:rPr>
  </w:style>
  <w:style w:type="paragraph" w:styleId="968">
    <w:name w:val="footnote text"/>
    <w:basedOn w:val="940"/>
    <w:link w:val="1142"/>
    <w:uiPriority w:val="99"/>
    <w:semiHidden/>
    <w:unhideWhenUsed/>
    <w:qFormat/>
    <w:pPr>
      <w:spacing w:after="40" w:line="240" w:lineRule="auto"/>
    </w:pPr>
    <w:rPr>
      <w:sz w:val="18"/>
    </w:rPr>
  </w:style>
  <w:style w:type="paragraph" w:styleId="969">
    <w:name w:val="toc 6"/>
    <w:basedOn w:val="940"/>
    <w:next w:val="940"/>
    <w:uiPriority w:val="39"/>
    <w:unhideWhenUsed/>
    <w:qFormat/>
    <w:pPr>
      <w:ind w:left="1417" w:right="0" w:firstLine="0"/>
      <w:spacing w:after="57"/>
    </w:pPr>
  </w:style>
  <w:style w:type="paragraph" w:styleId="970">
    <w:name w:val="table of figures"/>
    <w:basedOn w:val="940"/>
    <w:next w:val="940"/>
    <w:uiPriority w:val="99"/>
    <w:unhideWhenUsed/>
    <w:qFormat/>
    <w:pPr>
      <w:spacing w:after="0" w:afterAutospacing="0"/>
    </w:pPr>
  </w:style>
  <w:style w:type="paragraph" w:styleId="971">
    <w:name w:val="toc 2"/>
    <w:basedOn w:val="940"/>
    <w:next w:val="940"/>
    <w:uiPriority w:val="39"/>
    <w:unhideWhenUsed/>
    <w:qFormat/>
    <w:pPr>
      <w:ind w:left="283" w:right="0" w:firstLine="0"/>
      <w:spacing w:after="57"/>
    </w:pPr>
  </w:style>
  <w:style w:type="paragraph" w:styleId="972">
    <w:name w:val="toc 9"/>
    <w:basedOn w:val="940"/>
    <w:next w:val="940"/>
    <w:uiPriority w:val="39"/>
    <w:unhideWhenUsed/>
    <w:qFormat/>
    <w:pPr>
      <w:ind w:left="2268" w:right="0" w:firstLine="0"/>
      <w:spacing w:after="57"/>
    </w:pPr>
  </w:style>
  <w:style w:type="paragraph" w:styleId="973">
    <w:name w:val="Normal (Web)"/>
    <w:basedOn w:val="940"/>
    <w:uiPriority w:val="99"/>
    <w:semiHidden/>
    <w:unhideWhenUsed/>
    <w:qFormat/>
    <w:pPr>
      <w:ind w:left="0" w:right="0"/>
      <w:jc w:val="left"/>
      <w:spacing w:before="0" w:beforeAutospacing="1" w:after="0" w:afterAutospacing="1"/>
    </w:pPr>
    <w:rPr>
      <w:sz w:val="24"/>
      <w:lang w:val="en-US" w:eastAsia="zh-CN" w:bidi="ar"/>
    </w:rPr>
  </w:style>
  <w:style w:type="paragraph" w:styleId="974">
    <w:name w:val="Title"/>
    <w:basedOn w:val="940"/>
    <w:next w:val="940"/>
    <w:link w:val="1008"/>
    <w:uiPriority w:val="10"/>
    <w:qFormat/>
    <w:pPr>
      <w:contextualSpacing/>
      <w:spacing w:before="300" w:after="200"/>
    </w:pPr>
    <w:rPr>
      <w:sz w:val="48"/>
      <w:szCs w:val="48"/>
    </w:rPr>
  </w:style>
  <w:style w:type="table" w:styleId="97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76">
    <w:name w:val="Strong"/>
    <w:basedOn w:val="950"/>
    <w:uiPriority w:val="22"/>
    <w:qFormat/>
    <w:rPr>
      <w:b/>
    </w:rPr>
  </w:style>
  <w:style w:type="character" w:styleId="977">
    <w:name w:val="endnote reference"/>
    <w:basedOn w:val="950"/>
    <w:uiPriority w:val="99"/>
    <w:semiHidden/>
    <w:unhideWhenUsed/>
    <w:qFormat/>
    <w:rPr>
      <w:vertAlign w:val="superscript"/>
    </w:rPr>
  </w:style>
  <w:style w:type="character" w:styleId="978">
    <w:name w:val="Hyperlink"/>
    <w:basedOn w:val="950"/>
    <w:uiPriority w:val="99"/>
    <w:unhideWhenUsed/>
    <w:qFormat/>
    <w:rPr>
      <w:color w:val="0000ff" w:themeColor="hyperlink"/>
      <w:u w:val="single"/>
      <w14:textFill>
        <w14:solidFill>
          <w14:schemeClr w14:val="hlink"/>
        </w14:solidFill>
      </w14:textFill>
    </w:rPr>
  </w:style>
  <w:style w:type="character" w:styleId="979">
    <w:name w:val="footnote reference"/>
    <w:basedOn w:val="950"/>
    <w:uiPriority w:val="99"/>
    <w:unhideWhenUsed/>
    <w:qFormat/>
    <w:rPr>
      <w:vertAlign w:val="superscript"/>
    </w:rPr>
  </w:style>
  <w:style w:type="paragraph" w:styleId="980" w:customStyle="1">
    <w:name w:val="正文首行缩进 211"/>
    <w:basedOn w:val="981"/>
    <w:next w:val="940"/>
    <w:uiPriority w:val="0"/>
    <w:qFormat/>
    <w:pPr>
      <w:ind w:left="0" w:firstLine="420"/>
      <w:spacing w:after="0" w:line="360" w:lineRule="auto"/>
    </w:pPr>
    <w:rPr>
      <w:rFonts w:ascii="宋体" w:hAnsi="宋体"/>
      <w:szCs w:val="20"/>
    </w:rPr>
  </w:style>
  <w:style w:type="paragraph" w:styleId="981" w:customStyle="1">
    <w:name w:val="正文文本缩进11"/>
    <w:basedOn w:val="982"/>
    <w:next w:val="994"/>
    <w:uiPriority w:val="0"/>
    <w:unhideWhenUsed/>
    <w:qFormat/>
    <w:pPr>
      <w:ind w:left="420"/>
      <w:spacing w:after="120"/>
    </w:pPr>
  </w:style>
  <w:style w:type="paragraph" w:styleId="982" w:customStyle="1">
    <w:name w:val="正文11"/>
    <w:next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文本块1"/>
    <w:basedOn w:val="984"/>
    <w:uiPriority w:val="0"/>
    <w:qFormat/>
    <w:pPr>
      <w:ind w:left="256" w:right="6" w:firstLine="624"/>
    </w:pPr>
    <w:rPr>
      <w:rFonts w:eastAsia="仿宋_GB2312"/>
      <w:sz w:val="28"/>
    </w:rPr>
  </w:style>
  <w:style w:type="paragraph" w:styleId="984" w:customStyle="1">
    <w:name w:val="正文111"/>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正文文本缩进1"/>
    <w:basedOn w:val="986"/>
    <w:next w:val="994"/>
    <w:uiPriority w:val="0"/>
    <w:qFormat/>
    <w:pPr>
      <w:ind w:left="420"/>
      <w:spacing w:after="120"/>
    </w:pPr>
  </w:style>
  <w:style w:type="paragraph" w:styleId="986" w:customStyle="1">
    <w:name w:val="正文1"/>
    <w:basedOn w:val="987"/>
    <w:next w:val="990"/>
    <w:uiPriority w:val="0"/>
    <w:qFormat/>
  </w:style>
  <w:style w:type="paragraph" w:styleId="987" w:customStyle="1">
    <w:name w:val="正文12"/>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脚注文本1"/>
    <w:basedOn w:val="986"/>
    <w:next w:val="989"/>
    <w:uiPriority w:val="0"/>
    <w:qFormat/>
    <w:rPr>
      <w:sz w:val="18"/>
      <w:szCs w:val="18"/>
    </w:rPr>
  </w:style>
  <w:style w:type="paragraph" w:styleId="989" w:customStyle="1">
    <w:name w:val="索引 51"/>
    <w:basedOn w:val="987"/>
    <w:next w:val="986"/>
    <w:uiPriority w:val="0"/>
    <w:qFormat/>
    <w:pPr>
      <w:ind w:left="798"/>
      <w:jc w:val="left"/>
    </w:pPr>
    <w:rPr>
      <w:rFonts w:ascii="Calibri" w:hAnsi="Calibri"/>
    </w:rPr>
  </w:style>
  <w:style w:type="paragraph" w:styleId="990" w:customStyle="1">
    <w:name w:val="目录 11"/>
    <w:basedOn w:val="991"/>
    <w:next w:val="987"/>
    <w:uiPriority w:val="99"/>
    <w:qFormat/>
  </w:style>
  <w:style w:type="paragraph" w:styleId="991" w:customStyle="1">
    <w:name w:val="正文112"/>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首行缩进1"/>
    <w:basedOn w:val="993"/>
    <w:next w:val="980"/>
    <w:uiPriority w:val="0"/>
    <w:qFormat/>
    <w:pPr>
      <w:ind w:firstLine="420"/>
    </w:pPr>
  </w:style>
  <w:style w:type="paragraph" w:styleId="993" w:customStyle="1">
    <w:name w:val="正文文本11"/>
    <w:basedOn w:val="982"/>
    <w:next w:val="984"/>
    <w:uiPriority w:val="0"/>
    <w:qFormat/>
    <w:pPr>
      <w:spacing w:after="120"/>
    </w:pPr>
  </w:style>
  <w:style w:type="paragraph" w:styleId="994" w:customStyle="1">
    <w:name w:val="寄信人地址1"/>
    <w:basedOn w:val="982"/>
    <w:uiPriority w:val="0"/>
    <w:qFormat/>
    <w:rPr>
      <w:rFonts w:ascii="Arial" w:hAnsi="Arial" w:cs="宋体"/>
    </w:rPr>
  </w:style>
  <w:style w:type="paragraph" w:styleId="995" w:customStyle="1">
    <w:name w:val="目录 1111"/>
    <w:basedOn w:val="940"/>
    <w:next w:val="940"/>
    <w:uiPriority w:val="39"/>
    <w:qFormat/>
  </w:style>
  <w:style w:type="paragraph" w:styleId="996" w:customStyle="1">
    <w:name w:val="目录 111"/>
    <w:basedOn w:val="940"/>
    <w:next w:val="984"/>
    <w:uiPriority w:val="39"/>
    <w:unhideWhenUsed/>
    <w:qFormat/>
    <w:pPr>
      <w:ind w:left="0" w:right="0" w:firstLine="0"/>
      <w:spacing w:after="57"/>
    </w:pPr>
  </w:style>
  <w:style w:type="character" w:styleId="997" w:customStyle="1">
    <w:name w:val="Heading 1 Char"/>
    <w:basedOn w:val="950"/>
    <w:link w:val="941"/>
    <w:uiPriority w:val="9"/>
    <w:qFormat/>
    <w:rPr>
      <w:rFonts w:ascii="Arial" w:hAnsi="Arial" w:eastAsia="Arial" w:cs="Arial"/>
      <w:sz w:val="40"/>
      <w:szCs w:val="40"/>
    </w:rPr>
  </w:style>
  <w:style w:type="character" w:styleId="998" w:customStyle="1">
    <w:name w:val="Heading 2 Char"/>
    <w:basedOn w:val="950"/>
    <w:link w:val="942"/>
    <w:uiPriority w:val="9"/>
    <w:qFormat/>
    <w:rPr>
      <w:rFonts w:ascii="Arial" w:hAnsi="Arial" w:eastAsia="Arial" w:cs="Arial"/>
      <w:sz w:val="34"/>
    </w:rPr>
  </w:style>
  <w:style w:type="character" w:styleId="999" w:customStyle="1">
    <w:name w:val="Heading 3 Char"/>
    <w:basedOn w:val="950"/>
    <w:link w:val="943"/>
    <w:uiPriority w:val="9"/>
    <w:qFormat/>
    <w:rPr>
      <w:rFonts w:ascii="Arial" w:hAnsi="Arial" w:eastAsia="Arial" w:cs="Arial"/>
      <w:sz w:val="30"/>
      <w:szCs w:val="30"/>
    </w:rPr>
  </w:style>
  <w:style w:type="character" w:styleId="1000" w:customStyle="1">
    <w:name w:val="Heading 4 Char"/>
    <w:basedOn w:val="950"/>
    <w:link w:val="944"/>
    <w:uiPriority w:val="9"/>
    <w:qFormat/>
    <w:rPr>
      <w:rFonts w:ascii="Arial" w:hAnsi="Arial" w:eastAsia="Arial" w:cs="Arial"/>
      <w:b/>
      <w:bCs/>
      <w:sz w:val="26"/>
      <w:szCs w:val="26"/>
    </w:rPr>
  </w:style>
  <w:style w:type="character" w:styleId="1001" w:customStyle="1">
    <w:name w:val="Heading 5 Char"/>
    <w:basedOn w:val="950"/>
    <w:link w:val="945"/>
    <w:uiPriority w:val="9"/>
    <w:qFormat/>
    <w:rPr>
      <w:rFonts w:ascii="Arial" w:hAnsi="Arial" w:eastAsia="Arial" w:cs="Arial"/>
      <w:b/>
      <w:bCs/>
      <w:sz w:val="24"/>
      <w:szCs w:val="24"/>
    </w:rPr>
  </w:style>
  <w:style w:type="character" w:styleId="1002" w:customStyle="1">
    <w:name w:val="Heading 6 Char"/>
    <w:basedOn w:val="950"/>
    <w:link w:val="946"/>
    <w:uiPriority w:val="9"/>
    <w:qFormat/>
    <w:rPr>
      <w:rFonts w:ascii="Arial" w:hAnsi="Arial" w:eastAsia="Arial" w:cs="Arial"/>
      <w:b/>
      <w:bCs/>
      <w:sz w:val="22"/>
      <w:szCs w:val="22"/>
    </w:rPr>
  </w:style>
  <w:style w:type="character" w:styleId="1003" w:customStyle="1">
    <w:name w:val="Heading 7 Char"/>
    <w:basedOn w:val="950"/>
    <w:link w:val="947"/>
    <w:uiPriority w:val="9"/>
    <w:qFormat/>
    <w:rPr>
      <w:rFonts w:ascii="Arial" w:hAnsi="Arial" w:eastAsia="Arial" w:cs="Arial"/>
      <w:b/>
      <w:bCs/>
      <w:i/>
      <w:iCs/>
      <w:sz w:val="22"/>
      <w:szCs w:val="22"/>
    </w:rPr>
  </w:style>
  <w:style w:type="character" w:styleId="1004" w:customStyle="1">
    <w:name w:val="Heading 8 Char"/>
    <w:basedOn w:val="950"/>
    <w:link w:val="948"/>
    <w:uiPriority w:val="9"/>
    <w:qFormat/>
    <w:rPr>
      <w:rFonts w:ascii="Arial" w:hAnsi="Arial" w:eastAsia="Arial" w:cs="Arial"/>
      <w:i/>
      <w:iCs/>
      <w:sz w:val="22"/>
      <w:szCs w:val="22"/>
    </w:rPr>
  </w:style>
  <w:style w:type="character" w:styleId="1005" w:customStyle="1">
    <w:name w:val="Heading 9 Char"/>
    <w:basedOn w:val="950"/>
    <w:link w:val="949"/>
    <w:uiPriority w:val="9"/>
    <w:qFormat/>
    <w:rPr>
      <w:rFonts w:ascii="Arial" w:hAnsi="Arial" w:eastAsia="Arial" w:cs="Arial"/>
      <w:i/>
      <w:iCs/>
      <w:sz w:val="21"/>
      <w:szCs w:val="21"/>
    </w:rPr>
  </w:style>
  <w:style w:type="paragraph" w:styleId="1006">
    <w:name w:val="List Paragraph"/>
    <w:basedOn w:val="940"/>
    <w:uiPriority w:val="34"/>
    <w:qFormat/>
    <w:pPr>
      <w:contextualSpacing/>
      <w:ind w:left="720"/>
    </w:pPr>
  </w:style>
  <w:style w:type="paragraph" w:styleId="1007">
    <w:name w:val="No Spacing"/>
    <w:uiPriority w:val="1"/>
    <w:qFormat/>
    <w:pPr>
      <w:spacing w:before="0" w:after="0" w:line="240" w:lineRule="auto"/>
    </w:pPr>
    <w:rPr>
      <w:rFonts w:hint="default" w:ascii="Times New Roman" w:hAnsi="Times New Roman" w:eastAsia="宋体" w:cs="Times New Roman"/>
    </w:rPr>
  </w:style>
  <w:style w:type="character" w:styleId="1008" w:customStyle="1">
    <w:name w:val="Title Char"/>
    <w:basedOn w:val="950"/>
    <w:link w:val="974"/>
    <w:uiPriority w:val="10"/>
    <w:qFormat/>
    <w:rPr>
      <w:sz w:val="48"/>
      <w:szCs w:val="48"/>
    </w:rPr>
  </w:style>
  <w:style w:type="character" w:styleId="1009" w:customStyle="1">
    <w:name w:val="Subtitle Char"/>
    <w:basedOn w:val="950"/>
    <w:link w:val="967"/>
    <w:uiPriority w:val="11"/>
    <w:qFormat/>
    <w:rPr>
      <w:sz w:val="24"/>
      <w:szCs w:val="24"/>
    </w:rPr>
  </w:style>
  <w:style w:type="paragraph" w:styleId="1010">
    <w:name w:val="Quote"/>
    <w:basedOn w:val="940"/>
    <w:next w:val="940"/>
    <w:link w:val="1011"/>
    <w:uiPriority w:val="29"/>
    <w:qFormat/>
    <w:pPr>
      <w:ind w:left="720" w:right="720"/>
    </w:pPr>
    <w:rPr>
      <w:i/>
    </w:rPr>
  </w:style>
  <w:style w:type="character" w:styleId="1011" w:customStyle="1">
    <w:name w:val="Quote Char"/>
    <w:link w:val="1010"/>
    <w:uiPriority w:val="29"/>
    <w:qFormat/>
    <w:rPr>
      <w:i/>
    </w:rPr>
  </w:style>
  <w:style w:type="paragraph" w:styleId="1012">
    <w:name w:val="Intense Quote"/>
    <w:basedOn w:val="940"/>
    <w:next w:val="940"/>
    <w:link w:val="10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3" w:customStyle="1">
    <w:name w:val="Intense Quote Char"/>
    <w:link w:val="1012"/>
    <w:uiPriority w:val="30"/>
    <w:qFormat/>
    <w:rPr>
      <w:i/>
    </w:rPr>
  </w:style>
  <w:style w:type="character" w:styleId="1014" w:customStyle="1">
    <w:name w:val="Header Char"/>
    <w:basedOn w:val="950"/>
    <w:link w:val="964"/>
    <w:uiPriority w:val="99"/>
    <w:qFormat/>
  </w:style>
  <w:style w:type="character" w:styleId="1015" w:customStyle="1">
    <w:name w:val="Footer Char"/>
    <w:basedOn w:val="950"/>
    <w:uiPriority w:val="99"/>
    <w:qFormat/>
  </w:style>
  <w:style w:type="character" w:styleId="1016" w:customStyle="1">
    <w:name w:val="Caption Char"/>
    <w:uiPriority w:val="99"/>
    <w:qFormat/>
  </w:style>
  <w:style w:type="table" w:styleId="1017" w:customStyle="1">
    <w:name w:val="Table Grid Light"/>
    <w:basedOn w:val="9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8" w:customStyle="1">
    <w:name w:val="Plain Table 1"/>
    <w:basedOn w:val="9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Plain Table 2"/>
    <w:basedOn w:val="9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0" w:customStyle="1">
    <w:name w:val="Plain Table 3"/>
    <w:basedOn w:val="9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1" w:customStyle="1">
    <w:name w:val="Plain Table 4"/>
    <w:basedOn w:val="9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2" w:customStyle="1">
    <w:name w:val="Plain Table 5"/>
    <w:basedOn w:val="9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3" w:customStyle="1">
    <w:name w:val="Grid Table 1 Light"/>
    <w:basedOn w:val="9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1"/>
    <w:basedOn w:val="9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2"/>
    <w:basedOn w:val="9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3"/>
    <w:basedOn w:val="9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4"/>
    <w:basedOn w:val="9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5"/>
    <w:basedOn w:val="9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6"/>
    <w:basedOn w:val="9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0" w:customStyle="1">
    <w:name w:val="Grid Table 2"/>
    <w:basedOn w:val="9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1" w:customStyle="1">
    <w:name w:val="Grid Table 2 - Accent 1"/>
    <w:basedOn w:val="9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2" w:customStyle="1">
    <w:name w:val="Grid Table 2 - Accent 2"/>
    <w:basedOn w:val="9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2 - Accent 3"/>
    <w:basedOn w:val="9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2 - Accent 4"/>
    <w:basedOn w:val="9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2 - Accent 5"/>
    <w:basedOn w:val="9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6" w:customStyle="1">
    <w:name w:val="Grid Table 2 - Accent 6"/>
    <w:basedOn w:val="9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7" w:customStyle="1">
    <w:name w:val="Grid Table 3"/>
    <w:basedOn w:val="9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1"/>
    <w:basedOn w:val="9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2"/>
    <w:basedOn w:val="9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3"/>
    <w:basedOn w:val="9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4"/>
    <w:basedOn w:val="9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5"/>
    <w:basedOn w:val="9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6"/>
    <w:basedOn w:val="9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4"/>
    <w:basedOn w:val="9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5" w:customStyle="1">
    <w:name w:val="Grid Table 4 - Accent 1"/>
    <w:basedOn w:val="95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6" w:customStyle="1">
    <w:name w:val="Grid Table 4 - Accent 2"/>
    <w:basedOn w:val="95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7" w:customStyle="1">
    <w:name w:val="Grid Table 4 - Accent 3"/>
    <w:basedOn w:val="95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8" w:customStyle="1">
    <w:name w:val="Grid Table 4 - Accent 4"/>
    <w:basedOn w:val="95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9" w:customStyle="1">
    <w:name w:val="Grid Table 4 - Accent 5"/>
    <w:basedOn w:val="95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0" w:customStyle="1">
    <w:name w:val="Grid Table 4 - Accent 6"/>
    <w:basedOn w:val="95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1" w:customStyle="1">
    <w:name w:val="Grid Table 5 Dark"/>
    <w:basedOn w:val="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2" w:customStyle="1">
    <w:name w:val="Grid Table 5 Dark- Accent 1"/>
    <w:basedOn w:val="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3" w:customStyle="1">
    <w:name w:val="Grid Table 5 Dark - Accent 2"/>
    <w:basedOn w:val="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4" w:customStyle="1">
    <w:name w:val="Grid Table 5 Dark - Accent 3"/>
    <w:basedOn w:val="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5" w:customStyle="1">
    <w:name w:val="Grid Table 5 Dark- Accent 4"/>
    <w:basedOn w:val="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6" w:customStyle="1">
    <w:name w:val="Grid Table 5 Dark - Accent 5"/>
    <w:basedOn w:val="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7" w:customStyle="1">
    <w:name w:val="Grid Table 5 Dark - Accent 6"/>
    <w:basedOn w:val="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8" w:customStyle="1">
    <w:name w:val="Grid Table 6 Colorful"/>
    <w:basedOn w:val="9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9" w:customStyle="1">
    <w:name w:val="Grid Table 6 Colorful - Accent 1"/>
    <w:basedOn w:val="95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0" w:customStyle="1">
    <w:name w:val="Grid Table 6 Colorful - Accent 2"/>
    <w:basedOn w:val="9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1" w:customStyle="1">
    <w:name w:val="Grid Table 6 Colorful - Accent 3"/>
    <w:basedOn w:val="95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2" w:customStyle="1">
    <w:name w:val="Grid Table 6 Colorful - Accent 4"/>
    <w:basedOn w:val="9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3" w:customStyle="1">
    <w:name w:val="Grid Table 6 Colorful - Accent 5"/>
    <w:basedOn w:val="95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Grid Table 6 Colorful - Accent 6"/>
    <w:basedOn w:val="95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5" w:customStyle="1">
    <w:name w:val="Grid Table 7 Colorful"/>
    <w:basedOn w:val="9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Grid Table 7 Colorful - Accent 1"/>
    <w:basedOn w:val="95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7" w:customStyle="1">
    <w:name w:val="Grid Table 7 Colorful - Accent 2"/>
    <w:basedOn w:val="95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7 Colorful - Accent 3"/>
    <w:basedOn w:val="95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7 Colorful - Accent 4"/>
    <w:basedOn w:val="95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7 Colorful - Accent 5"/>
    <w:basedOn w:val="95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1" w:customStyle="1">
    <w:name w:val="Grid Table 7 Colorful - Accent 6"/>
    <w:basedOn w:val="95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2" w:customStyle="1">
    <w:name w:val="List Table 1 Light"/>
    <w:basedOn w:val="9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3" w:customStyle="1">
    <w:name w:val="List Table 1 Light - Accent 1"/>
    <w:basedOn w:val="95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4" w:customStyle="1">
    <w:name w:val="List Table 1 Light - Accent 2"/>
    <w:basedOn w:val="95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5" w:customStyle="1">
    <w:name w:val="List Table 1 Light - Accent 3"/>
    <w:basedOn w:val="95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6" w:customStyle="1">
    <w:name w:val="List Table 1 Light - Accent 4"/>
    <w:basedOn w:val="95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7" w:customStyle="1">
    <w:name w:val="List Table 1 Light - Accent 5"/>
    <w:basedOn w:val="95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8" w:customStyle="1">
    <w:name w:val="List Table 1 Light - Accent 6"/>
    <w:basedOn w:val="95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9" w:customStyle="1">
    <w:name w:val="List Table 2"/>
    <w:basedOn w:val="9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0" w:customStyle="1">
    <w:name w:val="List Table 2 - Accent 1"/>
    <w:basedOn w:val="95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1" w:customStyle="1">
    <w:name w:val="List Table 2 - Accent 2"/>
    <w:basedOn w:val="95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2" w:customStyle="1">
    <w:name w:val="List Table 2 - Accent 3"/>
    <w:basedOn w:val="95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3" w:customStyle="1">
    <w:name w:val="List Table 2 - Accent 4"/>
    <w:basedOn w:val="95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4" w:customStyle="1">
    <w:name w:val="List Table 2 - Accent 5"/>
    <w:basedOn w:val="95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5" w:customStyle="1">
    <w:name w:val="List Table 2 - Accent 6"/>
    <w:basedOn w:val="95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6" w:customStyle="1">
    <w:name w:val="List Table 3"/>
    <w:basedOn w:val="9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3 - Accent 1"/>
    <w:basedOn w:val="95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8" w:customStyle="1">
    <w:name w:val="List Table 3 - Accent 2"/>
    <w:basedOn w:val="9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9" w:customStyle="1">
    <w:name w:val="List Table 3 - Accent 3"/>
    <w:basedOn w:val="95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0" w:customStyle="1">
    <w:name w:val="List Table 3 - Accent 4"/>
    <w:basedOn w:val="9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1" w:customStyle="1">
    <w:name w:val="List Table 3 - Accent 5"/>
    <w:basedOn w:val="95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2" w:customStyle="1">
    <w:name w:val="List Table 3 - Accent 6"/>
    <w:basedOn w:val="95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3" w:customStyle="1">
    <w:name w:val="List Table 4"/>
    <w:basedOn w:val="9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4" w:customStyle="1">
    <w:name w:val="List Table 4 - Accent 1"/>
    <w:basedOn w:val="95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5" w:customStyle="1">
    <w:name w:val="List Table 4 - Accent 2"/>
    <w:basedOn w:val="95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6" w:customStyle="1">
    <w:name w:val="List Table 4 - Accent 3"/>
    <w:basedOn w:val="95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7" w:customStyle="1">
    <w:name w:val="List Table 4 - Accent 4"/>
    <w:basedOn w:val="95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8" w:customStyle="1">
    <w:name w:val="List Table 4 - Accent 5"/>
    <w:basedOn w:val="95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9" w:customStyle="1">
    <w:name w:val="List Table 4 - Accent 6"/>
    <w:basedOn w:val="95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0" w:customStyle="1">
    <w:name w:val="List Table 5 Dark"/>
    <w:basedOn w:val="9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1"/>
    <w:basedOn w:val="95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2"/>
    <w:basedOn w:val="95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3"/>
    <w:basedOn w:val="95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4"/>
    <w:basedOn w:val="95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5"/>
    <w:basedOn w:val="95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6"/>
    <w:basedOn w:val="95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6 Colorful"/>
    <w:basedOn w:val="9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8" w:customStyle="1">
    <w:name w:val="List Table 6 Colorful - Accent 1"/>
    <w:basedOn w:val="95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9" w:customStyle="1">
    <w:name w:val="List Table 6 Colorful - Accent 2"/>
    <w:basedOn w:val="95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0" w:customStyle="1">
    <w:name w:val="List Table 6 Colorful - Accent 3"/>
    <w:basedOn w:val="95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1" w:customStyle="1">
    <w:name w:val="List Table 6 Colorful - Accent 4"/>
    <w:basedOn w:val="95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2" w:customStyle="1">
    <w:name w:val="List Table 6 Colorful - Accent 5"/>
    <w:basedOn w:val="95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3" w:customStyle="1">
    <w:name w:val="List Table 6 Colorful - Accent 6"/>
    <w:basedOn w:val="95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4" w:customStyle="1">
    <w:name w:val="List Table 7 Colorful"/>
    <w:basedOn w:val="9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5" w:customStyle="1">
    <w:name w:val="List Table 7 Colorful - Accent 1"/>
    <w:basedOn w:val="95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6" w:customStyle="1">
    <w:name w:val="List Table 7 Colorful - Accent 2"/>
    <w:basedOn w:val="95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7" w:customStyle="1">
    <w:name w:val="List Table 7 Colorful - Accent 3"/>
    <w:basedOn w:val="95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8" w:customStyle="1">
    <w:name w:val="List Table 7 Colorful - Accent 4"/>
    <w:basedOn w:val="95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9" w:customStyle="1">
    <w:name w:val="List Table 7 Colorful - Accent 5"/>
    <w:basedOn w:val="95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0" w:customStyle="1">
    <w:name w:val="List Table 7 Colorful - Accent 6"/>
    <w:basedOn w:val="95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1" w:customStyle="1">
    <w:name w:val="Lined - Accent"/>
    <w:basedOn w:val="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Lined - Accent 1"/>
    <w:basedOn w:val="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3" w:customStyle="1">
    <w:name w:val="Lined - Accent 2"/>
    <w:basedOn w:val="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4" w:customStyle="1">
    <w:name w:val="Lined - Accent 3"/>
    <w:basedOn w:val="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5" w:customStyle="1">
    <w:name w:val="Lined - Accent 4"/>
    <w:basedOn w:val="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6" w:customStyle="1">
    <w:name w:val="Lined - Accent 5"/>
    <w:basedOn w:val="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7" w:customStyle="1">
    <w:name w:val="Lined - Accent 6"/>
    <w:basedOn w:val="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8" w:customStyle="1">
    <w:name w:val="Bordered &amp; Lined - Accent"/>
    <w:basedOn w:val="9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9" w:customStyle="1">
    <w:name w:val="Bordered &amp; Lined - Accent 1"/>
    <w:basedOn w:val="95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0" w:customStyle="1">
    <w:name w:val="Bordered &amp; Lined - Accent 2"/>
    <w:basedOn w:val="95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1" w:customStyle="1">
    <w:name w:val="Bordered &amp; Lined - Accent 3"/>
    <w:basedOn w:val="95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2" w:customStyle="1">
    <w:name w:val="Bordered &amp; Lined - Accent 4"/>
    <w:basedOn w:val="95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3" w:customStyle="1">
    <w:name w:val="Bordered &amp; Lined - Accent 5"/>
    <w:basedOn w:val="95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4" w:customStyle="1">
    <w:name w:val="Bordered &amp; Lined - Accent 6"/>
    <w:basedOn w:val="95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5" w:customStyle="1">
    <w:name w:val="Bordered"/>
    <w:basedOn w:val="9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6" w:customStyle="1">
    <w:name w:val="Bordered - Accent 1"/>
    <w:basedOn w:val="9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7" w:customStyle="1">
    <w:name w:val="Bordered - Accent 2"/>
    <w:basedOn w:val="9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8" w:customStyle="1">
    <w:name w:val="Bordered - Accent 3"/>
    <w:basedOn w:val="9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9" w:customStyle="1">
    <w:name w:val="Bordered - Accent 4"/>
    <w:basedOn w:val="9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0" w:customStyle="1">
    <w:name w:val="Bordered - Accent 5"/>
    <w:basedOn w:val="9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1" w:customStyle="1">
    <w:name w:val="Bordered - Accent 6"/>
    <w:basedOn w:val="9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2" w:customStyle="1">
    <w:name w:val="Footnote Text Char"/>
    <w:link w:val="968"/>
    <w:uiPriority w:val="99"/>
    <w:qFormat/>
    <w:rPr>
      <w:sz w:val="18"/>
    </w:rPr>
  </w:style>
  <w:style w:type="character" w:styleId="1143" w:customStyle="1">
    <w:name w:val="Endnote Text Char"/>
    <w:link w:val="962"/>
    <w:uiPriority w:val="99"/>
    <w:qFormat/>
    <w:rPr>
      <w:sz w:val="20"/>
    </w:rPr>
  </w:style>
  <w:style w:type="paragraph" w:styleId="1144" w:customStyle="1">
    <w:name w:val="TOC Heading"/>
    <w:uiPriority w:val="39"/>
    <w:unhideWhenUsed/>
    <w:qFormat/>
    <w:rPr>
      <w:rFonts w:hint="default" w:ascii="Times New Roman" w:hAnsi="Times New Roman" w:eastAsia="宋体" w:cs="Times New Roman"/>
    </w:rPr>
  </w:style>
  <w:style w:type="paragraph" w:styleId="1145" w:customStyle="1">
    <w:name w:val="文本块12"/>
    <w:basedOn w:val="940"/>
    <w:uiPriority w:val="99"/>
    <w:qFormat/>
    <w:pPr>
      <w:ind w:left="1440" w:right="1440"/>
      <w:spacing w:after="120"/>
    </w:pPr>
  </w:style>
  <w:style w:type="paragraph" w:styleId="1146" w:customStyle="1">
    <w:name w:val="首行缩进"/>
    <w:basedOn w:val="982"/>
    <w:next w:val="940"/>
    <w:uiPriority w:val="0"/>
    <w:qFormat/>
    <w:pPr>
      <w:ind w:firstLine="420"/>
      <w:spacing w:line="360" w:lineRule="auto"/>
    </w:pPr>
  </w:style>
  <w:style w:type="paragraph" w:styleId="1147" w:customStyle="1">
    <w:name w:val="正文文本1"/>
    <w:basedOn w:val="986"/>
    <w:next w:val="984"/>
    <w:uiPriority w:val="0"/>
    <w:qFormat/>
    <w:pPr>
      <w:spacing w:after="120"/>
    </w:pPr>
    <w:rPr>
      <w:rFonts w:ascii="Calibri" w:hAnsi="Calibri"/>
    </w:rPr>
  </w:style>
  <w:style w:type="paragraph" w:styleId="1148" w:customStyle="1">
    <w:name w:val="文本块11"/>
    <w:basedOn w:val="987"/>
    <w:uiPriority w:val="0"/>
    <w:qFormat/>
    <w:pPr>
      <w:ind w:left="256" w:right="6" w:firstLine="624"/>
    </w:pPr>
    <w:rPr>
      <w:rFonts w:ascii="Arial" w:hAnsi="Arial" w:eastAsia="仿宋"/>
      <w:sz w:val="28"/>
    </w:rPr>
  </w:style>
  <w:style w:type="character" w:styleId="1149" w:customStyle="1">
    <w:name w:val="NormalCharacter1"/>
    <w:link w:val="940"/>
    <w:uiPriority w:val="0"/>
    <w:semiHidden/>
    <w:qFormat/>
    <w:rPr>
      <w:rFonts w:hint="default" w:ascii="Calibri" w:hAnsi="Calibri" w:eastAsia="宋体" w:cs="宋体"/>
      <w:sz w:val="21"/>
      <w:szCs w:val="24"/>
      <w:lang w:val="en-US" w:eastAsia="zh-CN" w:bidi="ar-SA"/>
    </w:rPr>
  </w:style>
  <w:style w:type="paragraph" w:styleId="1150" w:customStyle="1">
    <w:name w:val="标题 21"/>
    <w:basedOn w:val="940"/>
    <w:next w:val="940"/>
    <w:uiPriority w:val="0"/>
    <w:qFormat/>
    <w:pPr>
      <w:jc w:val="left"/>
      <w:keepLines/>
      <w:keepNext/>
      <w:spacing w:before="50"/>
      <w:tabs>
        <w:tab w:val="left" w:pos="0" w:leader="none"/>
      </w:tabs>
    </w:pPr>
    <w:rPr>
      <w:rFonts w:ascii="Arial" w:hAnsi="Arial" w:eastAsia="黑体"/>
      <w:sz w:val="32"/>
      <w:szCs w:val="20"/>
    </w:rPr>
  </w:style>
  <w:style w:type="character" w:styleId="1151" w:customStyle="1">
    <w:name w:val="NormalCharacter11"/>
    <w:link w:val="940"/>
    <w:uiPriority w:val="0"/>
    <w:semiHidden/>
    <w:qFormat/>
    <w:rPr>
      <w:rFonts w:ascii="Times New Roman" w:hAnsi="Times New Roman"/>
      <w:sz w:val="21"/>
      <w:szCs w:val="24"/>
      <w:lang w:val="en-US" w:eastAsia="zh-CN" w:bidi="ar-SA"/>
    </w:rPr>
  </w:style>
  <w:style w:type="paragraph" w:styleId="1152" w:customStyle="1">
    <w:name w:val="正文缩进11"/>
    <w:basedOn w:val="940"/>
    <w:uiPriority w:val="0"/>
    <w:unhideWhenUsed/>
    <w:qFormat/>
    <w:pPr>
      <w:ind w:firstLine="420"/>
    </w:pPr>
  </w:style>
  <w:style w:type="paragraph" w:styleId="1153" w:customStyle="1">
    <w:name w:val="Table Paragraph"/>
    <w:basedOn w:val="940"/>
    <w:uiPriority w:val="1"/>
    <w:qFormat/>
    <w:rPr>
      <w:rFonts w:ascii="宋体" w:hAnsi="宋体" w:eastAsia="宋体" w:cs="宋体"/>
      <w:lang w:val="en-US" w:eastAsia="zh-CN" w:bidi="ar-SA"/>
    </w:rPr>
  </w:style>
  <w:style w:type="table" w:styleId="1154" w:customStyle="1">
    <w:name w:val="Table Normal"/>
    <w:uiPriority w:val="0"/>
    <w:qFormat/>
    <w:tblPr/>
  </w:style>
  <w:style w:type="paragraph" w:styleId="1155" w:customStyle="1">
    <w:name w:val="普通(网站)1"/>
    <w:basedOn w:val="940"/>
    <w:uiPriority w:val="99"/>
    <w:qFormat/>
    <w:pPr>
      <w:jc w:val="left"/>
      <w:spacing w:before="100" w:beforeAutospacing="1" w:after="100" w:afterAutospacing="1"/>
      <w:widowControl/>
    </w:pPr>
    <w:rPr>
      <w:rFonts w:ascii="宋体" w:hAnsi="宋体" w:eastAsia="宋体" w:cs="宋体"/>
      <w:sz w:val="24"/>
      <w:szCs w:val="24"/>
    </w:rPr>
  </w:style>
  <w:style w:type="paragraph" w:styleId="1156"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157" w:customStyle="1">
    <w:name w:val="Body text|1"/>
    <w:basedOn w:val="940"/>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58" w:customStyle="1">
    <w:name w:val="正文缩进1"/>
    <w:basedOn w:val="940"/>
    <w:uiPriority w:val="0"/>
    <w:qFormat/>
    <w:pPr>
      <w:ind w:firstLine="420"/>
    </w:pPr>
  </w:style>
  <w:style w:type="character" w:styleId="1159" w:customStyle="1">
    <w:name w:val="font71"/>
    <w:basedOn w:val="950"/>
    <w:uiPriority w:val="0"/>
    <w:qFormat/>
    <w:rPr>
      <w:rFonts w:hint="eastAsia" w:ascii="宋体" w:hAnsi="宋体" w:eastAsia="宋体" w:cs="宋体"/>
      <w:b/>
      <w:bCs/>
      <w:color w:val="000000"/>
      <w:sz w:val="24"/>
      <w:szCs w:val="24"/>
      <w:u w:val="none"/>
    </w:rPr>
  </w:style>
  <w:style w:type="character" w:styleId="1160" w:customStyle="1">
    <w:name w:val="font11"/>
    <w:basedOn w:val="950"/>
    <w:uiPriority w:val="0"/>
    <w:qFormat/>
    <w:rPr>
      <w:rFonts w:hint="eastAsia" w:ascii="宋体" w:hAnsi="宋体" w:eastAsia="宋体" w:cs="宋体"/>
      <w:color w:val="000000"/>
      <w:sz w:val="24"/>
      <w:szCs w:val="24"/>
      <w:u w:val="none"/>
    </w:rPr>
  </w:style>
  <w:style w:type="character" w:styleId="1161" w:customStyle="1">
    <w:name w:val="font91"/>
    <w:basedOn w:val="950"/>
    <w:uiPriority w:val="0"/>
    <w:qFormat/>
    <w:rPr>
      <w:rFonts w:hint="eastAsia" w:ascii="宋体" w:hAnsi="宋体" w:eastAsia="宋体" w:cs="宋体"/>
      <w:color w:val="ff0000"/>
      <w:sz w:val="24"/>
      <w:szCs w:val="24"/>
      <w:u w:val="none"/>
    </w:rPr>
  </w:style>
  <w:style w:type="character" w:styleId="1162" w:customStyle="1">
    <w:name w:val="font131"/>
    <w:basedOn w:val="950"/>
    <w:uiPriority w:val="0"/>
    <w:qFormat/>
    <w:rPr>
      <w:rFonts w:ascii="Arial" w:hAnsi="Arial" w:cs="Arial"/>
      <w:color w:val="000000"/>
      <w:sz w:val="21"/>
      <w:szCs w:val="21"/>
      <w:u w:val="single"/>
    </w:rPr>
  </w:style>
  <w:style w:type="character" w:styleId="1163" w:customStyle="1">
    <w:name w:val="font141"/>
    <w:basedOn w:val="950"/>
    <w:uiPriority w:val="0"/>
    <w:qFormat/>
    <w:rPr>
      <w:rFonts w:hint="default" w:ascii="Arial" w:hAnsi="Arial" w:cs="Arial"/>
      <w:color w:val="000000"/>
      <w:sz w:val="21"/>
      <w:szCs w:val="21"/>
      <w:u w:val="none"/>
    </w:rPr>
  </w:style>
  <w:style w:type="character" w:styleId="1164" w:customStyle="1">
    <w:name w:val="font151"/>
    <w:basedOn w:val="950"/>
    <w:uiPriority w:val="0"/>
    <w:qFormat/>
    <w:rPr>
      <w:rFonts w:hint="eastAsia" w:ascii="宋体" w:hAnsi="宋体" w:eastAsia="宋体" w:cs="宋体"/>
      <w:color w:val="000000"/>
      <w:sz w:val="24"/>
      <w:szCs w:val="24"/>
      <w:u w:val="single"/>
    </w:rPr>
  </w:style>
  <w:style w:type="character" w:styleId="1165" w:customStyle="1">
    <w:name w:val="wyg1"/>
    <w:link w:val="940"/>
    <w:uiPriority w:val="6"/>
    <w:qFormat/>
    <w:rPr>
      <w:color w:val="000000"/>
      <w:sz w:val="20"/>
      <w:szCs w:val="20"/>
      <w:u w:val="none"/>
    </w:rPr>
  </w:style>
  <w:style w:type="paragraph" w:styleId="1166" w:customStyle="1">
    <w:name w:val="列表段落"/>
    <w:basedOn w:val="940"/>
    <w:uiPriority w:val="34"/>
    <w:qFormat/>
    <w:pPr>
      <w:contextualSpacing/>
      <w:ind w:left="720"/>
    </w:pPr>
  </w:style>
  <w:style w:type="paragraph" w:styleId="1167" w:customStyle="1">
    <w:name w:val="Body text|21"/>
    <w:basedOn w:val="940"/>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68" w:customStyle="1">
    <w:name w:val="页脚1"/>
    <w:basedOn w:val="940"/>
    <w:uiPriority w:val="99"/>
    <w:qFormat/>
    <w:pPr>
      <w:jc w:val="left"/>
      <w:tabs>
        <w:tab w:val="center" w:pos="4153" w:leader="none"/>
        <w:tab w:val="right" w:pos="8306" w:leader="none"/>
      </w:tabs>
    </w:pPr>
    <w:rPr>
      <w:sz w:val="18"/>
      <w:szCs w:val="18"/>
    </w:rPr>
  </w:style>
  <w:style w:type="paragraph" w:styleId="1169" w:customStyle="1">
    <w:name w:val="BodyTextIndent1"/>
    <w:basedOn w:val="940"/>
    <w:next w:val="1170"/>
    <w:uiPriority w:val="0"/>
    <w:qFormat/>
    <w:pPr>
      <w:ind w:left="420"/>
      <w:spacing w:after="120"/>
    </w:pPr>
    <w:rPr>
      <w:rFonts w:ascii="Times New Roman" w:hAnsi="Times New Roman" w:eastAsia="宋体" w:cs="Times New Roman"/>
    </w:rPr>
  </w:style>
  <w:style w:type="paragraph" w:styleId="1170" w:customStyle="1">
    <w:name w:val="EnvelopeReturn1"/>
    <w:basedOn w:val="940"/>
    <w:uiPriority w:val="0"/>
    <w:qFormat/>
    <w:rPr>
      <w:rFonts w:ascii="Arial" w:hAnsi="Arial" w:eastAsia="宋体" w:cs="Times New Roman"/>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2.jpg"/><Relationship Id="rId22" Type="http://schemas.openxmlformats.org/officeDocument/2006/relationships/image" Target="media/image3.png"/><Relationship Id="rId2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9</cp:revision>
  <dcterms:created xsi:type="dcterms:W3CDTF">2025-04-08T00:42:00Z</dcterms:created>
  <dcterms:modified xsi:type="dcterms:W3CDTF">2026-10-13T08:03:23Z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8CCAC91794804864AD36024708B37A51_13</vt:lpwstr>
  </property>
  <property fmtid="{D5CDD505-2E9C-101B-9397-08002B2CF9AE}" pid="4" name="KSOTemplateDocerSaveRecord">
    <vt:lpwstr>eyJoZGlkIjoiNGE3NTRiNjhkNzA3NzAwMzE5Mjk4NWQ4ZGU1MjM4NDEiLCJ1c2VySWQiOiI0ODkyMzMxMDQifQ==</vt:lpwstr>
  </property>
</Properties>
</file>