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ind w:firstLine="1446"/>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jc w:val="center"/>
        <w:rPr>
          <w:rFonts w:hint="eastAsia" w:ascii="微软雅黑" w:hAnsi="微软雅黑" w:eastAsia="微软雅黑" w:cs="微软雅黑"/>
          <w:color w:val="auto"/>
          <w:highlight w:val="none"/>
        </w:rPr>
        <w:outlineLvl w:val="0"/>
      </w:pPr>
      <w:r/>
      <w:bookmarkStart w:id="0" w:name="_Toc9739"/>
      <w:r/>
      <w:bookmarkStart w:id="1" w:name="_Toc11910"/>
      <w:r/>
      <w:bookmarkStart w:id="2" w:name="_Toc24495"/>
      <w:r>
        <w:rPr>
          <w:rFonts w:hint="eastAsia" w:ascii="微软雅黑" w:hAnsi="微软雅黑" w:eastAsia="微软雅黑" w:cs="微软雅黑"/>
          <w:b/>
          <w:color w:val="auto"/>
          <w:sz w:val="72"/>
          <w:szCs w:val="72"/>
          <w:highlight w:val="none"/>
        </w:rPr>
        <w:t xml:space="preserve">公开招标文件</w:t>
      </w:r>
      <w:bookmarkEnd w:id="0"/>
      <w:r/>
      <w:bookmarkEnd w:id="1"/>
      <w:r/>
      <w:bookmarkEnd w:id="2"/>
      <w:r/>
      <w:r/>
    </w:p>
    <w:p>
      <w:pPr>
        <w:ind w:firstLine="720"/>
        <w:rPr>
          <w:rFonts w:hint="eastAsia" w:ascii="微软雅黑" w:hAnsi="微软雅黑" w:eastAsia="微软雅黑" w:cs="微软雅黑"/>
          <w:color w:val="auto"/>
          <w:sz w:val="36"/>
          <w:szCs w:val="36"/>
          <w:highlight w:val="none"/>
        </w:rPr>
      </w:pPr>
      <w:r>
        <w:rPr>
          <w:rFonts w:hint="eastAsia" w:ascii="微软雅黑" w:hAnsi="微软雅黑" w:eastAsia="微软雅黑" w:cs="微软雅黑"/>
          <w:color w:val="auto"/>
          <w:sz w:val="36"/>
          <w:szCs w:val="36"/>
          <w:highlight w:val="none"/>
        </w:rPr>
      </w:r>
      <w:r/>
    </w:p>
    <w:p>
      <w:pPr>
        <w:ind w:firstLine="445"/>
        <w:jc w:val="left"/>
        <w:spacing w:line="360" w:lineRule="auto"/>
        <w:rPr>
          <w:rFonts w:hint="eastAsia" w:ascii="微软雅黑" w:hAnsi="微软雅黑" w:eastAsia="微软雅黑" w:cs="微软雅黑"/>
          <w:color w:val="auto"/>
          <w:sz w:val="32"/>
          <w:szCs w:val="32"/>
          <w:highlight w:val="none"/>
          <w:lang w:val="zh-CN" w:bidi="zh-CN"/>
        </w:rPr>
      </w:pPr>
      <w:r>
        <w:rPr>
          <w:rFonts w:hint="eastAsia" w:ascii="微软雅黑" w:hAnsi="微软雅黑" w:eastAsia="微软雅黑" w:cs="微软雅黑"/>
          <w:color w:val="auto"/>
          <w:sz w:val="32"/>
          <w:szCs w:val="32"/>
          <w:highlight w:val="none"/>
          <w:lang w:val="zh-CN" w:bidi="zh-CN"/>
        </w:rPr>
        <w:t xml:space="preserve">项目编号：</w:t>
      </w:r>
      <w:r>
        <w:rPr>
          <w:rFonts w:hint="eastAsia" w:ascii="微软雅黑" w:hAnsi="微软雅黑" w:eastAsia="微软雅黑" w:cs="微软雅黑"/>
          <w:b/>
          <w:bCs/>
          <w:color w:val="auto"/>
          <w:sz w:val="32"/>
          <w:szCs w:val="32"/>
          <w:highlight w:val="none"/>
          <w:lang w:val="zh-CN" w:bidi="zh-CN"/>
        </w:rPr>
        <w:t xml:space="preserve">JSZC-320115-KXDA-G2026-0005</w:t>
      </w:r>
      <w:r/>
    </w:p>
    <w:p>
      <w:pPr>
        <w:ind w:firstLine="445"/>
        <w:jc w:val="left"/>
        <w:spacing w:line="360" w:lineRule="auto"/>
        <w:rPr>
          <w:rFonts w:hint="eastAsia" w:ascii="微软雅黑" w:hAnsi="微软雅黑" w:eastAsia="微软雅黑" w:cs="微软雅黑"/>
          <w:b/>
          <w:bCs/>
          <w:color w:val="auto"/>
          <w:sz w:val="32"/>
          <w:szCs w:val="32"/>
          <w:highlight w:val="none"/>
          <w:lang w:val="zh-CN" w:bidi="zh-CN"/>
        </w:rPr>
      </w:pPr>
      <w:r>
        <w:rPr>
          <w:rFonts w:hint="eastAsia" w:ascii="微软雅黑" w:hAnsi="微软雅黑" w:eastAsia="微软雅黑" w:cs="微软雅黑"/>
          <w:color w:val="auto"/>
          <w:sz w:val="32"/>
          <w:szCs w:val="32"/>
          <w:highlight w:val="none"/>
          <w:lang w:val="zh-CN" w:bidi="zh-CN"/>
        </w:rPr>
        <w:t xml:space="preserve">项目名称：</w:t>
      </w:r>
      <w:r>
        <w:rPr>
          <w:rFonts w:hint="eastAsia" w:ascii="微软雅黑" w:hAnsi="微软雅黑" w:eastAsia="微软雅黑" w:cs="微软雅黑"/>
          <w:b/>
          <w:bCs/>
          <w:color w:val="auto"/>
          <w:sz w:val="32"/>
          <w:szCs w:val="32"/>
          <w:highlight w:val="none"/>
          <w:lang w:val="zh-CN" w:bidi="zh-CN"/>
        </w:rPr>
        <w:t xml:space="preserve">2026年江宁区东山城区园林绿化养护服务项目</w:t>
      </w:r>
      <w:r/>
    </w:p>
    <w:p>
      <w:pPr>
        <w:jc w:val="center"/>
        <w:spacing w:line="360" w:lineRule="auto"/>
        <w:rPr>
          <w:rFonts w:hint="eastAsia" w:ascii="微软雅黑" w:hAnsi="微软雅黑" w:eastAsia="微软雅黑" w:cs="微软雅黑"/>
          <w:b/>
          <w:color w:val="auto"/>
          <w:sz w:val="32"/>
          <w:szCs w:val="32"/>
          <w:highlight w:val="none"/>
          <w:lang w:eastAsia="zh-CN"/>
        </w:rPr>
      </w:pPr>
      <w:r>
        <w:rPr>
          <w:rFonts w:hint="eastAsia" w:ascii="微软雅黑" w:hAnsi="微软雅黑" w:eastAsia="微软雅黑" w:cs="微软雅黑"/>
          <w:b/>
          <w:color w:val="auto"/>
          <w:sz w:val="32"/>
          <w:szCs w:val="32"/>
          <w:highlight w:val="none"/>
        </w:rPr>
        <w:t xml:space="preserve">（非专门面向中小企业）</w:t>
      </w:r>
      <w:r/>
    </w:p>
    <w:p>
      <w:pPr>
        <w:jc w:val="center"/>
        <w:spacing w:line="360" w:lineRule="auto"/>
        <w:rPr>
          <w:rFonts w:hint="eastAsia" w:ascii="微软雅黑" w:hAnsi="微软雅黑" w:eastAsia="微软雅黑" w:cs="微软雅黑"/>
          <w:color w:val="auto"/>
          <w:sz w:val="32"/>
          <w:szCs w:val="32"/>
          <w:highlight w:val="none"/>
          <w:lang w:val="zh-CN" w:bidi="zh-CN"/>
        </w:rPr>
      </w:pPr>
      <w:r>
        <w:rPr>
          <w:rFonts w:hint="eastAsia" w:ascii="微软雅黑" w:hAnsi="微软雅黑" w:eastAsia="微软雅黑" w:cs="微软雅黑"/>
          <w:color w:val="auto"/>
          <w:sz w:val="32"/>
          <w:szCs w:val="32"/>
          <w:highlight w:val="none"/>
          <w:lang w:val="zh-CN" w:bidi="zh-CN"/>
        </w:rPr>
      </w:r>
      <w:r/>
    </w:p>
    <w:p>
      <w:pPr>
        <w:spacing w:line="360" w:lineRule="auto"/>
        <w:rPr>
          <w:rFonts w:hint="eastAsia" w:ascii="微软雅黑" w:hAnsi="微软雅黑" w:eastAsia="微软雅黑" w:cs="微软雅黑"/>
          <w:color w:val="auto"/>
          <w:sz w:val="20"/>
          <w:szCs w:val="21"/>
          <w:highlight w:val="none"/>
          <w:lang w:val="zh-CN" w:bidi="zh-CN"/>
        </w:rPr>
      </w:pPr>
      <w:r>
        <w:rPr>
          <w:rFonts w:hint="eastAsia" w:ascii="微软雅黑" w:hAnsi="微软雅黑" w:eastAsia="微软雅黑" w:cs="微软雅黑"/>
          <w:color w:val="auto"/>
          <w:sz w:val="20"/>
          <w:szCs w:val="21"/>
          <w:highlight w:val="none"/>
          <w:lang w:val="zh-CN" w:bidi="zh-CN"/>
        </w:rPr>
      </w:r>
      <w:r/>
    </w:p>
    <w:p>
      <w:pPr>
        <w:spacing w:line="360" w:lineRule="auto"/>
        <w:rPr>
          <w:rFonts w:hint="eastAsia" w:ascii="微软雅黑" w:hAnsi="微软雅黑" w:eastAsia="微软雅黑" w:cs="微软雅黑"/>
          <w:color w:val="auto"/>
          <w:sz w:val="20"/>
          <w:szCs w:val="21"/>
          <w:highlight w:val="none"/>
          <w:lang w:val="zh-CN" w:bidi="zh-CN"/>
        </w:rPr>
      </w:pPr>
      <w:r>
        <w:rPr>
          <w:rFonts w:hint="eastAsia" w:ascii="微软雅黑" w:hAnsi="微软雅黑" w:eastAsia="微软雅黑" w:cs="微软雅黑"/>
          <w:color w:val="auto"/>
          <w:sz w:val="20"/>
          <w:szCs w:val="21"/>
          <w:highlight w:val="none"/>
          <w:lang w:val="zh-CN" w:bidi="zh-CN"/>
        </w:rPr>
      </w:r>
      <w:r/>
    </w:p>
    <w:p>
      <w:pPr>
        <w:spacing w:line="360" w:lineRule="auto"/>
        <w:rPr>
          <w:rFonts w:hint="eastAsia" w:ascii="微软雅黑" w:hAnsi="微软雅黑" w:eastAsia="微软雅黑" w:cs="微软雅黑"/>
          <w:color w:val="auto"/>
          <w:sz w:val="20"/>
          <w:szCs w:val="21"/>
          <w:highlight w:val="none"/>
          <w:lang w:val="zh-CN" w:bidi="zh-CN"/>
        </w:rPr>
      </w:pPr>
      <w:r>
        <w:rPr>
          <w:rFonts w:hint="eastAsia" w:ascii="微软雅黑" w:hAnsi="微软雅黑" w:eastAsia="微软雅黑" w:cs="微软雅黑"/>
          <w:color w:val="auto"/>
          <w:sz w:val="20"/>
          <w:szCs w:val="21"/>
          <w:highlight w:val="none"/>
          <w:lang w:val="zh-CN" w:bidi="zh-CN"/>
        </w:rPr>
      </w:r>
      <w:r/>
    </w:p>
    <w:p>
      <w:pPr>
        <w:pStyle w:val="975"/>
        <w:rPr>
          <w:rFonts w:hint="eastAsia" w:ascii="微软雅黑" w:hAnsi="微软雅黑" w:eastAsia="微软雅黑" w:cs="微软雅黑"/>
          <w:color w:val="auto"/>
          <w:sz w:val="20"/>
          <w:szCs w:val="21"/>
          <w:highlight w:val="none"/>
          <w:lang w:val="zh-CN" w:bidi="zh-CN"/>
        </w:rPr>
      </w:pPr>
      <w:r>
        <w:rPr>
          <w:rFonts w:hint="eastAsia" w:ascii="微软雅黑" w:hAnsi="微软雅黑" w:eastAsia="微软雅黑" w:cs="微软雅黑"/>
          <w:color w:val="auto"/>
          <w:sz w:val="20"/>
          <w:szCs w:val="21"/>
          <w:highlight w:val="none"/>
          <w:lang w:val="zh-CN" w:bidi="zh-CN"/>
        </w:rPr>
      </w:r>
      <w:r/>
    </w:p>
    <w:p>
      <w:pPr>
        <w:rPr>
          <w:rFonts w:hint="eastAsia" w:ascii="微软雅黑" w:hAnsi="微软雅黑" w:eastAsia="微软雅黑" w:cs="微软雅黑"/>
          <w:color w:val="auto"/>
          <w:sz w:val="20"/>
          <w:szCs w:val="21"/>
          <w:highlight w:val="none"/>
          <w:lang w:val="zh-CN" w:bidi="zh-CN"/>
        </w:rPr>
      </w:pPr>
      <w:r>
        <w:rPr>
          <w:rFonts w:hint="eastAsia" w:ascii="微软雅黑" w:hAnsi="微软雅黑" w:eastAsia="微软雅黑" w:cs="微软雅黑"/>
          <w:color w:val="auto"/>
          <w:sz w:val="20"/>
          <w:szCs w:val="21"/>
          <w:highlight w:val="none"/>
          <w:lang w:val="zh-CN" w:bidi="zh-CN"/>
        </w:rPr>
      </w:r>
      <w:r/>
    </w:p>
    <w:p>
      <w:pPr>
        <w:pStyle w:val="975"/>
        <w:rPr>
          <w:rFonts w:hint="eastAsia"/>
          <w:color w:val="auto"/>
          <w:highlight w:val="none"/>
          <w:lang w:val="zh-CN"/>
        </w:rPr>
      </w:pPr>
      <w:r>
        <w:rPr>
          <w:rFonts w:hint="eastAsia"/>
          <w:color w:val="auto"/>
          <w:highlight w:val="none"/>
          <w:lang w:val="zh-CN"/>
        </w:rPr>
      </w:r>
      <w:r/>
    </w:p>
    <w:p>
      <w:pPr>
        <w:spacing w:line="360" w:lineRule="auto"/>
        <w:rPr>
          <w:rFonts w:hint="eastAsia" w:ascii="微软雅黑" w:hAnsi="微软雅黑" w:eastAsia="微软雅黑" w:cs="微软雅黑"/>
          <w:color w:val="auto"/>
          <w:sz w:val="20"/>
          <w:szCs w:val="21"/>
          <w:highlight w:val="none"/>
          <w:lang w:val="zh-CN" w:bidi="zh-CN"/>
        </w:rPr>
      </w:pPr>
      <w:r>
        <w:rPr>
          <w:rFonts w:hint="eastAsia" w:ascii="微软雅黑" w:hAnsi="微软雅黑" w:eastAsia="微软雅黑" w:cs="微软雅黑"/>
          <w:color w:val="auto"/>
          <w:sz w:val="20"/>
          <w:szCs w:val="21"/>
          <w:highlight w:val="none"/>
          <w:lang w:val="zh-CN" w:bidi="zh-CN"/>
        </w:rPr>
      </w:r>
      <w:r/>
    </w:p>
    <w:p>
      <w:pPr>
        <w:jc w:val="center"/>
        <w:spacing w:line="360" w:lineRule="auto"/>
        <w:rPr>
          <w:rFonts w:hint="eastAsia" w:ascii="微软雅黑" w:hAnsi="微软雅黑" w:eastAsia="微软雅黑" w:cs="微软雅黑"/>
          <w:b/>
          <w:bCs/>
          <w:color w:val="auto"/>
          <w:sz w:val="32"/>
          <w:szCs w:val="32"/>
          <w:highlight w:val="none"/>
          <w:lang w:val="zh-CN" w:bidi="zh-CN"/>
        </w:rPr>
        <w:outlineLvl w:val="0"/>
      </w:pPr>
      <w:r/>
      <w:bookmarkStart w:id="3" w:name="_Toc15662"/>
      <w:r/>
      <w:bookmarkStart w:id="4" w:name="_Toc4151"/>
      <w:r/>
      <w:bookmarkStart w:id="5" w:name="_Toc7553"/>
      <w:r>
        <w:rPr>
          <w:rFonts w:hint="eastAsia" w:ascii="微软雅黑" w:hAnsi="微软雅黑" w:eastAsia="微软雅黑" w:cs="微软雅黑"/>
          <w:b/>
          <w:bCs/>
          <w:color w:val="auto"/>
          <w:sz w:val="32"/>
          <w:szCs w:val="32"/>
          <w:highlight w:val="none"/>
          <w:lang w:val="zh-CN" w:bidi="zh-CN"/>
        </w:rPr>
        <w:t xml:space="preserve">南京凯信达项目管理咨询有限公司</w:t>
      </w:r>
      <w:bookmarkEnd w:id="3"/>
      <w:r/>
      <w:bookmarkEnd w:id="4"/>
      <w:r/>
      <w:bookmarkEnd w:id="5"/>
      <w:r/>
      <w:r/>
    </w:p>
    <w:p>
      <w:pPr>
        <w:jc w:val="center"/>
        <w:spacing w:line="360" w:lineRule="auto"/>
        <w:rPr>
          <w:rFonts w:hint="eastAsia" w:ascii="微软雅黑" w:hAnsi="微软雅黑" w:eastAsia="微软雅黑" w:cs="微软雅黑"/>
          <w:b/>
          <w:bCs/>
          <w:color w:val="auto"/>
          <w:sz w:val="32"/>
          <w:szCs w:val="32"/>
          <w:highlight w:val="none"/>
          <w:lang w:val="zh-CN" w:bidi="zh-CN"/>
        </w:rPr>
      </w:pPr>
      <w:r>
        <w:rPr>
          <w:rFonts w:hint="eastAsia" w:ascii="微软雅黑" w:hAnsi="微软雅黑" w:eastAsia="微软雅黑" w:cs="微软雅黑"/>
          <w:b/>
          <w:bCs/>
          <w:color w:val="auto"/>
          <w:sz w:val="32"/>
          <w:szCs w:val="32"/>
          <w:highlight w:val="none"/>
          <w:lang w:val="zh-CN" w:bidi="zh-CN"/>
        </w:rPr>
        <w:t xml:space="preserve">二〇</w:t>
      </w:r>
      <w:r>
        <w:rPr>
          <w:rFonts w:hint="eastAsia" w:ascii="微软雅黑" w:hAnsi="微软雅黑" w:eastAsia="微软雅黑" w:cs="微软雅黑"/>
          <w:b/>
          <w:bCs/>
          <w:color w:val="auto"/>
          <w:sz w:val="32"/>
          <w:szCs w:val="32"/>
          <w:highlight w:val="none"/>
          <w:lang w:bidi="zh-CN"/>
        </w:rPr>
        <w:t xml:space="preserve">二</w:t>
      </w:r>
      <w:r>
        <w:rPr>
          <w:rFonts w:hint="eastAsia" w:ascii="微软雅黑" w:hAnsi="微软雅黑" w:eastAsia="微软雅黑" w:cs="微软雅黑"/>
          <w:b/>
          <w:bCs/>
          <w:color w:val="auto"/>
          <w:sz w:val="32"/>
          <w:szCs w:val="32"/>
          <w:highlight w:val="none"/>
          <w:lang w:val="en-US" w:bidi="zh-CN"/>
        </w:rPr>
        <w:t xml:space="preserve">六</w:t>
      </w:r>
      <w:r>
        <w:rPr>
          <w:rFonts w:hint="eastAsia" w:ascii="微软雅黑" w:hAnsi="微软雅黑" w:eastAsia="微软雅黑" w:cs="微软雅黑"/>
          <w:b/>
          <w:bCs/>
          <w:color w:val="auto"/>
          <w:sz w:val="32"/>
          <w:szCs w:val="32"/>
          <w:highlight w:val="none"/>
          <w:lang w:val="zh-CN" w:bidi="zh-CN"/>
        </w:rPr>
        <w:t xml:space="preserve">年</w:t>
      </w:r>
      <w:r>
        <w:rPr>
          <w:rFonts w:hint="eastAsia" w:ascii="微软雅黑" w:hAnsi="微软雅黑" w:eastAsia="微软雅黑" w:cs="微软雅黑"/>
          <w:b/>
          <w:bCs/>
          <w:color w:val="auto"/>
          <w:sz w:val="32"/>
          <w:szCs w:val="32"/>
          <w:highlight w:val="none"/>
          <w:lang w:val="en-US" w:bidi="zh-CN"/>
        </w:rPr>
        <w:t xml:space="preserve">九</w:t>
      </w:r>
      <w:r>
        <w:rPr>
          <w:rFonts w:hint="eastAsia" w:ascii="微软雅黑" w:hAnsi="微软雅黑" w:eastAsia="微软雅黑" w:cs="微软雅黑"/>
          <w:b/>
          <w:bCs/>
          <w:color w:val="auto"/>
          <w:sz w:val="32"/>
          <w:szCs w:val="32"/>
          <w:highlight w:val="none"/>
          <w:lang w:val="zh-CN" w:bidi="zh-CN"/>
        </w:rPr>
        <w:t xml:space="preserve">月</w:t>
      </w:r>
      <w:r/>
    </w:p>
    <w:p>
      <w:pPr>
        <w:pStyle w:val="926"/>
        <w:ind w:firstLine="643"/>
        <w:rPr>
          <w:rFonts w:hint="eastAsia" w:ascii="黑体" w:hAnsi="黑体" w:eastAsia="黑体" w:cs="黑体"/>
          <w:b/>
          <w:bCs/>
          <w:color w:val="auto"/>
          <w:sz w:val="32"/>
          <w:szCs w:val="32"/>
          <w:highlight w:val="none"/>
          <w:lang w:val="zh-CN" w:bidi="zh-CN"/>
        </w:rPr>
      </w:pPr>
      <w:r>
        <w:rPr>
          <w:rFonts w:hint="eastAsia" w:ascii="黑体" w:hAnsi="黑体" w:eastAsia="黑体" w:cs="黑体"/>
          <w:b/>
          <w:bCs/>
          <w:color w:val="auto"/>
          <w:sz w:val="32"/>
          <w:szCs w:val="32"/>
          <w:highlight w:val="none"/>
          <w:lang w:val="zh-CN" w:bidi="zh-CN"/>
        </w:rPr>
      </w:r>
      <w:r/>
    </w:p>
    <w:p>
      <w:pPr>
        <w:pStyle w:val="926"/>
        <w:ind w:firstLine="643"/>
        <w:rPr>
          <w:rFonts w:hint="eastAsia" w:ascii="宋体" w:hAnsi="宋体" w:eastAsia="宋体" w:cs="宋体"/>
          <w:b/>
          <w:bCs/>
          <w:color w:val="auto"/>
          <w:sz w:val="32"/>
          <w:szCs w:val="32"/>
          <w:highlight w:val="none"/>
          <w:lang w:val="zh-CN" w:bidi="zh-CN"/>
        </w:rPr>
      </w:pPr>
      <w:r>
        <w:rPr>
          <w:rFonts w:hint="eastAsia" w:ascii="宋体" w:hAnsi="宋体" w:eastAsia="宋体" w:cs="宋体"/>
          <w:b/>
          <w:bCs/>
          <w:color w:val="auto"/>
          <w:sz w:val="32"/>
          <w:szCs w:val="32"/>
          <w:highlight w:val="none"/>
          <w:lang w:val="zh-CN" w:bidi="zh-CN"/>
        </w:rPr>
      </w:r>
      <w:r/>
    </w:p>
    <w:p>
      <w:pPr>
        <w:pStyle w:val="926"/>
        <w:ind w:firstLine="643"/>
        <w:rPr>
          <w:rFonts w:hint="eastAsia" w:ascii="宋体" w:hAnsi="宋体" w:eastAsia="宋体" w:cs="宋体"/>
          <w:b/>
          <w:bCs/>
          <w:color w:val="auto"/>
          <w:sz w:val="32"/>
          <w:szCs w:val="32"/>
          <w:highlight w:val="none"/>
          <w:lang w:val="zh-CN" w:bidi="zh-CN"/>
        </w:rPr>
      </w:pPr>
      <w:r>
        <w:rPr>
          <w:rFonts w:hint="eastAsia" w:ascii="宋体" w:hAnsi="宋体" w:eastAsia="宋体" w:cs="宋体"/>
          <w:b/>
          <w:bCs/>
          <w:color w:val="auto"/>
          <w:sz w:val="32"/>
          <w:szCs w:val="32"/>
          <w:highlight w:val="none"/>
          <w:lang w:val="zh-CN" w:bidi="zh-CN"/>
        </w:rPr>
      </w:r>
      <w:r/>
    </w:p>
    <w:p>
      <w:pPr>
        <w:pStyle w:val="926"/>
        <w:ind w:firstLine="643"/>
        <w:rPr>
          <w:rFonts w:hint="eastAsia" w:ascii="宋体" w:hAnsi="宋体" w:eastAsia="宋体" w:cs="宋体"/>
          <w:b/>
          <w:bCs/>
          <w:color w:val="auto"/>
          <w:sz w:val="32"/>
          <w:szCs w:val="32"/>
          <w:highlight w:val="none"/>
          <w:lang w:val="zh-CN" w:bidi="zh-CN"/>
        </w:rPr>
      </w:pPr>
      <w:r>
        <w:rPr>
          <w:rFonts w:hint="eastAsia" w:ascii="宋体" w:hAnsi="宋体" w:eastAsia="宋体" w:cs="宋体"/>
          <w:b/>
          <w:bCs/>
          <w:color w:val="auto"/>
          <w:sz w:val="32"/>
          <w:szCs w:val="32"/>
          <w:highlight w:val="none"/>
          <w:lang w:val="zh-CN" w:bidi="zh-CN"/>
        </w:rPr>
      </w:r>
      <w:r/>
    </w:p>
    <w:p>
      <w:pPr>
        <w:pStyle w:val="926"/>
        <w:ind w:firstLine="643"/>
        <w:rPr>
          <w:rFonts w:hint="eastAsia" w:ascii="宋体" w:hAnsi="宋体" w:eastAsia="宋体" w:cs="宋体"/>
          <w:b/>
          <w:bCs/>
          <w:color w:val="auto"/>
          <w:sz w:val="32"/>
          <w:szCs w:val="32"/>
          <w:highlight w:val="none"/>
          <w:lang w:val="zh-CN" w:bidi="zh-CN"/>
        </w:rPr>
      </w:pPr>
      <w:r>
        <w:rPr>
          <w:rFonts w:hint="eastAsia" w:ascii="宋体" w:hAnsi="宋体" w:eastAsia="宋体" w:cs="宋体"/>
          <w:b/>
          <w:bCs/>
          <w:color w:val="auto"/>
          <w:sz w:val="32"/>
          <w:szCs w:val="32"/>
          <w:highlight w:val="none"/>
          <w:lang w:val="zh-CN" w:bidi="zh-CN"/>
        </w:rPr>
      </w:r>
      <w:r/>
    </w:p>
    <w:p>
      <w:pPr>
        <w:pStyle w:val="926"/>
        <w:ind w:firstLine="643"/>
        <w:rPr>
          <w:rFonts w:hint="eastAsia" w:ascii="宋体" w:hAnsi="宋体" w:eastAsia="宋体" w:cs="宋体"/>
          <w:b/>
          <w:bCs/>
          <w:color w:val="auto"/>
          <w:sz w:val="32"/>
          <w:szCs w:val="32"/>
          <w:highlight w:val="none"/>
          <w:lang w:val="zh-CN" w:bidi="zh-CN"/>
        </w:rPr>
      </w:pPr>
      <w:r>
        <w:rPr>
          <w:rFonts w:hint="eastAsia" w:ascii="宋体" w:hAnsi="宋体" w:eastAsia="宋体" w:cs="宋体"/>
          <w:b/>
          <w:bCs/>
          <w:color w:val="auto"/>
          <w:sz w:val="32"/>
          <w:szCs w:val="32"/>
          <w:highlight w:val="none"/>
          <w:lang w:val="zh-CN" w:bidi="zh-CN"/>
        </w:rPr>
      </w:r>
      <w:r/>
    </w:p>
    <w:sdt>
      <w:sdtPr>
        <w15:appearance w15:val="boundingBox"/>
        <w15:color w:val="dbdbdb"/>
        <w:id w:val="147457298"/>
        <w:docPartObj>
          <w:docPartGallery w:val="Table of Contents"/>
          <w:docPartUnique w:val="true"/>
        </w:docPartObj>
        <w:rPr>
          <w:rFonts w:hint="default" w:ascii="微软雅黑" w:hAnsi="微软雅黑" w:eastAsia="微软雅黑" w:cs="微软雅黑"/>
          <w:b/>
          <w:bCs/>
          <w:color w:val="auto"/>
          <w:sz w:val="32"/>
          <w:szCs w:val="32"/>
          <w:highlight w:val="none"/>
          <w:lang w:val="zh-CN" w:bidi="zh-CN"/>
        </w:rPr>
      </w:sdtPr>
      <w:sdtContent>
        <w:p>
          <w:pPr>
            <w:ind w:firstLine="445"/>
            <w:jc w:val="center"/>
            <w:spacing w:line="360" w:lineRule="auto"/>
            <w:rPr>
              <w:rFonts w:hint="eastAsia" w:ascii="等线" w:hAnsi="等线" w:eastAsia="等线" w:cs="等线"/>
              <w:color w:val="auto"/>
              <w:sz w:val="21"/>
              <w:szCs w:val="21"/>
              <w:highlight w:val="none"/>
            </w:rPr>
          </w:pPr>
          <w:r>
            <w:rPr>
              <w:rFonts w:hint="eastAsia" w:ascii="微软雅黑" w:hAnsi="微软雅黑" w:eastAsia="微软雅黑" w:cs="微软雅黑"/>
              <w:b/>
              <w:bCs/>
              <w:color w:val="auto"/>
              <w:sz w:val="32"/>
              <w:szCs w:val="32"/>
              <w:highlight w:val="none"/>
              <w:lang w:val="zh-CN" w:bidi="zh-CN"/>
            </w:rPr>
            <w:t xml:space="preserve">目</w:t>
          </w:r>
          <w:r>
            <w:rPr>
              <w:rFonts w:hint="eastAsia" w:ascii="微软雅黑" w:hAnsi="微软雅黑" w:eastAsia="微软雅黑" w:cs="微软雅黑"/>
              <w:b/>
              <w:bCs/>
              <w:color w:val="auto"/>
              <w:sz w:val="32"/>
              <w:szCs w:val="32"/>
              <w:highlight w:val="none"/>
              <w:lang w:val="en-US" w:bidi="zh-CN"/>
            </w:rPr>
            <w:t xml:space="preserve"> </w:t>
          </w:r>
          <w:r>
            <w:rPr>
              <w:rFonts w:hint="eastAsia" w:ascii="微软雅黑" w:hAnsi="微软雅黑" w:eastAsia="微软雅黑" w:cs="微软雅黑"/>
              <w:b/>
              <w:bCs/>
              <w:color w:val="auto"/>
              <w:sz w:val="32"/>
              <w:szCs w:val="32"/>
              <w:highlight w:val="none"/>
              <w:lang w:val="zh-CN" w:bidi="zh-CN"/>
            </w:rPr>
            <w:t xml:space="preserve">录</w:t>
          </w:r>
          <w:r>
            <w:rPr>
              <w:rFonts w:hint="eastAsia" w:ascii="等线" w:hAnsi="等线" w:eastAsia="等线" w:cs="等线"/>
              <w:b/>
              <w:bCs/>
              <w:color w:val="auto"/>
              <w:sz w:val="21"/>
              <w:szCs w:val="21"/>
              <w:highlight w:val="none"/>
              <w:lang w:val="zh-CN" w:bidi="zh-CN"/>
            </w:rPr>
            <w:fldChar w:fldCharType="begin"/>
          </w:r>
          <w:r>
            <w:rPr>
              <w:rFonts w:hint="eastAsia" w:ascii="等线" w:hAnsi="等线" w:eastAsia="等线" w:cs="等线"/>
              <w:b/>
              <w:bCs/>
              <w:color w:val="auto"/>
              <w:sz w:val="21"/>
              <w:szCs w:val="21"/>
              <w:highlight w:val="none"/>
              <w:lang w:val="zh-CN" w:bidi="zh-CN"/>
            </w:rPr>
            <w:instrText xml:space="preserve">TOC \o "1-2" \h \u </w:instrText>
          </w:r>
          <w:r>
            <w:rPr>
              <w:rFonts w:hint="eastAsia" w:ascii="等线" w:hAnsi="等线" w:eastAsia="等线" w:cs="等线"/>
              <w:b/>
              <w:bCs/>
              <w:color w:val="auto"/>
              <w:sz w:val="21"/>
              <w:szCs w:val="21"/>
              <w:highlight w:val="none"/>
              <w:lang w:val="zh-CN" w:bidi="zh-CN"/>
            </w:rPr>
            <w:fldChar w:fldCharType="separate"/>
          </w:r>
          <w:r/>
        </w:p>
        <w:p>
          <w:pPr>
            <w:pStyle w:val="955"/>
            <w:keepLines w:val="0"/>
            <w:keepNext w:val="0"/>
            <w:pageBreakBefore w:val="0"/>
            <w:spacing w:line="360" w:lineRule="auto"/>
            <w:widowControl w:val="off"/>
            <w:tabs>
              <w:tab w:val="right" w:pos="9468" w:leader="dot"/>
            </w:tabs>
            <w:rPr>
              <w:rFonts w:hint="eastAsia" w:ascii="等线" w:hAnsi="等线" w:eastAsia="等线" w:cs="等线"/>
              <w:color w:val="auto"/>
              <w:sz w:val="21"/>
              <w:szCs w:val="21"/>
              <w:highlight w:val="none"/>
            </w:rPr>
          </w:pPr>
          <w:r>
            <w:rPr>
              <w:rFonts w:hint="eastAsia" w:ascii="等线" w:hAnsi="等线" w:eastAsia="等线" w:cs="等线"/>
              <w:bCs/>
              <w:color w:val="auto"/>
              <w:sz w:val="21"/>
              <w:szCs w:val="21"/>
              <w:highlight w:val="none"/>
              <w:lang w:val="zh-CN" w:bidi="zh-CN"/>
            </w:rPr>
            <w:fldChar w:fldCharType="begin"/>
          </w:r>
          <w:r>
            <w:rPr>
              <w:rFonts w:hint="eastAsia" w:ascii="等线" w:hAnsi="等线" w:eastAsia="等线" w:cs="等线"/>
              <w:bCs/>
              <w:color w:val="auto"/>
              <w:sz w:val="21"/>
              <w:szCs w:val="21"/>
              <w:highlight w:val="none"/>
              <w:lang w:val="zh-CN" w:bidi="zh-CN"/>
            </w:rPr>
            <w:instrText xml:space="preserve"> HYPERLINK \l _Toc3658 </w:instrText>
          </w:r>
          <w:r>
            <w:rPr>
              <w:rFonts w:hint="eastAsia" w:ascii="等线" w:hAnsi="等线" w:eastAsia="等线" w:cs="等线"/>
              <w:bCs/>
              <w:color w:val="auto"/>
              <w:sz w:val="21"/>
              <w:szCs w:val="21"/>
              <w:highlight w:val="none"/>
              <w:lang w:val="zh-CN" w:bidi="zh-CN"/>
            </w:rPr>
            <w:fldChar w:fldCharType="separate"/>
          </w:r>
          <w:r>
            <w:rPr>
              <w:rFonts w:hint="eastAsia" w:ascii="等线" w:hAnsi="等线" w:eastAsia="等线" w:cs="等线"/>
              <w:color w:val="auto"/>
              <w:sz w:val="21"/>
              <w:szCs w:val="21"/>
              <w:highlight w:val="none"/>
            </w:rPr>
            <w:t xml:space="preserve">第一章 招标公告</w:t>
          </w:r>
          <w:r>
            <w:rPr>
              <w:rFonts w:hint="eastAsia" w:ascii="等线" w:hAnsi="等线" w:eastAsia="等线" w:cs="等线"/>
              <w:color w:val="auto"/>
              <w:sz w:val="21"/>
              <w:szCs w:val="21"/>
              <w:highlight w:val="none"/>
            </w:rPr>
            <w:tab/>
          </w:r>
          <w:r>
            <w:rPr>
              <w:rFonts w:hint="eastAsia" w:ascii="等线" w:hAnsi="等线" w:eastAsia="等线" w:cs="等线"/>
              <w:color w:val="auto"/>
              <w:sz w:val="21"/>
              <w:szCs w:val="21"/>
              <w:highlight w:val="none"/>
            </w:rPr>
            <w:fldChar w:fldCharType="begin"/>
          </w:r>
          <w:r>
            <w:rPr>
              <w:rFonts w:hint="eastAsia" w:ascii="等线" w:hAnsi="等线" w:eastAsia="等线" w:cs="等线"/>
              <w:color w:val="auto"/>
              <w:sz w:val="21"/>
              <w:szCs w:val="21"/>
              <w:highlight w:val="none"/>
            </w:rPr>
            <w:instrText xml:space="preserve"> PAGEREF _Toc3658 \h </w:instrText>
          </w:r>
          <w:r>
            <w:rPr>
              <w:rFonts w:hint="eastAsia" w:ascii="等线" w:hAnsi="等线" w:eastAsia="等线" w:cs="等线"/>
              <w:color w:val="auto"/>
              <w:sz w:val="21"/>
              <w:szCs w:val="21"/>
              <w:highlight w:val="none"/>
            </w:rPr>
            <w:fldChar w:fldCharType="separate"/>
          </w:r>
          <w:r>
            <w:rPr>
              <w:rFonts w:hint="eastAsia" w:ascii="等线" w:hAnsi="等线" w:eastAsia="等线" w:cs="等线"/>
              <w:color w:val="auto"/>
              <w:sz w:val="21"/>
              <w:szCs w:val="21"/>
              <w:highlight w:val="none"/>
            </w:rPr>
            <w:t xml:space="preserve">3</w:t>
          </w:r>
          <w:r>
            <w:rPr>
              <w:rFonts w:hint="eastAsia" w:ascii="等线" w:hAnsi="等线" w:eastAsia="等线" w:cs="等线"/>
              <w:color w:val="auto"/>
              <w:sz w:val="21"/>
              <w:szCs w:val="21"/>
              <w:highlight w:val="none"/>
            </w:rPr>
            <w:fldChar w:fldCharType="end"/>
          </w:r>
          <w:r>
            <w:rPr>
              <w:rFonts w:hint="eastAsia" w:ascii="等线" w:hAnsi="等线" w:eastAsia="等线" w:cs="等线"/>
              <w:bCs/>
              <w:color w:val="auto"/>
              <w:sz w:val="21"/>
              <w:szCs w:val="21"/>
              <w:highlight w:val="none"/>
              <w:lang w:val="zh-CN" w:bidi="zh-CN"/>
            </w:rPr>
            <w:fldChar w:fldCharType="end"/>
          </w:r>
          <w:r/>
        </w:p>
        <w:p>
          <w:pPr>
            <w:pStyle w:val="966"/>
            <w:keepLines w:val="0"/>
            <w:keepNext w:val="0"/>
            <w:pageBreakBefore w:val="0"/>
            <w:spacing w:line="360" w:lineRule="auto"/>
            <w:widowControl w:val="off"/>
            <w:tabs>
              <w:tab w:val="right" w:pos="9468" w:leader="dot"/>
            </w:tabs>
            <w:rPr>
              <w:rFonts w:hint="eastAsia" w:ascii="等线" w:hAnsi="等线" w:eastAsia="等线" w:cs="等线"/>
              <w:color w:val="auto"/>
              <w:sz w:val="21"/>
              <w:szCs w:val="21"/>
              <w:highlight w:val="none"/>
            </w:rPr>
          </w:pPr>
          <w:r>
            <w:rPr>
              <w:rFonts w:hint="eastAsia" w:ascii="等线" w:hAnsi="等线" w:eastAsia="等线" w:cs="等线"/>
              <w:bCs/>
              <w:color w:val="auto"/>
              <w:sz w:val="21"/>
              <w:szCs w:val="21"/>
              <w:highlight w:val="none"/>
              <w:lang w:val="zh-CN" w:bidi="zh-CN"/>
            </w:rPr>
            <w:fldChar w:fldCharType="begin"/>
          </w:r>
          <w:r>
            <w:rPr>
              <w:rFonts w:hint="eastAsia" w:ascii="等线" w:hAnsi="等线" w:eastAsia="等线" w:cs="等线"/>
              <w:bCs/>
              <w:color w:val="auto"/>
              <w:sz w:val="21"/>
              <w:szCs w:val="21"/>
              <w:highlight w:val="none"/>
              <w:lang w:val="zh-CN" w:bidi="zh-CN"/>
            </w:rPr>
            <w:instrText xml:space="preserve"> HYPERLINK \l _Toc18382 </w:instrText>
          </w:r>
          <w:r>
            <w:rPr>
              <w:rFonts w:hint="eastAsia" w:ascii="等线" w:hAnsi="等线" w:eastAsia="等线" w:cs="等线"/>
              <w:bCs/>
              <w:color w:val="auto"/>
              <w:sz w:val="21"/>
              <w:szCs w:val="21"/>
              <w:highlight w:val="none"/>
              <w:lang w:val="zh-CN" w:bidi="zh-CN"/>
            </w:rPr>
            <w:fldChar w:fldCharType="separate"/>
          </w:r>
          <w:r>
            <w:rPr>
              <w:rFonts w:hint="eastAsia" w:ascii="等线" w:hAnsi="等线" w:eastAsia="等线" w:cs="等线"/>
              <w:bCs/>
              <w:color w:val="auto"/>
              <w:sz w:val="21"/>
              <w:szCs w:val="21"/>
              <w:highlight w:val="none"/>
            </w:rPr>
            <w:t xml:space="preserve">一、项目基本情况</w:t>
          </w:r>
          <w:r>
            <w:rPr>
              <w:rFonts w:hint="eastAsia" w:ascii="等线" w:hAnsi="等线" w:eastAsia="等线" w:cs="等线"/>
              <w:color w:val="auto"/>
              <w:sz w:val="21"/>
              <w:szCs w:val="21"/>
              <w:highlight w:val="none"/>
            </w:rPr>
            <w:tab/>
          </w:r>
          <w:r>
            <w:rPr>
              <w:rFonts w:hint="eastAsia" w:ascii="等线" w:hAnsi="等线" w:eastAsia="等线" w:cs="等线"/>
              <w:color w:val="auto"/>
              <w:sz w:val="21"/>
              <w:szCs w:val="21"/>
              <w:highlight w:val="none"/>
            </w:rPr>
            <w:fldChar w:fldCharType="begin"/>
          </w:r>
          <w:r>
            <w:rPr>
              <w:rFonts w:hint="eastAsia" w:ascii="等线" w:hAnsi="等线" w:eastAsia="等线" w:cs="等线"/>
              <w:color w:val="auto"/>
              <w:sz w:val="21"/>
              <w:szCs w:val="21"/>
              <w:highlight w:val="none"/>
            </w:rPr>
            <w:instrText xml:space="preserve"> PAGEREF _Toc18382 \h </w:instrText>
          </w:r>
          <w:r>
            <w:rPr>
              <w:rFonts w:hint="eastAsia" w:ascii="等线" w:hAnsi="等线" w:eastAsia="等线" w:cs="等线"/>
              <w:color w:val="auto"/>
              <w:sz w:val="21"/>
              <w:szCs w:val="21"/>
              <w:highlight w:val="none"/>
            </w:rPr>
            <w:fldChar w:fldCharType="separate"/>
          </w:r>
          <w:r>
            <w:rPr>
              <w:rFonts w:hint="eastAsia" w:ascii="等线" w:hAnsi="等线" w:eastAsia="等线" w:cs="等线"/>
              <w:color w:val="auto"/>
              <w:sz w:val="21"/>
              <w:szCs w:val="21"/>
              <w:highlight w:val="none"/>
            </w:rPr>
            <w:t xml:space="preserve">3</w:t>
          </w:r>
          <w:r>
            <w:rPr>
              <w:rFonts w:hint="eastAsia" w:ascii="等线" w:hAnsi="等线" w:eastAsia="等线" w:cs="等线"/>
              <w:color w:val="auto"/>
              <w:sz w:val="21"/>
              <w:szCs w:val="21"/>
              <w:highlight w:val="none"/>
            </w:rPr>
            <w:fldChar w:fldCharType="end"/>
          </w:r>
          <w:r>
            <w:rPr>
              <w:rFonts w:hint="eastAsia" w:ascii="等线" w:hAnsi="等线" w:eastAsia="等线" w:cs="等线"/>
              <w:bCs/>
              <w:color w:val="auto"/>
              <w:sz w:val="21"/>
              <w:szCs w:val="21"/>
              <w:highlight w:val="none"/>
              <w:lang w:val="zh-CN" w:bidi="zh-CN"/>
            </w:rPr>
            <w:fldChar w:fldCharType="end"/>
          </w:r>
          <w:r/>
        </w:p>
        <w:p>
          <w:pPr>
            <w:pStyle w:val="966"/>
            <w:keepLines w:val="0"/>
            <w:keepNext w:val="0"/>
            <w:pageBreakBefore w:val="0"/>
            <w:spacing w:line="360" w:lineRule="auto"/>
            <w:widowControl w:val="off"/>
            <w:tabs>
              <w:tab w:val="right" w:pos="9468" w:leader="dot"/>
            </w:tabs>
            <w:rPr>
              <w:rFonts w:hint="eastAsia" w:ascii="等线" w:hAnsi="等线" w:eastAsia="等线" w:cs="等线"/>
              <w:color w:val="auto"/>
              <w:sz w:val="21"/>
              <w:szCs w:val="21"/>
              <w:highlight w:val="none"/>
            </w:rPr>
          </w:pPr>
          <w:r>
            <w:rPr>
              <w:rFonts w:hint="eastAsia" w:ascii="等线" w:hAnsi="等线" w:eastAsia="等线" w:cs="等线"/>
              <w:bCs/>
              <w:color w:val="auto"/>
              <w:sz w:val="21"/>
              <w:szCs w:val="21"/>
              <w:highlight w:val="none"/>
              <w:lang w:val="zh-CN" w:bidi="zh-CN"/>
            </w:rPr>
            <w:fldChar w:fldCharType="begin"/>
          </w:r>
          <w:r>
            <w:rPr>
              <w:rFonts w:hint="eastAsia" w:ascii="等线" w:hAnsi="等线" w:eastAsia="等线" w:cs="等线"/>
              <w:bCs/>
              <w:color w:val="auto"/>
              <w:sz w:val="21"/>
              <w:szCs w:val="21"/>
              <w:highlight w:val="none"/>
              <w:lang w:val="zh-CN" w:bidi="zh-CN"/>
            </w:rPr>
            <w:instrText xml:space="preserve"> HYPERLINK \l _Toc26740 </w:instrText>
          </w:r>
          <w:r>
            <w:rPr>
              <w:rFonts w:hint="eastAsia" w:ascii="等线" w:hAnsi="等线" w:eastAsia="等线" w:cs="等线"/>
              <w:bCs/>
              <w:color w:val="auto"/>
              <w:sz w:val="21"/>
              <w:szCs w:val="21"/>
              <w:highlight w:val="none"/>
              <w:lang w:val="zh-CN" w:bidi="zh-CN"/>
            </w:rPr>
            <w:fldChar w:fldCharType="separate"/>
          </w:r>
          <w:r>
            <w:rPr>
              <w:rFonts w:hint="eastAsia" w:ascii="等线" w:hAnsi="等线" w:eastAsia="等线" w:cs="等线"/>
              <w:color w:val="auto"/>
              <w:sz w:val="21"/>
              <w:szCs w:val="21"/>
              <w:highlight w:val="none"/>
            </w:rPr>
            <w:t xml:space="preserve">二、申请人资格条件</w:t>
          </w:r>
          <w:r>
            <w:rPr>
              <w:rFonts w:hint="eastAsia" w:ascii="等线" w:hAnsi="等线" w:eastAsia="等线" w:cs="等线"/>
              <w:color w:val="auto"/>
              <w:sz w:val="21"/>
              <w:szCs w:val="21"/>
              <w:highlight w:val="none"/>
            </w:rPr>
            <w:tab/>
          </w:r>
          <w:r>
            <w:rPr>
              <w:rFonts w:hint="eastAsia" w:ascii="等线" w:hAnsi="等线" w:eastAsia="等线" w:cs="等线"/>
              <w:color w:val="auto"/>
              <w:sz w:val="21"/>
              <w:szCs w:val="21"/>
              <w:highlight w:val="none"/>
            </w:rPr>
            <w:fldChar w:fldCharType="begin"/>
          </w:r>
          <w:r>
            <w:rPr>
              <w:rFonts w:hint="eastAsia" w:ascii="等线" w:hAnsi="等线" w:eastAsia="等线" w:cs="等线"/>
              <w:color w:val="auto"/>
              <w:sz w:val="21"/>
              <w:szCs w:val="21"/>
              <w:highlight w:val="none"/>
            </w:rPr>
            <w:instrText xml:space="preserve"> PAGEREF _Toc26740 \h </w:instrText>
          </w:r>
          <w:r>
            <w:rPr>
              <w:rFonts w:hint="eastAsia" w:ascii="等线" w:hAnsi="等线" w:eastAsia="等线" w:cs="等线"/>
              <w:color w:val="auto"/>
              <w:sz w:val="21"/>
              <w:szCs w:val="21"/>
              <w:highlight w:val="none"/>
            </w:rPr>
            <w:fldChar w:fldCharType="separate"/>
          </w:r>
          <w:r>
            <w:rPr>
              <w:rFonts w:hint="eastAsia" w:ascii="等线" w:hAnsi="等线" w:eastAsia="等线" w:cs="等线"/>
              <w:color w:val="auto"/>
              <w:sz w:val="21"/>
              <w:szCs w:val="21"/>
              <w:highlight w:val="none"/>
            </w:rPr>
            <w:t xml:space="preserve">3</w:t>
          </w:r>
          <w:r>
            <w:rPr>
              <w:rFonts w:hint="eastAsia" w:ascii="等线" w:hAnsi="等线" w:eastAsia="等线" w:cs="等线"/>
              <w:color w:val="auto"/>
              <w:sz w:val="21"/>
              <w:szCs w:val="21"/>
              <w:highlight w:val="none"/>
            </w:rPr>
            <w:fldChar w:fldCharType="end"/>
          </w:r>
          <w:r>
            <w:rPr>
              <w:rFonts w:hint="eastAsia" w:ascii="等线" w:hAnsi="等线" w:eastAsia="等线" w:cs="等线"/>
              <w:bCs/>
              <w:color w:val="auto"/>
              <w:sz w:val="21"/>
              <w:szCs w:val="21"/>
              <w:highlight w:val="none"/>
              <w:lang w:val="zh-CN" w:bidi="zh-CN"/>
            </w:rPr>
            <w:fldChar w:fldCharType="end"/>
          </w:r>
          <w:r/>
        </w:p>
        <w:p>
          <w:pPr>
            <w:pStyle w:val="966"/>
            <w:keepLines w:val="0"/>
            <w:keepNext w:val="0"/>
            <w:pageBreakBefore w:val="0"/>
            <w:spacing w:line="360" w:lineRule="auto"/>
            <w:widowControl w:val="off"/>
            <w:tabs>
              <w:tab w:val="right" w:pos="9468" w:leader="dot"/>
            </w:tabs>
            <w:rPr>
              <w:rFonts w:hint="eastAsia" w:ascii="等线" w:hAnsi="等线" w:eastAsia="等线" w:cs="等线"/>
              <w:color w:val="auto"/>
              <w:sz w:val="21"/>
              <w:szCs w:val="21"/>
              <w:highlight w:val="none"/>
            </w:rPr>
          </w:pPr>
          <w:r>
            <w:rPr>
              <w:rFonts w:hint="eastAsia" w:ascii="等线" w:hAnsi="等线" w:eastAsia="等线" w:cs="等线"/>
              <w:bCs/>
              <w:color w:val="auto"/>
              <w:sz w:val="21"/>
              <w:szCs w:val="21"/>
              <w:highlight w:val="none"/>
              <w:lang w:val="zh-CN" w:bidi="zh-CN"/>
            </w:rPr>
            <w:fldChar w:fldCharType="begin"/>
          </w:r>
          <w:r>
            <w:rPr>
              <w:rFonts w:hint="eastAsia" w:ascii="等线" w:hAnsi="等线" w:eastAsia="等线" w:cs="等线"/>
              <w:bCs/>
              <w:color w:val="auto"/>
              <w:sz w:val="21"/>
              <w:szCs w:val="21"/>
              <w:highlight w:val="none"/>
              <w:lang w:val="zh-CN" w:bidi="zh-CN"/>
            </w:rPr>
            <w:instrText xml:space="preserve"> HYPERLINK \l _Toc9628 </w:instrText>
          </w:r>
          <w:r>
            <w:rPr>
              <w:rFonts w:hint="eastAsia" w:ascii="等线" w:hAnsi="等线" w:eastAsia="等线" w:cs="等线"/>
              <w:bCs/>
              <w:color w:val="auto"/>
              <w:sz w:val="21"/>
              <w:szCs w:val="21"/>
              <w:highlight w:val="none"/>
              <w:lang w:val="zh-CN" w:bidi="zh-CN"/>
            </w:rPr>
            <w:fldChar w:fldCharType="separate"/>
          </w:r>
          <w:r>
            <w:rPr>
              <w:rFonts w:hint="eastAsia" w:ascii="等线" w:hAnsi="等线" w:eastAsia="等线" w:cs="等线"/>
              <w:bCs/>
              <w:color w:val="auto"/>
              <w:sz w:val="21"/>
              <w:szCs w:val="21"/>
              <w:highlight w:val="none"/>
            </w:rPr>
            <w:t xml:space="preserve">三、</w:t>
          </w:r>
          <w:r>
            <w:rPr>
              <w:rFonts w:hint="eastAsia" w:ascii="等线" w:hAnsi="等线" w:eastAsia="等线" w:cs="等线"/>
              <w:bCs/>
              <w:color w:val="auto"/>
              <w:sz w:val="21"/>
              <w:szCs w:val="21"/>
              <w:highlight w:val="none"/>
              <w:lang w:val="zh-CN"/>
            </w:rPr>
            <w:t xml:space="preserve">获取</w:t>
          </w:r>
          <w:r>
            <w:rPr>
              <w:rFonts w:hint="eastAsia" w:ascii="等线" w:hAnsi="等线" w:eastAsia="等线" w:cs="等线"/>
              <w:bCs/>
              <w:color w:val="auto"/>
              <w:sz w:val="21"/>
              <w:szCs w:val="21"/>
              <w:highlight w:val="none"/>
            </w:rPr>
            <w:t xml:space="preserve">招标</w:t>
          </w:r>
          <w:r>
            <w:rPr>
              <w:rFonts w:hint="eastAsia" w:ascii="等线" w:hAnsi="等线" w:eastAsia="等线" w:cs="等线"/>
              <w:bCs/>
              <w:color w:val="auto"/>
              <w:sz w:val="21"/>
              <w:szCs w:val="21"/>
              <w:highlight w:val="none"/>
              <w:lang w:val="zh-CN"/>
            </w:rPr>
            <w:t xml:space="preserve">文件</w:t>
          </w:r>
          <w:r>
            <w:rPr>
              <w:rFonts w:hint="eastAsia" w:ascii="等线" w:hAnsi="等线" w:eastAsia="等线" w:cs="等线"/>
              <w:color w:val="auto"/>
              <w:sz w:val="21"/>
              <w:szCs w:val="21"/>
              <w:highlight w:val="none"/>
            </w:rPr>
            <w:tab/>
          </w:r>
          <w:r>
            <w:rPr>
              <w:rFonts w:hint="eastAsia" w:ascii="等线" w:hAnsi="等线" w:eastAsia="等线" w:cs="等线"/>
              <w:color w:val="auto"/>
              <w:sz w:val="21"/>
              <w:szCs w:val="21"/>
              <w:highlight w:val="none"/>
            </w:rPr>
            <w:fldChar w:fldCharType="begin"/>
          </w:r>
          <w:r>
            <w:rPr>
              <w:rFonts w:hint="eastAsia" w:ascii="等线" w:hAnsi="等线" w:eastAsia="等线" w:cs="等线"/>
              <w:color w:val="auto"/>
              <w:sz w:val="21"/>
              <w:szCs w:val="21"/>
              <w:highlight w:val="none"/>
            </w:rPr>
            <w:instrText xml:space="preserve"> PAGEREF _Toc9628 \h </w:instrText>
          </w:r>
          <w:r>
            <w:rPr>
              <w:rFonts w:hint="eastAsia" w:ascii="等线" w:hAnsi="等线" w:eastAsia="等线" w:cs="等线"/>
              <w:color w:val="auto"/>
              <w:sz w:val="21"/>
              <w:szCs w:val="21"/>
              <w:highlight w:val="none"/>
            </w:rPr>
            <w:fldChar w:fldCharType="separate"/>
          </w:r>
          <w:r>
            <w:rPr>
              <w:rFonts w:hint="eastAsia" w:ascii="等线" w:hAnsi="等线" w:eastAsia="等线" w:cs="等线"/>
              <w:color w:val="auto"/>
              <w:sz w:val="21"/>
              <w:szCs w:val="21"/>
              <w:highlight w:val="none"/>
            </w:rPr>
            <w:t xml:space="preserve">4</w:t>
          </w:r>
          <w:r>
            <w:rPr>
              <w:rFonts w:hint="eastAsia" w:ascii="等线" w:hAnsi="等线" w:eastAsia="等线" w:cs="等线"/>
              <w:color w:val="auto"/>
              <w:sz w:val="21"/>
              <w:szCs w:val="21"/>
              <w:highlight w:val="none"/>
            </w:rPr>
            <w:fldChar w:fldCharType="end"/>
          </w:r>
          <w:r>
            <w:rPr>
              <w:rFonts w:hint="eastAsia" w:ascii="等线" w:hAnsi="等线" w:eastAsia="等线" w:cs="等线"/>
              <w:bCs/>
              <w:color w:val="auto"/>
              <w:sz w:val="21"/>
              <w:szCs w:val="21"/>
              <w:highlight w:val="none"/>
              <w:lang w:val="zh-CN" w:bidi="zh-CN"/>
            </w:rPr>
            <w:fldChar w:fldCharType="end"/>
          </w:r>
          <w:r/>
        </w:p>
        <w:p>
          <w:pPr>
            <w:pStyle w:val="966"/>
            <w:keepLines w:val="0"/>
            <w:keepNext w:val="0"/>
            <w:pageBreakBefore w:val="0"/>
            <w:spacing w:line="360" w:lineRule="auto"/>
            <w:widowControl w:val="off"/>
            <w:tabs>
              <w:tab w:val="right" w:pos="9468" w:leader="dot"/>
            </w:tabs>
            <w:rPr>
              <w:rFonts w:hint="eastAsia" w:ascii="等线" w:hAnsi="等线" w:eastAsia="等线" w:cs="等线"/>
              <w:color w:val="auto"/>
              <w:sz w:val="21"/>
              <w:szCs w:val="21"/>
              <w:highlight w:val="none"/>
            </w:rPr>
          </w:pPr>
          <w:r>
            <w:rPr>
              <w:rFonts w:hint="eastAsia" w:ascii="等线" w:hAnsi="等线" w:eastAsia="等线" w:cs="等线"/>
              <w:bCs/>
              <w:color w:val="auto"/>
              <w:sz w:val="21"/>
              <w:szCs w:val="21"/>
              <w:highlight w:val="none"/>
              <w:lang w:val="zh-CN" w:bidi="zh-CN"/>
            </w:rPr>
            <w:fldChar w:fldCharType="begin"/>
          </w:r>
          <w:r>
            <w:rPr>
              <w:rFonts w:hint="eastAsia" w:ascii="等线" w:hAnsi="等线" w:eastAsia="等线" w:cs="等线"/>
              <w:bCs/>
              <w:color w:val="auto"/>
              <w:sz w:val="21"/>
              <w:szCs w:val="21"/>
              <w:highlight w:val="none"/>
              <w:lang w:val="zh-CN" w:bidi="zh-CN"/>
            </w:rPr>
            <w:instrText xml:space="preserve"> HYPERLINK \l _Toc15558 </w:instrText>
          </w:r>
          <w:r>
            <w:rPr>
              <w:rFonts w:hint="eastAsia" w:ascii="等线" w:hAnsi="等线" w:eastAsia="等线" w:cs="等线"/>
              <w:bCs/>
              <w:color w:val="auto"/>
              <w:sz w:val="21"/>
              <w:szCs w:val="21"/>
              <w:highlight w:val="none"/>
              <w:lang w:val="zh-CN" w:bidi="zh-CN"/>
            </w:rPr>
            <w:fldChar w:fldCharType="separate"/>
          </w:r>
          <w:r>
            <w:rPr>
              <w:rFonts w:hint="eastAsia" w:ascii="等线" w:hAnsi="等线" w:eastAsia="等线" w:cs="等线"/>
              <w:bCs/>
              <w:color w:val="auto"/>
              <w:sz w:val="21"/>
              <w:szCs w:val="21"/>
              <w:highlight w:val="none"/>
            </w:rPr>
            <w:t xml:space="preserve">四、响应文件提交</w:t>
          </w:r>
          <w:r>
            <w:rPr>
              <w:rFonts w:hint="eastAsia" w:ascii="等线" w:hAnsi="等线" w:eastAsia="等线" w:cs="等线"/>
              <w:color w:val="auto"/>
              <w:sz w:val="21"/>
              <w:szCs w:val="21"/>
              <w:highlight w:val="none"/>
            </w:rPr>
            <w:tab/>
          </w:r>
          <w:r>
            <w:rPr>
              <w:rFonts w:hint="eastAsia" w:ascii="等线" w:hAnsi="等线" w:eastAsia="等线" w:cs="等线"/>
              <w:color w:val="auto"/>
              <w:sz w:val="21"/>
              <w:szCs w:val="21"/>
              <w:highlight w:val="none"/>
            </w:rPr>
            <w:fldChar w:fldCharType="begin"/>
          </w:r>
          <w:r>
            <w:rPr>
              <w:rFonts w:hint="eastAsia" w:ascii="等线" w:hAnsi="等线" w:eastAsia="等线" w:cs="等线"/>
              <w:color w:val="auto"/>
              <w:sz w:val="21"/>
              <w:szCs w:val="21"/>
              <w:highlight w:val="none"/>
            </w:rPr>
            <w:instrText xml:space="preserve"> PAGEREF _Toc15558 \h </w:instrText>
          </w:r>
          <w:r>
            <w:rPr>
              <w:rFonts w:hint="eastAsia" w:ascii="等线" w:hAnsi="等线" w:eastAsia="等线" w:cs="等线"/>
              <w:color w:val="auto"/>
              <w:sz w:val="21"/>
              <w:szCs w:val="21"/>
              <w:highlight w:val="none"/>
            </w:rPr>
            <w:fldChar w:fldCharType="separate"/>
          </w:r>
          <w:r>
            <w:rPr>
              <w:rFonts w:hint="eastAsia" w:ascii="等线" w:hAnsi="等线" w:eastAsia="等线" w:cs="等线"/>
              <w:color w:val="auto"/>
              <w:sz w:val="21"/>
              <w:szCs w:val="21"/>
              <w:highlight w:val="none"/>
            </w:rPr>
            <w:t xml:space="preserve">4</w:t>
          </w:r>
          <w:r>
            <w:rPr>
              <w:rFonts w:hint="eastAsia" w:ascii="等线" w:hAnsi="等线" w:eastAsia="等线" w:cs="等线"/>
              <w:color w:val="auto"/>
              <w:sz w:val="21"/>
              <w:szCs w:val="21"/>
              <w:highlight w:val="none"/>
            </w:rPr>
            <w:fldChar w:fldCharType="end"/>
          </w:r>
          <w:r>
            <w:rPr>
              <w:rFonts w:hint="eastAsia" w:ascii="等线" w:hAnsi="等线" w:eastAsia="等线" w:cs="等线"/>
              <w:bCs/>
              <w:color w:val="auto"/>
              <w:sz w:val="21"/>
              <w:szCs w:val="21"/>
              <w:highlight w:val="none"/>
              <w:lang w:val="zh-CN" w:bidi="zh-CN"/>
            </w:rPr>
            <w:fldChar w:fldCharType="end"/>
          </w:r>
          <w:r/>
        </w:p>
        <w:p>
          <w:pPr>
            <w:pStyle w:val="966"/>
            <w:keepLines w:val="0"/>
            <w:keepNext w:val="0"/>
            <w:pageBreakBefore w:val="0"/>
            <w:spacing w:line="360" w:lineRule="auto"/>
            <w:widowControl w:val="off"/>
            <w:tabs>
              <w:tab w:val="right" w:pos="9468" w:leader="dot"/>
            </w:tabs>
            <w:rPr>
              <w:rFonts w:hint="eastAsia" w:ascii="等线" w:hAnsi="等线" w:eastAsia="等线" w:cs="等线"/>
              <w:color w:val="auto"/>
              <w:sz w:val="21"/>
              <w:szCs w:val="21"/>
              <w:highlight w:val="none"/>
            </w:rPr>
          </w:pPr>
          <w:r>
            <w:rPr>
              <w:rFonts w:hint="eastAsia" w:ascii="等线" w:hAnsi="等线" w:eastAsia="等线" w:cs="等线"/>
              <w:bCs/>
              <w:color w:val="auto"/>
              <w:sz w:val="21"/>
              <w:szCs w:val="21"/>
              <w:highlight w:val="none"/>
              <w:lang w:val="zh-CN" w:bidi="zh-CN"/>
            </w:rPr>
            <w:fldChar w:fldCharType="begin"/>
          </w:r>
          <w:r>
            <w:rPr>
              <w:rFonts w:hint="eastAsia" w:ascii="等线" w:hAnsi="等线" w:eastAsia="等线" w:cs="等线"/>
              <w:bCs/>
              <w:color w:val="auto"/>
              <w:sz w:val="21"/>
              <w:szCs w:val="21"/>
              <w:highlight w:val="none"/>
              <w:lang w:val="zh-CN" w:bidi="zh-CN"/>
            </w:rPr>
            <w:instrText xml:space="preserve"> HYPERLINK \l _Toc18324 </w:instrText>
          </w:r>
          <w:r>
            <w:rPr>
              <w:rFonts w:hint="eastAsia" w:ascii="等线" w:hAnsi="等线" w:eastAsia="等线" w:cs="等线"/>
              <w:bCs/>
              <w:color w:val="auto"/>
              <w:sz w:val="21"/>
              <w:szCs w:val="21"/>
              <w:highlight w:val="none"/>
              <w:lang w:val="zh-CN" w:bidi="zh-CN"/>
            </w:rPr>
            <w:fldChar w:fldCharType="separate"/>
          </w:r>
          <w:r>
            <w:rPr>
              <w:rFonts w:hint="eastAsia" w:ascii="等线" w:hAnsi="等线" w:eastAsia="等线" w:cs="等线"/>
              <w:bCs/>
              <w:color w:val="auto"/>
              <w:sz w:val="21"/>
              <w:szCs w:val="21"/>
              <w:highlight w:val="none"/>
            </w:rPr>
            <w:t xml:space="preserve">五、公告期限</w:t>
          </w:r>
          <w:r>
            <w:rPr>
              <w:rFonts w:hint="eastAsia" w:ascii="等线" w:hAnsi="等线" w:eastAsia="等线" w:cs="等线"/>
              <w:color w:val="auto"/>
              <w:sz w:val="21"/>
              <w:szCs w:val="21"/>
              <w:highlight w:val="none"/>
            </w:rPr>
            <w:tab/>
          </w:r>
          <w:r>
            <w:rPr>
              <w:rFonts w:hint="eastAsia" w:ascii="等线" w:hAnsi="等线" w:eastAsia="等线" w:cs="等线"/>
              <w:color w:val="auto"/>
              <w:sz w:val="21"/>
              <w:szCs w:val="21"/>
              <w:highlight w:val="none"/>
            </w:rPr>
            <w:fldChar w:fldCharType="begin"/>
          </w:r>
          <w:r>
            <w:rPr>
              <w:rFonts w:hint="eastAsia" w:ascii="等线" w:hAnsi="等线" w:eastAsia="等线" w:cs="等线"/>
              <w:color w:val="auto"/>
              <w:sz w:val="21"/>
              <w:szCs w:val="21"/>
              <w:highlight w:val="none"/>
            </w:rPr>
            <w:instrText xml:space="preserve"> PAGEREF _Toc18324 \h </w:instrText>
          </w:r>
          <w:r>
            <w:rPr>
              <w:rFonts w:hint="eastAsia" w:ascii="等线" w:hAnsi="等线" w:eastAsia="等线" w:cs="等线"/>
              <w:color w:val="auto"/>
              <w:sz w:val="21"/>
              <w:szCs w:val="21"/>
              <w:highlight w:val="none"/>
            </w:rPr>
            <w:fldChar w:fldCharType="separate"/>
          </w:r>
          <w:r>
            <w:rPr>
              <w:rFonts w:hint="eastAsia" w:ascii="等线" w:hAnsi="等线" w:eastAsia="等线" w:cs="等线"/>
              <w:color w:val="auto"/>
              <w:sz w:val="21"/>
              <w:szCs w:val="21"/>
              <w:highlight w:val="none"/>
            </w:rPr>
            <w:t xml:space="preserve">4</w:t>
          </w:r>
          <w:r>
            <w:rPr>
              <w:rFonts w:hint="eastAsia" w:ascii="等线" w:hAnsi="等线" w:eastAsia="等线" w:cs="等线"/>
              <w:color w:val="auto"/>
              <w:sz w:val="21"/>
              <w:szCs w:val="21"/>
              <w:highlight w:val="none"/>
            </w:rPr>
            <w:fldChar w:fldCharType="end"/>
          </w:r>
          <w:r>
            <w:rPr>
              <w:rFonts w:hint="eastAsia" w:ascii="等线" w:hAnsi="等线" w:eastAsia="等线" w:cs="等线"/>
              <w:bCs/>
              <w:color w:val="auto"/>
              <w:sz w:val="21"/>
              <w:szCs w:val="21"/>
              <w:highlight w:val="none"/>
              <w:lang w:val="zh-CN" w:bidi="zh-CN"/>
            </w:rPr>
            <w:fldChar w:fldCharType="end"/>
          </w:r>
          <w:r/>
        </w:p>
        <w:p>
          <w:pPr>
            <w:pStyle w:val="966"/>
            <w:keepLines w:val="0"/>
            <w:keepNext w:val="0"/>
            <w:pageBreakBefore w:val="0"/>
            <w:spacing w:line="360" w:lineRule="auto"/>
            <w:widowControl w:val="off"/>
            <w:tabs>
              <w:tab w:val="right" w:pos="9468" w:leader="dot"/>
            </w:tabs>
            <w:rPr>
              <w:rFonts w:hint="eastAsia" w:ascii="等线" w:hAnsi="等线" w:eastAsia="等线" w:cs="等线"/>
              <w:color w:val="auto"/>
              <w:sz w:val="21"/>
              <w:szCs w:val="21"/>
              <w:highlight w:val="none"/>
            </w:rPr>
          </w:pPr>
          <w:r>
            <w:rPr>
              <w:rFonts w:hint="eastAsia" w:ascii="等线" w:hAnsi="等线" w:eastAsia="等线" w:cs="等线"/>
              <w:bCs/>
              <w:color w:val="auto"/>
              <w:sz w:val="21"/>
              <w:szCs w:val="21"/>
              <w:highlight w:val="none"/>
              <w:lang w:val="zh-CN" w:bidi="zh-CN"/>
            </w:rPr>
            <w:fldChar w:fldCharType="begin"/>
          </w:r>
          <w:r>
            <w:rPr>
              <w:rFonts w:hint="eastAsia" w:ascii="等线" w:hAnsi="等线" w:eastAsia="等线" w:cs="等线"/>
              <w:bCs/>
              <w:color w:val="auto"/>
              <w:sz w:val="21"/>
              <w:szCs w:val="21"/>
              <w:highlight w:val="none"/>
              <w:lang w:val="zh-CN" w:bidi="zh-CN"/>
            </w:rPr>
            <w:instrText xml:space="preserve"> HYPERLINK \l _Toc16822 </w:instrText>
          </w:r>
          <w:r>
            <w:rPr>
              <w:rFonts w:hint="eastAsia" w:ascii="等线" w:hAnsi="等线" w:eastAsia="等线" w:cs="等线"/>
              <w:bCs/>
              <w:color w:val="auto"/>
              <w:sz w:val="21"/>
              <w:szCs w:val="21"/>
              <w:highlight w:val="none"/>
              <w:lang w:val="zh-CN" w:bidi="zh-CN"/>
            </w:rPr>
            <w:fldChar w:fldCharType="separate"/>
          </w:r>
          <w:r>
            <w:rPr>
              <w:rFonts w:hint="eastAsia" w:ascii="等线" w:hAnsi="等线" w:eastAsia="等线" w:cs="等线"/>
              <w:bCs/>
              <w:color w:val="auto"/>
              <w:sz w:val="21"/>
              <w:szCs w:val="21"/>
              <w:highlight w:val="none"/>
            </w:rPr>
            <w:t xml:space="preserve">六、其他补充事宜</w:t>
          </w:r>
          <w:r>
            <w:rPr>
              <w:rFonts w:hint="eastAsia" w:ascii="等线" w:hAnsi="等线" w:eastAsia="等线" w:cs="等线"/>
              <w:color w:val="auto"/>
              <w:sz w:val="21"/>
              <w:szCs w:val="21"/>
              <w:highlight w:val="none"/>
            </w:rPr>
            <w:tab/>
          </w:r>
          <w:r>
            <w:rPr>
              <w:rFonts w:hint="eastAsia" w:ascii="等线" w:hAnsi="等线" w:eastAsia="等线" w:cs="等线"/>
              <w:color w:val="auto"/>
              <w:sz w:val="21"/>
              <w:szCs w:val="21"/>
              <w:highlight w:val="none"/>
            </w:rPr>
            <w:fldChar w:fldCharType="begin"/>
          </w:r>
          <w:r>
            <w:rPr>
              <w:rFonts w:hint="eastAsia" w:ascii="等线" w:hAnsi="等线" w:eastAsia="等线" w:cs="等线"/>
              <w:color w:val="auto"/>
              <w:sz w:val="21"/>
              <w:szCs w:val="21"/>
              <w:highlight w:val="none"/>
            </w:rPr>
            <w:instrText xml:space="preserve"> PAGEREF _Toc16822 \h </w:instrText>
          </w:r>
          <w:r>
            <w:rPr>
              <w:rFonts w:hint="eastAsia" w:ascii="等线" w:hAnsi="等线" w:eastAsia="等线" w:cs="等线"/>
              <w:color w:val="auto"/>
              <w:sz w:val="21"/>
              <w:szCs w:val="21"/>
              <w:highlight w:val="none"/>
            </w:rPr>
            <w:fldChar w:fldCharType="separate"/>
          </w:r>
          <w:r>
            <w:rPr>
              <w:rFonts w:hint="eastAsia" w:ascii="等线" w:hAnsi="等线" w:eastAsia="等线" w:cs="等线"/>
              <w:color w:val="auto"/>
              <w:sz w:val="21"/>
              <w:szCs w:val="21"/>
              <w:highlight w:val="none"/>
            </w:rPr>
            <w:t xml:space="preserve">4</w:t>
          </w:r>
          <w:r>
            <w:rPr>
              <w:rFonts w:hint="eastAsia" w:ascii="等线" w:hAnsi="等线" w:eastAsia="等线" w:cs="等线"/>
              <w:color w:val="auto"/>
              <w:sz w:val="21"/>
              <w:szCs w:val="21"/>
              <w:highlight w:val="none"/>
            </w:rPr>
            <w:fldChar w:fldCharType="end"/>
          </w:r>
          <w:r>
            <w:rPr>
              <w:rFonts w:hint="eastAsia" w:ascii="等线" w:hAnsi="等线" w:eastAsia="等线" w:cs="等线"/>
              <w:bCs/>
              <w:color w:val="auto"/>
              <w:sz w:val="21"/>
              <w:szCs w:val="21"/>
              <w:highlight w:val="none"/>
              <w:lang w:val="zh-CN" w:bidi="zh-CN"/>
            </w:rPr>
            <w:fldChar w:fldCharType="end"/>
          </w:r>
          <w:r/>
        </w:p>
        <w:p>
          <w:pPr>
            <w:pStyle w:val="966"/>
            <w:keepLines w:val="0"/>
            <w:keepNext w:val="0"/>
            <w:pageBreakBefore w:val="0"/>
            <w:spacing w:line="360" w:lineRule="auto"/>
            <w:widowControl w:val="off"/>
            <w:tabs>
              <w:tab w:val="right" w:pos="9468" w:leader="dot"/>
            </w:tabs>
            <w:rPr>
              <w:rFonts w:hint="eastAsia" w:ascii="等线" w:hAnsi="等线" w:eastAsia="等线" w:cs="等线"/>
              <w:color w:val="auto"/>
              <w:sz w:val="21"/>
              <w:szCs w:val="21"/>
              <w:highlight w:val="none"/>
            </w:rPr>
          </w:pPr>
          <w:r>
            <w:rPr>
              <w:rFonts w:hint="eastAsia" w:ascii="等线" w:hAnsi="等线" w:eastAsia="等线" w:cs="等线"/>
              <w:bCs/>
              <w:color w:val="auto"/>
              <w:sz w:val="21"/>
              <w:szCs w:val="21"/>
              <w:highlight w:val="none"/>
              <w:lang w:val="zh-CN" w:bidi="zh-CN"/>
            </w:rPr>
            <w:fldChar w:fldCharType="begin"/>
          </w:r>
          <w:r>
            <w:rPr>
              <w:rFonts w:hint="eastAsia" w:ascii="等线" w:hAnsi="等线" w:eastAsia="等线" w:cs="等线"/>
              <w:bCs/>
              <w:color w:val="auto"/>
              <w:sz w:val="21"/>
              <w:szCs w:val="21"/>
              <w:highlight w:val="none"/>
              <w:lang w:val="zh-CN" w:bidi="zh-CN"/>
            </w:rPr>
            <w:instrText xml:space="preserve"> HYPERLINK \l _Toc8542 </w:instrText>
          </w:r>
          <w:r>
            <w:rPr>
              <w:rFonts w:hint="eastAsia" w:ascii="等线" w:hAnsi="等线" w:eastAsia="等线" w:cs="等线"/>
              <w:bCs/>
              <w:color w:val="auto"/>
              <w:sz w:val="21"/>
              <w:szCs w:val="21"/>
              <w:highlight w:val="none"/>
              <w:lang w:val="zh-CN" w:bidi="zh-CN"/>
            </w:rPr>
            <w:fldChar w:fldCharType="separate"/>
          </w:r>
          <w:r>
            <w:rPr>
              <w:rFonts w:hint="eastAsia" w:ascii="等线" w:hAnsi="等线" w:eastAsia="等线" w:cs="等线"/>
              <w:bCs/>
              <w:color w:val="auto"/>
              <w:sz w:val="21"/>
              <w:szCs w:val="21"/>
              <w:highlight w:val="none"/>
            </w:rPr>
            <w:t xml:space="preserve">七、对本次招标提出询问，请按以下方式联系</w:t>
          </w:r>
          <w:r>
            <w:rPr>
              <w:rFonts w:hint="eastAsia" w:ascii="等线" w:hAnsi="等线" w:eastAsia="等线" w:cs="等线"/>
              <w:color w:val="auto"/>
              <w:sz w:val="21"/>
              <w:szCs w:val="21"/>
              <w:highlight w:val="none"/>
            </w:rPr>
            <w:tab/>
          </w:r>
          <w:r>
            <w:rPr>
              <w:rFonts w:hint="eastAsia" w:ascii="等线" w:hAnsi="等线" w:eastAsia="等线" w:cs="等线"/>
              <w:color w:val="auto"/>
              <w:sz w:val="21"/>
              <w:szCs w:val="21"/>
              <w:highlight w:val="none"/>
            </w:rPr>
            <w:fldChar w:fldCharType="begin"/>
          </w:r>
          <w:r>
            <w:rPr>
              <w:rFonts w:hint="eastAsia" w:ascii="等线" w:hAnsi="等线" w:eastAsia="等线" w:cs="等线"/>
              <w:color w:val="auto"/>
              <w:sz w:val="21"/>
              <w:szCs w:val="21"/>
              <w:highlight w:val="none"/>
            </w:rPr>
            <w:instrText xml:space="preserve"> PAGEREF _Toc8542 \h </w:instrText>
          </w:r>
          <w:r>
            <w:rPr>
              <w:rFonts w:hint="eastAsia" w:ascii="等线" w:hAnsi="等线" w:eastAsia="等线" w:cs="等线"/>
              <w:color w:val="auto"/>
              <w:sz w:val="21"/>
              <w:szCs w:val="21"/>
              <w:highlight w:val="none"/>
            </w:rPr>
            <w:fldChar w:fldCharType="separate"/>
          </w:r>
          <w:r>
            <w:rPr>
              <w:rFonts w:hint="eastAsia" w:ascii="等线" w:hAnsi="等线" w:eastAsia="等线" w:cs="等线"/>
              <w:color w:val="auto"/>
              <w:sz w:val="21"/>
              <w:szCs w:val="21"/>
              <w:highlight w:val="none"/>
            </w:rPr>
            <w:t xml:space="preserve">5</w:t>
          </w:r>
          <w:r>
            <w:rPr>
              <w:rFonts w:hint="eastAsia" w:ascii="等线" w:hAnsi="等线" w:eastAsia="等线" w:cs="等线"/>
              <w:color w:val="auto"/>
              <w:sz w:val="21"/>
              <w:szCs w:val="21"/>
              <w:highlight w:val="none"/>
            </w:rPr>
            <w:fldChar w:fldCharType="end"/>
          </w:r>
          <w:r>
            <w:rPr>
              <w:rFonts w:hint="eastAsia" w:ascii="等线" w:hAnsi="等线" w:eastAsia="等线" w:cs="等线"/>
              <w:bCs/>
              <w:color w:val="auto"/>
              <w:sz w:val="21"/>
              <w:szCs w:val="21"/>
              <w:highlight w:val="none"/>
              <w:lang w:val="zh-CN" w:bidi="zh-CN"/>
            </w:rPr>
            <w:fldChar w:fldCharType="end"/>
          </w:r>
          <w:r/>
        </w:p>
        <w:p>
          <w:pPr>
            <w:pStyle w:val="955"/>
            <w:keepLines w:val="0"/>
            <w:keepNext w:val="0"/>
            <w:pageBreakBefore w:val="0"/>
            <w:spacing w:line="360" w:lineRule="auto"/>
            <w:widowControl w:val="off"/>
            <w:tabs>
              <w:tab w:val="right" w:pos="9468" w:leader="dot"/>
            </w:tabs>
            <w:rPr>
              <w:rFonts w:hint="eastAsia" w:ascii="等线" w:hAnsi="等线" w:eastAsia="等线" w:cs="等线"/>
              <w:color w:val="auto"/>
              <w:sz w:val="21"/>
              <w:szCs w:val="21"/>
              <w:highlight w:val="none"/>
            </w:rPr>
          </w:pPr>
          <w:r>
            <w:rPr>
              <w:rFonts w:hint="eastAsia" w:ascii="等线" w:hAnsi="等线" w:eastAsia="等线" w:cs="等线"/>
              <w:bCs/>
              <w:color w:val="auto"/>
              <w:sz w:val="21"/>
              <w:szCs w:val="21"/>
              <w:highlight w:val="none"/>
              <w:lang w:val="zh-CN" w:bidi="zh-CN"/>
            </w:rPr>
            <w:fldChar w:fldCharType="begin"/>
          </w:r>
          <w:r>
            <w:rPr>
              <w:rFonts w:hint="eastAsia" w:ascii="等线" w:hAnsi="等线" w:eastAsia="等线" w:cs="等线"/>
              <w:bCs/>
              <w:color w:val="auto"/>
              <w:sz w:val="21"/>
              <w:szCs w:val="21"/>
              <w:highlight w:val="none"/>
              <w:lang w:val="zh-CN" w:bidi="zh-CN"/>
            </w:rPr>
            <w:instrText xml:space="preserve"> HYPERLINK \l _Toc32560 </w:instrText>
          </w:r>
          <w:r>
            <w:rPr>
              <w:rFonts w:hint="eastAsia" w:ascii="等线" w:hAnsi="等线" w:eastAsia="等线" w:cs="等线"/>
              <w:bCs/>
              <w:color w:val="auto"/>
              <w:sz w:val="21"/>
              <w:szCs w:val="21"/>
              <w:highlight w:val="none"/>
              <w:lang w:val="zh-CN" w:bidi="zh-CN"/>
            </w:rPr>
            <w:fldChar w:fldCharType="separate"/>
          </w:r>
          <w:r>
            <w:rPr>
              <w:rFonts w:hint="eastAsia" w:ascii="等线" w:hAnsi="等线" w:eastAsia="等线" w:cs="等线"/>
              <w:color w:val="auto"/>
              <w:sz w:val="21"/>
              <w:szCs w:val="21"/>
              <w:highlight w:val="none"/>
            </w:rPr>
            <w:t xml:space="preserve">第二章 投标人须知</w:t>
          </w:r>
          <w:r>
            <w:rPr>
              <w:rFonts w:hint="eastAsia" w:ascii="等线" w:hAnsi="等线" w:eastAsia="等线" w:cs="等线"/>
              <w:color w:val="auto"/>
              <w:sz w:val="21"/>
              <w:szCs w:val="21"/>
              <w:highlight w:val="none"/>
            </w:rPr>
            <w:tab/>
          </w:r>
          <w:r>
            <w:rPr>
              <w:rFonts w:hint="eastAsia" w:ascii="等线" w:hAnsi="等线" w:eastAsia="等线" w:cs="等线"/>
              <w:color w:val="auto"/>
              <w:sz w:val="21"/>
              <w:szCs w:val="21"/>
              <w:highlight w:val="none"/>
            </w:rPr>
            <w:fldChar w:fldCharType="begin"/>
          </w:r>
          <w:r>
            <w:rPr>
              <w:rFonts w:hint="eastAsia" w:ascii="等线" w:hAnsi="等线" w:eastAsia="等线" w:cs="等线"/>
              <w:color w:val="auto"/>
              <w:sz w:val="21"/>
              <w:szCs w:val="21"/>
              <w:highlight w:val="none"/>
            </w:rPr>
            <w:instrText xml:space="preserve"> PAGEREF _Toc32560 \h </w:instrText>
          </w:r>
          <w:r>
            <w:rPr>
              <w:rFonts w:hint="eastAsia" w:ascii="等线" w:hAnsi="等线" w:eastAsia="等线" w:cs="等线"/>
              <w:color w:val="auto"/>
              <w:sz w:val="21"/>
              <w:szCs w:val="21"/>
              <w:highlight w:val="none"/>
            </w:rPr>
            <w:fldChar w:fldCharType="separate"/>
          </w:r>
          <w:r>
            <w:rPr>
              <w:rFonts w:hint="eastAsia" w:ascii="等线" w:hAnsi="等线" w:eastAsia="等线" w:cs="等线"/>
              <w:color w:val="auto"/>
              <w:sz w:val="21"/>
              <w:szCs w:val="21"/>
              <w:highlight w:val="none"/>
            </w:rPr>
            <w:t xml:space="preserve">6</w:t>
          </w:r>
          <w:r>
            <w:rPr>
              <w:rFonts w:hint="eastAsia" w:ascii="等线" w:hAnsi="等线" w:eastAsia="等线" w:cs="等线"/>
              <w:color w:val="auto"/>
              <w:sz w:val="21"/>
              <w:szCs w:val="21"/>
              <w:highlight w:val="none"/>
            </w:rPr>
            <w:fldChar w:fldCharType="end"/>
          </w:r>
          <w:r>
            <w:rPr>
              <w:rFonts w:hint="eastAsia" w:ascii="等线" w:hAnsi="等线" w:eastAsia="等线" w:cs="等线"/>
              <w:bCs/>
              <w:color w:val="auto"/>
              <w:sz w:val="21"/>
              <w:szCs w:val="21"/>
              <w:highlight w:val="none"/>
              <w:lang w:val="zh-CN" w:bidi="zh-CN"/>
            </w:rPr>
            <w:fldChar w:fldCharType="end"/>
          </w:r>
          <w:r/>
        </w:p>
        <w:p>
          <w:pPr>
            <w:pStyle w:val="966"/>
            <w:keepLines w:val="0"/>
            <w:keepNext w:val="0"/>
            <w:pageBreakBefore w:val="0"/>
            <w:spacing w:line="360" w:lineRule="auto"/>
            <w:widowControl w:val="off"/>
            <w:tabs>
              <w:tab w:val="right" w:pos="9468" w:leader="dot"/>
            </w:tabs>
            <w:rPr>
              <w:rFonts w:hint="eastAsia" w:ascii="等线" w:hAnsi="等线" w:eastAsia="等线" w:cs="等线"/>
              <w:color w:val="auto"/>
              <w:sz w:val="21"/>
              <w:szCs w:val="21"/>
              <w:highlight w:val="none"/>
            </w:rPr>
          </w:pPr>
          <w:r>
            <w:rPr>
              <w:rFonts w:hint="eastAsia" w:ascii="等线" w:hAnsi="等线" w:eastAsia="等线" w:cs="等线"/>
              <w:bCs/>
              <w:color w:val="auto"/>
              <w:sz w:val="21"/>
              <w:szCs w:val="21"/>
              <w:highlight w:val="none"/>
              <w:lang w:val="zh-CN" w:bidi="zh-CN"/>
            </w:rPr>
            <w:fldChar w:fldCharType="begin"/>
          </w:r>
          <w:r>
            <w:rPr>
              <w:rFonts w:hint="eastAsia" w:ascii="等线" w:hAnsi="等线" w:eastAsia="等线" w:cs="等线"/>
              <w:bCs/>
              <w:color w:val="auto"/>
              <w:sz w:val="21"/>
              <w:szCs w:val="21"/>
              <w:highlight w:val="none"/>
              <w:lang w:val="zh-CN" w:bidi="zh-CN"/>
            </w:rPr>
            <w:instrText xml:space="preserve"> HYPERLINK \l _Toc31374 </w:instrText>
          </w:r>
          <w:r>
            <w:rPr>
              <w:rFonts w:hint="eastAsia" w:ascii="等线" w:hAnsi="等线" w:eastAsia="等线" w:cs="等线"/>
              <w:bCs/>
              <w:color w:val="auto"/>
              <w:sz w:val="21"/>
              <w:szCs w:val="21"/>
              <w:highlight w:val="none"/>
              <w:lang w:val="zh-CN" w:bidi="zh-CN"/>
            </w:rPr>
            <w:fldChar w:fldCharType="separate"/>
          </w:r>
          <w:r>
            <w:rPr>
              <w:rFonts w:hint="eastAsia" w:ascii="等线" w:hAnsi="等线" w:eastAsia="等线" w:cs="等线"/>
              <w:bCs/>
              <w:color w:val="auto"/>
              <w:sz w:val="21"/>
              <w:szCs w:val="21"/>
              <w:highlight w:val="none"/>
            </w:rPr>
            <w:t xml:space="preserve">一、总则</w:t>
          </w:r>
          <w:r>
            <w:rPr>
              <w:rFonts w:hint="eastAsia" w:ascii="等线" w:hAnsi="等线" w:eastAsia="等线" w:cs="等线"/>
              <w:color w:val="auto"/>
              <w:sz w:val="21"/>
              <w:szCs w:val="21"/>
              <w:highlight w:val="none"/>
            </w:rPr>
            <w:tab/>
          </w:r>
          <w:r>
            <w:rPr>
              <w:rFonts w:hint="eastAsia" w:ascii="等线" w:hAnsi="等线" w:eastAsia="等线" w:cs="等线"/>
              <w:color w:val="auto"/>
              <w:sz w:val="21"/>
              <w:szCs w:val="21"/>
              <w:highlight w:val="none"/>
            </w:rPr>
            <w:fldChar w:fldCharType="begin"/>
          </w:r>
          <w:r>
            <w:rPr>
              <w:rFonts w:hint="eastAsia" w:ascii="等线" w:hAnsi="等线" w:eastAsia="等线" w:cs="等线"/>
              <w:color w:val="auto"/>
              <w:sz w:val="21"/>
              <w:szCs w:val="21"/>
              <w:highlight w:val="none"/>
            </w:rPr>
            <w:instrText xml:space="preserve"> PAGEREF _Toc31374 \h </w:instrText>
          </w:r>
          <w:r>
            <w:rPr>
              <w:rFonts w:hint="eastAsia" w:ascii="等线" w:hAnsi="等线" w:eastAsia="等线" w:cs="等线"/>
              <w:color w:val="auto"/>
              <w:sz w:val="21"/>
              <w:szCs w:val="21"/>
              <w:highlight w:val="none"/>
            </w:rPr>
            <w:fldChar w:fldCharType="separate"/>
          </w:r>
          <w:r>
            <w:rPr>
              <w:rFonts w:hint="eastAsia" w:ascii="等线" w:hAnsi="等线" w:eastAsia="等线" w:cs="等线"/>
              <w:color w:val="auto"/>
              <w:sz w:val="21"/>
              <w:szCs w:val="21"/>
              <w:highlight w:val="none"/>
            </w:rPr>
            <w:t xml:space="preserve">7</w:t>
          </w:r>
          <w:r>
            <w:rPr>
              <w:rFonts w:hint="eastAsia" w:ascii="等线" w:hAnsi="等线" w:eastAsia="等线" w:cs="等线"/>
              <w:color w:val="auto"/>
              <w:sz w:val="21"/>
              <w:szCs w:val="21"/>
              <w:highlight w:val="none"/>
            </w:rPr>
            <w:fldChar w:fldCharType="end"/>
          </w:r>
          <w:r>
            <w:rPr>
              <w:rFonts w:hint="eastAsia" w:ascii="等线" w:hAnsi="等线" w:eastAsia="等线" w:cs="等线"/>
              <w:bCs/>
              <w:color w:val="auto"/>
              <w:sz w:val="21"/>
              <w:szCs w:val="21"/>
              <w:highlight w:val="none"/>
              <w:lang w:val="zh-CN" w:bidi="zh-CN"/>
            </w:rPr>
            <w:fldChar w:fldCharType="end"/>
          </w:r>
          <w:r/>
        </w:p>
        <w:p>
          <w:pPr>
            <w:pStyle w:val="966"/>
            <w:keepLines w:val="0"/>
            <w:keepNext w:val="0"/>
            <w:pageBreakBefore w:val="0"/>
            <w:spacing w:line="360" w:lineRule="auto"/>
            <w:widowControl w:val="off"/>
            <w:tabs>
              <w:tab w:val="right" w:pos="9468" w:leader="dot"/>
            </w:tabs>
            <w:rPr>
              <w:rFonts w:hint="eastAsia" w:ascii="等线" w:hAnsi="等线" w:eastAsia="等线" w:cs="等线"/>
              <w:color w:val="auto"/>
              <w:sz w:val="21"/>
              <w:szCs w:val="21"/>
              <w:highlight w:val="none"/>
            </w:rPr>
          </w:pPr>
          <w:r>
            <w:rPr>
              <w:rFonts w:hint="eastAsia" w:ascii="等线" w:hAnsi="等线" w:eastAsia="等线" w:cs="等线"/>
              <w:bCs/>
              <w:color w:val="auto"/>
              <w:sz w:val="21"/>
              <w:szCs w:val="21"/>
              <w:highlight w:val="none"/>
              <w:lang w:val="zh-CN" w:bidi="zh-CN"/>
            </w:rPr>
            <w:fldChar w:fldCharType="begin"/>
          </w:r>
          <w:r>
            <w:rPr>
              <w:rFonts w:hint="eastAsia" w:ascii="等线" w:hAnsi="等线" w:eastAsia="等线" w:cs="等线"/>
              <w:bCs/>
              <w:color w:val="auto"/>
              <w:sz w:val="21"/>
              <w:szCs w:val="21"/>
              <w:highlight w:val="none"/>
              <w:lang w:val="zh-CN" w:bidi="zh-CN"/>
            </w:rPr>
            <w:instrText xml:space="preserve"> HYPERLINK \l _Toc26724 </w:instrText>
          </w:r>
          <w:r>
            <w:rPr>
              <w:rFonts w:hint="eastAsia" w:ascii="等线" w:hAnsi="等线" w:eastAsia="等线" w:cs="等线"/>
              <w:bCs/>
              <w:color w:val="auto"/>
              <w:sz w:val="21"/>
              <w:szCs w:val="21"/>
              <w:highlight w:val="none"/>
              <w:lang w:val="zh-CN" w:bidi="zh-CN"/>
            </w:rPr>
            <w:fldChar w:fldCharType="separate"/>
          </w:r>
          <w:r>
            <w:rPr>
              <w:rFonts w:hint="eastAsia" w:ascii="等线" w:hAnsi="等线" w:eastAsia="等线" w:cs="等线"/>
              <w:bCs/>
              <w:color w:val="auto"/>
              <w:sz w:val="21"/>
              <w:szCs w:val="21"/>
              <w:highlight w:val="none"/>
            </w:rPr>
            <w:t xml:space="preserve">二、招标文件构成</w:t>
          </w:r>
          <w:r>
            <w:rPr>
              <w:rFonts w:hint="eastAsia" w:ascii="等线" w:hAnsi="等线" w:eastAsia="等线" w:cs="等线"/>
              <w:color w:val="auto"/>
              <w:sz w:val="21"/>
              <w:szCs w:val="21"/>
              <w:highlight w:val="none"/>
            </w:rPr>
            <w:tab/>
          </w:r>
          <w:r>
            <w:rPr>
              <w:rFonts w:hint="eastAsia" w:ascii="等线" w:hAnsi="等线" w:eastAsia="等线" w:cs="等线"/>
              <w:color w:val="auto"/>
              <w:sz w:val="21"/>
              <w:szCs w:val="21"/>
              <w:highlight w:val="none"/>
            </w:rPr>
            <w:fldChar w:fldCharType="begin"/>
          </w:r>
          <w:r>
            <w:rPr>
              <w:rFonts w:hint="eastAsia" w:ascii="等线" w:hAnsi="等线" w:eastAsia="等线" w:cs="等线"/>
              <w:color w:val="auto"/>
              <w:sz w:val="21"/>
              <w:szCs w:val="21"/>
              <w:highlight w:val="none"/>
            </w:rPr>
            <w:instrText xml:space="preserve"> PAGEREF _Toc26724 \h </w:instrText>
          </w:r>
          <w:r>
            <w:rPr>
              <w:rFonts w:hint="eastAsia" w:ascii="等线" w:hAnsi="等线" w:eastAsia="等线" w:cs="等线"/>
              <w:color w:val="auto"/>
              <w:sz w:val="21"/>
              <w:szCs w:val="21"/>
              <w:highlight w:val="none"/>
            </w:rPr>
            <w:fldChar w:fldCharType="separate"/>
          </w:r>
          <w:r>
            <w:rPr>
              <w:rFonts w:hint="eastAsia" w:ascii="等线" w:hAnsi="等线" w:eastAsia="等线" w:cs="等线"/>
              <w:color w:val="auto"/>
              <w:sz w:val="21"/>
              <w:szCs w:val="21"/>
              <w:highlight w:val="none"/>
            </w:rPr>
            <w:t xml:space="preserve">10</w:t>
          </w:r>
          <w:r>
            <w:rPr>
              <w:rFonts w:hint="eastAsia" w:ascii="等线" w:hAnsi="等线" w:eastAsia="等线" w:cs="等线"/>
              <w:color w:val="auto"/>
              <w:sz w:val="21"/>
              <w:szCs w:val="21"/>
              <w:highlight w:val="none"/>
            </w:rPr>
            <w:fldChar w:fldCharType="end"/>
          </w:r>
          <w:r>
            <w:rPr>
              <w:rFonts w:hint="eastAsia" w:ascii="等线" w:hAnsi="等线" w:eastAsia="等线" w:cs="等线"/>
              <w:bCs/>
              <w:color w:val="auto"/>
              <w:sz w:val="21"/>
              <w:szCs w:val="21"/>
              <w:highlight w:val="none"/>
              <w:lang w:val="zh-CN" w:bidi="zh-CN"/>
            </w:rPr>
            <w:fldChar w:fldCharType="end"/>
          </w:r>
          <w:r/>
        </w:p>
        <w:p>
          <w:pPr>
            <w:pStyle w:val="966"/>
            <w:keepLines w:val="0"/>
            <w:keepNext w:val="0"/>
            <w:pageBreakBefore w:val="0"/>
            <w:spacing w:line="360" w:lineRule="auto"/>
            <w:widowControl w:val="off"/>
            <w:tabs>
              <w:tab w:val="right" w:pos="9468" w:leader="dot"/>
            </w:tabs>
            <w:rPr>
              <w:rFonts w:hint="eastAsia" w:ascii="等线" w:hAnsi="等线" w:eastAsia="等线" w:cs="等线"/>
              <w:color w:val="auto"/>
              <w:sz w:val="21"/>
              <w:szCs w:val="21"/>
              <w:highlight w:val="none"/>
            </w:rPr>
          </w:pPr>
          <w:r>
            <w:rPr>
              <w:rFonts w:hint="eastAsia" w:ascii="等线" w:hAnsi="等线" w:eastAsia="等线" w:cs="等线"/>
              <w:bCs/>
              <w:color w:val="auto"/>
              <w:sz w:val="21"/>
              <w:szCs w:val="21"/>
              <w:highlight w:val="none"/>
              <w:lang w:val="zh-CN" w:bidi="zh-CN"/>
            </w:rPr>
            <w:fldChar w:fldCharType="begin"/>
          </w:r>
          <w:r>
            <w:rPr>
              <w:rFonts w:hint="eastAsia" w:ascii="等线" w:hAnsi="等线" w:eastAsia="等线" w:cs="等线"/>
              <w:bCs/>
              <w:color w:val="auto"/>
              <w:sz w:val="21"/>
              <w:szCs w:val="21"/>
              <w:highlight w:val="none"/>
              <w:lang w:val="zh-CN" w:bidi="zh-CN"/>
            </w:rPr>
            <w:instrText xml:space="preserve"> HYPERLINK \l _Toc25535 </w:instrText>
          </w:r>
          <w:r>
            <w:rPr>
              <w:rFonts w:hint="eastAsia" w:ascii="等线" w:hAnsi="等线" w:eastAsia="等线" w:cs="等线"/>
              <w:bCs/>
              <w:color w:val="auto"/>
              <w:sz w:val="21"/>
              <w:szCs w:val="21"/>
              <w:highlight w:val="none"/>
              <w:lang w:val="zh-CN" w:bidi="zh-CN"/>
            </w:rPr>
            <w:fldChar w:fldCharType="separate"/>
          </w:r>
          <w:r>
            <w:rPr>
              <w:rFonts w:hint="eastAsia" w:ascii="等线" w:hAnsi="等线" w:eastAsia="等线" w:cs="等线"/>
              <w:bCs/>
              <w:color w:val="auto"/>
              <w:sz w:val="21"/>
              <w:szCs w:val="21"/>
              <w:highlight w:val="none"/>
            </w:rPr>
            <w:t xml:space="preserve">三、投标文件的编制</w:t>
          </w:r>
          <w:r>
            <w:rPr>
              <w:rFonts w:hint="eastAsia" w:ascii="等线" w:hAnsi="等线" w:eastAsia="等线" w:cs="等线"/>
              <w:color w:val="auto"/>
              <w:sz w:val="21"/>
              <w:szCs w:val="21"/>
              <w:highlight w:val="none"/>
            </w:rPr>
            <w:tab/>
          </w:r>
          <w:r>
            <w:rPr>
              <w:rFonts w:hint="eastAsia" w:ascii="等线" w:hAnsi="等线" w:eastAsia="等线" w:cs="等线"/>
              <w:color w:val="auto"/>
              <w:sz w:val="21"/>
              <w:szCs w:val="21"/>
              <w:highlight w:val="none"/>
            </w:rPr>
            <w:fldChar w:fldCharType="begin"/>
          </w:r>
          <w:r>
            <w:rPr>
              <w:rFonts w:hint="eastAsia" w:ascii="等线" w:hAnsi="等线" w:eastAsia="等线" w:cs="等线"/>
              <w:color w:val="auto"/>
              <w:sz w:val="21"/>
              <w:szCs w:val="21"/>
              <w:highlight w:val="none"/>
            </w:rPr>
            <w:instrText xml:space="preserve"> PAGEREF _Toc25535 \h </w:instrText>
          </w:r>
          <w:r>
            <w:rPr>
              <w:rFonts w:hint="eastAsia" w:ascii="等线" w:hAnsi="等线" w:eastAsia="等线" w:cs="等线"/>
              <w:color w:val="auto"/>
              <w:sz w:val="21"/>
              <w:szCs w:val="21"/>
              <w:highlight w:val="none"/>
            </w:rPr>
            <w:fldChar w:fldCharType="separate"/>
          </w:r>
          <w:r>
            <w:rPr>
              <w:rFonts w:hint="eastAsia" w:ascii="等线" w:hAnsi="等线" w:eastAsia="等线" w:cs="等线"/>
              <w:color w:val="auto"/>
              <w:sz w:val="21"/>
              <w:szCs w:val="21"/>
              <w:highlight w:val="none"/>
            </w:rPr>
            <w:t xml:space="preserve">11</w:t>
          </w:r>
          <w:r>
            <w:rPr>
              <w:rFonts w:hint="eastAsia" w:ascii="等线" w:hAnsi="等线" w:eastAsia="等线" w:cs="等线"/>
              <w:color w:val="auto"/>
              <w:sz w:val="21"/>
              <w:szCs w:val="21"/>
              <w:highlight w:val="none"/>
            </w:rPr>
            <w:fldChar w:fldCharType="end"/>
          </w:r>
          <w:r>
            <w:rPr>
              <w:rFonts w:hint="eastAsia" w:ascii="等线" w:hAnsi="等线" w:eastAsia="等线" w:cs="等线"/>
              <w:bCs/>
              <w:color w:val="auto"/>
              <w:sz w:val="21"/>
              <w:szCs w:val="21"/>
              <w:highlight w:val="none"/>
              <w:lang w:val="zh-CN" w:bidi="zh-CN"/>
            </w:rPr>
            <w:fldChar w:fldCharType="end"/>
          </w:r>
          <w:r/>
        </w:p>
        <w:p>
          <w:pPr>
            <w:pStyle w:val="966"/>
            <w:keepLines w:val="0"/>
            <w:keepNext w:val="0"/>
            <w:pageBreakBefore w:val="0"/>
            <w:spacing w:line="360" w:lineRule="auto"/>
            <w:widowControl w:val="off"/>
            <w:tabs>
              <w:tab w:val="right" w:pos="9468" w:leader="dot"/>
            </w:tabs>
            <w:rPr>
              <w:rFonts w:hint="eastAsia" w:ascii="等线" w:hAnsi="等线" w:eastAsia="等线" w:cs="等线"/>
              <w:color w:val="auto"/>
              <w:sz w:val="21"/>
              <w:szCs w:val="21"/>
              <w:highlight w:val="none"/>
            </w:rPr>
          </w:pPr>
          <w:r>
            <w:rPr>
              <w:rFonts w:hint="eastAsia" w:ascii="等线" w:hAnsi="等线" w:eastAsia="等线" w:cs="等线"/>
              <w:bCs/>
              <w:color w:val="auto"/>
              <w:sz w:val="21"/>
              <w:szCs w:val="21"/>
              <w:highlight w:val="none"/>
              <w:lang w:val="zh-CN" w:bidi="zh-CN"/>
            </w:rPr>
            <w:fldChar w:fldCharType="begin"/>
          </w:r>
          <w:r>
            <w:rPr>
              <w:rFonts w:hint="eastAsia" w:ascii="等线" w:hAnsi="等线" w:eastAsia="等线" w:cs="等线"/>
              <w:bCs/>
              <w:color w:val="auto"/>
              <w:sz w:val="21"/>
              <w:szCs w:val="21"/>
              <w:highlight w:val="none"/>
              <w:lang w:val="zh-CN" w:bidi="zh-CN"/>
            </w:rPr>
            <w:instrText xml:space="preserve"> HYPERLINK \l _Toc13579 </w:instrText>
          </w:r>
          <w:r>
            <w:rPr>
              <w:rFonts w:hint="eastAsia" w:ascii="等线" w:hAnsi="等线" w:eastAsia="等线" w:cs="等线"/>
              <w:bCs/>
              <w:color w:val="auto"/>
              <w:sz w:val="21"/>
              <w:szCs w:val="21"/>
              <w:highlight w:val="none"/>
              <w:lang w:val="zh-CN" w:bidi="zh-CN"/>
            </w:rPr>
            <w:fldChar w:fldCharType="separate"/>
          </w:r>
          <w:r>
            <w:rPr>
              <w:rFonts w:hint="eastAsia" w:ascii="等线" w:hAnsi="等线" w:eastAsia="等线" w:cs="等线"/>
              <w:bCs/>
              <w:color w:val="auto"/>
              <w:sz w:val="21"/>
              <w:szCs w:val="21"/>
              <w:highlight w:val="none"/>
            </w:rPr>
            <w:t xml:space="preserve">四、投标文件的递交</w:t>
          </w:r>
          <w:r>
            <w:rPr>
              <w:rFonts w:hint="eastAsia" w:ascii="等线" w:hAnsi="等线" w:eastAsia="等线" w:cs="等线"/>
              <w:color w:val="auto"/>
              <w:sz w:val="21"/>
              <w:szCs w:val="21"/>
              <w:highlight w:val="none"/>
            </w:rPr>
            <w:tab/>
          </w:r>
          <w:r>
            <w:rPr>
              <w:rFonts w:hint="eastAsia" w:ascii="等线" w:hAnsi="等线" w:eastAsia="等线" w:cs="等线"/>
              <w:color w:val="auto"/>
              <w:sz w:val="21"/>
              <w:szCs w:val="21"/>
              <w:highlight w:val="none"/>
            </w:rPr>
            <w:fldChar w:fldCharType="begin"/>
          </w:r>
          <w:r>
            <w:rPr>
              <w:rFonts w:hint="eastAsia" w:ascii="等线" w:hAnsi="等线" w:eastAsia="等线" w:cs="等线"/>
              <w:color w:val="auto"/>
              <w:sz w:val="21"/>
              <w:szCs w:val="21"/>
              <w:highlight w:val="none"/>
            </w:rPr>
            <w:instrText xml:space="preserve"> PAGEREF _Toc13579 \h </w:instrText>
          </w:r>
          <w:r>
            <w:rPr>
              <w:rFonts w:hint="eastAsia" w:ascii="等线" w:hAnsi="等线" w:eastAsia="等线" w:cs="等线"/>
              <w:color w:val="auto"/>
              <w:sz w:val="21"/>
              <w:szCs w:val="21"/>
              <w:highlight w:val="none"/>
            </w:rPr>
            <w:fldChar w:fldCharType="separate"/>
          </w:r>
          <w:r>
            <w:rPr>
              <w:rFonts w:hint="eastAsia" w:ascii="等线" w:hAnsi="等线" w:eastAsia="等线" w:cs="等线"/>
              <w:color w:val="auto"/>
              <w:sz w:val="21"/>
              <w:szCs w:val="21"/>
              <w:highlight w:val="none"/>
            </w:rPr>
            <w:t xml:space="preserve">14</w:t>
          </w:r>
          <w:r>
            <w:rPr>
              <w:rFonts w:hint="eastAsia" w:ascii="等线" w:hAnsi="等线" w:eastAsia="等线" w:cs="等线"/>
              <w:color w:val="auto"/>
              <w:sz w:val="21"/>
              <w:szCs w:val="21"/>
              <w:highlight w:val="none"/>
            </w:rPr>
            <w:fldChar w:fldCharType="end"/>
          </w:r>
          <w:r>
            <w:rPr>
              <w:rFonts w:hint="eastAsia" w:ascii="等线" w:hAnsi="等线" w:eastAsia="等线" w:cs="等线"/>
              <w:bCs/>
              <w:color w:val="auto"/>
              <w:sz w:val="21"/>
              <w:szCs w:val="21"/>
              <w:highlight w:val="none"/>
              <w:lang w:val="zh-CN" w:bidi="zh-CN"/>
            </w:rPr>
            <w:fldChar w:fldCharType="end"/>
          </w:r>
          <w:r/>
        </w:p>
        <w:p>
          <w:pPr>
            <w:pStyle w:val="966"/>
            <w:keepLines w:val="0"/>
            <w:keepNext w:val="0"/>
            <w:pageBreakBefore w:val="0"/>
            <w:spacing w:line="360" w:lineRule="auto"/>
            <w:widowControl w:val="off"/>
            <w:tabs>
              <w:tab w:val="right" w:pos="9468" w:leader="dot"/>
            </w:tabs>
            <w:rPr>
              <w:rFonts w:hint="eastAsia" w:ascii="等线" w:hAnsi="等线" w:eastAsia="等线" w:cs="等线"/>
              <w:color w:val="auto"/>
              <w:sz w:val="21"/>
              <w:szCs w:val="21"/>
              <w:highlight w:val="none"/>
            </w:rPr>
          </w:pPr>
          <w:r>
            <w:rPr>
              <w:rFonts w:hint="eastAsia" w:ascii="等线" w:hAnsi="等线" w:eastAsia="等线" w:cs="等线"/>
              <w:bCs/>
              <w:color w:val="auto"/>
              <w:sz w:val="21"/>
              <w:szCs w:val="21"/>
              <w:highlight w:val="none"/>
              <w:lang w:val="zh-CN" w:bidi="zh-CN"/>
            </w:rPr>
            <w:fldChar w:fldCharType="begin"/>
          </w:r>
          <w:r>
            <w:rPr>
              <w:rFonts w:hint="eastAsia" w:ascii="等线" w:hAnsi="等线" w:eastAsia="等线" w:cs="等线"/>
              <w:bCs/>
              <w:color w:val="auto"/>
              <w:sz w:val="21"/>
              <w:szCs w:val="21"/>
              <w:highlight w:val="none"/>
              <w:lang w:val="zh-CN" w:bidi="zh-CN"/>
            </w:rPr>
            <w:instrText xml:space="preserve"> HYPERLINK \l _Toc319 </w:instrText>
          </w:r>
          <w:r>
            <w:rPr>
              <w:rFonts w:hint="eastAsia" w:ascii="等线" w:hAnsi="等线" w:eastAsia="等线" w:cs="等线"/>
              <w:bCs/>
              <w:color w:val="auto"/>
              <w:sz w:val="21"/>
              <w:szCs w:val="21"/>
              <w:highlight w:val="none"/>
              <w:lang w:val="zh-CN" w:bidi="zh-CN"/>
            </w:rPr>
            <w:fldChar w:fldCharType="separate"/>
          </w:r>
          <w:r>
            <w:rPr>
              <w:rFonts w:hint="eastAsia" w:ascii="等线" w:hAnsi="等线" w:eastAsia="等线" w:cs="等线"/>
              <w:bCs/>
              <w:color w:val="auto"/>
              <w:sz w:val="21"/>
              <w:szCs w:val="21"/>
              <w:highlight w:val="none"/>
            </w:rPr>
            <w:t xml:space="preserve">五、开标、评标与定标</w:t>
          </w:r>
          <w:r>
            <w:rPr>
              <w:rFonts w:hint="eastAsia" w:ascii="等线" w:hAnsi="等线" w:eastAsia="等线" w:cs="等线"/>
              <w:color w:val="auto"/>
              <w:sz w:val="21"/>
              <w:szCs w:val="21"/>
              <w:highlight w:val="none"/>
            </w:rPr>
            <w:tab/>
          </w:r>
          <w:r>
            <w:rPr>
              <w:rFonts w:hint="eastAsia" w:ascii="等线" w:hAnsi="等线" w:eastAsia="等线" w:cs="等线"/>
              <w:color w:val="auto"/>
              <w:sz w:val="21"/>
              <w:szCs w:val="21"/>
              <w:highlight w:val="none"/>
            </w:rPr>
            <w:fldChar w:fldCharType="begin"/>
          </w:r>
          <w:r>
            <w:rPr>
              <w:rFonts w:hint="eastAsia" w:ascii="等线" w:hAnsi="等线" w:eastAsia="等线" w:cs="等线"/>
              <w:color w:val="auto"/>
              <w:sz w:val="21"/>
              <w:szCs w:val="21"/>
              <w:highlight w:val="none"/>
            </w:rPr>
            <w:instrText xml:space="preserve"> PAGEREF _Toc319 \h </w:instrText>
          </w:r>
          <w:r>
            <w:rPr>
              <w:rFonts w:hint="eastAsia" w:ascii="等线" w:hAnsi="等线" w:eastAsia="等线" w:cs="等线"/>
              <w:color w:val="auto"/>
              <w:sz w:val="21"/>
              <w:szCs w:val="21"/>
              <w:highlight w:val="none"/>
            </w:rPr>
            <w:fldChar w:fldCharType="separate"/>
          </w:r>
          <w:r>
            <w:rPr>
              <w:rFonts w:hint="eastAsia" w:ascii="等线" w:hAnsi="等线" w:eastAsia="等线" w:cs="等线"/>
              <w:color w:val="auto"/>
              <w:sz w:val="21"/>
              <w:szCs w:val="21"/>
              <w:highlight w:val="none"/>
            </w:rPr>
            <w:t xml:space="preserve">14</w:t>
          </w:r>
          <w:r>
            <w:rPr>
              <w:rFonts w:hint="eastAsia" w:ascii="等线" w:hAnsi="等线" w:eastAsia="等线" w:cs="等线"/>
              <w:color w:val="auto"/>
              <w:sz w:val="21"/>
              <w:szCs w:val="21"/>
              <w:highlight w:val="none"/>
            </w:rPr>
            <w:fldChar w:fldCharType="end"/>
          </w:r>
          <w:r>
            <w:rPr>
              <w:rFonts w:hint="eastAsia" w:ascii="等线" w:hAnsi="等线" w:eastAsia="等线" w:cs="等线"/>
              <w:bCs/>
              <w:color w:val="auto"/>
              <w:sz w:val="21"/>
              <w:szCs w:val="21"/>
              <w:highlight w:val="none"/>
              <w:lang w:val="zh-CN" w:bidi="zh-CN"/>
            </w:rPr>
            <w:fldChar w:fldCharType="end"/>
          </w:r>
          <w:r/>
        </w:p>
        <w:p>
          <w:pPr>
            <w:pStyle w:val="966"/>
            <w:keepLines w:val="0"/>
            <w:keepNext w:val="0"/>
            <w:pageBreakBefore w:val="0"/>
            <w:spacing w:line="360" w:lineRule="auto"/>
            <w:widowControl w:val="off"/>
            <w:tabs>
              <w:tab w:val="right" w:pos="9468" w:leader="dot"/>
            </w:tabs>
            <w:rPr>
              <w:rFonts w:hint="eastAsia" w:ascii="等线" w:hAnsi="等线" w:eastAsia="等线" w:cs="等线"/>
              <w:color w:val="auto"/>
              <w:sz w:val="21"/>
              <w:szCs w:val="21"/>
              <w:highlight w:val="none"/>
            </w:rPr>
          </w:pPr>
          <w:r>
            <w:rPr>
              <w:rFonts w:hint="eastAsia" w:ascii="等线" w:hAnsi="等线" w:eastAsia="等线" w:cs="等线"/>
              <w:bCs/>
              <w:color w:val="auto"/>
              <w:sz w:val="21"/>
              <w:szCs w:val="21"/>
              <w:highlight w:val="none"/>
              <w:lang w:val="zh-CN" w:bidi="zh-CN"/>
            </w:rPr>
            <w:fldChar w:fldCharType="begin"/>
          </w:r>
          <w:r>
            <w:rPr>
              <w:rFonts w:hint="eastAsia" w:ascii="等线" w:hAnsi="等线" w:eastAsia="等线" w:cs="等线"/>
              <w:bCs/>
              <w:color w:val="auto"/>
              <w:sz w:val="21"/>
              <w:szCs w:val="21"/>
              <w:highlight w:val="none"/>
              <w:lang w:val="zh-CN" w:bidi="zh-CN"/>
            </w:rPr>
            <w:instrText xml:space="preserve"> HYPERLINK \l _Toc32199 </w:instrText>
          </w:r>
          <w:r>
            <w:rPr>
              <w:rFonts w:hint="eastAsia" w:ascii="等线" w:hAnsi="等线" w:eastAsia="等线" w:cs="等线"/>
              <w:bCs/>
              <w:color w:val="auto"/>
              <w:sz w:val="21"/>
              <w:szCs w:val="21"/>
              <w:highlight w:val="none"/>
              <w:lang w:val="zh-CN" w:bidi="zh-CN"/>
            </w:rPr>
            <w:fldChar w:fldCharType="separate"/>
          </w:r>
          <w:r>
            <w:rPr>
              <w:rFonts w:hint="eastAsia" w:ascii="等线" w:hAnsi="等线" w:eastAsia="等线" w:cs="等线"/>
              <w:bCs/>
              <w:color w:val="auto"/>
              <w:sz w:val="21"/>
              <w:szCs w:val="21"/>
              <w:highlight w:val="none"/>
            </w:rPr>
            <w:t xml:space="preserve">六、签订合同</w:t>
          </w:r>
          <w:r>
            <w:rPr>
              <w:rFonts w:hint="eastAsia" w:ascii="等线" w:hAnsi="等线" w:eastAsia="等线" w:cs="等线"/>
              <w:color w:val="auto"/>
              <w:sz w:val="21"/>
              <w:szCs w:val="21"/>
              <w:highlight w:val="none"/>
            </w:rPr>
            <w:tab/>
          </w:r>
          <w:r>
            <w:rPr>
              <w:rFonts w:hint="eastAsia" w:ascii="等线" w:hAnsi="等线" w:eastAsia="等线" w:cs="等线"/>
              <w:color w:val="auto"/>
              <w:sz w:val="21"/>
              <w:szCs w:val="21"/>
              <w:highlight w:val="none"/>
            </w:rPr>
            <w:fldChar w:fldCharType="begin"/>
          </w:r>
          <w:r>
            <w:rPr>
              <w:rFonts w:hint="eastAsia" w:ascii="等线" w:hAnsi="等线" w:eastAsia="等线" w:cs="等线"/>
              <w:color w:val="auto"/>
              <w:sz w:val="21"/>
              <w:szCs w:val="21"/>
              <w:highlight w:val="none"/>
            </w:rPr>
            <w:instrText xml:space="preserve"> PAGEREF _Toc32199 \h </w:instrText>
          </w:r>
          <w:r>
            <w:rPr>
              <w:rFonts w:hint="eastAsia" w:ascii="等线" w:hAnsi="等线" w:eastAsia="等线" w:cs="等线"/>
              <w:color w:val="auto"/>
              <w:sz w:val="21"/>
              <w:szCs w:val="21"/>
              <w:highlight w:val="none"/>
            </w:rPr>
            <w:fldChar w:fldCharType="separate"/>
          </w:r>
          <w:r>
            <w:rPr>
              <w:rFonts w:hint="eastAsia" w:ascii="等线" w:hAnsi="等线" w:eastAsia="等线" w:cs="等线"/>
              <w:color w:val="auto"/>
              <w:sz w:val="21"/>
              <w:szCs w:val="21"/>
              <w:highlight w:val="none"/>
            </w:rPr>
            <w:t xml:space="preserve">17</w:t>
          </w:r>
          <w:r>
            <w:rPr>
              <w:rFonts w:hint="eastAsia" w:ascii="等线" w:hAnsi="等线" w:eastAsia="等线" w:cs="等线"/>
              <w:color w:val="auto"/>
              <w:sz w:val="21"/>
              <w:szCs w:val="21"/>
              <w:highlight w:val="none"/>
            </w:rPr>
            <w:fldChar w:fldCharType="end"/>
          </w:r>
          <w:r>
            <w:rPr>
              <w:rFonts w:hint="eastAsia" w:ascii="等线" w:hAnsi="等线" w:eastAsia="等线" w:cs="等线"/>
              <w:bCs/>
              <w:color w:val="auto"/>
              <w:sz w:val="21"/>
              <w:szCs w:val="21"/>
              <w:highlight w:val="none"/>
              <w:lang w:val="zh-CN" w:bidi="zh-CN"/>
            </w:rPr>
            <w:fldChar w:fldCharType="end"/>
          </w:r>
          <w:r/>
        </w:p>
        <w:p>
          <w:pPr>
            <w:pStyle w:val="966"/>
            <w:keepLines w:val="0"/>
            <w:keepNext w:val="0"/>
            <w:pageBreakBefore w:val="0"/>
            <w:spacing w:line="360" w:lineRule="auto"/>
            <w:widowControl w:val="off"/>
            <w:tabs>
              <w:tab w:val="right" w:pos="9468" w:leader="dot"/>
            </w:tabs>
            <w:rPr>
              <w:rFonts w:hint="eastAsia" w:ascii="等线" w:hAnsi="等线" w:eastAsia="等线" w:cs="等线"/>
              <w:color w:val="auto"/>
              <w:sz w:val="21"/>
              <w:szCs w:val="21"/>
              <w:highlight w:val="none"/>
            </w:rPr>
          </w:pPr>
          <w:r>
            <w:rPr>
              <w:rFonts w:hint="eastAsia" w:ascii="等线" w:hAnsi="等线" w:eastAsia="等线" w:cs="等线"/>
              <w:bCs/>
              <w:color w:val="auto"/>
              <w:sz w:val="21"/>
              <w:szCs w:val="21"/>
              <w:highlight w:val="none"/>
              <w:lang w:val="zh-CN" w:bidi="zh-CN"/>
            </w:rPr>
            <w:fldChar w:fldCharType="begin"/>
          </w:r>
          <w:r>
            <w:rPr>
              <w:rFonts w:hint="eastAsia" w:ascii="等线" w:hAnsi="等线" w:eastAsia="等线" w:cs="等线"/>
              <w:bCs/>
              <w:color w:val="auto"/>
              <w:sz w:val="21"/>
              <w:szCs w:val="21"/>
              <w:highlight w:val="none"/>
              <w:lang w:val="zh-CN" w:bidi="zh-CN"/>
            </w:rPr>
            <w:instrText xml:space="preserve"> HYPERLINK \l _Toc16501 </w:instrText>
          </w:r>
          <w:r>
            <w:rPr>
              <w:rFonts w:hint="eastAsia" w:ascii="等线" w:hAnsi="等线" w:eastAsia="等线" w:cs="等线"/>
              <w:bCs/>
              <w:color w:val="auto"/>
              <w:sz w:val="21"/>
              <w:szCs w:val="21"/>
              <w:highlight w:val="none"/>
              <w:lang w:val="zh-CN" w:bidi="zh-CN"/>
            </w:rPr>
            <w:fldChar w:fldCharType="separate"/>
          </w:r>
          <w:r>
            <w:rPr>
              <w:rFonts w:hint="eastAsia" w:ascii="等线" w:hAnsi="等线" w:eastAsia="等线" w:cs="等线"/>
              <w:bCs/>
              <w:color w:val="auto"/>
              <w:sz w:val="21"/>
              <w:szCs w:val="21"/>
              <w:highlight w:val="none"/>
            </w:rPr>
            <w:t xml:space="preserve">七、质疑和投诉</w:t>
          </w:r>
          <w:r>
            <w:rPr>
              <w:rFonts w:hint="eastAsia" w:ascii="等线" w:hAnsi="等线" w:eastAsia="等线" w:cs="等线"/>
              <w:color w:val="auto"/>
              <w:sz w:val="21"/>
              <w:szCs w:val="21"/>
              <w:highlight w:val="none"/>
            </w:rPr>
            <w:tab/>
          </w:r>
          <w:r>
            <w:rPr>
              <w:rFonts w:hint="eastAsia" w:ascii="等线" w:hAnsi="等线" w:eastAsia="等线" w:cs="等线"/>
              <w:color w:val="auto"/>
              <w:sz w:val="21"/>
              <w:szCs w:val="21"/>
              <w:highlight w:val="none"/>
            </w:rPr>
            <w:fldChar w:fldCharType="begin"/>
          </w:r>
          <w:r>
            <w:rPr>
              <w:rFonts w:hint="eastAsia" w:ascii="等线" w:hAnsi="等线" w:eastAsia="等线" w:cs="等线"/>
              <w:color w:val="auto"/>
              <w:sz w:val="21"/>
              <w:szCs w:val="21"/>
              <w:highlight w:val="none"/>
            </w:rPr>
            <w:instrText xml:space="preserve"> PAGEREF _Toc16501 \h </w:instrText>
          </w:r>
          <w:r>
            <w:rPr>
              <w:rFonts w:hint="eastAsia" w:ascii="等线" w:hAnsi="等线" w:eastAsia="等线" w:cs="等线"/>
              <w:color w:val="auto"/>
              <w:sz w:val="21"/>
              <w:szCs w:val="21"/>
              <w:highlight w:val="none"/>
            </w:rPr>
            <w:fldChar w:fldCharType="separate"/>
          </w:r>
          <w:r>
            <w:rPr>
              <w:rFonts w:hint="eastAsia" w:ascii="等线" w:hAnsi="等线" w:eastAsia="等线" w:cs="等线"/>
              <w:color w:val="auto"/>
              <w:sz w:val="21"/>
              <w:szCs w:val="21"/>
              <w:highlight w:val="none"/>
            </w:rPr>
            <w:t xml:space="preserve">18</w:t>
          </w:r>
          <w:r>
            <w:rPr>
              <w:rFonts w:hint="eastAsia" w:ascii="等线" w:hAnsi="等线" w:eastAsia="等线" w:cs="等线"/>
              <w:color w:val="auto"/>
              <w:sz w:val="21"/>
              <w:szCs w:val="21"/>
              <w:highlight w:val="none"/>
            </w:rPr>
            <w:fldChar w:fldCharType="end"/>
          </w:r>
          <w:r>
            <w:rPr>
              <w:rFonts w:hint="eastAsia" w:ascii="等线" w:hAnsi="等线" w:eastAsia="等线" w:cs="等线"/>
              <w:bCs/>
              <w:color w:val="auto"/>
              <w:sz w:val="21"/>
              <w:szCs w:val="21"/>
              <w:highlight w:val="none"/>
              <w:lang w:val="zh-CN" w:bidi="zh-CN"/>
            </w:rPr>
            <w:fldChar w:fldCharType="end"/>
          </w:r>
          <w:r/>
        </w:p>
        <w:p>
          <w:pPr>
            <w:pStyle w:val="955"/>
            <w:keepLines w:val="0"/>
            <w:keepNext w:val="0"/>
            <w:pageBreakBefore w:val="0"/>
            <w:spacing w:line="360" w:lineRule="auto"/>
            <w:widowControl w:val="off"/>
            <w:tabs>
              <w:tab w:val="right" w:pos="9468" w:leader="dot"/>
            </w:tabs>
            <w:rPr>
              <w:rFonts w:hint="eastAsia" w:ascii="等线" w:hAnsi="等线" w:eastAsia="等线" w:cs="等线"/>
              <w:color w:val="auto"/>
              <w:sz w:val="21"/>
              <w:szCs w:val="21"/>
              <w:highlight w:val="none"/>
            </w:rPr>
          </w:pPr>
          <w:r>
            <w:rPr>
              <w:rFonts w:hint="eastAsia" w:ascii="等线" w:hAnsi="等线" w:eastAsia="等线" w:cs="等线"/>
              <w:bCs/>
              <w:color w:val="auto"/>
              <w:sz w:val="21"/>
              <w:szCs w:val="21"/>
              <w:highlight w:val="none"/>
              <w:lang w:val="zh-CN" w:bidi="zh-CN"/>
            </w:rPr>
            <w:fldChar w:fldCharType="begin"/>
          </w:r>
          <w:r>
            <w:rPr>
              <w:rFonts w:hint="eastAsia" w:ascii="等线" w:hAnsi="等线" w:eastAsia="等线" w:cs="等线"/>
              <w:bCs/>
              <w:color w:val="auto"/>
              <w:sz w:val="21"/>
              <w:szCs w:val="21"/>
              <w:highlight w:val="none"/>
              <w:lang w:val="zh-CN" w:bidi="zh-CN"/>
            </w:rPr>
            <w:instrText xml:space="preserve"> HYPERLINK \l _Toc31879 </w:instrText>
          </w:r>
          <w:r>
            <w:rPr>
              <w:rFonts w:hint="eastAsia" w:ascii="等线" w:hAnsi="等线" w:eastAsia="等线" w:cs="等线"/>
              <w:bCs/>
              <w:color w:val="auto"/>
              <w:sz w:val="21"/>
              <w:szCs w:val="21"/>
              <w:highlight w:val="none"/>
              <w:lang w:val="zh-CN" w:bidi="zh-CN"/>
            </w:rPr>
            <w:fldChar w:fldCharType="separate"/>
          </w:r>
          <w:r>
            <w:rPr>
              <w:rFonts w:hint="eastAsia" w:ascii="等线" w:hAnsi="等线" w:eastAsia="等线" w:cs="等线"/>
              <w:color w:val="auto"/>
              <w:sz w:val="21"/>
              <w:szCs w:val="21"/>
              <w:highlight w:val="none"/>
            </w:rPr>
            <w:t xml:space="preserve">第三章评审标准</w:t>
          </w:r>
          <w:r>
            <w:rPr>
              <w:rFonts w:hint="eastAsia" w:ascii="等线" w:hAnsi="等线" w:eastAsia="等线" w:cs="等线"/>
              <w:color w:val="auto"/>
              <w:sz w:val="21"/>
              <w:szCs w:val="21"/>
              <w:highlight w:val="none"/>
            </w:rPr>
            <w:tab/>
          </w:r>
          <w:r>
            <w:rPr>
              <w:rFonts w:hint="eastAsia" w:ascii="等线" w:hAnsi="等线" w:eastAsia="等线" w:cs="等线"/>
              <w:color w:val="auto"/>
              <w:sz w:val="21"/>
              <w:szCs w:val="21"/>
              <w:highlight w:val="none"/>
            </w:rPr>
            <w:fldChar w:fldCharType="begin"/>
          </w:r>
          <w:r>
            <w:rPr>
              <w:rFonts w:hint="eastAsia" w:ascii="等线" w:hAnsi="等线" w:eastAsia="等线" w:cs="等线"/>
              <w:color w:val="auto"/>
              <w:sz w:val="21"/>
              <w:szCs w:val="21"/>
              <w:highlight w:val="none"/>
            </w:rPr>
            <w:instrText xml:space="preserve"> PAGEREF _Toc31879 \h </w:instrText>
          </w:r>
          <w:r>
            <w:rPr>
              <w:rFonts w:hint="eastAsia" w:ascii="等线" w:hAnsi="等线" w:eastAsia="等线" w:cs="等线"/>
              <w:color w:val="auto"/>
              <w:sz w:val="21"/>
              <w:szCs w:val="21"/>
              <w:highlight w:val="none"/>
            </w:rPr>
            <w:fldChar w:fldCharType="separate"/>
          </w:r>
          <w:r>
            <w:rPr>
              <w:rFonts w:hint="eastAsia" w:ascii="等线" w:hAnsi="等线" w:eastAsia="等线" w:cs="等线"/>
              <w:color w:val="auto"/>
              <w:sz w:val="21"/>
              <w:szCs w:val="21"/>
              <w:highlight w:val="none"/>
            </w:rPr>
            <w:t xml:space="preserve">21</w:t>
          </w:r>
          <w:r>
            <w:rPr>
              <w:rFonts w:hint="eastAsia" w:ascii="等线" w:hAnsi="等线" w:eastAsia="等线" w:cs="等线"/>
              <w:color w:val="auto"/>
              <w:sz w:val="21"/>
              <w:szCs w:val="21"/>
              <w:highlight w:val="none"/>
            </w:rPr>
            <w:fldChar w:fldCharType="end"/>
          </w:r>
          <w:r>
            <w:rPr>
              <w:rFonts w:hint="eastAsia" w:ascii="等线" w:hAnsi="等线" w:eastAsia="等线" w:cs="等线"/>
              <w:bCs/>
              <w:color w:val="auto"/>
              <w:sz w:val="21"/>
              <w:szCs w:val="21"/>
              <w:highlight w:val="none"/>
              <w:lang w:val="zh-CN" w:bidi="zh-CN"/>
            </w:rPr>
            <w:fldChar w:fldCharType="end"/>
          </w:r>
          <w:r/>
        </w:p>
        <w:p>
          <w:pPr>
            <w:pStyle w:val="955"/>
            <w:keepLines w:val="0"/>
            <w:keepNext w:val="0"/>
            <w:pageBreakBefore w:val="0"/>
            <w:spacing w:line="360" w:lineRule="auto"/>
            <w:widowControl w:val="off"/>
            <w:tabs>
              <w:tab w:val="right" w:pos="9468" w:leader="dot"/>
            </w:tabs>
            <w:rPr>
              <w:rFonts w:hint="eastAsia" w:ascii="等线" w:hAnsi="等线" w:eastAsia="等线" w:cs="等线"/>
              <w:color w:val="auto"/>
              <w:sz w:val="21"/>
              <w:szCs w:val="21"/>
              <w:highlight w:val="none"/>
            </w:rPr>
          </w:pPr>
          <w:r>
            <w:rPr>
              <w:rFonts w:hint="eastAsia" w:ascii="等线" w:hAnsi="等线" w:eastAsia="等线" w:cs="等线"/>
              <w:bCs/>
              <w:color w:val="auto"/>
              <w:sz w:val="21"/>
              <w:szCs w:val="21"/>
              <w:highlight w:val="none"/>
              <w:lang w:val="zh-CN" w:bidi="zh-CN"/>
            </w:rPr>
            <w:fldChar w:fldCharType="begin"/>
          </w:r>
          <w:r>
            <w:rPr>
              <w:rFonts w:hint="eastAsia" w:ascii="等线" w:hAnsi="等线" w:eastAsia="等线" w:cs="等线"/>
              <w:bCs/>
              <w:color w:val="auto"/>
              <w:sz w:val="21"/>
              <w:szCs w:val="21"/>
              <w:highlight w:val="none"/>
              <w:lang w:val="zh-CN" w:bidi="zh-CN"/>
            </w:rPr>
            <w:instrText xml:space="preserve"> HYPERLINK \l _Toc20023 </w:instrText>
          </w:r>
          <w:r>
            <w:rPr>
              <w:rFonts w:hint="eastAsia" w:ascii="等线" w:hAnsi="等线" w:eastAsia="等线" w:cs="等线"/>
              <w:bCs/>
              <w:color w:val="auto"/>
              <w:sz w:val="21"/>
              <w:szCs w:val="21"/>
              <w:highlight w:val="none"/>
              <w:lang w:val="zh-CN" w:bidi="zh-CN"/>
            </w:rPr>
            <w:fldChar w:fldCharType="separate"/>
          </w:r>
          <w:r>
            <w:rPr>
              <w:rFonts w:hint="eastAsia" w:ascii="等线" w:hAnsi="等线" w:eastAsia="等线" w:cs="等线"/>
              <w:color w:val="auto"/>
              <w:sz w:val="21"/>
              <w:szCs w:val="21"/>
              <w:highlight w:val="none"/>
            </w:rPr>
            <w:t xml:space="preserve">第四章</w:t>
          </w:r>
          <w:r>
            <w:rPr>
              <w:rFonts w:hint="eastAsia" w:ascii="等线" w:hAnsi="等线" w:eastAsia="等线" w:cs="等线"/>
              <w:color w:val="auto"/>
              <w:sz w:val="21"/>
              <w:szCs w:val="21"/>
              <w:highlight w:val="none"/>
              <w:lang w:val="en-US" w:eastAsia="zh-CN"/>
            </w:rPr>
            <w:t xml:space="preserve"> </w:t>
          </w:r>
          <w:r>
            <w:rPr>
              <w:rFonts w:hint="eastAsia" w:ascii="等线" w:hAnsi="等线" w:eastAsia="等线" w:cs="等线"/>
              <w:color w:val="auto"/>
              <w:sz w:val="21"/>
              <w:szCs w:val="21"/>
              <w:highlight w:val="none"/>
            </w:rPr>
            <w:t xml:space="preserve">采购需求</w:t>
          </w:r>
          <w:r>
            <w:rPr>
              <w:rFonts w:hint="eastAsia" w:ascii="等线" w:hAnsi="等线" w:eastAsia="等线" w:cs="等线"/>
              <w:color w:val="auto"/>
              <w:sz w:val="21"/>
              <w:szCs w:val="21"/>
              <w:highlight w:val="none"/>
            </w:rPr>
            <w:tab/>
          </w:r>
          <w:r>
            <w:rPr>
              <w:rFonts w:hint="eastAsia" w:ascii="等线" w:hAnsi="等线" w:eastAsia="等线" w:cs="等线"/>
              <w:color w:val="auto"/>
              <w:sz w:val="21"/>
              <w:szCs w:val="21"/>
              <w:highlight w:val="none"/>
            </w:rPr>
            <w:fldChar w:fldCharType="begin"/>
          </w:r>
          <w:r>
            <w:rPr>
              <w:rFonts w:hint="eastAsia" w:ascii="等线" w:hAnsi="等线" w:eastAsia="等线" w:cs="等线"/>
              <w:color w:val="auto"/>
              <w:sz w:val="21"/>
              <w:szCs w:val="21"/>
              <w:highlight w:val="none"/>
            </w:rPr>
            <w:instrText xml:space="preserve"> PAGEREF _Toc20023 \h </w:instrText>
          </w:r>
          <w:r>
            <w:rPr>
              <w:rFonts w:hint="eastAsia" w:ascii="等线" w:hAnsi="等线" w:eastAsia="等线" w:cs="等线"/>
              <w:color w:val="auto"/>
              <w:sz w:val="21"/>
              <w:szCs w:val="21"/>
              <w:highlight w:val="none"/>
            </w:rPr>
            <w:fldChar w:fldCharType="separate"/>
          </w:r>
          <w:r>
            <w:rPr>
              <w:rFonts w:hint="eastAsia" w:ascii="等线" w:hAnsi="等线" w:eastAsia="等线" w:cs="等线"/>
              <w:color w:val="auto"/>
              <w:sz w:val="21"/>
              <w:szCs w:val="21"/>
              <w:highlight w:val="none"/>
            </w:rPr>
            <w:t xml:space="preserve">25</w:t>
          </w:r>
          <w:r>
            <w:rPr>
              <w:rFonts w:hint="eastAsia" w:ascii="等线" w:hAnsi="等线" w:eastAsia="等线" w:cs="等线"/>
              <w:color w:val="auto"/>
              <w:sz w:val="21"/>
              <w:szCs w:val="21"/>
              <w:highlight w:val="none"/>
            </w:rPr>
            <w:fldChar w:fldCharType="end"/>
          </w:r>
          <w:r>
            <w:rPr>
              <w:rFonts w:hint="eastAsia" w:ascii="等线" w:hAnsi="等线" w:eastAsia="等线" w:cs="等线"/>
              <w:bCs/>
              <w:color w:val="auto"/>
              <w:sz w:val="21"/>
              <w:szCs w:val="21"/>
              <w:highlight w:val="none"/>
              <w:lang w:val="zh-CN" w:bidi="zh-CN"/>
            </w:rPr>
            <w:fldChar w:fldCharType="end"/>
          </w:r>
          <w:r/>
        </w:p>
        <w:p>
          <w:pPr>
            <w:pStyle w:val="966"/>
            <w:keepLines w:val="0"/>
            <w:keepNext w:val="0"/>
            <w:pageBreakBefore w:val="0"/>
            <w:spacing w:line="360" w:lineRule="auto"/>
            <w:widowControl w:val="off"/>
            <w:tabs>
              <w:tab w:val="right" w:pos="9468" w:leader="dot"/>
            </w:tabs>
            <w:rPr>
              <w:rFonts w:hint="eastAsia" w:ascii="等线" w:hAnsi="等线" w:eastAsia="等线" w:cs="等线"/>
              <w:color w:val="auto"/>
              <w:sz w:val="21"/>
              <w:szCs w:val="21"/>
              <w:highlight w:val="none"/>
            </w:rPr>
          </w:pPr>
          <w:r>
            <w:rPr>
              <w:rFonts w:hint="eastAsia" w:ascii="等线" w:hAnsi="等线" w:eastAsia="等线" w:cs="等线"/>
              <w:bCs/>
              <w:color w:val="auto"/>
              <w:sz w:val="21"/>
              <w:szCs w:val="21"/>
              <w:highlight w:val="none"/>
              <w:lang w:val="zh-CN" w:bidi="zh-CN"/>
            </w:rPr>
            <w:fldChar w:fldCharType="begin"/>
          </w:r>
          <w:r>
            <w:rPr>
              <w:rFonts w:hint="eastAsia" w:ascii="等线" w:hAnsi="等线" w:eastAsia="等线" w:cs="等线"/>
              <w:bCs/>
              <w:color w:val="auto"/>
              <w:sz w:val="21"/>
              <w:szCs w:val="21"/>
              <w:highlight w:val="none"/>
              <w:lang w:val="zh-CN" w:bidi="zh-CN"/>
            </w:rPr>
            <w:instrText xml:space="preserve"> HYPERLINK \l _Toc26515 </w:instrText>
          </w:r>
          <w:r>
            <w:rPr>
              <w:rFonts w:hint="eastAsia" w:ascii="等线" w:hAnsi="等线" w:eastAsia="等线" w:cs="等线"/>
              <w:bCs/>
              <w:color w:val="auto"/>
              <w:sz w:val="21"/>
              <w:szCs w:val="21"/>
              <w:highlight w:val="none"/>
              <w:lang w:val="zh-CN" w:bidi="zh-CN"/>
            </w:rPr>
            <w:fldChar w:fldCharType="separate"/>
          </w:r>
          <w:r>
            <w:rPr>
              <w:rFonts w:hint="eastAsia" w:ascii="等线" w:hAnsi="等线" w:eastAsia="等线" w:cs="等线"/>
              <w:bCs/>
              <w:color w:val="auto"/>
              <w:sz w:val="21"/>
              <w:szCs w:val="21"/>
              <w:highlight w:val="none"/>
            </w:rPr>
            <w:t xml:space="preserve">一、项目属性：服务类项目</w:t>
          </w:r>
          <w:r>
            <w:rPr>
              <w:rFonts w:hint="eastAsia" w:ascii="等线" w:hAnsi="等线" w:eastAsia="等线" w:cs="等线"/>
              <w:color w:val="auto"/>
              <w:sz w:val="21"/>
              <w:szCs w:val="21"/>
              <w:highlight w:val="none"/>
            </w:rPr>
            <w:tab/>
          </w:r>
          <w:r>
            <w:rPr>
              <w:rFonts w:hint="eastAsia" w:ascii="等线" w:hAnsi="等线" w:eastAsia="等线" w:cs="等线"/>
              <w:color w:val="auto"/>
              <w:sz w:val="21"/>
              <w:szCs w:val="21"/>
              <w:highlight w:val="none"/>
            </w:rPr>
            <w:fldChar w:fldCharType="begin"/>
          </w:r>
          <w:r>
            <w:rPr>
              <w:rFonts w:hint="eastAsia" w:ascii="等线" w:hAnsi="等线" w:eastAsia="等线" w:cs="等线"/>
              <w:color w:val="auto"/>
              <w:sz w:val="21"/>
              <w:szCs w:val="21"/>
              <w:highlight w:val="none"/>
            </w:rPr>
            <w:instrText xml:space="preserve"> PAGEREF _Toc26515 \h </w:instrText>
          </w:r>
          <w:r>
            <w:rPr>
              <w:rFonts w:hint="eastAsia" w:ascii="等线" w:hAnsi="等线" w:eastAsia="等线" w:cs="等线"/>
              <w:color w:val="auto"/>
              <w:sz w:val="21"/>
              <w:szCs w:val="21"/>
              <w:highlight w:val="none"/>
            </w:rPr>
            <w:fldChar w:fldCharType="separate"/>
          </w:r>
          <w:r>
            <w:rPr>
              <w:rFonts w:hint="eastAsia" w:ascii="等线" w:hAnsi="等线" w:eastAsia="等线" w:cs="等线"/>
              <w:color w:val="auto"/>
              <w:sz w:val="21"/>
              <w:szCs w:val="21"/>
              <w:highlight w:val="none"/>
            </w:rPr>
            <w:t xml:space="preserve">25</w:t>
          </w:r>
          <w:r>
            <w:rPr>
              <w:rFonts w:hint="eastAsia" w:ascii="等线" w:hAnsi="等线" w:eastAsia="等线" w:cs="等线"/>
              <w:color w:val="auto"/>
              <w:sz w:val="21"/>
              <w:szCs w:val="21"/>
              <w:highlight w:val="none"/>
            </w:rPr>
            <w:fldChar w:fldCharType="end"/>
          </w:r>
          <w:r>
            <w:rPr>
              <w:rFonts w:hint="eastAsia" w:ascii="等线" w:hAnsi="等线" w:eastAsia="等线" w:cs="等线"/>
              <w:bCs/>
              <w:color w:val="auto"/>
              <w:sz w:val="21"/>
              <w:szCs w:val="21"/>
              <w:highlight w:val="none"/>
              <w:lang w:val="zh-CN" w:bidi="zh-CN"/>
            </w:rPr>
            <w:fldChar w:fldCharType="end"/>
          </w:r>
          <w:r/>
        </w:p>
        <w:p>
          <w:pPr>
            <w:pStyle w:val="966"/>
            <w:keepLines w:val="0"/>
            <w:keepNext w:val="0"/>
            <w:pageBreakBefore w:val="0"/>
            <w:spacing w:line="360" w:lineRule="auto"/>
            <w:widowControl w:val="off"/>
            <w:tabs>
              <w:tab w:val="right" w:pos="9468" w:leader="dot"/>
            </w:tabs>
            <w:rPr>
              <w:rFonts w:hint="eastAsia" w:ascii="等线" w:hAnsi="等线" w:eastAsia="等线" w:cs="等线"/>
              <w:color w:val="auto"/>
              <w:sz w:val="21"/>
              <w:szCs w:val="21"/>
              <w:highlight w:val="none"/>
            </w:rPr>
          </w:pPr>
          <w:r>
            <w:rPr>
              <w:rFonts w:hint="eastAsia" w:ascii="等线" w:hAnsi="等线" w:eastAsia="等线" w:cs="等线"/>
              <w:bCs/>
              <w:color w:val="auto"/>
              <w:sz w:val="21"/>
              <w:szCs w:val="21"/>
              <w:highlight w:val="none"/>
              <w:lang w:val="zh-CN" w:bidi="zh-CN"/>
            </w:rPr>
            <w:fldChar w:fldCharType="begin"/>
          </w:r>
          <w:r>
            <w:rPr>
              <w:rFonts w:hint="eastAsia" w:ascii="等线" w:hAnsi="等线" w:eastAsia="等线" w:cs="等线"/>
              <w:bCs/>
              <w:color w:val="auto"/>
              <w:sz w:val="21"/>
              <w:szCs w:val="21"/>
              <w:highlight w:val="none"/>
              <w:lang w:val="zh-CN" w:bidi="zh-CN"/>
            </w:rPr>
            <w:instrText xml:space="preserve"> HYPERLINK \l _Toc12144 </w:instrText>
          </w:r>
          <w:r>
            <w:rPr>
              <w:rFonts w:hint="eastAsia" w:ascii="等线" w:hAnsi="等线" w:eastAsia="等线" w:cs="等线"/>
              <w:bCs/>
              <w:color w:val="auto"/>
              <w:sz w:val="21"/>
              <w:szCs w:val="21"/>
              <w:highlight w:val="none"/>
              <w:lang w:val="zh-CN" w:bidi="zh-CN"/>
            </w:rPr>
            <w:fldChar w:fldCharType="separate"/>
          </w:r>
          <w:r>
            <w:rPr>
              <w:rFonts w:hint="eastAsia" w:ascii="等线" w:hAnsi="等线" w:eastAsia="等线" w:cs="等线"/>
              <w:bCs/>
              <w:color w:val="auto"/>
              <w:sz w:val="21"/>
              <w:szCs w:val="21"/>
              <w:highlight w:val="none"/>
            </w:rPr>
            <w:t xml:space="preserve">二、项目概况</w:t>
          </w:r>
          <w:r>
            <w:rPr>
              <w:rFonts w:hint="eastAsia" w:ascii="等线" w:hAnsi="等线" w:eastAsia="等线" w:cs="等线"/>
              <w:color w:val="auto"/>
              <w:sz w:val="21"/>
              <w:szCs w:val="21"/>
              <w:highlight w:val="none"/>
            </w:rPr>
            <w:tab/>
          </w:r>
          <w:r>
            <w:rPr>
              <w:rFonts w:hint="eastAsia" w:ascii="等线" w:hAnsi="等线" w:eastAsia="等线" w:cs="等线"/>
              <w:color w:val="auto"/>
              <w:sz w:val="21"/>
              <w:szCs w:val="21"/>
              <w:highlight w:val="none"/>
            </w:rPr>
            <w:fldChar w:fldCharType="begin"/>
          </w:r>
          <w:r>
            <w:rPr>
              <w:rFonts w:hint="eastAsia" w:ascii="等线" w:hAnsi="等线" w:eastAsia="等线" w:cs="等线"/>
              <w:color w:val="auto"/>
              <w:sz w:val="21"/>
              <w:szCs w:val="21"/>
              <w:highlight w:val="none"/>
            </w:rPr>
            <w:instrText xml:space="preserve"> PAGEREF _Toc12144 \h </w:instrText>
          </w:r>
          <w:r>
            <w:rPr>
              <w:rFonts w:hint="eastAsia" w:ascii="等线" w:hAnsi="等线" w:eastAsia="等线" w:cs="等线"/>
              <w:color w:val="auto"/>
              <w:sz w:val="21"/>
              <w:szCs w:val="21"/>
              <w:highlight w:val="none"/>
            </w:rPr>
            <w:fldChar w:fldCharType="separate"/>
          </w:r>
          <w:r>
            <w:rPr>
              <w:rFonts w:hint="eastAsia" w:ascii="等线" w:hAnsi="等线" w:eastAsia="等线" w:cs="等线"/>
              <w:color w:val="auto"/>
              <w:sz w:val="21"/>
              <w:szCs w:val="21"/>
              <w:highlight w:val="none"/>
            </w:rPr>
            <w:t xml:space="preserve">25</w:t>
          </w:r>
          <w:r>
            <w:rPr>
              <w:rFonts w:hint="eastAsia" w:ascii="等线" w:hAnsi="等线" w:eastAsia="等线" w:cs="等线"/>
              <w:color w:val="auto"/>
              <w:sz w:val="21"/>
              <w:szCs w:val="21"/>
              <w:highlight w:val="none"/>
            </w:rPr>
            <w:fldChar w:fldCharType="end"/>
          </w:r>
          <w:r>
            <w:rPr>
              <w:rFonts w:hint="eastAsia" w:ascii="等线" w:hAnsi="等线" w:eastAsia="等线" w:cs="等线"/>
              <w:bCs/>
              <w:color w:val="auto"/>
              <w:sz w:val="21"/>
              <w:szCs w:val="21"/>
              <w:highlight w:val="none"/>
              <w:lang w:val="zh-CN" w:bidi="zh-CN"/>
            </w:rPr>
            <w:fldChar w:fldCharType="end"/>
          </w:r>
          <w:r/>
        </w:p>
        <w:p>
          <w:pPr>
            <w:pStyle w:val="966"/>
            <w:keepLines w:val="0"/>
            <w:keepNext w:val="0"/>
            <w:pageBreakBefore w:val="0"/>
            <w:spacing w:line="360" w:lineRule="auto"/>
            <w:widowControl w:val="off"/>
            <w:tabs>
              <w:tab w:val="right" w:pos="9468" w:leader="dot"/>
            </w:tabs>
            <w:rPr>
              <w:rFonts w:hint="eastAsia" w:ascii="等线" w:hAnsi="等线" w:eastAsia="等线" w:cs="等线"/>
              <w:color w:val="auto"/>
              <w:sz w:val="21"/>
              <w:szCs w:val="21"/>
              <w:highlight w:val="none"/>
            </w:rPr>
          </w:pPr>
          <w:r>
            <w:rPr>
              <w:rFonts w:hint="eastAsia" w:ascii="等线" w:hAnsi="等线" w:eastAsia="等线" w:cs="等线"/>
              <w:bCs/>
              <w:color w:val="auto"/>
              <w:sz w:val="21"/>
              <w:szCs w:val="21"/>
              <w:highlight w:val="none"/>
              <w:lang w:val="zh-CN" w:bidi="zh-CN"/>
            </w:rPr>
            <w:fldChar w:fldCharType="begin"/>
          </w:r>
          <w:r>
            <w:rPr>
              <w:rFonts w:hint="eastAsia" w:ascii="等线" w:hAnsi="等线" w:eastAsia="等线" w:cs="等线"/>
              <w:bCs/>
              <w:color w:val="auto"/>
              <w:sz w:val="21"/>
              <w:szCs w:val="21"/>
              <w:highlight w:val="none"/>
              <w:lang w:val="zh-CN" w:bidi="zh-CN"/>
            </w:rPr>
            <w:instrText xml:space="preserve"> HYPERLINK \l _Toc20219 </w:instrText>
          </w:r>
          <w:r>
            <w:rPr>
              <w:rFonts w:hint="eastAsia" w:ascii="等线" w:hAnsi="等线" w:eastAsia="等线" w:cs="等线"/>
              <w:bCs/>
              <w:color w:val="auto"/>
              <w:sz w:val="21"/>
              <w:szCs w:val="21"/>
              <w:highlight w:val="none"/>
              <w:lang w:val="zh-CN" w:bidi="zh-CN"/>
            </w:rPr>
            <w:fldChar w:fldCharType="separate"/>
          </w:r>
          <w:r>
            <w:rPr>
              <w:rFonts w:hint="eastAsia" w:ascii="等线" w:hAnsi="等线" w:eastAsia="等线" w:cs="等线"/>
              <w:bCs/>
              <w:color w:val="auto"/>
              <w:sz w:val="21"/>
              <w:szCs w:val="21"/>
              <w:highlight w:val="none"/>
            </w:rPr>
            <w:t xml:space="preserve">三、项目清单</w:t>
          </w:r>
          <w:r>
            <w:rPr>
              <w:rFonts w:hint="eastAsia" w:ascii="等线" w:hAnsi="等线" w:eastAsia="等线" w:cs="等线"/>
              <w:color w:val="auto"/>
              <w:sz w:val="21"/>
              <w:szCs w:val="21"/>
              <w:highlight w:val="none"/>
            </w:rPr>
            <w:tab/>
          </w:r>
          <w:r>
            <w:rPr>
              <w:rFonts w:hint="eastAsia" w:ascii="等线" w:hAnsi="等线" w:eastAsia="等线" w:cs="等线"/>
              <w:color w:val="auto"/>
              <w:sz w:val="21"/>
              <w:szCs w:val="21"/>
              <w:highlight w:val="none"/>
            </w:rPr>
            <w:fldChar w:fldCharType="begin"/>
          </w:r>
          <w:r>
            <w:rPr>
              <w:rFonts w:hint="eastAsia" w:ascii="等线" w:hAnsi="等线" w:eastAsia="等线" w:cs="等线"/>
              <w:color w:val="auto"/>
              <w:sz w:val="21"/>
              <w:szCs w:val="21"/>
              <w:highlight w:val="none"/>
            </w:rPr>
            <w:instrText xml:space="preserve"> PAGEREF _Toc20219 \h </w:instrText>
          </w:r>
          <w:r>
            <w:rPr>
              <w:rFonts w:hint="eastAsia" w:ascii="等线" w:hAnsi="等线" w:eastAsia="等线" w:cs="等线"/>
              <w:color w:val="auto"/>
              <w:sz w:val="21"/>
              <w:szCs w:val="21"/>
              <w:highlight w:val="none"/>
            </w:rPr>
            <w:fldChar w:fldCharType="separate"/>
          </w:r>
          <w:r>
            <w:rPr>
              <w:rFonts w:hint="eastAsia" w:ascii="等线" w:hAnsi="等线" w:eastAsia="等线" w:cs="等线"/>
              <w:color w:val="auto"/>
              <w:sz w:val="21"/>
              <w:szCs w:val="21"/>
              <w:highlight w:val="none"/>
            </w:rPr>
            <w:t xml:space="preserve">25</w:t>
          </w:r>
          <w:r>
            <w:rPr>
              <w:rFonts w:hint="eastAsia" w:ascii="等线" w:hAnsi="等线" w:eastAsia="等线" w:cs="等线"/>
              <w:color w:val="auto"/>
              <w:sz w:val="21"/>
              <w:szCs w:val="21"/>
              <w:highlight w:val="none"/>
            </w:rPr>
            <w:fldChar w:fldCharType="end"/>
          </w:r>
          <w:r>
            <w:rPr>
              <w:rFonts w:hint="eastAsia" w:ascii="等线" w:hAnsi="等线" w:eastAsia="等线" w:cs="等线"/>
              <w:bCs/>
              <w:color w:val="auto"/>
              <w:sz w:val="21"/>
              <w:szCs w:val="21"/>
              <w:highlight w:val="none"/>
              <w:lang w:val="zh-CN" w:bidi="zh-CN"/>
            </w:rPr>
            <w:fldChar w:fldCharType="end"/>
          </w:r>
          <w:r/>
        </w:p>
        <w:p>
          <w:pPr>
            <w:pStyle w:val="966"/>
            <w:keepLines w:val="0"/>
            <w:keepNext w:val="0"/>
            <w:pageBreakBefore w:val="0"/>
            <w:spacing w:line="360" w:lineRule="auto"/>
            <w:widowControl w:val="off"/>
            <w:tabs>
              <w:tab w:val="right" w:pos="9468" w:leader="dot"/>
            </w:tabs>
            <w:rPr>
              <w:rFonts w:hint="eastAsia" w:ascii="等线" w:hAnsi="等线" w:eastAsia="等线" w:cs="等线"/>
              <w:color w:val="auto"/>
              <w:sz w:val="21"/>
              <w:szCs w:val="21"/>
              <w:highlight w:val="none"/>
            </w:rPr>
          </w:pPr>
          <w:r>
            <w:rPr>
              <w:rFonts w:hint="eastAsia" w:ascii="等线" w:hAnsi="等线" w:eastAsia="等线" w:cs="等线"/>
              <w:bCs/>
              <w:color w:val="auto"/>
              <w:sz w:val="21"/>
              <w:szCs w:val="21"/>
              <w:highlight w:val="none"/>
              <w:lang w:val="zh-CN" w:bidi="zh-CN"/>
            </w:rPr>
            <w:fldChar w:fldCharType="begin"/>
          </w:r>
          <w:r>
            <w:rPr>
              <w:rFonts w:hint="eastAsia" w:ascii="等线" w:hAnsi="等线" w:eastAsia="等线" w:cs="等线"/>
              <w:bCs/>
              <w:color w:val="auto"/>
              <w:sz w:val="21"/>
              <w:szCs w:val="21"/>
              <w:highlight w:val="none"/>
              <w:lang w:val="zh-CN" w:bidi="zh-CN"/>
            </w:rPr>
            <w:instrText xml:space="preserve"> HYPERLINK \l _Toc12841 </w:instrText>
          </w:r>
          <w:r>
            <w:rPr>
              <w:rFonts w:hint="eastAsia" w:ascii="等线" w:hAnsi="等线" w:eastAsia="等线" w:cs="等线"/>
              <w:bCs/>
              <w:color w:val="auto"/>
              <w:sz w:val="21"/>
              <w:szCs w:val="21"/>
              <w:highlight w:val="none"/>
              <w:lang w:val="zh-CN" w:bidi="zh-CN"/>
            </w:rPr>
            <w:fldChar w:fldCharType="separate"/>
          </w:r>
          <w:r>
            <w:rPr>
              <w:rFonts w:hint="eastAsia" w:ascii="等线" w:hAnsi="等线" w:eastAsia="等线" w:cs="等线"/>
              <w:bCs/>
              <w:color w:val="auto"/>
              <w:sz w:val="21"/>
              <w:szCs w:val="21"/>
              <w:highlight w:val="none"/>
            </w:rPr>
            <w:t xml:space="preserve">四、拟采购标的需要满足的技术、商务要求</w:t>
          </w:r>
          <w:r>
            <w:rPr>
              <w:rFonts w:hint="eastAsia" w:ascii="等线" w:hAnsi="等线" w:eastAsia="等线" w:cs="等线"/>
              <w:color w:val="auto"/>
              <w:sz w:val="21"/>
              <w:szCs w:val="21"/>
              <w:highlight w:val="none"/>
            </w:rPr>
            <w:tab/>
          </w:r>
          <w:r>
            <w:rPr>
              <w:rFonts w:hint="eastAsia" w:ascii="等线" w:hAnsi="等线" w:eastAsia="等线" w:cs="等线"/>
              <w:color w:val="auto"/>
              <w:sz w:val="21"/>
              <w:szCs w:val="21"/>
              <w:highlight w:val="none"/>
            </w:rPr>
            <w:fldChar w:fldCharType="begin"/>
          </w:r>
          <w:r>
            <w:rPr>
              <w:rFonts w:hint="eastAsia" w:ascii="等线" w:hAnsi="等线" w:eastAsia="等线" w:cs="等线"/>
              <w:color w:val="auto"/>
              <w:sz w:val="21"/>
              <w:szCs w:val="21"/>
              <w:highlight w:val="none"/>
            </w:rPr>
            <w:instrText xml:space="preserve"> PAGEREF _Toc12841 \h </w:instrText>
          </w:r>
          <w:r>
            <w:rPr>
              <w:rFonts w:hint="eastAsia" w:ascii="等线" w:hAnsi="等线" w:eastAsia="等线" w:cs="等线"/>
              <w:color w:val="auto"/>
              <w:sz w:val="21"/>
              <w:szCs w:val="21"/>
              <w:highlight w:val="none"/>
            </w:rPr>
            <w:fldChar w:fldCharType="separate"/>
          </w:r>
          <w:r>
            <w:rPr>
              <w:rFonts w:hint="eastAsia" w:ascii="等线" w:hAnsi="等线" w:eastAsia="等线" w:cs="等线"/>
              <w:color w:val="auto"/>
              <w:sz w:val="21"/>
              <w:szCs w:val="21"/>
              <w:highlight w:val="none"/>
            </w:rPr>
            <w:t xml:space="preserve">25</w:t>
          </w:r>
          <w:r>
            <w:rPr>
              <w:rFonts w:hint="eastAsia" w:ascii="等线" w:hAnsi="等线" w:eastAsia="等线" w:cs="等线"/>
              <w:color w:val="auto"/>
              <w:sz w:val="21"/>
              <w:szCs w:val="21"/>
              <w:highlight w:val="none"/>
            </w:rPr>
            <w:fldChar w:fldCharType="end"/>
          </w:r>
          <w:r>
            <w:rPr>
              <w:rFonts w:hint="eastAsia" w:ascii="等线" w:hAnsi="等线" w:eastAsia="等线" w:cs="等线"/>
              <w:bCs/>
              <w:color w:val="auto"/>
              <w:sz w:val="21"/>
              <w:szCs w:val="21"/>
              <w:highlight w:val="none"/>
              <w:lang w:val="zh-CN" w:bidi="zh-CN"/>
            </w:rPr>
            <w:fldChar w:fldCharType="end"/>
          </w:r>
          <w:r/>
        </w:p>
        <w:p>
          <w:pPr>
            <w:pStyle w:val="955"/>
            <w:keepLines w:val="0"/>
            <w:keepNext w:val="0"/>
            <w:pageBreakBefore w:val="0"/>
            <w:spacing w:line="360" w:lineRule="auto"/>
            <w:widowControl w:val="off"/>
            <w:tabs>
              <w:tab w:val="right" w:pos="9468" w:leader="dot"/>
            </w:tabs>
            <w:rPr>
              <w:rFonts w:hint="eastAsia" w:ascii="等线" w:hAnsi="等线" w:eastAsia="等线" w:cs="等线"/>
              <w:color w:val="auto"/>
              <w:sz w:val="21"/>
              <w:szCs w:val="21"/>
              <w:highlight w:val="none"/>
            </w:rPr>
          </w:pPr>
          <w:r>
            <w:rPr>
              <w:rFonts w:hint="eastAsia" w:ascii="等线" w:hAnsi="等线" w:eastAsia="等线" w:cs="等线"/>
              <w:bCs/>
              <w:color w:val="auto"/>
              <w:sz w:val="21"/>
              <w:szCs w:val="21"/>
              <w:highlight w:val="none"/>
              <w:lang w:val="zh-CN" w:bidi="zh-CN"/>
            </w:rPr>
            <w:fldChar w:fldCharType="begin"/>
          </w:r>
          <w:r>
            <w:rPr>
              <w:rFonts w:hint="eastAsia" w:ascii="等线" w:hAnsi="等线" w:eastAsia="等线" w:cs="等线"/>
              <w:bCs/>
              <w:color w:val="auto"/>
              <w:sz w:val="21"/>
              <w:szCs w:val="21"/>
              <w:highlight w:val="none"/>
              <w:lang w:val="zh-CN" w:bidi="zh-CN"/>
            </w:rPr>
            <w:instrText xml:space="preserve"> HYPERLINK \l _Toc25482 </w:instrText>
          </w:r>
          <w:r>
            <w:rPr>
              <w:rFonts w:hint="eastAsia" w:ascii="等线" w:hAnsi="等线" w:eastAsia="等线" w:cs="等线"/>
              <w:bCs/>
              <w:color w:val="auto"/>
              <w:sz w:val="21"/>
              <w:szCs w:val="21"/>
              <w:highlight w:val="none"/>
              <w:lang w:val="zh-CN" w:bidi="zh-CN"/>
            </w:rPr>
            <w:fldChar w:fldCharType="separate"/>
          </w:r>
          <w:r>
            <w:rPr>
              <w:rFonts w:hint="eastAsia" w:ascii="等线" w:hAnsi="等线" w:eastAsia="等线" w:cs="等线"/>
              <w:color w:val="auto"/>
              <w:sz w:val="21"/>
              <w:szCs w:val="21"/>
              <w:highlight w:val="none"/>
            </w:rPr>
            <w:t xml:space="preserve">第五章</w:t>
          </w:r>
          <w:r>
            <w:rPr>
              <w:rFonts w:hint="eastAsia" w:ascii="等线" w:hAnsi="等线" w:eastAsia="等线" w:cs="等线"/>
              <w:color w:val="auto"/>
              <w:sz w:val="21"/>
              <w:szCs w:val="21"/>
              <w:highlight w:val="none"/>
              <w:lang w:val="en-US" w:eastAsia="zh-CN"/>
            </w:rPr>
            <w:t xml:space="preserve"> </w:t>
          </w:r>
          <w:r>
            <w:rPr>
              <w:rFonts w:hint="eastAsia" w:ascii="等线" w:hAnsi="等线" w:eastAsia="等线" w:cs="等线"/>
              <w:color w:val="auto"/>
              <w:sz w:val="21"/>
              <w:szCs w:val="21"/>
              <w:highlight w:val="none"/>
            </w:rPr>
            <w:t xml:space="preserve">合同主要条款及格式</w:t>
          </w:r>
          <w:r>
            <w:rPr>
              <w:rFonts w:hint="eastAsia" w:ascii="等线" w:hAnsi="等线" w:eastAsia="等线" w:cs="等线"/>
              <w:color w:val="auto"/>
              <w:sz w:val="21"/>
              <w:szCs w:val="21"/>
              <w:highlight w:val="none"/>
            </w:rPr>
            <w:tab/>
          </w:r>
          <w:r>
            <w:rPr>
              <w:rFonts w:hint="eastAsia" w:ascii="等线" w:hAnsi="等线" w:eastAsia="等线" w:cs="等线"/>
              <w:color w:val="auto"/>
              <w:sz w:val="21"/>
              <w:szCs w:val="21"/>
              <w:highlight w:val="none"/>
            </w:rPr>
            <w:fldChar w:fldCharType="begin"/>
          </w:r>
          <w:r>
            <w:rPr>
              <w:rFonts w:hint="eastAsia" w:ascii="等线" w:hAnsi="等线" w:eastAsia="等线" w:cs="等线"/>
              <w:color w:val="auto"/>
              <w:sz w:val="21"/>
              <w:szCs w:val="21"/>
              <w:highlight w:val="none"/>
            </w:rPr>
            <w:instrText xml:space="preserve"> PAGEREF _Toc25482 \h </w:instrText>
          </w:r>
          <w:r>
            <w:rPr>
              <w:rFonts w:hint="eastAsia" w:ascii="等线" w:hAnsi="等线" w:eastAsia="等线" w:cs="等线"/>
              <w:color w:val="auto"/>
              <w:sz w:val="21"/>
              <w:szCs w:val="21"/>
              <w:highlight w:val="none"/>
            </w:rPr>
            <w:fldChar w:fldCharType="separate"/>
          </w:r>
          <w:r>
            <w:rPr>
              <w:rFonts w:hint="eastAsia" w:ascii="等线" w:hAnsi="等线" w:eastAsia="等线" w:cs="等线"/>
              <w:color w:val="auto"/>
              <w:sz w:val="21"/>
              <w:szCs w:val="21"/>
              <w:highlight w:val="none"/>
            </w:rPr>
            <w:t xml:space="preserve">81</w:t>
          </w:r>
          <w:r>
            <w:rPr>
              <w:rFonts w:hint="eastAsia" w:ascii="等线" w:hAnsi="等线" w:eastAsia="等线" w:cs="等线"/>
              <w:color w:val="auto"/>
              <w:sz w:val="21"/>
              <w:szCs w:val="21"/>
              <w:highlight w:val="none"/>
            </w:rPr>
            <w:fldChar w:fldCharType="end"/>
          </w:r>
          <w:r>
            <w:rPr>
              <w:rFonts w:hint="eastAsia" w:ascii="等线" w:hAnsi="等线" w:eastAsia="等线" w:cs="等线"/>
              <w:bCs/>
              <w:color w:val="auto"/>
              <w:sz w:val="21"/>
              <w:szCs w:val="21"/>
              <w:highlight w:val="none"/>
              <w:lang w:val="zh-CN" w:bidi="zh-CN"/>
            </w:rPr>
            <w:fldChar w:fldCharType="end"/>
          </w:r>
          <w:r/>
        </w:p>
        <w:p>
          <w:pPr>
            <w:pStyle w:val="955"/>
            <w:keepLines w:val="0"/>
            <w:keepNext w:val="0"/>
            <w:pageBreakBefore w:val="0"/>
            <w:spacing w:line="360" w:lineRule="auto"/>
            <w:widowControl w:val="off"/>
            <w:tabs>
              <w:tab w:val="right" w:pos="9468" w:leader="dot"/>
            </w:tabs>
            <w:rPr>
              <w:rFonts w:hint="eastAsia" w:ascii="等线" w:hAnsi="等线" w:eastAsia="等线" w:cs="等线"/>
              <w:color w:val="auto"/>
              <w:sz w:val="21"/>
              <w:szCs w:val="21"/>
              <w:highlight w:val="none"/>
            </w:rPr>
          </w:pPr>
          <w:r>
            <w:rPr>
              <w:rFonts w:hint="eastAsia" w:ascii="等线" w:hAnsi="等线" w:eastAsia="等线" w:cs="等线"/>
              <w:bCs/>
              <w:color w:val="auto"/>
              <w:sz w:val="21"/>
              <w:szCs w:val="21"/>
              <w:highlight w:val="none"/>
              <w:lang w:val="zh-CN" w:bidi="zh-CN"/>
            </w:rPr>
            <w:fldChar w:fldCharType="begin"/>
          </w:r>
          <w:r>
            <w:rPr>
              <w:rFonts w:hint="eastAsia" w:ascii="等线" w:hAnsi="等线" w:eastAsia="等线" w:cs="等线"/>
              <w:bCs/>
              <w:color w:val="auto"/>
              <w:sz w:val="21"/>
              <w:szCs w:val="21"/>
              <w:highlight w:val="none"/>
              <w:lang w:val="zh-CN" w:bidi="zh-CN"/>
            </w:rPr>
            <w:instrText xml:space="preserve"> HYPERLINK \l _Toc1820 </w:instrText>
          </w:r>
          <w:r>
            <w:rPr>
              <w:rFonts w:hint="eastAsia" w:ascii="等线" w:hAnsi="等线" w:eastAsia="等线" w:cs="等线"/>
              <w:bCs/>
              <w:color w:val="auto"/>
              <w:sz w:val="21"/>
              <w:szCs w:val="21"/>
              <w:highlight w:val="none"/>
              <w:lang w:val="zh-CN" w:bidi="zh-CN"/>
            </w:rPr>
            <w:fldChar w:fldCharType="separate"/>
          </w:r>
          <w:r>
            <w:rPr>
              <w:rFonts w:hint="eastAsia" w:ascii="等线" w:hAnsi="等线" w:eastAsia="等线" w:cs="等线"/>
              <w:color w:val="auto"/>
              <w:sz w:val="21"/>
              <w:szCs w:val="21"/>
              <w:highlight w:val="none"/>
            </w:rPr>
            <w:t xml:space="preserve">第六章投标文件格式及附件</w:t>
          </w:r>
          <w:r>
            <w:rPr>
              <w:rFonts w:hint="eastAsia" w:ascii="等线" w:hAnsi="等线" w:eastAsia="等线" w:cs="等线"/>
              <w:color w:val="auto"/>
              <w:sz w:val="21"/>
              <w:szCs w:val="21"/>
              <w:highlight w:val="none"/>
            </w:rPr>
            <w:tab/>
          </w:r>
          <w:r>
            <w:rPr>
              <w:rFonts w:hint="eastAsia" w:ascii="等线" w:hAnsi="等线" w:eastAsia="等线" w:cs="等线"/>
              <w:color w:val="auto"/>
              <w:sz w:val="21"/>
              <w:szCs w:val="21"/>
              <w:highlight w:val="none"/>
            </w:rPr>
            <w:fldChar w:fldCharType="begin"/>
          </w:r>
          <w:r>
            <w:rPr>
              <w:rFonts w:hint="eastAsia" w:ascii="等线" w:hAnsi="等线" w:eastAsia="等线" w:cs="等线"/>
              <w:color w:val="auto"/>
              <w:sz w:val="21"/>
              <w:szCs w:val="21"/>
              <w:highlight w:val="none"/>
            </w:rPr>
            <w:instrText xml:space="preserve"> PAGEREF _Toc1820 \h </w:instrText>
          </w:r>
          <w:r>
            <w:rPr>
              <w:rFonts w:hint="eastAsia" w:ascii="等线" w:hAnsi="等线" w:eastAsia="等线" w:cs="等线"/>
              <w:color w:val="auto"/>
              <w:sz w:val="21"/>
              <w:szCs w:val="21"/>
              <w:highlight w:val="none"/>
            </w:rPr>
            <w:fldChar w:fldCharType="separate"/>
          </w:r>
          <w:r>
            <w:rPr>
              <w:rFonts w:hint="eastAsia" w:ascii="等线" w:hAnsi="等线" w:eastAsia="等线" w:cs="等线"/>
              <w:color w:val="auto"/>
              <w:sz w:val="21"/>
              <w:szCs w:val="21"/>
              <w:highlight w:val="none"/>
            </w:rPr>
            <w:t xml:space="preserve">88</w:t>
          </w:r>
          <w:r>
            <w:rPr>
              <w:rFonts w:hint="eastAsia" w:ascii="等线" w:hAnsi="等线" w:eastAsia="等线" w:cs="等线"/>
              <w:color w:val="auto"/>
              <w:sz w:val="21"/>
              <w:szCs w:val="21"/>
              <w:highlight w:val="none"/>
            </w:rPr>
            <w:fldChar w:fldCharType="end"/>
          </w:r>
          <w:r>
            <w:rPr>
              <w:rFonts w:hint="eastAsia" w:ascii="等线" w:hAnsi="等线" w:eastAsia="等线" w:cs="等线"/>
              <w:bCs/>
              <w:color w:val="auto"/>
              <w:sz w:val="21"/>
              <w:szCs w:val="21"/>
              <w:highlight w:val="none"/>
              <w:lang w:val="zh-CN" w:bidi="zh-CN"/>
            </w:rPr>
            <w:fldChar w:fldCharType="end"/>
          </w:r>
          <w:r/>
        </w:p>
        <w:p>
          <w:pPr>
            <w:pStyle w:val="955"/>
            <w:tabs>
              <w:tab w:val="right" w:pos="9468" w:leader="dot"/>
            </w:tabs>
            <w:rPr>
              <w:rFonts w:hint="eastAsia" w:ascii="等线" w:hAnsi="等线" w:eastAsia="等线" w:cs="等线"/>
              <w:color w:val="auto"/>
              <w:sz w:val="21"/>
              <w:szCs w:val="21"/>
              <w:highlight w:val="none"/>
            </w:rPr>
          </w:pPr>
          <w:r>
            <w:rPr>
              <w:rFonts w:hint="eastAsia" w:ascii="等线" w:hAnsi="等线" w:eastAsia="等线" w:cs="等线"/>
              <w:color w:val="auto"/>
              <w:sz w:val="21"/>
              <w:szCs w:val="21"/>
              <w:highlight w:val="none"/>
            </w:rPr>
          </w:r>
          <w:r/>
        </w:p>
        <w:p>
          <w:pPr>
            <w:pStyle w:val="926"/>
            <w:ind w:firstLine="422"/>
            <w:spacing w:line="360" w:lineRule="auto"/>
            <w:rPr>
              <w:rFonts w:hint="eastAsia" w:ascii="宋体" w:hAnsi="宋体" w:eastAsia="宋体" w:cs="宋体"/>
              <w:bCs/>
              <w:color w:val="auto"/>
              <w:sz w:val="21"/>
              <w:szCs w:val="32"/>
              <w:highlight w:val="none"/>
              <w:lang w:val="zh-CN" w:bidi="zh-CN"/>
            </w:rPr>
          </w:pPr>
          <w:r>
            <w:rPr>
              <w:rFonts w:hint="eastAsia" w:ascii="等线" w:hAnsi="等线" w:eastAsia="等线" w:cs="等线"/>
              <w:bCs/>
              <w:color w:val="auto"/>
              <w:sz w:val="21"/>
              <w:szCs w:val="21"/>
              <w:highlight w:val="none"/>
              <w:lang w:val="zh-CN" w:bidi="zh-CN"/>
            </w:rPr>
            <w:fldChar w:fldCharType="end"/>
          </w:r>
          <w:r/>
        </w:p>
      </w:sdtContent>
    </w:sdt>
    <w:p>
      <w:pPr>
        <w:pStyle w:val="926"/>
        <w:ind w:firstLine="422"/>
        <w:spacing w:line="360" w:lineRule="auto"/>
        <w:rPr>
          <w:rFonts w:hint="eastAsia" w:ascii="宋体" w:hAnsi="宋体" w:eastAsia="宋体" w:cs="宋体"/>
          <w:bCs/>
          <w:color w:val="auto"/>
          <w:sz w:val="21"/>
          <w:szCs w:val="32"/>
          <w:highlight w:val="none"/>
          <w:lang w:val="zh-CN" w:bidi="zh-CN"/>
        </w:rPr>
        <w:sectPr>
          <w:headerReference w:type="default" r:id="rId9"/>
          <w:headerReference w:type="first" r:id="rId10"/>
          <w:footnotePr/>
          <w:endnotePr/>
          <w:type w:val="nextPage"/>
          <w:pgSz w:w="11906" w:h="16838" w:orient="portrait"/>
          <w:pgMar w:top="1418" w:right="1134" w:bottom="1247" w:left="1304" w:header="851" w:footer="992" w:gutter="0"/>
          <w:cols w:num="1" w:sep="0" w:space="1701" w:equalWidth="1"/>
          <w:docGrid w:linePitch="360"/>
        </w:sectPr>
      </w:pPr>
      <w:r/>
      <w:bookmarkStart w:id="207" w:name="_GoBack"/>
      <w:r/>
      <w:bookmarkEnd w:id="207"/>
      <w:r/>
      <w:r/>
    </w:p>
    <w:p>
      <w:pPr>
        <w:pStyle w:val="990"/>
        <w:numPr>
          <w:ilvl w:val="0"/>
          <w:numId w:val="1"/>
        </w:numPr>
        <w:ind w:left="15" w:hanging="15"/>
        <w:jc w:val="center"/>
        <w:spacing w:line="360" w:lineRule="auto"/>
        <w:rPr>
          <w:rFonts w:hint="eastAsia" w:ascii="宋体" w:hAnsi="宋体" w:eastAsia="宋体" w:cs="宋体"/>
          <w:b/>
          <w:color w:val="auto"/>
          <w:sz w:val="32"/>
          <w:szCs w:val="32"/>
          <w:highlight w:val="none"/>
        </w:rPr>
        <w:outlineLvl w:val="0"/>
      </w:pPr>
      <w:r/>
      <w:bookmarkStart w:id="6" w:name="_Toc3658"/>
      <w:r>
        <w:rPr>
          <w:rFonts w:hint="eastAsia" w:ascii="宋体" w:hAnsi="宋体" w:eastAsia="宋体" w:cs="宋体"/>
          <w:b/>
          <w:color w:val="auto"/>
          <w:sz w:val="32"/>
          <w:szCs w:val="32"/>
          <w:highlight w:val="none"/>
        </w:rPr>
        <w:t xml:space="preserve">招标公告</w:t>
      </w:r>
      <w:bookmarkEnd w:id="6"/>
      <w:r/>
      <w:r/>
    </w:p>
    <w:tbl>
      <w:tblPr>
        <w:tblStyle w:val="976"/>
        <w:tblW w:w="0" w:type="auto"/>
        <w:tblInd w:w="144"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left w:w="108" w:type="dxa"/>
          <w:top w:w="0" w:type="dxa"/>
          <w:right w:w="108" w:type="dxa"/>
          <w:bottom w:w="0" w:type="dxa"/>
        </w:tblCellMar>
        <w:tblLook w:val="04A0" w:firstRow="1" w:lastRow="0" w:firstColumn="1" w:lastColumn="0" w:noHBand="0" w:noVBand="1"/>
      </w:tblPr>
      <w:tblGrid>
        <w:gridCol w:w="9484"/>
      </w:tblGrid>
      <w:tr>
        <w:trPr/>
        <w:tc>
          <w:tcPr>
            <w:tcW w:w="9541" w:type="dxa"/>
            <w:textDirection w:val="lrTb"/>
            <w:noWrap w:val="false"/>
          </w:tcPr>
          <w:p>
            <w:pPr>
              <w:ind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项目概况</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lang w:val="zh-CN"/>
              </w:rPr>
              <w:t xml:space="preserve">2026年江宁区东山城区园林绿化养护服务项目</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项目的潜在</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应在</w:t>
            </w:r>
            <w:r>
              <w:rPr>
                <w:rFonts w:hint="eastAsia" w:ascii="宋体" w:hAnsi="宋体" w:eastAsia="宋体" w:cs="宋体"/>
                <w:color w:val="auto"/>
                <w:sz w:val="21"/>
                <w:szCs w:val="21"/>
                <w:highlight w:val="none"/>
                <w:u w:val="single"/>
              </w:rPr>
              <w:t xml:space="preserve">江苏政府采购网</w:t>
            </w:r>
            <w:r>
              <w:rPr>
                <w:rFonts w:hint="eastAsia" w:ascii="宋体" w:hAnsi="宋体" w:eastAsia="宋体" w:cs="宋体"/>
                <w:color w:val="auto"/>
                <w:sz w:val="21"/>
                <w:szCs w:val="21"/>
                <w:highlight w:val="none"/>
                <w:u w:val="none"/>
                <w:lang w:val="en-US" w:eastAsia="zh-CN"/>
              </w:rPr>
              <w:t xml:space="preserve">自行免费下载</w:t>
            </w:r>
            <w:r>
              <w:rPr>
                <w:rFonts w:hint="eastAsia" w:ascii="宋体" w:hAnsi="宋体" w:eastAsia="宋体" w:cs="宋体"/>
                <w:color w:val="auto"/>
                <w:sz w:val="21"/>
                <w:szCs w:val="21"/>
                <w:highlight w:val="none"/>
              </w:rPr>
              <w:t xml:space="preserve">获取</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文件，并于</w:t>
            </w:r>
            <w:r>
              <w:rPr>
                <w:rFonts w:hint="eastAsia" w:ascii="宋体" w:hAnsi="宋体" w:eastAsia="宋体" w:cs="宋体"/>
                <w:color w:val="auto"/>
                <w:sz w:val="21"/>
                <w:szCs w:val="21"/>
                <w:highlight w:val="none"/>
                <w:u w:val="single"/>
              </w:rPr>
              <w:t xml:space="preserve">202</w:t>
            </w:r>
            <w:r>
              <w:rPr>
                <w:rFonts w:hint="eastAsia" w:ascii="宋体" w:hAnsi="宋体" w:eastAsia="宋体" w:cs="宋体"/>
                <w:color w:val="auto"/>
                <w:sz w:val="21"/>
                <w:szCs w:val="21"/>
                <w:highlight w:val="none"/>
                <w:u w:val="single"/>
                <w:lang w:val="en-US" w:eastAsia="zh-CN"/>
              </w:rPr>
              <w:t xml:space="preserve">6</w:t>
            </w:r>
            <w:r>
              <w:rPr>
                <w:rFonts w:hint="eastAsia" w:ascii="宋体" w:hAnsi="宋体" w:eastAsia="宋体" w:cs="宋体"/>
                <w:color w:val="auto"/>
                <w:sz w:val="21"/>
                <w:szCs w:val="21"/>
                <w:highlight w:val="none"/>
                <w:u w:val="single"/>
              </w:rPr>
              <w:t xml:space="preserve">年</w:t>
            </w:r>
            <w:r>
              <w:rPr>
                <w:rFonts w:hint="eastAsia" w:ascii="宋体" w:hAnsi="宋体" w:eastAsia="宋体" w:cs="宋体"/>
                <w:color w:val="auto"/>
                <w:sz w:val="21"/>
                <w:szCs w:val="21"/>
                <w:highlight w:val="none"/>
                <w:u w:val="single"/>
                <w:lang w:val="en-US" w:eastAsia="zh-CN"/>
              </w:rPr>
              <w:t xml:space="preserve">10</w:t>
            </w:r>
            <w:r>
              <w:rPr>
                <w:rFonts w:hint="eastAsia" w:ascii="宋体" w:hAnsi="宋体" w:eastAsia="宋体" w:cs="宋体"/>
                <w:color w:val="auto"/>
                <w:sz w:val="21"/>
                <w:szCs w:val="21"/>
                <w:highlight w:val="none"/>
                <w:u w:val="single"/>
              </w:rPr>
              <w:t xml:space="preserve">月</w:t>
            </w:r>
            <w:r>
              <w:rPr>
                <w:rFonts w:hint="eastAsia" w:ascii="宋体" w:hAnsi="宋体" w:eastAsia="宋体" w:cs="宋体"/>
                <w:color w:val="auto"/>
                <w:sz w:val="21"/>
                <w:szCs w:val="21"/>
                <w:highlight w:val="none"/>
                <w:u w:val="single"/>
                <w:lang w:val="en-US" w:eastAsia="zh-CN"/>
              </w:rPr>
              <w:t xml:space="preserve">9</w:t>
            </w:r>
            <w:r>
              <w:rPr>
                <w:rFonts w:hint="eastAsia" w:ascii="宋体" w:hAnsi="宋体" w:eastAsia="宋体" w:cs="宋体"/>
                <w:color w:val="auto"/>
                <w:sz w:val="21"/>
                <w:szCs w:val="21"/>
                <w:highlight w:val="none"/>
                <w:u w:val="single"/>
              </w:rPr>
              <w:t xml:space="preserve">日</w:t>
            </w:r>
            <w:r>
              <w:rPr>
                <w:rFonts w:hint="eastAsia" w:ascii="宋体" w:hAnsi="宋体" w:eastAsia="宋体" w:cs="宋体"/>
                <w:color w:val="auto"/>
                <w:sz w:val="21"/>
                <w:szCs w:val="21"/>
                <w:highlight w:val="none"/>
                <w:u w:val="single"/>
                <w:lang w:val="en-US" w:eastAsia="zh-CN"/>
              </w:rPr>
              <w:t xml:space="preserve">14</w:t>
            </w:r>
            <w:r>
              <w:rPr>
                <w:rFonts w:hint="eastAsia" w:ascii="宋体" w:hAnsi="宋体" w:eastAsia="宋体" w:cs="宋体"/>
                <w:color w:val="auto"/>
                <w:sz w:val="21"/>
                <w:szCs w:val="21"/>
                <w:highlight w:val="none"/>
                <w:u w:val="single"/>
              </w:rPr>
              <w:t xml:space="preserve">时</w:t>
            </w:r>
            <w:r>
              <w:rPr>
                <w:rFonts w:hint="eastAsia" w:ascii="宋体" w:hAnsi="宋体" w:eastAsia="宋体" w:cs="宋体"/>
                <w:color w:val="auto"/>
                <w:sz w:val="21"/>
                <w:szCs w:val="21"/>
                <w:highlight w:val="none"/>
                <w:u w:val="single"/>
                <w:lang w:val="en-US" w:eastAsia="zh-CN"/>
              </w:rPr>
              <w:t xml:space="preserve">00</w:t>
            </w:r>
            <w:r>
              <w:rPr>
                <w:rFonts w:hint="eastAsia" w:ascii="宋体" w:hAnsi="宋体" w:eastAsia="宋体" w:cs="宋体"/>
                <w:color w:val="auto"/>
                <w:sz w:val="21"/>
                <w:szCs w:val="21"/>
                <w:highlight w:val="none"/>
                <w:u w:val="single"/>
              </w:rPr>
              <w:t xml:space="preserve">分</w:t>
            </w:r>
            <w:r>
              <w:rPr>
                <w:rFonts w:hint="eastAsia" w:ascii="宋体" w:hAnsi="宋体" w:eastAsia="宋体" w:cs="宋体"/>
                <w:color w:val="auto"/>
                <w:sz w:val="21"/>
                <w:szCs w:val="21"/>
                <w:highlight w:val="none"/>
              </w:rPr>
              <w:t xml:space="preserve">（北京时间）前递交</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文件。</w:t>
            </w:r>
            <w:r/>
          </w:p>
        </w:tc>
      </w:tr>
    </w:tbl>
    <w:p>
      <w:pPr>
        <w:ind w:firstLine="422"/>
        <w:keepLines w:val="0"/>
        <w:keepNext w:val="0"/>
        <w:pageBreakBefore w:val="0"/>
        <w:spacing w:line="360" w:lineRule="auto"/>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r>
      <w:r/>
    </w:p>
    <w:p>
      <w:pPr>
        <w:ind w:firstLine="422"/>
        <w:keepLines w:val="0"/>
        <w:keepNext w:val="0"/>
        <w:pageBreakBefore w:val="0"/>
        <w:spacing w:line="360" w:lineRule="auto"/>
        <w:rPr>
          <w:rFonts w:hint="eastAsia" w:ascii="宋体" w:hAnsi="宋体" w:eastAsia="宋体" w:cs="宋体"/>
          <w:b/>
          <w:bCs/>
          <w:color w:val="auto"/>
          <w:sz w:val="21"/>
          <w:szCs w:val="21"/>
          <w:highlight w:val="none"/>
        </w:rPr>
        <w:outlineLvl w:val="1"/>
      </w:pPr>
      <w:r/>
      <w:bookmarkStart w:id="7" w:name="_Toc18382"/>
      <w:r>
        <w:rPr>
          <w:rFonts w:hint="eastAsia" w:ascii="宋体" w:hAnsi="宋体" w:eastAsia="宋体" w:cs="宋体"/>
          <w:b/>
          <w:bCs/>
          <w:color w:val="auto"/>
          <w:sz w:val="21"/>
          <w:szCs w:val="21"/>
          <w:highlight w:val="none"/>
        </w:rPr>
        <w:t xml:space="preserve">一、项目基本情况</w:t>
      </w:r>
      <w:bookmarkEnd w:id="7"/>
      <w:r/>
      <w:r/>
    </w:p>
    <w:p>
      <w:pPr>
        <w:ind w:firstLine="42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项目编号：</w:t>
      </w:r>
      <w:r>
        <w:rPr>
          <w:rFonts w:hint="eastAsia" w:ascii="宋体" w:hAnsi="宋体" w:eastAsia="宋体" w:cs="宋体"/>
          <w:color w:val="auto"/>
          <w:sz w:val="21"/>
          <w:szCs w:val="21"/>
          <w:highlight w:val="none"/>
          <w:lang w:eastAsia="zh-CN"/>
        </w:rPr>
        <w:t xml:space="preserve">JSZC-320115-KXDA-G2026-0005。</w:t>
      </w:r>
      <w:r/>
    </w:p>
    <w:p>
      <w:pPr>
        <w:ind w:firstLine="42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项目名称：</w:t>
      </w:r>
      <w:r>
        <w:rPr>
          <w:rFonts w:hint="eastAsia" w:ascii="宋体" w:hAnsi="宋体" w:eastAsia="宋体" w:cs="宋体"/>
          <w:color w:val="auto"/>
          <w:sz w:val="21"/>
          <w:szCs w:val="21"/>
          <w:highlight w:val="none"/>
          <w:lang w:eastAsia="zh-CN"/>
        </w:rPr>
        <w:t xml:space="preserve">2026年江宁区东山城区园林绿化养护服务项目。</w:t>
      </w:r>
      <w:r/>
    </w:p>
    <w:p>
      <w:pPr>
        <w:ind w:firstLine="42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rPr>
        <w:t xml:space="preserve">招标方式：公开招标</w:t>
      </w:r>
      <w:r>
        <w:rPr>
          <w:rFonts w:hint="eastAsia" w:ascii="宋体" w:hAnsi="宋体" w:eastAsia="宋体" w:cs="宋体"/>
          <w:color w:val="auto"/>
          <w:sz w:val="21"/>
          <w:szCs w:val="21"/>
          <w:highlight w:val="none"/>
          <w:lang w:eastAsia="zh-CN"/>
        </w:rPr>
        <w:t xml:space="preserve">。</w:t>
      </w:r>
      <w:r/>
    </w:p>
    <w:p>
      <w:pPr>
        <w:pStyle w:val="926"/>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w:t>
      </w:r>
      <w:r>
        <w:rPr>
          <w:rFonts w:hint="eastAsia" w:ascii="宋体" w:hAnsi="宋体" w:eastAsia="宋体" w:cs="宋体"/>
          <w:color w:val="auto"/>
          <w:sz w:val="21"/>
          <w:szCs w:val="21"/>
          <w:highlight w:val="none"/>
        </w:rPr>
        <w:t xml:space="preserve">预算金额：</w:t>
      </w:r>
      <w:r>
        <w:rPr>
          <w:rFonts w:hint="eastAsia" w:ascii="宋体" w:hAnsi="宋体" w:eastAsia="宋体" w:cs="宋体"/>
          <w:color w:val="auto"/>
          <w:sz w:val="21"/>
          <w:szCs w:val="21"/>
          <w:highlight w:val="none"/>
          <w:lang w:val="en-US" w:eastAsia="zh-CN"/>
        </w:rPr>
        <w:t xml:space="preserve">2900</w:t>
      </w:r>
      <w:r>
        <w:rPr>
          <w:rFonts w:hint="eastAsia" w:ascii="宋体" w:hAnsi="宋体" w:eastAsia="宋体" w:cs="宋体"/>
          <w:color w:val="auto"/>
          <w:sz w:val="21"/>
          <w:szCs w:val="21"/>
          <w:highlight w:val="none"/>
        </w:rPr>
        <w:t xml:space="preserve">万元（其中园林绿化日常养护</w:t>
      </w:r>
      <w:r>
        <w:rPr>
          <w:rFonts w:hint="eastAsia" w:ascii="宋体" w:hAnsi="宋体" w:eastAsia="宋体" w:cs="宋体"/>
          <w:color w:val="auto"/>
          <w:sz w:val="21"/>
          <w:szCs w:val="21"/>
          <w:highlight w:val="none"/>
          <w:lang w:val="en-US" w:eastAsia="zh-CN"/>
        </w:rPr>
        <w:t xml:space="preserve">2700</w:t>
      </w:r>
      <w:r>
        <w:rPr>
          <w:rFonts w:hint="eastAsia" w:ascii="宋体" w:hAnsi="宋体" w:eastAsia="宋体" w:cs="宋体"/>
          <w:color w:val="auto"/>
          <w:sz w:val="21"/>
          <w:szCs w:val="21"/>
          <w:highlight w:val="none"/>
        </w:rPr>
        <w:t xml:space="preserve">万元，维修专项</w:t>
      </w:r>
      <w:r>
        <w:rPr>
          <w:rFonts w:hint="eastAsia" w:ascii="宋体" w:hAnsi="宋体" w:eastAsia="宋体" w:cs="宋体"/>
          <w:color w:val="auto"/>
          <w:sz w:val="21"/>
          <w:szCs w:val="21"/>
          <w:highlight w:val="none"/>
          <w:lang w:val="en-US" w:eastAsia="zh-CN"/>
        </w:rPr>
        <w:t xml:space="preserve">200</w:t>
      </w:r>
      <w:r>
        <w:rPr>
          <w:rFonts w:hint="eastAsia" w:ascii="宋体" w:hAnsi="宋体" w:eastAsia="宋体" w:cs="宋体"/>
          <w:color w:val="auto"/>
          <w:sz w:val="21"/>
          <w:szCs w:val="21"/>
          <w:highlight w:val="none"/>
        </w:rPr>
        <w:t xml:space="preserve">万元）</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最高限价：</w:t>
      </w:r>
      <w:r>
        <w:rPr>
          <w:rFonts w:hint="eastAsia" w:ascii="宋体" w:hAnsi="宋体" w:eastAsia="宋体" w:cs="宋体"/>
          <w:color w:val="auto"/>
          <w:sz w:val="21"/>
          <w:szCs w:val="21"/>
          <w:highlight w:val="none"/>
          <w:lang w:val="en-US" w:eastAsia="zh-CN"/>
        </w:rPr>
        <w:t xml:space="preserve">2900</w:t>
      </w:r>
      <w:r>
        <w:rPr>
          <w:rFonts w:hint="eastAsia" w:ascii="宋体" w:hAnsi="宋体" w:eastAsia="宋体" w:cs="宋体"/>
          <w:color w:val="auto"/>
          <w:sz w:val="21"/>
          <w:szCs w:val="21"/>
          <w:highlight w:val="none"/>
        </w:rPr>
        <w:t xml:space="preserve">万元（其中园林绿化日常养护</w:t>
      </w:r>
      <w:r>
        <w:rPr>
          <w:rFonts w:hint="eastAsia" w:ascii="宋体" w:hAnsi="宋体" w:eastAsia="宋体" w:cs="宋体"/>
          <w:color w:val="auto"/>
          <w:sz w:val="21"/>
          <w:szCs w:val="21"/>
          <w:highlight w:val="none"/>
          <w:lang w:val="en-US" w:eastAsia="zh-CN"/>
        </w:rPr>
        <w:t xml:space="preserve">2700</w:t>
      </w:r>
      <w:r>
        <w:rPr>
          <w:rFonts w:hint="eastAsia" w:ascii="宋体" w:hAnsi="宋体" w:eastAsia="宋体" w:cs="宋体"/>
          <w:color w:val="auto"/>
          <w:sz w:val="21"/>
          <w:szCs w:val="21"/>
          <w:highlight w:val="none"/>
        </w:rPr>
        <w:t xml:space="preserve">万元，维修专项</w:t>
      </w:r>
      <w:r>
        <w:rPr>
          <w:rFonts w:hint="eastAsia" w:ascii="宋体" w:hAnsi="宋体" w:eastAsia="宋体" w:cs="宋体"/>
          <w:color w:val="auto"/>
          <w:sz w:val="21"/>
          <w:szCs w:val="21"/>
          <w:highlight w:val="none"/>
          <w:lang w:val="en-US" w:eastAsia="zh-CN"/>
        </w:rPr>
        <w:t xml:space="preserve">200</w:t>
      </w:r>
      <w:r>
        <w:rPr>
          <w:rFonts w:hint="eastAsia" w:ascii="宋体" w:hAnsi="宋体" w:eastAsia="宋体" w:cs="宋体"/>
          <w:color w:val="auto"/>
          <w:sz w:val="21"/>
          <w:szCs w:val="21"/>
          <w:highlight w:val="none"/>
        </w:rPr>
        <w:t xml:space="preserve">万元）</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1.6</w:t>
      </w:r>
      <w:r>
        <w:rPr>
          <w:rFonts w:hint="eastAsia" w:ascii="宋体" w:hAnsi="宋体" w:eastAsia="宋体" w:cs="宋体"/>
          <w:color w:val="auto"/>
          <w:sz w:val="21"/>
          <w:szCs w:val="21"/>
          <w:highlight w:val="none"/>
        </w:rPr>
        <w:t xml:space="preserve">采购需求：</w:t>
      </w:r>
      <w:bookmarkStart w:id="8" w:name="_Hlk55746950"/>
      <w:r>
        <w:rPr>
          <w:rFonts w:hint="eastAsia" w:ascii="宋体" w:hAnsi="宋体" w:eastAsia="宋体" w:cs="宋体"/>
          <w:color w:val="auto"/>
          <w:sz w:val="21"/>
          <w:szCs w:val="21"/>
          <w:highlight w:val="none"/>
        </w:rPr>
        <w:t xml:space="preserve">养护内容包括但不限于城市道路园林绿化、滨河绿地、公园广场等，通过日常巡查与维护，及时发现并处理损坏（包含人为破坏、施工破坏等）、缺失等问题，确保设施完好。具体详见招标文件</w:t>
      </w:r>
      <w:bookmarkEnd w:id="8"/>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1.7</w:t>
      </w:r>
      <w:r>
        <w:rPr>
          <w:rFonts w:hint="eastAsia" w:ascii="宋体" w:hAnsi="宋体" w:eastAsia="宋体" w:cs="宋体"/>
          <w:color w:val="auto"/>
          <w:sz w:val="21"/>
          <w:szCs w:val="21"/>
          <w:highlight w:val="none"/>
        </w:rPr>
        <w:t xml:space="preserve">合同履行期限：合同期限为一年。其中：前两个月为试用期，试用期满经采购人考核合格后，合同方为有效。如考核不合格，采购人将终止与中标供应商的服务合同，但中标供应商必须保证采购人各项正常服务，直至下一中标供应商到位方可撤离，期间所产生的费用按试用期合同支付。</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1.8</w:t>
      </w:r>
      <w:r>
        <w:rPr>
          <w:rFonts w:hint="eastAsia" w:ascii="宋体" w:hAnsi="宋体" w:eastAsia="宋体" w:cs="宋体"/>
          <w:color w:val="auto"/>
          <w:sz w:val="21"/>
          <w:szCs w:val="21"/>
          <w:highlight w:val="none"/>
          <w:lang w:val="zh-CN"/>
        </w:rPr>
        <w:t xml:space="preserve">本项目</w:t>
      </w:r>
      <w:r>
        <w:rPr>
          <w:rFonts w:hint="eastAsia" w:ascii="宋体" w:hAnsi="宋体" w:eastAsia="宋体" w:cs="宋体"/>
          <w:color w:val="auto"/>
          <w:sz w:val="21"/>
          <w:szCs w:val="21"/>
          <w:highlight w:val="none"/>
        </w:rPr>
        <w:t xml:space="preserve">不</w:t>
      </w:r>
      <w:r>
        <w:rPr>
          <w:rFonts w:hint="eastAsia" w:ascii="宋体" w:hAnsi="宋体" w:eastAsia="宋体" w:cs="宋体"/>
          <w:color w:val="auto"/>
          <w:sz w:val="21"/>
          <w:szCs w:val="21"/>
          <w:highlight w:val="none"/>
          <w:lang w:val="zh-CN"/>
        </w:rPr>
        <w:t xml:space="preserve">接受联合体招标。</w:t>
      </w:r>
      <w:r/>
    </w:p>
    <w:p>
      <w:pPr>
        <w:ind w:firstLine="422"/>
        <w:keepLines w:val="0"/>
        <w:keepNext w:val="0"/>
        <w:pageBreakBefore w:val="0"/>
        <w:spacing w:line="360" w:lineRule="auto"/>
        <w:rPr>
          <w:rFonts w:hint="eastAsia" w:ascii="宋体" w:hAnsi="宋体" w:eastAsia="宋体" w:cs="宋体"/>
          <w:b/>
          <w:color w:val="auto"/>
          <w:sz w:val="21"/>
          <w:szCs w:val="21"/>
          <w:highlight w:val="none"/>
          <w:lang w:val="zh-CN"/>
        </w:rPr>
        <w:outlineLvl w:val="1"/>
      </w:pPr>
      <w:r/>
      <w:bookmarkStart w:id="9" w:name="_Toc26740"/>
      <w:r>
        <w:rPr>
          <w:rFonts w:hint="eastAsia" w:ascii="宋体" w:hAnsi="宋体" w:eastAsia="宋体" w:cs="宋体"/>
          <w:b/>
          <w:color w:val="auto"/>
          <w:sz w:val="21"/>
          <w:szCs w:val="21"/>
          <w:highlight w:val="none"/>
        </w:rPr>
        <w:t xml:space="preserve">二、申请人资格条件</w:t>
      </w:r>
      <w:bookmarkEnd w:id="9"/>
      <w:r/>
      <w:r/>
    </w:p>
    <w:p>
      <w:pPr>
        <w:ind w:firstLine="426"/>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2.1</w:t>
      </w:r>
      <w:r>
        <w:rPr>
          <w:rFonts w:hint="eastAsia" w:ascii="宋体" w:hAnsi="宋体" w:eastAsia="宋体" w:cs="宋体"/>
          <w:b/>
          <w:bCs/>
          <w:color w:val="auto"/>
          <w:sz w:val="21"/>
          <w:szCs w:val="21"/>
          <w:highlight w:val="none"/>
        </w:rPr>
        <w:t xml:space="preserve">满足《中华人民共和国政府采购法》第二十二条规定:</w:t>
      </w:r>
      <w:r/>
    </w:p>
    <w:p>
      <w:pPr>
        <w:pStyle w:val="926"/>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（1）具有独立承担民事责任的能力（提供法人或者其他组织的营业执照，自然人的身份证明）；</w:t>
      </w:r>
      <w:r/>
    </w:p>
    <w:p>
      <w:pPr>
        <w:pStyle w:val="926"/>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（2）具有良好的商业信誉和健全的财务会计制度（</w:t>
      </w:r>
      <w:r>
        <w:rPr>
          <w:rFonts w:hint="eastAsia" w:ascii="宋体" w:hAnsi="宋体" w:eastAsia="宋体" w:cs="宋体"/>
          <w:bCs/>
          <w:color w:val="auto"/>
          <w:sz w:val="21"/>
          <w:szCs w:val="21"/>
          <w:highlight w:val="none"/>
          <w:lang w:val="en-US"/>
        </w:rPr>
        <w:t xml:space="preserve">提供参加本次政府采购活动前</w:t>
      </w:r>
      <w:r>
        <w:rPr>
          <w:rFonts w:hint="eastAsia" w:ascii="宋体" w:hAnsi="宋体" w:eastAsia="宋体" w:cs="宋体"/>
          <w:bCs/>
          <w:color w:val="auto"/>
          <w:sz w:val="21"/>
          <w:szCs w:val="21"/>
          <w:highlight w:val="none"/>
          <w:lang w:val="en-US" w:eastAsia="zh-CN"/>
        </w:rPr>
        <w:t xml:space="preserve">半年</w:t>
      </w:r>
      <w:r>
        <w:rPr>
          <w:rFonts w:hint="eastAsia" w:ascii="宋体" w:hAnsi="宋体" w:eastAsia="宋体" w:cs="宋体"/>
          <w:bCs/>
          <w:color w:val="auto"/>
          <w:sz w:val="21"/>
          <w:szCs w:val="21"/>
          <w:highlight w:val="none"/>
          <w:lang w:val="en-US"/>
        </w:rPr>
        <w:t xml:space="preserve">内至少一个月份的会计报表（至少包括资产负债表和利润表）或其上一年度经审计的财务报告或近</w:t>
      </w:r>
      <w:r>
        <w:rPr>
          <w:rFonts w:hint="eastAsia" w:ascii="宋体" w:hAnsi="宋体" w:eastAsia="宋体" w:cs="宋体"/>
          <w:bCs/>
          <w:color w:val="auto"/>
          <w:sz w:val="21"/>
          <w:szCs w:val="21"/>
          <w:highlight w:val="none"/>
          <w:lang w:val="en-US" w:eastAsia="zh-CN"/>
        </w:rPr>
        <w:t xml:space="preserve">半年</w:t>
      </w:r>
      <w:r>
        <w:rPr>
          <w:rFonts w:hint="eastAsia" w:ascii="宋体" w:hAnsi="宋体" w:eastAsia="宋体" w:cs="宋体"/>
          <w:bCs/>
          <w:color w:val="auto"/>
          <w:sz w:val="21"/>
          <w:szCs w:val="21"/>
          <w:highlight w:val="none"/>
          <w:lang w:val="en-US"/>
        </w:rPr>
        <w:t xml:space="preserve">内银行出具的资信证明，成立不满6个月的无需提供</w:t>
      </w:r>
      <w:r>
        <w:rPr>
          <w:rFonts w:hint="eastAsia" w:ascii="宋体" w:hAnsi="宋体" w:eastAsia="宋体" w:cs="宋体"/>
          <w:color w:val="auto"/>
          <w:sz w:val="21"/>
          <w:szCs w:val="21"/>
          <w:highlight w:val="none"/>
        </w:rPr>
        <w:t xml:space="preserve">）；</w:t>
      </w:r>
      <w:r/>
    </w:p>
    <w:p>
      <w:pPr>
        <w:pStyle w:val="926"/>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（3）具有履行合同所必需的设备和专业技术能力（提供履行合同所必需的设备和专业技术能力的</w:t>
      </w:r>
      <w:r>
        <w:rPr>
          <w:rFonts w:hint="eastAsia" w:ascii="宋体" w:hAnsi="宋体" w:eastAsia="宋体" w:cs="宋体"/>
          <w:color w:val="auto"/>
          <w:sz w:val="21"/>
          <w:szCs w:val="21"/>
          <w:highlight w:val="none"/>
          <w:lang w:val="en-US" w:eastAsia="zh-CN"/>
        </w:rPr>
        <w:t xml:space="preserve">声明或</w:t>
      </w:r>
      <w:r>
        <w:rPr>
          <w:rFonts w:hint="eastAsia" w:ascii="宋体" w:hAnsi="宋体" w:eastAsia="宋体" w:cs="宋体"/>
          <w:color w:val="auto"/>
          <w:sz w:val="21"/>
          <w:szCs w:val="21"/>
          <w:highlight w:val="none"/>
        </w:rPr>
        <w:t xml:space="preserve">证明材料）；</w:t>
      </w:r>
      <w:r/>
    </w:p>
    <w:p>
      <w:pPr>
        <w:pStyle w:val="926"/>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有依法缴纳税收和社会保障资金的良好记录（提供近半年内任意一个月的纳税证明文件（依法免税的应提供相应文件说明）；并提供近半年内依法为员工缴纳社会保障资金的证明材料（任意一个月即可），证明材料可以是缴费的银行单据复印件、社保机构开具的证明（依法不需要缴纳社会保障资金的应提供相应文件说明））；</w:t>
      </w:r>
      <w:r/>
    </w:p>
    <w:p>
      <w:pPr>
        <w:pStyle w:val="926"/>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（5）参加政府采购活动前三年内，在经营活动中没有重大违法记录（提供参加本次政府采购活动前3年内在经营活动中没有重大违法记录的书面声明）；</w:t>
      </w:r>
      <w:r/>
    </w:p>
    <w:p>
      <w:pPr>
        <w:pStyle w:val="926"/>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（6）法律、行政法规规定的其他条件：无</w:t>
      </w:r>
      <w:r/>
    </w:p>
    <w:p>
      <w:pPr>
        <w:pStyle w:val="926"/>
        <w:ind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落实政府采购政策需要满足的资格条件：</w:t>
      </w:r>
      <w:r/>
    </w:p>
    <w:p>
      <w:pPr>
        <w:pStyle w:val="926"/>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本项目按照采用以下第（4）种方式落实政府采购促进中小企业发展的要求（如属于专门面向中小企业采购的项目，供应商应为中小微企业、监狱企业、残疾人福利性单位）：</w:t>
      </w:r>
      <w:r/>
    </w:p>
    <w:p>
      <w:pPr>
        <w:pStyle w:val="926"/>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（1）本项目整体专门面向中小企业采购</w:t>
      </w: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w:t>
      </w:r>
      <w:r/>
    </w:p>
    <w:p>
      <w:pPr>
        <w:pStyle w:val="926"/>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（2）本项目整体专门面向小微企业采购</w:t>
      </w: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w:t>
      </w:r>
      <w:r/>
    </w:p>
    <w:p>
      <w:pPr>
        <w:pStyle w:val="926"/>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（3）本项目通过以下第（）种方式预留部分采购份额采购中小企业</w:t>
      </w: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w:t>
      </w:r>
      <w:r/>
    </w:p>
    <w:p>
      <w:pPr>
        <w:pStyle w:val="926"/>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①本项目要求供应商以联合体形式参加，中小企业合同金额应当达到的比例为%。</w:t>
      </w:r>
      <w:r/>
    </w:p>
    <w:p>
      <w:pPr>
        <w:pStyle w:val="926"/>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②本项目要求供应商进行合同分包，中小企业合同金额应当达到的比例为%。</w:t>
      </w:r>
      <w:r/>
    </w:p>
    <w:p>
      <w:pPr>
        <w:pStyle w:val="926"/>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（4）本项目为非预留份额的采购项目或采购包，执行价格扣除优惠政策，具体详见采购文件。</w:t>
      </w:r>
      <w:r/>
    </w:p>
    <w:p>
      <w:pPr>
        <w:ind w:firstLine="422"/>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3.采购人根据采购项目的特殊要求规定的特定条件：</w:t>
      </w:r>
      <w:r>
        <w:rPr>
          <w:rFonts w:hint="eastAsia" w:ascii="宋体" w:hAnsi="宋体" w:eastAsia="宋体" w:cs="宋体"/>
          <w:b w:val="0"/>
          <w:bCs w:val="0"/>
          <w:color w:val="auto"/>
          <w:sz w:val="21"/>
          <w:szCs w:val="21"/>
          <w:highlight w:val="none"/>
          <w:lang w:val="en-US" w:eastAsia="zh-CN"/>
        </w:rPr>
        <w:t xml:space="preserve">无</w:t>
      </w:r>
      <w:r/>
    </w:p>
    <w:p>
      <w:pPr>
        <w:ind w:left="420"/>
        <w:keepLines w:val="0"/>
        <w:keepNext w:val="0"/>
        <w:pageBreakBefore w:val="0"/>
        <w:spacing w:line="360" w:lineRule="auto"/>
        <w:shd w:val="clear" w:color="auto" w:fill="ffffff"/>
        <w:widowControl/>
        <w:rPr>
          <w:rFonts w:hint="eastAsia" w:ascii="宋体" w:hAnsi="宋体" w:eastAsia="宋体" w:cs="宋体"/>
          <w:b/>
          <w:bCs/>
          <w:color w:val="auto"/>
          <w:sz w:val="21"/>
          <w:szCs w:val="21"/>
          <w:highlight w:val="none"/>
          <w:lang w:val="zh-CN"/>
        </w:rPr>
        <w:outlineLvl w:val="1"/>
      </w:pPr>
      <w:r/>
      <w:bookmarkStart w:id="10" w:name="_Toc9628"/>
      <w:r>
        <w:rPr>
          <w:rFonts w:hint="eastAsia" w:ascii="宋体" w:hAnsi="宋体" w:eastAsia="宋体" w:cs="宋体"/>
          <w:b/>
          <w:bCs/>
          <w:color w:val="auto"/>
          <w:sz w:val="21"/>
          <w:szCs w:val="21"/>
          <w:highlight w:val="none"/>
        </w:rPr>
        <w:t xml:space="preserve">三、</w:t>
      </w:r>
      <w:r>
        <w:rPr>
          <w:rFonts w:hint="eastAsia" w:ascii="宋体" w:hAnsi="宋体" w:eastAsia="宋体" w:cs="宋体"/>
          <w:b/>
          <w:bCs/>
          <w:color w:val="auto"/>
          <w:sz w:val="21"/>
          <w:szCs w:val="21"/>
          <w:highlight w:val="none"/>
          <w:lang w:val="zh-CN"/>
        </w:rPr>
        <w:t xml:space="preserve">获取</w:t>
      </w:r>
      <w:r>
        <w:rPr>
          <w:rFonts w:hint="eastAsia" w:ascii="宋体" w:hAnsi="宋体" w:eastAsia="宋体" w:cs="宋体"/>
          <w:b/>
          <w:bCs/>
          <w:color w:val="auto"/>
          <w:sz w:val="21"/>
          <w:szCs w:val="21"/>
          <w:highlight w:val="none"/>
        </w:rPr>
        <w:t xml:space="preserve">招标</w:t>
      </w:r>
      <w:r>
        <w:rPr>
          <w:rFonts w:hint="eastAsia" w:ascii="宋体" w:hAnsi="宋体" w:eastAsia="宋体" w:cs="宋体"/>
          <w:b/>
          <w:bCs/>
          <w:color w:val="auto"/>
          <w:sz w:val="21"/>
          <w:szCs w:val="21"/>
          <w:highlight w:val="none"/>
          <w:lang w:val="zh-CN"/>
        </w:rPr>
        <w:t xml:space="preserve">文件</w:t>
      </w:r>
      <w:bookmarkEnd w:id="10"/>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时间：自</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公告发布之日起5个工作日</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地点：“江苏政府采购网”自行免费下载</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售价：0.00元。</w:t>
      </w:r>
      <w:r/>
    </w:p>
    <w:p>
      <w:pPr>
        <w:ind w:firstLine="422"/>
        <w:jc w:val="left"/>
        <w:keepLines w:val="0"/>
        <w:keepNext w:val="0"/>
        <w:pageBreakBefore w:val="0"/>
        <w:spacing w:line="360" w:lineRule="auto"/>
        <w:shd w:val="clear" w:color="auto" w:fill="ffffff"/>
        <w:widowControl/>
        <w:tabs>
          <w:tab w:val="left" w:pos="6164" w:leader="none"/>
        </w:tabs>
        <w:rPr>
          <w:rFonts w:hint="eastAsia" w:ascii="宋体" w:hAnsi="宋体" w:eastAsia="宋体" w:cs="宋体"/>
          <w:b/>
          <w:bCs/>
          <w:color w:val="auto"/>
          <w:sz w:val="21"/>
          <w:szCs w:val="21"/>
          <w:highlight w:val="none"/>
        </w:rPr>
        <w:outlineLvl w:val="1"/>
      </w:pPr>
      <w:r/>
      <w:bookmarkStart w:id="11" w:name="_Toc15558"/>
      <w:r>
        <w:rPr>
          <w:rFonts w:hint="eastAsia" w:ascii="宋体" w:hAnsi="宋体" w:eastAsia="宋体" w:cs="宋体"/>
          <w:b/>
          <w:bCs/>
          <w:color w:val="auto"/>
          <w:sz w:val="21"/>
          <w:szCs w:val="21"/>
          <w:highlight w:val="none"/>
        </w:rPr>
        <w:t xml:space="preserve">四、响应文件提交</w:t>
      </w:r>
      <w:bookmarkEnd w:id="11"/>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截止时间：202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日</w:t>
      </w:r>
      <w:r>
        <w:rPr>
          <w:rFonts w:hint="eastAsia" w:ascii="宋体" w:hAnsi="宋体" w:eastAsia="宋体" w:cs="宋体"/>
          <w:color w:val="auto"/>
          <w:sz w:val="21"/>
          <w:szCs w:val="21"/>
          <w:highlight w:val="none"/>
          <w:lang w:val="en-US" w:eastAsia="zh-CN"/>
        </w:rPr>
        <w:t xml:space="preserve">14</w:t>
      </w:r>
      <w:r>
        <w:rPr>
          <w:rFonts w:hint="eastAsia" w:ascii="宋体" w:hAnsi="宋体" w:eastAsia="宋体" w:cs="宋体"/>
          <w:color w:val="auto"/>
          <w:sz w:val="21"/>
          <w:szCs w:val="21"/>
          <w:highlight w:val="none"/>
        </w:rPr>
        <w:t xml:space="preserve">时</w:t>
      </w:r>
      <w:r>
        <w:rPr>
          <w:rFonts w:hint="eastAsia" w:ascii="宋体" w:hAnsi="宋体" w:eastAsia="宋体" w:cs="宋体"/>
          <w:color w:val="auto"/>
          <w:sz w:val="21"/>
          <w:szCs w:val="21"/>
          <w:highlight w:val="none"/>
          <w:lang w:val="en-US" w:eastAsia="zh-CN"/>
        </w:rPr>
        <w:t xml:space="preserve">00</w:t>
      </w:r>
      <w:r>
        <w:rPr>
          <w:rFonts w:hint="eastAsia" w:ascii="宋体" w:hAnsi="宋体" w:eastAsia="宋体" w:cs="宋体"/>
          <w:color w:val="auto"/>
          <w:sz w:val="21"/>
          <w:szCs w:val="21"/>
          <w:highlight w:val="none"/>
        </w:rPr>
        <w:t xml:space="preserve">分（北京时间）</w:t>
      </w:r>
      <w:r/>
    </w:p>
    <w:p>
      <w:pPr>
        <w:ind w:firstLine="420"/>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地点：江苏省政府采购交易系统（以下简称“苏采云系统”）网上开标大厅</w:t>
      </w:r>
      <w:r/>
    </w:p>
    <w:p>
      <w:pPr>
        <w:numPr>
          <w:ilvl w:val="0"/>
          <w:numId w:val="2"/>
        </w:numPr>
        <w:ind w:firstLine="422"/>
        <w:jc w:val="left"/>
        <w:keepLines w:val="0"/>
        <w:keepNext w:val="0"/>
        <w:pageBreakBefore w:val="0"/>
        <w:spacing w:line="360" w:lineRule="auto"/>
        <w:shd w:val="clear" w:color="auto" w:fill="ffffff"/>
        <w:widowControl/>
        <w:rPr>
          <w:rFonts w:hint="eastAsia" w:ascii="宋体" w:hAnsi="宋体" w:eastAsia="宋体" w:cs="宋体"/>
          <w:b/>
          <w:bCs/>
          <w:color w:val="auto"/>
          <w:sz w:val="21"/>
          <w:szCs w:val="21"/>
          <w:highlight w:val="none"/>
        </w:rPr>
        <w:outlineLvl w:val="1"/>
      </w:pPr>
      <w:r/>
      <w:bookmarkStart w:id="12" w:name="_Toc18324"/>
      <w:r>
        <w:rPr>
          <w:rFonts w:hint="eastAsia" w:ascii="宋体" w:hAnsi="宋体" w:eastAsia="宋体" w:cs="宋体"/>
          <w:b/>
          <w:bCs/>
          <w:color w:val="auto"/>
          <w:sz w:val="21"/>
          <w:szCs w:val="21"/>
          <w:highlight w:val="none"/>
        </w:rPr>
        <w:t xml:space="preserve">公告期限</w:t>
      </w:r>
      <w:bookmarkEnd w:id="12"/>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自本公告发布之日起5个工作日</w:t>
      </w:r>
      <w:r/>
    </w:p>
    <w:p>
      <w:pPr>
        <w:ind w:firstLine="422"/>
        <w:keepLines w:val="0"/>
        <w:keepNext w:val="0"/>
        <w:pageBreakBefore w:val="0"/>
        <w:spacing w:line="360" w:lineRule="auto"/>
        <w:rPr>
          <w:rFonts w:hint="eastAsia" w:ascii="宋体" w:hAnsi="宋体" w:eastAsia="宋体" w:cs="宋体"/>
          <w:b/>
          <w:bCs/>
          <w:color w:val="auto"/>
          <w:sz w:val="21"/>
          <w:szCs w:val="21"/>
          <w:highlight w:val="none"/>
          <w:lang w:val="en-US" w:eastAsia="zh-CN"/>
        </w:rPr>
        <w:outlineLvl w:val="1"/>
      </w:pPr>
      <w:r/>
      <w:bookmarkStart w:id="13" w:name="_Toc16822"/>
      <w:r>
        <w:rPr>
          <w:rFonts w:hint="eastAsia" w:ascii="宋体" w:hAnsi="宋体" w:eastAsia="宋体" w:cs="宋体"/>
          <w:b/>
          <w:bCs/>
          <w:color w:val="auto"/>
          <w:sz w:val="21"/>
          <w:szCs w:val="21"/>
          <w:highlight w:val="none"/>
        </w:rPr>
        <w:t xml:space="preserve">六、其他补充事宜</w:t>
      </w:r>
      <w:bookmarkEnd w:id="13"/>
      <w:r/>
      <w:r/>
    </w:p>
    <w:p>
      <w:pPr>
        <w:ind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1.拒绝下述投标人参加本次</w:t>
      </w:r>
      <w:r>
        <w:rPr>
          <w:rFonts w:hint="eastAsia" w:ascii="宋体" w:hAnsi="宋体" w:eastAsia="宋体" w:cs="宋体"/>
          <w:color w:val="auto"/>
          <w:sz w:val="21"/>
          <w:szCs w:val="21"/>
          <w:highlight w:val="none"/>
        </w:rPr>
        <w:t xml:space="preserve">采购</w:t>
      </w:r>
      <w:r>
        <w:rPr>
          <w:rFonts w:hint="eastAsia" w:ascii="宋体" w:hAnsi="宋体" w:eastAsia="宋体" w:cs="宋体"/>
          <w:bCs/>
          <w:color w:val="auto"/>
          <w:sz w:val="21"/>
          <w:szCs w:val="21"/>
          <w:highlight w:val="none"/>
        </w:rPr>
        <w:t xml:space="preserve">活动：</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（1）供应商单位负责人为同一人或者存在直接控股、管理关系的不同供应商，不得参加同一合同项下的政府采购活动。</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（2）除单一来源采购项目外，为采购项目提供整体设计、规范编制或者项目管理、监理、检测等服务的供应商，不得再参加该采购项目的其他采购活动。</w:t>
      </w:r>
      <w:r/>
    </w:p>
    <w:p>
      <w:pPr>
        <w:pStyle w:val="970"/>
        <w:ind w:firstLine="420"/>
        <w:keepLines w:val="0"/>
        <w:keepNext w:val="0"/>
        <w:pageBreakBefore w:val="0"/>
        <w:spacing w:before="75" w:beforeAutospacing="0" w:after="75"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（3）供应商被“信用中国”网站、“中国政府采购”列入失信被执行人、重大税收违法失信主体、政府采购严重违法失信行为记录名单。</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.信用承诺制</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关于在政府采购活动中推行信用承诺制的通知》（宁财购通[2021]5号）的规定，本项目采购公告“满足《中华人民共和国政府采购法》第二十二条规定”中涉及的证明材料，供应商可以在投标文件中一次性提交，也可以在投标文件中提供满足相应条件的书面承诺书，不再需要提供以下证明材料：</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（1）符合国家相关规定的财务状况报告；</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（2）依法缴纳税收的证明材料；</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（3）依法缴纳社会保障资金的证明材料；</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（4）具备履行政府采购合同所必需的设备和专业技术能力的证明材料；</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（5）参加政府采购活动前三年内在经营活动中没有重大违法记录的证明材料；</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（6）未被列入失信被执行人、重大税收违法失信主体、政府采购严重违法失信行为记录名单的证明材料。</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供应商投标文件中仅提供信用承诺书而未提供涉及的证明材料的，须在成交后，另行提供上述由信用承诺书替代的证明材料，材料须加盖公章并胶装提交采购人或采购代理机构核验。经核验无误后，由采购人或采购代理机构发出成交通知书。</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供应商涉及以下情形的，不适用信用承诺，仍须提供上述证明材料：</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（1）供应商被列入严重失信主体名单；</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（2）被相关监管部门作出行政处罚且尚在处罚有效期内；</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（3）其他法律、行政法规规定的不适用信用承诺的情形。</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供应商对信用承诺内容的真实性、合法性、有效性负责。如作出虚假信用承诺，视同为“提供虚假材料谋取中标、成交”的违法行为。</w:t>
      </w:r>
      <w:r/>
    </w:p>
    <w:p>
      <w:pPr>
        <w:ind w:firstLine="48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本次采购采用“政府采购管理交易系统（苏采云）”，招标、投标、评标和中标结果发布全程电子化，开标方式为不见面开标。供应商通过苏采云系统参与本项目，需要办理江苏省政府采购数字证书CA及电子签章，具体详见苏采云系统登录页“CA办理指南”。供应商按《苏采云系统供应商操作手册》（以下简称“操作手册”）进行注册，并在规定时间内上传电子响应文件。如供应商未按要求操作，由此所产生的风险由供应商自行承担。</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.本次采购公告在江苏政府采购网发布,有关本次采购的事项若存在变动或修改，敬请及时关注发布的信息更正公告，如未及时关注导致投标有误的，其责任由投标人自行承担。</w:t>
      </w:r>
      <w:r/>
    </w:p>
    <w:p>
      <w:pPr>
        <w:ind w:firstLine="422"/>
        <w:keepLines w:val="0"/>
        <w:keepNext w:val="0"/>
        <w:pageBreakBefore w:val="0"/>
        <w:spacing w:line="360" w:lineRule="auto"/>
        <w:shd w:val="clear" w:color="auto" w:fill="ffffff"/>
        <w:widowControl/>
        <w:rPr>
          <w:rFonts w:hint="eastAsia" w:ascii="宋体" w:hAnsi="宋体" w:eastAsia="宋体" w:cs="宋体"/>
          <w:b/>
          <w:bCs/>
          <w:color w:val="auto"/>
          <w:sz w:val="21"/>
          <w:szCs w:val="21"/>
          <w:highlight w:val="none"/>
        </w:rPr>
        <w:outlineLvl w:val="1"/>
      </w:pPr>
      <w:r/>
      <w:bookmarkStart w:id="14" w:name="_Toc8542"/>
      <w:r>
        <w:rPr>
          <w:rFonts w:hint="eastAsia" w:ascii="宋体" w:hAnsi="宋体" w:eastAsia="宋体" w:cs="宋体"/>
          <w:b/>
          <w:bCs/>
          <w:color w:val="auto"/>
          <w:sz w:val="21"/>
          <w:szCs w:val="21"/>
          <w:highlight w:val="none"/>
        </w:rPr>
        <w:t xml:space="preserve">七、对本次招标提出询问，请按以下方式联系</w:t>
      </w:r>
      <w:bookmarkEnd w:id="14"/>
      <w:r/>
      <w:r/>
    </w:p>
    <w:p>
      <w:pPr>
        <w:ind w:firstLine="420"/>
        <w:keepLines w:val="0"/>
        <w:keepNext w:val="0"/>
        <w:pageBreakBefore w:val="0"/>
        <w:spacing w:line="360" w:lineRule="auto"/>
        <w:tabs>
          <w:tab w:val="left" w:pos="0" w:leader="none"/>
          <w:tab w:val="left" w:pos="510" w:leader="none"/>
          <w:tab w:val="left" w:pos="1134" w:leader="none"/>
        </w:tabs>
        <w:rPr>
          <w:rFonts w:hint="eastAsia" w:ascii="宋体" w:hAnsi="宋体" w:eastAsia="宋体" w:cs="宋体"/>
          <w:color w:val="auto"/>
          <w:sz w:val="21"/>
          <w:szCs w:val="21"/>
          <w:highlight w:val="none"/>
        </w:rPr>
      </w:pPr>
      <w:r/>
      <w:bookmarkStart w:id="15" w:name="_Hlk140851154"/>
      <w:r>
        <w:rPr>
          <w:rFonts w:hint="eastAsia" w:ascii="宋体" w:hAnsi="宋体" w:eastAsia="宋体" w:cs="宋体"/>
          <w:color w:val="auto"/>
          <w:sz w:val="21"/>
          <w:szCs w:val="21"/>
          <w:highlight w:val="none"/>
        </w:rPr>
        <w:t xml:space="preserve">1.采购人信息</w:t>
      </w:r>
      <w:r/>
    </w:p>
    <w:p>
      <w:pPr>
        <w:ind w:firstLine="420"/>
        <w:keepLines w:val="0"/>
        <w:keepNext w:val="0"/>
        <w:pageBreakBefore w:val="0"/>
        <w:spacing w:line="360" w:lineRule="auto"/>
        <w:tabs>
          <w:tab w:val="left" w:pos="0" w:leader="none"/>
          <w:tab w:val="left" w:pos="51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名称：南京市江宁区城市管理局</w:t>
      </w:r>
      <w:r/>
    </w:p>
    <w:p>
      <w:pPr>
        <w:ind w:firstLine="420"/>
        <w:keepLines w:val="0"/>
        <w:keepNext w:val="0"/>
        <w:pageBreakBefore w:val="0"/>
        <w:spacing w:line="360" w:lineRule="auto"/>
        <w:tabs>
          <w:tab w:val="left" w:pos="0" w:leader="none"/>
          <w:tab w:val="left" w:pos="51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地址：南京市江宁区</w:t>
      </w:r>
      <w:r/>
    </w:p>
    <w:p>
      <w:pPr>
        <w:ind w:firstLine="420"/>
        <w:keepLines w:val="0"/>
        <w:keepNext w:val="0"/>
        <w:pageBreakBefore w:val="0"/>
        <w:spacing w:line="360" w:lineRule="auto"/>
        <w:tabs>
          <w:tab w:val="left" w:pos="0" w:leader="none"/>
          <w:tab w:val="left" w:pos="51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联系方式：025-51190810</w:t>
      </w:r>
      <w:bookmarkEnd w:id="15"/>
      <w:r/>
      <w:r/>
    </w:p>
    <w:p>
      <w:pPr>
        <w:ind w:firstLine="420"/>
        <w:keepLines w:val="0"/>
        <w:keepNext w:val="0"/>
        <w:pageBreakBefore w:val="0"/>
        <w:spacing w:line="360" w:lineRule="auto"/>
        <w:tabs>
          <w:tab w:val="left" w:pos="0" w:leader="none"/>
          <w:tab w:val="left" w:pos="51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2.采购代理机构信息</w:t>
      </w:r>
      <w:r/>
    </w:p>
    <w:p>
      <w:pPr>
        <w:ind w:firstLine="420"/>
        <w:keepLines w:val="0"/>
        <w:keepNext w:val="0"/>
        <w:pageBreakBefore w:val="0"/>
        <w:spacing w:line="360" w:lineRule="auto"/>
        <w:tabs>
          <w:tab w:val="left" w:pos="0" w:leader="none"/>
          <w:tab w:val="left" w:pos="51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名称：南京凯信达项目管理咨询有限公司</w:t>
      </w:r>
      <w:r/>
    </w:p>
    <w:p>
      <w:pPr>
        <w:ind w:firstLine="420"/>
        <w:keepLines w:val="0"/>
        <w:keepNext w:val="0"/>
        <w:pageBreakBefore w:val="0"/>
        <w:spacing w:line="360" w:lineRule="auto"/>
        <w:tabs>
          <w:tab w:val="left" w:pos="0" w:leader="none"/>
          <w:tab w:val="left" w:pos="51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地址：南京市江宁区淳化街道印湖路39号印湖山庄商业街1-114</w:t>
      </w:r>
      <w:r/>
    </w:p>
    <w:p>
      <w:pPr>
        <w:ind w:firstLine="420"/>
        <w:keepLines w:val="0"/>
        <w:keepNext w:val="0"/>
        <w:pageBreakBefore w:val="0"/>
        <w:spacing w:line="360" w:lineRule="auto"/>
        <w:tabs>
          <w:tab w:val="left" w:pos="0" w:leader="none"/>
          <w:tab w:val="left" w:pos="51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联系方式：</w:t>
      </w:r>
      <w:r>
        <w:rPr>
          <w:rFonts w:hint="eastAsia" w:ascii="宋体" w:hAnsi="宋体" w:eastAsia="宋体" w:cs="宋体"/>
          <w:bCs/>
          <w:color w:val="auto"/>
          <w:sz w:val="21"/>
          <w:szCs w:val="21"/>
          <w:highlight w:val="none"/>
          <w:lang w:val="en-US" w:eastAsia="zh-CN"/>
        </w:rPr>
        <w:t xml:space="preserve">15366079119</w:t>
      </w:r>
      <w:r/>
    </w:p>
    <w:p>
      <w:pPr>
        <w:ind w:firstLine="420"/>
        <w:keepLines w:val="0"/>
        <w:keepNext w:val="0"/>
        <w:pageBreakBefore w:val="0"/>
        <w:spacing w:line="360" w:lineRule="auto"/>
        <w:tabs>
          <w:tab w:val="left" w:pos="0" w:leader="none"/>
          <w:tab w:val="left" w:pos="51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3.项目联系方式</w:t>
      </w:r>
      <w:r/>
    </w:p>
    <w:p>
      <w:pPr>
        <w:ind w:firstLine="420"/>
        <w:keepLines w:val="0"/>
        <w:keepNext w:val="0"/>
        <w:pageBreakBefore w:val="0"/>
        <w:spacing w:line="360" w:lineRule="auto"/>
        <w:tabs>
          <w:tab w:val="left" w:pos="0" w:leader="none"/>
          <w:tab w:val="left" w:pos="51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项目联系人：刘工</w:t>
      </w:r>
      <w:r/>
    </w:p>
    <w:p>
      <w:pPr>
        <w:ind w:firstLine="420"/>
        <w:keepLines w:val="0"/>
        <w:keepNext w:val="0"/>
        <w:pageBreakBefore w:val="0"/>
        <w:spacing w:line="360" w:lineRule="auto"/>
        <w:tabs>
          <w:tab w:val="left" w:pos="0" w:leader="none"/>
          <w:tab w:val="left" w:pos="510" w:leader="none"/>
          <w:tab w:val="left" w:pos="1134" w:leader="none"/>
        </w:tabs>
        <w:rPr>
          <w:rFonts w:hint="eastAsia" w:ascii="宋体" w:hAnsi="宋体" w:eastAsia="宋体" w:cs="宋体"/>
          <w:color w:val="auto"/>
          <w:highlight w:val="none"/>
        </w:rPr>
      </w:pPr>
      <w:r>
        <w:rPr>
          <w:rFonts w:hint="eastAsia" w:ascii="宋体" w:hAnsi="宋体" w:eastAsia="宋体" w:cs="宋体"/>
          <w:color w:val="auto"/>
          <w:sz w:val="21"/>
          <w:szCs w:val="21"/>
          <w:highlight w:val="none"/>
        </w:rPr>
        <w:t xml:space="preserve">电话：</w:t>
      </w:r>
      <w:r>
        <w:rPr>
          <w:rFonts w:hint="eastAsia" w:ascii="宋体" w:hAnsi="宋体" w:eastAsia="宋体" w:cs="宋体"/>
          <w:bCs/>
          <w:color w:val="auto"/>
          <w:sz w:val="21"/>
          <w:szCs w:val="21"/>
          <w:highlight w:val="none"/>
          <w:lang w:val="en-US" w:eastAsia="zh-CN"/>
        </w:rPr>
        <w:t xml:space="preserve">15366079119</w:t>
      </w:r>
      <w:r>
        <w:rPr>
          <w:rFonts w:hint="eastAsia" w:ascii="宋体" w:hAnsi="宋体" w:eastAsia="宋体" w:cs="宋体"/>
          <w:color w:val="auto"/>
          <w:highlight w:val="none"/>
        </w:rPr>
        <w:br w:type="page" w:clear="all"/>
      </w:r>
      <w:r/>
    </w:p>
    <w:p>
      <w:pPr>
        <w:pStyle w:val="974"/>
        <w:ind w:firstLine="21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90"/>
        <w:numPr>
          <w:ilvl w:val="0"/>
          <w:numId w:val="1"/>
        </w:numPr>
        <w:ind w:left="737" w:hanging="737"/>
        <w:jc w:val="center"/>
        <w:spacing w:line="360" w:lineRule="auto"/>
        <w:rPr>
          <w:rFonts w:hint="eastAsia" w:ascii="宋体" w:hAnsi="宋体" w:eastAsia="宋体" w:cs="宋体"/>
          <w:b/>
          <w:color w:val="auto"/>
          <w:sz w:val="32"/>
          <w:szCs w:val="32"/>
          <w:highlight w:val="none"/>
        </w:rPr>
        <w:outlineLvl w:val="0"/>
      </w:pPr>
      <w:r/>
      <w:bookmarkStart w:id="16" w:name="_Toc32560"/>
      <w:r>
        <w:rPr>
          <w:rFonts w:hint="eastAsia" w:ascii="宋体" w:hAnsi="宋体" w:eastAsia="宋体" w:cs="宋体"/>
          <w:b/>
          <w:color w:val="auto"/>
          <w:sz w:val="32"/>
          <w:szCs w:val="32"/>
          <w:highlight w:val="none"/>
        </w:rPr>
        <w:t xml:space="preserve">投标人须知</w:t>
      </w:r>
      <w:bookmarkEnd w:id="16"/>
      <w:r/>
      <w:r/>
    </w:p>
    <w:p>
      <w:pPr>
        <w:jc w:val="center"/>
        <w:rPr>
          <w:rFonts w:hint="eastAsia" w:ascii="宋体" w:hAnsi="宋体" w:eastAsia="宋体" w:cs="宋体"/>
          <w:b/>
          <w:color w:val="auto"/>
          <w:szCs w:val="28"/>
          <w:highlight w:val="none"/>
          <w:lang w:val="zh-CN"/>
        </w:rPr>
      </w:pPr>
      <w:r>
        <w:rPr>
          <w:rFonts w:hint="eastAsia" w:ascii="宋体" w:hAnsi="宋体" w:eastAsia="宋体" w:cs="宋体"/>
          <w:b/>
          <w:color w:val="auto"/>
          <w:szCs w:val="28"/>
          <w:highlight w:val="none"/>
          <w:lang w:val="zh-CN"/>
        </w:rPr>
        <w:t xml:space="preserve">前附表</w:t>
      </w:r>
      <w:r/>
    </w:p>
    <w:tbl>
      <w:tblPr>
        <w:tblStyle w:val="923"/>
        <w:tblW w:w="95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3"/>
        <w:gridCol w:w="640"/>
        <w:gridCol w:w="1134"/>
        <w:gridCol w:w="1276"/>
        <w:gridCol w:w="6044"/>
      </w:tblGrid>
      <w:tr>
        <w:trPr>
          <w:jc w:val="center"/>
        </w:trPr>
        <w:tc>
          <w:tcPr>
            <w:tcW w:w="443" w:type="dxa"/>
            <w:vAlign w:val="center"/>
            <w:textDirection w:val="lrTb"/>
            <w:noWrap w:val="false"/>
          </w:tcPr>
          <w:p>
            <w:pPr>
              <w:jc w:val="center"/>
              <w:keepLines w:val="0"/>
              <w:keepNext w:val="0"/>
              <w:pageBreakBefore w:val="0"/>
              <w:spacing w:before="181"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序号</w:t>
            </w:r>
            <w:r/>
          </w:p>
        </w:tc>
        <w:tc>
          <w:tcPr>
            <w:gridSpan w:val="2"/>
            <w:tcW w:w="1774" w:type="dxa"/>
            <w:vAlign w:val="center"/>
            <w:textDirection w:val="lrTb"/>
            <w:noWrap w:val="false"/>
          </w:tcPr>
          <w:p>
            <w:pPr>
              <w:jc w:val="center"/>
              <w:keepLines w:val="0"/>
              <w:keepNext w:val="0"/>
              <w:pageBreakBefore w:val="0"/>
              <w:spacing w:before="181"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w:t>
            </w:r>
            <w:r/>
          </w:p>
        </w:tc>
        <w:tc>
          <w:tcPr>
            <w:gridSpan w:val="2"/>
            <w:tcW w:w="7320" w:type="dxa"/>
            <w:vAlign w:val="center"/>
            <w:textDirection w:val="lrTb"/>
            <w:noWrap w:val="false"/>
          </w:tcPr>
          <w:p>
            <w:pPr>
              <w:jc w:val="center"/>
              <w:keepLines w:val="0"/>
              <w:keepNext w:val="0"/>
              <w:pageBreakBefore w:val="0"/>
              <w:spacing w:before="181"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内容</w:t>
            </w:r>
            <w:r/>
          </w:p>
        </w:tc>
      </w:tr>
      <w:tr>
        <w:trPr>
          <w:jc w:val="center"/>
        </w:trPr>
        <w:tc>
          <w:tcPr>
            <w:tcW w:w="443" w:type="dxa"/>
            <w:vAlign w:val="center"/>
            <w:textDirection w:val="lrTb"/>
            <w:noWrap w:val="false"/>
          </w:tcPr>
          <w:p>
            <w:pPr>
              <w:jc w:val="center"/>
              <w:keepLines w:val="0"/>
              <w:keepNext w:val="0"/>
              <w:pageBreakBefore w:val="0"/>
              <w:spacing w:before="181"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gridSpan w:val="2"/>
            <w:tcW w:w="1774" w:type="dxa"/>
            <w:vAlign w:val="center"/>
            <w:textDirection w:val="lrTb"/>
            <w:noWrap w:val="false"/>
          </w:tcPr>
          <w:p>
            <w:pPr>
              <w:jc w:val="center"/>
              <w:keepLines w:val="0"/>
              <w:keepNext w:val="0"/>
              <w:pageBreakBefore w:val="0"/>
              <w:spacing w:before="181"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项目编号</w:t>
            </w:r>
            <w:r/>
          </w:p>
        </w:tc>
        <w:tc>
          <w:tcPr>
            <w:gridSpan w:val="2"/>
            <w:tcW w:w="7320" w:type="dxa"/>
            <w:vAlign w:val="center"/>
            <w:textDirection w:val="lrTb"/>
            <w:noWrap w:val="false"/>
          </w:tcPr>
          <w:p>
            <w:pPr>
              <w:keepLines w:val="0"/>
              <w:keepNext w:val="0"/>
              <w:pageBreakBefore w:val="0"/>
              <w:spacing w:before="181" w:line="360" w:lineRule="auto"/>
              <w:rPr>
                <w:rFonts w:hint="eastAsia" w:ascii="宋体" w:hAnsi="宋体" w:eastAsia="宋体" w:cs="宋体"/>
                <w:bCs/>
                <w:color w:val="auto"/>
                <w:sz w:val="21"/>
                <w:szCs w:val="21"/>
                <w:highlight w:val="none"/>
                <w:u w:val="single"/>
                <w:lang w:eastAsia="zh-CN" w:bidi="zh-CN"/>
              </w:rPr>
            </w:pPr>
            <w:r>
              <w:rPr>
                <w:rFonts w:hint="eastAsia" w:ascii="宋体" w:hAnsi="宋体" w:eastAsia="宋体" w:cs="宋体"/>
                <w:color w:val="auto"/>
                <w:sz w:val="21"/>
                <w:szCs w:val="21"/>
                <w:highlight w:val="none"/>
                <w:lang w:eastAsia="zh-CN"/>
              </w:rPr>
              <w:t xml:space="preserve">JSZC-320115-KXDA-G2026-0005</w:t>
            </w:r>
            <w:r/>
          </w:p>
        </w:tc>
      </w:tr>
      <w:tr>
        <w:trPr>
          <w:jc w:val="center"/>
        </w:trPr>
        <w:tc>
          <w:tcPr>
            <w:tcW w:w="443" w:type="dxa"/>
            <w:vAlign w:val="center"/>
            <w:textDirection w:val="lrTb"/>
            <w:noWrap w:val="false"/>
          </w:tcPr>
          <w:p>
            <w:pPr>
              <w:jc w:val="center"/>
              <w:keepLines w:val="0"/>
              <w:keepNext w:val="0"/>
              <w:pageBreakBefore w:val="0"/>
              <w:spacing w:before="181"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p>
        </w:tc>
        <w:tc>
          <w:tcPr>
            <w:gridSpan w:val="2"/>
            <w:tcW w:w="1774" w:type="dxa"/>
            <w:vAlign w:val="center"/>
            <w:textDirection w:val="lrTb"/>
            <w:noWrap w:val="false"/>
          </w:tcPr>
          <w:p>
            <w:pPr>
              <w:jc w:val="center"/>
              <w:keepLines w:val="0"/>
              <w:keepNext w:val="0"/>
              <w:pageBreakBefore w:val="0"/>
              <w:spacing w:before="181"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项目名称</w:t>
            </w:r>
            <w:r/>
          </w:p>
        </w:tc>
        <w:tc>
          <w:tcPr>
            <w:gridSpan w:val="2"/>
            <w:tcW w:w="7320" w:type="dxa"/>
            <w:vAlign w:val="center"/>
            <w:textDirection w:val="lrTb"/>
            <w:noWrap w:val="false"/>
          </w:tcPr>
          <w:p>
            <w:pPr>
              <w:keepLines w:val="0"/>
              <w:keepNext w:val="0"/>
              <w:pageBreakBefore w:val="0"/>
              <w:spacing w:before="181"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color w:val="auto"/>
                <w:sz w:val="21"/>
                <w:szCs w:val="21"/>
                <w:highlight w:val="none"/>
                <w:lang w:eastAsia="zh-CN"/>
              </w:rPr>
              <w:t xml:space="preserve">2026年江宁区东山城区园林绿化养护服务项目</w:t>
            </w:r>
            <w:r/>
          </w:p>
        </w:tc>
      </w:tr>
      <w:tr>
        <w:trPr>
          <w:jc w:val="center"/>
        </w:trPr>
        <w:tc>
          <w:tcPr>
            <w:tcW w:w="443" w:type="dxa"/>
            <w:vAlign w:val="center"/>
            <w:textDirection w:val="lrTb"/>
            <w:noWrap w:val="false"/>
          </w:tcPr>
          <w:p>
            <w:pPr>
              <w:jc w:val="center"/>
              <w:keepLines w:val="0"/>
              <w:keepNext w:val="0"/>
              <w:pageBreakBefore w:val="0"/>
              <w:spacing w:before="181"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w:t>
            </w:r>
            <w:r/>
          </w:p>
        </w:tc>
        <w:tc>
          <w:tcPr>
            <w:gridSpan w:val="2"/>
            <w:tcW w:w="1774" w:type="dxa"/>
            <w:vAlign w:val="center"/>
            <w:textDirection w:val="lrTb"/>
            <w:noWrap w:val="false"/>
          </w:tcPr>
          <w:p>
            <w:pPr>
              <w:jc w:val="center"/>
              <w:keepLines w:val="0"/>
              <w:keepNext w:val="0"/>
              <w:pageBreakBefore w:val="0"/>
              <w:spacing w:before="181"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招标代理机构</w:t>
            </w:r>
            <w:r/>
          </w:p>
        </w:tc>
        <w:tc>
          <w:tcPr>
            <w:gridSpan w:val="2"/>
            <w:tcW w:w="7320" w:type="dxa"/>
            <w:vAlign w:val="center"/>
            <w:textDirection w:val="lrTb"/>
            <w:noWrap w:val="false"/>
          </w:tcPr>
          <w:p>
            <w:pPr>
              <w:keepLines w:val="0"/>
              <w:keepNext w:val="0"/>
              <w:pageBreakBefore w:val="0"/>
              <w:spacing w:before="181"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南京凯信达项目管理咨询有限公司</w:t>
            </w:r>
            <w:r/>
          </w:p>
        </w:tc>
      </w:tr>
      <w:tr>
        <w:trPr>
          <w:jc w:val="center"/>
        </w:trPr>
        <w:tc>
          <w:tcPr>
            <w:tcW w:w="443" w:type="dxa"/>
            <w:vAlign w:val="center"/>
            <w:textDirection w:val="lrTb"/>
            <w:noWrap w:val="false"/>
          </w:tcPr>
          <w:p>
            <w:pPr>
              <w:jc w:val="center"/>
              <w:keepLines w:val="0"/>
              <w:keepNext w:val="0"/>
              <w:pageBreakBefore w:val="0"/>
              <w:spacing w:before="181"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w:t>
            </w:r>
            <w:r/>
          </w:p>
        </w:tc>
        <w:tc>
          <w:tcPr>
            <w:gridSpan w:val="2"/>
            <w:tcW w:w="1774" w:type="dxa"/>
            <w:vAlign w:val="center"/>
            <w:textDirection w:val="lrTb"/>
            <w:noWrap w:val="false"/>
          </w:tcPr>
          <w:p>
            <w:pPr>
              <w:jc w:val="center"/>
              <w:keepLines w:val="0"/>
              <w:keepNext w:val="0"/>
              <w:pageBreakBefore w:val="0"/>
              <w:spacing w:before="181"/>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招标代理机构地址</w:t>
            </w:r>
            <w:r/>
          </w:p>
        </w:tc>
        <w:tc>
          <w:tcPr>
            <w:gridSpan w:val="2"/>
            <w:tcW w:w="7320" w:type="dxa"/>
            <w:vAlign w:val="center"/>
            <w:textDirection w:val="lrTb"/>
            <w:noWrap w:val="false"/>
          </w:tcPr>
          <w:p>
            <w:pPr>
              <w:keepLines w:val="0"/>
              <w:keepNext w:val="0"/>
              <w:pageBreakBefore w:val="0"/>
              <w:spacing w:before="181"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南京市江宁区淳化街道印湖路39号印湖山庄商业街1栋114室</w:t>
            </w:r>
            <w:r/>
          </w:p>
        </w:tc>
      </w:tr>
      <w:tr>
        <w:trPr>
          <w:jc w:val="center"/>
        </w:trPr>
        <w:tc>
          <w:tcPr>
            <w:tcW w:w="443" w:type="dxa"/>
            <w:vAlign w:val="center"/>
            <w:textDirection w:val="lrTb"/>
            <w:noWrap w:val="false"/>
          </w:tcPr>
          <w:p>
            <w:pPr>
              <w:jc w:val="center"/>
              <w:keepLines w:val="0"/>
              <w:keepNext w:val="0"/>
              <w:pageBreakBefore w:val="0"/>
              <w:spacing w:before="181"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w:t>
            </w:r>
            <w:r/>
          </w:p>
        </w:tc>
        <w:tc>
          <w:tcPr>
            <w:gridSpan w:val="2"/>
            <w:tcW w:w="1774" w:type="dxa"/>
            <w:vAlign w:val="center"/>
            <w:textDirection w:val="lrTb"/>
            <w:noWrap w:val="false"/>
          </w:tcPr>
          <w:p>
            <w:pPr>
              <w:jc w:val="center"/>
              <w:keepLines w:val="0"/>
              <w:keepNext w:val="0"/>
              <w:pageBreakBefore w:val="0"/>
              <w:spacing w:before="181"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项目限价</w:t>
            </w:r>
            <w:r/>
          </w:p>
        </w:tc>
        <w:tc>
          <w:tcPr>
            <w:gridSpan w:val="2"/>
            <w:tcW w:w="7320" w:type="dxa"/>
            <w:vAlign w:val="center"/>
            <w:textDirection w:val="lrTb"/>
            <w:noWrap w:val="false"/>
          </w:tcPr>
          <w:p>
            <w:pPr>
              <w:keepLines w:val="0"/>
              <w:keepNext w:val="0"/>
              <w:pageBreakBefore w:val="0"/>
              <w:spacing w:before="181"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en-US" w:eastAsia="zh-CN"/>
              </w:rPr>
              <w:t xml:space="preserve">2900</w:t>
            </w:r>
            <w:r>
              <w:rPr>
                <w:rFonts w:hint="eastAsia" w:ascii="宋体" w:hAnsi="宋体" w:eastAsia="宋体" w:cs="宋体"/>
                <w:color w:val="auto"/>
                <w:sz w:val="21"/>
                <w:szCs w:val="21"/>
                <w:highlight w:val="none"/>
              </w:rPr>
              <w:t xml:space="preserve">万元（其中园林绿化日常养护</w:t>
            </w:r>
            <w:r>
              <w:rPr>
                <w:rFonts w:hint="eastAsia" w:ascii="宋体" w:hAnsi="宋体" w:eastAsia="宋体" w:cs="宋体"/>
                <w:color w:val="auto"/>
                <w:sz w:val="21"/>
                <w:szCs w:val="21"/>
                <w:highlight w:val="none"/>
                <w:lang w:val="en-US" w:eastAsia="zh-CN"/>
              </w:rPr>
              <w:t xml:space="preserve">2700</w:t>
            </w:r>
            <w:r>
              <w:rPr>
                <w:rFonts w:hint="eastAsia" w:ascii="宋体" w:hAnsi="宋体" w:eastAsia="宋体" w:cs="宋体"/>
                <w:color w:val="auto"/>
                <w:sz w:val="21"/>
                <w:szCs w:val="21"/>
                <w:highlight w:val="none"/>
              </w:rPr>
              <w:t xml:space="preserve">万元，维修专项</w:t>
            </w:r>
            <w:r>
              <w:rPr>
                <w:rFonts w:hint="eastAsia" w:ascii="宋体" w:hAnsi="宋体" w:eastAsia="宋体" w:cs="宋体"/>
                <w:color w:val="auto"/>
                <w:sz w:val="21"/>
                <w:szCs w:val="21"/>
                <w:highlight w:val="none"/>
                <w:lang w:val="en-US" w:eastAsia="zh-CN"/>
              </w:rPr>
              <w:t xml:space="preserve">200</w:t>
            </w:r>
            <w:r>
              <w:rPr>
                <w:rFonts w:hint="eastAsia" w:ascii="宋体" w:hAnsi="宋体" w:eastAsia="宋体" w:cs="宋体"/>
                <w:color w:val="auto"/>
                <w:sz w:val="21"/>
                <w:szCs w:val="21"/>
                <w:highlight w:val="none"/>
              </w:rPr>
              <w:t xml:space="preserve">万元）</w:t>
            </w:r>
            <w:r/>
          </w:p>
        </w:tc>
      </w:tr>
      <w:tr>
        <w:trPr>
          <w:jc w:val="center"/>
        </w:trPr>
        <w:tc>
          <w:tcPr>
            <w:tcW w:w="443" w:type="dxa"/>
            <w:vAlign w:val="center"/>
            <w:textDirection w:val="lrTb"/>
            <w:noWrap w:val="false"/>
          </w:tcPr>
          <w:p>
            <w:pPr>
              <w:jc w:val="center"/>
              <w:keepLines w:val="0"/>
              <w:keepNext w:val="0"/>
              <w:pageBreakBefore w:val="0"/>
              <w:spacing w:before="181"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w:t>
            </w:r>
            <w:r/>
          </w:p>
        </w:tc>
        <w:tc>
          <w:tcPr>
            <w:gridSpan w:val="2"/>
            <w:tcW w:w="1774" w:type="dxa"/>
            <w:vAlign w:val="center"/>
            <w:textDirection w:val="lrTb"/>
            <w:noWrap w:val="false"/>
          </w:tcPr>
          <w:p>
            <w:pPr>
              <w:jc w:val="center"/>
              <w:keepLines w:val="0"/>
              <w:keepNext w:val="0"/>
              <w:pageBreakBefore w:val="0"/>
              <w:spacing w:before="181"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合同履行期限</w:t>
            </w:r>
            <w:r/>
          </w:p>
        </w:tc>
        <w:tc>
          <w:tcPr>
            <w:gridSpan w:val="2"/>
            <w:tcW w:w="7320" w:type="dxa"/>
            <w:vAlign w:val="center"/>
            <w:textDirection w:val="lrTb"/>
            <w:noWrap w:val="false"/>
          </w:tcPr>
          <w:p>
            <w:pPr>
              <w:keepLines w:val="0"/>
              <w:keepNext w:val="0"/>
              <w:pageBreakBefore w:val="0"/>
              <w:spacing w:before="181"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期限为一年。其中：前两个月为试用期，试用期满经采购人考核合格后，合同方为有效。如考核不合格，采购人将终止与中标供应商的服务合同，但中标供应商必须保证采购人各项正常服务，直至下一中标供应商到位方可撤离，期间所产生的费用按试用期合同支付。</w:t>
            </w:r>
            <w:r/>
          </w:p>
        </w:tc>
      </w:tr>
      <w:tr>
        <w:trPr>
          <w:jc w:val="center"/>
        </w:trPr>
        <w:tc>
          <w:tcPr>
            <w:tcW w:w="443" w:type="dxa"/>
            <w:vAlign w:val="center"/>
            <w:textDirection w:val="lrTb"/>
            <w:noWrap w:val="false"/>
          </w:tcPr>
          <w:p>
            <w:pPr>
              <w:jc w:val="center"/>
              <w:keepLines w:val="0"/>
              <w:keepNext w:val="0"/>
              <w:pageBreakBefore w:val="0"/>
              <w:spacing w:before="181"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w:t>
            </w:r>
            <w:r/>
          </w:p>
        </w:tc>
        <w:tc>
          <w:tcPr>
            <w:gridSpan w:val="2"/>
            <w:tcW w:w="1774" w:type="dxa"/>
            <w:vAlign w:val="center"/>
            <w:textDirection w:val="lrTb"/>
            <w:noWrap w:val="false"/>
          </w:tcPr>
          <w:p>
            <w:pPr>
              <w:jc w:val="center"/>
              <w:keepLines w:val="0"/>
              <w:keepNext w:val="0"/>
              <w:pageBreakBefore w:val="0"/>
              <w:spacing w:before="181" w:line="360" w:lineRule="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rPr>
              <w:t xml:space="preserve">投标</w:t>
            </w:r>
            <w:r>
              <w:rPr>
                <w:rFonts w:hint="eastAsia" w:ascii="宋体" w:hAnsi="宋体" w:eastAsia="宋体" w:cs="宋体"/>
                <w:bCs/>
                <w:color w:val="auto"/>
                <w:sz w:val="21"/>
                <w:szCs w:val="21"/>
                <w:highlight w:val="none"/>
                <w:lang w:val="zh-CN"/>
              </w:rPr>
              <w:t xml:space="preserve">有效期</w:t>
            </w:r>
            <w:r/>
          </w:p>
        </w:tc>
        <w:tc>
          <w:tcPr>
            <w:gridSpan w:val="2"/>
            <w:tcW w:w="7320" w:type="dxa"/>
            <w:vAlign w:val="center"/>
            <w:textDirection w:val="lrTb"/>
            <w:noWrap w:val="false"/>
          </w:tcPr>
          <w:p>
            <w:pPr>
              <w:jc w:val="left"/>
              <w:keepLines w:val="0"/>
              <w:keepNext w:val="0"/>
              <w:pageBreakBefore w:val="0"/>
              <w:spacing w:before="181" w:line="360" w:lineRule="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rPr>
              <w:t xml:space="preserve">投标有效期从提交投标文件的截止之日起算</w:t>
            </w:r>
            <w:r>
              <w:rPr>
                <w:rFonts w:hint="eastAsia" w:ascii="宋体" w:hAnsi="宋体" w:eastAsia="宋体" w:cs="宋体"/>
                <w:bCs/>
                <w:color w:val="auto"/>
                <w:sz w:val="21"/>
                <w:szCs w:val="21"/>
                <w:highlight w:val="none"/>
                <w:lang w:val="zh-CN"/>
              </w:rPr>
              <w:t xml:space="preserve">90天</w:t>
            </w:r>
            <w:r/>
          </w:p>
        </w:tc>
      </w:tr>
      <w:tr>
        <w:trPr>
          <w:jc w:val="center"/>
          <w:trHeight w:val="633"/>
        </w:trPr>
        <w:tc>
          <w:tcPr>
            <w:tcW w:w="443" w:type="dxa"/>
            <w:vAlign w:val="center"/>
            <w:textDirection w:val="lrTb"/>
            <w:noWrap w:val="false"/>
          </w:tcPr>
          <w:p>
            <w:pPr>
              <w:jc w:val="center"/>
              <w:keepLines w:val="0"/>
              <w:keepNext w:val="0"/>
              <w:pageBreakBefore w:val="0"/>
              <w:spacing w:before="181" w:line="360" w:lineRule="auto"/>
              <w:widowControl/>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10</w:t>
            </w:r>
            <w:r/>
          </w:p>
        </w:tc>
        <w:tc>
          <w:tcPr>
            <w:gridSpan w:val="2"/>
            <w:tcW w:w="1774"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zh-CN"/>
              </w:rPr>
              <w:t xml:space="preserve">本项目所属行业</w:t>
            </w:r>
            <w:r/>
          </w:p>
        </w:tc>
        <w:tc>
          <w:tcPr>
            <w:gridSpan w:val="2"/>
            <w:tcW w:w="732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根据《关于印发中小企业划型标准规定的通知》（工信部联企业〔2011〕300号）及《国家统计局关于印发〈统计上大中小微型企业划分办法（2017）〉的通知》（国统字〔2017〕213号）等文件规定，本项目所属行业为“其他未列明行业”。根据《中小企业划型标准规定》（工信部联企业〔2011〕300号），从业人员300人以下的为中小微型企业。其中，从业人员100人及以上的为中型企业；从业人员10人及以上的为小型企业；从业人员10人以下的为微型企业。</w:t>
            </w:r>
            <w:r/>
          </w:p>
        </w:tc>
      </w:tr>
      <w:tr>
        <w:trPr>
          <w:jc w:val="center"/>
          <w:trHeight w:val="633"/>
        </w:trPr>
        <w:tc>
          <w:tcPr>
            <w:tcW w:w="443" w:type="dxa"/>
            <w:vAlign w:val="center"/>
            <w:vMerge w:val="restart"/>
            <w:textDirection w:val="lrTb"/>
            <w:noWrap w:val="false"/>
          </w:tcPr>
          <w:p>
            <w:pPr>
              <w:jc w:val="center"/>
              <w:keepLines w:val="0"/>
              <w:keepNext w:val="0"/>
              <w:pageBreakBefore w:val="0"/>
              <w:spacing w:before="181"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w:t>
            </w:r>
            <w:r/>
          </w:p>
        </w:tc>
        <w:tc>
          <w:tcPr>
            <w:tcW w:w="640" w:type="dxa"/>
            <w:vAlign w:val="center"/>
            <w:vMerge w:val="restart"/>
            <w:textDirection w:val="lrTb"/>
            <w:noWrap w:val="false"/>
          </w:tcPr>
          <w:p>
            <w:pPr>
              <w:jc w:val="center"/>
              <w:keepLines w:val="0"/>
              <w:keepNext w:val="0"/>
              <w:pageBreakBefore w:val="0"/>
              <w:spacing w:before="181"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报名时间</w:t>
            </w:r>
            <w:r/>
          </w:p>
        </w:tc>
        <w:tc>
          <w:tcPr>
            <w:tcW w:w="1134" w:type="dxa"/>
            <w:vAlign w:val="center"/>
            <w:textDirection w:val="lrTb"/>
            <w:noWrap w:val="false"/>
          </w:tcPr>
          <w:p>
            <w:pPr>
              <w:jc w:val="center"/>
              <w:keepLines w:val="0"/>
              <w:keepNext w:val="0"/>
              <w:pageBreakBefore w:val="0"/>
              <w:spacing w:before="181"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时间</w:t>
            </w:r>
            <w:r/>
          </w:p>
        </w:tc>
        <w:tc>
          <w:tcPr>
            <w:gridSpan w:val="2"/>
            <w:tcW w:w="7320" w:type="dxa"/>
            <w:vAlign w:val="center"/>
            <w:textDirection w:val="lrTb"/>
            <w:noWrap w:val="false"/>
          </w:tcPr>
          <w:p>
            <w:pPr>
              <w:keepLines w:val="0"/>
              <w:keepNext w:val="0"/>
              <w:pageBreakBefore w:val="0"/>
              <w:spacing w:before="181" w:line="360" w:lineRule="auto"/>
              <w:rPr>
                <w:rFonts w:hint="eastAsia" w:ascii="宋体" w:hAnsi="宋体" w:eastAsia="宋体" w:cs="宋体"/>
                <w:bCs/>
                <w:color w:val="auto"/>
                <w:sz w:val="21"/>
                <w:szCs w:val="21"/>
                <w:highlight w:val="none"/>
                <w:lang w:val="zh-CN"/>
              </w:rPr>
            </w:pPr>
            <w:r>
              <w:rPr>
                <w:rFonts w:hint="eastAsia" w:ascii="宋体" w:hAnsi="宋体" w:eastAsia="宋体" w:cs="宋体"/>
                <w:color w:val="auto"/>
                <w:sz w:val="21"/>
                <w:szCs w:val="21"/>
                <w:highlight w:val="none"/>
              </w:rPr>
              <w:t xml:space="preserve">自</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公告发布之日起5个工作日</w:t>
            </w:r>
            <w:r/>
          </w:p>
        </w:tc>
      </w:tr>
      <w:tr>
        <w:trPr>
          <w:jc w:val="center"/>
          <w:trHeight w:val="628"/>
        </w:trPr>
        <w:tc>
          <w:tcPr>
            <w:tcW w:w="443" w:type="dxa"/>
            <w:vAlign w:val="center"/>
            <w:vMerge w:val="continue"/>
            <w:textDirection w:val="lrTb"/>
            <w:noWrap w:val="false"/>
          </w:tcPr>
          <w:p>
            <w:pPr>
              <w:jc w:val="center"/>
              <w:keepLines w:val="0"/>
              <w:keepNext w:val="0"/>
              <w:pageBreakBefore w:val="0"/>
              <w:spacing w:before="181"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640" w:type="dxa"/>
            <w:vAlign w:val="center"/>
            <w:vMerge w:val="continue"/>
            <w:textDirection w:val="lrTb"/>
            <w:noWrap w:val="false"/>
          </w:tcPr>
          <w:p>
            <w:pPr>
              <w:jc w:val="left"/>
              <w:keepLines w:val="0"/>
              <w:keepNext w:val="0"/>
              <w:pageBreakBefore w:val="0"/>
              <w:spacing w:before="181"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134" w:type="dxa"/>
            <w:vAlign w:val="center"/>
            <w:textDirection w:val="lrTb"/>
            <w:noWrap w:val="false"/>
          </w:tcPr>
          <w:p>
            <w:pPr>
              <w:jc w:val="center"/>
              <w:keepLines w:val="0"/>
              <w:keepNext w:val="0"/>
              <w:pageBreakBefore w:val="0"/>
              <w:spacing w:before="181"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地点</w:t>
            </w:r>
            <w:r/>
          </w:p>
        </w:tc>
        <w:tc>
          <w:tcPr>
            <w:gridSpan w:val="2"/>
            <w:tcW w:w="7320" w:type="dxa"/>
            <w:vAlign w:val="center"/>
            <w:textDirection w:val="lrTb"/>
            <w:noWrap w:val="false"/>
          </w:tcPr>
          <w:p>
            <w:pPr>
              <w:keepLines w:val="0"/>
              <w:keepNext w:val="0"/>
              <w:pageBreakBefore w:val="0"/>
              <w:spacing w:before="181" w:line="360" w:lineRule="auto"/>
              <w:rPr>
                <w:rFonts w:hint="eastAsia" w:ascii="宋体" w:hAnsi="宋体" w:eastAsia="宋体" w:cs="宋体"/>
                <w:bCs/>
                <w:color w:val="auto"/>
                <w:sz w:val="21"/>
                <w:szCs w:val="21"/>
                <w:highlight w:val="none"/>
                <w:lang w:val="zh-CN"/>
              </w:rPr>
            </w:pPr>
            <w:r>
              <w:rPr>
                <w:rFonts w:hint="eastAsia" w:ascii="宋体" w:hAnsi="宋体" w:eastAsia="宋体" w:cs="宋体"/>
                <w:color w:val="auto"/>
                <w:sz w:val="21"/>
                <w:szCs w:val="21"/>
                <w:highlight w:val="none"/>
              </w:rPr>
              <w:t xml:space="preserve">“江苏政府采购网”自行免费下载</w:t>
            </w:r>
            <w:r/>
          </w:p>
        </w:tc>
      </w:tr>
      <w:tr>
        <w:trPr>
          <w:jc w:val="center"/>
        </w:trPr>
        <w:tc>
          <w:tcPr>
            <w:tcW w:w="443" w:type="dxa"/>
            <w:vAlign w:val="center"/>
            <w:vMerge w:val="continue"/>
            <w:textDirection w:val="lrTb"/>
            <w:noWrap w:val="false"/>
          </w:tcPr>
          <w:p>
            <w:pPr>
              <w:jc w:val="center"/>
              <w:keepLines w:val="0"/>
              <w:keepNext w:val="0"/>
              <w:pageBreakBefore w:val="0"/>
              <w:spacing w:before="181"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640" w:type="dxa"/>
            <w:vAlign w:val="center"/>
            <w:vMerge w:val="continue"/>
            <w:textDirection w:val="lrTb"/>
            <w:noWrap w:val="false"/>
          </w:tcPr>
          <w:p>
            <w:pPr>
              <w:jc w:val="left"/>
              <w:keepLines w:val="0"/>
              <w:keepNext w:val="0"/>
              <w:pageBreakBefore w:val="0"/>
              <w:spacing w:before="181"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134" w:type="dxa"/>
            <w:vAlign w:val="center"/>
            <w:textDirection w:val="lrTb"/>
            <w:noWrap w:val="false"/>
          </w:tcPr>
          <w:p>
            <w:pPr>
              <w:jc w:val="center"/>
              <w:keepLines w:val="0"/>
              <w:keepNext w:val="0"/>
              <w:pageBreakBefore w:val="0"/>
              <w:spacing w:before="181"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要求</w:t>
            </w:r>
            <w:r/>
          </w:p>
        </w:tc>
        <w:tc>
          <w:tcPr>
            <w:gridSpan w:val="2"/>
            <w:tcW w:w="7320" w:type="dxa"/>
            <w:vAlign w:val="center"/>
            <w:textDirection w:val="lrTb"/>
            <w:noWrap w:val="false"/>
          </w:tcPr>
          <w:p>
            <w:pPr>
              <w:keepLines w:val="0"/>
              <w:keepNext w:val="0"/>
              <w:pageBreakBefore w:val="0"/>
              <w:spacing w:before="181"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tc>
      </w:tr>
      <w:tr>
        <w:trPr>
          <w:jc w:val="center"/>
          <w:trHeight w:val="571"/>
        </w:trPr>
        <w:tc>
          <w:tcPr>
            <w:tcW w:w="443" w:type="dxa"/>
            <w:vAlign w:val="center"/>
            <w:vMerge w:val="restart"/>
            <w:textDirection w:val="lrTb"/>
            <w:noWrap w:val="false"/>
          </w:tcPr>
          <w:p>
            <w:pPr>
              <w:jc w:val="center"/>
              <w:keepLines w:val="0"/>
              <w:keepNext w:val="0"/>
              <w:pageBreakBefore w:val="0"/>
              <w:spacing w:before="181"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jc w:val="center"/>
              <w:keepLines w:val="0"/>
              <w:keepNext w:val="0"/>
              <w:pageBreakBefore w:val="0"/>
              <w:spacing w:before="181"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12</w:t>
            </w:r>
            <w:r/>
          </w:p>
        </w:tc>
        <w:tc>
          <w:tcPr>
            <w:tcW w:w="640" w:type="dxa"/>
            <w:vAlign w:val="center"/>
            <w:vMerge w:val="restart"/>
            <w:textDirection w:val="lrTb"/>
            <w:noWrap w:val="false"/>
          </w:tcPr>
          <w:p>
            <w:pPr>
              <w:jc w:val="center"/>
              <w:keepLines w:val="0"/>
              <w:keepNext w:val="0"/>
              <w:pageBreakBefore w:val="0"/>
              <w:spacing w:before="181"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响应文件递交信息</w:t>
            </w:r>
            <w:r/>
          </w:p>
        </w:tc>
        <w:tc>
          <w:tcPr>
            <w:tcW w:w="1134" w:type="dxa"/>
            <w:vAlign w:val="center"/>
            <w:textDirection w:val="lrTb"/>
            <w:noWrap w:val="false"/>
          </w:tcPr>
          <w:p>
            <w:pPr>
              <w:jc w:val="center"/>
              <w:keepLines w:val="0"/>
              <w:keepNext w:val="0"/>
              <w:pageBreakBefore w:val="0"/>
              <w:spacing w:before="181" w:line="360" w:lineRule="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时间</w:t>
            </w:r>
            <w:r/>
          </w:p>
        </w:tc>
        <w:tc>
          <w:tcPr>
            <w:gridSpan w:val="2"/>
            <w:tcW w:w="7320" w:type="dxa"/>
            <w:vAlign w:val="center"/>
            <w:textDirection w:val="lrTb"/>
            <w:noWrap w:val="false"/>
          </w:tcPr>
          <w:p>
            <w:pPr>
              <w:keepLines w:val="0"/>
              <w:keepNext w:val="0"/>
              <w:pageBreakBefore w:val="0"/>
              <w:spacing w:before="181"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zh-CN"/>
              </w:rPr>
              <w:t xml:space="preserve">202</w:t>
            </w: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lang w:val="zh-CN"/>
              </w:rPr>
              <w:t xml:space="preserve">年</w:t>
            </w:r>
            <w:r>
              <w:rPr>
                <w:rFonts w:hint="eastAsia" w:ascii="宋体" w:hAnsi="宋体" w:eastAsia="宋体" w:cs="宋体"/>
                <w:bCs/>
                <w:color w:val="auto"/>
                <w:sz w:val="21"/>
                <w:szCs w:val="21"/>
                <w:highlight w:val="none"/>
                <w:lang w:val="en-US" w:eastAsia="zh-CN"/>
              </w:rPr>
              <w:t xml:space="preserve">10</w:t>
            </w:r>
            <w:r>
              <w:rPr>
                <w:rFonts w:hint="eastAsia" w:ascii="宋体" w:hAnsi="宋体" w:eastAsia="宋体" w:cs="宋体"/>
                <w:bCs/>
                <w:color w:val="auto"/>
                <w:sz w:val="21"/>
                <w:szCs w:val="21"/>
                <w:highlight w:val="none"/>
              </w:rPr>
              <w:t xml:space="preserve">月</w:t>
            </w:r>
            <w:r>
              <w:rPr>
                <w:rFonts w:hint="eastAsia" w:ascii="宋体" w:hAnsi="宋体" w:eastAsia="宋体" w:cs="宋体"/>
                <w:bCs/>
                <w:color w:val="auto"/>
                <w:sz w:val="21"/>
                <w:szCs w:val="21"/>
                <w:highlight w:val="none"/>
                <w:lang w:val="en-US" w:eastAsia="zh-CN"/>
              </w:rPr>
              <w:t xml:space="preserve">9</w:t>
            </w:r>
            <w:r>
              <w:rPr>
                <w:rFonts w:hint="eastAsia" w:ascii="宋体" w:hAnsi="宋体" w:eastAsia="宋体" w:cs="宋体"/>
                <w:bCs/>
                <w:color w:val="auto"/>
                <w:sz w:val="21"/>
                <w:szCs w:val="21"/>
                <w:highlight w:val="none"/>
              </w:rPr>
              <w:t xml:space="preserve">日</w:t>
            </w:r>
            <w:r>
              <w:rPr>
                <w:rFonts w:hint="eastAsia" w:ascii="宋体" w:hAnsi="宋体" w:eastAsia="宋体" w:cs="宋体"/>
                <w:bCs/>
                <w:color w:val="auto"/>
                <w:sz w:val="21"/>
                <w:szCs w:val="21"/>
                <w:highlight w:val="none"/>
                <w:lang w:val="en-US" w:eastAsia="zh-CN"/>
              </w:rPr>
              <w:t xml:space="preserve">14</w:t>
            </w:r>
            <w:r>
              <w:rPr>
                <w:rFonts w:hint="eastAsia" w:ascii="宋体" w:hAnsi="宋体" w:eastAsia="宋体" w:cs="宋体"/>
                <w:bCs/>
                <w:color w:val="auto"/>
                <w:sz w:val="21"/>
                <w:szCs w:val="21"/>
                <w:highlight w:val="none"/>
                <w:lang w:val="zh-CN"/>
              </w:rPr>
              <w:t xml:space="preserve">点</w:t>
            </w:r>
            <w:r>
              <w:rPr>
                <w:rFonts w:hint="eastAsia" w:ascii="宋体" w:hAnsi="宋体" w:eastAsia="宋体" w:cs="宋体"/>
                <w:bCs/>
                <w:color w:val="auto"/>
                <w:sz w:val="21"/>
                <w:szCs w:val="21"/>
                <w:highlight w:val="none"/>
                <w:lang w:val="en-US" w:eastAsia="zh-CN"/>
              </w:rPr>
              <w:t xml:space="preserve">00</w:t>
            </w:r>
            <w:r>
              <w:rPr>
                <w:rFonts w:hint="eastAsia" w:ascii="宋体" w:hAnsi="宋体" w:eastAsia="宋体" w:cs="宋体"/>
                <w:bCs/>
                <w:color w:val="auto"/>
                <w:sz w:val="21"/>
                <w:szCs w:val="21"/>
                <w:highlight w:val="none"/>
                <w:lang w:val="zh-CN"/>
              </w:rPr>
              <w:t xml:space="preserve">分</w:t>
            </w:r>
            <w:r>
              <w:rPr>
                <w:rFonts w:hint="eastAsia" w:ascii="宋体" w:hAnsi="宋体" w:eastAsia="宋体" w:cs="宋体"/>
                <w:bCs/>
                <w:color w:val="auto"/>
                <w:sz w:val="21"/>
                <w:szCs w:val="21"/>
                <w:highlight w:val="none"/>
              </w:rPr>
              <w:t xml:space="preserve">前</w:t>
            </w:r>
            <w:r/>
          </w:p>
        </w:tc>
      </w:tr>
      <w:tr>
        <w:trPr>
          <w:jc w:val="center"/>
          <w:trHeight w:val="421"/>
        </w:trPr>
        <w:tc>
          <w:tcPr>
            <w:tcW w:w="443" w:type="dxa"/>
            <w:vAlign w:val="center"/>
            <w:vMerge w:val="continue"/>
            <w:textDirection w:val="lrTb"/>
            <w:noWrap w:val="false"/>
          </w:tcPr>
          <w:p>
            <w:pPr>
              <w:jc w:val="center"/>
              <w:keepLines w:val="0"/>
              <w:keepNext w:val="0"/>
              <w:pageBreakBefore w:val="0"/>
              <w:spacing w:before="181"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640" w:type="dxa"/>
            <w:vAlign w:val="center"/>
            <w:vMerge w:val="continue"/>
            <w:textDirection w:val="lrTb"/>
            <w:noWrap w:val="false"/>
          </w:tcPr>
          <w:p>
            <w:pPr>
              <w:jc w:val="left"/>
              <w:keepLines w:val="0"/>
              <w:keepNext w:val="0"/>
              <w:pageBreakBefore w:val="0"/>
              <w:spacing w:before="181"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134" w:type="dxa"/>
            <w:vAlign w:val="center"/>
            <w:textDirection w:val="lrTb"/>
            <w:noWrap w:val="false"/>
          </w:tcPr>
          <w:p>
            <w:pPr>
              <w:jc w:val="center"/>
              <w:keepLines w:val="0"/>
              <w:keepNext w:val="0"/>
              <w:pageBreakBefore w:val="0"/>
              <w:spacing w:before="181" w:line="360" w:lineRule="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地点</w:t>
            </w:r>
            <w:r/>
          </w:p>
        </w:tc>
        <w:tc>
          <w:tcPr>
            <w:gridSpan w:val="2"/>
            <w:tcW w:w="7320" w:type="dxa"/>
            <w:vAlign w:val="center"/>
            <w:textDirection w:val="lrTb"/>
            <w:noWrap w:val="false"/>
          </w:tcPr>
          <w:p>
            <w:pPr>
              <w:keepLines w:val="0"/>
              <w:keepNext w:val="0"/>
              <w:pageBreakBefore w:val="0"/>
              <w:spacing w:before="181" w:line="360" w:lineRule="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rPr>
              <w:t xml:space="preserve">江苏省政府采购交易系统（以下简称“苏采云系统”）网上开标大厅</w:t>
            </w:r>
            <w:r/>
          </w:p>
        </w:tc>
      </w:tr>
      <w:tr>
        <w:trPr>
          <w:jc w:val="center"/>
          <w:trHeight w:val="451"/>
        </w:trPr>
        <w:tc>
          <w:tcPr>
            <w:tcW w:w="443" w:type="dxa"/>
            <w:vAlign w:val="center"/>
            <w:vMerge w:val="continue"/>
            <w:textDirection w:val="lrTb"/>
            <w:noWrap w:val="false"/>
          </w:tcPr>
          <w:p>
            <w:pPr>
              <w:jc w:val="center"/>
              <w:keepLines w:val="0"/>
              <w:keepNext w:val="0"/>
              <w:pageBreakBefore w:val="0"/>
              <w:spacing w:before="181"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640" w:type="dxa"/>
            <w:vAlign w:val="center"/>
            <w:vMerge w:val="continue"/>
            <w:textDirection w:val="lrTb"/>
            <w:noWrap w:val="false"/>
          </w:tcPr>
          <w:p>
            <w:pPr>
              <w:jc w:val="left"/>
              <w:keepLines w:val="0"/>
              <w:keepNext w:val="0"/>
              <w:pageBreakBefore w:val="0"/>
              <w:spacing w:before="181"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134" w:type="dxa"/>
            <w:vAlign w:val="center"/>
            <w:textDirection w:val="lrTb"/>
            <w:noWrap w:val="false"/>
          </w:tcPr>
          <w:p>
            <w:pPr>
              <w:jc w:val="center"/>
              <w:keepLines w:val="0"/>
              <w:keepNext w:val="0"/>
              <w:pageBreakBefore w:val="0"/>
              <w:spacing w:before="181" w:line="360" w:lineRule="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要求</w:t>
            </w:r>
            <w:r/>
          </w:p>
        </w:tc>
        <w:tc>
          <w:tcPr>
            <w:gridSpan w:val="2"/>
            <w:tcW w:w="7320" w:type="dxa"/>
            <w:vAlign w:val="center"/>
            <w:textDirection w:val="lrTb"/>
            <w:noWrap w:val="false"/>
          </w:tcPr>
          <w:p>
            <w:pPr>
              <w:pStyle w:val="990"/>
              <w:ind w:left="-38" w:firstLine="0"/>
              <w:jc w:val="left"/>
              <w:keepLines w:val="0"/>
              <w:keepNext w:val="0"/>
              <w:pageBreakBefore w:val="0"/>
              <w:spacing w:before="18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次采购采用“政府采购管理交易系统（苏采云）”，招标、投标、评标和中标结果发布全程电子化，开标方式为不见面开标。供应商通过苏采云系统参与本项目，需要办理江苏省政府采购数字证书及电子签章，具体详见苏采云系统登录页“新CA办理指南”。供应商按《苏采云系统供应商操作手册》（以下简称“操作手册”）进行注册，并在规定时间内制作上传电子响应文件。如供应商未按要求操作，由此所产生的风险由供应商自行承担。</w:t>
            </w:r>
            <w:r/>
          </w:p>
          <w:p>
            <w:pPr>
              <w:keepLines w:val="0"/>
              <w:keepNext w:val="0"/>
              <w:pageBreakBefore w:val="0"/>
              <w:spacing w:before="18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《操作手册》下载地址：</w:t>
            </w:r>
            <w:r/>
          </w:p>
          <w:p>
            <w:pPr>
              <w:keepLines w:val="0"/>
              <w:keepNext w:val="0"/>
              <w:pageBreakBefore w:val="0"/>
              <w:spacing w:before="181"/>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"http://www.ccgp-jiangsu.gov.cn/jiangsu/zlxz/ee/" \o "http://www.ccgp-jiangsu.gov.cn/jiangsu/zlxz/ee/" </w:instrText>
            </w:r>
            <w:r>
              <w:rPr>
                <w:rFonts w:hint="eastAsia" w:ascii="宋体" w:hAnsi="宋体" w:eastAsia="宋体" w:cs="宋体"/>
                <w:color w:val="auto"/>
                <w:sz w:val="21"/>
                <w:szCs w:val="21"/>
                <w:highlight w:val="none"/>
              </w:rPr>
              <w:fldChar w:fldCharType="separate"/>
            </w:r>
            <w:r>
              <w:rPr>
                <w:rStyle w:val="985"/>
                <w:rFonts w:hint="eastAsia" w:ascii="宋体" w:hAnsi="宋体" w:eastAsia="宋体" w:cs="宋体"/>
                <w:color w:val="auto"/>
                <w:sz w:val="21"/>
                <w:szCs w:val="21"/>
                <w:highlight w:val="none"/>
                <w:u w:val="none"/>
                <w:lang w:bidi="ar"/>
              </w:rPr>
              <w:t xml:space="preserve">http://www.ccgp-jiangsu.gov.cn/jiangsu/zlxz/ee/</w:t>
            </w:r>
            <w:r>
              <w:rPr>
                <w:rStyle w:val="985"/>
                <w:rFonts w:hint="eastAsia" w:ascii="宋体" w:hAnsi="宋体" w:eastAsia="宋体" w:cs="宋体"/>
                <w:color w:val="auto"/>
                <w:sz w:val="21"/>
                <w:szCs w:val="21"/>
                <w:highlight w:val="none"/>
                <w:u w:val="none"/>
                <w:lang w:bidi="ar"/>
              </w:rPr>
              <w:fldChar w:fldCharType="end"/>
            </w:r>
            <w:r>
              <w:rPr>
                <w:rFonts w:hint="eastAsia" w:ascii="宋体" w:hAnsi="宋体" w:eastAsia="宋体" w:cs="宋体"/>
                <w:color w:val="auto"/>
                <w:sz w:val="21"/>
                <w:szCs w:val="21"/>
                <w:highlight w:val="none"/>
                <w:lang w:bidi="ar"/>
              </w:rPr>
              <w:t xml:space="preserve">ee3a4bc5a3454aa2b0d9312230633ce9.html</w:t>
            </w:r>
            <w:r/>
          </w:p>
          <w:p>
            <w:pPr>
              <w:pStyle w:val="1512"/>
              <w:numPr>
                <w:ilvl w:val="0"/>
                <w:numId w:val="6"/>
              </w:numPr>
              <w:keepLines w:val="0"/>
              <w:keepNext w:val="0"/>
              <w:pageBreakBefore w:val="0"/>
              <w:spacing w:before="181"/>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bidi="ar"/>
              </w:rPr>
              <w:t xml:space="preserve">供应商应在响应文件提交截止时间之前</w:t>
            </w:r>
            <w:r>
              <w:rPr>
                <w:rFonts w:hint="eastAsia" w:ascii="宋体" w:hAnsi="宋体" w:eastAsia="宋体" w:cs="宋体"/>
                <w:b w:val="0"/>
                <w:bCs w:val="0"/>
                <w:color w:val="auto"/>
                <w:sz w:val="21"/>
                <w:szCs w:val="21"/>
                <w:highlight w:val="none"/>
              </w:rPr>
              <w:t xml:space="preserve">上传电子响应文件至苏采云系统。</w:t>
            </w:r>
            <w:r/>
          </w:p>
          <w:p>
            <w:pPr>
              <w:pStyle w:val="970"/>
              <w:jc w:val="both"/>
              <w:keepLines w:val="0"/>
              <w:keepNext w:val="0"/>
              <w:pageBreakBefore w:val="0"/>
              <w:spacing w:before="181" w:beforeAutospacing="0" w:after="0" w:afterAutospacing="0" w:line="36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（3）本项目为不见面开标，开启阶段供应商在【供应商解密】环节必须使用CA证书解密电子响应文件，如在系统规定的解密时间内未能完成解密的视为放弃参与本项目。</w:t>
            </w:r>
            <w:r/>
          </w:p>
          <w:p>
            <w:pPr>
              <w:keepLines w:val="0"/>
              <w:keepNext w:val="0"/>
              <w:pageBreakBefore w:val="0"/>
              <w:spacing w:before="181"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请供应商确保电脑、系统及其他设备（视频输入输出设备等）无误，且开启直至项目结束始终保持系统在线状态。</w:t>
            </w:r>
            <w:r/>
          </w:p>
        </w:tc>
      </w:tr>
      <w:tr>
        <w:trPr>
          <w:jc w:val="center"/>
        </w:trPr>
        <w:tc>
          <w:tcPr>
            <w:tcW w:w="443" w:type="dxa"/>
            <w:vAlign w:val="center"/>
            <w:textDirection w:val="lrTb"/>
            <w:noWrap w:val="false"/>
          </w:tcPr>
          <w:p>
            <w:pPr>
              <w:jc w:val="center"/>
              <w:keepLines w:val="0"/>
              <w:keepNext w:val="0"/>
              <w:pageBreakBefore w:val="0"/>
              <w:spacing w:before="181"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w:t>
            </w:r>
            <w:r/>
          </w:p>
        </w:tc>
        <w:tc>
          <w:tcPr>
            <w:gridSpan w:val="2"/>
            <w:tcW w:w="1774" w:type="dxa"/>
            <w:vAlign w:val="center"/>
            <w:textDirection w:val="lrTb"/>
            <w:noWrap w:val="false"/>
          </w:tcPr>
          <w:p>
            <w:pPr>
              <w:jc w:val="center"/>
              <w:keepLines w:val="0"/>
              <w:keepNext w:val="0"/>
              <w:pageBreakBefore w:val="0"/>
              <w:spacing w:before="181" w:line="360" w:lineRule="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rPr>
              <w:t xml:space="preserve">响应文件</w:t>
            </w:r>
            <w:r>
              <w:rPr>
                <w:rFonts w:hint="eastAsia" w:ascii="宋体" w:hAnsi="宋体" w:eastAsia="宋体" w:cs="宋体"/>
                <w:bCs/>
                <w:color w:val="auto"/>
                <w:sz w:val="21"/>
                <w:szCs w:val="21"/>
                <w:highlight w:val="none"/>
                <w:lang w:val="zh-CN"/>
              </w:rPr>
              <w:t xml:space="preserve">份数</w:t>
            </w:r>
            <w:r/>
          </w:p>
        </w:tc>
        <w:tc>
          <w:tcPr>
            <w:gridSpan w:val="2"/>
            <w:tcW w:w="7320" w:type="dxa"/>
            <w:vAlign w:val="center"/>
            <w:textDirection w:val="lrTb"/>
            <w:noWrap w:val="false"/>
          </w:tcPr>
          <w:p>
            <w:pPr>
              <w:keepLines w:val="0"/>
              <w:keepNext w:val="0"/>
              <w:pageBreakBefore w:val="0"/>
              <w:spacing w:before="181" w:line="360" w:lineRule="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rPr>
              <w:t xml:space="preserve">中标后，投标供应商需无偿提供纸质版响应文件一式叁份；(电子版标书一份,U盘形式;响应文件电子版中必须包含响应文件的全部内容，不得加密，所有文档、图表等采用PDF格式或WORD格式)</w:t>
            </w:r>
            <w:r/>
          </w:p>
        </w:tc>
      </w:tr>
      <w:tr>
        <w:trPr>
          <w:jc w:val="center"/>
          <w:trHeight w:val="231"/>
        </w:trPr>
        <w:tc>
          <w:tcPr>
            <w:tcW w:w="443" w:type="dxa"/>
            <w:vAlign w:val="center"/>
            <w:vMerge w:val="restart"/>
            <w:textDirection w:val="lrTb"/>
            <w:noWrap w:val="false"/>
          </w:tcPr>
          <w:p>
            <w:pPr>
              <w:jc w:val="center"/>
              <w:keepLines w:val="0"/>
              <w:keepNext w:val="0"/>
              <w:pageBreakBefore w:val="0"/>
              <w:spacing w:before="181"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14</w:t>
            </w:r>
            <w:r/>
          </w:p>
        </w:tc>
        <w:tc>
          <w:tcPr>
            <w:tcW w:w="640" w:type="dxa"/>
            <w:vAlign w:val="center"/>
            <w:vMerge w:val="restart"/>
            <w:textDirection w:val="lrTb"/>
            <w:noWrap w:val="false"/>
          </w:tcPr>
          <w:p>
            <w:pPr>
              <w:jc w:val="center"/>
              <w:keepLines w:val="0"/>
              <w:keepNext w:val="0"/>
              <w:pageBreakBefore w:val="0"/>
              <w:spacing w:before="181"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开标信息</w:t>
            </w:r>
            <w:r/>
          </w:p>
        </w:tc>
        <w:tc>
          <w:tcPr>
            <w:tcW w:w="1134" w:type="dxa"/>
            <w:vAlign w:val="center"/>
            <w:textDirection w:val="lrTb"/>
            <w:noWrap w:val="false"/>
          </w:tcPr>
          <w:p>
            <w:pPr>
              <w:jc w:val="center"/>
              <w:keepLines w:val="0"/>
              <w:keepNext w:val="0"/>
              <w:pageBreakBefore w:val="0"/>
              <w:spacing w:before="181"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时间</w:t>
            </w:r>
            <w:r/>
          </w:p>
        </w:tc>
        <w:tc>
          <w:tcPr>
            <w:gridSpan w:val="2"/>
            <w:tcW w:w="7320" w:type="dxa"/>
            <w:vAlign w:val="center"/>
            <w:textDirection w:val="lrTb"/>
            <w:noWrap w:val="false"/>
          </w:tcPr>
          <w:p>
            <w:pPr>
              <w:keepLines w:val="0"/>
              <w:keepNext w:val="0"/>
              <w:pageBreakBefore w:val="0"/>
              <w:spacing w:before="181" w:line="360" w:lineRule="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202</w:t>
            </w: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lang w:val="zh-CN"/>
              </w:rPr>
              <w:t xml:space="preserve">年</w:t>
            </w:r>
            <w:r>
              <w:rPr>
                <w:rFonts w:hint="eastAsia" w:ascii="宋体" w:hAnsi="宋体" w:eastAsia="宋体" w:cs="宋体"/>
                <w:bCs/>
                <w:color w:val="auto"/>
                <w:sz w:val="21"/>
                <w:szCs w:val="21"/>
                <w:highlight w:val="none"/>
                <w:lang w:val="en-US" w:eastAsia="zh-CN"/>
              </w:rPr>
              <w:t xml:space="preserve">10</w:t>
            </w:r>
            <w:r>
              <w:rPr>
                <w:rFonts w:hint="eastAsia" w:ascii="宋体" w:hAnsi="宋体" w:eastAsia="宋体" w:cs="宋体"/>
                <w:bCs/>
                <w:color w:val="auto"/>
                <w:sz w:val="21"/>
                <w:szCs w:val="21"/>
                <w:highlight w:val="none"/>
              </w:rPr>
              <w:t xml:space="preserve">月</w:t>
            </w:r>
            <w:r>
              <w:rPr>
                <w:rFonts w:hint="eastAsia" w:ascii="宋体" w:hAnsi="宋体" w:eastAsia="宋体" w:cs="宋体"/>
                <w:bCs/>
                <w:color w:val="auto"/>
                <w:sz w:val="21"/>
                <w:szCs w:val="21"/>
                <w:highlight w:val="none"/>
                <w:lang w:val="en-US" w:eastAsia="zh-CN"/>
              </w:rPr>
              <w:t xml:space="preserve">9</w:t>
            </w:r>
            <w:r>
              <w:rPr>
                <w:rFonts w:hint="eastAsia" w:ascii="宋体" w:hAnsi="宋体" w:eastAsia="宋体" w:cs="宋体"/>
                <w:bCs/>
                <w:color w:val="auto"/>
                <w:sz w:val="21"/>
                <w:szCs w:val="21"/>
                <w:highlight w:val="none"/>
              </w:rPr>
              <w:t xml:space="preserve">日</w:t>
            </w:r>
            <w:r>
              <w:rPr>
                <w:rFonts w:hint="eastAsia" w:ascii="宋体" w:hAnsi="宋体" w:eastAsia="宋体" w:cs="宋体"/>
                <w:bCs/>
                <w:color w:val="auto"/>
                <w:sz w:val="21"/>
                <w:szCs w:val="21"/>
                <w:highlight w:val="none"/>
                <w:lang w:val="en-US" w:eastAsia="zh-CN"/>
              </w:rPr>
              <w:t xml:space="preserve">14</w:t>
            </w:r>
            <w:r>
              <w:rPr>
                <w:rFonts w:hint="eastAsia" w:ascii="宋体" w:hAnsi="宋体" w:eastAsia="宋体" w:cs="宋体"/>
                <w:bCs/>
                <w:color w:val="auto"/>
                <w:sz w:val="21"/>
                <w:szCs w:val="21"/>
                <w:highlight w:val="none"/>
                <w:lang w:val="zh-CN"/>
              </w:rPr>
              <w:t xml:space="preserve">点</w:t>
            </w:r>
            <w:r>
              <w:rPr>
                <w:rFonts w:hint="eastAsia" w:ascii="宋体" w:hAnsi="宋体" w:eastAsia="宋体" w:cs="宋体"/>
                <w:bCs/>
                <w:color w:val="auto"/>
                <w:sz w:val="21"/>
                <w:szCs w:val="21"/>
                <w:highlight w:val="none"/>
                <w:lang w:val="en-US" w:eastAsia="zh-CN"/>
              </w:rPr>
              <w:t xml:space="preserve">00</w:t>
            </w:r>
            <w:r>
              <w:rPr>
                <w:rFonts w:hint="eastAsia" w:ascii="宋体" w:hAnsi="宋体" w:eastAsia="宋体" w:cs="宋体"/>
                <w:bCs/>
                <w:color w:val="auto"/>
                <w:sz w:val="21"/>
                <w:szCs w:val="21"/>
                <w:highlight w:val="none"/>
                <w:lang w:val="zh-CN"/>
              </w:rPr>
              <w:t xml:space="preserve">分</w:t>
            </w:r>
            <w:r/>
          </w:p>
        </w:tc>
      </w:tr>
      <w:tr>
        <w:trPr>
          <w:jc w:val="center"/>
          <w:trHeight w:val="90"/>
        </w:trPr>
        <w:tc>
          <w:tcPr>
            <w:tcW w:w="443" w:type="dxa"/>
            <w:vAlign w:val="center"/>
            <w:vMerge w:val="continue"/>
            <w:textDirection w:val="lrTb"/>
            <w:noWrap w:val="false"/>
          </w:tcPr>
          <w:p>
            <w:pPr>
              <w:jc w:val="center"/>
              <w:keepLines w:val="0"/>
              <w:keepNext w:val="0"/>
              <w:pageBreakBefore w:val="0"/>
              <w:spacing w:before="181"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640" w:type="dxa"/>
            <w:vAlign w:val="center"/>
            <w:vMerge w:val="continue"/>
            <w:textDirection w:val="lrTb"/>
            <w:noWrap w:val="false"/>
          </w:tcPr>
          <w:p>
            <w:pPr>
              <w:jc w:val="center"/>
              <w:keepLines w:val="0"/>
              <w:keepNext w:val="0"/>
              <w:pageBreakBefore w:val="0"/>
              <w:spacing w:before="181"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134" w:type="dxa"/>
            <w:vAlign w:val="center"/>
            <w:textDirection w:val="lrTb"/>
            <w:noWrap w:val="false"/>
          </w:tcPr>
          <w:p>
            <w:pPr>
              <w:jc w:val="center"/>
              <w:keepLines w:val="0"/>
              <w:keepNext w:val="0"/>
              <w:pageBreakBefore w:val="0"/>
              <w:spacing w:before="181"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地点</w:t>
            </w:r>
            <w:r/>
          </w:p>
        </w:tc>
        <w:tc>
          <w:tcPr>
            <w:gridSpan w:val="2"/>
            <w:tcW w:w="7320" w:type="dxa"/>
            <w:vAlign w:val="center"/>
            <w:textDirection w:val="lrTb"/>
            <w:noWrap w:val="false"/>
          </w:tcPr>
          <w:p>
            <w:pPr>
              <w:keepLines w:val="0"/>
              <w:keepNext w:val="0"/>
              <w:pageBreakBefore w:val="0"/>
              <w:spacing w:before="181"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江苏省政府采购交易系统（以下简称“苏采云系统”）网上开标大厅</w:t>
            </w:r>
            <w:r/>
          </w:p>
        </w:tc>
      </w:tr>
      <w:tr>
        <w:trPr>
          <w:jc w:val="center"/>
          <w:trHeight w:val="669"/>
        </w:trPr>
        <w:tc>
          <w:tcPr>
            <w:tcW w:w="443" w:type="dxa"/>
            <w:vAlign w:val="center"/>
            <w:vMerge w:val="restart"/>
            <w:textDirection w:val="lrTb"/>
            <w:noWrap w:val="false"/>
          </w:tcPr>
          <w:p>
            <w:pPr>
              <w:jc w:val="center"/>
              <w:keepLines w:val="0"/>
              <w:keepNext w:val="0"/>
              <w:pageBreakBefore w:val="0"/>
              <w:spacing w:before="181"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15</w:t>
            </w:r>
            <w:r/>
          </w:p>
        </w:tc>
        <w:tc>
          <w:tcPr>
            <w:tcW w:w="640" w:type="dxa"/>
            <w:vAlign w:val="center"/>
            <w:vMerge w:val="restart"/>
            <w:textDirection w:val="lrTb"/>
            <w:noWrap w:val="false"/>
          </w:tcPr>
          <w:p>
            <w:pPr>
              <w:jc w:val="center"/>
              <w:keepLines w:val="0"/>
              <w:keepNext w:val="0"/>
              <w:pageBreakBefore w:val="0"/>
              <w:spacing w:before="181"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联系事项</w:t>
            </w:r>
            <w:r/>
          </w:p>
        </w:tc>
        <w:tc>
          <w:tcPr>
            <w:tcW w:w="1134" w:type="dxa"/>
            <w:vAlign w:val="center"/>
            <w:textDirection w:val="lrTb"/>
            <w:noWrap w:val="false"/>
          </w:tcPr>
          <w:p>
            <w:pPr>
              <w:keepLines w:val="0"/>
              <w:keepNext w:val="0"/>
              <w:pageBreakBefore w:val="0"/>
              <w:spacing w:before="181" w:line="360" w:lineRule="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采购单位</w:t>
            </w:r>
            <w:r/>
          </w:p>
        </w:tc>
        <w:tc>
          <w:tcPr>
            <w:tcW w:w="1276" w:type="dxa"/>
            <w:vAlign w:val="center"/>
            <w:textDirection w:val="lrTb"/>
            <w:noWrap w:val="false"/>
          </w:tcPr>
          <w:p>
            <w:pPr>
              <w:keepLines w:val="0"/>
              <w:keepNext w:val="0"/>
              <w:pageBreakBefore w:val="0"/>
              <w:spacing w:before="181" w:line="360" w:lineRule="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联系人</w:t>
            </w:r>
            <w:r/>
          </w:p>
        </w:tc>
        <w:tc>
          <w:tcPr>
            <w:tcW w:w="6044" w:type="dxa"/>
            <w:vAlign w:val="center"/>
            <w:textDirection w:val="lrTb"/>
            <w:noWrap w:val="false"/>
          </w:tcPr>
          <w:p>
            <w:pPr>
              <w:keepLines w:val="0"/>
              <w:keepNext w:val="0"/>
              <w:pageBreakBefore w:val="0"/>
              <w:spacing w:before="181"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李科，</w:t>
            </w:r>
            <w:r>
              <w:rPr>
                <w:rFonts w:hint="eastAsia" w:ascii="宋体" w:hAnsi="宋体" w:eastAsia="宋体" w:cs="宋体"/>
                <w:color w:val="auto"/>
                <w:sz w:val="21"/>
                <w:szCs w:val="21"/>
                <w:highlight w:val="none"/>
              </w:rPr>
              <w:t xml:space="preserve">025-51190810</w:t>
            </w:r>
            <w:r/>
          </w:p>
        </w:tc>
      </w:tr>
      <w:tr>
        <w:trPr>
          <w:jc w:val="center"/>
          <w:trHeight w:val="350"/>
        </w:trPr>
        <w:tc>
          <w:tcPr>
            <w:tcW w:w="443" w:type="dxa"/>
            <w:vAlign w:val="center"/>
            <w:vMerge w:val="continue"/>
            <w:textDirection w:val="lrTb"/>
            <w:noWrap w:val="false"/>
          </w:tcPr>
          <w:p>
            <w:pPr>
              <w:jc w:val="center"/>
              <w:keepLines w:val="0"/>
              <w:keepNext w:val="0"/>
              <w:pageBreakBefore w:val="0"/>
              <w:spacing w:before="181"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640" w:type="dxa"/>
            <w:vAlign w:val="center"/>
            <w:vMerge w:val="continue"/>
            <w:textDirection w:val="lrTb"/>
            <w:noWrap w:val="false"/>
          </w:tcPr>
          <w:p>
            <w:pPr>
              <w:jc w:val="center"/>
              <w:keepLines w:val="0"/>
              <w:keepNext w:val="0"/>
              <w:pageBreakBefore w:val="0"/>
              <w:spacing w:before="181"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134" w:type="dxa"/>
            <w:vAlign w:val="center"/>
            <w:textDirection w:val="lrTb"/>
            <w:noWrap w:val="false"/>
          </w:tcPr>
          <w:p>
            <w:pPr>
              <w:keepLines w:val="0"/>
              <w:keepNext w:val="0"/>
              <w:pageBreakBefore w:val="0"/>
              <w:spacing w:before="181" w:line="360" w:lineRule="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代理机构</w:t>
            </w:r>
            <w:r/>
          </w:p>
        </w:tc>
        <w:tc>
          <w:tcPr>
            <w:tcW w:w="1276" w:type="dxa"/>
            <w:vAlign w:val="center"/>
            <w:textDirection w:val="lrTb"/>
            <w:noWrap w:val="false"/>
          </w:tcPr>
          <w:p>
            <w:pPr>
              <w:keepLines w:val="0"/>
              <w:keepNext w:val="0"/>
              <w:pageBreakBefore w:val="0"/>
              <w:spacing w:before="181" w:line="360" w:lineRule="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联系人</w:t>
            </w:r>
            <w:r/>
          </w:p>
        </w:tc>
        <w:tc>
          <w:tcPr>
            <w:tcW w:w="6044" w:type="dxa"/>
            <w:vAlign w:val="center"/>
            <w:textDirection w:val="lrTb"/>
            <w:noWrap w:val="false"/>
          </w:tcPr>
          <w:p>
            <w:pPr>
              <w:keepLines w:val="0"/>
              <w:keepNext w:val="0"/>
              <w:pageBreakBefore w:val="0"/>
              <w:spacing w:before="181" w:line="360" w:lineRule="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bidi="zh-CN"/>
              </w:rPr>
              <w:t xml:space="preserve">刘工，</w:t>
            </w:r>
            <w:r>
              <w:rPr>
                <w:rFonts w:hint="eastAsia" w:ascii="宋体" w:hAnsi="宋体" w:eastAsia="宋体" w:cs="宋体"/>
                <w:bCs/>
                <w:color w:val="auto"/>
                <w:sz w:val="21"/>
                <w:szCs w:val="21"/>
                <w:highlight w:val="none"/>
                <w:lang w:val="en-US" w:eastAsia="zh-CN"/>
              </w:rPr>
              <w:t xml:space="preserve">15366079119</w:t>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4"/>
        <w:spacing w:line="360" w:lineRule="auto"/>
        <w:shd w:val="clear" w:color="auto" w:fill="ffffff"/>
        <w:widowControl/>
        <w:rPr>
          <w:rFonts w:hint="eastAsia" w:ascii="宋体" w:hAnsi="宋体" w:eastAsia="宋体" w:cs="宋体"/>
          <w:color w:val="auto"/>
          <w:szCs w:val="21"/>
          <w:highlight w:val="none"/>
        </w:rPr>
        <w:outlineLvl w:val="1"/>
      </w:pPr>
      <w:r/>
      <w:bookmarkStart w:id="17" w:name="_Toc31374"/>
      <w:r>
        <w:rPr>
          <w:rFonts w:hint="eastAsia" w:ascii="宋体" w:hAnsi="宋体" w:eastAsia="宋体" w:cs="宋体"/>
          <w:b/>
          <w:bCs/>
          <w:color w:val="auto"/>
          <w:szCs w:val="21"/>
          <w:highlight w:val="none"/>
        </w:rPr>
        <w:t xml:space="preserve">一、总则</w:t>
      </w:r>
      <w:bookmarkEnd w:id="17"/>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1、适用法律</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2、定义</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2.1“采购人”是指依法进行政府采购的国家机关、事业单位、团体组织。</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2.2“投标人（供应商）”是指参加投标竞争，并符合招标文件规定资格条件的法人、其他组织或者自然人。</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2.4“服务”指本招标文件中所述</w:t>
      </w:r>
      <w:r>
        <w:rPr>
          <w:rFonts w:hint="eastAsia" w:ascii="宋体" w:hAnsi="宋体" w:eastAsia="宋体" w:cs="宋体"/>
          <w:bCs/>
          <w:color w:val="auto"/>
          <w:szCs w:val="21"/>
          <w:highlight w:val="none"/>
        </w:rPr>
        <w:t xml:space="preserve">产品</w:t>
      </w:r>
      <w:r>
        <w:rPr>
          <w:rFonts w:hint="eastAsia" w:ascii="宋体" w:hAnsi="宋体" w:eastAsia="宋体" w:cs="宋体"/>
          <w:color w:val="auto"/>
          <w:szCs w:val="21"/>
          <w:highlight w:val="none"/>
        </w:rPr>
        <w:t xml:space="preserve">及相关服务。</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2.5“用户或使用单位”是指接受服务的单位。</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3、政策功能</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3.6进口产品政策</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（2）允许进口产品参加的，满足需求的国内产品可以参加。</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hint="eastAsia" w:ascii="宋体" w:hAnsi="宋体" w:eastAsia="宋体" w:cs="宋体"/>
          <w:b w:val="0"/>
          <w:bCs w:val="0"/>
          <w:color w:val="auto"/>
          <w:sz w:val="21"/>
          <w:szCs w:val="21"/>
          <w:highlight w:val="none"/>
          <w:lang w:val="zh-CN"/>
        </w:rPr>
      </w:pPr>
      <w:r>
        <w:rPr>
          <w:rFonts w:hint="eastAsia" w:ascii="宋体" w:hAnsi="宋体" w:eastAsia="宋体" w:cs="宋体"/>
          <w:b w:val="0"/>
          <w:bCs w:val="0"/>
          <w:color w:val="auto"/>
          <w:sz w:val="21"/>
          <w:szCs w:val="21"/>
          <w:highlight w:val="none"/>
          <w:lang w:val="en-US" w:eastAsia="zh-CN"/>
        </w:rPr>
        <w:t xml:space="preserve">3.7</w:t>
      </w:r>
      <w:r>
        <w:rPr>
          <w:rFonts w:hint="eastAsia" w:ascii="宋体" w:hAnsi="宋体" w:eastAsia="宋体" w:cs="宋体"/>
          <w:b w:val="0"/>
          <w:bCs w:val="0"/>
          <w:color w:val="auto"/>
          <w:sz w:val="21"/>
          <w:szCs w:val="21"/>
          <w:highlight w:val="none"/>
          <w:lang w:val="zh-CN"/>
        </w:rPr>
        <w:t xml:space="preserve">本国产品标准及相关政策</w:t>
      </w:r>
      <w:r/>
    </w:p>
    <w:p>
      <w:pPr>
        <w:ind w:firstLine="420"/>
        <w:pageBreakBefore w:val="0"/>
        <w:spacing w:line="360" w:lineRule="auto"/>
        <w:rPr>
          <w:rFonts w:hint="eastAsia" w:ascii="宋体" w:hAnsi="宋体" w:eastAsia="宋体" w:cs="宋体"/>
          <w:b w:val="0"/>
          <w:bCs w:val="0"/>
          <w:color w:val="auto"/>
          <w:sz w:val="21"/>
          <w:szCs w:val="21"/>
          <w:highlight w:val="none"/>
          <w:lang w:val="zh-CN"/>
        </w:rPr>
      </w:pPr>
      <w:r>
        <w:rPr>
          <w:rFonts w:hint="eastAsia" w:ascii="宋体" w:hAnsi="宋体" w:eastAsia="宋体" w:cs="宋体"/>
          <w:b w:val="0"/>
          <w:bCs w:val="0"/>
          <w:color w:val="auto"/>
          <w:sz w:val="21"/>
          <w:szCs w:val="21"/>
          <w:highlight w:val="none"/>
          <w:lang w:val="en-US" w:eastAsia="zh-CN"/>
        </w:rPr>
        <w:t xml:space="preserve">3.7</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zh-CN"/>
        </w:rPr>
        <w:t xml:space="preserve">1</w:t>
      </w:r>
      <w:r>
        <w:rPr>
          <w:rFonts w:hint="eastAsia" w:ascii="宋体" w:hAnsi="宋体" w:eastAsia="宋体" w:cs="宋体"/>
          <w:b w:val="0"/>
          <w:bCs w:val="0"/>
          <w:color w:val="auto"/>
          <w:sz w:val="21"/>
          <w:szCs w:val="21"/>
          <w:highlight w:val="none"/>
        </w:rPr>
        <w:t xml:space="preserve">根据《国务院办公厅关于在政府采购中实施本国产品标准及相关政策的通知》（国办发〔2025〕34号）、《关于贯彻落实&lt;国务院办公厅关于在政府采购中实施本国产品标准及相关政策的通知</w:t>
      </w:r>
      <w:r>
        <w:rPr>
          <w:rFonts w:hint="eastAsia" w:ascii="宋体" w:hAnsi="宋体" w:eastAsia="宋体" w:cs="宋体"/>
          <w:b w:val="0"/>
          <w:bCs w:val="0"/>
          <w:color w:val="auto"/>
          <w:sz w:val="21"/>
          <w:szCs w:val="21"/>
          <w:highlight w:val="none"/>
          <w:lang w:val="zh-CN"/>
        </w:rPr>
        <w:t xml:space="preserve">&gt;</w:t>
      </w:r>
      <w:r>
        <w:rPr>
          <w:rFonts w:hint="eastAsia" w:ascii="宋体" w:hAnsi="宋体" w:eastAsia="宋体" w:cs="宋体"/>
          <w:b w:val="0"/>
          <w:bCs w:val="0"/>
          <w:color w:val="auto"/>
          <w:sz w:val="21"/>
          <w:szCs w:val="21"/>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eastAsia="宋体" w:cs="宋体"/>
          <w:b w:val="0"/>
          <w:bCs w:val="0"/>
          <w:color w:val="auto"/>
          <w:sz w:val="21"/>
          <w:szCs w:val="21"/>
          <w:highlight w:val="none"/>
          <w:lang w:val="zh-CN"/>
        </w:rPr>
        <w:t xml:space="preserve">。</w:t>
      </w:r>
      <w:r/>
    </w:p>
    <w:p>
      <w:pPr>
        <w:ind w:firstLine="420"/>
        <w:pageBreakBefore w:val="0"/>
        <w:spacing w:line="360" w:lineRule="auto"/>
        <w:rPr>
          <w:rFonts w:hint="eastAsia" w:ascii="宋体" w:hAnsi="宋体" w:eastAsia="宋体" w:cs="宋体"/>
          <w:b w:val="0"/>
          <w:bCs w:val="0"/>
          <w:color w:val="auto"/>
          <w:sz w:val="21"/>
          <w:szCs w:val="21"/>
          <w:highlight w:val="none"/>
          <w:lang w:val="zh-CN"/>
        </w:rPr>
      </w:pPr>
      <w:r>
        <w:rPr>
          <w:rFonts w:hint="eastAsia" w:ascii="宋体" w:hAnsi="宋体" w:eastAsia="宋体" w:cs="宋体"/>
          <w:b w:val="0"/>
          <w:bCs w:val="0"/>
          <w:color w:val="auto"/>
          <w:sz w:val="21"/>
          <w:szCs w:val="21"/>
          <w:highlight w:val="none"/>
          <w:lang w:val="en-US" w:eastAsia="zh-CN"/>
        </w:rPr>
        <w:t xml:space="preserve">3.7</w:t>
      </w:r>
      <w:r>
        <w:rPr>
          <w:rFonts w:hint="eastAsia" w:ascii="宋体" w:hAnsi="宋体" w:eastAsia="宋体" w:cs="宋体"/>
          <w:b w:val="0"/>
          <w:bCs w:val="0"/>
          <w:color w:val="auto"/>
          <w:sz w:val="21"/>
          <w:szCs w:val="21"/>
          <w:highlight w:val="none"/>
          <w:lang w:val="zh-CN"/>
        </w:rPr>
        <w:t xml:space="preserve">.2本国产品应当符合以下条件：</w:t>
      </w:r>
      <w:r/>
    </w:p>
    <w:p>
      <w:pPr>
        <w:ind w:firstLine="420"/>
        <w:pageBreakBefore w:val="0"/>
        <w:spacing w:line="360" w:lineRule="auto"/>
        <w:rPr>
          <w:rFonts w:hint="eastAsia" w:ascii="宋体" w:hAnsi="宋体" w:eastAsia="宋体" w:cs="宋体"/>
          <w:b w:val="0"/>
          <w:bCs w:val="0"/>
          <w:color w:val="auto"/>
          <w:sz w:val="21"/>
          <w:szCs w:val="21"/>
          <w:highlight w:val="none"/>
          <w:lang w:val="zh-CN"/>
        </w:rPr>
      </w:pPr>
      <w:r>
        <w:rPr>
          <w:rFonts w:hint="eastAsia" w:ascii="宋体" w:hAnsi="宋体" w:eastAsia="宋体" w:cs="宋体"/>
          <w:b w:val="0"/>
          <w:bCs w:val="0"/>
          <w:color w:val="auto"/>
          <w:sz w:val="21"/>
          <w:szCs w:val="21"/>
          <w:highlight w:val="none"/>
          <w:lang w:val="zh-CN"/>
        </w:rPr>
        <w:t xml:space="preserve">（1）在中国境内生产</w:t>
      </w:r>
      <w:r/>
    </w:p>
    <w:p>
      <w:pPr>
        <w:ind w:firstLine="420"/>
        <w:pageBreakBefore w:val="0"/>
        <w:spacing w:line="360" w:lineRule="auto"/>
        <w:rPr>
          <w:rFonts w:hint="eastAsia" w:ascii="宋体" w:hAnsi="宋体" w:eastAsia="宋体" w:cs="宋体"/>
          <w:b w:val="0"/>
          <w:bCs w:val="0"/>
          <w:color w:val="auto"/>
          <w:sz w:val="21"/>
          <w:szCs w:val="21"/>
          <w:highlight w:val="none"/>
          <w:lang w:val="zh-CN"/>
        </w:rPr>
      </w:pPr>
      <w:r>
        <w:rPr>
          <w:rFonts w:hint="eastAsia" w:ascii="宋体" w:hAnsi="宋体" w:eastAsia="宋体" w:cs="宋体"/>
          <w:b w:val="0"/>
          <w:bCs w:val="0"/>
          <w:color w:val="auto"/>
          <w:sz w:val="21"/>
          <w:szCs w:val="21"/>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pageBreakBefore w:val="0"/>
        <w:spacing w:line="360" w:lineRule="auto"/>
        <w:rPr>
          <w:rFonts w:hint="eastAsia" w:ascii="宋体" w:hAnsi="宋体" w:eastAsia="宋体" w:cs="宋体"/>
          <w:b w:val="0"/>
          <w:bCs w:val="0"/>
          <w:color w:val="auto"/>
          <w:sz w:val="21"/>
          <w:szCs w:val="21"/>
          <w:highlight w:val="none"/>
          <w:lang w:val="zh-CN"/>
        </w:rPr>
      </w:pPr>
      <w:r>
        <w:rPr>
          <w:rFonts w:hint="eastAsia" w:ascii="宋体" w:hAnsi="宋体" w:eastAsia="宋体" w:cs="宋体"/>
          <w:b w:val="0"/>
          <w:bCs w:val="0"/>
          <w:color w:val="auto"/>
          <w:sz w:val="21"/>
          <w:szCs w:val="21"/>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pageBreakBefore w:val="0"/>
        <w:spacing w:line="360" w:lineRule="auto"/>
        <w:rPr>
          <w:rFonts w:hint="eastAsia" w:ascii="宋体" w:hAnsi="宋体" w:eastAsia="宋体" w:cs="宋体"/>
          <w:b w:val="0"/>
          <w:bCs w:val="0"/>
          <w:color w:val="auto"/>
          <w:sz w:val="21"/>
          <w:szCs w:val="21"/>
          <w:highlight w:val="none"/>
          <w:lang w:val="zh-CN"/>
        </w:rPr>
      </w:pPr>
      <w:r>
        <w:rPr>
          <w:rFonts w:hint="eastAsia" w:ascii="宋体" w:hAnsi="宋体" w:eastAsia="宋体" w:cs="宋体"/>
          <w:b w:val="0"/>
          <w:bCs w:val="0"/>
          <w:color w:val="auto"/>
          <w:sz w:val="21"/>
          <w:szCs w:val="21"/>
          <w:highlight w:val="none"/>
          <w:lang w:val="zh-CN"/>
        </w:rPr>
        <w:t xml:space="preserve">（2）在中国境内生产的组件成本占比达到规定比例</w:t>
      </w:r>
      <w:r/>
    </w:p>
    <w:p>
      <w:pPr>
        <w:ind w:firstLine="420"/>
        <w:pageBreakBefore w:val="0"/>
        <w:spacing w:line="360" w:lineRule="auto"/>
        <w:rPr>
          <w:rFonts w:hint="eastAsia" w:ascii="宋体" w:hAnsi="宋体" w:eastAsia="宋体" w:cs="宋体"/>
          <w:b w:val="0"/>
          <w:bCs w:val="0"/>
          <w:color w:val="auto"/>
          <w:sz w:val="21"/>
          <w:szCs w:val="21"/>
          <w:highlight w:val="none"/>
          <w:lang w:val="zh-CN"/>
        </w:rPr>
      </w:pPr>
      <w:r>
        <w:rPr>
          <w:rFonts w:hint="eastAsia" w:ascii="宋体" w:hAnsi="宋体" w:eastAsia="宋体" w:cs="宋体"/>
          <w:b w:val="0"/>
          <w:bCs w:val="0"/>
          <w:color w:val="auto"/>
          <w:sz w:val="21"/>
          <w:szCs w:val="21"/>
          <w:highlight w:val="none"/>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pageBreakBefore w:val="0"/>
        <w:spacing w:line="360" w:lineRule="auto"/>
        <w:rPr>
          <w:rFonts w:hint="eastAsia" w:ascii="宋体" w:hAnsi="宋体" w:eastAsia="宋体" w:cs="宋体"/>
          <w:b w:val="0"/>
          <w:bCs w:val="0"/>
          <w:color w:val="auto"/>
          <w:sz w:val="21"/>
          <w:szCs w:val="21"/>
          <w:highlight w:val="none"/>
          <w:lang w:val="zh-CN"/>
        </w:rPr>
      </w:pPr>
      <w:r>
        <w:rPr>
          <w:rFonts w:hint="eastAsia" w:ascii="宋体" w:hAnsi="宋体" w:eastAsia="宋体" w:cs="宋体"/>
          <w:b w:val="0"/>
          <w:bCs w:val="0"/>
          <w:color w:val="auto"/>
          <w:sz w:val="21"/>
          <w:szCs w:val="21"/>
          <w:highlight w:val="none"/>
          <w:lang w:val="zh-CN"/>
        </w:rPr>
        <w:t xml:space="preserve">（3）特定产品的关键组件、关键工序符合相关要求</w:t>
      </w:r>
      <w:r/>
    </w:p>
    <w:p>
      <w:pPr>
        <w:ind w:firstLine="420"/>
        <w:pageBreakBefore w:val="0"/>
        <w:spacing w:line="360" w:lineRule="auto"/>
        <w:rPr>
          <w:rFonts w:hint="eastAsia" w:ascii="宋体" w:hAnsi="宋体" w:eastAsia="宋体" w:cs="宋体"/>
          <w:b w:val="0"/>
          <w:bCs w:val="0"/>
          <w:color w:val="auto"/>
          <w:sz w:val="21"/>
          <w:szCs w:val="21"/>
          <w:highlight w:val="none"/>
          <w:lang w:val="zh-CN"/>
        </w:rPr>
      </w:pPr>
      <w:r>
        <w:rPr>
          <w:rFonts w:hint="eastAsia" w:ascii="宋体" w:hAnsi="宋体" w:eastAsia="宋体" w:cs="宋体"/>
          <w:b w:val="0"/>
          <w:bCs w:val="0"/>
          <w:color w:val="auto"/>
          <w:sz w:val="21"/>
          <w:szCs w:val="21"/>
          <w:highlight w:val="none"/>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pageBreakBefore w:val="0"/>
        <w:spacing w:line="360" w:lineRule="auto"/>
        <w:rPr>
          <w:rFonts w:hint="eastAsia" w:ascii="宋体" w:hAnsi="宋体" w:eastAsia="宋体" w:cs="宋体"/>
          <w:b w:val="0"/>
          <w:bCs w:val="0"/>
          <w:color w:val="auto"/>
          <w:sz w:val="21"/>
          <w:szCs w:val="21"/>
          <w:highlight w:val="none"/>
          <w:lang w:val="zh-CN"/>
        </w:rPr>
      </w:pPr>
      <w:r>
        <w:rPr>
          <w:rFonts w:hint="eastAsia" w:ascii="宋体" w:hAnsi="宋体" w:eastAsia="宋体" w:cs="宋体"/>
          <w:b w:val="0"/>
          <w:bCs w:val="0"/>
          <w:color w:val="auto"/>
          <w:sz w:val="21"/>
          <w:szCs w:val="21"/>
          <w:highlight w:val="none"/>
          <w:lang w:val="en-US" w:eastAsia="zh-CN"/>
        </w:rPr>
        <w:t xml:space="preserve">3.7</w:t>
      </w:r>
      <w:r>
        <w:rPr>
          <w:rFonts w:hint="eastAsia" w:ascii="宋体" w:hAnsi="宋体" w:eastAsia="宋体" w:cs="宋体"/>
          <w:b w:val="0"/>
          <w:bCs w:val="0"/>
          <w:color w:val="auto"/>
          <w:sz w:val="21"/>
          <w:szCs w:val="21"/>
          <w:highlight w:val="none"/>
          <w:lang w:val="zh-CN"/>
        </w:rPr>
        <w:t xml:space="preserve">.3本国产品标准的适用范围</w:t>
      </w:r>
      <w:r/>
    </w:p>
    <w:p>
      <w:pPr>
        <w:ind w:firstLine="420"/>
        <w:pageBreakBefore w:val="0"/>
        <w:spacing w:line="360" w:lineRule="auto"/>
        <w:rPr>
          <w:rFonts w:hint="eastAsia" w:ascii="宋体" w:hAnsi="宋体" w:eastAsia="宋体" w:cs="宋体"/>
          <w:b w:val="0"/>
          <w:bCs w:val="0"/>
          <w:color w:val="auto"/>
          <w:sz w:val="21"/>
          <w:szCs w:val="21"/>
          <w:highlight w:val="none"/>
          <w:lang w:val="zh-CN"/>
        </w:rPr>
      </w:pPr>
      <w:r>
        <w:rPr>
          <w:rFonts w:hint="eastAsia" w:ascii="宋体" w:hAnsi="宋体" w:eastAsia="宋体" w:cs="宋体"/>
          <w:b w:val="0"/>
          <w:bCs w:val="0"/>
          <w:color w:val="auto"/>
          <w:sz w:val="21"/>
          <w:szCs w:val="21"/>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3.7</w:t>
      </w:r>
      <w:r>
        <w:rPr>
          <w:rFonts w:hint="eastAsia" w:ascii="宋体" w:hAnsi="宋体" w:eastAsia="宋体" w:cs="宋体"/>
          <w:b w:val="0"/>
          <w:bCs w:val="0"/>
          <w:color w:val="auto"/>
          <w:sz w:val="21"/>
          <w:szCs w:val="21"/>
          <w:highlight w:val="none"/>
        </w:rPr>
        <w:t xml:space="preserve">.4对本国产品的支持政策</w:t>
      </w:r>
      <w:r/>
    </w:p>
    <w:p>
      <w:pPr>
        <w:ind w:firstLine="422"/>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本项目如</w:t>
      </w:r>
      <w:r>
        <w:rPr>
          <w:rFonts w:hint="eastAsia" w:ascii="宋体" w:hAnsi="宋体" w:eastAsia="宋体" w:cs="宋体"/>
          <w:b w:val="0"/>
          <w:bCs w:val="0"/>
          <w:color w:val="auto"/>
          <w:sz w:val="21"/>
          <w:szCs w:val="21"/>
          <w:highlight w:val="none"/>
          <w:lang w:val="zh-CN"/>
        </w:rPr>
        <w:t xml:space="preserve">既有本国产品又有非本国产品参与竞争，依法对本国产品给予价格评审优惠</w:t>
      </w:r>
      <w:r>
        <w:rPr>
          <w:rFonts w:hint="eastAsia" w:ascii="宋体" w:hAnsi="宋体" w:eastAsia="宋体" w:cs="宋体"/>
          <w:b w:val="0"/>
          <w:bCs/>
          <w:color w:val="auto"/>
          <w:sz w:val="21"/>
          <w:szCs w:val="21"/>
          <w:highlight w:val="none"/>
          <w:lang w:val="zh-CN" w:eastAsia="zh-CN"/>
        </w:rPr>
        <w:t xml:space="preserve">，对本国产品的报价给予20%的价格扣除，用扣除后的价格参与评审</w:t>
      </w:r>
      <w:r>
        <w:rPr>
          <w:rFonts w:hint="eastAsia" w:ascii="宋体" w:hAnsi="宋体" w:eastAsia="宋体" w:cs="宋体"/>
          <w:b w:val="0"/>
          <w:bCs w:val="0"/>
          <w:color w:val="auto"/>
          <w:sz w:val="21"/>
          <w:szCs w:val="21"/>
          <w:highlight w:val="none"/>
        </w:rPr>
        <w:t xml:space="preserve">。</w:t>
      </w:r>
      <w:r/>
    </w:p>
    <w:p>
      <w:pPr>
        <w:ind w:firstLine="42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3.7</w:t>
      </w:r>
      <w:r>
        <w:rPr>
          <w:rFonts w:hint="eastAsia" w:ascii="宋体" w:hAnsi="宋体" w:eastAsia="宋体" w:cs="宋体"/>
          <w:b w:val="0"/>
          <w:bCs w:val="0"/>
          <w:color w:val="auto"/>
          <w:sz w:val="21"/>
          <w:szCs w:val="21"/>
          <w:highlight w:val="none"/>
        </w:rPr>
        <w:t xml:space="preserve">.5政策执行要求</w:t>
      </w:r>
      <w:r/>
    </w:p>
    <w:p>
      <w:pPr>
        <w:ind w:firstLine="42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zh-CN"/>
        </w:rPr>
        <w:t xml:space="preserve">（</w:t>
      </w:r>
      <w:r>
        <w:rPr>
          <w:rFonts w:hint="eastAsia" w:ascii="宋体" w:hAnsi="宋体" w:eastAsia="宋体" w:cs="宋体"/>
          <w:b w:val="0"/>
          <w:bCs w:val="0"/>
          <w:color w:val="auto"/>
          <w:sz w:val="21"/>
          <w:szCs w:val="21"/>
          <w:highlight w:val="none"/>
        </w:rPr>
        <w:t xml:space="preserve">1</w:t>
      </w:r>
      <w:r>
        <w:rPr>
          <w:rFonts w:hint="eastAsia" w:ascii="宋体" w:hAnsi="宋体" w:eastAsia="宋体" w:cs="宋体"/>
          <w:b w:val="0"/>
          <w:bCs w:val="0"/>
          <w:color w:val="auto"/>
          <w:sz w:val="21"/>
          <w:szCs w:val="21"/>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eastAsia="宋体" w:cs="宋体"/>
          <w:b w:val="0"/>
          <w:bCs w:val="0"/>
          <w:color w:val="auto"/>
          <w:sz w:val="21"/>
          <w:szCs w:val="21"/>
          <w:highlight w:val="none"/>
        </w:rPr>
        <w:t xml:space="preserve">详见《国务院办公厅关于在政府采购中实施本国产品标准及相关政策的通知》（国办发〔2025〕34号）规定。</w:t>
      </w:r>
      <w:r/>
    </w:p>
    <w:p>
      <w:pPr>
        <w:ind w:firstLine="42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zh-CN"/>
        </w:rPr>
        <w:t xml:space="preserve">（2）有关证明文件。</w:t>
      </w:r>
      <w:r>
        <w:rPr>
          <w:rFonts w:hint="eastAsia" w:ascii="宋体" w:hAnsi="宋体" w:eastAsia="宋体" w:cs="宋体"/>
          <w:b w:val="0"/>
          <w:bCs w:val="0"/>
          <w:color w:val="auto"/>
          <w:sz w:val="21"/>
          <w:szCs w:val="21"/>
          <w:highlight w:val="none"/>
        </w:rPr>
        <w:t xml:space="preserve">投标人对提供的本国产品出具《关于符合本国产品标准的声明函》（格式见第六章）或财政部会同有关部门规定的有关证明文件，出具符合要求的《关于符合本国产品标准的声明函》或有关证明文件的，该产品视为本国产品，不再要求投标人提供其他证明材料。投标人提供虚假《关于符合本国产品标准的声明函》、虚假证明文件谋取中标的，依照《中华人民共和国政府采购法》等法律法规规定追究相应责任。</w:t>
      </w:r>
      <w:r/>
    </w:p>
    <w:p>
      <w:pPr>
        <w:ind w:firstLine="412"/>
        <w:pageBreakBefore w:val="0"/>
        <w:spacing w:line="360" w:lineRule="auto"/>
        <w:shd w:val="clear" w:color="auto" w:fill="ffffff"/>
        <w:widowControl/>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未按要求提供相关材料的，不享受相关政策。</w:t>
      </w:r>
      <w:r/>
    </w:p>
    <w:p>
      <w:pPr>
        <w:ind w:firstLine="412"/>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异常低价审查</w:t>
      </w:r>
      <w:r/>
    </w:p>
    <w:p>
      <w:pPr>
        <w:ind w:firstLine="412"/>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.1根据《财政部关于推动解决政府采购异常低价问题的通知》（财库[2026]2号），供应商的投标报价出现以下情形的，评审委员会（磋商小组）将启动异常低价投标（响应）审查。</w:t>
      </w:r>
      <w:r/>
    </w:p>
    <w:p>
      <w:pPr>
        <w:ind w:firstLine="412"/>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（1）投标（响应）报价低于全部通过符合性审查供应商投标（响应）报价平均值</w:t>
      </w:r>
      <w:r>
        <w:rPr>
          <w:rFonts w:hint="eastAsia" w:ascii="宋体" w:hAnsi="宋体" w:eastAsia="宋体" w:cs="宋体"/>
          <w:color w:val="auto"/>
          <w:szCs w:val="21"/>
          <w:highlight w:val="none"/>
          <w:lang w:val="en-US" w:eastAsia="zh-CN"/>
        </w:rPr>
        <w:t xml:space="preserve">50</w:t>
      </w:r>
      <w:r>
        <w:rPr>
          <w:rFonts w:hint="eastAsia" w:ascii="宋体" w:hAnsi="宋体" w:eastAsia="宋体" w:cs="宋体"/>
          <w:color w:val="auto"/>
          <w:szCs w:val="21"/>
          <w:highlight w:val="none"/>
        </w:rPr>
        <w:t xml:space="preserve">%的，即投标（响应）报价&lt;全部通过符合性审查供应商投标（响应）报价平均值×</w:t>
      </w:r>
      <w:r>
        <w:rPr>
          <w:rFonts w:hint="eastAsia" w:ascii="宋体" w:hAnsi="宋体" w:eastAsia="宋体" w:cs="宋体"/>
          <w:color w:val="auto"/>
          <w:szCs w:val="21"/>
          <w:highlight w:val="none"/>
          <w:lang w:val="en-US" w:eastAsia="zh-CN"/>
        </w:rPr>
        <w:t xml:space="preserve">50</w:t>
      </w:r>
      <w:r>
        <w:rPr>
          <w:rFonts w:hint="eastAsia" w:ascii="宋体" w:hAnsi="宋体" w:eastAsia="宋体" w:cs="宋体"/>
          <w:color w:val="auto"/>
          <w:szCs w:val="21"/>
          <w:highlight w:val="none"/>
        </w:rPr>
        <w:t xml:space="preserve">%；</w:t>
      </w:r>
      <w:r/>
    </w:p>
    <w:p>
      <w:pPr>
        <w:ind w:firstLine="412"/>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（2）投标（响应）报价低于通过符合性审查的次低报价供应商投标（响应）报价</w:t>
      </w:r>
      <w:r>
        <w:rPr>
          <w:rFonts w:hint="eastAsia" w:ascii="宋体" w:hAnsi="宋体" w:eastAsia="宋体" w:cs="宋体"/>
          <w:color w:val="auto"/>
          <w:szCs w:val="21"/>
          <w:highlight w:val="none"/>
          <w:lang w:val="en-US" w:eastAsia="zh-CN"/>
        </w:rPr>
        <w:t xml:space="preserve">50</w:t>
      </w:r>
      <w:r>
        <w:rPr>
          <w:rFonts w:hint="eastAsia" w:ascii="宋体" w:hAnsi="宋体" w:eastAsia="宋体" w:cs="宋体"/>
          <w:color w:val="auto"/>
          <w:szCs w:val="21"/>
          <w:highlight w:val="none"/>
        </w:rPr>
        <w:t xml:space="preserve">%的，即投标（响应）报价&lt;通过符合性审查的次低报价供应商投标（响应）报价×</w:t>
      </w:r>
      <w:r>
        <w:rPr>
          <w:rFonts w:hint="eastAsia" w:ascii="宋体" w:hAnsi="宋体" w:eastAsia="宋体" w:cs="宋体"/>
          <w:color w:val="auto"/>
          <w:szCs w:val="21"/>
          <w:highlight w:val="none"/>
          <w:lang w:val="en-US" w:eastAsia="zh-CN"/>
        </w:rPr>
        <w:t xml:space="preserve">50</w:t>
      </w:r>
      <w:r>
        <w:rPr>
          <w:rFonts w:hint="eastAsia" w:ascii="宋体" w:hAnsi="宋体" w:eastAsia="宋体" w:cs="宋体"/>
          <w:color w:val="auto"/>
          <w:szCs w:val="21"/>
          <w:highlight w:val="none"/>
        </w:rPr>
        <w:t xml:space="preserve">%;</w:t>
      </w:r>
      <w:r/>
    </w:p>
    <w:p>
      <w:pPr>
        <w:ind w:firstLine="412"/>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（3）投标（响应）报价低于采购项目最高限价</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5%的，即投标（响应）报价&lt;采购项目最高限价×</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5%;</w:t>
      </w:r>
      <w:r/>
    </w:p>
    <w:p>
      <w:pPr>
        <w:ind w:firstLine="412"/>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（4）评审委员会基于专业判断，认为供应商报价过低，有可能影响产品质量或者不能诚信履约的其他情形。</w:t>
      </w:r>
      <w:r/>
    </w:p>
    <w:p>
      <w:pPr>
        <w:ind w:firstLine="412"/>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12"/>
        <w:spacing w:line="36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12"/>
        <w:spacing w:line="360" w:lineRule="auto"/>
        <w:shd w:val="clear" w:color="auto" w:fill="ffffff"/>
        <w:widowControl/>
        <w:rPr>
          <w:rFonts w:hint="eastAsia" w:ascii="宋体" w:hAnsi="宋体" w:eastAsia="宋体" w:cs="宋体"/>
          <w:color w:val="auto"/>
          <w:szCs w:val="21"/>
          <w:highlight w:val="none"/>
        </w:rPr>
        <w:outlineLvl w:val="1"/>
      </w:pPr>
      <w:r/>
      <w:bookmarkStart w:id="18" w:name="_Toc26724"/>
      <w:r>
        <w:rPr>
          <w:rFonts w:hint="eastAsia" w:ascii="宋体" w:hAnsi="宋体" w:eastAsia="宋体" w:cs="宋体"/>
          <w:b/>
          <w:bCs/>
          <w:color w:val="auto"/>
          <w:szCs w:val="21"/>
          <w:highlight w:val="none"/>
        </w:rPr>
        <w:t xml:space="preserve">二、招标文件构成</w:t>
      </w:r>
      <w:bookmarkEnd w:id="18"/>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4、招标文件组成</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4.1招标文件包括以下主要内容：</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（1）招标公告；</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（2）投标人须知；</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（3）评标标准；</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（4）采购需求；</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（5）合同主要条款及格式；</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（6）投标文件格式及附件。</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如标书制作工具中格式和内容与“江苏政府采购网”发布的招标文件不一致的，以上述网站发布的招标文件为准。</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4.2招标的最小单位是标段。招标货物数量及技术要求中未分标段的，投标人对要求提供的货物和服务不得部分投标；招标货物数量及技术要求中已经分标段的，可以以标段为单位投标。</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4.3采购代理机构如果要求投标人按照招标文件规定提交备选投标方案的，投标人可以提交备选方案；否则，备选方案将被拒绝。</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4.4招标文件中要求的产品品牌或型号，是采购人根据项目所要实现的功能推荐的品牌或型号，仅供投标人参考，并不是限制条件。</w:t>
      </w:r>
      <w:r/>
    </w:p>
    <w:p>
      <w:pPr>
        <w:ind w:firstLine="420"/>
        <w:spacing w:beforeAutospacing="0" w:line="360" w:lineRule="auto"/>
        <w:shd w:val="clear" w:color="auto" w:fill="ffffff"/>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4.5</w:t>
      </w:r>
      <w:r>
        <w:rPr>
          <w:rFonts w:hint="eastAsia" w:ascii="宋体" w:hAnsi="宋体" w:eastAsia="宋体" w:cs="宋体"/>
          <w:b w:val="0"/>
          <w:bCs w:val="0"/>
          <w:color w:val="auto"/>
          <w:sz w:val="21"/>
          <w:szCs w:val="21"/>
          <w:highlight w:val="none"/>
        </w:rPr>
        <w:t xml:space="preserve">如标书制作工具中格式和内容与“江苏政府采购网”发布的</w:t>
      </w:r>
      <w:r>
        <w:rPr>
          <w:rFonts w:hint="eastAsia" w:ascii="宋体" w:hAnsi="宋体" w:eastAsia="宋体" w:cs="宋体"/>
          <w:b w:val="0"/>
          <w:bCs w:val="0"/>
          <w:color w:val="auto"/>
          <w:sz w:val="21"/>
          <w:szCs w:val="21"/>
          <w:highlight w:val="none"/>
          <w:lang w:val="en-US" w:eastAsia="zh-CN"/>
        </w:rPr>
        <w:t xml:space="preserve">采购</w:t>
      </w:r>
      <w:r>
        <w:rPr>
          <w:rFonts w:hint="eastAsia" w:ascii="宋体" w:hAnsi="宋体" w:eastAsia="宋体" w:cs="宋体"/>
          <w:b w:val="0"/>
          <w:bCs w:val="0"/>
          <w:color w:val="auto"/>
          <w:sz w:val="21"/>
          <w:szCs w:val="21"/>
          <w:highlight w:val="none"/>
        </w:rPr>
        <w:t xml:space="preserve">文件不一致，以“江苏政府采购网”发布的</w:t>
      </w:r>
      <w:r>
        <w:rPr>
          <w:rFonts w:hint="eastAsia" w:ascii="宋体" w:hAnsi="宋体" w:eastAsia="宋体" w:cs="宋体"/>
          <w:b w:val="0"/>
          <w:bCs w:val="0"/>
          <w:color w:val="auto"/>
          <w:sz w:val="21"/>
          <w:szCs w:val="21"/>
          <w:highlight w:val="none"/>
          <w:lang w:val="en-US" w:eastAsia="zh-CN"/>
        </w:rPr>
        <w:t xml:space="preserve">采购</w:t>
      </w:r>
      <w:r>
        <w:rPr>
          <w:rFonts w:hint="eastAsia" w:ascii="宋体" w:hAnsi="宋体" w:eastAsia="宋体" w:cs="宋体"/>
          <w:b w:val="0"/>
          <w:bCs w:val="0"/>
          <w:color w:val="auto"/>
          <w:sz w:val="21"/>
          <w:szCs w:val="21"/>
          <w:highlight w:val="none"/>
        </w:rPr>
        <w:t xml:space="preserve">文件为准。</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5、招标文件的澄清或者修改</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5.3投标人应在提交投标文件截止时间前，关注原公告媒体有关本项目的更正公告，根据更正公告内容自行决定是否需要重新制作和提交投标文件，并承担由此产生的相应责任。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hint="eastAsia" w:ascii="宋体" w:hAnsi="宋体" w:eastAsia="宋体" w:cs="宋体"/>
          <w:color w:val="auto"/>
          <w:szCs w:val="21"/>
          <w:highlight w:val="none"/>
        </w:rPr>
        <w:outlineLvl w:val="1"/>
      </w:pPr>
      <w:r/>
      <w:bookmarkStart w:id="19" w:name="_Toc25535"/>
      <w:r>
        <w:rPr>
          <w:rFonts w:hint="eastAsia" w:ascii="宋体" w:hAnsi="宋体" w:eastAsia="宋体" w:cs="宋体"/>
          <w:b/>
          <w:bCs/>
          <w:color w:val="auto"/>
          <w:szCs w:val="21"/>
          <w:highlight w:val="none"/>
        </w:rPr>
        <w:t xml:space="preserve">三、投标文件的编制</w:t>
      </w:r>
      <w:bookmarkEnd w:id="19"/>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6、投标文件的语言、计量单位、货币和编制</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6.2投标人所使用的计量单位应为国家法定计量单位。</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6.3投标人应用人民币报价。投标产品如果是进口产品的，应提供人民币与外币之间的汇率。</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6.4投标文件应按照招标文件的规定编写并制作目录。</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6.5投标人应在投标文件中写清相应的项目编号、项目名称、投标人全称、地址、电话、传真等。</w:t>
      </w:r>
      <w:r/>
    </w:p>
    <w:p>
      <w:pPr>
        <w:ind w:firstLine="412"/>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6.6</w:t>
      </w:r>
      <w:r>
        <w:rPr>
          <w:rFonts w:hint="eastAsia" w:ascii="宋体" w:hAnsi="宋体" w:eastAsia="宋体" w:cs="宋体"/>
          <w:color w:val="auto"/>
          <w:szCs w:val="21"/>
          <w:highlight w:val="none"/>
        </w:rPr>
        <w:t xml:space="preserve">投标人根据招标文件载明的标的采购项目实际情况，拟在中标后将中标项目的非主体、非关键性工作交由他人完成的，应当在投标文件中载明。</w:t>
      </w:r>
      <w:r/>
    </w:p>
    <w:p>
      <w:pPr>
        <w:numPr>
          <w:ilvl w:val="0"/>
          <w:numId w:val="7"/>
        </w:numPr>
        <w:ind w:firstLine="420"/>
        <w:spacing w:line="360" w:lineRule="auto"/>
        <w:shd w:val="clear" w:color="auto" w:fill="ffffff"/>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联合体投标（本项目不接受）</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7.1两个以上的自然人、法人或者其他组织可以组成一个联合体，以一个投标人的身份共同参加政府采购。</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7.2联合体中有同类资质的投标人按照联合体分工承担相同工作的，按照资质等级较低的投标人确定资质等级。</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7.3联合体各方之间应当签订联合体协议，明确约定联合体各方承担的工作和相应的责任，并将联合体协议连同投标文件一同提交。</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7.4以联合体形式参加政府采购活动的，联合体各方不得再单独参加或者与其他投标人另外组成联合体参加同一合同项下的政府采购活动。</w:t>
      </w:r>
      <w:r/>
    </w:p>
    <w:p>
      <w:pPr>
        <w:ind w:firstLine="412"/>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8、投标文件的组成</w:t>
      </w:r>
      <w:r/>
    </w:p>
    <w:p>
      <w:pPr>
        <w:ind w:firstLine="420"/>
        <w:jc w:val="left"/>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8.1投标人应当根据招标文件要求编制投标文件，投标文件应对招标文件提出的要求和条件作出实质性响应。</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8.2投标文件由商务、技术、价格以及其他部分内容组成。投标文件目录及有关格式按招标文件“第六章投标文件格式及附件”的要求编制。</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9、投标文件的商务内容</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9.1商务部分内容是证明投标人有资格参加投标和中标后有能力履行合同的文件，这些文件应能满足招标的要求，包括但不限于下列文件（（1）-（</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）所述材料不得有缺失或提供不全或不满足招标文件的实质性要求）：</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（1）投标函（投标申请及声明）；</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（2）法定代表人授权书；</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（3）投标人资格证明文件：</w:t>
      </w:r>
      <w:r/>
    </w:p>
    <w:p>
      <w:pPr>
        <w:numPr>
          <w:ilvl w:val="1"/>
          <w:numId w:val="8"/>
        </w:numPr>
        <w:ind w:left="0" w:firstLine="640"/>
        <w:spacing w:line="360" w:lineRule="auto"/>
        <w:tabs>
          <w:tab w:val="left" w:pos="8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第一章招标公告中《中华人民共和国政府采购法》规定的资格条件证明文件；</w:t>
      </w:r>
      <w:r/>
    </w:p>
    <w:p>
      <w:pPr>
        <w:numPr>
          <w:ilvl w:val="1"/>
          <w:numId w:val="8"/>
        </w:numPr>
        <w:ind w:left="0" w:firstLine="640"/>
        <w:spacing w:line="360" w:lineRule="auto"/>
        <w:tabs>
          <w:tab w:val="left" w:pos="8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第一章招标公告中</w:t>
      </w:r>
      <w:r>
        <w:rPr>
          <w:rFonts w:hint="eastAsia" w:ascii="宋体" w:hAnsi="宋体" w:eastAsia="宋体" w:cs="宋体"/>
          <w:color w:val="auto"/>
          <w:spacing w:val="8"/>
          <w:szCs w:val="21"/>
          <w:highlight w:val="none"/>
        </w:rPr>
        <w:t xml:space="preserve">落实政府采购政策需满足的资格要求</w:t>
      </w:r>
      <w:r>
        <w:rPr>
          <w:rFonts w:hint="eastAsia" w:ascii="宋体" w:hAnsi="宋体" w:eastAsia="宋体" w:cs="宋体"/>
          <w:color w:val="auto"/>
          <w:spacing w:val="8"/>
          <w:szCs w:val="21"/>
          <w:highlight w:val="none"/>
          <w:lang w:eastAsia="zh-CN"/>
        </w:rPr>
        <w:t xml:space="preserve">（</w:t>
      </w:r>
      <w:r>
        <w:rPr>
          <w:rFonts w:hint="eastAsia" w:ascii="宋体" w:hAnsi="宋体" w:eastAsia="宋体" w:cs="宋体"/>
          <w:color w:val="auto"/>
          <w:spacing w:val="8"/>
          <w:szCs w:val="21"/>
          <w:highlight w:val="none"/>
          <w:lang w:val="en-US" w:eastAsia="zh-CN"/>
        </w:rPr>
        <w:t xml:space="preserve">如有）</w:t>
      </w:r>
      <w:r>
        <w:rPr>
          <w:rFonts w:hint="eastAsia" w:ascii="宋体" w:hAnsi="宋体" w:eastAsia="宋体" w:cs="宋体"/>
          <w:color w:val="auto"/>
          <w:spacing w:val="8"/>
          <w:szCs w:val="21"/>
          <w:highlight w:val="none"/>
        </w:rPr>
        <w:t xml:space="preserve">；</w:t>
      </w:r>
      <w:r/>
    </w:p>
    <w:p>
      <w:pPr>
        <w:numPr>
          <w:ilvl w:val="1"/>
          <w:numId w:val="8"/>
        </w:numPr>
        <w:ind w:left="0" w:firstLine="640"/>
        <w:spacing w:line="360" w:lineRule="auto"/>
        <w:tabs>
          <w:tab w:val="left" w:pos="8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第一章招标公告中采购人根据采购项目的特殊要求规定的特定条件证明文件</w:t>
      </w:r>
      <w:r>
        <w:rPr>
          <w:rFonts w:hint="eastAsia" w:ascii="宋体" w:hAnsi="宋体" w:eastAsia="宋体" w:cs="宋体"/>
          <w:color w:val="auto"/>
          <w:spacing w:val="8"/>
          <w:szCs w:val="21"/>
          <w:highlight w:val="none"/>
          <w:lang w:eastAsia="zh-CN"/>
        </w:rPr>
        <w:t xml:space="preserve">（</w:t>
      </w:r>
      <w:r>
        <w:rPr>
          <w:rFonts w:hint="eastAsia" w:ascii="宋体" w:hAnsi="宋体" w:eastAsia="宋体" w:cs="宋体"/>
          <w:color w:val="auto"/>
          <w:spacing w:val="8"/>
          <w:szCs w:val="21"/>
          <w:highlight w:val="none"/>
          <w:lang w:val="en-US" w:eastAsia="zh-CN"/>
        </w:rPr>
        <w:t xml:space="preserve">如有）</w:t>
      </w:r>
      <w:r>
        <w:rPr>
          <w:rFonts w:hint="eastAsia" w:ascii="宋体" w:hAnsi="宋体" w:eastAsia="宋体" w:cs="宋体"/>
          <w:bCs/>
          <w:color w:val="auto"/>
          <w:szCs w:val="21"/>
          <w:highlight w:val="none"/>
        </w:rPr>
        <w:t xml:space="preserve">。</w:t>
      </w:r>
      <w:r/>
    </w:p>
    <w:p>
      <w:pPr>
        <w:ind w:firstLine="420"/>
        <w:jc w:val="left"/>
        <w:spacing w:line="360" w:lineRule="auto"/>
        <w:shd w:val="clear" w:color="auto" w:fill="ffffff"/>
        <w:widowControl/>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（4）开标一览表</w:t>
      </w:r>
      <w:r/>
    </w:p>
    <w:p>
      <w:pPr>
        <w:ind w:firstLine="420"/>
        <w:jc w:val="left"/>
        <w:spacing w:line="360" w:lineRule="auto"/>
        <w:shd w:val="clear" w:color="auto" w:fill="ffffff"/>
        <w:widowControl/>
        <w:rPr>
          <w:rFonts w:hint="eastAsia" w:ascii="宋体" w:hAnsi="宋体" w:eastAsia="宋体" w:cs="宋体"/>
          <w:color w:val="auto"/>
          <w:highlight w:val="none"/>
          <w14:ligatures w14: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w:t>
      </w:r>
      <w:r>
        <w:rPr>
          <w:rFonts w:hint="eastAsia" w:ascii="宋体" w:hAnsi="宋体" w:eastAsia="宋体" w:cs="宋体"/>
          <w:color w:val="auto"/>
          <w:highlight w:val="none"/>
          <w:lang w:eastAsia="zh-CN"/>
        </w:rPr>
        <w:t xml:space="preserve">投标分项报价表</w:t>
      </w:r>
      <w:r>
        <w:rPr>
          <w:rFonts w:hint="eastAsia" w:ascii="宋体" w:hAnsi="宋体" w:eastAsia="宋体" w:cs="宋体"/>
          <w:color w:val="auto"/>
          <w:highlight w:val="none"/>
        </w:rPr>
        <w:t xml:space="preserve">；</w:t>
      </w:r>
      <w:r/>
    </w:p>
    <w:p>
      <w:pPr>
        <w:ind w:firstLine="420"/>
        <w:jc w:val="left"/>
        <w:spacing w:line="360" w:lineRule="auto"/>
        <w:shd w:val="clear" w:color="auto" w:fill="ffffff"/>
        <w:widowControl/>
        <w:rPr>
          <w:rFonts w:hint="eastAsia" w:ascii="宋体" w:hAnsi="宋体" w:eastAsia="宋体" w:cs="宋体"/>
          <w:color w:val="auto"/>
          <w:highlight w:val="none"/>
          <w14:ligatures w14: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）《商务条款偏离表》</w:t>
      </w:r>
      <w:r>
        <w:rPr>
          <w:rFonts w:hint="eastAsia" w:ascii="宋体" w:hAnsi="宋体" w:eastAsia="宋体" w:cs="宋体"/>
          <w:color w:val="auto"/>
          <w:highlight w:val="none"/>
          <w:lang w:val="zh-CN"/>
        </w:rPr>
        <w:t xml:space="preserve">；</w:t>
      </w:r>
      <w:r/>
    </w:p>
    <w:p>
      <w:pPr>
        <w:ind w:firstLine="420"/>
        <w:jc w:val="left"/>
        <w:spacing w:line="360" w:lineRule="auto"/>
        <w:shd w:val="clear" w:color="auto" w:fill="ffffff"/>
        <w:widowControl/>
        <w:rPr>
          <w:rFonts w:hint="eastAsia" w:ascii="宋体" w:hAnsi="宋体" w:eastAsia="宋体" w:cs="宋体"/>
          <w:color w:val="auto"/>
          <w:highlight w:val="none"/>
          <w14:ligatures w14: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）《南京市政府采购供应商信用承诺书》；</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）其他（投标人认为有必要提供的声明和文件，如有，自行拟定并添加）。</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10、投标文件的技术内容</w:t>
      </w:r>
      <w:r/>
    </w:p>
    <w:p>
      <w:pPr>
        <w:ind w:firstLine="420"/>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技术部分</w:t>
      </w:r>
      <w:r>
        <w:rPr>
          <w:rFonts w:hint="eastAsia" w:ascii="宋体" w:hAnsi="宋体" w:eastAsia="宋体" w:cs="宋体"/>
          <w:color w:val="auto"/>
          <w:szCs w:val="21"/>
          <w:highlight w:val="none"/>
        </w:rPr>
        <w:t xml:space="preserve">内容</w:t>
      </w:r>
      <w:r>
        <w:rPr>
          <w:rFonts w:hint="eastAsia" w:ascii="宋体" w:hAnsi="宋体" w:eastAsia="宋体" w:cs="宋体"/>
          <w:color w:val="auto"/>
          <w:szCs w:val="21"/>
          <w:highlight w:val="none"/>
          <w:lang w:val="zh-CN"/>
        </w:rPr>
        <w:t xml:space="preserve">是证明</w:t>
      </w:r>
      <w:r>
        <w:rPr>
          <w:rFonts w:hint="eastAsia" w:ascii="宋体" w:hAnsi="宋体" w:eastAsia="宋体" w:cs="宋体"/>
          <w:color w:val="auto"/>
          <w:szCs w:val="21"/>
          <w:highlight w:val="none"/>
        </w:rPr>
        <w:t xml:space="preserve">投标人提供的服务是合格的、并符合招标文件要求的证明文件，以及</w:t>
      </w:r>
      <w:r>
        <w:rPr>
          <w:rFonts w:hint="eastAsia" w:ascii="宋体" w:hAnsi="宋体" w:eastAsia="宋体" w:cs="宋体"/>
          <w:color w:val="auto"/>
          <w:szCs w:val="21"/>
          <w:highlight w:val="none"/>
          <w:lang w:val="zh-CN"/>
        </w:rPr>
        <w:t xml:space="preserve">对服务的详细说明，这些文件可以是文字资料、图纸、数据</w:t>
      </w:r>
      <w:r>
        <w:rPr>
          <w:rFonts w:hint="eastAsia" w:ascii="宋体" w:hAnsi="宋体" w:eastAsia="宋体" w:cs="宋体"/>
          <w:color w:val="auto"/>
          <w:szCs w:val="21"/>
          <w:highlight w:val="none"/>
        </w:rPr>
        <w:t xml:space="preserve">或其他证明文件</w:t>
      </w:r>
      <w:r>
        <w:rPr>
          <w:rFonts w:hint="eastAsia" w:ascii="宋体" w:hAnsi="宋体" w:eastAsia="宋体" w:cs="宋体"/>
          <w:color w:val="auto"/>
          <w:szCs w:val="21"/>
          <w:highlight w:val="none"/>
          <w:lang w:val="zh-CN"/>
        </w:rPr>
        <w:t xml:space="preserve">等。提供的服务如与招标文件要求有不符之处，应说明其差别之所在。包括但不限于下列文件</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）所述材料不得有缺失或提供不全或不满足招标文件的实质性要求）</w:t>
      </w:r>
      <w:r>
        <w:rPr>
          <w:rFonts w:hint="eastAsia" w:ascii="宋体" w:hAnsi="宋体" w:eastAsia="宋体" w:cs="宋体"/>
          <w:color w:val="auto"/>
          <w:szCs w:val="21"/>
          <w:highlight w:val="none"/>
          <w:lang w:val="zh-CN"/>
        </w:rPr>
        <w:t xml:space="preserve">：</w:t>
      </w:r>
      <w:r/>
    </w:p>
    <w:p>
      <w:pPr>
        <w:ind w:firstLine="420"/>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w:t>
      </w:r>
      <w:r>
        <w:rPr>
          <w:rFonts w:hint="eastAsia" w:ascii="宋体" w:hAnsi="宋体" w:eastAsia="宋体" w:cs="宋体"/>
          <w:color w:val="auto"/>
          <w:szCs w:val="21"/>
          <w:highlight w:val="none"/>
        </w:rPr>
        <w:t xml:space="preserve">实施</w:t>
      </w:r>
      <w:r>
        <w:rPr>
          <w:rFonts w:hint="eastAsia" w:ascii="宋体" w:hAnsi="宋体" w:eastAsia="宋体" w:cs="宋体"/>
          <w:color w:val="auto"/>
          <w:szCs w:val="21"/>
          <w:highlight w:val="none"/>
          <w:lang w:val="zh-CN"/>
        </w:rPr>
        <w:t xml:space="preserve">方案；</w:t>
      </w:r>
      <w:r/>
    </w:p>
    <w:p>
      <w:pPr>
        <w:ind w:firstLine="420"/>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技术条款</w:t>
      </w:r>
      <w:r>
        <w:rPr>
          <w:rFonts w:hint="eastAsia" w:ascii="宋体" w:hAnsi="宋体" w:eastAsia="宋体" w:cs="宋体"/>
          <w:color w:val="auto"/>
          <w:szCs w:val="21"/>
          <w:highlight w:val="none"/>
          <w:lang w:val="zh-CN"/>
        </w:rPr>
        <w:t xml:space="preserve">偏离表》；</w:t>
      </w:r>
      <w:r/>
    </w:p>
    <w:p>
      <w:pPr>
        <w:ind w:firstLine="420"/>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（3）服务承诺；</w:t>
      </w:r>
      <w:r/>
    </w:p>
    <w:p>
      <w:pPr>
        <w:ind w:firstLine="420"/>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（4）投标人拟投入本项目的设备、人员情况一览表；</w:t>
      </w:r>
      <w:r/>
    </w:p>
    <w:p>
      <w:pPr>
        <w:ind w:firstLine="420"/>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（5）投标人认为需要提供的其他技术资料。</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11、投标文件的价格内容</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11.2报价应包含为履行本项目合同项下所有义务的全部含税费用</w:t>
      </w:r>
      <w:r>
        <w:rPr>
          <w:rFonts w:hint="eastAsia" w:ascii="宋体" w:hAnsi="宋体" w:eastAsia="宋体" w:cs="宋体"/>
          <w:color w:val="auto"/>
          <w:szCs w:val="21"/>
          <w:highlight w:val="none"/>
          <w:lang w:val="zh-CN"/>
        </w:rPr>
        <w:t xml:space="preserve">，</w:t>
      </w:r>
      <w:r>
        <w:rPr>
          <w:rFonts w:hint="eastAsia" w:ascii="宋体" w:hAnsi="宋体" w:eastAsia="宋体" w:cs="宋体"/>
          <w:bCs/>
          <w:color w:val="auto"/>
          <w:szCs w:val="21"/>
          <w:highlight w:val="none"/>
        </w:rPr>
        <w:t xml:space="preserve">以</w:t>
      </w:r>
      <w:r>
        <w:rPr>
          <w:rFonts w:hint="eastAsia" w:ascii="宋体" w:hAnsi="宋体" w:eastAsia="宋体" w:cs="宋体"/>
          <w:color w:val="auto"/>
          <w:szCs w:val="21"/>
          <w:highlight w:val="none"/>
        </w:rPr>
        <w:t xml:space="preserve">及投标人认为需要的其他费用等</w:t>
      </w:r>
      <w:r>
        <w:rPr>
          <w:rFonts w:hint="eastAsia" w:ascii="宋体" w:hAnsi="宋体" w:eastAsia="宋体" w:cs="宋体"/>
          <w:b/>
          <w:color w:val="auto"/>
          <w:szCs w:val="21"/>
          <w:highlight w:val="none"/>
        </w:rPr>
        <w:t xml:space="preserve">。</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11.3投标人的任何错漏、优惠、竞争性报价不得作为减轻责任、减少服务、增加收费、降低质量的理由。</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11.5投标人应在《开标一览表》《分项报价表》等标明投标服务的单价、总价以及分项报价等。</w:t>
      </w:r>
      <w:r/>
    </w:p>
    <w:p>
      <w:pPr>
        <w:ind w:firstLine="420"/>
        <w:spacing w:line="360" w:lineRule="auto"/>
        <w:shd w:val="clear" w:color="auto" w:fill="ffffff"/>
        <w:widowControl/>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xml:space="preserve">11.6对于采用货币报价的项目，开标一览表中的投标总报价应与投标报价明细表中的投标总报价一致，如不一致不作为无效投标处理，评标时以开标一览表中价格为准。</w:t>
      </w:r>
      <w:r/>
    </w:p>
    <w:p>
      <w:pPr>
        <w:ind w:firstLine="420"/>
        <w:spacing w:line="360" w:lineRule="auto"/>
        <w:widowControl/>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11.7本项目预算为：详见第一章。</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12、投标文件的其他部分</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12.1其他部分由投标人根据编制投标文件需要提供的其他相关文件组成。</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12.2</w:t>
      </w:r>
      <w:r>
        <w:rPr>
          <w:rFonts w:hint="eastAsia" w:ascii="宋体" w:hAnsi="宋体" w:eastAsia="宋体" w:cs="宋体"/>
          <w:color w:val="auto"/>
          <w:szCs w:val="21"/>
          <w:highlight w:val="none"/>
          <w:lang w:val="zh-CN"/>
        </w:rPr>
        <w:t xml:space="preserve">如标书制作工具中格式和内容与“江苏政府采购网”发布的</w:t>
      </w:r>
      <w:r>
        <w:rPr>
          <w:rFonts w:hint="eastAsia" w:ascii="宋体" w:hAnsi="宋体" w:eastAsia="宋体" w:cs="宋体"/>
          <w:color w:val="auto"/>
          <w:szCs w:val="21"/>
          <w:highlight w:val="none"/>
        </w:rPr>
        <w:t xml:space="preserve">采购</w:t>
      </w:r>
      <w:r>
        <w:rPr>
          <w:rFonts w:hint="eastAsia" w:ascii="宋体" w:hAnsi="宋体" w:eastAsia="宋体" w:cs="宋体"/>
          <w:color w:val="auto"/>
          <w:szCs w:val="21"/>
          <w:highlight w:val="none"/>
          <w:lang w:val="zh-CN"/>
        </w:rPr>
        <w:t xml:space="preserve">文件不一致，以</w:t>
      </w:r>
      <w:r>
        <w:rPr>
          <w:rFonts w:hint="eastAsia" w:ascii="宋体" w:hAnsi="宋体" w:eastAsia="宋体" w:cs="宋体"/>
          <w:color w:val="auto"/>
          <w:szCs w:val="21"/>
          <w:highlight w:val="none"/>
        </w:rPr>
        <w:t xml:space="preserve">上述网站</w:t>
      </w:r>
      <w:r>
        <w:rPr>
          <w:rFonts w:hint="eastAsia" w:ascii="宋体" w:hAnsi="宋体" w:eastAsia="宋体" w:cs="宋体"/>
          <w:color w:val="auto"/>
          <w:szCs w:val="21"/>
          <w:highlight w:val="none"/>
          <w:lang w:val="zh-CN"/>
        </w:rPr>
        <w:t xml:space="preserve">发布的</w:t>
      </w:r>
      <w:r>
        <w:rPr>
          <w:rFonts w:hint="eastAsia" w:ascii="宋体" w:hAnsi="宋体" w:eastAsia="宋体" w:cs="宋体"/>
          <w:color w:val="auto"/>
          <w:szCs w:val="21"/>
          <w:highlight w:val="none"/>
        </w:rPr>
        <w:t xml:space="preserve">采购</w:t>
      </w:r>
      <w:r>
        <w:rPr>
          <w:rFonts w:hint="eastAsia" w:ascii="宋体" w:hAnsi="宋体" w:eastAsia="宋体" w:cs="宋体"/>
          <w:color w:val="auto"/>
          <w:szCs w:val="21"/>
          <w:highlight w:val="none"/>
          <w:lang w:val="zh-CN"/>
        </w:rPr>
        <w:t xml:space="preserve">文件为准。</w:t>
      </w:r>
      <w:r/>
    </w:p>
    <w:p>
      <w:pPr>
        <w:ind w:firstLine="420"/>
        <w:spacing w:line="360" w:lineRule="auto"/>
        <w:shd w:val="clear" w:color="auto" w:fill="ffffff"/>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13、投标保证金（本项目无需缴纳投标保证金）</w:t>
      </w:r>
      <w:r/>
    </w:p>
    <w:p>
      <w:pPr>
        <w:ind w:firstLine="420"/>
        <w:spacing w:line="360" w:lineRule="auto"/>
        <w:shd w:val="clear" w:color="auto" w:fill="ffffff"/>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14、投标有效期</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14.1自开标之日起90天内投标有效</w:t>
      </w:r>
      <w:r>
        <w:rPr>
          <w:rFonts w:hint="eastAsia" w:ascii="宋体" w:hAnsi="宋体" w:eastAsia="宋体" w:cs="宋体"/>
          <w:bCs/>
          <w:color w:val="auto"/>
          <w:highlight w:val="none"/>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14.2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15、投标文件签署</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15.1投标文件应按照招标文件要求加盖电子公章，否则视为无效投标。</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16、投标费用</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16.1投标人应承担所有与准备和参加投标有关的费用，无论招标结果如何，采购代理机构和采购人在任何情况下均无义务和责任承担这些费用。</w:t>
      </w:r>
      <w:r/>
    </w:p>
    <w:p>
      <w:pPr>
        <w:ind w:firstLine="420"/>
        <w:spacing w:line="360" w:lineRule="auto"/>
        <w:shd w:val="clear" w:color="auto" w:fill="ffffff"/>
        <w:widowControl/>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16.2</w:t>
      </w:r>
      <w:r>
        <w:rPr>
          <w:rFonts w:hint="eastAsia" w:ascii="宋体" w:hAnsi="宋体" w:eastAsia="宋体" w:cs="宋体"/>
          <w:bCs/>
          <w:color w:val="auto"/>
          <w:szCs w:val="21"/>
          <w:highlight w:val="none"/>
          <w:lang w:val="en-US" w:eastAsia="zh-CN"/>
        </w:rPr>
        <w:t xml:space="preserve"> </w:t>
      </w:r>
      <w:r>
        <w:rPr>
          <w:rFonts w:hint="eastAsia" w:ascii="宋体" w:hAnsi="宋体" w:eastAsia="宋体" w:cs="宋体"/>
          <w:bCs/>
          <w:color w:val="auto"/>
          <w:szCs w:val="21"/>
          <w:highlight w:val="none"/>
        </w:rPr>
        <w:t xml:space="preserve">本项目招标代理费由成交供应商支付，</w:t>
      </w:r>
      <w:r>
        <w:rPr>
          <w:rFonts w:hint="eastAsia" w:ascii="宋体" w:hAnsi="宋体" w:eastAsia="宋体" w:cs="宋体"/>
          <w:bCs/>
          <w:color w:val="auto"/>
          <w:szCs w:val="21"/>
          <w:highlight w:val="none"/>
          <w:lang w:val="en-US" w:eastAsia="zh-CN"/>
        </w:rPr>
        <w:t xml:space="preserve">采购</w:t>
      </w:r>
      <w:r>
        <w:rPr>
          <w:rFonts w:hint="eastAsia" w:ascii="宋体" w:hAnsi="宋体" w:eastAsia="宋体" w:cs="宋体"/>
          <w:bCs/>
          <w:color w:val="auto"/>
          <w:szCs w:val="21"/>
          <w:highlight w:val="none"/>
        </w:rPr>
        <w:t xml:space="preserve">人不另行支付。支付原因：为优化项目执行、简化资金支付流程、提高采购效率，经</w:t>
      </w:r>
      <w:r>
        <w:rPr>
          <w:rFonts w:hint="eastAsia" w:ascii="宋体" w:hAnsi="宋体" w:eastAsia="宋体" w:cs="宋体"/>
          <w:bCs/>
          <w:color w:val="auto"/>
          <w:szCs w:val="21"/>
          <w:highlight w:val="none"/>
          <w:lang w:val="en-US" w:eastAsia="zh-CN"/>
        </w:rPr>
        <w:t xml:space="preserve">采购</w:t>
      </w:r>
      <w:r>
        <w:rPr>
          <w:rFonts w:hint="eastAsia" w:ascii="宋体" w:hAnsi="宋体" w:eastAsia="宋体" w:cs="宋体"/>
          <w:bCs/>
          <w:color w:val="auto"/>
          <w:szCs w:val="21"/>
          <w:highlight w:val="none"/>
        </w:rPr>
        <w:t xml:space="preserve">人统筹安排，本项目代理费由供应商计入投标报价中。</w:t>
      </w:r>
      <w:r>
        <w:rPr>
          <w:rFonts w:hint="eastAsia" w:ascii="宋体" w:hAnsi="宋体"/>
          <w:color w:val="auto"/>
          <w:szCs w:val="21"/>
          <w:highlight w:val="none"/>
          <w:lang w:val="zh-CN"/>
        </w:rPr>
        <w:t xml:space="preserve">计费标准为：《江苏省招标代理服务收费的指导意见》（苏招协</w:t>
      </w:r>
      <w:r>
        <w:rPr>
          <w:rFonts w:hint="eastAsia" w:ascii="宋体" w:hAnsi="宋体" w:eastAsia="宋体"/>
          <w:color w:val="auto"/>
          <w:szCs w:val="21"/>
          <w:highlight w:val="none"/>
          <w:lang w:val="en-US" w:eastAsia="zh-CN"/>
        </w:rPr>
        <w:t xml:space="preserve">[</w:t>
      </w:r>
      <w:r>
        <w:rPr>
          <w:rFonts w:hint="eastAsia" w:ascii="宋体" w:hAnsi="宋体"/>
          <w:color w:val="auto"/>
          <w:szCs w:val="21"/>
          <w:highlight w:val="none"/>
          <w:lang w:val="zh-CN"/>
        </w:rPr>
        <w:t xml:space="preserve">2022</w:t>
      </w:r>
      <w:r>
        <w:rPr>
          <w:rFonts w:hint="eastAsia" w:ascii="宋体" w:hAnsi="宋体" w:eastAsia="宋体"/>
          <w:color w:val="auto"/>
          <w:szCs w:val="21"/>
          <w:highlight w:val="none"/>
          <w:lang w:val="en-US" w:eastAsia="zh-CN"/>
        </w:rPr>
        <w:t xml:space="preserve">]</w:t>
      </w:r>
      <w:r>
        <w:rPr>
          <w:rFonts w:hint="eastAsia" w:ascii="宋体" w:hAnsi="宋体"/>
          <w:color w:val="auto"/>
          <w:szCs w:val="21"/>
          <w:highlight w:val="none"/>
          <w:lang w:val="zh-CN"/>
        </w:rPr>
        <w:t xml:space="preserve">002）规定收费标准的80%，投标人应考虑在报价中，该费用包含在总价内，不单独列项。</w:t>
      </w:r>
      <w:r/>
    </w:p>
    <w:p>
      <w:pPr>
        <w:ind w:firstLine="420"/>
        <w:spacing w:line="360" w:lineRule="auto"/>
        <w:shd w:val="clear" w:color="auto" w:fill="ffffff"/>
        <w:widowControl/>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16.3专家评审费：由采购人支付。</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开标公证费：无。</w:t>
      </w:r>
      <w:r/>
    </w:p>
    <w:p>
      <w:pPr>
        <w:ind w:firstLine="420"/>
        <w:spacing w:line="360" w:lineRule="auto"/>
        <w:shd w:val="clear" w:color="auto" w:fill="ffffff"/>
        <w:widowControl/>
        <w:rPr>
          <w:rFonts w:hint="eastAsia" w:ascii="宋体" w:hAnsi="宋体" w:eastAsia="宋体" w:cs="宋体"/>
          <w:color w:val="auto"/>
          <w:szCs w:val="21"/>
          <w:highlight w:val="none"/>
        </w:rPr>
        <w:outlineLvl w:val="1"/>
      </w:pPr>
      <w:r/>
      <w:bookmarkStart w:id="20" w:name="_Toc13579"/>
      <w:r>
        <w:rPr>
          <w:rFonts w:hint="eastAsia" w:ascii="宋体" w:hAnsi="宋体" w:eastAsia="宋体" w:cs="宋体"/>
          <w:b/>
          <w:bCs/>
          <w:color w:val="auto"/>
          <w:szCs w:val="21"/>
          <w:highlight w:val="none"/>
        </w:rPr>
        <w:t xml:space="preserve">四、投标文件的递交</w:t>
      </w:r>
      <w:bookmarkEnd w:id="20"/>
      <w:r/>
      <w:r/>
    </w:p>
    <w:p>
      <w:pPr>
        <w:ind w:firstLine="420"/>
        <w:spacing w:line="360" w:lineRule="auto"/>
        <w:shd w:val="clear" w:color="auto" w:fill="ffffff"/>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17、投标文件的递交</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17.1投标人应当按照《操作手册》规定，在招标公告规定的投标截止时间前制作并上传电子投标文件。招标代理机构拒绝接收提交投标文件截止时间后上传的任何电子投标文件。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18、投标文件的解密</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18.1投标人应当按照《操作手册》规定，在“苏采云”系统规定的时间内对投标文件进行解密。</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18.3投标人应充分考虑网络环境、网络带宽等因素可能对投标产生的影响，如因投标人自身原因造成的电子投标文件解密不成功的，做无效投标处理。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19、投标文件的修改和撤回</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19.2投标截止时间之后，投标文件不得撤回；如撤回，投标保证金不予退还。</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20、诚实信用</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20.2在评标过程中发现投标人有上述情形的，评标委员会应当认定其投标无效，并书面报告本级财政部门。</w:t>
      </w:r>
      <w:r/>
    </w:p>
    <w:p>
      <w:pPr>
        <w:ind w:firstLine="420"/>
        <w:spacing w:line="360" w:lineRule="auto"/>
        <w:shd w:val="clear" w:color="auto" w:fill="ffffff"/>
        <w:widowControl/>
        <w:rPr>
          <w:rFonts w:hint="eastAsia" w:ascii="宋体" w:hAnsi="宋体" w:eastAsia="宋体" w:cs="宋体"/>
          <w:color w:val="auto"/>
          <w:szCs w:val="21"/>
          <w:highlight w:val="none"/>
        </w:rPr>
        <w:outlineLvl w:val="1"/>
      </w:pPr>
      <w:r/>
      <w:bookmarkStart w:id="21" w:name="_Toc319"/>
      <w:r>
        <w:rPr>
          <w:rFonts w:hint="eastAsia" w:ascii="宋体" w:hAnsi="宋体" w:eastAsia="宋体" w:cs="宋体"/>
          <w:b/>
          <w:bCs/>
          <w:color w:val="auto"/>
          <w:szCs w:val="21"/>
          <w:highlight w:val="none"/>
        </w:rPr>
        <w:t xml:space="preserve">五、开标、评标与定标</w:t>
      </w:r>
      <w:bookmarkEnd w:id="21"/>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21、开标</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21.2投标人在开标过程中涉及到的投标文件解密、开标结果确认等工作，应按照《操作手册》规定执行。</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21.3投标人不足3家的，不得开标。</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21.4投标人如果对开标过程和开标结果有疑义，应当根据《操作手册》规定提出，“苏采云”系统中《开标记录表》公布后5分钟内未提出的，视同认可开标结果。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（1）招标文件存在不合理条款或者招标程序不符合规定的，采购人、采购代理机构改正后依法重新招标；</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22、评标</w:t>
      </w:r>
      <w:r/>
    </w:p>
    <w:p>
      <w:pPr>
        <w:ind w:firstLine="420"/>
        <w:spacing w:line="360" w:lineRule="auto"/>
        <w:shd w:val="clear" w:color="auto" w:fill="ffffff"/>
        <w:widowControl/>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22.1评标委员会</w:t>
      </w:r>
      <w:r/>
    </w:p>
    <w:p>
      <w:pPr>
        <w:ind w:firstLine="420"/>
        <w:spacing w:line="360" w:lineRule="auto"/>
        <w:shd w:val="clear" w:color="auto" w:fill="ffffff"/>
        <w:widowControl/>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22.1.1评标委员会负责具体评标事务，并独立履行下列职责：</w:t>
      </w:r>
      <w:r/>
    </w:p>
    <w:p>
      <w:pPr>
        <w:ind w:firstLine="420"/>
        <w:spacing w:line="360" w:lineRule="auto"/>
        <w:shd w:val="clear" w:color="auto" w:fill="ffffff"/>
        <w:widowControl/>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（一）审查、评价投标文件是否符合招标文件的商务、技术等实质性要求；</w:t>
      </w:r>
      <w:r/>
    </w:p>
    <w:p>
      <w:pPr>
        <w:ind w:firstLine="420"/>
        <w:spacing w:line="360" w:lineRule="auto"/>
        <w:shd w:val="clear" w:color="auto" w:fill="ffffff"/>
        <w:widowControl/>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（二）要求投标人对投标文件有关事项作出澄清或者说明；</w:t>
      </w:r>
      <w:r/>
    </w:p>
    <w:p>
      <w:pPr>
        <w:ind w:firstLine="420"/>
        <w:spacing w:line="360" w:lineRule="auto"/>
        <w:shd w:val="clear" w:color="auto" w:fill="ffffff"/>
        <w:widowControl/>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（三）对投标文件进行比较和评价；</w:t>
      </w:r>
      <w:r/>
    </w:p>
    <w:p>
      <w:pPr>
        <w:ind w:firstLine="420"/>
        <w:spacing w:line="360" w:lineRule="auto"/>
        <w:shd w:val="clear" w:color="auto" w:fill="ffffff"/>
        <w:widowControl/>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（四）确定中标候选人名单，以及根据采购人委托直接确定中标人；</w:t>
      </w:r>
      <w:r/>
    </w:p>
    <w:p>
      <w:pPr>
        <w:ind w:firstLine="420"/>
        <w:spacing w:line="360" w:lineRule="auto"/>
        <w:shd w:val="clear" w:color="auto" w:fill="ffffff"/>
        <w:widowControl/>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（五）向采购人、采购代理机构或者有关部门报告评标中发现的违法行为。</w:t>
      </w:r>
      <w:r/>
    </w:p>
    <w:p>
      <w:pPr>
        <w:ind w:firstLine="420"/>
        <w:spacing w:line="360" w:lineRule="auto"/>
        <w:shd w:val="clear" w:color="auto" w:fill="ffffff"/>
        <w:widowControl/>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22.1.2评标委员会由采购人代表和有关技术、经济等方面的专家组成，独立开展评审工作。</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22.2评标程序</w:t>
      </w:r>
      <w:r/>
    </w:p>
    <w:p>
      <w:pPr>
        <w:ind w:firstLine="420"/>
        <w:jc w:val="left"/>
        <w:spacing w:line="360" w:lineRule="auto"/>
        <w:shd w:val="clear" w:color="auto" w:fill="ffffff"/>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22.2.1</w:t>
      </w:r>
      <w:r>
        <w:rPr>
          <w:rFonts w:hint="eastAsia" w:ascii="宋体" w:hAnsi="宋体" w:eastAsia="宋体" w:cs="宋体"/>
          <w:b/>
          <w:bCs/>
          <w:color w:val="auto"/>
          <w:szCs w:val="21"/>
          <w:highlight w:val="none"/>
        </w:rPr>
        <w:t xml:space="preserve">投标文件的资格性检查。</w:t>
      </w:r>
      <w:r>
        <w:rPr>
          <w:rFonts w:hint="eastAsia" w:ascii="宋体" w:hAnsi="宋体" w:eastAsia="宋体" w:cs="宋体"/>
          <w:color w:val="auto"/>
          <w:szCs w:val="21"/>
          <w:highlight w:val="none"/>
        </w:rPr>
        <w:t xml:space="preserve">公开招标采购项目开标结束后，</w:t>
      </w:r>
      <w:r>
        <w:rPr>
          <w:rFonts w:hint="eastAsia" w:ascii="宋体" w:hAnsi="宋体" w:eastAsia="宋体" w:cs="宋体"/>
          <w:color w:val="auto"/>
          <w:highlight w:val="none"/>
        </w:rPr>
        <w:t xml:space="preserve">采购人</w:t>
      </w:r>
      <w:r>
        <w:rPr>
          <w:rFonts w:hint="eastAsia" w:ascii="宋体" w:hAnsi="宋体" w:eastAsia="宋体" w:cs="宋体"/>
          <w:color w:val="auto"/>
          <w:szCs w:val="21"/>
          <w:highlight w:val="none"/>
        </w:rPr>
        <w:t xml:space="preserve">或者</w:t>
      </w:r>
      <w:r>
        <w:rPr>
          <w:rFonts w:hint="eastAsia" w:ascii="宋体" w:hAnsi="宋体" w:eastAsia="宋体" w:cs="宋体"/>
          <w:color w:val="auto"/>
          <w:highlight w:val="none"/>
        </w:rPr>
        <w:t xml:space="preserve">采购代理机构</w:t>
      </w:r>
      <w:r>
        <w:rPr>
          <w:rFonts w:hint="eastAsia" w:ascii="宋体" w:hAnsi="宋体" w:eastAsia="宋体" w:cs="宋体"/>
          <w:color w:val="auto"/>
          <w:szCs w:val="21"/>
          <w:highlight w:val="none"/>
        </w:rPr>
        <w:t xml:space="preserve">应当依法对投标人的资格进行审查。合格投标人不足3家的，不得评标。</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22.2.2投标文件的符合性审查</w:t>
      </w:r>
      <w:r>
        <w:rPr>
          <w:rFonts w:hint="eastAsia" w:ascii="宋体" w:hAnsi="宋体" w:eastAsia="宋体" w:cs="宋体"/>
          <w:color w:val="auto"/>
          <w:szCs w:val="21"/>
          <w:highlight w:val="none"/>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（1）投标人在“苏采云”系统规定的时间内未成功解密电子投标文件的；</w:t>
      </w:r>
      <w:r/>
    </w:p>
    <w:p>
      <w:pPr>
        <w:ind w:firstLine="420"/>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（2）投标人未按照招标文件要求上传电子投标文件的；</w:t>
      </w:r>
      <w:r/>
    </w:p>
    <w:p>
      <w:pPr>
        <w:ind w:firstLine="420"/>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（3）同一投标人提交两个（含两个）以上不同的投标报价的；</w:t>
      </w:r>
      <w:r/>
    </w:p>
    <w:p>
      <w:pPr>
        <w:ind w:firstLine="420"/>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（4）投标文件未按照招标文件要求加盖电子公章的；</w:t>
      </w:r>
      <w:r/>
    </w:p>
    <w:p>
      <w:pPr>
        <w:ind w:firstLine="420"/>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w:t>
      </w:r>
      <w:r/>
    </w:p>
    <w:p>
      <w:pPr>
        <w:ind w:firstLine="420"/>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（6）报价超过招标文件中规定的预算金额或者最高限价的；</w:t>
      </w:r>
      <w:r/>
    </w:p>
    <w:p>
      <w:pPr>
        <w:ind w:firstLine="420"/>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（7）投标文件含有采购人不能接受的附加条件的；</w:t>
      </w:r>
      <w:r/>
    </w:p>
    <w:p>
      <w:pPr>
        <w:ind w:firstLine="420"/>
        <w:spacing w:line="360" w:lineRule="auto"/>
        <w:shd w:val="clear" w:color="auto" w:fill="ffffff"/>
        <w:widowControl/>
        <w:rPr>
          <w:rFonts w:hint="eastAsia" w:ascii="宋体" w:hAnsi="宋体" w:eastAsia="宋体" w:cs="宋体"/>
          <w:bCs/>
          <w:color w:val="auto"/>
          <w:sz w:val="21"/>
          <w:szCs w:val="21"/>
          <w:highlight w:val="none"/>
        </w:rPr>
      </w:pPr>
      <w:r>
        <w:rPr>
          <w:rFonts w:hint="eastAsia" w:ascii="宋体" w:hAnsi="宋体" w:eastAsia="宋体" w:cs="宋体"/>
          <w:bCs/>
          <w:color w:val="auto"/>
          <w:szCs w:val="21"/>
          <w:highlight w:val="none"/>
        </w:rPr>
        <w:t xml:space="preserve">（8）投标文件内容不全或不符合招标文件中规定的其他实质性要求的</w:t>
      </w:r>
      <w:r>
        <w:rPr>
          <w:rFonts w:hint="eastAsia" w:ascii="宋体" w:hAnsi="宋体"/>
          <w:iCs/>
          <w:color w:val="auto"/>
          <w:sz w:val="21"/>
          <w:szCs w:val="21"/>
          <w:highlight w:val="none"/>
          <w:lang w:val="zh-CN"/>
        </w:rPr>
        <w:t xml:space="preserve">（</w:t>
      </w:r>
      <w:r>
        <w:rPr>
          <w:rFonts w:hint="eastAsia" w:ascii="宋体" w:hAnsi="宋体" w:eastAsia="宋体"/>
          <w:b w:val="0"/>
          <w:bCs w:val="0"/>
          <w:iCs/>
          <w:color w:val="auto"/>
          <w:sz w:val="21"/>
          <w:szCs w:val="21"/>
          <w:highlight w:val="none"/>
          <w:lang w:val="en-US" w:eastAsia="zh-CN"/>
        </w:rPr>
        <w:t xml:space="preserve">采购</w:t>
      </w:r>
      <w:r>
        <w:rPr>
          <w:rFonts w:hint="eastAsia" w:ascii="宋体" w:hAnsi="宋体"/>
          <w:b w:val="0"/>
          <w:bCs w:val="0"/>
          <w:iCs/>
          <w:color w:val="auto"/>
          <w:sz w:val="21"/>
          <w:szCs w:val="21"/>
          <w:highlight w:val="none"/>
          <w:lang w:val="zh-CN"/>
        </w:rPr>
        <w:t xml:space="preserve">文件中打“</w:t>
      </w:r>
      <w:r>
        <w:rPr>
          <w:rFonts w:hint="eastAsia" w:ascii="宋体" w:hAnsi="宋体"/>
          <w:b w:val="0"/>
          <w:bCs w:val="0"/>
          <w:iCs/>
          <w:color w:val="auto"/>
          <w:sz w:val="21"/>
          <w:szCs w:val="21"/>
          <w:highlight w:val="none"/>
        </w:rPr>
        <w:t xml:space="preserve">★</w:t>
      </w:r>
      <w:r>
        <w:rPr>
          <w:rFonts w:hint="eastAsia" w:ascii="宋体" w:hAnsi="宋体"/>
          <w:b w:val="0"/>
          <w:bCs w:val="0"/>
          <w:iCs/>
          <w:color w:val="auto"/>
          <w:sz w:val="21"/>
          <w:szCs w:val="21"/>
          <w:highlight w:val="none"/>
          <w:lang w:val="zh-CN"/>
        </w:rPr>
        <w:t xml:space="preserve">”内容为实质性要求和条件）</w:t>
      </w:r>
      <w:r>
        <w:rPr>
          <w:rFonts w:hint="eastAsia" w:ascii="宋体" w:hAnsi="宋体" w:eastAsia="宋体" w:cs="宋体"/>
          <w:bCs/>
          <w:color w:val="auto"/>
          <w:sz w:val="21"/>
          <w:szCs w:val="21"/>
          <w:highlight w:val="none"/>
        </w:rPr>
        <w:t xml:space="preserve">；</w:t>
      </w:r>
      <w:r/>
    </w:p>
    <w:p>
      <w:pPr>
        <w:ind w:firstLine="420"/>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（9）现行法律、法规、规章和招标文件规定的其他无效情形。</w:t>
      </w:r>
      <w:r/>
    </w:p>
    <w:p>
      <w:pPr>
        <w:ind w:firstLine="420"/>
        <w:jc w:val="left"/>
        <w:spacing w:beforeAutospacing="0" w:line="360" w:lineRule="auto"/>
        <w:shd w:val="clear" w:color="auto" w:fill="ffffff"/>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（10）响应文件含有采购人不能接受的附加条件。</w:t>
      </w:r>
      <w:r/>
    </w:p>
    <w:p>
      <w:pPr>
        <w:ind w:firstLine="420"/>
        <w:jc w:val="left"/>
        <w:spacing w:beforeAutospacing="0" w:line="360" w:lineRule="auto"/>
        <w:shd w:val="clear" w:color="auto" w:fill="ffffff"/>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（11）出现</w:t>
      </w:r>
      <w:r>
        <w:rPr>
          <w:rFonts w:hint="eastAsia" w:ascii="宋体" w:hAnsi="宋体" w:eastAsia="宋体" w:cs="宋体"/>
          <w:color w:val="auto"/>
          <w:szCs w:val="21"/>
          <w:highlight w:val="none"/>
        </w:rPr>
        <w:t xml:space="preserve">《财政部关于推动解决政府采购异常低价问题的通知》（财库[2026]2号）</w:t>
      </w:r>
      <w:r>
        <w:rPr>
          <w:rFonts w:hint="eastAsia" w:ascii="宋体" w:hAnsi="宋体" w:eastAsia="宋体" w:cs="宋体"/>
          <w:b w:val="0"/>
          <w:bCs w:val="0"/>
          <w:color w:val="auto"/>
          <w:sz w:val="21"/>
          <w:szCs w:val="21"/>
          <w:highlight w:val="none"/>
          <w:lang w:val="en-US" w:eastAsia="zh-CN"/>
        </w:rPr>
        <w:t xml:space="preserve">中的低价情形且不能在规定时间内提供符合要求的证明文件证明其合理性的。</w:t>
      </w:r>
      <w:r/>
    </w:p>
    <w:p>
      <w:pPr>
        <w:ind w:firstLine="420"/>
        <w:jc w:val="left"/>
        <w:spacing w:beforeAutospacing="0" w:line="360" w:lineRule="auto"/>
        <w:shd w:val="clear" w:color="auto" w:fill="ffffff"/>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（12）报价低于完成本项目发生的所有含税费用、支付给员工的工资（不得低于供应商所在地最低工资标准）和国家强制缴纳的各种社会保障资金、公积金，以及供应商认为需要的其他费用等。</w:t>
      </w:r>
      <w:r/>
    </w:p>
    <w:p>
      <w:pPr>
        <w:ind w:firstLine="420"/>
        <w:jc w:val="left"/>
        <w:spacing w:beforeAutospacing="0" w:line="360" w:lineRule="auto"/>
        <w:shd w:val="clear" w:color="auto" w:fill="ffffff"/>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（13）采购产品被财政部、国家发改委、生态环境部等列入“节能产品品目清单”强制采购范围，而供应商提供的产品不在强制采购范围内。</w:t>
      </w:r>
      <w:r/>
    </w:p>
    <w:p>
      <w:pPr>
        <w:ind w:firstLine="420"/>
        <w:jc w:val="left"/>
        <w:spacing w:beforeAutospacing="0" w:line="360" w:lineRule="auto"/>
        <w:shd w:val="clear" w:color="auto" w:fill="ffffff"/>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（14）法律法规及本磋商文件规定的其他无效响应的情形。</w:t>
      </w:r>
      <w:r/>
    </w:p>
    <w:p>
      <w:pPr>
        <w:ind w:firstLine="420"/>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22.2.2.1实质性要求是指本招标文件中用带星号（“</w:t>
      </w:r>
      <w:r>
        <w:rPr>
          <w:rFonts w:hint="eastAsia" w:ascii="宋体" w:hAnsi="宋体" w:eastAsia="宋体" w:cs="宋体"/>
          <w:bCs/>
          <w:color w:val="auto"/>
          <w:highlight w:val="none"/>
          <w:lang w:val="en-US" w:eastAsia="zh-CN"/>
        </w:rPr>
        <w:t xml:space="preserve">★</w:t>
      </w:r>
      <w:r>
        <w:rPr>
          <w:rFonts w:hint="eastAsia" w:ascii="宋体" w:hAnsi="宋体" w:eastAsia="宋体" w:cs="宋体"/>
          <w:bCs/>
          <w:color w:val="auto"/>
          <w:szCs w:val="21"/>
          <w:highlight w:val="none"/>
        </w:rPr>
        <w:t xml:space="preserve">”）、“必须”或“应（应当）”等其他文字说明的商务和技术要求。</w:t>
      </w:r>
      <w:r/>
    </w:p>
    <w:p>
      <w:pPr>
        <w:ind w:firstLine="420"/>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22.2.2.2未通过资格审查或符合性审查的投标人，代理机构将通过“苏采云”系统告知其具体原因，评标结束后不再接受有关询问。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22.2.2.3有下列情形之一的予以废标：</w:t>
      </w:r>
      <w:r/>
    </w:p>
    <w:p>
      <w:pPr>
        <w:ind w:firstLine="420"/>
        <w:jc w:val="left"/>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（1）符合专业条件的投标人或者对招标文件作实质性响应的投标人不足三家的；</w:t>
      </w:r>
      <w:r/>
    </w:p>
    <w:p>
      <w:pPr>
        <w:ind w:firstLine="420"/>
        <w:jc w:val="left"/>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（2）出现影响采购公正的违法、违规行为的；</w:t>
      </w:r>
      <w:r/>
    </w:p>
    <w:p>
      <w:pPr>
        <w:ind w:firstLine="420"/>
        <w:jc w:val="left"/>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（3）投标人的报价均超过了采购预算，采购人不能支付的；</w:t>
      </w:r>
      <w:r/>
    </w:p>
    <w:p>
      <w:pPr>
        <w:ind w:firstLine="420"/>
        <w:jc w:val="left"/>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（4）因苏采云系统故障造成开标不成功的；</w:t>
      </w:r>
      <w:r/>
    </w:p>
    <w:p>
      <w:pPr>
        <w:ind w:firstLine="420"/>
        <w:jc w:val="left"/>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（5）因重大变故，采购任务取消的。</w:t>
      </w:r>
      <w:r/>
    </w:p>
    <w:p>
      <w:pPr>
        <w:ind w:firstLine="420"/>
        <w:jc w:val="left"/>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22.2.3澄清有关问题。</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22.2.3.1评标期间，评委会对投标文件中含义不明确、同类问题表述不一致或者有明显文字和计算错误的内容，有权要求投标人作出必要的澄清、说明或者补正。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投标人的澄清、说明或者补正不得超出投标文件的范围或者改变投标文件的实质性内容。</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评委会并非对每个投标人都做澄清要求。</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22.2.3.2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22.2.3.3接到评委会澄清、说明和补正要求的，投标人如未按规定作出澄清、说明和补正，其风险由投标人自行承担。</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22.2.3.4投标文件报价出现前后不一致的，除招标文件另有规定外，按照下列规定修正：</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（2）大写金额和小写金额不一致的，以大写金额为准；</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（4）总价金额与按单价汇总金额不一致的，以单价金额计算结果为准。</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2.2.3.5投标人在开、评标全过程中应保持通讯畅通，及时登录苏采云系统查阅、答复相关信息，并安排专人与代理机构及评委会联系。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rFonts w:hint="eastAsia" w:ascii="宋体" w:hAnsi="宋体" w:eastAsia="宋体" w:cs="宋体"/>
          <w:b w:val="0"/>
          <w:bCs/>
          <w:color w:val="auto"/>
          <w:szCs w:val="21"/>
          <w:highlight w:val="none"/>
        </w:rPr>
      </w:pPr>
      <w:r>
        <w:rPr>
          <w:rFonts w:hint="eastAsia" w:ascii="宋体" w:hAnsi="宋体" w:eastAsia="宋体" w:cs="宋体"/>
          <w:color w:val="auto"/>
          <w:szCs w:val="21"/>
          <w:highlight w:val="none"/>
        </w:rPr>
        <w:t xml:space="preserve">22.2.3.6</w:t>
      </w:r>
      <w:r>
        <w:rPr>
          <w:rFonts w:hint="eastAsia" w:ascii="宋体" w:hAnsi="宋体" w:eastAsia="宋体" w:cs="宋体"/>
          <w:color w:val="auto"/>
          <w:highlight w:val="none"/>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eastAsia="宋体" w:cs="宋体"/>
          <w:b w:val="0"/>
          <w:bCs/>
          <w:color w:val="auto"/>
          <w:highlight w:val="none"/>
        </w:rPr>
        <w:t xml:space="preserve">投标人不能证明其报价合理性的，评标委员会将其作为无效投标处理。</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22.2.4</w:t>
      </w:r>
      <w:r>
        <w:rPr>
          <w:rFonts w:hint="eastAsia" w:ascii="宋体" w:hAnsi="宋体" w:eastAsia="宋体" w:cs="宋体"/>
          <w:bCs/>
          <w:color w:val="auto"/>
          <w:szCs w:val="21"/>
          <w:highlight w:val="none"/>
        </w:rPr>
        <w:t xml:space="preserve">比较与评价。</w:t>
      </w:r>
      <w:r>
        <w:rPr>
          <w:rFonts w:hint="eastAsia" w:ascii="宋体" w:hAnsi="宋体" w:eastAsia="宋体" w:cs="宋体"/>
          <w:color w:val="auto"/>
          <w:szCs w:val="21"/>
          <w:highlight w:val="none"/>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22.3评标方法和标准</w:t>
      </w:r>
      <w:r/>
    </w:p>
    <w:p>
      <w:pPr>
        <w:ind w:firstLine="420"/>
        <w:jc w:val="left"/>
        <w:spacing w:line="360" w:lineRule="auto"/>
        <w:shd w:val="clear" w:color="auto" w:fill="ffffff"/>
        <w:widowControl/>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22.3.1本次招标采用综合评分法，评标方法和标准详见本招标文件第三章。</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22.3.</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22.3.</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评审因素，包括价格、技术、商务等。</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22.3.</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22.3.</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价格分采用低价优先法计算，即满足招标文件要求且投标价格最低的投标报价为评标基准价，其价格分为满分。因落实政府采购政策进行价格调整的，以调整后的价格计算评标基准价和投标报价。</w:t>
      </w:r>
      <w:r/>
    </w:p>
    <w:p>
      <w:pPr>
        <w:ind w:firstLine="420"/>
        <w:spacing w:line="360" w:lineRule="auto"/>
        <w:shd w:val="clear" w:color="auto" w:fill="ffffff"/>
        <w:widowControl/>
        <w:rPr>
          <w:rFonts w:hint="eastAsia" w:ascii="宋体" w:hAnsi="宋体" w:eastAsia="宋体" w:cs="宋体"/>
          <w:b/>
          <w:color w:val="auto"/>
          <w:szCs w:val="21"/>
          <w:highlight w:val="none"/>
        </w:rPr>
      </w:pPr>
      <w:r>
        <w:rPr>
          <w:rFonts w:hint="eastAsia" w:ascii="宋体" w:hAnsi="宋体" w:eastAsia="宋体" w:cs="宋体"/>
          <w:b/>
          <w:bCs/>
          <w:color w:val="auto"/>
          <w:szCs w:val="21"/>
          <w:highlight w:val="none"/>
        </w:rPr>
        <w:t xml:space="preserve">23、</w:t>
      </w:r>
      <w:r>
        <w:rPr>
          <w:rFonts w:hint="eastAsia" w:ascii="宋体" w:hAnsi="宋体" w:eastAsia="宋体" w:cs="宋体"/>
          <w:b/>
          <w:color w:val="auto"/>
          <w:szCs w:val="21"/>
          <w:highlight w:val="none"/>
        </w:rPr>
        <w:t xml:space="preserve">确定中标人</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采用综合评分法的，评标结果按评审后得分由高到低顺序排列。得分相同的，按投标报价由低到高顺序排列。得分且投标报价相同的，按技术指标优劣顺序排列。投标文件满足招标文件全部实质性要求，且按照评审因素的量化指标评审得分最高的投标人为排名第一的中标候选人。最低投标价等任何单项因素的最优不是中标的必要条件。</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中标人确定后，在财政部门指定的媒体上公告中标结果，中标公告期为1个工作日，公告的同时向中标人发出中标通知书。中标人可在中标结果公告届满之日起三十日内,登录苏采云系统下载。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23.4中标通知书对采购人和中标人具有同等法律效力。中标通知书发出后，采购人不得违法改变中标结果，中标人无正当理由不得放弃中标。</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23.5所有投标文件不论中标与否，均不退回。</w:t>
      </w:r>
      <w:r/>
    </w:p>
    <w:p>
      <w:pPr>
        <w:ind w:firstLine="412"/>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24、编写评标报告</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24.1评标委员会根据全体评标成员签字的原始评标记录和评标结果编写评标报告。</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25、评标过程的保密性</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25.1采购人和采购代理机构将采取必要措施，保证评标在严格保密的情况下进行。</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25.2任何单位和个人不得非法干预、影响评标办法的确定，以及评标过程和结果。</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25.3凡是与审查、澄清、评价和比较投标的有关资料等，均不向投标人及与评标无关的其他人员透露。</w:t>
      </w:r>
      <w:r/>
    </w:p>
    <w:p>
      <w:pPr>
        <w:ind w:firstLine="420"/>
        <w:spacing w:line="360" w:lineRule="auto"/>
        <w:shd w:val="clear" w:color="auto" w:fill="ffffff"/>
        <w:widowControl/>
        <w:rPr>
          <w:rFonts w:hint="eastAsia" w:ascii="宋体" w:hAnsi="宋体" w:eastAsia="宋体" w:cs="宋体"/>
          <w:color w:val="auto"/>
          <w:szCs w:val="21"/>
          <w:highlight w:val="none"/>
        </w:rPr>
        <w:outlineLvl w:val="1"/>
      </w:pPr>
      <w:r/>
      <w:bookmarkStart w:id="22" w:name="_Toc32199"/>
      <w:r>
        <w:rPr>
          <w:rFonts w:hint="eastAsia" w:ascii="宋体" w:hAnsi="宋体" w:eastAsia="宋体" w:cs="宋体"/>
          <w:b/>
          <w:bCs/>
          <w:color w:val="auto"/>
          <w:szCs w:val="21"/>
          <w:highlight w:val="none"/>
        </w:rPr>
        <w:t xml:space="preserve">六、签订合同</w:t>
      </w:r>
      <w:bookmarkEnd w:id="22"/>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26、签订合同</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eastAsia" w:ascii="宋体" w:hAnsi="宋体" w:eastAsia="宋体" w:cs="宋体"/>
          <w:b/>
          <w:bCs/>
          <w:color w:val="auto"/>
          <w:szCs w:val="21"/>
          <w:highlight w:val="none"/>
        </w:rPr>
      </w:pPr>
      <w:r>
        <w:rPr>
          <w:rFonts w:hint="eastAsia" w:ascii="宋体" w:hAnsi="宋体" w:eastAsia="宋体" w:cs="宋体"/>
          <w:bCs/>
          <w:color w:val="auto"/>
          <w:szCs w:val="21"/>
          <w:highlight w:val="none"/>
        </w:rPr>
        <w:t xml:space="preserve">26.2</w:t>
      </w:r>
      <w:r>
        <w:rPr>
          <w:rFonts w:hint="eastAsia" w:ascii="宋体" w:hAnsi="宋体" w:eastAsia="宋体" w:cs="宋体"/>
          <w:color w:val="auto"/>
          <w:szCs w:val="21"/>
          <w:highlight w:val="none"/>
        </w:rPr>
        <w:t xml:space="preserve">除继续履行将损害国家利益和社会公众利益的，政府采购合同的双方当事人不得擅自变更、中止或者终止合同。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26.3采购人不得向中标人提出任何不合理的要求作为签订合同的条件。</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26.5政府采购合同履行中，采购人需追加与合同标的相同的货物或者服务的，在不改变合同其他条款的前提下，可以与供应商协商签订补充合同，但所有补充合同的采购金额不得超过原合同采购金额的百分之十。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26.6采购人与中标人应当根据合同的约定依法履行合同义务。</w:t>
      </w:r>
      <w:r/>
    </w:p>
    <w:p>
      <w:pPr>
        <w:ind w:firstLine="420"/>
        <w:spacing w:line="360" w:lineRule="auto"/>
        <w:shd w:val="clear" w:color="auto" w:fill="ffffff"/>
        <w:widowControl/>
        <w:rPr>
          <w:rFonts w:hint="eastAsia" w:ascii="宋体" w:hAnsi="宋体" w:eastAsia="宋体" w:cs="宋体"/>
          <w:color w:val="auto"/>
          <w:szCs w:val="21"/>
          <w:highlight w:val="none"/>
        </w:rPr>
        <w:outlineLvl w:val="1"/>
      </w:pPr>
      <w:r/>
      <w:bookmarkStart w:id="23" w:name="_Toc16501"/>
      <w:r>
        <w:rPr>
          <w:rFonts w:hint="eastAsia" w:ascii="宋体" w:hAnsi="宋体" w:eastAsia="宋体" w:cs="宋体"/>
          <w:b/>
          <w:bCs/>
          <w:color w:val="auto"/>
          <w:szCs w:val="21"/>
          <w:highlight w:val="none"/>
        </w:rPr>
        <w:t xml:space="preserve">七、质疑和投诉</w:t>
      </w:r>
      <w:bookmarkEnd w:id="23"/>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27、质疑</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27.1供应商对招标活动事项有疑问的，可以向采购代理机构提出询问，采购代理机构将依法作出答复，但答复的内容不涉及商业秘密</w:t>
      </w:r>
      <w:r>
        <w:rPr>
          <w:rFonts w:hint="eastAsia" w:ascii="宋体" w:hAnsi="宋体" w:eastAsia="宋体" w:cs="宋体"/>
          <w:b/>
          <w:bCs/>
          <w:color w:val="auto"/>
          <w:szCs w:val="21"/>
          <w:highlight w:val="none"/>
        </w:rPr>
        <w:t xml:space="preserve">。</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hint="eastAsia" w:ascii="宋体" w:hAnsi="宋体" w:eastAsia="宋体" w:cs="宋体"/>
          <w:b w:val="0"/>
          <w:bCs w:val="0"/>
          <w:color w:val="auto"/>
          <w:szCs w:val="21"/>
          <w:highlight w:val="none"/>
        </w:rPr>
      </w:pPr>
      <w:r>
        <w:rPr>
          <w:rFonts w:hint="eastAsia" w:ascii="宋体" w:hAnsi="宋体" w:eastAsia="宋体" w:cs="宋体"/>
          <w:b w:val="0"/>
          <w:bCs w:val="0"/>
          <w:color w:val="auto"/>
          <w:highlight w:val="none"/>
        </w:rPr>
        <w:t xml:space="preserve">供应商必须在法定质疑期内一次性提出针对同一采购程序环节的质疑。</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27.4供应商提出质疑应当提交质疑函和必要的证明材料。质疑函应当包括下列内容：</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（一）供应商的姓名或者名称、地址、邮编、联系人及联系电话；</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（二）质疑项目的名称、编号；</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（三）具体、明确的质疑事项和与质疑事项相关的请求（具体条款）；</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（四）事实依据（具体条款）；</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（五）必要的法律依据（具体条款）；</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（六）提出质疑的日期。</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27.5质疑函应当现场提交至采购代理机构联系人处，提交时应出示有效身份证明。未按上述要求提交质疑函的，质疑不予受理。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27.6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27.7采购代理机构在收到投标人的书面质疑后将及时组织调查核实，在</w:t>
      </w:r>
      <w:r>
        <w:rPr>
          <w:rFonts w:hint="eastAsia" w:ascii="宋体" w:hAnsi="宋体" w:eastAsia="宋体" w:cs="宋体"/>
          <w:b w:val="0"/>
          <w:bCs w:val="0"/>
          <w:color w:val="auto"/>
          <w:szCs w:val="21"/>
          <w:highlight w:val="none"/>
        </w:rPr>
        <w:t xml:space="preserve">七个工作日内</w:t>
      </w:r>
      <w:r>
        <w:rPr>
          <w:rFonts w:hint="eastAsia" w:ascii="宋体" w:hAnsi="宋体" w:eastAsia="宋体" w:cs="宋体"/>
          <w:color w:val="auto"/>
          <w:szCs w:val="21"/>
          <w:highlight w:val="none"/>
        </w:rPr>
        <w:t xml:space="preserve">作出答复，并以书面或在网站公告形式通知质疑投标人和其他有关投标人，答复的内容不涉及商业秘密。</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任何单位和个人对代理机构在招标采购活动中的违法行为，有权控告和检举，联系电话：025-86636139（采购代理机构质量管理部门）、025-86636853（采购代理机构纪检监察部门）。</w:t>
      </w:r>
      <w:r/>
    </w:p>
    <w:p>
      <w:pPr>
        <w:ind w:firstLine="420"/>
        <w:spacing w:line="42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28、投诉</w:t>
      </w:r>
      <w:r/>
    </w:p>
    <w:p>
      <w:pPr>
        <w:ind w:firstLine="420"/>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28.2供应商投诉应当有明确的请求和必要的证明材料。供应商投诉的事项不得超出已质疑事项的范围。</w:t>
      </w:r>
      <w:r/>
    </w:p>
    <w:p>
      <w:pPr>
        <w:ind w:firstLine="420"/>
        <w:spacing w:line="42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28.4投诉人有下列行为之一的，属于严重失信行为，</w:t>
      </w:r>
      <w:r>
        <w:rPr>
          <w:rFonts w:hint="eastAsia" w:ascii="宋体" w:hAnsi="宋体" w:eastAsia="宋体" w:cs="宋体"/>
          <w:color w:val="auto"/>
          <w:szCs w:val="21"/>
          <w:highlight w:val="none"/>
        </w:rPr>
        <w:t xml:space="preserve">由财政部门列入不良行为记录名单，禁止其一至三年内参加政府采购活动。</w:t>
      </w:r>
      <w:r/>
    </w:p>
    <w:p>
      <w:pPr>
        <w:ind w:firstLine="420"/>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（1）投诉人在全国范围12个月内三次以上投诉查无实据的；</w:t>
      </w:r>
      <w:r/>
    </w:p>
    <w:p>
      <w:pPr>
        <w:ind w:firstLine="420"/>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（2）采用捏造事实、提供虚假材料或者以非法手段取得证明材料等方式进行虚假、恶意投诉。</w:t>
      </w:r>
      <w:r/>
    </w:p>
    <w:p>
      <w:pPr>
        <w:ind w:firstLine="420"/>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证据来源的合法性存在明显疑问，投诉人无法证明其取得方式合法的，视为以非法手段取得证明材料。</w:t>
      </w:r>
      <w:r/>
    </w:p>
    <w:p>
      <w:pPr>
        <w:ind w:firstLine="487"/>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rPr>
        <w:t xml:space="preserve">29</w:t>
      </w:r>
      <w:r>
        <w:rPr>
          <w:rFonts w:hint="eastAsia" w:ascii="宋体" w:hAnsi="宋体" w:eastAsia="宋体" w:cs="宋体"/>
          <w:b/>
          <w:bCs/>
          <w:color w:val="auto"/>
          <w:szCs w:val="21"/>
          <w:highlight w:val="none"/>
          <w:lang w:val="zh-CN"/>
        </w:rPr>
        <w:t xml:space="preserve">、诚实信用</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29</w:t>
      </w:r>
      <w:r>
        <w:rPr>
          <w:rFonts w:hint="eastAsia" w:ascii="宋体" w:hAnsi="宋体" w:eastAsia="宋体" w:cs="宋体"/>
          <w:color w:val="auto"/>
          <w:szCs w:val="21"/>
          <w:highlight w:val="none"/>
          <w:lang w:val="zh-CN"/>
        </w:rPr>
        <w:t xml:space="preserve">.1供应商之间不得相互串通报价，不得妨碍其他供应商的公平竞争，不得损害采购人和其他供应商的合法权益。</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29</w:t>
      </w:r>
      <w:r>
        <w:rPr>
          <w:rFonts w:hint="eastAsia" w:ascii="宋体" w:hAnsi="宋体" w:eastAsia="宋体" w:cs="宋体"/>
          <w:color w:val="auto"/>
          <w:szCs w:val="21"/>
          <w:highlight w:val="none"/>
          <w:lang w:val="zh-CN"/>
        </w:rPr>
        <w:t xml:space="preserve">.2供应商不得以向采购代理工作人员、</w:t>
      </w:r>
      <w:r>
        <w:rPr>
          <w:rFonts w:hint="eastAsia" w:ascii="宋体" w:hAnsi="宋体" w:eastAsia="宋体" w:cs="宋体"/>
          <w:color w:val="auto"/>
          <w:szCs w:val="21"/>
          <w:highlight w:val="none"/>
        </w:rPr>
        <w:t xml:space="preserve">评标小组</w:t>
      </w:r>
      <w:r>
        <w:rPr>
          <w:rFonts w:hint="eastAsia" w:ascii="宋体" w:hAnsi="宋体" w:eastAsia="宋体" w:cs="宋体"/>
          <w:color w:val="auto"/>
          <w:szCs w:val="21"/>
          <w:highlight w:val="none"/>
          <w:lang w:val="zh-CN"/>
        </w:rPr>
        <w:t xml:space="preserve">成员行贿或者采取其他不正当手段谋取成交。经查实供应商有此行为的，</w:t>
      </w:r>
      <w:r>
        <w:rPr>
          <w:rFonts w:hint="eastAsia" w:ascii="宋体" w:hAnsi="宋体" w:eastAsia="宋体" w:cs="宋体"/>
          <w:color w:val="auto"/>
          <w:szCs w:val="21"/>
          <w:highlight w:val="none"/>
        </w:rPr>
        <w:t xml:space="preserve">政府采购管理部门将供应商列入不良行为记录名单，按照《政府采购法》有关规定处理。</w:t>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29</w:t>
      </w:r>
      <w:r>
        <w:rPr>
          <w:rFonts w:hint="eastAsia" w:ascii="宋体" w:hAnsi="宋体" w:eastAsia="宋体" w:cs="宋体"/>
          <w:color w:val="auto"/>
          <w:szCs w:val="21"/>
          <w:highlight w:val="none"/>
          <w:lang w:val="zh-CN"/>
        </w:rPr>
        <w:t xml:space="preserve">.3供应商不得虚假质疑和恶意质疑，并对质疑内容的真实性承担责任。</w:t>
      </w:r>
      <w:r>
        <w:rPr>
          <w:rFonts w:hint="eastAsia" w:ascii="宋体" w:hAnsi="宋体" w:eastAsia="宋体" w:cs="宋体"/>
          <w:color w:val="auto"/>
          <w:szCs w:val="21"/>
          <w:highlight w:val="none"/>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29</w:t>
      </w:r>
      <w:r>
        <w:rPr>
          <w:rFonts w:hint="eastAsia" w:ascii="宋体" w:hAnsi="宋体" w:eastAsia="宋体" w:cs="宋体"/>
          <w:color w:val="auto"/>
          <w:szCs w:val="21"/>
          <w:highlight w:val="none"/>
          <w:lang w:val="zh-CN"/>
        </w:rPr>
        <w:t xml:space="preserve">.4供应商不得虚假承诺，否则，按照提供虚假材料谋取成交处理。</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29</w:t>
      </w:r>
      <w:r>
        <w:rPr>
          <w:rFonts w:hint="eastAsia" w:ascii="宋体" w:hAnsi="宋体" w:eastAsia="宋体" w:cs="宋体"/>
          <w:color w:val="auto"/>
          <w:szCs w:val="21"/>
          <w:highlight w:val="none"/>
          <w:lang w:val="zh-CN"/>
        </w:rPr>
        <w:t xml:space="preserve">.5供应商应自觉遵守磋商、评审纪律，扰乱磋商、评审现场秩序的，属于失信行为，根据《江苏省政府采购供应商监督管理暂行办法》，失信行为将被记入供应商诚信档案。</w:t>
      </w:r>
      <w:r/>
    </w:p>
    <w:p>
      <w:pPr>
        <w:ind w:firstLine="422"/>
        <w:jc w:val="center"/>
        <w:rPr>
          <w:rFonts w:hint="eastAsia" w:ascii="宋体" w:hAnsi="宋体" w:eastAsia="宋体" w:cs="宋体"/>
          <w:b/>
          <w:color w:val="auto"/>
          <w:szCs w:val="21"/>
          <w:highlight w:val="none"/>
          <w:lang w:bidi="ar"/>
        </w:rPr>
      </w:pPr>
      <w:r>
        <w:rPr>
          <w:rFonts w:hint="eastAsia" w:ascii="宋体" w:hAnsi="宋体" w:eastAsia="宋体" w:cs="宋体"/>
          <w:b/>
          <w:color w:val="auto"/>
          <w:szCs w:val="21"/>
          <w:highlight w:val="none"/>
          <w:lang w:bidi="ar"/>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bookmarkStart w:id="24" w:name="_Toc31879"/>
      <w:r>
        <w:rPr>
          <w:rFonts w:hint="eastAsia" w:ascii="宋体" w:hAnsi="宋体" w:eastAsia="宋体" w:cs="宋体"/>
          <w:b/>
          <w:color w:val="auto"/>
          <w:sz w:val="32"/>
          <w:szCs w:val="32"/>
          <w:highlight w:val="none"/>
        </w:rPr>
        <w:br w:type="page" w:clear="all"/>
      </w:r>
      <w:r/>
    </w:p>
    <w:p>
      <w:pPr>
        <w:pStyle w:val="990"/>
        <w:ind w:firstLine="0"/>
        <w:jc w:val="center"/>
        <w:spacing w:line="360" w:lineRule="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第三章评审标准</w:t>
      </w:r>
      <w:bookmarkEnd w:id="24"/>
      <w:r/>
      <w:r/>
    </w:p>
    <w:p>
      <w:pPr>
        <w:widowControl/>
        <w:rPr>
          <w:rFonts w:hint="default"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一、评标方法</w:t>
      </w:r>
      <w:r/>
    </w:p>
    <w:p>
      <w:pPr>
        <w:ind w:firstLine="420"/>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本次采用综合评分法</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评标结果按评审后得分由高到低顺序排列。得分最高者为成交供应商，得分相同的，按投标报价由低到高顺序排列，得分且投标报价相同的，按技术指标优劣顺序排列，由评标委员会依次推荐三家中标候选供应商。第二名为备选供应商，当成交供应商不能履行其义务时，由备选供应商顶替，成为新的成交供应商，采购人也可以重新招标。</w:t>
      </w:r>
      <w:r/>
    </w:p>
    <w:p>
      <w:pPr>
        <w:widowControl/>
        <w:rPr>
          <w:rFonts w:hint="eastAsia"/>
          <w:color w:val="auto"/>
          <w:highlight w:val="none"/>
        </w:rPr>
      </w:pPr>
      <w:r>
        <w:rPr>
          <w:rFonts w:hint="eastAsia" w:ascii="宋体" w:hAnsi="宋体" w:eastAsia="宋体" w:cs="宋体"/>
          <w:b/>
          <w:bCs/>
          <w:color w:val="auto"/>
          <w:highlight w:val="none"/>
          <w:lang w:val="en-US" w:eastAsia="zh-CN"/>
        </w:rPr>
        <w:t xml:space="preserve">二、评标细则</w:t>
      </w:r>
      <w:r/>
    </w:p>
    <w:tbl>
      <w:tblPr>
        <w:tblStyle w:val="923"/>
        <w:tblpPr w:horzAnchor="page" w:tblpX="1129" w:vertAnchor="text" w:tblpY="52" w:leftFromText="180" w:topFromText="0" w:rightFromText="180" w:bottomFromText="0"/>
        <w:tblW w:w="9712" w:type="dxa"/>
        <w:tblInd w:w="0" w:type="dxa"/>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Layout w:type="autofit"/>
        <w:tblCellMar>
          <w:left w:w="0" w:type="dxa"/>
          <w:top w:w="0" w:type="dxa"/>
          <w:right w:w="0" w:type="dxa"/>
          <w:bottom w:w="0" w:type="dxa"/>
        </w:tblCellMar>
        <w:tblLook w:val="04A0" w:firstRow="1" w:lastRow="0" w:firstColumn="1" w:lastColumn="0" w:noHBand="0" w:noVBand="1"/>
      </w:tblPr>
      <w:tblGrid>
        <w:gridCol w:w="685"/>
        <w:gridCol w:w="992"/>
        <w:gridCol w:w="6647"/>
        <w:gridCol w:w="567"/>
        <w:gridCol w:w="821"/>
      </w:tblGrid>
      <w:tr>
        <w:trPr>
          <w:trHeight w:val="567"/>
        </w:trPr>
        <w:tc>
          <w:tcPr>
            <w:tcBorders>
              <w:top w:val="single" w:color="999999" w:sz="6" w:space="0"/>
              <w:left w:val="single" w:color="808080" w:sz="4" w:space="0"/>
              <w:bottom w:val="single" w:color="999999" w:sz="6" w:space="0"/>
              <w:right w:val="single" w:color="999999" w:sz="6" w:space="0"/>
            </w:tcBorders>
            <w:tcW w:w="6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999999" w:sz="6" w:space="0"/>
              <w:left w:val="single" w:color="999999" w:sz="6" w:space="0"/>
              <w:bottom w:val="single" w:color="999999" w:sz="6" w:space="0"/>
              <w:right w:val="single" w:color="999999" w:sz="6" w:space="0"/>
            </w:tcBorders>
            <w:tcW w:w="99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评审因素</w:t>
            </w:r>
            <w:r/>
          </w:p>
        </w:tc>
        <w:tc>
          <w:tcPr>
            <w:tcBorders>
              <w:top w:val="single" w:color="999999" w:sz="6" w:space="0"/>
              <w:left w:val="single" w:color="999999" w:sz="6" w:space="0"/>
              <w:bottom w:val="single" w:color="999999" w:sz="6" w:space="0"/>
              <w:right w:val="single" w:color="999999" w:sz="6" w:space="0"/>
            </w:tcBorders>
            <w:tcW w:w="664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评审细则</w:t>
            </w:r>
            <w:r/>
          </w:p>
        </w:tc>
        <w:tc>
          <w:tcPr>
            <w:tcBorders>
              <w:top w:val="single" w:color="999999" w:sz="6" w:space="0"/>
              <w:left w:val="single" w:color="999999" w:sz="6" w:space="0"/>
              <w:bottom w:val="single" w:color="999999" w:sz="6" w:space="0"/>
              <w:right w:val="single" w:color="999999" w:sz="6" w:space="0"/>
            </w:tcBorders>
            <w:tcW w:w="56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分值</w:t>
            </w:r>
            <w:r/>
          </w:p>
        </w:tc>
        <w:tc>
          <w:tcPr>
            <w:tcBorders>
              <w:top w:val="single" w:color="999999" w:sz="6" w:space="0"/>
              <w:left w:val="single" w:color="999999" w:sz="6" w:space="0"/>
              <w:bottom w:val="single" w:color="999999" w:sz="6" w:space="0"/>
              <w:right w:val="single" w:color="808080" w:sz="4" w:space="0"/>
            </w:tcBorders>
            <w:tcW w:w="82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类型</w:t>
            </w:r>
            <w:r/>
          </w:p>
        </w:tc>
      </w:tr>
      <w:tr>
        <w:trPr>
          <w:trHeight w:val="567"/>
        </w:trPr>
        <w:tc>
          <w:tcPr>
            <w:gridSpan w:val="5"/>
            <w:tcBorders>
              <w:top w:val="single" w:color="999999" w:sz="6" w:space="0"/>
              <w:left w:val="single" w:color="808080" w:sz="4" w:space="0"/>
              <w:bottom w:val="single" w:color="999999" w:sz="6" w:space="0"/>
              <w:right w:val="single" w:color="808080" w:sz="4" w:space="0"/>
            </w:tcBorders>
            <w:tcW w:w="971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1.价格</w:t>
            </w:r>
            <w:r/>
          </w:p>
        </w:tc>
      </w:tr>
      <w:tr>
        <w:trPr>
          <w:trHeight w:val="567"/>
        </w:trPr>
        <w:tc>
          <w:tcPr>
            <w:tcBorders>
              <w:top w:val="single" w:color="999999" w:sz="6" w:space="0"/>
              <w:left w:val="single" w:color="808080" w:sz="4" w:space="0"/>
              <w:bottom w:val="single" w:color="999999" w:sz="6" w:space="0"/>
              <w:right w:val="single" w:color="999999" w:sz="6" w:space="0"/>
            </w:tcBorders>
            <w:tcW w:w="6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Borders>
              <w:top w:val="single" w:color="999999" w:sz="6" w:space="0"/>
              <w:left w:val="single" w:color="999999" w:sz="6" w:space="0"/>
              <w:bottom w:val="single" w:color="999999" w:sz="6" w:space="0"/>
              <w:right w:val="single" w:color="999999" w:sz="6" w:space="0"/>
            </w:tcBorders>
            <w:tcW w:w="99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价格分</w:t>
            </w:r>
            <w:r/>
          </w:p>
        </w:tc>
        <w:tc>
          <w:tcPr>
            <w:tcBorders>
              <w:top w:val="single" w:color="999999" w:sz="6" w:space="0"/>
              <w:left w:val="single" w:color="999999" w:sz="6" w:space="0"/>
              <w:bottom w:val="single" w:color="999999" w:sz="6" w:space="0"/>
              <w:right w:val="single" w:color="999999" w:sz="6" w:space="0"/>
            </w:tcBorders>
            <w:tcW w:w="6647"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供应商的价格分统一采用低价优先法计算，满足采购文件要求且投标价格最低的投标报价为评标基准价，其价格分为满分。其他供应商的价格分统一按照下列公式计算投标报价得分=(评标基准价／投标报价)×</w:t>
            </w:r>
            <w:r>
              <w:rPr>
                <w:rFonts w:hint="eastAsia" w:ascii="宋体" w:hAnsi="宋体" w:eastAsia="宋体" w:cs="宋体"/>
                <w:color w:val="auto"/>
                <w:sz w:val="21"/>
                <w:szCs w:val="21"/>
                <w:highlight w:val="none"/>
                <w:lang w:val="en-US" w:eastAsia="zh-CN"/>
              </w:rPr>
              <w:t xml:space="preserve">15。</w:t>
            </w:r>
            <w:r/>
          </w:p>
        </w:tc>
        <w:tc>
          <w:tcPr>
            <w:tcBorders>
              <w:top w:val="single" w:color="999999" w:sz="6" w:space="0"/>
              <w:left w:val="single" w:color="999999" w:sz="6" w:space="0"/>
              <w:bottom w:val="single" w:color="999999" w:sz="6" w:space="0"/>
              <w:right w:val="single" w:color="999999" w:sz="6" w:space="0"/>
            </w:tcBorders>
            <w:tcW w:w="567"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w:t>
            </w:r>
            <w:r/>
          </w:p>
        </w:tc>
        <w:tc>
          <w:tcPr>
            <w:tcBorders>
              <w:top w:val="single" w:color="999999" w:sz="6" w:space="0"/>
              <w:left w:val="single" w:color="999999" w:sz="6" w:space="0"/>
              <w:bottom w:val="single" w:color="999999" w:sz="6" w:space="0"/>
              <w:right w:val="single" w:color="808080" w:sz="4" w:space="0"/>
            </w:tcBorders>
            <w:tcW w:w="82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价格分</w:t>
            </w:r>
            <w:r/>
          </w:p>
        </w:tc>
      </w:tr>
      <w:tr>
        <w:trPr>
          <w:trHeight w:val="567"/>
        </w:trPr>
        <w:tc>
          <w:tcPr>
            <w:gridSpan w:val="5"/>
            <w:tcBorders>
              <w:top w:val="single" w:color="999999" w:sz="6" w:space="0"/>
              <w:left w:val="single" w:color="808080" w:sz="4" w:space="0"/>
              <w:bottom w:val="single" w:color="999999" w:sz="6" w:space="0"/>
              <w:right w:val="single" w:color="808080" w:sz="4" w:space="0"/>
            </w:tcBorders>
            <w:tcW w:w="9712"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2.服务</w:t>
            </w:r>
            <w:r>
              <w:rPr>
                <w:rFonts w:hint="eastAsia" w:ascii="宋体" w:hAnsi="宋体" w:eastAsia="宋体" w:cs="宋体"/>
                <w:color w:val="auto"/>
                <w:sz w:val="21"/>
                <w:szCs w:val="21"/>
                <w:highlight w:val="none"/>
                <w:lang w:val="en-US" w:eastAsia="zh-CN"/>
              </w:rPr>
              <w:t xml:space="preserve">方案</w:t>
            </w:r>
            <w:r/>
          </w:p>
        </w:tc>
      </w:tr>
      <w:tr>
        <w:trPr>
          <w:trHeight w:val="567"/>
        </w:trPr>
        <w:tc>
          <w:tcPr>
            <w:tcBorders>
              <w:top w:val="single" w:color="999999" w:sz="6" w:space="0"/>
              <w:left w:val="single" w:color="808080" w:sz="4" w:space="0"/>
              <w:bottom w:val="single" w:color="999999" w:sz="6" w:space="0"/>
              <w:right w:val="single" w:color="999999" w:sz="6" w:space="0"/>
            </w:tcBorders>
            <w:tcW w:w="6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tcBorders>
              <w:top w:val="single" w:color="999999" w:sz="6" w:space="0"/>
              <w:left w:val="single" w:color="999999" w:sz="6" w:space="0"/>
              <w:bottom w:val="single" w:color="999999" w:sz="6" w:space="0"/>
              <w:right w:val="single" w:color="999999" w:sz="6" w:space="0"/>
            </w:tcBorders>
            <w:tcW w:w="99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总体工作方案</w:t>
            </w:r>
            <w:r/>
          </w:p>
        </w:tc>
        <w:tc>
          <w:tcPr>
            <w:tcBorders>
              <w:top w:val="single" w:color="999999" w:sz="6" w:space="0"/>
              <w:left w:val="single" w:color="999999" w:sz="6" w:space="0"/>
              <w:bottom w:val="single" w:color="999999" w:sz="6" w:space="0"/>
              <w:right w:val="single" w:color="999999" w:sz="6" w:space="0"/>
            </w:tcBorders>
            <w:tcW w:w="6647" w:type="dxa"/>
            <w:vAlign w:val="center"/>
            <w:textDirection w:val="lrTb"/>
            <w:noWrap w:val="false"/>
          </w:tcPr>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评审依据：投标人针对本项目定制化总体实施工作方案，从项目适配性、内容完整性、实操落地性、人机资源配置维度综合评审</w:t>
            </w:r>
            <w:r>
              <w:rPr>
                <w:rFonts w:hint="eastAsia" w:ascii="宋体" w:hAnsi="宋体" w:eastAsia="宋体" w:cs="宋体"/>
                <w:color w:val="auto"/>
                <w:sz w:val="21"/>
                <w:szCs w:val="21"/>
                <w:highlight w:val="none"/>
                <w:lang w:val="en-US" w:eastAsia="zh-CN"/>
              </w:rPr>
              <w:t xml:space="preserve">。</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方案详实完整</w:t>
            </w:r>
            <w:r>
              <w:rPr>
                <w:rFonts w:hint="eastAsia" w:ascii="宋体" w:hAnsi="宋体" w:eastAsia="宋体" w:cs="宋体"/>
                <w:color w:val="auto"/>
                <w:sz w:val="21"/>
                <w:szCs w:val="21"/>
                <w:highlight w:val="none"/>
                <w:lang w:val="en-US"/>
              </w:rPr>
              <w:t xml:space="preserve">、涵盖内容</w:t>
            </w:r>
            <w:r>
              <w:rPr>
                <w:rFonts w:hint="eastAsia" w:ascii="宋体" w:hAnsi="宋体" w:eastAsia="宋体" w:cs="宋体"/>
                <w:color w:val="auto"/>
                <w:sz w:val="21"/>
                <w:szCs w:val="21"/>
                <w:highlight w:val="none"/>
                <w:lang w:val="en-US" w:eastAsia="zh-CN"/>
              </w:rPr>
              <w:t xml:space="preserve">科学、细致、全面，</w:t>
            </w:r>
            <w:r>
              <w:rPr>
                <w:rFonts w:hint="eastAsia" w:ascii="宋体" w:hAnsi="宋体" w:eastAsia="宋体" w:cs="宋体"/>
                <w:color w:val="auto"/>
                <w:sz w:val="21"/>
                <w:szCs w:val="21"/>
                <w:highlight w:val="none"/>
                <w:lang w:val="en-US"/>
              </w:rPr>
              <w:t xml:space="preserve">贴合实际</w:t>
            </w:r>
            <w:r>
              <w:rPr>
                <w:rFonts w:hint="eastAsia" w:ascii="宋体" w:hAnsi="宋体" w:eastAsia="宋体" w:cs="宋体"/>
                <w:color w:val="auto"/>
                <w:sz w:val="21"/>
                <w:szCs w:val="21"/>
                <w:highlight w:val="none"/>
              </w:rPr>
              <w:t xml:space="preserve">且可操作性强，</w:t>
            </w:r>
            <w:r>
              <w:rPr>
                <w:rFonts w:hint="eastAsia" w:ascii="宋体" w:hAnsi="宋体" w:eastAsia="宋体" w:cs="宋体"/>
                <w:color w:val="auto"/>
                <w:sz w:val="21"/>
                <w:szCs w:val="21"/>
                <w:highlight w:val="none"/>
                <w:lang w:val="en-US"/>
              </w:rPr>
              <w:t xml:space="preserve">人员机械配置</w:t>
            </w:r>
            <w:r>
              <w:rPr>
                <w:rFonts w:hint="eastAsia" w:ascii="宋体" w:hAnsi="宋体" w:eastAsia="宋体" w:cs="宋体"/>
                <w:color w:val="auto"/>
                <w:sz w:val="21"/>
                <w:szCs w:val="21"/>
                <w:highlight w:val="none"/>
                <w:lang w:val="en-US" w:eastAsia="zh-CN"/>
              </w:rPr>
              <w:t xml:space="preserve">科学</w:t>
            </w:r>
            <w:r>
              <w:rPr>
                <w:rFonts w:hint="eastAsia" w:ascii="宋体" w:hAnsi="宋体" w:eastAsia="宋体" w:cs="宋体"/>
                <w:color w:val="auto"/>
                <w:sz w:val="21"/>
                <w:szCs w:val="21"/>
                <w:highlight w:val="none"/>
                <w:lang w:val="en-US"/>
              </w:rPr>
              <w:t xml:space="preserve">合理</w:t>
            </w:r>
            <w:r>
              <w:rPr>
                <w:rFonts w:hint="eastAsia" w:ascii="宋体" w:hAnsi="宋体" w:eastAsia="宋体" w:cs="宋体"/>
                <w:color w:val="auto"/>
                <w:sz w:val="21"/>
                <w:szCs w:val="21"/>
                <w:highlight w:val="none"/>
                <w:lang w:val="en-US" w:eastAsia="zh-CN"/>
              </w:rPr>
              <w:t xml:space="preserve">，实操落地性强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方案</w:t>
            </w:r>
            <w:r>
              <w:rPr>
                <w:rFonts w:hint="eastAsia" w:ascii="宋体" w:hAnsi="宋体" w:eastAsia="宋体" w:cs="宋体"/>
                <w:color w:val="auto"/>
                <w:sz w:val="21"/>
                <w:szCs w:val="21"/>
                <w:highlight w:val="none"/>
              </w:rPr>
              <w:t xml:space="preserve">较</w:t>
            </w:r>
            <w:r>
              <w:rPr>
                <w:rFonts w:hint="eastAsia" w:ascii="宋体" w:hAnsi="宋体" w:eastAsia="宋体" w:cs="宋体"/>
                <w:color w:val="auto"/>
                <w:sz w:val="21"/>
                <w:szCs w:val="21"/>
                <w:highlight w:val="none"/>
                <w:lang w:val="en-US" w:eastAsia="zh-CN"/>
              </w:rPr>
              <w:t xml:space="preserve">完整</w:t>
            </w:r>
            <w:r>
              <w:rPr>
                <w:rFonts w:hint="eastAsia" w:ascii="宋体" w:hAnsi="宋体" w:eastAsia="宋体" w:cs="宋体"/>
                <w:color w:val="auto"/>
                <w:sz w:val="21"/>
                <w:szCs w:val="21"/>
                <w:highlight w:val="none"/>
              </w:rPr>
              <w:t xml:space="preserve">、涵盖内容较</w:t>
            </w:r>
            <w:r>
              <w:rPr>
                <w:rFonts w:hint="eastAsia" w:ascii="宋体" w:hAnsi="宋体" w:eastAsia="宋体" w:cs="宋体"/>
                <w:color w:val="auto"/>
                <w:sz w:val="21"/>
                <w:szCs w:val="21"/>
                <w:highlight w:val="none"/>
                <w:lang w:val="en-US" w:eastAsia="zh-CN"/>
              </w:rPr>
              <w:t xml:space="preserve">科学、全面，</w:t>
            </w:r>
            <w:r>
              <w:rPr>
                <w:rFonts w:hint="eastAsia" w:ascii="宋体" w:hAnsi="宋体" w:eastAsia="宋体" w:cs="宋体"/>
                <w:color w:val="auto"/>
                <w:sz w:val="21"/>
                <w:szCs w:val="21"/>
                <w:highlight w:val="none"/>
              </w:rPr>
              <w:t xml:space="preserve">较贴合实际且可操作性较强，人员机械配置合理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具备较好实操性，得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方案一般</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覆盖基础通用内容，项目针对性一般，人员机械配置</w:t>
            </w:r>
            <w:r>
              <w:rPr>
                <w:rFonts w:hint="eastAsia" w:ascii="宋体" w:hAnsi="宋体" w:eastAsia="宋体" w:cs="宋体"/>
                <w:color w:val="auto"/>
                <w:sz w:val="21"/>
                <w:szCs w:val="21"/>
                <w:highlight w:val="none"/>
                <w:lang w:val="en-US" w:eastAsia="zh-CN"/>
              </w:rPr>
              <w:t xml:space="preserve">基本满足</w:t>
            </w:r>
            <w:r>
              <w:rPr>
                <w:rFonts w:hint="eastAsia" w:ascii="宋体" w:hAnsi="宋体" w:eastAsia="宋体" w:cs="宋体"/>
                <w:color w:val="auto"/>
                <w:sz w:val="21"/>
                <w:szCs w:val="21"/>
                <w:highlight w:val="none"/>
              </w:rPr>
              <w:t xml:space="preserve">，实操性普通，得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4）方案内容简单，无针对性，得1分</w:t>
            </w:r>
            <w:r>
              <w:rPr>
                <w:rFonts w:hint="eastAsia" w:ascii="宋体" w:hAnsi="宋体" w:eastAsia="宋体" w:cs="宋体"/>
                <w:color w:val="auto"/>
                <w:sz w:val="21"/>
                <w:szCs w:val="21"/>
                <w:highlight w:val="none"/>
                <w:lang w:eastAsia="zh-CN"/>
              </w:rPr>
              <w:t xml:space="preserve">；</w:t>
            </w:r>
            <w:r/>
          </w:p>
          <w:p>
            <w:pPr>
              <w:jc w:val="left"/>
              <w:rPr>
                <w:rFonts w:hint="default"/>
                <w:color w:val="auto"/>
                <w:highlight w:val="none"/>
                <w:lang w:val="en-US"/>
              </w:rPr>
            </w:pPr>
            <w:r>
              <w:rPr>
                <w:rFonts w:hint="eastAsia" w:ascii="宋体" w:hAnsi="宋体" w:eastAsia="宋体" w:cs="宋体"/>
                <w:color w:val="auto"/>
                <w:sz w:val="21"/>
                <w:szCs w:val="21"/>
                <w:highlight w:val="none"/>
                <w:lang w:val="en-US" w:eastAsia="zh-CN"/>
              </w:rPr>
              <w:t xml:space="preserve">（5）未提供方案的不得分；</w:t>
            </w:r>
            <w:r/>
          </w:p>
        </w:tc>
        <w:tc>
          <w:tcPr>
            <w:tcBorders>
              <w:top w:val="single" w:color="999999" w:sz="6" w:space="0"/>
              <w:left w:val="single" w:color="999999" w:sz="6" w:space="0"/>
              <w:bottom w:val="single" w:color="999999" w:sz="6" w:space="0"/>
              <w:right w:val="single" w:color="999999" w:sz="6" w:space="0"/>
            </w:tcBorders>
            <w:tcW w:w="567"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Borders>
              <w:top w:val="single" w:color="999999" w:sz="6" w:space="0"/>
              <w:left w:val="single" w:color="999999" w:sz="6" w:space="0"/>
              <w:bottom w:val="single" w:color="999999" w:sz="6" w:space="0"/>
              <w:right w:val="single" w:color="808080" w:sz="4" w:space="0"/>
            </w:tcBorders>
            <w:tcW w:w="821" w:type="dxa"/>
            <w:vAlign w:val="center"/>
            <w:textDirection w:val="lrTb"/>
            <w:noWrap w:val="false"/>
          </w:tcPr>
          <w:p>
            <w:pPr>
              <w:jc w:val="center"/>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主观分</w:t>
            </w:r>
            <w:r/>
          </w:p>
        </w:tc>
      </w:tr>
      <w:tr>
        <w:trPr>
          <w:trHeight w:val="567"/>
        </w:trPr>
        <w:tc>
          <w:tcPr>
            <w:tcBorders>
              <w:top w:val="single" w:color="999999" w:sz="6" w:space="0"/>
              <w:left w:val="single" w:color="808080" w:sz="4" w:space="0"/>
              <w:bottom w:val="single" w:color="999999" w:sz="6" w:space="0"/>
              <w:right w:val="single" w:color="999999" w:sz="6" w:space="0"/>
            </w:tcBorders>
            <w:tcW w:w="685" w:type="dxa"/>
            <w:vAlign w:val="center"/>
            <w:textDirection w:val="lrTb"/>
            <w:noWrap w:val="false"/>
          </w:tcPr>
          <w:p>
            <w:pPr>
              <w:jc w:val="center"/>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2.2</w:t>
            </w:r>
            <w:r/>
          </w:p>
        </w:tc>
        <w:tc>
          <w:tcPr>
            <w:tcBorders>
              <w:top w:val="single" w:color="999999" w:sz="6" w:space="0"/>
              <w:left w:val="single" w:color="999999" w:sz="6" w:space="0"/>
              <w:bottom w:val="single" w:color="999999" w:sz="6" w:space="0"/>
              <w:right w:val="single" w:color="999999" w:sz="6" w:space="0"/>
            </w:tcBorders>
            <w:tcW w:w="992" w:type="dxa"/>
            <w:vAlign w:val="center"/>
            <w:textDirection w:val="lrTb"/>
            <w:noWrap w:val="false"/>
          </w:tcPr>
          <w:p>
            <w:pPr>
              <w:jc w:val="center"/>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绿化养护计划及技术方案</w:t>
            </w:r>
            <w:r/>
          </w:p>
        </w:tc>
        <w:tc>
          <w:tcPr>
            <w:tcBorders>
              <w:top w:val="single" w:color="999999" w:sz="6" w:space="0"/>
              <w:left w:val="single" w:color="999999" w:sz="6" w:space="0"/>
              <w:bottom w:val="single" w:color="999999" w:sz="6" w:space="0"/>
              <w:right w:val="single" w:color="999999" w:sz="6" w:space="0"/>
            </w:tcBorders>
            <w:tcW w:w="6647" w:type="dxa"/>
            <w:vAlign w:val="center"/>
            <w:textDirection w:val="lrTb"/>
            <w:noWrap w:val="false"/>
          </w:tcPr>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评审依据：投标人专项绿化养护实施计划、四季养护技术、病虫害防治、修剪浇灌等专项技术方案</w:t>
            </w:r>
            <w:r>
              <w:rPr>
                <w:rFonts w:hint="eastAsia" w:ascii="宋体" w:hAnsi="宋体" w:eastAsia="宋体" w:cs="宋体"/>
                <w:color w:val="auto"/>
                <w:sz w:val="21"/>
                <w:szCs w:val="21"/>
                <w:highlight w:val="none"/>
                <w:lang w:eastAsia="zh-CN"/>
              </w:rPr>
              <w:t xml:space="preserve">。</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养护方案详实完整</w:t>
            </w:r>
            <w:r>
              <w:rPr>
                <w:rFonts w:hint="eastAsia" w:ascii="宋体" w:hAnsi="宋体" w:eastAsia="宋体" w:cs="宋体"/>
                <w:color w:val="auto"/>
                <w:sz w:val="21"/>
                <w:szCs w:val="21"/>
                <w:highlight w:val="none"/>
                <w:lang w:val="en-US"/>
              </w:rPr>
              <w:t xml:space="preserve">、涵盖内容</w:t>
            </w:r>
            <w:r>
              <w:rPr>
                <w:rFonts w:hint="eastAsia" w:ascii="宋体" w:hAnsi="宋体" w:eastAsia="宋体" w:cs="宋体"/>
                <w:color w:val="auto"/>
                <w:sz w:val="21"/>
                <w:szCs w:val="21"/>
                <w:highlight w:val="none"/>
                <w:lang w:val="en-US" w:eastAsia="zh-CN"/>
              </w:rPr>
              <w:t xml:space="preserve">科学、细致、全面，完全匹配本项目苗木、场地现状，养护周期、技术措施详实科学，实操落地性强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养护方案</w:t>
            </w:r>
            <w:r>
              <w:rPr>
                <w:rFonts w:hint="eastAsia" w:ascii="宋体" w:hAnsi="宋体" w:eastAsia="宋体" w:cs="宋体"/>
                <w:color w:val="auto"/>
                <w:sz w:val="21"/>
                <w:szCs w:val="21"/>
                <w:highlight w:val="none"/>
              </w:rPr>
              <w:t xml:space="preserve">较</w:t>
            </w:r>
            <w:r>
              <w:rPr>
                <w:rFonts w:hint="eastAsia" w:ascii="宋体" w:hAnsi="宋体" w:eastAsia="宋体" w:cs="宋体"/>
                <w:color w:val="auto"/>
                <w:sz w:val="21"/>
                <w:szCs w:val="21"/>
                <w:highlight w:val="none"/>
                <w:lang w:val="en-US" w:eastAsia="zh-CN"/>
              </w:rPr>
              <w:t xml:space="preserve">完整</w:t>
            </w:r>
            <w:r>
              <w:rPr>
                <w:rFonts w:hint="eastAsia" w:ascii="宋体" w:hAnsi="宋体" w:eastAsia="宋体" w:cs="宋体"/>
                <w:color w:val="auto"/>
                <w:sz w:val="21"/>
                <w:szCs w:val="21"/>
                <w:highlight w:val="none"/>
              </w:rPr>
              <w:t xml:space="preserve">、涵盖内容较</w:t>
            </w:r>
            <w:r>
              <w:rPr>
                <w:rFonts w:hint="eastAsia" w:ascii="宋体" w:hAnsi="宋体" w:eastAsia="宋体" w:cs="宋体"/>
                <w:color w:val="auto"/>
                <w:sz w:val="21"/>
                <w:szCs w:val="21"/>
                <w:highlight w:val="none"/>
                <w:lang w:val="en-US" w:eastAsia="zh-CN"/>
              </w:rPr>
              <w:t xml:space="preserve">科学、全面，贴合项目，养护技术、作业计划较为完整，具备可落地性</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养护方案一般</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覆盖基础通用内容，项目针对性一般</w:t>
            </w:r>
            <w:r>
              <w:rPr>
                <w:rFonts w:hint="eastAsia" w:ascii="宋体" w:hAnsi="宋体" w:eastAsia="宋体" w:cs="宋体"/>
                <w:color w:val="auto"/>
                <w:sz w:val="21"/>
                <w:szCs w:val="21"/>
                <w:highlight w:val="none"/>
                <w:lang w:val="en-US" w:eastAsia="zh-CN"/>
              </w:rPr>
              <w:t xml:space="preserve">，实操性一般</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4）养护方案内容简单，无针对性，得1分</w:t>
            </w:r>
            <w:r>
              <w:rPr>
                <w:rFonts w:hint="eastAsia" w:ascii="宋体" w:hAnsi="宋体" w:eastAsia="宋体" w:cs="宋体"/>
                <w:color w:val="auto"/>
                <w:sz w:val="21"/>
                <w:szCs w:val="21"/>
                <w:highlight w:val="none"/>
                <w:lang w:eastAsia="zh-CN"/>
              </w:rPr>
              <w:t xml:space="preserve">；</w:t>
            </w:r>
            <w:r/>
          </w:p>
          <w:p>
            <w:pPr>
              <w:jc w:val="lef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（5）未提供方案的不得分；</w:t>
            </w:r>
            <w:r/>
          </w:p>
        </w:tc>
        <w:tc>
          <w:tcPr>
            <w:tcBorders>
              <w:top w:val="single" w:color="999999" w:sz="6" w:space="0"/>
              <w:left w:val="single" w:color="999999" w:sz="6" w:space="0"/>
              <w:bottom w:val="single" w:color="999999" w:sz="6" w:space="0"/>
              <w:right w:val="single" w:color="999999" w:sz="6" w:space="0"/>
            </w:tcBorders>
            <w:tcW w:w="567"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Borders>
              <w:top w:val="single" w:color="999999" w:sz="6" w:space="0"/>
              <w:left w:val="single" w:color="999999" w:sz="6" w:space="0"/>
              <w:bottom w:val="single" w:color="999999" w:sz="6" w:space="0"/>
              <w:right w:val="single" w:color="808080" w:sz="4" w:space="0"/>
            </w:tcBorders>
            <w:tcW w:w="821" w:type="dxa"/>
            <w:vAlign w:val="center"/>
            <w:textDirection w:val="lrTb"/>
            <w:noWrap w:val="false"/>
          </w:tcPr>
          <w:p>
            <w:pPr>
              <w:jc w:val="center"/>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主观分</w:t>
            </w:r>
            <w:r/>
          </w:p>
        </w:tc>
      </w:tr>
      <w:tr>
        <w:trPr>
          <w:trHeight w:val="90"/>
        </w:trPr>
        <w:tc>
          <w:tcPr>
            <w:tcBorders>
              <w:top w:val="single" w:color="999999" w:sz="6" w:space="0"/>
              <w:left w:val="single" w:color="808080" w:sz="4" w:space="0"/>
              <w:bottom w:val="single" w:color="999999" w:sz="6" w:space="0"/>
              <w:right w:val="single" w:color="999999" w:sz="6" w:space="0"/>
            </w:tcBorders>
            <w:tcW w:w="68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2.</w:t>
            </w:r>
            <w:r>
              <w:rPr>
                <w:rFonts w:hint="eastAsia" w:ascii="宋体" w:hAnsi="宋体" w:eastAsia="宋体" w:cs="宋体"/>
                <w:color w:val="auto"/>
                <w:sz w:val="21"/>
                <w:szCs w:val="21"/>
                <w:highlight w:val="none"/>
                <w:lang w:val="en-US" w:eastAsia="zh-CN"/>
              </w:rPr>
              <w:t xml:space="preserve">3</w:t>
            </w:r>
            <w:r/>
          </w:p>
        </w:tc>
        <w:tc>
          <w:tcPr>
            <w:tcBorders>
              <w:top w:val="single" w:color="999999" w:sz="6" w:space="0"/>
              <w:left w:val="single" w:color="999999" w:sz="6" w:space="0"/>
              <w:bottom w:val="single" w:color="999999" w:sz="6" w:space="0"/>
              <w:right w:val="single" w:color="999999" w:sz="6" w:space="0"/>
            </w:tcBorders>
            <w:tcW w:w="992" w:type="dxa"/>
            <w:vAlign w:val="center"/>
            <w:textDirection w:val="lrTb"/>
            <w:noWrap w:val="false"/>
          </w:tcPr>
          <w:p>
            <w:pPr>
              <w:jc w:val="center"/>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 xml:space="preserve">质量管理方案</w:t>
            </w:r>
            <w:r/>
          </w:p>
        </w:tc>
        <w:tc>
          <w:tcPr>
            <w:tcBorders>
              <w:top w:val="single" w:color="999999" w:sz="6" w:space="0"/>
              <w:left w:val="single" w:color="999999" w:sz="6" w:space="0"/>
              <w:bottom w:val="single" w:color="999999" w:sz="6" w:space="0"/>
              <w:right w:val="single" w:color="999999" w:sz="6" w:space="0"/>
            </w:tcBorders>
            <w:tcW w:w="6647"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评审依据：项目绿化养护全过程质量管控、巡检、整改、验收、质量保障机制方案。</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质量管理方案详实完整</w:t>
            </w:r>
            <w:r>
              <w:rPr>
                <w:rFonts w:hint="eastAsia" w:ascii="宋体" w:hAnsi="宋体" w:eastAsia="宋体" w:cs="宋体"/>
                <w:color w:val="auto"/>
                <w:sz w:val="21"/>
                <w:szCs w:val="21"/>
                <w:highlight w:val="none"/>
                <w:lang w:val="en-US"/>
              </w:rPr>
              <w:t xml:space="preserve">、涵盖内容</w:t>
            </w:r>
            <w:r>
              <w:rPr>
                <w:rFonts w:hint="eastAsia" w:ascii="宋体" w:hAnsi="宋体" w:eastAsia="宋体" w:cs="宋体"/>
                <w:color w:val="auto"/>
                <w:sz w:val="21"/>
                <w:szCs w:val="21"/>
                <w:highlight w:val="none"/>
                <w:lang w:val="en-US" w:eastAsia="zh-CN"/>
              </w:rPr>
              <w:t xml:space="preserve">科学、细致、全面，覆盖事前-事中-事后全流程，巡检、整改、考核机制贴合项目，实操落地性强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质量管理方案</w:t>
            </w:r>
            <w:r>
              <w:rPr>
                <w:rFonts w:hint="eastAsia" w:ascii="宋体" w:hAnsi="宋体" w:eastAsia="宋体" w:cs="宋体"/>
                <w:color w:val="auto"/>
                <w:sz w:val="21"/>
                <w:szCs w:val="21"/>
                <w:highlight w:val="none"/>
              </w:rPr>
              <w:t xml:space="preserve">较</w:t>
            </w:r>
            <w:r>
              <w:rPr>
                <w:rFonts w:hint="eastAsia" w:ascii="宋体" w:hAnsi="宋体" w:eastAsia="宋体" w:cs="宋体"/>
                <w:color w:val="auto"/>
                <w:sz w:val="21"/>
                <w:szCs w:val="21"/>
                <w:highlight w:val="none"/>
                <w:lang w:val="en-US" w:eastAsia="zh-CN"/>
              </w:rPr>
              <w:t xml:space="preserve">完整</w:t>
            </w:r>
            <w:r>
              <w:rPr>
                <w:rFonts w:hint="eastAsia" w:ascii="宋体" w:hAnsi="宋体" w:eastAsia="宋体" w:cs="宋体"/>
                <w:color w:val="auto"/>
                <w:sz w:val="21"/>
                <w:szCs w:val="21"/>
                <w:highlight w:val="none"/>
              </w:rPr>
              <w:t xml:space="preserve">、涵盖内容较</w:t>
            </w:r>
            <w:r>
              <w:rPr>
                <w:rFonts w:hint="eastAsia" w:ascii="宋体" w:hAnsi="宋体" w:eastAsia="宋体" w:cs="宋体"/>
                <w:color w:val="auto"/>
                <w:sz w:val="21"/>
                <w:szCs w:val="21"/>
                <w:highlight w:val="none"/>
                <w:lang w:val="en-US" w:eastAsia="zh-CN"/>
              </w:rPr>
              <w:t xml:space="preserve">科学、全面，管控措施较贴合项目，落地性较好</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质量管理方案一般</w:t>
            </w:r>
            <w:r>
              <w:rPr>
                <w:rFonts w:hint="eastAsia" w:ascii="宋体" w:hAnsi="宋体" w:eastAsia="宋体" w:cs="宋体"/>
                <w:color w:val="auto"/>
                <w:sz w:val="21"/>
                <w:szCs w:val="21"/>
                <w:highlight w:val="none"/>
              </w:rPr>
              <w:t xml:space="preserve">、覆盖基础通用内容，项目针对性一般</w:t>
            </w:r>
            <w:r>
              <w:rPr>
                <w:rFonts w:hint="eastAsia" w:ascii="宋体" w:hAnsi="宋体" w:eastAsia="宋体" w:cs="宋体"/>
                <w:color w:val="auto"/>
                <w:sz w:val="21"/>
                <w:szCs w:val="21"/>
                <w:highlight w:val="none"/>
                <w:lang w:val="en-US" w:eastAsia="zh-CN"/>
              </w:rPr>
              <w:t xml:space="preserve">，实操性一般</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4）质量管理方案内容简单，无针对性，得1分</w:t>
            </w:r>
            <w:r>
              <w:rPr>
                <w:rFonts w:hint="eastAsia" w:ascii="宋体" w:hAnsi="宋体" w:eastAsia="宋体" w:cs="宋体"/>
                <w:color w:val="auto"/>
                <w:sz w:val="21"/>
                <w:szCs w:val="21"/>
                <w:highlight w:val="none"/>
                <w:lang w:eastAsia="zh-CN"/>
              </w:rPr>
              <w:t xml:space="preserve">；</w:t>
            </w:r>
            <w:r/>
          </w:p>
          <w:p>
            <w:pPr>
              <w:jc w:val="lef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（5）未提供方案的不得分；</w:t>
            </w:r>
            <w:r/>
          </w:p>
        </w:tc>
        <w:tc>
          <w:tcPr>
            <w:tcBorders>
              <w:top w:val="single" w:color="999999" w:sz="6" w:space="0"/>
              <w:left w:val="single" w:color="999999" w:sz="6" w:space="0"/>
              <w:bottom w:val="single" w:color="999999" w:sz="6" w:space="0"/>
              <w:right w:val="single" w:color="999999" w:sz="6" w:space="0"/>
            </w:tcBorders>
            <w:tcW w:w="567"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Borders>
              <w:top w:val="single" w:color="999999" w:sz="6" w:space="0"/>
              <w:left w:val="single" w:color="999999" w:sz="6" w:space="0"/>
              <w:bottom w:val="single" w:color="999999" w:sz="6" w:space="0"/>
              <w:right w:val="single" w:color="808080" w:sz="4" w:space="0"/>
            </w:tcBorders>
            <w:tcW w:w="821" w:type="dxa"/>
            <w:vAlign w:val="center"/>
            <w:textDirection w:val="lrTb"/>
            <w:noWrap w:val="false"/>
          </w:tcPr>
          <w:p>
            <w:pPr>
              <w:jc w:val="center"/>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r>
            <w:r/>
          </w:p>
          <w:p>
            <w:pPr>
              <w:jc w:val="center"/>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r>
            <w:r/>
          </w:p>
          <w:p>
            <w:pPr>
              <w:jc w:val="center"/>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r>
            <w:r/>
          </w:p>
          <w:p>
            <w:pPr>
              <w:jc w:val="center"/>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主观分</w:t>
            </w:r>
            <w:r/>
          </w:p>
        </w:tc>
      </w:tr>
      <w:tr>
        <w:trPr>
          <w:trHeight w:val="567"/>
        </w:trPr>
        <w:tc>
          <w:tcPr>
            <w:tcBorders>
              <w:top w:val="single" w:color="999999" w:sz="6" w:space="0"/>
              <w:left w:val="single" w:color="808080" w:sz="4" w:space="0"/>
              <w:bottom w:val="single" w:color="999999" w:sz="6" w:space="0"/>
              <w:right w:val="single" w:color="999999" w:sz="6" w:space="0"/>
            </w:tcBorders>
            <w:tcW w:w="68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2.4</w:t>
            </w:r>
            <w:r/>
          </w:p>
        </w:tc>
        <w:tc>
          <w:tcPr>
            <w:shd w:val="clear" w:color="auto" w:fill="auto"/>
            <w:tcBorders>
              <w:top w:val="single" w:color="999999" w:sz="6" w:space="0"/>
              <w:left w:val="single" w:color="999999" w:sz="6" w:space="0"/>
              <w:bottom w:val="single" w:color="999999" w:sz="6" w:space="0"/>
              <w:right w:val="single" w:color="999999" w:sz="6" w:space="0"/>
            </w:tcBorders>
            <w:tcW w:w="992"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人员管理方案</w:t>
            </w:r>
            <w:r/>
          </w:p>
        </w:tc>
        <w:tc>
          <w:tcPr>
            <w:shd w:val="clear" w:color="auto" w:fill="auto"/>
            <w:tcBorders>
              <w:top w:val="single" w:color="999999" w:sz="6" w:space="0"/>
              <w:left w:val="single" w:color="999999" w:sz="6" w:space="0"/>
              <w:bottom w:val="single" w:color="999999" w:sz="6" w:space="0"/>
              <w:right w:val="single" w:color="999999" w:sz="6" w:space="0"/>
            </w:tcBorders>
            <w:tcW w:w="6647"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评审依据：项目驻场养护团队配置、岗位职责、培训、考勤、考核、人员储备管理方案。</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方案详实完整</w:t>
            </w:r>
            <w:r>
              <w:rPr>
                <w:rFonts w:hint="eastAsia" w:ascii="宋体" w:hAnsi="宋体" w:eastAsia="宋体" w:cs="宋体"/>
                <w:color w:val="auto"/>
                <w:sz w:val="21"/>
                <w:szCs w:val="21"/>
                <w:highlight w:val="none"/>
                <w:lang w:val="en-US"/>
              </w:rPr>
              <w:t xml:space="preserve">、涵盖内容</w:t>
            </w:r>
            <w:r>
              <w:rPr>
                <w:rFonts w:hint="eastAsia" w:ascii="宋体" w:hAnsi="宋体" w:eastAsia="宋体" w:cs="宋体"/>
                <w:color w:val="auto"/>
                <w:sz w:val="21"/>
                <w:szCs w:val="21"/>
                <w:highlight w:val="none"/>
                <w:lang w:val="en-US" w:eastAsia="zh-CN"/>
              </w:rPr>
              <w:t xml:space="preserve">科学、细致、全面，项目人员架构匹配养护规模，岗位职责清晰，培训、考核、替补保障机制完善，完全适配项目需求</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方案</w:t>
            </w:r>
            <w:r>
              <w:rPr>
                <w:rFonts w:hint="eastAsia" w:ascii="宋体" w:hAnsi="宋体" w:eastAsia="宋体" w:cs="宋体"/>
                <w:color w:val="auto"/>
                <w:sz w:val="21"/>
                <w:szCs w:val="21"/>
                <w:highlight w:val="none"/>
              </w:rPr>
              <w:t xml:space="preserve">较</w:t>
            </w:r>
            <w:r>
              <w:rPr>
                <w:rFonts w:hint="eastAsia" w:ascii="宋体" w:hAnsi="宋体" w:eastAsia="宋体" w:cs="宋体"/>
                <w:color w:val="auto"/>
                <w:sz w:val="21"/>
                <w:szCs w:val="21"/>
                <w:highlight w:val="none"/>
                <w:lang w:val="en-US" w:eastAsia="zh-CN"/>
              </w:rPr>
              <w:t xml:space="preserve">完整</w:t>
            </w:r>
            <w:r>
              <w:rPr>
                <w:rFonts w:hint="eastAsia" w:ascii="宋体" w:hAnsi="宋体" w:eastAsia="宋体" w:cs="宋体"/>
                <w:color w:val="auto"/>
                <w:sz w:val="21"/>
                <w:szCs w:val="21"/>
                <w:highlight w:val="none"/>
              </w:rPr>
              <w:t xml:space="preserve">、涵盖内容较</w:t>
            </w:r>
            <w:r>
              <w:rPr>
                <w:rFonts w:hint="eastAsia" w:ascii="宋体" w:hAnsi="宋体" w:eastAsia="宋体" w:cs="宋体"/>
                <w:color w:val="auto"/>
                <w:sz w:val="21"/>
                <w:szCs w:val="21"/>
                <w:highlight w:val="none"/>
                <w:lang w:val="en-US" w:eastAsia="zh-CN"/>
              </w:rPr>
              <w:t xml:space="preserve">科学、全面，人员管理保障机制较完善，</w:t>
            </w:r>
            <w:r>
              <w:rPr>
                <w:rFonts w:hint="eastAsia" w:ascii="宋体" w:hAnsi="宋体" w:eastAsia="宋体" w:cs="宋体"/>
                <w:color w:val="auto"/>
                <w:sz w:val="21"/>
                <w:szCs w:val="21"/>
                <w:highlight w:val="none"/>
              </w:rPr>
              <w:t xml:space="preserve">较贴合实际且可操作性较强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方案一般</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覆盖基础通用内容，项目针对性一般，</w:t>
            </w:r>
            <w:r>
              <w:rPr>
                <w:rFonts w:hint="eastAsia" w:ascii="宋体" w:hAnsi="宋体" w:eastAsia="宋体" w:cs="宋体"/>
                <w:color w:val="auto"/>
                <w:sz w:val="21"/>
                <w:szCs w:val="21"/>
                <w:highlight w:val="none"/>
                <w:lang w:val="en-US" w:eastAsia="zh-CN"/>
              </w:rPr>
              <w:t xml:space="preserve">人员管理保障机制基本满足</w:t>
            </w:r>
            <w:r>
              <w:rPr>
                <w:rFonts w:hint="eastAsia" w:ascii="宋体" w:hAnsi="宋体" w:eastAsia="宋体" w:cs="宋体"/>
                <w:color w:val="auto"/>
                <w:sz w:val="21"/>
                <w:szCs w:val="21"/>
                <w:highlight w:val="none"/>
              </w:rPr>
              <w:t xml:space="preserve">，实操性普通，得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4）方案内容简单，无针对性，得1分</w:t>
            </w:r>
            <w:r>
              <w:rPr>
                <w:rFonts w:hint="eastAsia" w:ascii="宋体" w:hAnsi="宋体" w:eastAsia="宋体" w:cs="宋体"/>
                <w:color w:val="auto"/>
                <w:sz w:val="21"/>
                <w:szCs w:val="21"/>
                <w:highlight w:val="none"/>
                <w:lang w:eastAsia="zh-CN"/>
              </w:rPr>
              <w:t xml:space="preserve">；</w:t>
            </w:r>
            <w:r/>
          </w:p>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（5）未提供方案的不得分；</w:t>
            </w:r>
            <w:r/>
          </w:p>
        </w:tc>
        <w:tc>
          <w:tcPr>
            <w:shd w:val="clear" w:color="auto" w:fill="auto"/>
            <w:tcBorders>
              <w:top w:val="single" w:color="999999" w:sz="6" w:space="0"/>
              <w:left w:val="single" w:color="999999" w:sz="6" w:space="0"/>
              <w:bottom w:val="single" w:color="999999" w:sz="6" w:space="0"/>
              <w:right w:val="single" w:color="999999" w:sz="6" w:space="0"/>
            </w:tcBorders>
            <w:tcW w:w="567"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shd w:val="clear" w:color="auto" w:fill="auto"/>
            <w:tcBorders>
              <w:top w:val="single" w:color="999999" w:sz="6" w:space="0"/>
              <w:left w:val="single" w:color="999999" w:sz="6" w:space="0"/>
              <w:bottom w:val="single" w:color="999999" w:sz="6" w:space="0"/>
              <w:right w:val="single" w:color="808080" w:sz="4" w:space="0"/>
            </w:tcBorders>
            <w:tcW w:w="821" w:type="dxa"/>
            <w:vAlign w:val="center"/>
            <w:textDirection w:val="lrTb"/>
            <w:noWrap w:val="false"/>
          </w:tcPr>
          <w:p>
            <w:pPr>
              <w:jc w:val="center"/>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r>
            <w:r/>
          </w:p>
          <w:p>
            <w:pPr>
              <w:jc w:val="center"/>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r>
            <w:r/>
          </w:p>
          <w:p>
            <w:pPr>
              <w:jc w:val="center"/>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r>
            <w:r/>
          </w:p>
          <w:p>
            <w:pPr>
              <w:jc w:val="center"/>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主观分</w:t>
            </w:r>
            <w:r/>
          </w:p>
        </w:tc>
      </w:tr>
      <w:tr>
        <w:trPr>
          <w:trHeight w:val="567"/>
        </w:trPr>
        <w:tc>
          <w:tcPr>
            <w:tcBorders>
              <w:top w:val="single" w:color="999999" w:sz="6" w:space="0"/>
              <w:left w:val="single" w:color="808080" w:sz="4" w:space="0"/>
              <w:bottom w:val="single" w:color="999999" w:sz="6" w:space="0"/>
              <w:right w:val="single" w:color="999999" w:sz="6" w:space="0"/>
            </w:tcBorders>
            <w:tcW w:w="68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2.5</w:t>
            </w:r>
            <w:r/>
          </w:p>
        </w:tc>
        <w:tc>
          <w:tcPr>
            <w:tcBorders>
              <w:top w:val="single" w:color="999999" w:sz="6" w:space="0"/>
              <w:left w:val="single" w:color="999999" w:sz="6" w:space="0"/>
              <w:bottom w:val="single" w:color="999999" w:sz="6" w:space="0"/>
              <w:right w:val="single" w:color="999999" w:sz="6" w:space="0"/>
            </w:tcBorders>
            <w:tcW w:w="992"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应急管理方案</w:t>
            </w:r>
            <w:r/>
          </w:p>
        </w:tc>
        <w:tc>
          <w:tcPr>
            <w:tcBorders>
              <w:top w:val="single" w:color="999999" w:sz="6" w:space="0"/>
              <w:left w:val="single" w:color="999999" w:sz="6" w:space="0"/>
              <w:bottom w:val="single" w:color="999999" w:sz="6" w:space="0"/>
              <w:right w:val="single" w:color="999999" w:sz="6" w:space="0"/>
            </w:tcBorders>
            <w:tcW w:w="6647"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评审依据：极端天气、苗木病害、倒伏抢险、污染、突发损坏等绿化养护专项应急处置方案。</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方案详实完整</w:t>
            </w:r>
            <w:r>
              <w:rPr>
                <w:rFonts w:hint="eastAsia" w:ascii="宋体" w:hAnsi="宋体" w:eastAsia="宋体" w:cs="宋体"/>
                <w:color w:val="auto"/>
                <w:sz w:val="21"/>
                <w:szCs w:val="21"/>
                <w:highlight w:val="none"/>
                <w:lang w:val="en-US"/>
              </w:rPr>
              <w:t xml:space="preserve">、涵盖内容</w:t>
            </w:r>
            <w:r>
              <w:rPr>
                <w:rFonts w:hint="eastAsia" w:ascii="宋体" w:hAnsi="宋体" w:eastAsia="宋体" w:cs="宋体"/>
                <w:color w:val="auto"/>
                <w:sz w:val="21"/>
                <w:szCs w:val="21"/>
                <w:highlight w:val="none"/>
                <w:lang w:val="en-US" w:eastAsia="zh-CN"/>
              </w:rPr>
              <w:t xml:space="preserve">科学、细致、全面，</w:t>
            </w:r>
            <w:r>
              <w:rPr>
                <w:rFonts w:hint="eastAsia" w:ascii="宋体" w:hAnsi="宋体" w:eastAsia="宋体" w:cs="宋体"/>
                <w:color w:val="auto"/>
                <w:sz w:val="21"/>
                <w:szCs w:val="21"/>
                <w:highlight w:val="none"/>
                <w:lang w:val="en-US"/>
              </w:rPr>
              <w:t xml:space="preserve">应急场景全覆盖，处置流程、物资、人员、抢险机械配置贴合项目，响应机制清晰，实操性强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方案</w:t>
            </w:r>
            <w:r>
              <w:rPr>
                <w:rFonts w:hint="eastAsia" w:ascii="宋体" w:hAnsi="宋体" w:eastAsia="宋体" w:cs="宋体"/>
                <w:color w:val="auto"/>
                <w:sz w:val="21"/>
                <w:szCs w:val="21"/>
                <w:highlight w:val="none"/>
              </w:rPr>
              <w:t xml:space="preserve">较</w:t>
            </w:r>
            <w:r>
              <w:rPr>
                <w:rFonts w:hint="eastAsia" w:ascii="宋体" w:hAnsi="宋体" w:eastAsia="宋体" w:cs="宋体"/>
                <w:color w:val="auto"/>
                <w:sz w:val="21"/>
                <w:szCs w:val="21"/>
                <w:highlight w:val="none"/>
                <w:lang w:val="en-US" w:eastAsia="zh-CN"/>
              </w:rPr>
              <w:t xml:space="preserve">完整</w:t>
            </w:r>
            <w:r>
              <w:rPr>
                <w:rFonts w:hint="eastAsia" w:ascii="宋体" w:hAnsi="宋体" w:eastAsia="宋体" w:cs="宋体"/>
                <w:color w:val="auto"/>
                <w:sz w:val="21"/>
                <w:szCs w:val="21"/>
                <w:highlight w:val="none"/>
              </w:rPr>
              <w:t xml:space="preserve">、涵盖内容较</w:t>
            </w:r>
            <w:r>
              <w:rPr>
                <w:rFonts w:hint="eastAsia" w:ascii="宋体" w:hAnsi="宋体" w:eastAsia="宋体" w:cs="宋体"/>
                <w:color w:val="auto"/>
                <w:sz w:val="21"/>
                <w:szCs w:val="21"/>
                <w:highlight w:val="none"/>
                <w:lang w:val="en-US" w:eastAsia="zh-CN"/>
              </w:rPr>
              <w:t xml:space="preserve">科学、全面，</w:t>
            </w:r>
            <w:r>
              <w:rPr>
                <w:rFonts w:hint="eastAsia" w:ascii="宋体" w:hAnsi="宋体" w:eastAsia="宋体" w:cs="宋体"/>
                <w:color w:val="auto"/>
                <w:sz w:val="21"/>
                <w:szCs w:val="21"/>
                <w:highlight w:val="none"/>
              </w:rPr>
              <w:t xml:space="preserve">覆盖主要应急场景，处置措施完整，具备较好落地性，得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方案一般</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覆盖基础通用内容，项目针对性一般，处置措施</w:t>
            </w:r>
            <w:r>
              <w:rPr>
                <w:rFonts w:hint="eastAsia" w:ascii="宋体" w:hAnsi="宋体" w:eastAsia="宋体" w:cs="宋体"/>
                <w:color w:val="auto"/>
                <w:sz w:val="21"/>
                <w:szCs w:val="21"/>
                <w:highlight w:val="none"/>
                <w:lang w:val="en-US" w:eastAsia="zh-CN"/>
              </w:rPr>
              <w:t xml:space="preserve">基本满足</w:t>
            </w:r>
            <w:r>
              <w:rPr>
                <w:rFonts w:hint="eastAsia" w:ascii="宋体" w:hAnsi="宋体" w:eastAsia="宋体" w:cs="宋体"/>
                <w:color w:val="auto"/>
                <w:sz w:val="21"/>
                <w:szCs w:val="21"/>
                <w:highlight w:val="none"/>
              </w:rPr>
              <w:t xml:space="preserve">，实操性普通，得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4）方案内容简单，无针对性，得1分</w:t>
            </w:r>
            <w:r>
              <w:rPr>
                <w:rFonts w:hint="eastAsia" w:ascii="宋体" w:hAnsi="宋体" w:eastAsia="宋体" w:cs="宋体"/>
                <w:color w:val="auto"/>
                <w:sz w:val="21"/>
                <w:szCs w:val="21"/>
                <w:highlight w:val="none"/>
                <w:lang w:eastAsia="zh-CN"/>
              </w:rPr>
              <w:t xml:space="preserve">；</w:t>
            </w:r>
            <w:r/>
          </w:p>
          <w:p>
            <w:pPr>
              <w:jc w:val="lef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（5）未提供方案的不得分；</w:t>
            </w:r>
            <w:r/>
          </w:p>
        </w:tc>
        <w:tc>
          <w:tcPr>
            <w:tcBorders>
              <w:top w:val="single" w:color="999999" w:sz="6" w:space="0"/>
              <w:left w:val="single" w:color="999999" w:sz="6" w:space="0"/>
              <w:bottom w:val="single" w:color="999999" w:sz="6" w:space="0"/>
              <w:right w:val="single" w:color="999999" w:sz="6" w:space="0"/>
            </w:tcBorders>
            <w:tcW w:w="567"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Borders>
              <w:top w:val="single" w:color="999999" w:sz="6" w:space="0"/>
              <w:left w:val="single" w:color="999999" w:sz="6" w:space="0"/>
              <w:bottom w:val="single" w:color="999999" w:sz="6" w:space="0"/>
              <w:right w:val="single" w:color="808080" w:sz="4" w:space="0"/>
            </w:tcBorders>
            <w:tcW w:w="821" w:type="dxa"/>
            <w:vAlign w:val="center"/>
            <w:textDirection w:val="lrTb"/>
            <w:noWrap w:val="false"/>
          </w:tcPr>
          <w:p>
            <w:pPr>
              <w:jc w:val="center"/>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主观分</w:t>
            </w:r>
            <w:r/>
          </w:p>
        </w:tc>
      </w:tr>
      <w:tr>
        <w:trPr>
          <w:trHeight w:val="567"/>
        </w:trPr>
        <w:tc>
          <w:tcPr>
            <w:tcBorders>
              <w:top w:val="single" w:color="999999" w:sz="6" w:space="0"/>
              <w:left w:val="single" w:color="808080" w:sz="4" w:space="0"/>
              <w:bottom w:val="single" w:color="999999" w:sz="6" w:space="0"/>
              <w:right w:val="single" w:color="999999" w:sz="6" w:space="0"/>
            </w:tcBorders>
            <w:tcW w:w="68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2.</w:t>
            </w:r>
            <w:r>
              <w:rPr>
                <w:rFonts w:hint="eastAsia" w:ascii="宋体" w:hAnsi="宋体" w:eastAsia="宋体" w:cs="宋体"/>
                <w:color w:val="auto"/>
                <w:sz w:val="21"/>
                <w:szCs w:val="21"/>
                <w:highlight w:val="none"/>
                <w:lang w:val="en-US" w:eastAsia="zh-CN"/>
              </w:rPr>
              <w:t xml:space="preserve">6</w:t>
            </w:r>
            <w:r/>
          </w:p>
        </w:tc>
        <w:tc>
          <w:tcPr>
            <w:tcBorders>
              <w:top w:val="single" w:color="999999" w:sz="6" w:space="0"/>
              <w:left w:val="single" w:color="999999" w:sz="6" w:space="0"/>
              <w:bottom w:val="single" w:color="999999" w:sz="6" w:space="0"/>
              <w:right w:val="single" w:color="999999" w:sz="6" w:space="0"/>
            </w:tcBorders>
            <w:tcW w:w="992" w:type="dxa"/>
            <w:vAlign w:val="center"/>
            <w:textDirection w:val="lrTb"/>
            <w:noWrap w:val="false"/>
          </w:tcPr>
          <w:p>
            <w:pPr>
              <w:jc w:val="center"/>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 xml:space="preserve">安全文明及环境保护方案</w:t>
            </w:r>
            <w:r/>
          </w:p>
        </w:tc>
        <w:tc>
          <w:tcPr>
            <w:tcBorders>
              <w:top w:val="single" w:color="999999" w:sz="6" w:space="0"/>
              <w:left w:val="single" w:color="999999" w:sz="6" w:space="0"/>
              <w:bottom w:val="single" w:color="999999" w:sz="6" w:space="0"/>
              <w:right w:val="single" w:color="999999" w:sz="6" w:space="0"/>
            </w:tcBorders>
            <w:tcW w:w="6647"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评审依据：养护作业安全、现场文明施工、扬尘噪音控制、废弃物处置、水土保护、农药合规使用专项方案。</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方案详实完整</w:t>
            </w:r>
            <w:r>
              <w:rPr>
                <w:rFonts w:hint="eastAsia" w:ascii="宋体" w:hAnsi="宋体" w:eastAsia="宋体" w:cs="宋体"/>
                <w:color w:val="auto"/>
                <w:sz w:val="21"/>
                <w:szCs w:val="21"/>
                <w:highlight w:val="none"/>
                <w:lang w:val="en-US"/>
              </w:rPr>
              <w:t xml:space="preserve">、涵盖内容</w:t>
            </w:r>
            <w:r>
              <w:rPr>
                <w:rFonts w:hint="eastAsia" w:ascii="宋体" w:hAnsi="宋体" w:eastAsia="宋体" w:cs="宋体"/>
                <w:color w:val="auto"/>
                <w:sz w:val="21"/>
                <w:szCs w:val="21"/>
                <w:highlight w:val="none"/>
                <w:lang w:val="en-US" w:eastAsia="zh-CN"/>
              </w:rPr>
              <w:t xml:space="preserve">科学、细致、全面，</w:t>
            </w:r>
            <w:r>
              <w:rPr>
                <w:rFonts w:hint="eastAsia" w:ascii="宋体" w:hAnsi="宋体" w:eastAsia="宋体" w:cs="宋体"/>
                <w:color w:val="auto"/>
                <w:sz w:val="21"/>
                <w:szCs w:val="21"/>
                <w:highlight w:val="none"/>
                <w:lang w:val="en-US"/>
              </w:rPr>
              <w:t xml:space="preserve">安全文明、环保措施全覆盖养护全流程，贴合场地作业要求，实操性强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方案</w:t>
            </w:r>
            <w:r>
              <w:rPr>
                <w:rFonts w:hint="eastAsia" w:ascii="宋体" w:hAnsi="宋体" w:eastAsia="宋体" w:cs="宋体"/>
                <w:color w:val="auto"/>
                <w:sz w:val="21"/>
                <w:szCs w:val="21"/>
                <w:highlight w:val="none"/>
              </w:rPr>
              <w:t xml:space="preserve">较</w:t>
            </w:r>
            <w:r>
              <w:rPr>
                <w:rFonts w:hint="eastAsia" w:ascii="宋体" w:hAnsi="宋体" w:eastAsia="宋体" w:cs="宋体"/>
                <w:color w:val="auto"/>
                <w:sz w:val="21"/>
                <w:szCs w:val="21"/>
                <w:highlight w:val="none"/>
                <w:lang w:val="en-US" w:eastAsia="zh-CN"/>
              </w:rPr>
              <w:t xml:space="preserve">完整</w:t>
            </w:r>
            <w:r>
              <w:rPr>
                <w:rFonts w:hint="eastAsia" w:ascii="宋体" w:hAnsi="宋体" w:eastAsia="宋体" w:cs="宋体"/>
                <w:color w:val="auto"/>
                <w:sz w:val="21"/>
                <w:szCs w:val="21"/>
                <w:highlight w:val="none"/>
              </w:rPr>
              <w:t xml:space="preserve">、涵盖内容较</w:t>
            </w:r>
            <w:r>
              <w:rPr>
                <w:rFonts w:hint="eastAsia" w:ascii="宋体" w:hAnsi="宋体" w:eastAsia="宋体" w:cs="宋体"/>
                <w:color w:val="auto"/>
                <w:sz w:val="21"/>
                <w:szCs w:val="21"/>
                <w:highlight w:val="none"/>
                <w:lang w:val="en-US" w:eastAsia="zh-CN"/>
              </w:rPr>
              <w:t xml:space="preserve">科学、全面，</w:t>
            </w:r>
            <w:r>
              <w:rPr>
                <w:rFonts w:hint="eastAsia" w:ascii="宋体" w:hAnsi="宋体" w:eastAsia="宋体" w:cs="宋体"/>
                <w:color w:val="auto"/>
                <w:sz w:val="21"/>
                <w:szCs w:val="21"/>
                <w:highlight w:val="none"/>
              </w:rPr>
              <w:t xml:space="preserve">较贴合实际且可操作性较强，具备较好实操性，得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方案一般</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覆盖基础通用内容，项目针对性一般，实操性普通，得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4）方案内容简单，无针对性，得1分</w:t>
            </w:r>
            <w:r>
              <w:rPr>
                <w:rFonts w:hint="eastAsia" w:ascii="宋体" w:hAnsi="宋体" w:eastAsia="宋体" w:cs="宋体"/>
                <w:color w:val="auto"/>
                <w:sz w:val="21"/>
                <w:szCs w:val="21"/>
                <w:highlight w:val="none"/>
                <w:lang w:eastAsia="zh-CN"/>
              </w:rPr>
              <w:t xml:space="preserve">；</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（5）未提供方案的不得分；</w:t>
            </w:r>
            <w:r/>
          </w:p>
        </w:tc>
        <w:tc>
          <w:tcPr>
            <w:tcBorders>
              <w:top w:val="single" w:color="999999" w:sz="6" w:space="0"/>
              <w:left w:val="single" w:color="999999" w:sz="6" w:space="0"/>
              <w:bottom w:val="single" w:color="999999" w:sz="6" w:space="0"/>
              <w:right w:val="single" w:color="999999" w:sz="6" w:space="0"/>
            </w:tcBorders>
            <w:tcW w:w="567"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Borders>
              <w:top w:val="single" w:color="999999" w:sz="6" w:space="0"/>
              <w:left w:val="single" w:color="999999" w:sz="6" w:space="0"/>
              <w:bottom w:val="single" w:color="999999" w:sz="6" w:space="0"/>
              <w:right w:val="single" w:color="808080" w:sz="4" w:space="0"/>
            </w:tcBorders>
            <w:tcW w:w="821" w:type="dxa"/>
            <w:vAlign w:val="center"/>
            <w:textDirection w:val="lrTb"/>
            <w:noWrap w:val="false"/>
          </w:tcPr>
          <w:p>
            <w:pPr>
              <w:jc w:val="center"/>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主观分</w:t>
            </w:r>
            <w:r/>
          </w:p>
        </w:tc>
      </w:tr>
      <w:tr>
        <w:trPr>
          <w:trHeight w:val="567"/>
        </w:trPr>
        <w:tc>
          <w:tcPr>
            <w:tcBorders>
              <w:top w:val="single" w:color="999999" w:sz="6" w:space="0"/>
              <w:left w:val="single" w:color="808080" w:sz="4" w:space="0"/>
              <w:bottom w:val="single" w:color="999999" w:sz="6" w:space="0"/>
              <w:right w:val="single" w:color="999999" w:sz="6" w:space="0"/>
            </w:tcBorders>
            <w:tcW w:w="68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2.7</w:t>
            </w:r>
            <w:r/>
          </w:p>
        </w:tc>
        <w:tc>
          <w:tcPr>
            <w:tcBorders>
              <w:top w:val="single" w:color="999999" w:sz="6" w:space="0"/>
              <w:left w:val="single" w:color="999999" w:sz="6" w:space="0"/>
              <w:bottom w:val="single" w:color="999999" w:sz="6" w:space="0"/>
              <w:right w:val="single" w:color="999999" w:sz="6" w:space="0"/>
            </w:tcBorders>
            <w:tcW w:w="992" w:type="dxa"/>
            <w:vAlign w:val="center"/>
            <w:textDirection w:val="lrTb"/>
            <w:noWrap w:val="false"/>
          </w:tcPr>
          <w:p>
            <w:pPr>
              <w:jc w:val="center"/>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 xml:space="preserve">组织架构及规章制度</w:t>
            </w:r>
            <w:r/>
          </w:p>
        </w:tc>
        <w:tc>
          <w:tcPr>
            <w:tcBorders>
              <w:top w:val="single" w:color="999999" w:sz="6" w:space="0"/>
              <w:left w:val="single" w:color="999999" w:sz="6" w:space="0"/>
              <w:bottom w:val="single" w:color="999999" w:sz="6" w:space="0"/>
              <w:right w:val="single" w:color="999999" w:sz="6" w:space="0"/>
            </w:tcBorders>
            <w:tcW w:w="6647"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评审依据：项目专属组织架构、岗位权责、内部管理、作业规范、考核奖惩全套制度体系。</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方案详实完整</w:t>
            </w:r>
            <w:r>
              <w:rPr>
                <w:rFonts w:hint="eastAsia" w:ascii="宋体" w:hAnsi="宋体" w:eastAsia="宋体" w:cs="宋体"/>
                <w:color w:val="auto"/>
                <w:sz w:val="21"/>
                <w:szCs w:val="21"/>
                <w:highlight w:val="none"/>
                <w:lang w:val="en-US"/>
              </w:rPr>
              <w:t xml:space="preserve">、涵盖内容</w:t>
            </w:r>
            <w:r>
              <w:rPr>
                <w:rFonts w:hint="eastAsia" w:ascii="宋体" w:hAnsi="宋体" w:eastAsia="宋体" w:cs="宋体"/>
                <w:color w:val="auto"/>
                <w:sz w:val="21"/>
                <w:szCs w:val="21"/>
                <w:highlight w:val="none"/>
                <w:lang w:val="en-US" w:eastAsia="zh-CN"/>
              </w:rPr>
              <w:t xml:space="preserve">科学、细致、全面，</w:t>
            </w:r>
            <w:r>
              <w:rPr>
                <w:rFonts w:hint="eastAsia" w:ascii="宋体" w:hAnsi="宋体" w:eastAsia="宋体" w:cs="宋体"/>
                <w:color w:val="auto"/>
                <w:sz w:val="21"/>
                <w:szCs w:val="21"/>
                <w:highlight w:val="none"/>
              </w:rPr>
              <w:t xml:space="preserve">岗位设置合理，有明确的部门职责，工作流程完整，各类规章制度健全规范</w:t>
            </w:r>
            <w:r>
              <w:rPr>
                <w:rFonts w:hint="eastAsia" w:ascii="宋体" w:hAnsi="宋体" w:eastAsia="宋体" w:cs="宋体"/>
                <w:color w:val="auto"/>
                <w:sz w:val="21"/>
                <w:szCs w:val="21"/>
                <w:highlight w:val="none"/>
                <w:lang w:val="en-US"/>
              </w:rPr>
              <w:t xml:space="preserve">，实操性强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方案</w:t>
            </w:r>
            <w:r>
              <w:rPr>
                <w:rFonts w:hint="eastAsia" w:ascii="宋体" w:hAnsi="宋体" w:eastAsia="宋体" w:cs="宋体"/>
                <w:color w:val="auto"/>
                <w:sz w:val="21"/>
                <w:szCs w:val="21"/>
                <w:highlight w:val="none"/>
              </w:rPr>
              <w:t xml:space="preserve">较</w:t>
            </w:r>
            <w:r>
              <w:rPr>
                <w:rFonts w:hint="eastAsia" w:ascii="宋体" w:hAnsi="宋体" w:eastAsia="宋体" w:cs="宋体"/>
                <w:color w:val="auto"/>
                <w:sz w:val="21"/>
                <w:szCs w:val="21"/>
                <w:highlight w:val="none"/>
                <w:lang w:val="en-US" w:eastAsia="zh-CN"/>
              </w:rPr>
              <w:t xml:space="preserve">完整</w:t>
            </w:r>
            <w:r>
              <w:rPr>
                <w:rFonts w:hint="eastAsia" w:ascii="宋体" w:hAnsi="宋体" w:eastAsia="宋体" w:cs="宋体"/>
                <w:color w:val="auto"/>
                <w:sz w:val="21"/>
                <w:szCs w:val="21"/>
                <w:highlight w:val="none"/>
              </w:rPr>
              <w:t xml:space="preserve">、涵盖内容较</w:t>
            </w:r>
            <w:r>
              <w:rPr>
                <w:rFonts w:hint="eastAsia" w:ascii="宋体" w:hAnsi="宋体" w:eastAsia="宋体" w:cs="宋体"/>
                <w:color w:val="auto"/>
                <w:sz w:val="21"/>
                <w:szCs w:val="21"/>
                <w:highlight w:val="none"/>
                <w:lang w:val="en-US" w:eastAsia="zh-CN"/>
              </w:rPr>
              <w:t xml:space="preserve">科学、全面，岗位权责划分清晰，</w:t>
            </w:r>
            <w:r>
              <w:rPr>
                <w:rFonts w:hint="eastAsia" w:ascii="宋体" w:hAnsi="宋体" w:eastAsia="宋体" w:cs="宋体"/>
                <w:color w:val="auto"/>
                <w:sz w:val="21"/>
                <w:szCs w:val="21"/>
                <w:highlight w:val="none"/>
              </w:rPr>
              <w:t xml:space="preserve">较贴合实际且可操作性较强，具备较好实操性，得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方案一般</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覆盖基础通用内容，项目针对性一般，实操性普通，得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4）方案内容简单，无针对性，得1分</w:t>
            </w:r>
            <w:r>
              <w:rPr>
                <w:rFonts w:hint="eastAsia" w:ascii="宋体" w:hAnsi="宋体" w:eastAsia="宋体" w:cs="宋体"/>
                <w:color w:val="auto"/>
                <w:sz w:val="21"/>
                <w:szCs w:val="21"/>
                <w:highlight w:val="none"/>
                <w:lang w:eastAsia="zh-CN"/>
              </w:rPr>
              <w:t xml:space="preserve">；</w:t>
            </w:r>
            <w:r/>
          </w:p>
          <w:p>
            <w:pPr>
              <w:jc w:val="lef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（5）未提供方案的不得分；</w:t>
            </w:r>
            <w:r/>
          </w:p>
        </w:tc>
        <w:tc>
          <w:tcPr>
            <w:tcBorders>
              <w:top w:val="single" w:color="999999" w:sz="6" w:space="0"/>
              <w:left w:val="single" w:color="999999" w:sz="6" w:space="0"/>
              <w:bottom w:val="single" w:color="999999" w:sz="6" w:space="0"/>
              <w:right w:val="single" w:color="999999" w:sz="6" w:space="0"/>
            </w:tcBorders>
            <w:tcW w:w="567"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Borders>
              <w:top w:val="single" w:color="999999" w:sz="6" w:space="0"/>
              <w:left w:val="single" w:color="999999" w:sz="6" w:space="0"/>
              <w:bottom w:val="single" w:color="999999" w:sz="6" w:space="0"/>
              <w:right w:val="single" w:color="808080" w:sz="4" w:space="0"/>
            </w:tcBorders>
            <w:tcW w:w="821" w:type="dxa"/>
            <w:vAlign w:val="center"/>
            <w:textDirection w:val="lrTb"/>
            <w:noWrap w:val="false"/>
          </w:tcPr>
          <w:p>
            <w:pPr>
              <w:jc w:val="center"/>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主观分</w:t>
            </w:r>
            <w:r/>
          </w:p>
        </w:tc>
      </w:tr>
      <w:tr>
        <w:trPr>
          <w:trHeight w:val="567"/>
        </w:trPr>
        <w:tc>
          <w:tcPr>
            <w:gridSpan w:val="5"/>
            <w:tcBorders>
              <w:top w:val="single" w:color="808080" w:sz="6" w:space="0"/>
              <w:left w:val="single" w:color="999999" w:sz="4" w:space="0"/>
              <w:bottom w:val="single" w:color="808080" w:sz="6" w:space="0"/>
              <w:right w:val="single" w:color="999999" w:sz="4" w:space="0"/>
            </w:tcBorders>
            <w:tcW w:w="971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3.业绩</w:t>
            </w:r>
            <w:r/>
          </w:p>
        </w:tc>
      </w:tr>
      <w:tr>
        <w:trPr>
          <w:trHeight w:val="567"/>
        </w:trPr>
        <w:tc>
          <w:tcPr>
            <w:tcBorders>
              <w:top w:val="single" w:color="808080" w:sz="6" w:space="0"/>
              <w:left w:val="single" w:color="999999" w:sz="4" w:space="0"/>
              <w:bottom w:val="none" w:color="000000" w:sz="4" w:space="0"/>
              <w:right w:val="single" w:color="808080" w:sz="6" w:space="0"/>
            </w:tcBorders>
            <w:tcW w:w="6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w:t>
            </w:r>
            <w:r/>
          </w:p>
        </w:tc>
        <w:tc>
          <w:tcPr>
            <w:tcBorders>
              <w:top w:val="single" w:color="808080" w:sz="6" w:space="0"/>
              <w:left w:val="single" w:color="808080" w:sz="6" w:space="0"/>
              <w:bottom w:val="none" w:color="000000" w:sz="4" w:space="0"/>
              <w:right w:val="single" w:color="808080" w:sz="6" w:space="0"/>
            </w:tcBorders>
            <w:tcW w:w="99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供应商业绩</w:t>
            </w:r>
            <w:r/>
          </w:p>
        </w:tc>
        <w:tc>
          <w:tcPr>
            <w:tcBorders>
              <w:top w:val="single" w:color="808080" w:sz="6" w:space="0"/>
              <w:left w:val="single" w:color="808080" w:sz="6" w:space="0"/>
              <w:bottom w:val="none" w:color="000000" w:sz="4" w:space="0"/>
              <w:right w:val="single" w:color="808080" w:sz="6" w:space="0"/>
            </w:tcBorders>
            <w:tcW w:w="6647" w:type="dxa"/>
            <w:vAlign w:val="center"/>
            <w:textDirection w:val="lrTb"/>
            <w:noWrap w:val="false"/>
          </w:tcPr>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lang w:val="en-US" w:eastAsia="zh-CN"/>
              </w:rPr>
              <w:t xml:space="preserve">提供</w:t>
            </w:r>
            <w:r>
              <w:rPr>
                <w:rFonts w:hint="eastAsia" w:ascii="宋体" w:hAnsi="宋体" w:eastAsia="宋体" w:cs="宋体"/>
                <w:color w:val="auto"/>
                <w:sz w:val="21"/>
                <w:szCs w:val="21"/>
                <w:highlight w:val="none"/>
                <w:lang w:eastAsia="zh-CN"/>
              </w:rPr>
              <w:t xml:space="preserve">自202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年1月1日以来</w:t>
            </w:r>
            <w:r>
              <w:rPr>
                <w:rFonts w:hint="eastAsia" w:ascii="宋体" w:hAnsi="宋体" w:eastAsia="宋体" w:cs="宋体"/>
                <w:color w:val="auto"/>
                <w:sz w:val="21"/>
                <w:szCs w:val="21"/>
                <w:highlight w:val="none"/>
                <w:lang w:val="en-US" w:eastAsia="zh-CN"/>
              </w:rPr>
              <w:t xml:space="preserve">承接园林养护</w:t>
            </w:r>
            <w:r>
              <w:rPr>
                <w:rFonts w:hint="eastAsia" w:ascii="宋体" w:hAnsi="宋体" w:eastAsia="宋体" w:cs="宋体"/>
                <w:color w:val="auto"/>
                <w:sz w:val="21"/>
                <w:szCs w:val="21"/>
                <w:highlight w:val="none"/>
                <w:lang w:eastAsia="zh-CN"/>
              </w:rPr>
              <w:t xml:space="preserve">类项目的，每提供一个业绩得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分，最多得</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eastAsia="zh-CN"/>
              </w:rPr>
              <w:t xml:space="preserve">分；</w:t>
            </w:r>
            <w:r/>
          </w:p>
          <w:p>
            <w:pPr>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①</w:t>
            </w:r>
            <w:r>
              <w:rPr>
                <w:rFonts w:hint="eastAsia" w:ascii="宋体" w:hAnsi="宋体" w:eastAsia="宋体" w:cs="宋体"/>
                <w:color w:val="auto"/>
                <w:sz w:val="21"/>
                <w:szCs w:val="21"/>
                <w:highlight w:val="none"/>
                <w:lang w:eastAsia="zh-CN"/>
              </w:rPr>
              <w:t xml:space="preserve">供应商须提供完整合同扫描件加盖供应商单位公章，合同内容不全不得分，合同签订时间以合同落款日期为准，合同内容缺失不予认定；</w:t>
            </w:r>
            <w:r/>
          </w:p>
          <w:p>
            <w:pPr>
              <w:pStyle w:val="989"/>
              <w:ind w:left="0" w:firstLine="0"/>
              <w:jc w:val="left"/>
              <w:rPr>
                <w:rFonts w:hint="eastAsia"/>
                <w:color w:val="auto"/>
                <w:highlight w:val="none"/>
                <w:lang w:eastAsia="zh-CN"/>
              </w:rPr>
            </w:pPr>
            <w:r>
              <w:rPr>
                <w:rFonts w:hint="eastAsia" w:ascii="宋体" w:hAnsi="宋体" w:eastAsia="宋体" w:cs="宋体"/>
                <w:color w:val="auto"/>
                <w:highlight w:val="none"/>
                <w:lang w:eastAsia="zh-CN"/>
              </w:rPr>
              <w:t xml:space="preserve">②</w:t>
            </w:r>
            <w:r>
              <w:rPr>
                <w:rFonts w:hint="eastAsia"/>
                <w:color w:val="auto"/>
                <w:highlight w:val="none"/>
                <w:lang w:eastAsia="zh-CN"/>
              </w:rPr>
              <w:t xml:space="preserve">合同期内至少一次的银行往来回执单(需有银行印鉴)加盖供应商单位公章或履约证明材料（单位工程竣工验收证明或完工证明或过程履约证明等）（在招标公告发起日之前），以上资料</w:t>
            </w:r>
            <w:r>
              <w:rPr>
                <w:rFonts w:hint="eastAsia"/>
                <w:color w:val="auto"/>
                <w:highlight w:val="none"/>
                <w:lang w:val="en-US" w:eastAsia="zh-CN"/>
              </w:rPr>
              <w:t xml:space="preserve">二</w:t>
            </w:r>
            <w:r>
              <w:rPr>
                <w:rFonts w:hint="eastAsia"/>
                <w:color w:val="auto"/>
                <w:highlight w:val="none"/>
                <w:lang w:eastAsia="zh-CN"/>
              </w:rPr>
              <w:t xml:space="preserve">者缺一不可，时间以合同签订的时间为准）</w:t>
            </w:r>
            <w:r/>
          </w:p>
          <w:p>
            <w:pPr>
              <w:jc w:val="lef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③同一业主单位的多个类似业绩可累计得分。资料未按要求提供或提供不全不得分。</w:t>
            </w:r>
            <w:r/>
          </w:p>
        </w:tc>
        <w:tc>
          <w:tcPr>
            <w:tcBorders>
              <w:top w:val="single" w:color="808080" w:sz="6" w:space="0"/>
              <w:left w:val="single" w:color="808080" w:sz="6" w:space="0"/>
              <w:bottom w:val="none" w:color="000000" w:sz="4" w:space="0"/>
              <w:right w:val="single" w:color="808080" w:sz="6" w:space="0"/>
            </w:tcBorders>
            <w:tcW w:w="567"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Borders>
              <w:top w:val="single" w:color="808080" w:sz="6" w:space="0"/>
              <w:left w:val="single" w:color="808080" w:sz="6" w:space="0"/>
              <w:bottom w:val="none" w:color="000000" w:sz="4" w:space="0"/>
              <w:right w:val="single" w:color="999999" w:sz="4" w:space="0"/>
            </w:tcBorders>
            <w:tcW w:w="82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客观分</w:t>
            </w:r>
            <w:r/>
          </w:p>
        </w:tc>
      </w:tr>
      <w:tr>
        <w:trPr>
          <w:trHeight w:val="567"/>
        </w:trPr>
        <w:tc>
          <w:tcPr>
            <w:gridSpan w:val="5"/>
            <w:tcBorders>
              <w:top w:val="single" w:color="808080" w:sz="6" w:space="0"/>
              <w:left w:val="single" w:color="999999" w:sz="4" w:space="0"/>
              <w:bottom w:val="single" w:color="808080" w:sz="6" w:space="0"/>
              <w:right w:val="single" w:color="999999" w:sz="4" w:space="0"/>
            </w:tcBorders>
            <w:tcW w:w="971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4</w:t>
            </w:r>
            <w:r>
              <w:rPr>
                <w:rFonts w:hint="eastAsia" w:ascii="宋体" w:hAnsi="宋体" w:eastAsia="宋体" w:cs="宋体"/>
                <w:color w:val="auto"/>
                <w:sz w:val="21"/>
                <w:szCs w:val="21"/>
                <w:highlight w:val="none"/>
              </w:rPr>
              <w:t xml:space="preserve">.履约能力</w:t>
            </w:r>
            <w:r/>
          </w:p>
        </w:tc>
      </w:tr>
      <w:tr>
        <w:trPr>
          <w:trHeight w:val="567"/>
        </w:trPr>
        <w:tc>
          <w:tcPr>
            <w:tcBorders>
              <w:top w:val="single" w:color="808080" w:sz="6" w:space="0"/>
              <w:left w:val="single" w:color="999999" w:sz="4" w:space="0"/>
              <w:bottom w:val="single" w:color="808080" w:sz="6" w:space="0"/>
              <w:right w:val="single" w:color="808080" w:sz="6" w:space="0"/>
            </w:tcBorders>
            <w:tcW w:w="685" w:type="dxa"/>
            <w:vAlign w:val="center"/>
            <w:textDirection w:val="lrTb"/>
            <w:noWrap w:val="false"/>
          </w:tcPr>
          <w:p>
            <w:pPr>
              <w:jc w:val="center"/>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r>
            <w:r/>
          </w:p>
          <w:p>
            <w:pPr>
              <w:jc w:val="center"/>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4.1</w:t>
            </w:r>
            <w:r/>
          </w:p>
        </w:tc>
        <w:tc>
          <w:tcPr>
            <w:shd w:val="clear" w:color="auto" w:fill="auto"/>
            <w:tcBorders>
              <w:top w:val="single" w:color="808080" w:sz="6" w:space="0"/>
              <w:left w:val="single" w:color="808080" w:sz="6" w:space="0"/>
              <w:bottom w:val="single" w:color="808080" w:sz="6" w:space="0"/>
              <w:right w:val="single" w:color="808080" w:sz="6" w:space="0"/>
            </w:tcBorders>
            <w:tcW w:w="992" w:type="dxa"/>
            <w:vAlign w:val="center"/>
            <w:textDirection w:val="lrTb"/>
            <w:noWrap w:val="false"/>
          </w:tcPr>
          <w:p>
            <w:pPr>
              <w:jc w:val="center"/>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拟投入本项目的车辆或设备</w:t>
            </w:r>
            <w:r/>
          </w:p>
        </w:tc>
        <w:tc>
          <w:tcPr>
            <w:shd w:val="clear" w:color="auto" w:fill="auto"/>
            <w:tcBorders>
              <w:top w:val="single" w:color="808080" w:sz="6" w:space="0"/>
              <w:left w:val="single" w:color="808080" w:sz="6" w:space="0"/>
              <w:bottom w:val="single" w:color="808080" w:sz="6" w:space="0"/>
              <w:right w:val="single" w:color="808080" w:sz="6" w:space="0"/>
            </w:tcBorders>
            <w:tcW w:w="6647" w:type="dxa"/>
            <w:vAlign w:val="center"/>
            <w:textDirection w:val="lrTb"/>
            <w:noWrap w:val="false"/>
          </w:tcPr>
          <w:p>
            <w:pPr>
              <w:jc w:val="lef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投标人拟投入本项目的车辆或设备：</w:t>
            </w:r>
            <w:r/>
          </w:p>
          <w:p>
            <w:pPr>
              <w:pStyle w:val="970"/>
              <w:ind w:left="0" w:right="0" w:firstLine="0"/>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rPr>
              <w:t xml:space="preserve">绿化作业小型机具：绿篱机≥10台、割灌机≥15台、</w:t>
            </w:r>
            <w:r>
              <w:rPr>
                <w:color w:val="auto"/>
                <w:sz w:val="21"/>
                <w:szCs w:val="21"/>
                <w:highlight w:val="none"/>
              </w:rPr>
              <w:t xml:space="preserve">风力灭火机</w:t>
            </w:r>
            <w:r>
              <w:rPr>
                <w:rFonts w:hint="eastAsia" w:ascii="宋体" w:hAnsi="宋体" w:eastAsia="宋体" w:cs="宋体"/>
                <w:color w:val="auto"/>
                <w:sz w:val="21"/>
                <w:szCs w:val="21"/>
                <w:highlight w:val="none"/>
                <w:lang w:val="en-US"/>
              </w:rPr>
              <w:t xml:space="preserve">≥10 台、草坪机≥15台、打药机≥5台、高枝油锯≥10台，</w:t>
            </w:r>
            <w:r>
              <w:rPr>
                <w:rFonts w:hint="eastAsia" w:cs="宋体"/>
                <w:color w:val="auto"/>
                <w:sz w:val="21"/>
                <w:szCs w:val="21"/>
                <w:highlight w:val="none"/>
                <w:lang w:val="en-US" w:eastAsia="zh-CN"/>
              </w:rPr>
              <w:t xml:space="preserve">全部</w:t>
            </w:r>
            <w:r>
              <w:rPr>
                <w:rFonts w:hint="eastAsia" w:ascii="宋体" w:hAnsi="宋体" w:eastAsia="宋体" w:cs="宋体"/>
                <w:color w:val="auto"/>
                <w:sz w:val="21"/>
                <w:szCs w:val="21"/>
                <w:highlight w:val="none"/>
                <w:lang w:val="en-US"/>
              </w:rPr>
              <w:t xml:space="preserve">满足得</w:t>
            </w:r>
            <w:r>
              <w:rPr>
                <w:rFonts w:hint="eastAsia"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rPr>
              <w:t xml:space="preserve">分</w:t>
            </w:r>
            <w:r>
              <w:rPr>
                <w:rFonts w:hint="eastAsia" w:ascii="宋体" w:hAnsi="宋体" w:eastAsia="宋体" w:cs="宋体"/>
                <w:color w:val="auto"/>
                <w:sz w:val="21"/>
                <w:szCs w:val="21"/>
                <w:highlight w:val="none"/>
                <w:lang w:val="en-US" w:eastAsia="zh-CN"/>
              </w:rPr>
              <w:t xml:space="preserve">；</w:t>
            </w:r>
            <w:r/>
          </w:p>
          <w:p>
            <w:pPr>
              <w:jc w:val="lef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rPr>
              <w:t xml:space="preserve">电动</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rPr>
              <w:t xml:space="preserve">快速</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rPr>
              <w:t xml:space="preserve">保洁车≥40台，</w:t>
            </w:r>
            <w:r>
              <w:rPr>
                <w:rFonts w:hint="eastAsia" w:cs="宋体"/>
                <w:color w:val="auto"/>
                <w:sz w:val="21"/>
                <w:szCs w:val="21"/>
                <w:highlight w:val="none"/>
                <w:lang w:val="en-US" w:eastAsia="zh-CN"/>
              </w:rPr>
              <w:t xml:space="preserve">全部</w:t>
            </w:r>
            <w:r>
              <w:rPr>
                <w:rFonts w:hint="eastAsia" w:ascii="宋体" w:hAnsi="宋体" w:eastAsia="宋体" w:cs="宋体"/>
                <w:color w:val="auto"/>
                <w:sz w:val="21"/>
                <w:szCs w:val="21"/>
                <w:highlight w:val="none"/>
                <w:lang w:val="en-US"/>
              </w:rPr>
              <w:t xml:space="preserve">满足得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rPr>
              <w:t xml:space="preserve">分</w:t>
            </w:r>
            <w:r/>
          </w:p>
          <w:p>
            <w:pPr>
              <w:jc w:val="lef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rPr>
              <w:t xml:space="preserve">高空作业车（总质量≥5000kg）≥1台，</w:t>
            </w:r>
            <w:r>
              <w:rPr>
                <w:rFonts w:hint="eastAsia" w:cs="宋体"/>
                <w:color w:val="auto"/>
                <w:sz w:val="21"/>
                <w:szCs w:val="21"/>
                <w:highlight w:val="none"/>
                <w:lang w:val="en-US" w:eastAsia="zh-CN"/>
              </w:rPr>
              <w:t xml:space="preserve">全部</w:t>
            </w:r>
            <w:r>
              <w:rPr>
                <w:rFonts w:hint="eastAsia" w:ascii="宋体" w:hAnsi="宋体" w:eastAsia="宋体" w:cs="宋体"/>
                <w:color w:val="auto"/>
                <w:sz w:val="21"/>
                <w:szCs w:val="21"/>
                <w:highlight w:val="none"/>
                <w:lang w:val="en-US"/>
              </w:rPr>
              <w:t xml:space="preserve">满足得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rPr>
              <w:t xml:space="preserve">分；</w:t>
            </w:r>
            <w:r/>
          </w:p>
          <w:p>
            <w:pPr>
              <w:jc w:val="lef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rPr>
              <w:t xml:space="preserve">洒水车（总质量≥15000kg）≥6台，</w:t>
            </w:r>
            <w:r>
              <w:rPr>
                <w:rFonts w:hint="eastAsia" w:cs="宋体"/>
                <w:color w:val="auto"/>
                <w:sz w:val="21"/>
                <w:szCs w:val="21"/>
                <w:highlight w:val="none"/>
                <w:lang w:val="en-US" w:eastAsia="zh-CN"/>
              </w:rPr>
              <w:t xml:space="preserve">全部</w:t>
            </w:r>
            <w:r>
              <w:rPr>
                <w:rFonts w:hint="eastAsia" w:ascii="宋体" w:hAnsi="宋体" w:eastAsia="宋体" w:cs="宋体"/>
                <w:color w:val="auto"/>
                <w:sz w:val="21"/>
                <w:szCs w:val="21"/>
                <w:highlight w:val="none"/>
                <w:lang w:val="en-US"/>
              </w:rPr>
              <w:t xml:space="preserve">满足得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rPr>
              <w:t xml:space="preserve">分；</w:t>
            </w:r>
            <w:r/>
          </w:p>
          <w:p>
            <w:pPr>
              <w:jc w:val="lef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rPr>
              <w:t xml:space="preserve">轻型自卸</w:t>
            </w:r>
            <w:r>
              <w:rPr>
                <w:rFonts w:hint="eastAsia" w:ascii="宋体" w:hAnsi="宋体" w:eastAsia="宋体" w:cs="宋体"/>
                <w:color w:val="auto"/>
                <w:sz w:val="21"/>
                <w:szCs w:val="21"/>
                <w:highlight w:val="none"/>
                <w:lang w:val="en-US" w:eastAsia="zh-CN"/>
              </w:rPr>
              <w:t xml:space="preserve">货车</w:t>
            </w:r>
            <w:r>
              <w:rPr>
                <w:rFonts w:hint="eastAsia" w:ascii="宋体" w:hAnsi="宋体" w:eastAsia="宋体" w:cs="宋体"/>
                <w:color w:val="auto"/>
                <w:sz w:val="21"/>
                <w:szCs w:val="21"/>
                <w:highlight w:val="none"/>
                <w:lang w:val="en-US"/>
              </w:rPr>
              <w:t xml:space="preserve">（总质量≥4000kg）≥</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rPr>
              <w:t xml:space="preserve">台，</w:t>
            </w:r>
            <w:r>
              <w:rPr>
                <w:rFonts w:hint="eastAsia" w:cs="宋体"/>
                <w:color w:val="auto"/>
                <w:sz w:val="21"/>
                <w:szCs w:val="21"/>
                <w:highlight w:val="none"/>
                <w:lang w:val="en-US" w:eastAsia="zh-CN"/>
              </w:rPr>
              <w:t xml:space="preserve">全部</w:t>
            </w:r>
            <w:r>
              <w:rPr>
                <w:rFonts w:hint="eastAsia" w:ascii="宋体" w:hAnsi="宋体" w:eastAsia="宋体" w:cs="宋体"/>
                <w:color w:val="auto"/>
                <w:sz w:val="21"/>
                <w:szCs w:val="21"/>
                <w:highlight w:val="none"/>
                <w:lang w:val="en-US"/>
              </w:rPr>
              <w:t xml:space="preserve">满足得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rPr>
              <w:t xml:space="preserve">分；</w:t>
            </w:r>
            <w:r/>
          </w:p>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评审依据：</w:t>
            </w:r>
            <w:r/>
          </w:p>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（1）上述</w:t>
            </w:r>
            <w:r>
              <w:rPr>
                <w:rFonts w:hint="eastAsia" w:ascii="宋体" w:hAnsi="宋体" w:eastAsia="宋体" w:cs="宋体"/>
                <w:color w:val="auto"/>
                <w:sz w:val="21"/>
                <w:szCs w:val="21"/>
                <w:highlight w:val="none"/>
                <w:shd w:val="clear" w:color="auto" w:fill="auto"/>
                <w:lang w:val="en-US" w:eastAsia="zh-CN"/>
              </w:rPr>
              <w:t xml:space="preserve">车辆（</w:t>
            </w:r>
            <w:r>
              <w:rPr>
                <w:rFonts w:hint="eastAsia" w:ascii="宋体" w:hAnsi="宋体" w:eastAsia="宋体" w:cs="宋体"/>
                <w:color w:val="auto"/>
                <w:sz w:val="21"/>
                <w:szCs w:val="21"/>
                <w:highlight w:val="none"/>
                <w:shd w:val="clear" w:color="auto" w:fill="auto"/>
                <w:lang w:val="en-US"/>
              </w:rPr>
              <w:t xml:space="preserve">高空作业车</w:t>
            </w:r>
            <w:r>
              <w:rPr>
                <w:rFonts w:hint="eastAsia" w:ascii="宋体" w:hAnsi="宋体" w:eastAsia="宋体" w:cs="宋体"/>
                <w:color w:val="auto"/>
                <w:sz w:val="21"/>
                <w:szCs w:val="21"/>
                <w:highlight w:val="none"/>
                <w:shd w:val="clear" w:color="auto" w:fill="auto"/>
                <w:lang w:val="en-US" w:eastAsia="zh-CN"/>
              </w:rPr>
              <w:t xml:space="preserve">、</w:t>
            </w:r>
            <w:r>
              <w:rPr>
                <w:rFonts w:hint="eastAsia" w:ascii="宋体" w:hAnsi="宋体" w:eastAsia="宋体" w:cs="宋体"/>
                <w:color w:val="auto"/>
                <w:sz w:val="21"/>
                <w:szCs w:val="21"/>
                <w:highlight w:val="none"/>
                <w:shd w:val="clear" w:color="auto" w:fill="auto"/>
                <w:lang w:val="en-US"/>
              </w:rPr>
              <w:t xml:space="preserve">洒水车</w:t>
            </w:r>
            <w:r>
              <w:rPr>
                <w:rFonts w:hint="eastAsia" w:ascii="宋体" w:hAnsi="宋体" w:eastAsia="宋体" w:cs="宋体"/>
                <w:color w:val="auto"/>
                <w:sz w:val="21"/>
                <w:szCs w:val="21"/>
                <w:highlight w:val="none"/>
                <w:shd w:val="clear" w:color="auto" w:fill="auto"/>
                <w:lang w:val="en-US" w:eastAsia="zh-CN"/>
              </w:rPr>
              <w:t xml:space="preserve">、</w:t>
            </w:r>
            <w:r>
              <w:rPr>
                <w:rFonts w:hint="eastAsia" w:ascii="宋体" w:hAnsi="宋体" w:eastAsia="宋体" w:cs="宋体"/>
                <w:color w:val="auto"/>
                <w:sz w:val="21"/>
                <w:szCs w:val="21"/>
                <w:highlight w:val="none"/>
                <w:shd w:val="clear" w:color="auto" w:fill="auto"/>
                <w:lang w:val="en-US"/>
              </w:rPr>
              <w:t xml:space="preserve">轻型自卸</w:t>
            </w:r>
            <w:r>
              <w:rPr>
                <w:rFonts w:hint="eastAsia" w:ascii="宋体" w:hAnsi="宋体" w:eastAsia="宋体" w:cs="宋体"/>
                <w:color w:val="auto"/>
                <w:sz w:val="21"/>
                <w:szCs w:val="21"/>
                <w:highlight w:val="none"/>
                <w:shd w:val="clear" w:color="auto" w:fill="auto"/>
                <w:lang w:val="en-US" w:eastAsia="zh-CN"/>
              </w:rPr>
              <w:t xml:space="preserve">货车）</w:t>
            </w:r>
            <w:r>
              <w:rPr>
                <w:rFonts w:hint="eastAsia" w:ascii="宋体" w:hAnsi="宋体" w:eastAsia="宋体" w:cs="宋体"/>
                <w:color w:val="auto"/>
                <w:sz w:val="21"/>
                <w:szCs w:val="21"/>
                <w:highlight w:val="none"/>
                <w:lang w:val="en-US" w:eastAsia="zh-CN"/>
              </w:rPr>
              <w:t xml:space="preserve">若为自有，提供有效期内行驶证及自购发票（发票抬头和行驶证单位名称需与投标人名称一致）；若为租赁，提供行驶证、购置发票及租赁协议（租赁合同乙方需与投标人名称一致，租赁合同有效期须覆盖合同养护期限）。车辆吨位以行驶证标注总质量为准。</w:t>
            </w:r>
            <w:r/>
          </w:p>
          <w:p>
            <w:pPr>
              <w:jc w:val="left"/>
              <w:rPr>
                <w:rFonts w:hint="eastAsia"/>
                <w:color w:val="auto"/>
                <w:highlight w:val="none"/>
                <w:lang w:val="en-US" w:eastAsia="zh-CN"/>
              </w:rPr>
            </w:pPr>
            <w:r>
              <w:rPr>
                <w:rFonts w:hint="eastAsia" w:ascii="宋体" w:hAnsi="宋体" w:eastAsia="宋体" w:cs="宋体"/>
                <w:color w:val="auto"/>
                <w:sz w:val="21"/>
                <w:szCs w:val="21"/>
                <w:highlight w:val="none"/>
                <w:lang w:val="en-US" w:eastAsia="zh-CN"/>
              </w:rPr>
              <w:t xml:space="preserve">（2）上述设备（</w:t>
            </w:r>
            <w:r>
              <w:rPr>
                <w:rFonts w:hint="eastAsia" w:ascii="宋体" w:hAnsi="宋体" w:eastAsia="宋体" w:cs="宋体"/>
                <w:color w:val="auto"/>
                <w:sz w:val="21"/>
                <w:szCs w:val="21"/>
                <w:highlight w:val="none"/>
                <w:lang w:val="en-US"/>
              </w:rPr>
              <w:t xml:space="preserve">绿化作业小型机具</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rPr>
              <w:t xml:space="preserve">电动</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rPr>
              <w:t xml:space="preserve">快速</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rPr>
              <w:t xml:space="preserve">保洁车</w:t>
            </w:r>
            <w:r>
              <w:rPr>
                <w:rFonts w:hint="eastAsia" w:ascii="宋体" w:hAnsi="宋体" w:eastAsia="宋体" w:cs="宋体"/>
                <w:color w:val="auto"/>
                <w:sz w:val="21"/>
                <w:szCs w:val="21"/>
                <w:highlight w:val="none"/>
                <w:lang w:val="en-US" w:eastAsia="zh-CN"/>
              </w:rPr>
              <w:t xml:space="preserve">）若为自有，提供自购发票（发票抬头需与投标人名称一致）；若为租赁，提购置发票及租赁协议（租赁合同乙方需与投标人名称一致，租赁合同有效期须覆盖合同养护期限）。</w:t>
            </w:r>
            <w:r/>
          </w:p>
          <w:p>
            <w:pPr>
              <w:jc w:val="lef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行驶证或发票上车辆或设备名称无需与评分标准给定名称完全一致，但功能需相同；如提供的机械设备名称与评分标准给定名称不同时，应提供功能说明，相应功能应符合采购要求，否则不得分；如一致，则无需提供。资料未按要求提供或提供不全不得分。 </w:t>
            </w:r>
            <w:r/>
          </w:p>
        </w:tc>
        <w:tc>
          <w:tcPr>
            <w:tcBorders>
              <w:top w:val="single" w:color="808080" w:sz="6" w:space="0"/>
              <w:left w:val="single" w:color="808080" w:sz="6" w:space="0"/>
              <w:bottom w:val="single" w:color="808080" w:sz="6" w:space="0"/>
              <w:right w:val="single" w:color="808080" w:sz="6" w:space="0"/>
            </w:tcBorders>
            <w:tcW w:w="567"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Borders>
              <w:top w:val="single" w:color="808080" w:sz="6" w:space="0"/>
              <w:left w:val="single" w:color="808080" w:sz="6" w:space="0"/>
              <w:bottom w:val="single" w:color="808080" w:sz="6" w:space="0"/>
              <w:right w:val="single" w:color="999999" w:sz="4" w:space="0"/>
            </w:tcBorders>
            <w:tcW w:w="82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客观分</w:t>
            </w:r>
            <w:r/>
          </w:p>
        </w:tc>
      </w:tr>
      <w:tr>
        <w:trPr>
          <w:trHeight w:val="567"/>
        </w:trPr>
        <w:tc>
          <w:tcPr>
            <w:tcBorders>
              <w:top w:val="single" w:color="808080" w:sz="6" w:space="0"/>
              <w:left w:val="single" w:color="999999" w:sz="4" w:space="0"/>
              <w:bottom w:val="single" w:color="808080" w:sz="6" w:space="0"/>
              <w:right w:val="single" w:color="808080" w:sz="6" w:space="0"/>
            </w:tcBorders>
            <w:tcW w:w="68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4.2</w:t>
            </w:r>
            <w:r/>
          </w:p>
        </w:tc>
        <w:tc>
          <w:tcPr>
            <w:shd w:val="clear" w:color="auto" w:fill="auto"/>
            <w:tcBorders>
              <w:top w:val="single" w:color="808080" w:sz="6" w:space="0"/>
              <w:left w:val="single" w:color="808080" w:sz="6" w:space="0"/>
              <w:bottom w:val="single" w:color="808080" w:sz="6" w:space="0"/>
              <w:right w:val="single" w:color="808080" w:sz="6" w:space="0"/>
            </w:tcBorders>
            <w:tcW w:w="992" w:type="dxa"/>
            <w:vAlign w:val="center"/>
            <w:textDirection w:val="lrTb"/>
            <w:noWrap w:val="false"/>
          </w:tcPr>
          <w:p>
            <w:pPr>
              <w:jc w:val="center"/>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项目负责人</w:t>
            </w:r>
            <w:r/>
          </w:p>
        </w:tc>
        <w:tc>
          <w:tcPr>
            <w:shd w:val="clear" w:color="auto" w:fill="auto"/>
            <w:tcBorders>
              <w:top w:val="single" w:color="808080" w:sz="6" w:space="0"/>
              <w:left w:val="single" w:color="808080" w:sz="6" w:space="0"/>
              <w:bottom w:val="single" w:color="808080" w:sz="6" w:space="0"/>
              <w:right w:val="single" w:color="808080" w:sz="6" w:space="0"/>
            </w:tcBorders>
            <w:tcW w:w="6647" w:type="dxa"/>
            <w:vAlign w:val="center"/>
            <w:textDirection w:val="lrTb"/>
            <w:noWrap w:val="false"/>
          </w:tcPr>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供应商拟投入1名项目负责人：</w:t>
            </w:r>
            <w:r/>
          </w:p>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1、具有园林相关专业高级职称证书的得4分；</w:t>
            </w:r>
            <w:r/>
          </w:p>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2、具有园林相关专业中级职称证书的得2分。</w:t>
            </w:r>
            <w:r/>
          </w:p>
          <w:p>
            <w:pPr>
              <w:pStyle w:val="989"/>
              <w:ind w:left="0" w:firstLine="0"/>
              <w:rPr>
                <w:rFonts w:hint="default"/>
                <w:color w:val="auto"/>
                <w:highlight w:val="none"/>
                <w:lang w:val="en-US" w:eastAsia="zh-CN"/>
              </w:rPr>
            </w:pPr>
            <w:r>
              <w:rPr>
                <w:rFonts w:hint="eastAsia" w:ascii="宋体" w:hAnsi="宋体" w:eastAsia="宋体" w:cs="宋体"/>
                <w:color w:val="auto"/>
                <w:sz w:val="21"/>
                <w:szCs w:val="21"/>
                <w:highlight w:val="none"/>
                <w:lang w:val="en-US" w:eastAsia="zh-CN"/>
              </w:rPr>
              <w:t xml:space="preserve">本项最多得4分。</w:t>
            </w:r>
            <w:r/>
          </w:p>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（提供相关人员的身份证、职称证书原件扫描件及供应商为其缴纳2026年以来（至少一个月）的由劳动和社会保障部门出具的养老保险缴纳凭证。</w:t>
            </w:r>
            <w:r>
              <w:rPr>
                <w:rFonts w:hint="eastAsia" w:eastAsiaTheme="minorEastAsia"/>
                <w:color w:val="auto"/>
                <w:highlight w:val="none"/>
                <w:lang w:eastAsia="zh-CN"/>
              </w:rPr>
              <w:t xml:space="preserve">专业以职称证书为准，职称证书无法反映专业的，专业以毕业证书为准</w:t>
            </w:r>
            <w:r>
              <w:rPr>
                <w:rFonts w:hint="eastAsia" w:asciiTheme="minorHAnsi" w:eastAsiaTheme="minorEastAsia"/>
                <w:color w:val="auto"/>
                <w:highlight w:val="none"/>
                <w:lang w:val="en-US" w:eastAsia="zh-CN"/>
              </w:rPr>
              <w:t xml:space="preserve">。证明材料缺项或未提供的不得分。</w:t>
            </w:r>
            <w:r>
              <w:rPr>
                <w:rFonts w:hint="eastAsia" w:ascii="宋体" w:hAnsi="宋体" w:eastAsia="宋体" w:cs="宋体"/>
                <w:color w:val="auto"/>
                <w:sz w:val="21"/>
                <w:szCs w:val="21"/>
                <w:highlight w:val="none"/>
                <w:lang w:val="en-US" w:eastAsia="zh-CN"/>
              </w:rPr>
              <w:t xml:space="preserve">）</w:t>
            </w:r>
            <w:r/>
          </w:p>
        </w:tc>
        <w:tc>
          <w:tcPr>
            <w:tcBorders>
              <w:top w:val="single" w:color="808080" w:sz="6" w:space="0"/>
              <w:left w:val="single" w:color="808080" w:sz="6" w:space="0"/>
              <w:bottom w:val="single" w:color="808080" w:sz="6" w:space="0"/>
              <w:right w:val="single" w:color="808080" w:sz="6" w:space="0"/>
            </w:tcBorders>
            <w:tcW w:w="567"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Borders>
              <w:top w:val="single" w:color="808080" w:sz="6" w:space="0"/>
              <w:left w:val="single" w:color="808080" w:sz="6" w:space="0"/>
              <w:bottom w:val="single" w:color="808080" w:sz="6" w:space="0"/>
              <w:right w:val="single" w:color="999999" w:sz="4" w:space="0"/>
            </w:tcBorders>
            <w:tcW w:w="82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客观分</w:t>
            </w:r>
            <w:r/>
          </w:p>
        </w:tc>
      </w:tr>
      <w:tr>
        <w:trPr>
          <w:trHeight w:val="567"/>
        </w:trPr>
        <w:tc>
          <w:tcPr>
            <w:tcBorders>
              <w:top w:val="single" w:color="808080" w:sz="6" w:space="0"/>
              <w:left w:val="single" w:color="999999" w:sz="4" w:space="0"/>
              <w:bottom w:val="single" w:color="808080" w:sz="6" w:space="0"/>
              <w:right w:val="single" w:color="808080" w:sz="6" w:space="0"/>
            </w:tcBorders>
            <w:tcW w:w="685"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4.3</w:t>
            </w:r>
            <w:r/>
          </w:p>
        </w:tc>
        <w:tc>
          <w:tcPr>
            <w:shd w:val="clear" w:color="auto" w:fill="auto"/>
            <w:tcBorders>
              <w:top w:val="single" w:color="808080" w:sz="6" w:space="0"/>
              <w:left w:val="single" w:color="808080" w:sz="6" w:space="0"/>
              <w:bottom w:val="single" w:color="808080" w:sz="6" w:space="0"/>
              <w:right w:val="single" w:color="808080" w:sz="6" w:space="0"/>
            </w:tcBorders>
            <w:tcW w:w="992" w:type="dxa"/>
            <w:vAlign w:val="center"/>
            <w:textDirection w:val="lrTb"/>
            <w:noWrap w:val="false"/>
          </w:tcPr>
          <w:p>
            <w:pPr>
              <w:jc w:val="center"/>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技术负责人</w:t>
            </w:r>
            <w:r/>
          </w:p>
        </w:tc>
        <w:tc>
          <w:tcPr>
            <w:shd w:val="clear" w:color="auto" w:fill="auto"/>
            <w:tcBorders>
              <w:top w:val="single" w:color="808080" w:sz="6" w:space="0"/>
              <w:left w:val="single" w:color="808080" w:sz="6" w:space="0"/>
              <w:bottom w:val="single" w:color="808080" w:sz="6" w:space="0"/>
              <w:right w:val="single" w:color="808080" w:sz="6" w:space="0"/>
            </w:tcBorders>
            <w:tcW w:w="6647" w:type="dxa"/>
            <w:vAlign w:val="center"/>
            <w:textDirection w:val="lrTb"/>
            <w:noWrap w:val="false"/>
          </w:tcPr>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供应商拟投入1名技术负责人（与项目负责人非同一人）：</w:t>
            </w:r>
            <w:r/>
          </w:p>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1、具有园林相关专业高级职称证书的得4分；</w:t>
            </w:r>
            <w:r/>
          </w:p>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2、具有园林相关专业中级职称证书的得2分。</w:t>
            </w:r>
            <w:r/>
          </w:p>
          <w:p>
            <w:pPr>
              <w:pStyle w:val="989"/>
              <w:ind w:left="0" w:firstLine="0"/>
              <w:rPr>
                <w:rFonts w:hint="eastAsia"/>
                <w:color w:val="auto"/>
                <w:highlight w:val="none"/>
                <w:lang w:val="en-US" w:eastAsia="zh-CN"/>
              </w:rPr>
            </w:pPr>
            <w:r>
              <w:rPr>
                <w:rFonts w:hint="eastAsia" w:ascii="宋体" w:hAnsi="宋体" w:eastAsia="宋体" w:cs="宋体"/>
                <w:color w:val="auto"/>
                <w:sz w:val="21"/>
                <w:szCs w:val="21"/>
                <w:highlight w:val="none"/>
                <w:lang w:val="en-US" w:eastAsia="zh-CN"/>
              </w:rPr>
              <w:t xml:space="preserve">本项最多得4分。</w:t>
            </w:r>
            <w:r/>
          </w:p>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（提供相关人员的身份证、职称证书原件扫描件及供应商为其缴纳2026年以来（至少一个月）的由劳动和社会保障部门出具的养老保险缴纳凭证。</w:t>
            </w:r>
            <w:r>
              <w:rPr>
                <w:rFonts w:hint="eastAsia" w:eastAsiaTheme="minorEastAsia"/>
                <w:color w:val="auto"/>
                <w:highlight w:val="none"/>
                <w:lang w:eastAsia="zh-CN"/>
              </w:rPr>
              <w:t xml:space="preserve">专业以职称证书为准，职称证书无法反映专业的，专业以毕业证书为准</w:t>
            </w:r>
            <w:r>
              <w:rPr>
                <w:rFonts w:hint="eastAsia" w:asciiTheme="minorHAnsi" w:eastAsiaTheme="minorEastAsia"/>
                <w:color w:val="auto"/>
                <w:highlight w:val="none"/>
                <w:lang w:val="en-US" w:eastAsia="zh-CN"/>
              </w:rPr>
              <w:t xml:space="preserve">。证明材料缺项或未提供的不得分。</w:t>
            </w:r>
            <w:r>
              <w:rPr>
                <w:rFonts w:hint="eastAsia" w:ascii="宋体" w:hAnsi="宋体" w:eastAsia="宋体" w:cs="宋体"/>
                <w:color w:val="auto"/>
                <w:sz w:val="21"/>
                <w:szCs w:val="21"/>
                <w:highlight w:val="none"/>
                <w:lang w:val="en-US" w:eastAsia="zh-CN"/>
              </w:rPr>
              <w:t xml:space="preserve">）</w:t>
            </w:r>
            <w:r/>
          </w:p>
        </w:tc>
        <w:tc>
          <w:tcPr>
            <w:tcBorders>
              <w:top w:val="single" w:color="808080" w:sz="6" w:space="0"/>
              <w:left w:val="single" w:color="808080" w:sz="6" w:space="0"/>
              <w:bottom w:val="single" w:color="808080" w:sz="6" w:space="0"/>
              <w:right w:val="single" w:color="808080" w:sz="6" w:space="0"/>
            </w:tcBorders>
            <w:tcW w:w="567" w:type="dxa"/>
            <w:vAlign w:val="center"/>
            <w:textDirection w:val="lrTb"/>
            <w:noWrap w:val="false"/>
          </w:tcPr>
          <w:p>
            <w:pPr>
              <w:jc w:val="center"/>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4</w:t>
            </w:r>
            <w:r/>
          </w:p>
        </w:tc>
        <w:tc>
          <w:tcPr>
            <w:tcBorders>
              <w:top w:val="single" w:color="808080" w:sz="6" w:space="0"/>
              <w:left w:val="single" w:color="808080" w:sz="6" w:space="0"/>
              <w:bottom w:val="single" w:color="808080" w:sz="6" w:space="0"/>
              <w:right w:val="single" w:color="999999" w:sz="4" w:space="0"/>
            </w:tcBorders>
            <w:tcW w:w="82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客观分</w:t>
            </w:r>
            <w:r/>
          </w:p>
        </w:tc>
      </w:tr>
      <w:tr>
        <w:trPr>
          <w:trHeight w:val="567"/>
        </w:trPr>
        <w:tc>
          <w:tcPr>
            <w:tcBorders>
              <w:top w:val="single" w:color="808080" w:sz="6" w:space="0"/>
              <w:left w:val="single" w:color="999999" w:sz="4" w:space="0"/>
              <w:bottom w:val="single" w:color="808080" w:sz="6" w:space="0"/>
              <w:right w:val="single" w:color="808080" w:sz="6" w:space="0"/>
            </w:tcBorders>
            <w:tcW w:w="685"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4.4</w:t>
            </w:r>
            <w:r/>
          </w:p>
        </w:tc>
        <w:tc>
          <w:tcPr>
            <w:shd w:val="clear" w:color="auto" w:fill="auto"/>
            <w:tcBorders>
              <w:top w:val="single" w:color="808080" w:sz="6" w:space="0"/>
              <w:left w:val="single" w:color="808080" w:sz="6" w:space="0"/>
              <w:bottom w:val="single" w:color="808080" w:sz="6" w:space="0"/>
              <w:right w:val="single" w:color="808080" w:sz="6" w:space="0"/>
            </w:tcBorders>
            <w:tcW w:w="992" w:type="dxa"/>
            <w:vAlign w:val="center"/>
            <w:textDirection w:val="lrTb"/>
            <w:noWrap w:val="false"/>
          </w:tcPr>
          <w:p>
            <w:pPr>
              <w:jc w:val="center"/>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造价专业负责人</w:t>
            </w:r>
            <w:r/>
          </w:p>
        </w:tc>
        <w:tc>
          <w:tcPr>
            <w:shd w:val="clear" w:color="auto" w:fill="auto"/>
            <w:tcBorders>
              <w:top w:val="single" w:color="808080" w:sz="6" w:space="0"/>
              <w:left w:val="single" w:color="808080" w:sz="6" w:space="0"/>
              <w:bottom w:val="single" w:color="808080" w:sz="6" w:space="0"/>
              <w:right w:val="single" w:color="808080" w:sz="6" w:space="0"/>
            </w:tcBorders>
            <w:tcW w:w="6647" w:type="dxa"/>
            <w:vAlign w:val="center"/>
            <w:textDirection w:val="lrTb"/>
            <w:noWrap w:val="false"/>
          </w:tcPr>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供应商拟投入本项目的造价专业负责人具有二级及以上注册造价工程师执业资格（旧版为注册造价工程师）证书得3分，同时具有工程建设类中级及以上技术职称得1分，本项最多得4分。</w:t>
            </w:r>
            <w:r/>
          </w:p>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（提供相关人员的身份证、证书原件扫描件及供应商为其缴纳2026年以来（至少一个月）的由劳动和社会保障部门出具的养老保险缴纳凭证。证明材料缺项或未提供的不得分。）</w:t>
            </w:r>
            <w:r/>
          </w:p>
        </w:tc>
        <w:tc>
          <w:tcPr>
            <w:tcBorders>
              <w:top w:val="single" w:color="808080" w:sz="6" w:space="0"/>
              <w:left w:val="single" w:color="808080" w:sz="6" w:space="0"/>
              <w:bottom w:val="single" w:color="808080" w:sz="6" w:space="0"/>
              <w:right w:val="single" w:color="808080" w:sz="6" w:space="0"/>
            </w:tcBorders>
            <w:tcW w:w="567"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Borders>
              <w:top w:val="single" w:color="808080" w:sz="6" w:space="0"/>
              <w:left w:val="single" w:color="808080" w:sz="6" w:space="0"/>
              <w:bottom w:val="single" w:color="808080" w:sz="6" w:space="0"/>
              <w:right w:val="single" w:color="999999" w:sz="4" w:space="0"/>
            </w:tcBorders>
            <w:tcW w:w="82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客观分</w:t>
            </w:r>
            <w:r/>
          </w:p>
        </w:tc>
      </w:tr>
      <w:tr>
        <w:trPr>
          <w:trHeight w:val="567"/>
        </w:trPr>
        <w:tc>
          <w:tcPr>
            <w:tcBorders>
              <w:top w:val="single" w:color="808080" w:sz="6" w:space="0"/>
              <w:left w:val="single" w:color="999999" w:sz="4" w:space="0"/>
              <w:bottom w:val="single" w:color="808080" w:sz="6" w:space="0"/>
              <w:right w:val="single" w:color="808080" w:sz="6" w:space="0"/>
            </w:tcBorders>
            <w:tcW w:w="685"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4.5</w:t>
            </w:r>
            <w:r/>
          </w:p>
        </w:tc>
        <w:tc>
          <w:tcPr>
            <w:shd w:val="clear" w:color="auto" w:fill="auto"/>
            <w:tcBorders>
              <w:top w:val="single" w:color="808080" w:sz="6" w:space="0"/>
              <w:left w:val="single" w:color="808080" w:sz="6" w:space="0"/>
              <w:bottom w:val="single" w:color="808080" w:sz="6" w:space="0"/>
              <w:right w:val="single" w:color="808080" w:sz="6" w:space="0"/>
            </w:tcBorders>
            <w:tcW w:w="992" w:type="dxa"/>
            <w:vAlign w:val="center"/>
            <w:textDirection w:val="lrTb"/>
            <w:noWrap w:val="false"/>
          </w:tcPr>
          <w:p>
            <w:pPr>
              <w:jc w:val="center"/>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安全负责人</w:t>
            </w:r>
            <w:r/>
          </w:p>
        </w:tc>
        <w:tc>
          <w:tcPr>
            <w:shd w:val="clear" w:color="auto" w:fill="auto"/>
            <w:tcBorders>
              <w:top w:val="single" w:color="808080" w:sz="6" w:space="0"/>
              <w:left w:val="single" w:color="808080" w:sz="6" w:space="0"/>
              <w:bottom w:val="single" w:color="808080" w:sz="6" w:space="0"/>
              <w:right w:val="single" w:color="808080" w:sz="6" w:space="0"/>
            </w:tcBorders>
            <w:tcW w:w="6647" w:type="dxa"/>
            <w:vAlign w:val="center"/>
            <w:textDirection w:val="lrTb"/>
            <w:noWrap w:val="false"/>
          </w:tcPr>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拟投入本项目的安全负责人1名：具有专职安全员C证得1分，同时具有工程建设类中级及以上技术职称得1分，本项最多得2分。</w:t>
            </w:r>
            <w:r/>
          </w:p>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（提供相关人员的身份证、证书原件扫描件及供应商为其缴纳2026年以来（至少一个月）的由劳动和社会保障部门出具的养老保险缴纳凭证。证明材料缺项或未提供的不得分。）</w:t>
            </w:r>
            <w:r/>
          </w:p>
        </w:tc>
        <w:tc>
          <w:tcPr>
            <w:tcBorders>
              <w:top w:val="single" w:color="808080" w:sz="6" w:space="0"/>
              <w:left w:val="single" w:color="808080" w:sz="6" w:space="0"/>
              <w:bottom w:val="single" w:color="808080" w:sz="6" w:space="0"/>
              <w:right w:val="single" w:color="808080" w:sz="6" w:space="0"/>
            </w:tcBorders>
            <w:tcW w:w="567"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808080" w:sz="6" w:space="0"/>
              <w:left w:val="single" w:color="808080" w:sz="6" w:space="0"/>
              <w:bottom w:val="single" w:color="808080" w:sz="6" w:space="0"/>
              <w:right w:val="single" w:color="999999" w:sz="4" w:space="0"/>
            </w:tcBorders>
            <w:tcW w:w="82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客观分</w:t>
            </w:r>
            <w:r/>
          </w:p>
        </w:tc>
      </w:tr>
      <w:tr>
        <w:trPr>
          <w:trHeight w:val="567"/>
        </w:trPr>
        <w:tc>
          <w:tcPr>
            <w:tcBorders>
              <w:top w:val="single" w:color="808080" w:sz="6" w:space="0"/>
              <w:left w:val="single" w:color="999999" w:sz="4" w:space="0"/>
              <w:bottom w:val="single" w:color="808080" w:sz="6" w:space="0"/>
              <w:right w:val="single" w:color="808080" w:sz="6" w:space="0"/>
            </w:tcBorders>
            <w:tcW w:w="685"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4.6</w:t>
            </w:r>
            <w:r/>
          </w:p>
        </w:tc>
        <w:tc>
          <w:tcPr>
            <w:shd w:val="clear" w:color="auto" w:fill="auto"/>
            <w:tcBorders>
              <w:top w:val="single" w:color="808080" w:sz="6" w:space="0"/>
              <w:left w:val="single" w:color="808080" w:sz="6" w:space="0"/>
              <w:bottom w:val="single" w:color="808080" w:sz="6" w:space="0"/>
              <w:right w:val="single" w:color="808080" w:sz="6" w:space="0"/>
            </w:tcBorders>
            <w:tcW w:w="992" w:type="dxa"/>
            <w:vAlign w:val="center"/>
            <w:textDirection w:val="lrTb"/>
            <w:noWrap w:val="false"/>
          </w:tcPr>
          <w:p>
            <w:pPr>
              <w:jc w:val="center"/>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其他人员</w:t>
            </w:r>
            <w:r/>
          </w:p>
        </w:tc>
        <w:tc>
          <w:tcPr>
            <w:shd w:val="clear" w:color="auto" w:fill="auto"/>
            <w:tcBorders>
              <w:top w:val="single" w:color="808080" w:sz="6" w:space="0"/>
              <w:left w:val="single" w:color="808080" w:sz="6" w:space="0"/>
              <w:bottom w:val="single" w:color="808080" w:sz="6" w:space="0"/>
              <w:right w:val="single" w:color="808080" w:sz="6" w:space="0"/>
            </w:tcBorders>
            <w:tcW w:w="6647" w:type="dxa"/>
            <w:vAlign w:val="center"/>
            <w:textDirection w:val="lrTb"/>
            <w:noWrap w:val="false"/>
          </w:tcPr>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拟投入本项目的资料员、质量员、材料员、施工员，具有建设行政主管部门颁发相关专业证书，人员齐全的得4分，缺一不得分。</w:t>
            </w:r>
            <w:r/>
          </w:p>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（提供相关人员的身份证、证书原件扫描件及供应商为其缴纳2026年以来（至少一个月）的由劳动和社会保障部门出具的养老保险缴纳凭证。证明材料缺项或未提供的不得分。）</w:t>
            </w:r>
            <w:r/>
          </w:p>
        </w:tc>
        <w:tc>
          <w:tcPr>
            <w:tcBorders>
              <w:top w:val="single" w:color="808080" w:sz="6" w:space="0"/>
              <w:left w:val="single" w:color="808080" w:sz="6" w:space="0"/>
              <w:bottom w:val="single" w:color="808080" w:sz="6" w:space="0"/>
              <w:right w:val="single" w:color="808080" w:sz="6" w:space="0"/>
            </w:tcBorders>
            <w:tcW w:w="567" w:type="dxa"/>
            <w:vAlign w:val="center"/>
            <w:textDirection w:val="lrTb"/>
            <w:noWrap w:val="false"/>
          </w:tcPr>
          <w:p>
            <w:pPr>
              <w:jc w:val="center"/>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4</w:t>
            </w:r>
            <w:r/>
          </w:p>
        </w:tc>
        <w:tc>
          <w:tcPr>
            <w:tcBorders>
              <w:top w:val="single" w:color="808080" w:sz="6" w:space="0"/>
              <w:left w:val="single" w:color="808080" w:sz="6" w:space="0"/>
              <w:bottom w:val="single" w:color="808080" w:sz="6" w:space="0"/>
              <w:right w:val="single" w:color="999999" w:sz="4" w:space="0"/>
            </w:tcBorders>
            <w:tcW w:w="82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客观分</w:t>
            </w:r>
            <w:r/>
          </w:p>
        </w:tc>
      </w:tr>
      <w:tr>
        <w:trPr>
          <w:trHeight w:val="567"/>
        </w:trPr>
        <w:tc>
          <w:tcPr>
            <w:tcBorders>
              <w:top w:val="single" w:color="808080" w:sz="6" w:space="0"/>
              <w:left w:val="single" w:color="999999" w:sz="4" w:space="0"/>
              <w:bottom w:val="single" w:color="808080" w:sz="6" w:space="0"/>
              <w:right w:val="single" w:color="808080" w:sz="6" w:space="0"/>
            </w:tcBorders>
            <w:tcW w:w="6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合计</w:t>
            </w:r>
            <w:r/>
          </w:p>
        </w:tc>
        <w:tc>
          <w:tcPr>
            <w:gridSpan w:val="2"/>
            <w:tcBorders>
              <w:top w:val="single" w:color="808080" w:sz="6" w:space="0"/>
              <w:left w:val="single" w:color="808080" w:sz="6" w:space="0"/>
              <w:bottom w:val="single" w:color="808080" w:sz="6" w:space="0"/>
              <w:right w:val="single" w:color="808080" w:sz="6" w:space="0"/>
            </w:tcBorders>
            <w:tcW w:w="763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808080" w:sz="6" w:space="0"/>
              <w:left w:val="single" w:color="808080" w:sz="6" w:space="0"/>
              <w:bottom w:val="single" w:color="808080" w:sz="6" w:space="0"/>
              <w:right w:val="single" w:color="999999" w:sz="4" w:space="0"/>
            </w:tcBorders>
            <w:tcW w:w="13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100分</w:t>
            </w:r>
            <w:r/>
          </w:p>
        </w:tc>
      </w:tr>
    </w:tbl>
    <w:p>
      <w:pPr>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r>
      <w:r/>
    </w:p>
    <w:p>
      <w:pPr>
        <w:pStyle w:val="939"/>
        <w:ind w:left="0" w:right="220" w:firstLine="422"/>
        <w:jc w:val="both"/>
        <w:spacing w:before="24" w:line="312" w:lineRule="auto"/>
        <w:rPr>
          <w:rFonts w:hint="eastAsia" w:ascii="宋体" w:hAnsi="宋体" w:eastAsia="宋体" w:cs="宋体"/>
          <w:b/>
          <w:bCs/>
          <w:color w:val="auto"/>
          <w:highlight w:val="none"/>
          <w:lang w:eastAsia="zh-CN"/>
        </w:rPr>
      </w:pPr>
      <w:r>
        <w:rPr>
          <w:rFonts w:hint="eastAsia" w:eastAsia="宋体" w:cs="宋体"/>
          <w:b/>
          <w:bCs/>
          <w:color w:val="auto"/>
          <w:highlight w:val="none"/>
          <w:lang w:val="en-US" w:eastAsia="zh-CN"/>
        </w:rPr>
        <w:t xml:space="preserve">三、评审</w:t>
      </w:r>
      <w:r>
        <w:rPr>
          <w:rFonts w:hint="eastAsia" w:ascii="宋体" w:hAnsi="宋体" w:eastAsia="宋体" w:cs="宋体"/>
          <w:b/>
          <w:bCs/>
          <w:color w:val="auto"/>
          <w:highlight w:val="none"/>
          <w:lang w:eastAsia="zh-CN"/>
        </w:rPr>
        <w:t xml:space="preserve">说明</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对国家认定的节能产品和环保产品分别给予投标价的5%、5%价格扣除，用扣除后的价格参与评审（特别说明：节能、环保产品必须纳入“中国政府采购网”等官方网站“节能、环保产品查询系统”，且以提供的证书复印件为准）。</w:t>
      </w:r>
      <w:r/>
    </w:p>
    <w:p>
      <w:pPr>
        <w:ind w:firstLine="420"/>
        <w:spacing w:line="360" w:lineRule="auto"/>
        <w:rPr>
          <w:rFonts w:hint="eastAsia" w:ascii="宋体" w:hAnsi="宋体" w:eastAsia="宋体" w:cs="宋体"/>
          <w:color w:val="auto"/>
          <w:szCs w:val="21"/>
          <w:highlight w:val="none"/>
          <w:u w:val="none"/>
        </w:rPr>
        <w:outlineLvl w:val="1"/>
      </w:pPr>
      <w:r/>
      <w:bookmarkStart w:id="25" w:name="_Toc29997"/>
      <w:r/>
      <w:bookmarkStart w:id="26" w:name="_Toc24494"/>
      <w:r>
        <w:rPr>
          <w:rFonts w:hint="eastAsia" w:ascii="宋体" w:hAnsi="宋体" w:eastAsia="宋体" w:cs="宋体"/>
          <w:color w:val="auto"/>
          <w:szCs w:val="21"/>
          <w:highlight w:val="none"/>
          <w:u w:val="none"/>
        </w:rPr>
        <w:t xml:space="preserve">2、小微型企业价格扣除</w:t>
      </w:r>
      <w:bookmarkEnd w:id="25"/>
      <w:r/>
      <w:bookmarkEnd w:id="26"/>
      <w:r/>
      <w:r/>
    </w:p>
    <w:p>
      <w:pPr>
        <w:ind w:firstLine="420"/>
        <w:spacing w:line="360" w:lineRule="auto"/>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 xml:space="preserve">（1）本项目对小型和微型企业产品给予10%的扣除价格，对联合投标企业产品的价格给予4%的扣除（联合协议中约定，小型、微型企业的协议合同金额占到联合体协议合同总金额30%以上的，可给予联合体4%的价格扣除），用扣除后的价格参与评审。</w:t>
      </w:r>
      <w:r/>
    </w:p>
    <w:p>
      <w:pPr>
        <w:ind w:firstLine="420"/>
        <w:spacing w:line="360" w:lineRule="auto"/>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 xml:space="preserve">（2）供应商需按照招标文件的要求提供相应的《中小企业声明函》。</w:t>
      </w:r>
      <w:r/>
    </w:p>
    <w:p>
      <w:pPr>
        <w:ind w:firstLine="420"/>
        <w:spacing w:line="360" w:lineRule="auto"/>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 xml:space="preserve">（3）企业标准请参照《关于印发中小企业划型标准规定的通知》（工信部联企业[2011]300号）文件规定自行填写。</w:t>
      </w:r>
      <w:r/>
    </w:p>
    <w:p>
      <w:pPr>
        <w:ind w:firstLine="420"/>
        <w:spacing w:line="360" w:lineRule="auto"/>
        <w:rPr>
          <w:rFonts w:hint="eastAsia" w:ascii="宋体" w:hAnsi="宋体" w:eastAsia="宋体" w:cs="宋体"/>
          <w:color w:val="auto"/>
          <w:szCs w:val="21"/>
          <w:highlight w:val="none"/>
        </w:rPr>
        <w:outlineLvl w:val="1"/>
      </w:pPr>
      <w:r/>
      <w:bookmarkStart w:id="27" w:name="_Toc15530"/>
      <w:r/>
      <w:bookmarkStart w:id="28" w:name="_Toc6427"/>
      <w:r>
        <w:rPr>
          <w:rFonts w:hint="eastAsia" w:ascii="宋体" w:hAnsi="宋体" w:eastAsia="宋体" w:cs="宋体"/>
          <w:color w:val="auto"/>
          <w:szCs w:val="21"/>
          <w:highlight w:val="none"/>
        </w:rPr>
        <w:t xml:space="preserve">3、残疾人福利单位价格扣除</w:t>
      </w:r>
      <w:bookmarkEnd w:id="27"/>
      <w:r/>
      <w:bookmarkEnd w:id="28"/>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（1）本项目对残疾人福利性单位视同小型、微型企业，给予10%的价格扣除，用扣除后的价格参与评审。</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（2）残疾人福利单位需按照招标文件的要求提供《残疾人福利性单位声明函》。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（3）残疾人福利单位标准请参照《关于促进残疾人就业政府采购政策的通知》（财库〔2017〕141号）。</w:t>
      </w:r>
      <w:r/>
    </w:p>
    <w:p>
      <w:pPr>
        <w:ind w:firstLine="420"/>
        <w:spacing w:line="360" w:lineRule="auto"/>
        <w:rPr>
          <w:rFonts w:hint="eastAsia" w:ascii="宋体" w:hAnsi="宋体" w:eastAsia="宋体" w:cs="宋体"/>
          <w:color w:val="auto"/>
          <w:szCs w:val="21"/>
          <w:highlight w:val="none"/>
        </w:rPr>
        <w:outlineLvl w:val="1"/>
      </w:pPr>
      <w:r/>
      <w:bookmarkStart w:id="29" w:name="_Toc14957"/>
      <w:r/>
      <w:bookmarkStart w:id="30" w:name="_Toc1630"/>
      <w:r>
        <w:rPr>
          <w:rFonts w:hint="eastAsia" w:ascii="宋体" w:hAnsi="宋体" w:eastAsia="宋体" w:cs="宋体"/>
          <w:color w:val="auto"/>
          <w:szCs w:val="21"/>
          <w:highlight w:val="none"/>
        </w:rPr>
        <w:t xml:space="preserve">4、监狱和戒毒企业价格扣除</w:t>
      </w:r>
      <w:bookmarkEnd w:id="29"/>
      <w:r/>
      <w:bookmarkEnd w:id="30"/>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（1）本项目对监狱和戒毒企业（简称监狱企业</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）视同小型、微型企业，给予10%的价格扣除，用扣除后的价格参与评审。</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（3）监狱企业标准请参照《关于政府采购支持监狱企业发展有关问题的通知》（财库[2014]68号）。</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5、残疾人福利单位、监狱企业属于小型、微型企业的，不重复享受政策。</w:t>
      </w:r>
      <w:r/>
    </w:p>
    <w:p>
      <w:pPr>
        <w:ind w:firstLine="420"/>
        <w:spacing w:line="360" w:lineRule="auto"/>
        <w:rPr>
          <w:rFonts w:hint="eastAsia" w:ascii="宋体" w:hAnsi="宋体" w:eastAsia="宋体" w:cs="宋体"/>
          <w:color w:val="auto"/>
          <w:szCs w:val="21"/>
          <w:highlight w:val="none"/>
        </w:rPr>
        <w:outlineLvl w:val="1"/>
      </w:pPr>
      <w:r/>
      <w:bookmarkStart w:id="31" w:name="_Toc23339"/>
      <w:r/>
      <w:bookmarkStart w:id="32" w:name="_Toc27485"/>
      <w:r>
        <w:rPr>
          <w:rFonts w:hint="eastAsia" w:ascii="宋体" w:hAnsi="宋体" w:eastAsia="宋体" w:cs="宋体"/>
          <w:color w:val="auto"/>
          <w:szCs w:val="21"/>
          <w:highlight w:val="none"/>
        </w:rPr>
        <w:t xml:space="preserve">6、评标委员会不保证有效报价最低的投标供应商中标。</w:t>
      </w:r>
      <w:bookmarkEnd w:id="31"/>
      <w:r/>
      <w:bookmarkEnd w:id="32"/>
      <w:r/>
      <w:r/>
    </w:p>
    <w:p>
      <w:pPr>
        <w:ind w:firstLine="422"/>
        <w:spacing w:line="360" w:lineRule="auto"/>
        <w:rPr>
          <w:rFonts w:hint="eastAsia" w:ascii="宋体" w:hAnsi="宋体" w:eastAsia="宋体" w:cs="宋体"/>
          <w:b/>
          <w:bCs/>
          <w:color w:val="auto"/>
          <w:szCs w:val="21"/>
          <w:highlight w:val="none"/>
          <w:u w:val="single"/>
        </w:rPr>
      </w:pPr>
      <w:r>
        <w:rPr>
          <w:rFonts w:hint="eastAsia" w:ascii="宋体" w:hAnsi="宋体" w:eastAsia="宋体" w:cs="宋体"/>
          <w:b/>
          <w:bCs/>
          <w:color w:val="auto"/>
          <w:szCs w:val="21"/>
          <w:highlight w:val="none"/>
          <w:u w:val="single"/>
        </w:rPr>
        <w:t xml:space="preserve">7、投标时上传的相关证明，在中标后需提供原件至招标代理公司进行核验，若投标供应商提供虚假资料，一经查实按弄虚作假处理废除中标资格。</w:t>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990"/>
        <w:ind w:left="737" w:firstLine="0"/>
        <w:jc w:val="center"/>
        <w:keepLines w:val="0"/>
        <w:keepNext w:val="0"/>
        <w:pageBreakBefore w:val="0"/>
        <w:spacing w:line="360" w:lineRule="auto"/>
        <w:widowControl w:val="off"/>
        <w:rPr>
          <w:rFonts w:hint="eastAsia" w:ascii="宋体" w:hAnsi="宋体" w:eastAsia="宋体" w:cs="宋体"/>
          <w:b/>
          <w:bCs/>
          <w:color w:val="auto"/>
          <w:sz w:val="32"/>
          <w:szCs w:val="32"/>
          <w:highlight w:val="none"/>
        </w:rPr>
        <w:outlineLvl w:val="0"/>
      </w:pPr>
      <w:r>
        <w:rPr>
          <w:highlight w:val="none"/>
        </w:rPr>
      </w:r>
      <w:r>
        <w:rPr>
          <w:highlight w:val="none"/>
        </w:rPr>
      </w:r>
      <w:r/>
    </w:p>
    <w:p>
      <w:pPr>
        <w:pStyle w:val="990"/>
        <w:ind w:left="737" w:firstLine="0"/>
        <w:jc w:val="center"/>
        <w:keepLines w:val="0"/>
        <w:keepNext w:val="0"/>
        <w:pageBreakBefore w:val="0"/>
        <w:spacing w:line="360" w:lineRule="auto"/>
        <w:widowControl w:val="off"/>
        <w:rPr>
          <w:highlight w:val="none"/>
        </w:rPr>
        <w:outlineLvl w:val="0"/>
      </w:pPr>
      <w:r/>
      <w:bookmarkStart w:id="33" w:name="_Toc20023"/>
      <w:r>
        <w:rPr>
          <w:rFonts w:hint="eastAsia" w:ascii="宋体" w:hAnsi="宋体" w:eastAsia="宋体" w:cs="宋体"/>
          <w:b/>
          <w:color w:val="auto"/>
          <w:sz w:val="32"/>
          <w:szCs w:val="32"/>
          <w:highlight w:val="none"/>
        </w:rPr>
        <w:t xml:space="preserve">第四章</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 xml:space="preserve">采购需求</w:t>
      </w:r>
      <w:bookmarkEnd w:id="33"/>
      <w:r/>
      <w:r/>
    </w:p>
    <w:p>
      <w:pPr>
        <w:keepLines w:val="0"/>
        <w:keepNext w:val="0"/>
        <w:pageBreakBefore w:val="0"/>
        <w:spacing w:line="360" w:lineRule="auto"/>
        <w:rPr>
          <w:rFonts w:hint="eastAsia" w:ascii="宋体" w:hAnsi="宋体" w:eastAsia="宋体" w:cs="宋体"/>
          <w:b/>
          <w:bCs/>
          <w:color w:val="auto"/>
          <w:sz w:val="24"/>
          <w:szCs w:val="24"/>
          <w:highlight w:val="none"/>
        </w:rPr>
        <w:outlineLvl w:val="1"/>
      </w:pPr>
      <w:r/>
      <w:bookmarkStart w:id="34" w:name="_Toc26515"/>
      <w:r/>
      <w:bookmarkStart w:id="35" w:name="_Toc18922"/>
      <w:r>
        <w:rPr>
          <w:rFonts w:hint="eastAsia" w:ascii="宋体" w:hAnsi="宋体" w:eastAsia="宋体" w:cs="宋体"/>
          <w:b/>
          <w:bCs/>
          <w:color w:val="auto"/>
          <w:sz w:val="24"/>
          <w:szCs w:val="24"/>
          <w:highlight w:val="none"/>
        </w:rPr>
        <w:t xml:space="preserve">一、项目属性：服务类项目</w:t>
      </w:r>
      <w:bookmarkEnd w:id="34"/>
      <w:r/>
      <w:r/>
    </w:p>
    <w:p>
      <w:pPr>
        <w:keepLines w:val="0"/>
        <w:keepNext w:val="0"/>
        <w:pageBreakBefore w:val="0"/>
        <w:spacing w:line="360" w:lineRule="auto"/>
        <w:rPr>
          <w:rFonts w:hint="eastAsia" w:ascii="宋体" w:hAnsi="宋体" w:eastAsia="宋体" w:cs="宋体"/>
          <w:b/>
          <w:bCs/>
          <w:color w:val="auto"/>
          <w:sz w:val="24"/>
          <w:szCs w:val="24"/>
          <w:highlight w:val="none"/>
        </w:rPr>
        <w:outlineLvl w:val="1"/>
      </w:pPr>
      <w:r/>
      <w:bookmarkStart w:id="36" w:name="_Toc12144"/>
      <w:r>
        <w:rPr>
          <w:rFonts w:hint="eastAsia" w:ascii="宋体" w:hAnsi="宋体" w:eastAsia="宋体" w:cs="宋体"/>
          <w:b/>
          <w:bCs/>
          <w:color w:val="auto"/>
          <w:sz w:val="24"/>
          <w:szCs w:val="24"/>
          <w:highlight w:val="none"/>
        </w:rPr>
        <w:t xml:space="preserve">二、项目概况</w:t>
      </w:r>
      <w:bookmarkEnd w:id="36"/>
      <w:r/>
      <w:r/>
    </w:p>
    <w:p>
      <w:pP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（一）项目背景</w:t>
      </w:r>
      <w:r/>
    </w:p>
    <w:p>
      <w:pPr>
        <w:ind w:firstLine="48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为广大市民出行提供优良的基础设施保障，确保养护范围内设施完好运行，拟</w:t>
      </w:r>
      <w:r>
        <w:rPr>
          <w:rFonts w:hint="eastAsia" w:ascii="宋体" w:hAnsi="宋体" w:eastAsia="宋体" w:cs="宋体"/>
          <w:color w:val="auto"/>
          <w:sz w:val="21"/>
          <w:szCs w:val="21"/>
          <w:highlight w:val="none"/>
          <w:lang w:val="en-US" w:eastAsia="zh-CN"/>
        </w:rPr>
        <w:t xml:space="preserve">实施</w:t>
      </w:r>
      <w:r>
        <w:rPr>
          <w:rFonts w:hint="eastAsia" w:ascii="宋体" w:hAnsi="宋体" w:eastAsia="宋体" w:cs="宋体"/>
          <w:color w:val="auto"/>
          <w:sz w:val="21"/>
          <w:szCs w:val="21"/>
          <w:highlight w:val="none"/>
        </w:rPr>
        <w:t xml:space="preserve">东山主城区绿化养护服务，为市民打造生态宜居、整洁有序的高品质生活空间。</w:t>
      </w:r>
      <w:r/>
    </w:p>
    <w:p>
      <w:pP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（二）项目建设遵循标准，包括且不限于以下标准：</w:t>
      </w:r>
      <w:r/>
    </w:p>
    <w:p>
      <w:pPr>
        <w:ind w:firstLine="48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《江苏省城市园林绿化养护管理规范及分级标准》</w:t>
      </w:r>
      <w:r/>
    </w:p>
    <w:p>
      <w:pPr>
        <w:ind w:firstLine="48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《南京市行道树养护技术规程》</w:t>
      </w:r>
      <w:r/>
    </w:p>
    <w:p>
      <w:pPr>
        <w:ind w:firstLine="48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《南京市绿地园林植物养护技术规程（试行）》</w:t>
      </w:r>
      <w:r/>
    </w:p>
    <w:p>
      <w:pPr>
        <w:ind w:firstLine="48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《南京市园林绿化养护质量标准（试行）》</w:t>
      </w:r>
      <w:r/>
    </w:p>
    <w:p>
      <w:pPr>
        <w:ind w:firstLine="48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《南京市悬铃木行道树保护和有机更新技术导则》</w:t>
      </w:r>
      <w:r/>
    </w:p>
    <w:p>
      <w:pPr>
        <w:ind w:firstLine="48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注：如上级相应规范标准有更新，按照最新版本执行。</w:t>
      </w:r>
      <w:r/>
    </w:p>
    <w:p>
      <w:pPr>
        <w:keepLines w:val="0"/>
        <w:keepNext w:val="0"/>
        <w:pageBreakBefore w:val="0"/>
        <w:spacing w:line="360" w:lineRule="auto"/>
        <w:rPr>
          <w:rFonts w:hint="eastAsia" w:ascii="宋体" w:hAnsi="宋体" w:eastAsia="宋体" w:cs="宋体"/>
          <w:b/>
          <w:bCs/>
          <w:color w:val="auto"/>
          <w:sz w:val="24"/>
          <w:szCs w:val="24"/>
          <w:highlight w:val="none"/>
        </w:rPr>
        <w:outlineLvl w:val="1"/>
      </w:pPr>
      <w:r/>
      <w:bookmarkStart w:id="37" w:name="_Toc20219"/>
      <w:r>
        <w:rPr>
          <w:rFonts w:hint="eastAsia" w:ascii="宋体" w:hAnsi="宋体" w:eastAsia="宋体" w:cs="宋体"/>
          <w:b/>
          <w:bCs/>
          <w:color w:val="auto"/>
          <w:sz w:val="24"/>
          <w:szCs w:val="24"/>
          <w:highlight w:val="none"/>
        </w:rPr>
        <w:t xml:space="preserve">三、项目清单</w:t>
      </w:r>
      <w:bookmarkEnd w:id="37"/>
      <w:r/>
      <w:r/>
    </w:p>
    <w:tbl>
      <w:tblPr>
        <w:tblStyle w:val="1515"/>
        <w:tblpPr w:horzAnchor="page" w:tblpX="1203" w:vertAnchor="text" w:tblpY="251" w:leftFromText="180" w:topFromText="0" w:rightFromText="180" w:bottomFromText="0"/>
        <w:tblW w:w="5237"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98"/>
        <w:gridCol w:w="2167"/>
        <w:gridCol w:w="906"/>
        <w:gridCol w:w="758"/>
        <w:gridCol w:w="1514"/>
        <w:gridCol w:w="1064"/>
        <w:gridCol w:w="1602"/>
        <w:gridCol w:w="1271"/>
      </w:tblGrid>
      <w:tr>
        <w:trPr>
          <w:trHeight w:val="567"/>
        </w:trPr>
        <w:tc>
          <w:tcPr>
            <w:tcW w:w="753" w:type="dxa"/>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序号</w:t>
            </w:r>
            <w:r/>
          </w:p>
        </w:tc>
        <w:tc>
          <w:tcPr>
            <w:tcW w:w="2043" w:type="dxa"/>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分项名称</w:t>
            </w:r>
            <w:r/>
          </w:p>
        </w:tc>
        <w:tc>
          <w:tcPr>
            <w:tcW w:w="855" w:type="dxa"/>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数量</w:t>
            </w:r>
            <w:r/>
          </w:p>
        </w:tc>
        <w:tc>
          <w:tcPr>
            <w:tcW w:w="714" w:type="dxa"/>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单位</w:t>
            </w:r>
            <w:r/>
          </w:p>
        </w:tc>
        <w:tc>
          <w:tcPr>
            <w:tcW w:w="1428" w:type="dxa"/>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限价</w:t>
            </w:r>
            <w:r/>
          </w:p>
          <w:p>
            <w:pPr>
              <w:ind w:firstLine="0"/>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（万元/年）</w:t>
            </w:r>
            <w:r/>
          </w:p>
        </w:tc>
        <w:tc>
          <w:tcPr>
            <w:tcW w:w="1002" w:type="dxa"/>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产品类型</w:t>
            </w:r>
            <w:r/>
          </w:p>
        </w:tc>
        <w:tc>
          <w:tcPr>
            <w:tcW w:w="1510" w:type="dxa"/>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所属行业</w:t>
            </w:r>
            <w:r/>
          </w:p>
        </w:tc>
        <w:tc>
          <w:tcPr>
            <w:tcW w:w="1198" w:type="dxa"/>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属性</w:t>
            </w:r>
            <w:r/>
          </w:p>
        </w:tc>
      </w:tr>
      <w:tr>
        <w:trPr>
          <w:trHeight w:val="564"/>
        </w:trPr>
        <w:tc>
          <w:tcPr>
            <w:tcW w:w="753"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2043"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东山主城区园林绿化日常养护服务</w:t>
            </w:r>
            <w:r/>
          </w:p>
        </w:tc>
        <w:tc>
          <w:tcPr>
            <w:tcW w:w="855"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714"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w:t>
            </w:r>
            <w:r/>
          </w:p>
        </w:tc>
        <w:tc>
          <w:tcPr>
            <w:tcW w:w="1428"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2700</w:t>
            </w:r>
            <w:r/>
          </w:p>
        </w:tc>
        <w:tc>
          <w:tcPr>
            <w:tcW w:w="1002"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主要产品</w:t>
            </w:r>
            <w:r/>
          </w:p>
        </w:tc>
        <w:tc>
          <w:tcPr>
            <w:tcW w:w="1510"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其他未列明行业</w:t>
            </w:r>
            <w:r/>
          </w:p>
        </w:tc>
        <w:tc>
          <w:tcPr>
            <w:tcW w:w="1198"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服务</w:t>
            </w:r>
            <w:r/>
          </w:p>
        </w:tc>
      </w:tr>
      <w:tr>
        <w:trPr>
          <w:trHeight w:val="567"/>
        </w:trPr>
        <w:tc>
          <w:tcPr>
            <w:tcW w:w="753"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p>
        </w:tc>
        <w:tc>
          <w:tcPr>
            <w:tcW w:w="2043"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维修专项</w:t>
            </w:r>
            <w:r/>
          </w:p>
        </w:tc>
        <w:tc>
          <w:tcPr>
            <w:tcW w:w="855"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714"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w:t>
            </w:r>
            <w:r/>
          </w:p>
        </w:tc>
        <w:tc>
          <w:tcPr>
            <w:tcW w:w="1428"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00</w:t>
            </w:r>
            <w:r/>
          </w:p>
        </w:tc>
        <w:tc>
          <w:tcPr>
            <w:tcW w:w="1002"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主要产品</w:t>
            </w:r>
            <w:r/>
          </w:p>
        </w:tc>
        <w:tc>
          <w:tcPr>
            <w:tcW w:w="1510"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其他未列明行业</w:t>
            </w:r>
            <w:r/>
          </w:p>
        </w:tc>
        <w:tc>
          <w:tcPr>
            <w:tcW w:w="1198"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服务</w:t>
            </w:r>
            <w:r/>
          </w:p>
        </w:tc>
      </w:tr>
    </w:tbl>
    <w:p>
      <w:pPr>
        <w:keepLines w:val="0"/>
        <w:keepNext w:val="0"/>
        <w:pageBreakBefore w:val="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b/>
          <w:bCs/>
          <w:color w:val="auto"/>
          <w:sz w:val="24"/>
          <w:szCs w:val="24"/>
          <w:highlight w:val="none"/>
        </w:rPr>
        <w:outlineLvl w:val="1"/>
      </w:pPr>
      <w:r/>
      <w:bookmarkStart w:id="38" w:name="_Toc12841"/>
      <w:r>
        <w:rPr>
          <w:rFonts w:hint="eastAsia" w:ascii="宋体" w:hAnsi="宋体" w:eastAsia="宋体" w:cs="宋体"/>
          <w:b/>
          <w:bCs/>
          <w:color w:val="auto"/>
          <w:sz w:val="24"/>
          <w:szCs w:val="24"/>
          <w:highlight w:val="none"/>
        </w:rPr>
        <w:t xml:space="preserve">四、拟采购标的需要满足的技术、商务要求</w:t>
      </w:r>
      <w:bookmarkEnd w:id="38"/>
      <w:r/>
      <w:r/>
    </w:p>
    <w:p>
      <w:pPr>
        <w:keepLines w:val="0"/>
        <w:keepNext w:val="0"/>
        <w:pageBreakBefore w:val="0"/>
        <w:spacing w:line="360" w:lineRule="auto"/>
        <w:rPr>
          <w:rFonts w:hint="eastAsia" w:ascii="宋体" w:hAnsi="宋体" w:eastAsia="宋体" w:cs="宋体"/>
          <w:b/>
          <w:bCs/>
          <w:color w:val="auto"/>
          <w:sz w:val="24"/>
          <w:szCs w:val="24"/>
          <w:highlight w:val="none"/>
          <w:u w:val="none"/>
          <w:shd w:val="clear" w:color="auto" w:fill="auto"/>
        </w:rPr>
        <w:outlineLvl w:val="1"/>
      </w:pPr>
      <w:r/>
      <w:bookmarkStart w:id="39" w:name="_Toc3486"/>
      <w:r>
        <w:rPr>
          <w:rFonts w:hint="eastAsia" w:ascii="黑体" w:hAnsi="黑体" w:eastAsia="黑体" w:cs="黑体"/>
          <w:color w:val="auto"/>
          <w:sz w:val="24"/>
          <w:szCs w:val="24"/>
          <w:highlight w:val="none"/>
          <w:u w:val="none"/>
          <w:shd w:val="clear" w:color="auto" w:fill="auto"/>
        </w:rPr>
        <w:t xml:space="preserve">★</w:t>
      </w:r>
      <w:r>
        <w:rPr>
          <w:rFonts w:hint="eastAsia" w:ascii="宋体" w:hAnsi="宋体" w:eastAsia="宋体" w:cs="宋体"/>
          <w:b/>
          <w:bCs/>
          <w:color w:val="auto"/>
          <w:sz w:val="24"/>
          <w:szCs w:val="24"/>
          <w:highlight w:val="none"/>
          <w:u w:val="none"/>
          <w:shd w:val="clear" w:color="auto" w:fill="auto"/>
        </w:rPr>
        <w:t xml:space="preserve">（一）技术要求</w:t>
      </w:r>
      <w:bookmarkEnd w:id="39"/>
      <w:r/>
      <w:r/>
    </w:p>
    <w:p>
      <w:pPr>
        <w:jc w:val="both"/>
        <w:keepLines w:val="0"/>
        <w:keepNext w:val="0"/>
        <w:pageBreakBefore w:val="0"/>
        <w:spacing w:line="360" w:lineRule="auto"/>
        <w:rPr>
          <w:rFonts w:hint="eastAsia" w:ascii="宋体" w:hAnsi="宋体" w:eastAsia="宋体" w:cs="宋体"/>
          <w:b/>
          <w:bCs/>
          <w:color w:val="auto"/>
          <w:sz w:val="24"/>
          <w:szCs w:val="24"/>
          <w:highlight w:val="none"/>
          <w:lang w:val="en-US" w:eastAsia="zh-CN"/>
        </w:rPr>
        <w:outlineLvl w:val="1"/>
      </w:pPr>
      <w:r/>
      <w:bookmarkStart w:id="40" w:name="_Toc19695"/>
      <w:r>
        <w:rPr>
          <w:rFonts w:hint="eastAsia" w:ascii="宋体" w:hAnsi="宋体" w:eastAsia="宋体" w:cs="宋体"/>
          <w:b/>
          <w:bCs/>
          <w:color w:val="auto"/>
          <w:sz w:val="24"/>
          <w:szCs w:val="24"/>
          <w:highlight w:val="none"/>
          <w:lang w:val="en-US" w:eastAsia="zh-CN"/>
        </w:rPr>
        <w:t xml:space="preserve">第一部分：</w:t>
      </w:r>
      <w:r>
        <w:rPr>
          <w:rFonts w:hint="eastAsia" w:ascii="宋体" w:hAnsi="宋体" w:eastAsia="宋体" w:cs="宋体"/>
          <w:b/>
          <w:bCs/>
          <w:color w:val="auto"/>
          <w:sz w:val="24"/>
          <w:szCs w:val="24"/>
          <w:highlight w:val="none"/>
        </w:rPr>
        <w:t xml:space="preserve">东山主城区园林绿化日常养护服务</w:t>
      </w:r>
      <w:bookmarkEnd w:id="40"/>
      <w:r/>
      <w:r/>
    </w:p>
    <w:p>
      <w:pPr>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1、总体内容及要求：</w:t>
      </w:r>
      <w:r/>
    </w:p>
    <w:p>
      <w:pPr>
        <w:ind w:firstLine="422"/>
        <w:keepLines w:val="0"/>
        <w:keepNext w:val="0"/>
        <w:pageBreakBefore w:val="0"/>
        <w:spacing w:line="360" w:lineRule="auto"/>
        <w:rPr>
          <w:rFonts w:hint="eastAsia" w:ascii="宋体" w:hAnsi="宋体" w:eastAsia="宋体" w:cs="宋体"/>
          <w:b/>
          <w:bCs/>
          <w:color w:val="auto"/>
          <w:sz w:val="21"/>
          <w:szCs w:val="21"/>
          <w:highlight w:val="none"/>
          <w:u w:val="none"/>
          <w:lang w:val="en-US" w:eastAsia="zh-CN"/>
        </w:rPr>
      </w:pPr>
      <w:r>
        <w:rPr>
          <w:rFonts w:hint="eastAsia" w:ascii="宋体" w:hAnsi="宋体" w:eastAsia="宋体" w:cs="宋体"/>
          <w:b/>
          <w:bCs/>
          <w:color w:val="auto"/>
          <w:sz w:val="21"/>
          <w:szCs w:val="21"/>
          <w:highlight w:val="none"/>
          <w:u w:val="none"/>
          <w:lang w:val="en-US" w:eastAsia="zh-CN"/>
        </w:rPr>
        <w:t xml:space="preserve">1.1设施量（所有管养面积、道路长度等可能存在测量误差，投标供应商需自行对项目现场进行勘察，本报价必须充分考虑所有可能影响到报价的价格因素，一旦投标结束最终成交，园林绿化日常养护服务费用将包定，合同期内不予调整。如发生漏、缺、少项，都将被认为是中标人的报价让利行为）</w:t>
      </w:r>
      <w:r/>
    </w:p>
    <w:tbl>
      <w:tblPr>
        <w:tblStyle w:val="923"/>
        <w:tblW w:w="96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13"/>
        <w:gridCol w:w="1752"/>
        <w:gridCol w:w="3363"/>
        <w:gridCol w:w="1887"/>
        <w:gridCol w:w="1617"/>
      </w:tblGrid>
      <w:tr>
        <w:trPr>
          <w:jc w:val="center"/>
          <w:trHeight w:val="340"/>
          <w:tblHeader/>
        </w:trPr>
        <w:tc>
          <w:tcPr>
            <w:tcW w:w="101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W w:w="1752"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类别</w:t>
            </w:r>
            <w:r/>
          </w:p>
        </w:tc>
        <w:tc>
          <w:tcPr>
            <w:tcW w:w="336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设施种类</w:t>
            </w:r>
            <w:r/>
          </w:p>
        </w:tc>
        <w:tc>
          <w:tcPr>
            <w:tcW w:w="188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设施量</w:t>
            </w:r>
            <w:r/>
          </w:p>
        </w:tc>
        <w:tc>
          <w:tcPr>
            <w:tcW w:w="161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单位</w:t>
            </w:r>
            <w:r/>
          </w:p>
        </w:tc>
      </w:tr>
      <w:tr>
        <w:trPr>
          <w:jc w:val="center"/>
          <w:trHeight w:val="340"/>
        </w:trPr>
        <w:tc>
          <w:tcPr>
            <w:tcW w:w="101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752" w:type="dxa"/>
            <w:vAlign w:val="center"/>
            <w:vMerge w:val="restart"/>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城市道路园林绿化设施养护</w:t>
            </w:r>
            <w:r/>
          </w:p>
        </w:tc>
        <w:tc>
          <w:tcPr>
            <w:tcW w:w="336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绿地养护</w:t>
            </w:r>
            <w:r/>
          </w:p>
        </w:tc>
        <w:tc>
          <w:tcPr>
            <w:tcW w:w="188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706819.014</w:t>
            </w:r>
            <w:r/>
          </w:p>
        </w:tc>
        <w:tc>
          <w:tcPr>
            <w:tcW w:w="161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jc w:val="center"/>
          <w:trHeight w:val="340"/>
        </w:trPr>
        <w:tc>
          <w:tcPr>
            <w:tcW w:w="101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752"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6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硬质养护</w:t>
            </w:r>
            <w:r/>
          </w:p>
        </w:tc>
        <w:tc>
          <w:tcPr>
            <w:tcW w:w="188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35175.485</w:t>
            </w:r>
            <w:r/>
          </w:p>
        </w:tc>
        <w:tc>
          <w:tcPr>
            <w:tcW w:w="161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jc w:val="center"/>
          <w:trHeight w:val="340"/>
        </w:trPr>
        <w:tc>
          <w:tcPr>
            <w:tcW w:w="101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752"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6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行道树</w:t>
            </w:r>
            <w:r/>
          </w:p>
        </w:tc>
        <w:tc>
          <w:tcPr>
            <w:tcW w:w="188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26506</w:t>
            </w:r>
            <w:r/>
          </w:p>
        </w:tc>
        <w:tc>
          <w:tcPr>
            <w:tcW w:w="161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株</w:t>
            </w:r>
            <w:r/>
          </w:p>
        </w:tc>
      </w:tr>
      <w:tr>
        <w:trPr>
          <w:jc w:val="center"/>
          <w:trHeight w:val="340"/>
        </w:trPr>
        <w:tc>
          <w:tcPr>
            <w:tcW w:w="101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1752"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6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树池面积</w:t>
            </w:r>
            <w:r/>
          </w:p>
        </w:tc>
        <w:tc>
          <w:tcPr>
            <w:tcW w:w="188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14874.13</w:t>
            </w:r>
            <w:r/>
          </w:p>
        </w:tc>
        <w:tc>
          <w:tcPr>
            <w:tcW w:w="161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jc w:val="center"/>
          <w:trHeight w:val="340"/>
        </w:trPr>
        <w:tc>
          <w:tcPr>
            <w:tcW w:w="101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1752"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6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格栅/卵石面积</w:t>
            </w:r>
            <w:r/>
          </w:p>
        </w:tc>
        <w:tc>
          <w:tcPr>
            <w:tcW w:w="188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8918.62</w:t>
            </w:r>
            <w:r/>
          </w:p>
        </w:tc>
        <w:tc>
          <w:tcPr>
            <w:tcW w:w="161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jc w:val="center"/>
          <w:trHeight w:val="340"/>
        </w:trPr>
        <w:tc>
          <w:tcPr>
            <w:tcW w:w="101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1752"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6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护栏面积</w:t>
            </w:r>
            <w:r/>
          </w:p>
        </w:tc>
        <w:tc>
          <w:tcPr>
            <w:tcW w:w="188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12414.08</w:t>
            </w:r>
            <w:r/>
          </w:p>
        </w:tc>
        <w:tc>
          <w:tcPr>
            <w:tcW w:w="161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jc w:val="center"/>
          <w:trHeight w:val="340"/>
        </w:trPr>
        <w:tc>
          <w:tcPr>
            <w:tcW w:w="101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1752"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6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草花带面积</w:t>
            </w:r>
            <w:r/>
          </w:p>
        </w:tc>
        <w:tc>
          <w:tcPr>
            <w:tcW w:w="188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1393.258</w:t>
            </w:r>
            <w:r/>
          </w:p>
        </w:tc>
        <w:tc>
          <w:tcPr>
            <w:tcW w:w="161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jc w:val="center"/>
          <w:trHeight w:val="340"/>
        </w:trPr>
        <w:tc>
          <w:tcPr>
            <w:tcW w:w="101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1752"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6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水生植物</w:t>
            </w:r>
            <w:r/>
          </w:p>
        </w:tc>
        <w:tc>
          <w:tcPr>
            <w:tcW w:w="188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44994.94</w:t>
            </w:r>
            <w:r/>
          </w:p>
        </w:tc>
        <w:tc>
          <w:tcPr>
            <w:tcW w:w="161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jc w:val="center"/>
          <w:trHeight w:val="340"/>
        </w:trPr>
        <w:tc>
          <w:tcPr>
            <w:tcW w:w="101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W w:w="1752" w:type="dxa"/>
            <w:vAlign w:val="center"/>
            <w:vMerge w:val="restart"/>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滨河绿地园林绿化设施养护</w:t>
            </w:r>
            <w:r/>
          </w:p>
        </w:tc>
        <w:tc>
          <w:tcPr>
            <w:tcW w:w="336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灌木及地被植物</w:t>
            </w:r>
            <w:r/>
          </w:p>
        </w:tc>
        <w:tc>
          <w:tcPr>
            <w:tcW w:w="188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368787.54</w:t>
            </w:r>
            <w:r/>
          </w:p>
        </w:tc>
        <w:tc>
          <w:tcPr>
            <w:tcW w:w="161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jc w:val="center"/>
          <w:trHeight w:val="340"/>
        </w:trPr>
        <w:tc>
          <w:tcPr>
            <w:tcW w:w="101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W w:w="1752"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6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硬质</w:t>
            </w:r>
            <w:r/>
          </w:p>
        </w:tc>
        <w:tc>
          <w:tcPr>
            <w:tcW w:w="188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81892.47</w:t>
            </w:r>
            <w:r/>
          </w:p>
        </w:tc>
        <w:tc>
          <w:tcPr>
            <w:tcW w:w="161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jc w:val="center"/>
          <w:trHeight w:val="340"/>
        </w:trPr>
        <w:tc>
          <w:tcPr>
            <w:tcW w:w="101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W w:w="1752"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6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道路</w:t>
            </w:r>
            <w:r/>
          </w:p>
        </w:tc>
        <w:tc>
          <w:tcPr>
            <w:tcW w:w="188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34896.15</w:t>
            </w:r>
            <w:r/>
          </w:p>
        </w:tc>
        <w:tc>
          <w:tcPr>
            <w:tcW w:w="161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jc w:val="center"/>
          <w:trHeight w:val="340"/>
        </w:trPr>
        <w:tc>
          <w:tcPr>
            <w:tcW w:w="101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W w:w="1752"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6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栈道/桥</w:t>
            </w:r>
            <w:r/>
          </w:p>
        </w:tc>
        <w:tc>
          <w:tcPr>
            <w:tcW w:w="188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6314.7</w:t>
            </w:r>
            <w:r/>
          </w:p>
        </w:tc>
        <w:tc>
          <w:tcPr>
            <w:tcW w:w="161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jc w:val="center"/>
          <w:trHeight w:val="340"/>
        </w:trPr>
        <w:tc>
          <w:tcPr>
            <w:tcW w:w="101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W w:w="1752"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6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花卉</w:t>
            </w:r>
            <w:r/>
          </w:p>
        </w:tc>
        <w:tc>
          <w:tcPr>
            <w:tcW w:w="188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409.17</w:t>
            </w:r>
            <w:r/>
          </w:p>
        </w:tc>
        <w:tc>
          <w:tcPr>
            <w:tcW w:w="161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jc w:val="center"/>
          <w:trHeight w:val="340"/>
        </w:trPr>
        <w:tc>
          <w:tcPr>
            <w:tcW w:w="101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W w:w="1752"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6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行道树</w:t>
            </w:r>
            <w:r/>
          </w:p>
        </w:tc>
        <w:tc>
          <w:tcPr>
            <w:tcW w:w="188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12401</w:t>
            </w:r>
            <w:r/>
          </w:p>
        </w:tc>
        <w:tc>
          <w:tcPr>
            <w:tcW w:w="161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株</w:t>
            </w:r>
            <w:r/>
          </w:p>
        </w:tc>
      </w:tr>
      <w:tr>
        <w:trPr>
          <w:jc w:val="center"/>
          <w:trHeight w:val="340"/>
        </w:trPr>
        <w:tc>
          <w:tcPr>
            <w:tcW w:w="101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W w:w="1752"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6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护栏</w:t>
            </w:r>
            <w:r/>
          </w:p>
        </w:tc>
        <w:tc>
          <w:tcPr>
            <w:tcW w:w="188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8598.8</w:t>
            </w:r>
            <w:r/>
          </w:p>
        </w:tc>
        <w:tc>
          <w:tcPr>
            <w:tcW w:w="161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m</w:t>
            </w:r>
            <w:r/>
          </w:p>
        </w:tc>
      </w:tr>
      <w:tr>
        <w:trPr>
          <w:jc w:val="center"/>
          <w:trHeight w:val="340"/>
        </w:trPr>
        <w:tc>
          <w:tcPr>
            <w:tcW w:w="101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tcW w:w="1752"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6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雕塑</w:t>
            </w:r>
            <w:r/>
          </w:p>
        </w:tc>
        <w:tc>
          <w:tcPr>
            <w:tcW w:w="188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164</w:t>
            </w:r>
            <w:r/>
          </w:p>
        </w:tc>
        <w:tc>
          <w:tcPr>
            <w:tcW w:w="161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r>
      <w:tr>
        <w:trPr>
          <w:jc w:val="center"/>
          <w:trHeight w:val="340"/>
        </w:trPr>
        <w:tc>
          <w:tcPr>
            <w:tcW w:w="101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tcW w:w="1752"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6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休息座椅</w:t>
            </w:r>
            <w:r/>
          </w:p>
        </w:tc>
        <w:tc>
          <w:tcPr>
            <w:tcW w:w="188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386</w:t>
            </w:r>
            <w:r/>
          </w:p>
        </w:tc>
        <w:tc>
          <w:tcPr>
            <w:tcW w:w="161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r>
      <w:tr>
        <w:trPr>
          <w:jc w:val="center"/>
          <w:trHeight w:val="340"/>
        </w:trPr>
        <w:tc>
          <w:tcPr>
            <w:tcW w:w="101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p>
        </w:tc>
        <w:tc>
          <w:tcPr>
            <w:tcW w:w="1752"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6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运动场地</w:t>
            </w:r>
            <w:r/>
          </w:p>
        </w:tc>
        <w:tc>
          <w:tcPr>
            <w:tcW w:w="188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161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r>
      <w:tr>
        <w:trPr>
          <w:jc w:val="center"/>
          <w:trHeight w:val="340"/>
        </w:trPr>
        <w:tc>
          <w:tcPr>
            <w:tcW w:w="101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w:t>
            </w:r>
            <w:r/>
          </w:p>
        </w:tc>
        <w:tc>
          <w:tcPr>
            <w:tcW w:w="1752"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6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娱乐设施</w:t>
            </w:r>
            <w:r/>
          </w:p>
        </w:tc>
        <w:tc>
          <w:tcPr>
            <w:tcW w:w="188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w:t>
            </w:r>
            <w:r/>
          </w:p>
        </w:tc>
        <w:tc>
          <w:tcPr>
            <w:tcW w:w="161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处</w:t>
            </w:r>
            <w:r/>
          </w:p>
        </w:tc>
      </w:tr>
      <w:tr>
        <w:trPr>
          <w:jc w:val="center"/>
          <w:trHeight w:val="340"/>
        </w:trPr>
        <w:tc>
          <w:tcPr>
            <w:tcW w:w="101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tcW w:w="1752"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6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亭廊</w:t>
            </w:r>
            <w:r/>
          </w:p>
        </w:tc>
        <w:tc>
          <w:tcPr>
            <w:tcW w:w="188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173.36</w:t>
            </w:r>
            <w:r/>
          </w:p>
        </w:tc>
        <w:tc>
          <w:tcPr>
            <w:tcW w:w="161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jc w:val="center"/>
          <w:trHeight w:val="340"/>
        </w:trPr>
        <w:tc>
          <w:tcPr>
            <w:tcW w:w="101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tcW w:w="1752"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6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喷泉</w:t>
            </w:r>
            <w:r/>
          </w:p>
        </w:tc>
        <w:tc>
          <w:tcPr>
            <w:tcW w:w="188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61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r>
      <w:tr>
        <w:trPr>
          <w:jc w:val="center"/>
          <w:trHeight w:val="340"/>
        </w:trPr>
        <w:tc>
          <w:tcPr>
            <w:tcW w:w="101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w:t>
            </w:r>
            <w:r/>
          </w:p>
        </w:tc>
        <w:tc>
          <w:tcPr>
            <w:tcW w:w="1752"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6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垃圾箱</w:t>
            </w:r>
            <w:r/>
          </w:p>
        </w:tc>
        <w:tc>
          <w:tcPr>
            <w:tcW w:w="188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175</w:t>
            </w:r>
            <w:r/>
          </w:p>
        </w:tc>
        <w:tc>
          <w:tcPr>
            <w:tcW w:w="161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r>
      <w:tr>
        <w:trPr>
          <w:jc w:val="center"/>
          <w:trHeight w:val="340"/>
        </w:trPr>
        <w:tc>
          <w:tcPr>
            <w:tcW w:w="101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w:t>
            </w:r>
            <w:r/>
          </w:p>
        </w:tc>
        <w:tc>
          <w:tcPr>
            <w:tcW w:w="1752"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6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宣传牌</w:t>
            </w:r>
            <w:r/>
          </w:p>
        </w:tc>
        <w:tc>
          <w:tcPr>
            <w:tcW w:w="188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455</w:t>
            </w:r>
            <w:r/>
          </w:p>
        </w:tc>
        <w:tc>
          <w:tcPr>
            <w:tcW w:w="161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块</w:t>
            </w:r>
            <w:r/>
          </w:p>
        </w:tc>
      </w:tr>
      <w:tr>
        <w:trPr>
          <w:jc w:val="center"/>
          <w:trHeight w:val="340"/>
        </w:trPr>
        <w:tc>
          <w:tcPr>
            <w:tcW w:w="101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w:t>
            </w:r>
            <w:r/>
          </w:p>
        </w:tc>
        <w:tc>
          <w:tcPr>
            <w:tcW w:w="1752"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6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花箱</w:t>
            </w:r>
            <w:r/>
          </w:p>
        </w:tc>
        <w:tc>
          <w:tcPr>
            <w:tcW w:w="188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w:t>
            </w:r>
            <w:r/>
          </w:p>
        </w:tc>
        <w:tc>
          <w:tcPr>
            <w:tcW w:w="161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r>
      <w:tr>
        <w:trPr>
          <w:jc w:val="center"/>
          <w:trHeight w:val="340"/>
        </w:trPr>
        <w:tc>
          <w:tcPr>
            <w:tcW w:w="101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w:t>
            </w:r>
            <w:r/>
          </w:p>
        </w:tc>
        <w:tc>
          <w:tcPr>
            <w:tcW w:w="1752" w:type="dxa"/>
            <w:vAlign w:val="center"/>
            <w:vMerge w:val="restart"/>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公园广场绿地园林绿化设施养护</w:t>
            </w:r>
            <w:r/>
          </w:p>
        </w:tc>
        <w:tc>
          <w:tcPr>
            <w:tcW w:w="336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灌木及地被植物</w:t>
            </w:r>
            <w:r/>
          </w:p>
        </w:tc>
        <w:tc>
          <w:tcPr>
            <w:tcW w:w="188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344133.165</w:t>
            </w:r>
            <w:r/>
          </w:p>
        </w:tc>
        <w:tc>
          <w:tcPr>
            <w:tcW w:w="161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jc w:val="center"/>
          <w:trHeight w:val="340"/>
        </w:trPr>
        <w:tc>
          <w:tcPr>
            <w:tcW w:w="101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w:t>
            </w:r>
            <w:r/>
          </w:p>
        </w:tc>
        <w:tc>
          <w:tcPr>
            <w:tcW w:w="1752"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6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硬质</w:t>
            </w:r>
            <w:r/>
          </w:p>
        </w:tc>
        <w:tc>
          <w:tcPr>
            <w:tcW w:w="188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146208.977</w:t>
            </w:r>
            <w:r/>
          </w:p>
        </w:tc>
        <w:tc>
          <w:tcPr>
            <w:tcW w:w="161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jc w:val="center"/>
          <w:trHeight w:val="340"/>
        </w:trPr>
        <w:tc>
          <w:tcPr>
            <w:tcW w:w="101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w:t>
            </w:r>
            <w:r/>
          </w:p>
        </w:tc>
        <w:tc>
          <w:tcPr>
            <w:tcW w:w="1752"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6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道路</w:t>
            </w:r>
            <w:r/>
          </w:p>
        </w:tc>
        <w:tc>
          <w:tcPr>
            <w:tcW w:w="188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17400</w:t>
            </w:r>
            <w:r/>
          </w:p>
        </w:tc>
        <w:tc>
          <w:tcPr>
            <w:tcW w:w="161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jc w:val="center"/>
          <w:trHeight w:val="340"/>
        </w:trPr>
        <w:tc>
          <w:tcPr>
            <w:tcW w:w="101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w:t>
            </w:r>
            <w:r/>
          </w:p>
        </w:tc>
        <w:tc>
          <w:tcPr>
            <w:tcW w:w="1752"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6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栈道/桥</w:t>
            </w:r>
            <w:r/>
          </w:p>
        </w:tc>
        <w:tc>
          <w:tcPr>
            <w:tcW w:w="188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4483</w:t>
            </w:r>
            <w:r/>
          </w:p>
        </w:tc>
        <w:tc>
          <w:tcPr>
            <w:tcW w:w="161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jc w:val="center"/>
          <w:trHeight w:val="340"/>
        </w:trPr>
        <w:tc>
          <w:tcPr>
            <w:tcW w:w="101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w:t>
            </w:r>
            <w:r/>
          </w:p>
        </w:tc>
        <w:tc>
          <w:tcPr>
            <w:tcW w:w="1752"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6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花卉</w:t>
            </w:r>
            <w:r/>
          </w:p>
        </w:tc>
        <w:tc>
          <w:tcPr>
            <w:tcW w:w="188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932.7948</w:t>
            </w:r>
            <w:r/>
          </w:p>
        </w:tc>
        <w:tc>
          <w:tcPr>
            <w:tcW w:w="161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jc w:val="center"/>
          <w:trHeight w:val="340"/>
        </w:trPr>
        <w:tc>
          <w:tcPr>
            <w:tcW w:w="101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w:t>
            </w:r>
            <w:r/>
          </w:p>
        </w:tc>
        <w:tc>
          <w:tcPr>
            <w:tcW w:w="1752"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6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维持秩序人员</w:t>
            </w:r>
            <w:r/>
          </w:p>
        </w:tc>
        <w:tc>
          <w:tcPr>
            <w:tcW w:w="188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19</w:t>
            </w:r>
            <w:r/>
          </w:p>
        </w:tc>
        <w:tc>
          <w:tcPr>
            <w:tcW w:w="161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w:t>
            </w:r>
            <w:r/>
          </w:p>
        </w:tc>
      </w:tr>
      <w:tr>
        <w:trPr>
          <w:jc w:val="center"/>
          <w:trHeight w:val="340"/>
        </w:trPr>
        <w:tc>
          <w:tcPr>
            <w:tcW w:w="101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w:t>
            </w:r>
            <w:r/>
          </w:p>
        </w:tc>
        <w:tc>
          <w:tcPr>
            <w:tcW w:w="1752"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6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森林防火人员</w:t>
            </w:r>
            <w:r/>
          </w:p>
        </w:tc>
        <w:tc>
          <w:tcPr>
            <w:tcW w:w="188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4</w:t>
            </w:r>
            <w:r/>
          </w:p>
        </w:tc>
        <w:tc>
          <w:tcPr>
            <w:tcW w:w="161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w:t>
            </w:r>
            <w:r/>
          </w:p>
        </w:tc>
      </w:tr>
      <w:tr>
        <w:trPr>
          <w:jc w:val="center"/>
          <w:trHeight w:val="340"/>
        </w:trPr>
        <w:tc>
          <w:tcPr>
            <w:tcW w:w="101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w:t>
            </w:r>
            <w:r/>
          </w:p>
        </w:tc>
        <w:tc>
          <w:tcPr>
            <w:tcW w:w="1752"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6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行道树</w:t>
            </w:r>
            <w:r/>
          </w:p>
        </w:tc>
        <w:tc>
          <w:tcPr>
            <w:tcW w:w="188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8982</w:t>
            </w:r>
            <w:r/>
          </w:p>
        </w:tc>
        <w:tc>
          <w:tcPr>
            <w:tcW w:w="161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株</w:t>
            </w:r>
            <w:r/>
          </w:p>
        </w:tc>
      </w:tr>
      <w:tr>
        <w:trPr>
          <w:jc w:val="center"/>
          <w:trHeight w:val="340"/>
        </w:trPr>
        <w:tc>
          <w:tcPr>
            <w:tcW w:w="101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w:t>
            </w:r>
            <w:r/>
          </w:p>
        </w:tc>
        <w:tc>
          <w:tcPr>
            <w:tcW w:w="1752"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6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护栏</w:t>
            </w:r>
            <w:r/>
          </w:p>
        </w:tc>
        <w:tc>
          <w:tcPr>
            <w:tcW w:w="188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5507.4</w:t>
            </w:r>
            <w:r/>
          </w:p>
        </w:tc>
        <w:tc>
          <w:tcPr>
            <w:tcW w:w="161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m</w:t>
            </w:r>
            <w:r/>
          </w:p>
        </w:tc>
      </w:tr>
      <w:tr>
        <w:trPr>
          <w:jc w:val="center"/>
          <w:trHeight w:val="340"/>
        </w:trPr>
        <w:tc>
          <w:tcPr>
            <w:tcW w:w="101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w:t>
            </w:r>
            <w:r/>
          </w:p>
        </w:tc>
        <w:tc>
          <w:tcPr>
            <w:tcW w:w="1752"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6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雕塑</w:t>
            </w:r>
            <w:r/>
          </w:p>
        </w:tc>
        <w:tc>
          <w:tcPr>
            <w:tcW w:w="188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177</w:t>
            </w:r>
            <w:r/>
          </w:p>
        </w:tc>
        <w:tc>
          <w:tcPr>
            <w:tcW w:w="161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r>
      <w:tr>
        <w:trPr>
          <w:jc w:val="center"/>
          <w:trHeight w:val="340"/>
        </w:trPr>
        <w:tc>
          <w:tcPr>
            <w:tcW w:w="101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w:t>
            </w:r>
            <w:r/>
          </w:p>
        </w:tc>
        <w:tc>
          <w:tcPr>
            <w:tcW w:w="1752"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6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休息座椅</w:t>
            </w:r>
            <w:r/>
          </w:p>
        </w:tc>
        <w:tc>
          <w:tcPr>
            <w:tcW w:w="188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30</w:t>
            </w:r>
            <w:r/>
          </w:p>
        </w:tc>
        <w:tc>
          <w:tcPr>
            <w:tcW w:w="161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r>
      <w:tr>
        <w:trPr>
          <w:jc w:val="center"/>
          <w:trHeight w:val="340"/>
        </w:trPr>
        <w:tc>
          <w:tcPr>
            <w:tcW w:w="101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w:t>
            </w:r>
            <w:r/>
          </w:p>
        </w:tc>
        <w:tc>
          <w:tcPr>
            <w:tcW w:w="1752"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6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运动场地</w:t>
            </w:r>
            <w:r/>
          </w:p>
        </w:tc>
        <w:tc>
          <w:tcPr>
            <w:tcW w:w="188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W w:w="161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r>
      <w:tr>
        <w:trPr>
          <w:jc w:val="center"/>
          <w:trHeight w:val="340"/>
        </w:trPr>
        <w:tc>
          <w:tcPr>
            <w:tcW w:w="101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w:t>
            </w:r>
            <w:r/>
          </w:p>
        </w:tc>
        <w:tc>
          <w:tcPr>
            <w:tcW w:w="1752"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6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娱乐设施</w:t>
            </w:r>
            <w:r/>
          </w:p>
        </w:tc>
        <w:tc>
          <w:tcPr>
            <w:tcW w:w="188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w:t>
            </w:r>
            <w:r/>
          </w:p>
        </w:tc>
        <w:tc>
          <w:tcPr>
            <w:tcW w:w="161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r>
      <w:tr>
        <w:trPr>
          <w:jc w:val="center"/>
          <w:trHeight w:val="340"/>
        </w:trPr>
        <w:tc>
          <w:tcPr>
            <w:tcW w:w="101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w:t>
            </w:r>
            <w:r/>
          </w:p>
        </w:tc>
        <w:tc>
          <w:tcPr>
            <w:tcW w:w="1752"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6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管理房</w:t>
            </w:r>
            <w:r/>
          </w:p>
        </w:tc>
        <w:tc>
          <w:tcPr>
            <w:tcW w:w="188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1685.39</w:t>
            </w:r>
            <w:r/>
          </w:p>
        </w:tc>
        <w:tc>
          <w:tcPr>
            <w:tcW w:w="161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jc w:val="center"/>
          <w:trHeight w:val="340"/>
        </w:trPr>
        <w:tc>
          <w:tcPr>
            <w:tcW w:w="101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w:t>
            </w:r>
            <w:r/>
          </w:p>
        </w:tc>
        <w:tc>
          <w:tcPr>
            <w:tcW w:w="1752"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6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亭廊</w:t>
            </w:r>
            <w:r/>
          </w:p>
        </w:tc>
        <w:tc>
          <w:tcPr>
            <w:tcW w:w="188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1008.29</w:t>
            </w:r>
            <w:r/>
          </w:p>
        </w:tc>
        <w:tc>
          <w:tcPr>
            <w:tcW w:w="161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jc w:val="center"/>
          <w:trHeight w:val="340"/>
        </w:trPr>
        <w:tc>
          <w:tcPr>
            <w:tcW w:w="101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w:t>
            </w:r>
            <w:r/>
          </w:p>
        </w:tc>
        <w:tc>
          <w:tcPr>
            <w:tcW w:w="1752"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6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垃圾箱</w:t>
            </w:r>
            <w:r/>
          </w:p>
        </w:tc>
        <w:tc>
          <w:tcPr>
            <w:tcW w:w="188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201</w:t>
            </w:r>
            <w:r/>
          </w:p>
        </w:tc>
        <w:tc>
          <w:tcPr>
            <w:tcW w:w="161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r>
      <w:tr>
        <w:trPr>
          <w:jc w:val="center"/>
          <w:trHeight w:val="340"/>
        </w:trPr>
        <w:tc>
          <w:tcPr>
            <w:tcW w:w="101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w:t>
            </w:r>
            <w:r/>
          </w:p>
        </w:tc>
        <w:tc>
          <w:tcPr>
            <w:tcW w:w="1752"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6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宣传牌</w:t>
            </w:r>
            <w:r/>
          </w:p>
        </w:tc>
        <w:tc>
          <w:tcPr>
            <w:tcW w:w="188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658</w:t>
            </w:r>
            <w:r/>
          </w:p>
        </w:tc>
        <w:tc>
          <w:tcPr>
            <w:tcW w:w="161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块</w:t>
            </w:r>
            <w:r/>
          </w:p>
        </w:tc>
      </w:tr>
      <w:tr>
        <w:trPr>
          <w:jc w:val="center"/>
          <w:trHeight w:val="340"/>
        </w:trPr>
        <w:tc>
          <w:tcPr>
            <w:tcW w:w="101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w:t>
            </w:r>
            <w:r/>
          </w:p>
        </w:tc>
        <w:tc>
          <w:tcPr>
            <w:tcW w:w="1752"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6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花箱</w:t>
            </w:r>
            <w:r/>
          </w:p>
        </w:tc>
        <w:tc>
          <w:tcPr>
            <w:tcW w:w="188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w:t>
            </w:r>
            <w:r/>
          </w:p>
        </w:tc>
        <w:tc>
          <w:tcPr>
            <w:tcW w:w="161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r>
      <w:tr>
        <w:trPr>
          <w:jc w:val="center"/>
          <w:trHeight w:val="340"/>
        </w:trPr>
        <w:tc>
          <w:tcPr>
            <w:tcW w:w="101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w:t>
            </w:r>
            <w:r/>
          </w:p>
        </w:tc>
        <w:tc>
          <w:tcPr>
            <w:tcW w:w="1752"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6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小型绿雕</w:t>
            </w:r>
            <w:r/>
          </w:p>
        </w:tc>
        <w:tc>
          <w:tcPr>
            <w:tcW w:w="188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175</w:t>
            </w:r>
            <w:r/>
          </w:p>
        </w:tc>
        <w:tc>
          <w:tcPr>
            <w:tcW w:w="161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jc w:val="center"/>
          <w:trHeight w:val="340"/>
        </w:trPr>
        <w:tc>
          <w:tcPr>
            <w:tcW w:w="101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w:t>
            </w:r>
            <w:r/>
          </w:p>
        </w:tc>
        <w:tc>
          <w:tcPr>
            <w:tcW w:w="1752"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6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阻车石</w:t>
            </w:r>
            <w:r/>
          </w:p>
        </w:tc>
        <w:tc>
          <w:tcPr>
            <w:tcW w:w="188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98</w:t>
            </w:r>
            <w:r/>
          </w:p>
        </w:tc>
        <w:tc>
          <w:tcPr>
            <w:tcW w:w="161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r>
      <w:tr>
        <w:trPr>
          <w:jc w:val="center"/>
          <w:trHeight w:val="340"/>
        </w:trPr>
        <w:tc>
          <w:tcPr>
            <w:tcW w:w="101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w:t>
            </w:r>
            <w:r/>
          </w:p>
        </w:tc>
        <w:tc>
          <w:tcPr>
            <w:tcW w:w="1752"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6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景观水体</w:t>
            </w:r>
            <w:r/>
          </w:p>
        </w:tc>
        <w:tc>
          <w:tcPr>
            <w:tcW w:w="188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58026.6</w:t>
            </w:r>
            <w:r/>
          </w:p>
        </w:tc>
        <w:tc>
          <w:tcPr>
            <w:tcW w:w="161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jc w:val="center"/>
          <w:trHeight w:val="340"/>
        </w:trPr>
        <w:tc>
          <w:tcPr>
            <w:tcW w:w="101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w:t>
            </w:r>
            <w:r/>
          </w:p>
        </w:tc>
        <w:tc>
          <w:tcPr>
            <w:tcW w:w="1752"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6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喷泉</w:t>
            </w:r>
            <w:r/>
          </w:p>
        </w:tc>
        <w:tc>
          <w:tcPr>
            <w:tcW w:w="188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161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r>
      <w:tr>
        <w:trPr>
          <w:jc w:val="center"/>
          <w:trHeight w:val="340"/>
        </w:trPr>
        <w:tc>
          <w:tcPr>
            <w:tcW w:w="101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w:t>
            </w:r>
            <w:r/>
          </w:p>
        </w:tc>
        <w:tc>
          <w:tcPr>
            <w:tcW w:w="1752"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63"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建筑小品</w:t>
            </w:r>
            <w:r/>
          </w:p>
        </w:tc>
        <w:tc>
          <w:tcPr>
            <w:tcW w:w="188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161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r>
    </w:tbl>
    <w:p>
      <w:pPr>
        <w:ind w:firstLine="422"/>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注：设施数据可能存在测量误差，以现场实际移交量为准。</w:t>
      </w:r>
      <w:r/>
    </w:p>
    <w:p>
      <w:pPr>
        <w:ind w:firstLine="422"/>
        <w:keepLines w:val="0"/>
        <w:keepNext w:val="0"/>
        <w:pageBreakBefore w:val="0"/>
        <w:spacing w:line="360" w:lineRule="auto"/>
        <w:shd w:val="clear" w:color="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1.2作业人员及项目设施设备配置</w:t>
      </w:r>
      <w:r/>
    </w:p>
    <w:p>
      <w:pPr>
        <w:ind w:firstLine="422"/>
        <w:keepLines w:val="0"/>
        <w:keepNext w:val="0"/>
        <w:pageBreakBefore w:val="0"/>
        <w:spacing w:line="360" w:lineRule="auto"/>
        <w:shd w:val="clear" w:color="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1.2.1人员配备要求</w:t>
      </w:r>
      <w:r/>
    </w:p>
    <w:p>
      <w:pPr>
        <w:ind w:firstLine="422"/>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中标供应商必须按照作业标准和要求配足项目管理人员（包括项目负责人1人、技术负责人1人、造价专业负责人1人、安全负责人1人、资料员1人、质量员1人、材料员1人、施工员1人）、园林绿化养护人员、两山防火安保人员、公园广场维持秩序人员、洒水车等作业车辆驾驶人员等各类工种人员不少于250人（道路及滨河部分至少按8000㎡/人配置，公园广场至少按6000㎡/人配置）。在提高机械化作业率和不降低质量标准的情况下，经采购人批准同意后，中标供应商可根据实际情况调整各类作业人员配置的数量。</w:t>
      </w:r>
      <w:r/>
    </w:p>
    <w:p>
      <w:pPr>
        <w:ind w:firstLine="422"/>
        <w:keepLines w:val="0"/>
        <w:keepNext w:val="0"/>
        <w:pageBreakBefore w:val="0"/>
        <w:spacing w:line="360" w:lineRule="auto"/>
        <w:shd w:val="clear" w:color="auto"/>
        <w:rPr>
          <w:rFonts w:hint="eastAsia" w:ascii="宋体" w:hAnsi="宋体" w:eastAsia="宋体" w:cs="宋体"/>
          <w:b/>
          <w:bCs/>
          <w:color w:val="auto"/>
          <w:sz w:val="21"/>
          <w:szCs w:val="21"/>
          <w:highlight w:val="none"/>
          <w:u w:val="single"/>
          <w:lang w:val="en-US" w:eastAsia="zh-CN" w:bidi="ar-SA"/>
        </w:rPr>
      </w:pPr>
      <w:r>
        <w:rPr>
          <w:rFonts w:hint="eastAsia" w:ascii="宋体" w:hAnsi="宋体"/>
          <w:b/>
          <w:color w:val="auto"/>
          <w:szCs w:val="22"/>
          <w:highlight w:val="none"/>
          <w:u w:val="single"/>
        </w:rPr>
        <w:t xml:space="preserve">供应商须承诺如下内容（以</w:t>
      </w:r>
      <w:r>
        <w:rPr>
          <w:rFonts w:hint="eastAsia" w:ascii="宋体" w:hAnsi="宋体"/>
          <w:b/>
          <w:color w:val="auto"/>
          <w:szCs w:val="22"/>
          <w:highlight w:val="none"/>
          <w:u w:val="single"/>
          <w:lang w:val="en-US" w:eastAsia="zh-CN"/>
        </w:rPr>
        <w:t xml:space="preserve">下</w:t>
      </w:r>
      <w:r>
        <w:rPr>
          <w:rFonts w:hint="eastAsia" w:ascii="宋体" w:hAnsi="宋体"/>
          <w:b/>
          <w:color w:val="auto"/>
          <w:szCs w:val="22"/>
          <w:highlight w:val="none"/>
          <w:u w:val="single"/>
        </w:rPr>
        <w:t xml:space="preserve">标黑部分为须承诺内容</w:t>
      </w:r>
      <w:r>
        <w:rPr>
          <w:rFonts w:hint="eastAsia" w:ascii="宋体" w:hAnsi="宋体"/>
          <w:b/>
          <w:color w:val="auto"/>
          <w:szCs w:val="22"/>
          <w:highlight w:val="none"/>
          <w:u w:val="single"/>
          <w:lang w:eastAsia="zh-CN"/>
        </w:rPr>
        <w:t xml:space="preserve">，</w:t>
      </w:r>
      <w:r>
        <w:rPr>
          <w:rFonts w:hint="eastAsia" w:ascii="宋体" w:hAnsi="宋体"/>
          <w:b/>
          <w:color w:val="auto"/>
          <w:szCs w:val="22"/>
          <w:highlight w:val="none"/>
          <w:u w:val="single"/>
        </w:rPr>
        <w:t xml:space="preserve">加盖投标人公章，格式自拟，须上传承诺函至投标系统，缺少内容或未上传做无效投标处理）：</w:t>
      </w:r>
      <w:r>
        <w:rPr>
          <w:rFonts w:hint="eastAsia" w:ascii="宋体" w:hAnsi="宋体" w:eastAsia="宋体" w:cs="宋体"/>
          <w:b/>
          <w:bCs/>
          <w:color w:val="auto"/>
          <w:sz w:val="21"/>
          <w:szCs w:val="21"/>
          <w:highlight w:val="none"/>
          <w:u w:val="single"/>
          <w:lang w:val="en-US" w:eastAsia="zh-CN" w:bidi="ar-SA"/>
        </w:rPr>
        <w:t xml:space="preserve">中标供应商承诺：在员工自愿的基础上，优先接收从事本采购项目所涉绿化养护工作的原有相关员工，依法依规签订新的劳动合同，建立和谐的劳动关系</w:t>
      </w:r>
      <w:r>
        <w:rPr>
          <w:rFonts w:hint="eastAsia" w:ascii="宋体" w:hAnsi="宋体" w:eastAsia="宋体" w:cs="宋体"/>
          <w:b/>
          <w:bCs/>
          <w:color w:val="auto"/>
          <w:sz w:val="21"/>
          <w:szCs w:val="21"/>
          <w:highlight w:val="none"/>
          <w:u w:val="single"/>
          <w:lang w:val="en-US" w:eastAsia="zh-CN" w:bidi="ar-SA"/>
        </w:rPr>
        <w:t xml:space="preserve">，中标供应商解雇原有员工的，采取依法平稳的方式逐步解雇，不发生歇工和维稳事件。供应商负责养护管理进程中的一切责任，其中包括但不限于万一发生的一切工伤事故及工作人员的作业或非作业性的人身、财产安全等责任，或由于作业、养护管理不到位引起的第三方的人身、财产安全等责任，或合同期内的各种劳务纠纷、交通事故、生产安全事故、人身伤害、自然灾害、财产损失与第三方的债权债务等一切责任均由中标供应商自行负责，与采购人无关。供应商承诺如中标，对其所有服务人员均应按法律法规规定规范用工，按时足额缴纳人员劳动报酬及社保等相关费用，</w:t>
      </w:r>
      <w:r>
        <w:rPr>
          <w:rFonts w:hint="eastAsia" w:ascii="宋体" w:hAnsi="宋体" w:eastAsia="宋体" w:cs="宋体"/>
          <w:b/>
          <w:bCs/>
          <w:color w:val="auto"/>
          <w:sz w:val="21"/>
          <w:szCs w:val="21"/>
          <w:highlight w:val="none"/>
          <w:u w:val="single"/>
          <w:lang w:val="en-US" w:eastAsia="zh-CN" w:bidi="ar-SA"/>
        </w:rPr>
        <w:t xml:space="preserve">聘用人员工资待遇不能低于南京市政府的最低工资待遇标准(社会保险和意外保险另算)，若因供应商的非法非规范用工产生的任何纠纷，产生的一切后果均由供应商自行承担，与采购人无关。供应商必须执行劳动管理等方面法律、法规、规章和其它规范性文件规定的有关员工保障的其他规定。供应商中标后为所有工作人员购买雇主责任险、人身意外伤害险或公众责任保险，一旦发生包括但不限于此类的任何意外事故，所有纠纷及后果均由供应商自行处理承担，与采购人无关。如因供应商引发的相关纠纷、仲裁、诉讼等给采购人造成损失的，供应商还应承担相应的赔偿责任。</w:t>
      </w:r>
      <w:r/>
    </w:p>
    <w:p>
      <w:pPr>
        <w:ind w:firstLine="422"/>
        <w:keepLines w:val="0"/>
        <w:keepNext w:val="0"/>
        <w:pageBreakBefore w:val="0"/>
        <w:spacing w:line="360" w:lineRule="auto"/>
        <w:shd w:val="clear" w:color="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1.2.2车辆设备配置要求</w:t>
      </w:r>
      <w:r/>
    </w:p>
    <w:p>
      <w:pPr>
        <w:ind w:firstLine="420"/>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根据项目的实际情况，中标供应商必须配备足够且能正常使用、符合要求的作业设备和工具，并及时更新残旧报废的设备设施。中标供应商应保证在服务期内，用于本项目的车辆设备满足采购需求。中标供应商在不降低作业质量和标准的情况下，可根据实际作业情况适当调整作业车辆等设备的数量和型号，但如需调整的必须经采购人审核同意。车辆和设备必须符合环保要求。投入的车辆和设备最迟应在合同签订起2周内投</w:t>
      </w:r>
      <w:r>
        <w:rPr>
          <w:rFonts w:hint="eastAsia" w:ascii="宋体" w:hAnsi="宋体" w:eastAsia="宋体" w:cs="宋体"/>
          <w:color w:val="auto"/>
          <w:sz w:val="21"/>
          <w:szCs w:val="21"/>
          <w:highlight w:val="none"/>
          <w:lang w:val="en-US" w:eastAsia="zh-CN" w:bidi="ar-SA"/>
        </w:rPr>
        <w:t xml:space="preserve">入完毕，本项目投入使用的机械设备必须仅用于本项目使用，不得挪作他用。中标供应商自行协调解决办公场所、车辆及设施设备停放场所问题。作业车辆外观干净整洁，作业正常有效，保险等手续齐全，按规定进行上牌和年审，车辆使用、保养记录齐全，车身干净整洁，无明显污渍、划痕或损坏，车身外部无明显开裂、锈蚀或明显变形，且保险杠、后视镜等部件需完好无损，车漆保持良好状态，无明显褪色、氧化或破损，轮胎磨损在正常范围，车辆无渗油漏油现象，损坏车辆在合理时间内维修完成投入正常使用，相关作业时产生的噪音及尾气排放要符合环保部门有关要求。</w:t>
      </w:r>
      <w:r/>
    </w:p>
    <w:p>
      <w:pPr>
        <w:ind w:firstLine="422"/>
        <w:keepLines w:val="0"/>
        <w:keepNext w:val="0"/>
        <w:pageBreakBefore w:val="0"/>
        <w:spacing w:line="360" w:lineRule="auto"/>
        <w:shd w:val="clear" w:color="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投标供应商中标后须在项目所在地有固定机械、车辆停放地，场地面积需满足作业车辆停放需求。(场地应在养护片区20公里路程范围内)。</w:t>
      </w:r>
      <w:r/>
    </w:p>
    <w:p>
      <w:pPr>
        <w:ind w:firstLine="422"/>
        <w:keepLines w:val="0"/>
        <w:keepNext w:val="0"/>
        <w:pageBreakBefore w:val="0"/>
        <w:spacing w:line="360" w:lineRule="auto"/>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lang w:val="en-US" w:eastAsia="zh-CN"/>
        </w:rPr>
        <w:t xml:space="preserve">1.3</w:t>
      </w:r>
      <w:r>
        <w:rPr>
          <w:rFonts w:hint="eastAsia" w:ascii="宋体" w:hAnsi="宋体" w:eastAsia="宋体" w:cs="宋体"/>
          <w:b/>
          <w:bCs/>
          <w:color w:val="auto"/>
          <w:sz w:val="21"/>
          <w:szCs w:val="21"/>
          <w:highlight w:val="none"/>
        </w:rPr>
        <w:t xml:space="preserve">应急处置要求</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遇有重大活动或抗台、扫雪等突发事件，必须无条件做好清扫保洁等保障工作，服从采购人的统一指挥。包括且不限于在防汛时</w:t>
      </w:r>
      <w:r>
        <w:rPr>
          <w:rFonts w:hint="eastAsia" w:ascii="宋体" w:hAnsi="宋体" w:eastAsia="宋体" w:cs="宋体"/>
          <w:b w:val="0"/>
          <w:bCs w:val="0"/>
          <w:color w:val="auto"/>
          <w:sz w:val="21"/>
          <w:szCs w:val="21"/>
          <w:highlight w:val="none"/>
          <w:lang w:val="en-US" w:eastAsia="zh-CN"/>
        </w:rPr>
        <w:t xml:space="preserve">及时路面枯枝断枝、清除倒伏树木</w:t>
      </w:r>
      <w:r>
        <w:rPr>
          <w:rFonts w:hint="eastAsia" w:ascii="宋体" w:hAnsi="宋体" w:eastAsia="宋体" w:cs="宋体"/>
          <w:b w:val="0"/>
          <w:bCs w:val="0"/>
          <w:color w:val="auto"/>
          <w:sz w:val="21"/>
          <w:szCs w:val="21"/>
          <w:highlight w:val="none"/>
        </w:rPr>
        <w:t xml:space="preserve">；在扫雪防冻时，组织人员清扫管养区域路面积雪等。</w:t>
      </w:r>
      <w:r>
        <w:rPr>
          <w:rFonts w:hint="eastAsia" w:ascii="宋体" w:hAnsi="宋体" w:eastAsia="宋体" w:cs="宋体"/>
          <w:b/>
          <w:bCs/>
          <w:color w:val="auto"/>
          <w:sz w:val="21"/>
          <w:szCs w:val="21"/>
          <w:highlight w:val="none"/>
        </w:rPr>
        <w:t xml:space="preserve">承诺遇紧急突发情况（如强降雨、大雪、冰冻等天气），配备应急人员不少于</w:t>
      </w:r>
      <w:r>
        <w:rPr>
          <w:rFonts w:hint="eastAsia" w:ascii="宋体" w:hAnsi="宋体" w:eastAsia="宋体" w:cs="宋体"/>
          <w:b/>
          <w:bCs/>
          <w:color w:val="auto"/>
          <w:sz w:val="21"/>
          <w:szCs w:val="21"/>
          <w:highlight w:val="none"/>
          <w:lang w:val="en-US" w:eastAsia="zh-CN"/>
        </w:rPr>
        <w:t xml:space="preserve">100</w:t>
      </w:r>
      <w:r>
        <w:rPr>
          <w:rFonts w:hint="eastAsia" w:ascii="宋体" w:hAnsi="宋体" w:eastAsia="宋体" w:cs="宋体"/>
          <w:b/>
          <w:bCs/>
          <w:color w:val="auto"/>
          <w:sz w:val="21"/>
          <w:szCs w:val="21"/>
          <w:highlight w:val="none"/>
        </w:rPr>
        <w:t xml:space="preserve">人</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带不小于3M雪铲的车辆不少于</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台；做好险灾预防和抢险准备工作，遇到下雪，及时组织人员清除责任范围内积雪；台风及汛期加强巡查和值班，加强树木支撑和保护，对树木断枝和倒伏等情况，及时处理和消险；防台防汛、防雪防冻期间</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建立24小时应急值班制度，</w:t>
      </w:r>
      <w:r>
        <w:rPr>
          <w:rFonts w:hint="eastAsia" w:ascii="宋体" w:hAnsi="宋体" w:eastAsia="宋体" w:cs="宋体"/>
          <w:b/>
          <w:bCs/>
          <w:color w:val="auto"/>
          <w:sz w:val="21"/>
          <w:szCs w:val="21"/>
          <w:highlight w:val="none"/>
        </w:rPr>
        <w:t xml:space="preserve">；如出现突发自然灾害、交通事故、设施损坏等不可预见情况，</w:t>
      </w:r>
      <w:r>
        <w:rPr>
          <w:rFonts w:hint="eastAsia" w:ascii="宋体" w:hAnsi="宋体" w:eastAsia="宋体" w:cs="宋体"/>
          <w:b/>
          <w:bCs/>
          <w:color w:val="auto"/>
          <w:sz w:val="21"/>
          <w:szCs w:val="21"/>
          <w:highlight w:val="none"/>
          <w:lang w:val="en-US" w:eastAsia="zh-CN"/>
        </w:rPr>
        <w:t xml:space="preserve">立</w:t>
      </w:r>
      <w:r>
        <w:rPr>
          <w:rFonts w:hint="eastAsia" w:ascii="宋体" w:hAnsi="宋体" w:eastAsia="宋体" w:cs="宋体"/>
          <w:b/>
          <w:bCs/>
          <w:color w:val="auto"/>
          <w:sz w:val="21"/>
          <w:szCs w:val="21"/>
          <w:highlight w:val="none"/>
        </w:rPr>
        <w:t xml:space="preserve">即采取应急措施；在接到招标人书面或口头应急指令后</w:t>
      </w:r>
      <w:r>
        <w:rPr>
          <w:rFonts w:hint="eastAsia" w:ascii="宋体" w:hAnsi="宋体" w:eastAsia="宋体" w:cs="宋体"/>
          <w:b/>
          <w:bCs/>
          <w:color w:val="auto"/>
          <w:sz w:val="21"/>
          <w:szCs w:val="21"/>
          <w:highlight w:val="none"/>
          <w:lang w:val="en-US" w:eastAsia="zh-CN"/>
        </w:rPr>
        <w:t xml:space="preserve">30分钟</w:t>
      </w:r>
      <w:r>
        <w:rPr>
          <w:rFonts w:hint="eastAsia" w:ascii="宋体" w:hAnsi="宋体" w:eastAsia="宋体" w:cs="宋体"/>
          <w:b/>
          <w:bCs/>
          <w:color w:val="auto"/>
          <w:sz w:val="21"/>
          <w:szCs w:val="21"/>
          <w:highlight w:val="none"/>
        </w:rPr>
        <w:t xml:space="preserve">内，组织</w:t>
      </w:r>
      <w:r>
        <w:rPr>
          <w:rFonts w:hint="eastAsia" w:ascii="宋体" w:hAnsi="宋体" w:eastAsia="宋体" w:cs="宋体"/>
          <w:b/>
          <w:bCs/>
          <w:color w:val="auto"/>
          <w:sz w:val="21"/>
          <w:szCs w:val="21"/>
          <w:highlight w:val="none"/>
          <w:lang w:val="en-US" w:eastAsia="zh-CN"/>
        </w:rPr>
        <w:t xml:space="preserve">抢</w:t>
      </w:r>
      <w:r>
        <w:rPr>
          <w:rFonts w:hint="eastAsia" w:ascii="宋体" w:hAnsi="宋体" w:eastAsia="宋体" w:cs="宋体"/>
          <w:b/>
          <w:bCs/>
          <w:color w:val="auto"/>
          <w:sz w:val="21"/>
          <w:szCs w:val="21"/>
          <w:highlight w:val="none"/>
        </w:rPr>
        <w:t xml:space="preserve">险、抢修足量专业技术人员、机械设备及物资抵达现场；在消险过程中严格确保安全作业，并服从采购人的统一指挥和调动，参加全区抢险救灾工作。对突发性事件（如强降雨、降雪等）的应急预案做到定期和不定期演练，以便应对突发性事件。养护单位未按约定时限响应应急事件，招标人有权直接调用其他资源，所产生费用按实际发生额从合同款中扣除。累计3次未达到应急响应要求，招标人可单方解除合同并要求赔偿直接损失。</w:t>
      </w:r>
      <w:r>
        <w:rPr>
          <w:rFonts w:hint="eastAsia" w:ascii="宋体" w:hAnsi="宋体" w:eastAsia="宋体" w:cs="宋体"/>
          <w:b/>
          <w:bCs/>
          <w:color w:val="auto"/>
          <w:sz w:val="21"/>
          <w:szCs w:val="21"/>
          <w:highlight w:val="none"/>
          <w:lang w:val="en-US" w:eastAsia="zh-CN"/>
        </w:rPr>
        <w:t xml:space="preserve">应急队员必须配备应急所需的作业工具、工衣工服、反光衣、劳保用品等。应急队员要做到30分钟之内到现场，2小时之内处理完毕，24小时之内反馈。</w:t>
      </w:r>
      <w:r>
        <w:rPr>
          <w:rFonts w:hint="eastAsia" w:ascii="宋体" w:hAnsi="宋体" w:eastAsia="宋体" w:cs="宋体"/>
          <w:b w:val="0"/>
          <w:bCs w:val="0"/>
          <w:color w:val="auto"/>
          <w:sz w:val="21"/>
          <w:szCs w:val="21"/>
          <w:highlight w:val="none"/>
        </w:rPr>
        <w:t xml:space="preserve">（以上标黑部分为须承诺内容）特殊情况下的一般性应急保障，包括：重大节假日及活动、突发事件、大型检查、一般自然灾害等情况下的应急保障服务，原则上不再增加费用。</w:t>
      </w:r>
      <w:r/>
    </w:p>
    <w:p>
      <w:pPr>
        <w:ind w:firstLine="422"/>
        <w:keepLines w:val="0"/>
        <w:keepNext w:val="0"/>
        <w:pageBreakBefore w:val="0"/>
        <w:spacing w:line="360" w:lineRule="auto"/>
        <w:shd w:val="clear" w:color="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1.4投诉举报处理：</w:t>
      </w:r>
      <w:r>
        <w:rPr>
          <w:rFonts w:hint="eastAsia" w:ascii="宋体" w:hAnsi="宋体" w:eastAsia="宋体" w:cs="宋体"/>
          <w:b w:val="0"/>
          <w:bCs w:val="0"/>
          <w:color w:val="auto"/>
          <w:sz w:val="21"/>
          <w:szCs w:val="21"/>
          <w:highlight w:val="none"/>
          <w:lang w:val="en-US" w:eastAsia="zh-CN" w:bidi="ar-SA"/>
        </w:rPr>
        <w:t xml:space="preserve">中标供应商应建立投诉处理值班制度，保障通讯网络畅通，配合做好各类信访举报投诉问题的处理工作，对于不属于责任范围内的，要做好解释工作。被新闻媒体曝光的，接到数字城管案卷、群众来电、来信、来访投诉的，以及“12345”政府服务热线诉求的将纳入考核。加强管理，确保在各项检查中不失责任分。做好作业质量自查记录，作业交接班必须在作业现场进行。</w:t>
      </w:r>
      <w:r/>
    </w:p>
    <w:p>
      <w:pPr>
        <w:ind w:firstLine="422"/>
        <w:keepLines w:val="0"/>
        <w:keepNext w:val="0"/>
        <w:pageBreakBefore w:val="0"/>
        <w:spacing w:line="360" w:lineRule="auto"/>
        <w:shd w:val="clear" w:color="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1.5台账及安全文明施工要求：</w:t>
      </w:r>
      <w:r>
        <w:rPr>
          <w:rFonts w:hint="eastAsia" w:ascii="宋体" w:hAnsi="宋体" w:eastAsia="宋体" w:cs="宋体"/>
          <w:b w:val="0"/>
          <w:bCs w:val="0"/>
          <w:color w:val="auto"/>
          <w:sz w:val="21"/>
          <w:szCs w:val="21"/>
          <w:highlight w:val="none"/>
          <w:lang w:val="en-US" w:eastAsia="zh-CN" w:bidi="ar-SA"/>
        </w:rPr>
        <w:t xml:space="preserve">中标方应加强档案资料管理工作，按照规定规范、管理单位要求建立设施档案、养护运行记录、检测记录、完好状况评定等基础资料台帐和养护台账，按时上报维修计划、维修完成情况等报表，填写各类网络系统电子台帐和报表。如因养护导致设施发生局部变化的，应对设施档案资料进行更新。中标方应全力保障养护人员、市民百姓、机械设备等安全。建立健全内部安全生产养护制度，定期组织安全教育和作业规程训练，养护人员按照</w:t>
      </w:r>
      <w:r>
        <w:rPr>
          <w:rFonts w:hint="eastAsia" w:ascii="宋体" w:hAnsi="宋体" w:eastAsia="宋体" w:cs="宋体"/>
          <w:b w:val="0"/>
          <w:bCs w:val="0"/>
          <w:color w:val="auto"/>
          <w:sz w:val="21"/>
          <w:szCs w:val="21"/>
          <w:highlight w:val="none"/>
          <w:lang w:val="en-US" w:eastAsia="zh-CN" w:bidi="ar-SA"/>
        </w:rPr>
        <w:t xml:space="preserve">专业养护作业规程进行养护作业，配备必须的保护装置，对养护机械、设备进行全面安全检查。中标方应配备安全员，专职负责养护安全工作。养护前进行必要的环境不安全因素检测。在道路上养护作业时，应围挡作业，设置明显警示标志。养护作业现场应有专职安全人员进行安全监督和交通疏导。养护作业应按规定设置围档，养护设备、材料应堆放在围挡范围之内，实施防尘、降尘工作。养护作业完成后，清理现场，废渣、废弃材料、绿化废弃物等当日清运，做到工完场清。中标方在接到上级或管理单位的指令性任务时，应立即制定相关措施和方案，保质保量按要求完成。</w:t>
      </w:r>
      <w:r/>
    </w:p>
    <w:p>
      <w:pPr>
        <w:ind w:firstLine="422"/>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1.6严格遵守安全生产、道路交通安全法律法规，超7人集体通勤的，中标方必须选用正规营运车辆；全面规范通勤车辆与驾驶人管理，严禁隐患车辆上路和违法驾驶行为，建立车辆“一车一档”常态化安检机制；强化作业现场安全防护，涉及占道施工作业要按规范布置施工控制区，设置警示防护设施、配备现场指挥人员，作业人员全程穿戴反光服、安全帽等防护用品，配齐防撞缓冲等安全设备。严禁作业人员带病上岗、未参保上岗、未经培训上岗。中标方应依法为所有作业人员缴纳工伤保险、雇主责任险或人身意外伤害保险，未参保人员一律不得上岗作业。</w:t>
      </w:r>
      <w:r/>
    </w:p>
    <w:p>
      <w:pPr>
        <w:ind w:firstLine="422"/>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1.7供应商须按要</w:t>
      </w:r>
      <w:r>
        <w:rPr>
          <w:rFonts w:hint="eastAsia" w:ascii="宋体" w:hAnsi="宋体" w:eastAsia="宋体" w:cs="宋体"/>
          <w:color w:val="auto"/>
          <w:sz w:val="21"/>
          <w:szCs w:val="21"/>
          <w:highlight w:val="none"/>
          <w:lang w:val="en-US" w:eastAsia="zh-CN" w:bidi="ar-SA"/>
        </w:rPr>
        <w:t xml:space="preserve">求组织完成项目范围内的每天巡查，并每周提供巡查报表，每月按照业主要求提供月度完成情况及下月计划。养护工作应当及时有效，开展预防性养护工作。供应商应选用先进、实用、环保的养护工艺和材料，禁止使用淘汰产品和淘汰工艺。养护材料应使用与原材料一致且符合标准的合格产品，如无法购置匹配材料的，应选择性能优于原材料的养护材料。养护后设施性能指标应满足规定要求，规范无规定的应不低于新建设施性能指标90%。供应商不得擅自变更园林绿化现状。严格管理公共秩序，防止人为践踏、攀枝摘花，绿地内严禁躺卧露宿、摆摊设点等现象发生，确保绿</w:t>
      </w:r>
      <w:r>
        <w:rPr>
          <w:rFonts w:hint="eastAsia" w:ascii="宋体" w:hAnsi="宋体" w:eastAsia="宋体" w:cs="宋体"/>
          <w:color w:val="auto"/>
          <w:sz w:val="21"/>
          <w:szCs w:val="21"/>
          <w:highlight w:val="none"/>
          <w:lang w:val="en-US" w:eastAsia="zh-CN" w:bidi="ar-SA"/>
        </w:rPr>
        <w:t xml:space="preserve">地内秩序优良。供应商担负保护环卫设施和园林绿化的责任，发现违章占用、挖掘、改变现状等违章行为时，应及时制止，了解违章单位或个人信息，拍照收集相关证据，立即报管理部门。对于偷盗等违法行为的应由供应商向公安部门报案，同时报管理部门。所有无论何种原因遭受损坏，供应商应要求责任方及时修复，保证绿化完好；未及时修复的，采购人可不经供应商同意直接委托其他单位进行处理，所需一切费用由维护服务单位承担，在每月的养护费中扣除。供应商应建立投诉处理值班制度，保障通讯网络畅通。接到市民投诉、媒体、网络等曝光等信息后应按照管理单位</w:t>
      </w:r>
      <w:r>
        <w:rPr>
          <w:rFonts w:hint="eastAsia" w:ascii="宋体" w:hAnsi="宋体" w:eastAsia="宋体" w:cs="宋体"/>
          <w:color w:val="auto"/>
          <w:sz w:val="21"/>
          <w:szCs w:val="21"/>
          <w:highlight w:val="none"/>
          <w:lang w:val="en-US" w:eastAsia="zh-CN" w:bidi="ar-SA"/>
        </w:rPr>
        <w:t xml:space="preserve">对外公布承诺制度要求及管理单位要求赶赴至现场并在规定期限内进行处置，做好反馈和回复工作。对于不属于养护责任范围内的做好解释和回复工作。供应商应加强档案资料管理工作，按照规定规范、管理单位要求建立设施档案、养护运行记录、检测记录、完好状况评定等基础资料台帐和养护台账，按时上报维修计划、维修完成情况等报表，填写各类网络系统电子台帐和报表。如因养护导致发生局部变化的，应对档案资料进行更新。供应商应全力保障养护人员、市民百姓、机械设备等安全。建立健全内部安全生产养护制度，定期组织安全教育和作业规程训练，养护人员按照</w:t>
      </w:r>
      <w:r>
        <w:rPr>
          <w:rFonts w:hint="eastAsia" w:ascii="宋体" w:hAnsi="宋体" w:eastAsia="宋体" w:cs="宋体"/>
          <w:color w:val="auto"/>
          <w:sz w:val="21"/>
          <w:szCs w:val="21"/>
          <w:highlight w:val="none"/>
          <w:lang w:val="en-US" w:eastAsia="zh-CN" w:bidi="ar-SA"/>
        </w:rPr>
        <w:t xml:space="preserve">专业养护作业规程进行养护作业，配备必须的保护装置，对养护机械、设备进行全面安全检查。供应商应配备安全员，专职负责养护安全工作。养护前进行必要的环境不安全因素检测。在道路上养护作业时，应围挡作业，设置明显警示标志。养护作业现场应有专职安全人员进行安全监督和交通疏导。养护作业应按规定设置围档，养护设备、材料应堆放在围挡范围之内，实施防尘、降尘工作。养护作业完成后，清理现场，废渣、废弃材料、绿化废弃物等当日清运，做到工完场清。供应商在接到上级或管理单位的指令性任务时，应立即制定相关措施和方案，保质保量按要求完成。</w:t>
      </w:r>
      <w:r/>
    </w:p>
    <w:p>
      <w:pPr>
        <w:ind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、园林绿化日常养护内容</w:t>
      </w:r>
      <w:r>
        <w:rPr>
          <w:rFonts w:hint="eastAsia" w:ascii="宋体" w:hAnsi="宋体" w:eastAsia="宋体" w:cs="宋体"/>
          <w:b/>
          <w:bCs/>
          <w:color w:val="auto"/>
          <w:sz w:val="21"/>
          <w:szCs w:val="21"/>
          <w:highlight w:val="none"/>
          <w:lang w:val="en-US" w:eastAsia="zh-CN"/>
        </w:rPr>
        <w:t xml:space="preserve">及要求</w:t>
      </w:r>
      <w:r>
        <w:rPr>
          <w:rFonts w:hint="eastAsia" w:ascii="宋体" w:hAnsi="宋体" w:eastAsia="宋体" w:cs="宋体"/>
          <w:b/>
          <w:bCs/>
          <w:color w:val="auto"/>
          <w:sz w:val="21"/>
          <w:szCs w:val="21"/>
          <w:highlight w:val="none"/>
        </w:rPr>
        <w:t xml:space="preserve">：</w:t>
      </w:r>
      <w:r/>
    </w:p>
    <w:p>
      <w:pPr>
        <w:ind w:firstLine="422"/>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2.1园林绿化日常养护内容：</w:t>
      </w:r>
      <w:r>
        <w:rPr>
          <w:rFonts w:hint="eastAsia" w:ascii="宋体" w:hAnsi="宋体" w:eastAsia="宋体" w:cs="宋体"/>
          <w:b w:val="0"/>
          <w:bCs w:val="0"/>
          <w:color w:val="auto"/>
          <w:sz w:val="21"/>
          <w:szCs w:val="21"/>
          <w:highlight w:val="none"/>
          <w:shd w:val="clear" w:color="auto"/>
        </w:rPr>
        <w:t xml:space="preserve">绿化约</w:t>
      </w:r>
      <w:r>
        <w:rPr>
          <w:rFonts w:hint="eastAsia" w:ascii="宋体" w:hAnsi="宋体" w:eastAsia="宋体" w:cs="宋体"/>
          <w:b w:val="0"/>
          <w:bCs w:val="0"/>
          <w:color w:val="auto"/>
          <w:sz w:val="21"/>
          <w:szCs w:val="21"/>
          <w:highlight w:val="none"/>
          <w:shd w:val="clear" w:color="auto" w:fill="ffffff" w:themeFill="background1"/>
        </w:rPr>
        <w:t xml:space="preserve">138.18</w:t>
      </w:r>
      <w:r>
        <w:rPr>
          <w:rFonts w:hint="eastAsia" w:ascii="宋体" w:hAnsi="宋体" w:eastAsia="宋体" w:cs="宋体"/>
          <w:b w:val="0"/>
          <w:bCs w:val="0"/>
          <w:color w:val="auto"/>
          <w:sz w:val="21"/>
          <w:szCs w:val="21"/>
          <w:highlight w:val="none"/>
          <w:shd w:val="clear" w:color="auto"/>
        </w:rPr>
        <w:t xml:space="preserve">万平方米，硬质约31.18万平方米，</w:t>
      </w:r>
      <w:r>
        <w:rPr>
          <w:rFonts w:hint="eastAsia" w:ascii="宋体" w:hAnsi="宋体" w:eastAsia="宋体" w:cs="宋体"/>
          <w:b w:val="0"/>
          <w:bCs w:val="0"/>
          <w:color w:val="auto"/>
          <w:sz w:val="21"/>
          <w:szCs w:val="21"/>
          <w:highlight w:val="none"/>
        </w:rPr>
        <w:t xml:space="preserve">公园、广场、绿地约24个，行道树约25377株等（</w:t>
      </w:r>
      <w:r>
        <w:rPr>
          <w:rFonts w:hint="eastAsia" w:ascii="宋体" w:hAnsi="宋体" w:eastAsia="宋体" w:cs="宋体"/>
          <w:b w:val="0"/>
          <w:bCs w:val="0"/>
          <w:color w:val="auto"/>
          <w:sz w:val="21"/>
          <w:szCs w:val="21"/>
          <w:highlight w:val="none"/>
          <w:lang w:val="en-US" w:eastAsia="zh-CN"/>
        </w:rPr>
        <w:t xml:space="preserve">详</w:t>
      </w:r>
      <w:r>
        <w:rPr>
          <w:rFonts w:hint="eastAsia" w:ascii="宋体" w:hAnsi="宋体" w:eastAsia="宋体" w:cs="宋体"/>
          <w:b w:val="0"/>
          <w:bCs w:val="0"/>
          <w:color w:val="auto"/>
          <w:sz w:val="21"/>
          <w:szCs w:val="21"/>
          <w:highlight w:val="none"/>
        </w:rPr>
        <w:t xml:space="preserve">见设施量</w:t>
      </w:r>
      <w:r>
        <w:rPr>
          <w:rFonts w:hint="eastAsia" w:ascii="宋体" w:hAnsi="宋体" w:eastAsia="宋体" w:cs="宋体"/>
          <w:b w:val="0"/>
          <w:bCs w:val="0"/>
          <w:color w:val="auto"/>
          <w:sz w:val="21"/>
          <w:szCs w:val="21"/>
          <w:highlight w:val="none"/>
          <w:lang w:val="en-US" w:eastAsia="zh-CN"/>
        </w:rPr>
        <w:t xml:space="preserve">表</w:t>
      </w:r>
      <w:r>
        <w:rPr>
          <w:rFonts w:hint="eastAsia" w:ascii="宋体" w:hAnsi="宋体" w:eastAsia="宋体" w:cs="宋体"/>
          <w:b w:val="0"/>
          <w:bCs w:val="0"/>
          <w:color w:val="auto"/>
          <w:sz w:val="21"/>
          <w:szCs w:val="21"/>
          <w:highlight w:val="none"/>
        </w:rPr>
        <w:t xml:space="preserve">）。道路绿化养护包含内容：绿地、行道树、草花、树池、格栅、护栏、硬质铺装、水生植物等</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道路绿化养护范围边界到墙到边，道路上小区围墙外的所有绿化设施均在养护范围内。 </w:t>
      </w:r>
      <w:r>
        <w:rPr>
          <w:rFonts w:hint="eastAsia" w:ascii="宋体" w:hAnsi="宋体" w:eastAsia="宋体" w:cs="宋体"/>
          <w:b w:val="0"/>
          <w:bCs w:val="0"/>
          <w:color w:val="auto"/>
          <w:sz w:val="21"/>
          <w:szCs w:val="21"/>
          <w:highlight w:val="none"/>
        </w:rPr>
        <w:t xml:space="preserve">滨河养护部分包含内容：绿地、行道树、树池、雕塑、座椅、健身娱乐设施、喷泉、垃圾箱、宣传牌、花箱、花卉、亭廊等景观设施、护栏、硬质铺装等。公园部分包含内容：绿地、花卉、景观设施、硬质铺装、现场维持秩序人员、森林防火人员、监控维护、护栏、雕塑、座椅、运动娱乐设施、亭廊、垃圾箱、宣传牌、花箱、水体等所有设施。广场部分包含内容：绿地、花卉、景观设施、硬质铺装、现场维持秩序人员、监控维护、护栏、雕塑、座椅、运动娱乐设施、亭廊、垃圾箱、宣传牌、花箱等所有设施。</w:t>
      </w:r>
      <w:r/>
    </w:p>
    <w:p>
      <w:pPr>
        <w:ind w:firstLine="422"/>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2.2园林绿化日常养护要求：</w:t>
      </w:r>
      <w:r>
        <w:rPr>
          <w:rFonts w:hint="eastAsia" w:ascii="宋体" w:hAnsi="宋体" w:eastAsia="宋体" w:cs="宋体"/>
          <w:b w:val="0"/>
          <w:bCs w:val="0"/>
          <w:color w:val="auto"/>
          <w:sz w:val="21"/>
          <w:szCs w:val="21"/>
          <w:highlight w:val="none"/>
        </w:rPr>
        <w:t xml:space="preserve">园林绿化日常养护</w:t>
      </w:r>
      <w:r>
        <w:rPr>
          <w:rFonts w:hint="eastAsia" w:ascii="宋体" w:hAnsi="宋体" w:eastAsia="宋体" w:cs="宋体"/>
          <w:b w:val="0"/>
          <w:bCs w:val="0"/>
          <w:color w:val="auto"/>
          <w:sz w:val="21"/>
          <w:szCs w:val="21"/>
          <w:highlight w:val="none"/>
          <w:lang w:val="en-US" w:eastAsia="zh-CN"/>
        </w:rPr>
        <w:t xml:space="preserve">按照一级养护标准进行养护，养护时绿化养护必须按《南京市城市绿化养护质量等级标准》（见附件2）一级标准养护，及《南京市城市绿化养护技术规程》（见附件1）操作，并</w:t>
      </w:r>
      <w:r>
        <w:rPr>
          <w:rFonts w:hint="eastAsia" w:ascii="宋体" w:hAnsi="宋体" w:eastAsia="宋体" w:cs="宋体"/>
          <w:b w:val="0"/>
          <w:bCs w:val="0"/>
          <w:color w:val="auto"/>
          <w:sz w:val="21"/>
          <w:szCs w:val="21"/>
          <w:highlight w:val="none"/>
        </w:rPr>
        <w:t xml:space="preserve">满足以下要求：</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1行道树及乔木养护</w:t>
      </w:r>
      <w:r/>
    </w:p>
    <w:p>
      <w:pPr>
        <w:ind w:firstLine="420"/>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修剪整形：</w:t>
      </w:r>
      <w:r>
        <w:rPr>
          <w:rFonts w:hint="eastAsia" w:ascii="宋体" w:hAnsi="宋体" w:eastAsia="宋体" w:cs="宋体"/>
          <w:color w:val="auto"/>
          <w:sz w:val="21"/>
          <w:szCs w:val="21"/>
          <w:highlight w:val="none"/>
          <w:lang w:val="en-US" w:eastAsia="zh-CN"/>
        </w:rPr>
        <w:t xml:space="preserve">养护单位必须配备专业的爬树工，能完成公园、林地等登高车无法到达区域树木的修剪、消险作业。</w:t>
      </w:r>
      <w:r>
        <w:rPr>
          <w:rFonts w:hint="eastAsia" w:ascii="宋体" w:hAnsi="宋体" w:eastAsia="宋体" w:cs="宋体"/>
          <w:color w:val="auto"/>
          <w:sz w:val="21"/>
          <w:szCs w:val="21"/>
          <w:highlight w:val="none"/>
        </w:rPr>
        <w:t xml:space="preserve">每年冬季进行休眠期修剪，清除枯枝、病虫枝、交叉枝及下垂枝，保持树冠通透性；生长期适度疏剪内膛枝，调整树形。行道树需统一分枝点高度（一般≥2.8米），无影响交通、架空线路、路灯、建筑、行人安全的树枝。截口需平滑，直径≥5cm的伤口需涂抹防腐剂。无枯枝、交叉枝、过密枝、并生枝、病虫枝，主干上无萌蘖枝</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支撑固定：新栽、补栽的树木和易受害倒伏的树木应设立扶木支撑，且扎缚规范有效；支撑杆与树干接触处需加软垫，防止摩擦损伤；定期检查支撑结构，及时加固松动部件。符合拆除条件的应及时拆除。</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病虫害防治：每月巡查一次，重点防治天牛、蚧壳虫、白粉病等；发现虫孔及时注药，病害枝叶集中销毁。优先选用生物防治或低毒药剂（如石硫合剂、拟除虫菊酯类），避免污染环境。</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水肥管理：新栽乔木前3年需加强浇水，夏季每周1—2次透水，冬季封冻前浇足防冻水。每年春季施腐熟有机肥（5—8kg/株），秋季追施复合肥（0.5—1kg/株），环状沟施后覆土。</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松土除草：树盘范围内定期松土（深度10—15cm），清除杂草及杂物，保持根部透气性。</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树体无钉挂物、悬挂物。树穴设施完好，无黄土裸露，无杂草、杂物。树穴种植土高度应低于树穴边缘5cm。无死株、缺株、严重倾斜株。无法修整复壮的树木应及时申报更换。每年11月，树干应刷白一次，刷白高度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2m。行道树建立一路一档，有动态养护记录，历史资料齐全。</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.2.2灌木养护</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修剪造型：绿篱类（如黄杨、女贞）每年修剪3—4次，维持高度一致、轮廓清晰；观花灌木（如月季、紫薇）花后及时回缩枝条，促进二次开花。球形或造型灌木每月轻剪1次，保持形态美观。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病虫害防控：重点防治红蜘蛛、蚜虫、叶斑病等，定期喷洒阿维菌素、多菌灵等药剂。及时摘除病叶、虫卵枝叶，减少传染源。</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施肥与浇水：春秋季各施一次缓释复合肥（50g/m²）；开花灌木花后增施磷钾肥。夏季早晚浇水，避免高温灼伤叶片；喷淋方式可增加空气湿度。</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土壤管理：根部覆盖3—5cm厚腐殖土或木屑，保墒抑草；每年春季翻土一次，深度20cm。</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补植：每年养护补植量</w:t>
      </w:r>
      <w:r>
        <w:rPr>
          <w:rFonts w:hint="eastAsia" w:ascii="宋体" w:hAnsi="宋体" w:eastAsia="宋体" w:cs="宋体"/>
          <w:color w:val="auto"/>
          <w:sz w:val="21"/>
          <w:szCs w:val="21"/>
          <w:highlight w:val="none"/>
          <w:lang w:val="en-US" w:eastAsia="zh-CN"/>
        </w:rPr>
        <w:t xml:space="preserve">不小于10</w:t>
      </w:r>
      <w:r>
        <w:rPr>
          <w:rFonts w:hint="eastAsia" w:ascii="宋体" w:hAnsi="宋体" w:eastAsia="宋体" w:cs="宋体"/>
          <w:color w:val="auto"/>
          <w:sz w:val="21"/>
          <w:szCs w:val="21"/>
          <w:highlight w:val="none"/>
        </w:rPr>
        <w:t xml:space="preserve">%。</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2.2.3草坪养护</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修剪与平整：生长季保持草高5—8cm，遵循“1/3原则”修剪；冬季可留茬稍高（8—10cm）。及时清理草屑，防止霉变；边角处人工补剪，确保整体平整。</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浇水与排水：春秋季每周浇水1—2次，夏季每2日一次（清晨或傍晚），单次浇水量≥15mm。雨季疏通排水沟，避免积水烂根。</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施肥与补播：春秋季各施一次高氮复合肥（30g/m²）；斑秃区域</w:t>
      </w:r>
      <w:r>
        <w:rPr>
          <w:rFonts w:hint="eastAsia" w:ascii="宋体" w:hAnsi="宋体" w:eastAsia="宋体" w:cs="宋体"/>
          <w:color w:val="auto"/>
          <w:sz w:val="21"/>
          <w:szCs w:val="21"/>
          <w:highlight w:val="none"/>
          <w:lang w:val="en-US" w:eastAsia="zh-CN"/>
        </w:rPr>
        <w:t xml:space="preserve">及时补植草皮</w:t>
      </w:r>
      <w:r>
        <w:rPr>
          <w:rFonts w:hint="eastAsia" w:ascii="宋体" w:hAnsi="宋体" w:eastAsia="宋体" w:cs="宋体"/>
          <w:color w:val="auto"/>
          <w:sz w:val="21"/>
          <w:szCs w:val="21"/>
          <w:highlight w:val="none"/>
        </w:rPr>
        <w:t xml:space="preserve">。每年春季打孔通气（孔距10cm×10cm），撒沙改良土壤板结。</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杂草与病虫害防治：草坪杂草率≤5％，人工拔除阔叶杂草，恶性杂草（如香附子）使用选择性除草剂。草坪基本无病虫危害状，病虫受害率控制在≤5％；预防锈病、褐斑病，定期喷洒代森锰锌；地下害虫（蛴螬）用辛硫磷灌根。</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冬季保护：入冬前施钾肥增强抗寒性；北方地区可覆盖无纺布防冻，减少踩踏。</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草坪上无修剪残留草屑、杂物，无乱停乱放现象。草坪生长健壮，覆盖率达≥98％，生长期无枯黄现象。每年养护</w:t>
      </w:r>
      <w:r>
        <w:rPr>
          <w:rFonts w:hint="eastAsia" w:ascii="宋体" w:hAnsi="宋体" w:eastAsia="宋体" w:cs="宋体"/>
          <w:color w:val="auto"/>
          <w:sz w:val="21"/>
          <w:szCs w:val="21"/>
          <w:highlight w:val="none"/>
          <w:lang w:val="en-US" w:eastAsia="zh-CN"/>
        </w:rPr>
        <w:t xml:space="preserve">更新量不小于20</w:t>
      </w:r>
      <w:r>
        <w:rPr>
          <w:rFonts w:hint="eastAsia" w:ascii="宋体" w:hAnsi="宋体" w:eastAsia="宋体" w:cs="宋体"/>
          <w:color w:val="auto"/>
          <w:sz w:val="21"/>
          <w:szCs w:val="21"/>
          <w:highlight w:val="none"/>
        </w:rPr>
        <w:t xml:space="preserve">%。</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2.2.4花卉养护</w:t>
      </w:r>
      <w:r/>
    </w:p>
    <w:p>
      <w:pPr>
        <w:ind w:firstLine="420"/>
        <w:keepLines w:val="0"/>
        <w:keepNext w:val="0"/>
        <w:pageBreakBefore w:val="0"/>
        <w:spacing w:line="360" w:lineRule="auto"/>
        <w:widowControl w:val="off"/>
        <w:rPr>
          <w:rFonts w:hint="default" w:ascii="宋体" w:hAnsi="宋体" w:eastAsia="宋体" w:cs="宋体"/>
          <w:color w:val="auto"/>
          <w:sz w:val="21"/>
          <w:szCs w:val="21"/>
          <w:highlight w:val="none"/>
          <w:shd w:val="clear" w:color="auto"/>
          <w:lang w:val="en-US" w:eastAsia="zh-CN"/>
        </w:rPr>
      </w:pPr>
      <w:r>
        <w:rPr>
          <w:rFonts w:hint="eastAsia" w:ascii="宋体" w:hAnsi="宋体" w:eastAsia="宋体" w:cs="宋体"/>
          <w:color w:val="auto"/>
          <w:sz w:val="21"/>
          <w:szCs w:val="21"/>
          <w:highlight w:val="none"/>
        </w:rPr>
        <w:t xml:space="preserve">品种选择与轮换：花卉选用适应当地气候的品种；</w:t>
      </w:r>
      <w:r>
        <w:rPr>
          <w:rFonts w:hint="eastAsia" w:ascii="宋体" w:hAnsi="宋体" w:eastAsia="宋体" w:cs="宋体"/>
          <w:color w:val="auto"/>
          <w:sz w:val="21"/>
          <w:szCs w:val="21"/>
          <w:highlight w:val="none"/>
          <w:shd w:val="clear" w:color="auto"/>
          <w:lang w:val="en-US" w:eastAsia="zh-CN"/>
        </w:rPr>
        <w:t xml:space="preserve">种植密度不小于49株/㎡，每年更换不少于3次，</w:t>
      </w:r>
      <w:r>
        <w:rPr>
          <w:rFonts w:hint="eastAsia" w:ascii="宋体" w:hAnsi="宋体" w:eastAsia="宋体" w:cs="宋体"/>
          <w:color w:val="auto"/>
          <w:sz w:val="21"/>
          <w:szCs w:val="21"/>
          <w:highlight w:val="none"/>
          <w:shd w:val="clear" w:color="auto"/>
        </w:rPr>
        <w:t xml:space="preserve">及时更换残花，保持景观连续性。</w:t>
      </w:r>
      <w:r>
        <w:rPr>
          <w:rFonts w:hint="eastAsia" w:ascii="宋体" w:hAnsi="宋体" w:eastAsia="宋体" w:cs="宋体"/>
          <w:color w:val="auto"/>
          <w:sz w:val="21"/>
          <w:szCs w:val="21"/>
          <w:highlight w:val="none"/>
          <w:shd w:val="clear" w:color="auto"/>
          <w:lang w:val="en-US" w:eastAsia="zh-CN"/>
        </w:rPr>
        <w:t xml:space="preserve">花卉的品种要求高中低档搭配，高档花卉：如美女樱、四季海棠等，所占比例20—30%，中档花卉：如三色堇、报春花、金盏菊等，所占比例在30—40%，低档花卉：如太阳花、一串红、羽衣甘蓝等，所占比例40—50%，养护期内，因死亡、偷盗等产生的花卉缺失，养护单位应及时补植，并加强巡查，费用由养护单位承担。</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水肥管理：见干见湿浇水，避免积水烂根；高温天气早晚喷叶面降温。生长期每10天施一次稀薄液肥（N:P:K=1:1:1），花期增施磷酸二氢钾。</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摘心与修剪：草本花卉（如一串红）苗期摘心促分枝；木本花卉（如杜鹃）花后轻剪残花。攀缘类花卉（如铁线莲）及时绑扎引导生长方向。</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病虫害防治：预防白粉病、红蜘蛛，喷施百菌清、哒螨灵；人工捕杀蜗牛、蛞蝓。</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盆栽花卉定期翻盆换土，消毒杀菌。</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越冬管理：不耐寒花卉（如美人蕉）北方地区需挖取根茎沙藏；盆栽移至温室或室内向阳处。</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xml:space="preserve">2.2.5硬质铺装养护</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日常清洁：每日清扫路面垃圾、落叶，每周高压水枪冲洗1次，保持铺装表面无积尘、油渍、青苔。冬季雪后2小时内清除冰雪，禁止使用融雪剂，防止石材腐蚀。</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破损修复：每月全面检查铺装平整度，发现石材/砖材松动、缺失、开裂需24小时内用原材料修复。混凝土裂缝宽度＞3mm时采用环氧树脂灌浆修补，局部沉降区域需整体翻修。</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防护处理：每年春季涂刷石材防护剂，花岗岩类每2年做一次防渗封闭处理。坡道、台阶等易滑区域加装防滑条或铺设防滑颗粒层。</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xml:space="preserve">2.2.6树池养护</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土壤管理：每季度松土1次，深度15—20cm，添加腐殖土改良板结（黏土掺30%粗砂）。树池内覆卵石/松树皮的，每月清理杂物并翻动覆盖层，每年补充30%新材料。</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边界维护：检查树池篦子与路缘石高差，确保篦子边缘低于铺装面2—3cm，防止绊倒。铸铁篦子每季度除锈刷漆，GRC材质篦子出现断裂立即更换。</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xml:space="preserve">2.2.7栏杆/扶手养护</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结构性安全：采用力矩扳手每月检测立柱锚固螺栓，扭力值不低于设计标准90%。木质栏杆含水率需控制在12-18%，出现虫蛀孔洞深度＞2mm须局部更换。</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表面维护：金属栏杆每季度打磨焊点锈蚀，采用三涂两烘工艺重做氟碳涂层。石材栏杆每年两次涂刷有机硅憎水剂，接缝处用弹性密封胶填补。</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xml:space="preserve">2.2.8景观构筑物养护</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木结构维护：采用50%木蜡油+50%桐油混合养护剂，每年雨季前涂刷2遍，重点处理榫卯节点。检查横梁挠度，变形量超过跨度的1/200时需增设钢制加固构件。</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瓦顶维护：琉璃瓦屋面每半年清理排水槽，更换破碎瓦片需使用同窑批号产品。茅草亭顶每3年整体更换，中间层加设不锈钢丝网防鸟啄。</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xml:space="preserve">2.2.9水体系统养护</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水质管控：水体干净，表面无杂物。</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硬质驳岸：干挂石材驳岸每半年检查背栓系统，螺栓预紧力衰减＞20%需重新紧固。亲水平台木地板下方通风间隙需每周清理积淤防止腐烂。（注：所有维修作业需留存前后对比影像资料，建立设施管理档案）</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2.2.10道路、公园广场、停车场、篮球场、足球场、健身场等设施养护及物业要求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乔木、花灌木、草坪等植树标准同前款道路绿化，</w:t>
      </w:r>
      <w:r>
        <w:rPr>
          <w:rFonts w:hint="eastAsia" w:ascii="宋体" w:hAnsi="宋体" w:eastAsia="宋体" w:cs="宋体"/>
          <w:color w:val="auto"/>
          <w:sz w:val="21"/>
          <w:szCs w:val="21"/>
          <w:highlight w:val="none"/>
          <w:lang w:val="en-US" w:eastAsia="zh-CN"/>
        </w:rPr>
        <w:t xml:space="preserve">养护要求</w:t>
      </w:r>
      <w:r>
        <w:rPr>
          <w:rFonts w:hint="eastAsia" w:ascii="宋体" w:hAnsi="宋体" w:eastAsia="宋体" w:cs="宋体"/>
          <w:color w:val="auto"/>
          <w:sz w:val="21"/>
          <w:szCs w:val="21"/>
          <w:highlight w:val="none"/>
        </w:rPr>
        <w:t xml:space="preserve">同前款绿地。园林建（构）筑物、雕塑、喷泉、厕所、围栏、护网、建筑小品以及路灯等基础设施完好，整洁美观，安全无隐患。园路、铺装地面平整，无破损、无积水；金属构件设施无锈蚀、油漆剥落现象。无障碍设</w:t>
      </w:r>
      <w:r>
        <w:rPr>
          <w:rFonts w:hint="eastAsia" w:ascii="宋体" w:hAnsi="宋体" w:eastAsia="宋体" w:cs="宋体"/>
          <w:color w:val="auto"/>
          <w:sz w:val="21"/>
          <w:szCs w:val="21"/>
          <w:highlight w:val="none"/>
        </w:rPr>
        <w:t xml:space="preserve">施完好通畅。供水、排水、喷灌等管网设施维护良好，使用便捷。窨井、进水口、给水口等设施完好无损、清洁、通畅，无安全隐患。防汛、消防等设备完好充足，满足应急使用要求。供电、照明设施完好无损，各类管线安全无隐患。栏杆、桌椅、垃圾桶、井盖和指示牌、告示牌、宣传牌整洁美观，设置合理、醒目、完善、规范。停车场地平整清洁，设施完好，车位标志明显清晰规范。游艺和体育健身器械等设施完整、清洁、安全，满足使用要求，随时进行安全检测，确保无故障运行。公园广场应有24h安保和保洁。其他要求依据《南京市城市市民广场管理标准》（见附件</w:t>
      </w:r>
      <w:r>
        <w:rPr>
          <w:rStyle w:val="986"/>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2.2.11 游园设施管理</w:t>
      </w:r>
      <w:r/>
    </w:p>
    <w:p>
      <w:pPr>
        <w:ind w:firstLine="420"/>
        <w:keepLines w:val="0"/>
        <w:keepNext w:val="0"/>
        <w:pageBreakBefore w:val="0"/>
        <w:spacing w:line="360" w:lineRule="auto"/>
        <w:widowControl w:val="off"/>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制定相关</w:t>
      </w:r>
      <w:r>
        <w:rPr>
          <w:rFonts w:hint="default" w:ascii="宋体" w:hAnsi="宋体" w:eastAsia="宋体" w:cs="宋体"/>
          <w:b w:val="0"/>
          <w:bCs w:val="0"/>
          <w:color w:val="auto"/>
          <w:sz w:val="21"/>
          <w:szCs w:val="21"/>
          <w:highlight w:val="none"/>
          <w:lang w:val="en-US" w:eastAsia="zh-CN"/>
        </w:rPr>
        <w:t xml:space="preserve">安全管理制度</w:t>
      </w:r>
      <w:r>
        <w:rPr>
          <w:rFonts w:hint="eastAsia" w:ascii="宋体" w:hAnsi="宋体" w:eastAsia="宋体" w:cs="宋体"/>
          <w:b w:val="0"/>
          <w:bCs w:val="0"/>
          <w:color w:val="auto"/>
          <w:sz w:val="21"/>
          <w:szCs w:val="21"/>
          <w:highlight w:val="none"/>
          <w:lang w:val="en-US" w:eastAsia="zh-CN"/>
        </w:rPr>
        <w:t xml:space="preserve">，</w:t>
      </w:r>
      <w:r>
        <w:rPr>
          <w:rFonts w:hint="default" w:ascii="宋体" w:hAnsi="宋体" w:eastAsia="宋体" w:cs="宋体"/>
          <w:b w:val="0"/>
          <w:bCs w:val="0"/>
          <w:color w:val="auto"/>
          <w:sz w:val="21"/>
          <w:szCs w:val="21"/>
          <w:highlight w:val="none"/>
          <w:lang w:val="en-US" w:eastAsia="zh-CN"/>
        </w:rPr>
        <w:t xml:space="preserve">按照相关标准的要求设置安全标志</w:t>
      </w:r>
      <w:r>
        <w:rPr>
          <w:rFonts w:hint="eastAsia" w:ascii="宋体" w:hAnsi="宋体" w:eastAsia="宋体" w:cs="宋体"/>
          <w:b w:val="0"/>
          <w:bCs w:val="0"/>
          <w:color w:val="auto"/>
          <w:sz w:val="21"/>
          <w:szCs w:val="21"/>
          <w:highlight w:val="none"/>
          <w:lang w:val="en-US" w:eastAsia="zh-CN"/>
        </w:rPr>
        <w:t xml:space="preserve">及设施，合理配备安全管理人员、维护保养人员等，做好日常维护</w:t>
      </w:r>
      <w:r>
        <w:rPr>
          <w:rFonts w:hint="default" w:ascii="宋体" w:hAnsi="宋体" w:eastAsia="宋体" w:cs="宋体"/>
          <w:b w:val="0"/>
          <w:bCs w:val="0"/>
          <w:color w:val="auto"/>
          <w:sz w:val="21"/>
          <w:szCs w:val="21"/>
          <w:highlight w:val="none"/>
          <w:lang w:val="en-US" w:eastAsia="zh-CN"/>
        </w:rPr>
        <w:t xml:space="preserve">检查</w:t>
      </w:r>
      <w:r>
        <w:rPr>
          <w:rFonts w:hint="eastAsia" w:ascii="宋体" w:hAnsi="宋体" w:eastAsia="宋体" w:cs="宋体"/>
          <w:b w:val="0"/>
          <w:bCs w:val="0"/>
          <w:color w:val="auto"/>
          <w:sz w:val="21"/>
          <w:szCs w:val="21"/>
          <w:highlight w:val="none"/>
          <w:lang w:val="en-US" w:eastAsia="zh-CN"/>
        </w:rPr>
        <w:t xml:space="preserve">维修。</w:t>
      </w:r>
      <w:r>
        <w:rPr>
          <w:rFonts w:hint="default" w:ascii="宋体" w:hAnsi="宋体" w:eastAsia="宋体" w:cs="宋体"/>
          <w:b w:val="0"/>
          <w:bCs w:val="0"/>
          <w:color w:val="auto"/>
          <w:sz w:val="21"/>
          <w:szCs w:val="21"/>
          <w:highlight w:val="none"/>
          <w:lang w:val="en-US" w:eastAsia="zh-CN"/>
        </w:rPr>
        <w:t xml:space="preserve">节假日和重大活动前，应当开展安全专项检查。明确游乐设施的维护保养周期，明示维护保养情况信息。</w:t>
      </w:r>
      <w:r>
        <w:rPr>
          <w:rFonts w:hint="eastAsia" w:ascii="宋体" w:hAnsi="宋体" w:eastAsia="宋体" w:cs="宋体"/>
          <w:b w:val="0"/>
          <w:bCs w:val="0"/>
          <w:color w:val="auto"/>
          <w:sz w:val="21"/>
          <w:szCs w:val="21"/>
          <w:highlight w:val="none"/>
          <w:lang w:val="en-US" w:eastAsia="zh-CN"/>
        </w:rPr>
        <w:t xml:space="preserve">定期开展</w:t>
      </w:r>
      <w:r>
        <w:rPr>
          <w:rFonts w:hint="default" w:ascii="宋体" w:hAnsi="宋体" w:eastAsia="宋体" w:cs="宋体"/>
          <w:b w:val="0"/>
          <w:bCs w:val="0"/>
          <w:color w:val="auto"/>
          <w:sz w:val="21"/>
          <w:szCs w:val="21"/>
          <w:highlight w:val="none"/>
          <w:lang w:val="en-US" w:eastAsia="zh-CN"/>
        </w:rPr>
        <w:t xml:space="preserve">安全检查，及时填写维修、保养作业记录</w:t>
      </w:r>
      <w:r>
        <w:rPr>
          <w:rFonts w:hint="eastAsia" w:ascii="宋体" w:hAnsi="宋体" w:eastAsia="宋体" w:cs="宋体"/>
          <w:b w:val="0"/>
          <w:bCs w:val="0"/>
          <w:color w:val="auto"/>
          <w:sz w:val="21"/>
          <w:szCs w:val="21"/>
          <w:highlight w:val="none"/>
          <w:lang w:val="en-US" w:eastAsia="zh-CN"/>
        </w:rPr>
        <w:t xml:space="preserve">。</w:t>
      </w:r>
      <w:r>
        <w:rPr>
          <w:rFonts w:hint="default" w:ascii="宋体" w:hAnsi="宋体" w:eastAsia="宋体" w:cs="宋体"/>
          <w:b w:val="0"/>
          <w:bCs w:val="0"/>
          <w:color w:val="auto"/>
          <w:sz w:val="21"/>
          <w:szCs w:val="21"/>
          <w:highlight w:val="none"/>
          <w:lang w:val="en-US" w:eastAsia="zh-CN"/>
        </w:rPr>
        <w:t xml:space="preserve">投保相关安全责任险，以提高事故赔付能力。</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2.2.1</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养护管理人员要求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rPr>
        <w:t xml:space="preserve">本项目所有养护人员的年龄均需符合相关养护工作及劳动法等法律法规、技术规范要求。</w:t>
      </w:r>
      <w:r>
        <w:rPr>
          <w:rFonts w:hint="eastAsia" w:ascii="宋体" w:hAnsi="宋体" w:eastAsia="宋体" w:cs="宋体"/>
          <w:color w:val="auto"/>
          <w:sz w:val="21"/>
          <w:szCs w:val="21"/>
          <w:highlight w:val="none"/>
          <w:shd w:val="clear" w:color="auto" w:fill="auto"/>
        </w:rPr>
        <w:t xml:space="preserve">投入的特种操作人员必须持证上岗，包括且不限于高</w:t>
      </w:r>
      <w:r>
        <w:rPr>
          <w:rFonts w:hint="eastAsia" w:ascii="宋体" w:hAnsi="宋体" w:eastAsia="宋体" w:cs="宋体"/>
          <w:color w:val="auto"/>
          <w:sz w:val="21"/>
          <w:szCs w:val="21"/>
          <w:highlight w:val="none"/>
          <w:shd w:val="clear" w:color="auto" w:fill="auto"/>
          <w:lang w:val="en-US" w:eastAsia="zh-CN"/>
        </w:rPr>
        <w:t xml:space="preserve">处</w:t>
      </w:r>
      <w:r>
        <w:rPr>
          <w:rFonts w:hint="eastAsia" w:ascii="宋体" w:hAnsi="宋体" w:eastAsia="宋体" w:cs="宋体"/>
          <w:color w:val="auto"/>
          <w:sz w:val="21"/>
          <w:szCs w:val="21"/>
          <w:highlight w:val="none"/>
          <w:shd w:val="clear" w:color="auto" w:fill="auto"/>
        </w:rPr>
        <w:t xml:space="preserve">作业证，并在提供特种作业前向采购人提供全部证件供查验</w:t>
      </w:r>
      <w:r>
        <w:rPr>
          <w:rFonts w:hint="eastAsia" w:ascii="宋体" w:hAnsi="宋体" w:eastAsia="宋体" w:cs="宋体"/>
          <w:color w:val="auto"/>
          <w:sz w:val="21"/>
          <w:szCs w:val="21"/>
          <w:highlight w:val="none"/>
          <w:shd w:val="clear" w:color="auto" w:fill="auto"/>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考虑到防汛、防台、雪灾等抗灾需要，必须保证足够人员及时调动，用于抗灾抢险（包括夜值班巡查）。</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本项目采购人不提供任何办公场所。</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中标单位负责维护管理过程中的一切安全责任，其中包括发生的一切工伤事故及工作人员的作业或非作业性的人身安全等责任。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中标单位必须按时发工资，聘用人员工资待遇不能低于当地政府的最低工资待遇标准（社会保险和意外保险另算），任何劳资纠纷全由中标单位负责。</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中标单位必须按法律法规及有关政策为其服务人员购买社会保险、意外保险等相关保险。</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中标单位必须执行国家劳动法的相关规定。</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中标单位必须落实好安全生产的措施和配置安全作业的劳保用品。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中标单位的服务人员数量必须满足采购人的实际工作要求，且穿着统一标识的工作服。</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2.2.12其他未列明的园林养护要求参照见附件</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，如上级相应规范标准有更新，按照最新版本执行。</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keepLines w:val="0"/>
        <w:keepNext w:val="0"/>
        <w:pageBreakBefore w:val="0"/>
        <w:spacing w:line="360" w:lineRule="auto"/>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第二部分：维修专项</w:t>
      </w:r>
      <w:r/>
    </w:p>
    <w:p>
      <w:pPr>
        <w:ind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1、资金使用范围</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1.1自然灾害应急修复</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因台风、暴雨、洪涝、地质灾害等不可抗力导致的园林</w:t>
      </w:r>
      <w:r>
        <w:rPr>
          <w:rFonts w:hint="eastAsia" w:ascii="宋体" w:hAnsi="宋体" w:eastAsia="宋体" w:cs="宋体"/>
          <w:color w:val="auto"/>
          <w:sz w:val="21"/>
          <w:szCs w:val="21"/>
          <w:highlight w:val="none"/>
          <w:lang w:val="en-US" w:eastAsia="zh-CN"/>
        </w:rPr>
        <w:t xml:space="preserve">及附属景观</w:t>
      </w:r>
      <w:r>
        <w:rPr>
          <w:rFonts w:hint="eastAsia" w:ascii="宋体" w:hAnsi="宋体" w:eastAsia="宋体" w:cs="宋体"/>
          <w:color w:val="auto"/>
          <w:sz w:val="21"/>
          <w:szCs w:val="21"/>
          <w:highlight w:val="none"/>
        </w:rPr>
        <w:t xml:space="preserve">设施损毁（需提供气象部门灾害等级证明，如橙色/红色预警），且非日常养护不力所致。包括：</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（1）绿地、植物大量损毁（损毁量不小于同路段的30%）；</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（2）园路、护栏等基础设施结构性损坏。</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园林景观</w:t>
      </w:r>
      <w:r>
        <w:rPr>
          <w:rFonts w:hint="eastAsia" w:ascii="宋体" w:hAnsi="宋体" w:eastAsia="宋体" w:cs="宋体"/>
          <w:color w:val="auto"/>
          <w:sz w:val="21"/>
          <w:szCs w:val="21"/>
          <w:highlight w:val="none"/>
        </w:rPr>
        <w:t xml:space="preserve">设施的严重损坏。</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1.2大额修复</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单次修复费用超过10万元且满足以下条件之一：</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（1）设施损毁面积≥500平方米；</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（2）涉及公共安全的设施需紧急抢修；</w:t>
      </w:r>
      <w:r/>
    </w:p>
    <w:p>
      <w:pPr>
        <w:ind w:firstLine="42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（3）经第三方评估机构认定的必要性修复项目</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（4）因管养范围内规划调整等需要，需对原有绿化进行更新、提档升级、补植、修复、移栽（移栽地点由采购人指定，移栽距离10km以内）或大修剪；</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（5）经采购人要求，实施的苗木移栽（移栽地点由采购人指定，移栽距离10km以内）与补植、绿化新增与升级、设施更新与升级。</w:t>
      </w:r>
      <w:r/>
    </w:p>
    <w:p>
      <w:pPr>
        <w:ind w:firstLine="63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1.3设施更新与升级</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符合以下条件的设施更新：</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（1）使用年限超过较久或设计使用寿命；</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（2）存在严重安全隐患或技术落后影响功能</w:t>
      </w:r>
      <w:r>
        <w:rPr>
          <w:rFonts w:hint="eastAsia" w:ascii="宋体" w:hAnsi="宋体" w:eastAsia="宋体" w:cs="宋体"/>
          <w:color w:val="auto"/>
          <w:sz w:val="21"/>
          <w:szCs w:val="21"/>
          <w:highlight w:val="none"/>
          <w:lang w:val="en-US" w:eastAsia="zh-CN"/>
        </w:rPr>
        <w:t xml:space="preserve">使用的</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（3）因政策要求或技术标准提升需强制性改造。</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1.4市民投诉举报或人大政协建议等，确需维修或升级改造的设施（需提供工单、提案或建议原文等证明）</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1.5古树名木的抢救性保护</w:t>
      </w:r>
      <w:r/>
    </w:p>
    <w:p>
      <w:pPr>
        <w:ind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2、资金申请与审批流程</w:t>
      </w:r>
      <w:r/>
    </w:p>
    <w:p>
      <w:pPr>
        <w:ind w:firstLine="42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2.1申请材料</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（1）《江宁区园林设施专项维修申报表》（中标后采购单位提供模版，含现场照片、视频及损害范围量化数据）；</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（2）修复预算清单及实施方案；</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（3）非养护责任承诺书（格式自拟，证明非日常维护疏漏导致）；</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（4）其他必要材料。</w:t>
      </w:r>
      <w:r/>
    </w:p>
    <w:p>
      <w:pPr>
        <w:ind w:firstLine="42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2.2审批程序</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（1）一般流程：养护单位提交材料至南京市江宁区城市管理局，由南京市江宁区城市管理局进行审核。</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（2）紧急流程：危及公共安全的项目直接上报南京市江宁区城市管理局，经同意后先行启动，同步补办其他材料。</w:t>
      </w:r>
      <w:r/>
    </w:p>
    <w:p>
      <w:pPr>
        <w:ind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3、维修标准</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3.1维修工作应符合国家及地方园林绿化相关标准和规范。</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3.2维修材料应选择符合环保要求、耐久性强的材料。</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3.3维修过程中应保护好周边环境，减少对市民生活的影响。</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3.3维修完成后，应达到原设计标准或功能要求，并通过相关部门验收。</w:t>
      </w:r>
      <w:r/>
    </w:p>
    <w:p>
      <w:pPr>
        <w:ind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4、验收与结算</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4.1维修完成后，申报单位应组织自验，并向</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提出验收申请。</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组织专业人员进行验收，验收合格后方可投入使用。</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4.3维修费用的结算应根据报价清单、实际完成的</w:t>
      </w:r>
      <w:r>
        <w:rPr>
          <w:rFonts w:hint="eastAsia" w:ascii="宋体" w:hAnsi="宋体" w:eastAsia="宋体" w:cs="宋体"/>
          <w:color w:val="auto"/>
          <w:sz w:val="21"/>
          <w:szCs w:val="21"/>
          <w:highlight w:val="none"/>
          <w:lang w:val="en-US" w:eastAsia="zh-CN"/>
        </w:rPr>
        <w:t xml:space="preserve">工作量</w:t>
      </w:r>
      <w:r>
        <w:rPr>
          <w:rFonts w:hint="eastAsia" w:ascii="宋体" w:hAnsi="宋体" w:eastAsia="宋体" w:cs="宋体"/>
          <w:color w:val="auto"/>
          <w:sz w:val="21"/>
          <w:szCs w:val="21"/>
          <w:highlight w:val="none"/>
        </w:rPr>
        <w:t xml:space="preserve">、审计结算结果进行。</w:t>
      </w:r>
      <w:r/>
    </w:p>
    <w:p>
      <w:pPr>
        <w:ind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5、保修内容及要求</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维修专项中供应商施工范围内的所有项目，质保期为自验收合格或交付之日起1年，维修专项中园林绿化的成活率养护期为1年。质保期内供应商在接到采购人维修通知的24小时内，必须实施维修，否则采购人将自行安排维修，维修费用从年度结算中一次性扣除。</w:t>
      </w:r>
      <w:r/>
    </w:p>
    <w:p>
      <w:pPr>
        <w:ind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6、禁止使用情形</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专项资金不得用于：</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.1日常养护范围内的常规修剪、补植、清洁等费用；</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.2与园林</w:t>
      </w:r>
      <w:r>
        <w:rPr>
          <w:rFonts w:hint="eastAsia" w:ascii="宋体" w:hAnsi="宋体" w:eastAsia="宋体" w:cs="宋体"/>
          <w:color w:val="auto"/>
          <w:sz w:val="21"/>
          <w:szCs w:val="21"/>
          <w:highlight w:val="none"/>
          <w:lang w:val="en-US" w:eastAsia="zh-CN"/>
        </w:rPr>
        <w:t xml:space="preserve">环卫</w:t>
      </w:r>
      <w:r>
        <w:rPr>
          <w:rFonts w:hint="eastAsia" w:ascii="宋体" w:hAnsi="宋体" w:eastAsia="宋体" w:cs="宋体"/>
          <w:color w:val="auto"/>
          <w:sz w:val="21"/>
          <w:szCs w:val="21"/>
          <w:highlight w:val="none"/>
        </w:rPr>
        <w:t xml:space="preserve">养护无直接关联的行政支出或设备采购。</w:t>
      </w:r>
      <w:r/>
    </w:p>
    <w:p>
      <w:pPr>
        <w:ind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7</w:t>
      </w:r>
      <w:r>
        <w:rPr>
          <w:rFonts w:hint="eastAsia" w:ascii="宋体" w:hAnsi="宋体" w:eastAsia="宋体" w:cs="宋体"/>
          <w:b/>
          <w:color w:val="auto"/>
          <w:sz w:val="21"/>
          <w:szCs w:val="21"/>
          <w:highlight w:val="none"/>
        </w:rPr>
        <w:t xml:space="preserve">、附则</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.1资金使用全程接受审计部门监督，须留存影像、票据等凭证；</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.2虚报、挪用资金的单位，取消投标资格并追偿损失；</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.3本细则由南京市江宁区城市管理局负责解释；</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.4自招标合同签订之日起生效。</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keepLines w:val="0"/>
        <w:keepNext w:val="0"/>
        <w:pageBreakBefore w:val="0"/>
        <w:spacing w:line="360" w:lineRule="auto"/>
        <w:rPr>
          <w:rFonts w:hint="eastAsia" w:ascii="宋体" w:hAnsi="宋体" w:eastAsia="宋体" w:cs="宋体"/>
          <w:b/>
          <w:bCs/>
          <w:color w:val="auto"/>
          <w:sz w:val="24"/>
          <w:szCs w:val="24"/>
          <w:highlight w:val="none"/>
        </w:rPr>
        <w:outlineLvl w:val="1"/>
      </w:pPr>
      <w:r/>
      <w:bookmarkStart w:id="41" w:name="_Toc14305"/>
      <w:r>
        <w:rPr>
          <w:rFonts w:hint="eastAsia" w:ascii="宋体" w:hAnsi="宋体" w:eastAsia="宋体" w:cs="宋体"/>
          <w:b/>
          <w:bCs/>
          <w:color w:val="auto"/>
          <w:sz w:val="24"/>
          <w:szCs w:val="24"/>
          <w:highlight w:val="none"/>
        </w:rPr>
        <w:t xml:space="preserve">★（二）商务要求</w:t>
      </w:r>
      <w:bookmarkEnd w:id="41"/>
      <w:r/>
      <w:bookmarkStart w:id="42" w:name="_Hlk137060296"/>
      <w:r/>
      <w:bookmarkStart w:id="43" w:name="_Hlk149921745"/>
      <w:r/>
      <w:r/>
    </w:p>
    <w:p>
      <w:pPr>
        <w:keepLines w:val="0"/>
        <w:keepNext w:val="0"/>
        <w:pageBreakBefore w:val="0"/>
        <w:spacing w:line="360" w:lineRule="auto"/>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rPr>
        <w:t xml:space="preserve">1、报价说明</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（1）本项目投标报价：</w:t>
      </w:r>
      <w:r>
        <w:rPr>
          <w:rFonts w:hint="eastAsia" w:ascii="宋体" w:hAnsi="宋体" w:eastAsia="宋体" w:cs="宋体"/>
          <w:b/>
          <w:bCs/>
          <w:color w:val="auto"/>
          <w:sz w:val="21"/>
          <w:szCs w:val="21"/>
          <w:highlight w:val="none"/>
          <w:lang w:val="en-US" w:eastAsia="zh-CN"/>
        </w:rPr>
        <w:t xml:space="preserve">本项目合同价为东山主城区园林绿化日常养护服务费用+专项维修费用（中标通知书中维修专项费用暂计200万元，专项服务费用依据实际发生工程量和附件5约定计价标准按实结算。专项服务费用=按实结算金额*折扣率，折扣率=维护专项资金投标价/控制价（200万元），专项服务费用结算金额以审计结果为准，审计确认专项服务费用结算金额年度累计不得超过200万元，超出部分甲方不予支付。</w:t>
      </w:r>
      <w:r>
        <w:rPr>
          <w:rFonts w:hint="eastAsia" w:ascii="宋体" w:hAnsi="宋体" w:eastAsia="宋体" w:cs="宋体"/>
          <w:color w:val="auto"/>
          <w:sz w:val="21"/>
          <w:szCs w:val="21"/>
          <w:highlight w:val="none"/>
          <w:lang w:val="en-US" w:eastAsia="zh-CN"/>
        </w:rPr>
        <w:t xml:space="preserve">上述费用应</w:t>
      </w:r>
      <w:r>
        <w:rPr>
          <w:rFonts w:hint="eastAsia" w:ascii="宋体" w:hAnsi="宋体" w:eastAsia="宋体" w:cs="宋体"/>
          <w:color w:val="auto"/>
          <w:sz w:val="21"/>
          <w:szCs w:val="21"/>
          <w:highlight w:val="none"/>
        </w:rPr>
        <w:t xml:space="preserve">包括但不限于完成文件所确定的服务范围所需的全部费用，及其相应税费、政策性文件规定及实施过程中所有风险、责任（含安全）等各项应有费用，不论其在采购文件中是否有提及。投标供应商在养护期限内包工、包料、包质量、包安全、包文明施工、包维护设施完好无缺损，风险自担。养护所需材料、成品、设备等，均由投标供应商自行解决，但必须符合原设计、采购人及有关技术规程、规范要求。投标供应商应根据上述因素自行考虑含入投标报价。</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报价应根据投标人实际情况自主进行，是招标文件所确定的招标范围内的全部工作内容的价格体现。其应包括人工、材料、机械、管理、利润、措施、设备、运营及其他相关费用、规费、税金、成品维护、充分考虑市场风险因素并最大限度地满足招标文件的要求进行报价，但不得恶意低价。</w:t>
      </w:r>
      <w:r/>
    </w:p>
    <w:p>
      <w:pPr>
        <w:ind w:firstLine="42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中标单位应当做好养护人员养老保险缴纳工作和其他法律法规以及合同要求，积极主动完成和落实合同、劳动法等规定的义务与责任。</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为充分了解项目位置、环境、地质状况、道路、储存空间、装卸限制、施工限制及任何其他足以影响报价之情况，投标人可以先到项目场地踏勘，以因忽视或误解项目情况（有经验的承包商不能预见的情况除外）而导致的成本增加等申请一律不予认可，未现场踏勘的投标人自行承担后果。</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）本项目服务现场所有外部协调工作由中标人负责解决并承担所有各类费用。</w:t>
      </w:r>
      <w:r/>
    </w:p>
    <w:p>
      <w:pPr>
        <w:ind w:firstLine="420"/>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）投标人必须按照给定的分项报价表进行报价，分项报价表格式详见第六章投标文件格式。本报价必须充分考虑所有可能影响到报价的价格因素，一旦投标结束最终成交，</w:t>
      </w:r>
      <w:r>
        <w:rPr>
          <w:rFonts w:hint="eastAsia" w:ascii="宋体" w:hAnsi="宋体" w:eastAsia="宋体" w:cs="宋体"/>
          <w:color w:val="auto"/>
          <w:sz w:val="21"/>
          <w:szCs w:val="21"/>
          <w:highlight w:val="none"/>
          <w:lang w:val="en-US" w:eastAsia="zh-CN"/>
        </w:rPr>
        <w:t xml:space="preserve">园林绿化日常养护及环卫保洁服务费用</w:t>
      </w:r>
      <w:r>
        <w:rPr>
          <w:rFonts w:hint="eastAsia" w:ascii="宋体" w:hAnsi="宋体" w:eastAsia="宋体" w:cs="宋体"/>
          <w:color w:val="auto"/>
          <w:sz w:val="21"/>
          <w:szCs w:val="21"/>
          <w:highlight w:val="none"/>
        </w:rPr>
        <w:t xml:space="preserve">将包定，合同期内不予调整。如发生漏、缺、少项，都将被认为是中标人的报价让利行为。</w:t>
      </w:r>
      <w:bookmarkEnd w:id="42"/>
      <w:r/>
      <w:bookmarkEnd w:id="43"/>
      <w:r/>
      <w:r/>
    </w:p>
    <w:p>
      <w:pPr>
        <w:pStyle w:val="974"/>
        <w:ind w:firstLine="0"/>
        <w:keepLines w:val="0"/>
        <w:keepNext w:val="0"/>
        <w:pageBreakBefore w:val="0"/>
        <w:spacing w:line="360" w:lineRule="auto"/>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rPr>
        <w:t xml:space="preserve">2、付款方式</w:t>
      </w:r>
      <w:r/>
    </w:p>
    <w:p>
      <w:pPr>
        <w:pStyle w:val="974"/>
        <w:ind w:left="119" w:firstLine="424"/>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合同项下所有款项均以人民币支付。</w:t>
      </w:r>
      <w:r/>
    </w:p>
    <w:p>
      <w:pPr>
        <w:pStyle w:val="974"/>
        <w:ind w:left="119" w:firstLine="424"/>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园林绿化日常养护服务费：采购人根据考核管理办法对中标单位服务质量进行考核，支付同时扣除考核等扣款。前两个月待试用期考核合格后，在第3个月支付前两个月的进度款，为本合同中园林绿化日常养护服务费的2/12，支付同时扣除预付款及考核扣款，如有剩余款项未扣完，则在下一次支付中扣除；从第3个月开始，采购人根据考核情况向中标供应商支付上个月的服务费用，每月支付本合同中园林绿化日常养护服务费的1/12。</w:t>
      </w:r>
      <w:r/>
    </w:p>
    <w:p>
      <w:pPr>
        <w:pStyle w:val="974"/>
        <w:ind w:left="119" w:firstLine="424"/>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年度预算控制价200万元。专项维修实行按实结算，专项服务费用=按实结算金额*折扣率，折扣率=维护专项资金投标价/控制价（200万元），专项服务费用结算金额以审计结果为准，审计确认专项服务费用结算金额年度累计不得超过200万元，超出部分甲方不予支付。本次维修专项折扣率为</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维修完成并验收合格，且完成结算审计，按照要求提交所有竣工资料后支付至最终审计确认专项服务费用的70%，余款待一年质保期满后支付。如审计核减率在10%以内，审计费用由采购人支付，如审计核减率超过10%，该项目审计费用全部由中标单位支付。</w:t>
      </w:r>
      <w:r/>
    </w:p>
    <w:p>
      <w:pPr>
        <w:pStyle w:val="974"/>
        <w:ind w:left="119" w:firstLine="424"/>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采购人收到中标供应商提供的同等金额的发票后，在履行财政相关资金审批手续后向中标供应商支付合同款（因履行财政相关资金审批手续导致采购人迟延支付合同价款的，采购人不承担迟延支付价款的违约责任）</w:t>
      </w:r>
      <w:r/>
    </w:p>
    <w:p>
      <w:pPr>
        <w:pStyle w:val="974"/>
        <w:ind w:left="119" w:firstLine="0"/>
        <w:keepLines w:val="0"/>
        <w:keepNext w:val="0"/>
        <w:pageBreakBefore w:val="0"/>
        <w:spacing w:line="360" w:lineRule="auto"/>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rPr>
        <w:t xml:space="preserve">3、合同履行期限要求</w:t>
      </w:r>
      <w:r/>
    </w:p>
    <w:p>
      <w:pPr>
        <w:pStyle w:val="974"/>
        <w:ind w:left="119" w:firstLine="424"/>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期限为一年。其中：前两个月为试用期，试用期满经采购人考核合格后，合同方为有效。如考核不合格，采购人将终止与中标供应商的服务合同，但中标供应商必须保证采购人各项正常服务，直至下一中标供应商到位方可撤离，期间所产生的费用按试用期合同支付。</w:t>
      </w:r>
      <w:r/>
    </w:p>
    <w:p>
      <w:pPr>
        <w:pStyle w:val="974"/>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4、考核办法</w:t>
      </w:r>
      <w:r/>
    </w:p>
    <w:p>
      <w:pPr>
        <w:pStyle w:val="974"/>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4.1、园林绿化养护考核办法</w:t>
      </w:r>
      <w:r/>
    </w:p>
    <w:p>
      <w:pPr>
        <w:pStyle w:val="974"/>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进一步强化区级财政投资绿地（以下简称东山主城区）养护管理的检查考核工作，切实提高养护质量，根据《南京市城市绿化养护技术规程》《南京市城市绿化养护质量等级标准》等有关要求，结合我区绿地管理实际情况，制定本细则。</w:t>
      </w:r>
      <w:r/>
    </w:p>
    <w:p>
      <w:pPr>
        <w:ind w:firstLine="44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考核方式</w:t>
      </w:r>
      <w:r/>
    </w:p>
    <w:p>
      <w:pPr>
        <w:ind w:firstLine="44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东山主城区养护管理</w:t>
      </w:r>
      <w:r>
        <w:rPr>
          <w:rFonts w:hint="eastAsia" w:ascii="宋体" w:hAnsi="宋体" w:eastAsia="宋体" w:cs="宋体"/>
          <w:color w:val="auto"/>
          <w:sz w:val="21"/>
          <w:szCs w:val="21"/>
          <w:highlight w:val="none"/>
          <w:lang w:val="en-US" w:eastAsia="zh-CN"/>
        </w:rPr>
        <w:t xml:space="preserve">考核体系由</w:t>
      </w:r>
      <w:r>
        <w:rPr>
          <w:rFonts w:hint="eastAsia" w:ascii="宋体" w:hAnsi="宋体" w:eastAsia="宋体" w:cs="宋体"/>
          <w:b/>
          <w:bCs/>
          <w:color w:val="auto"/>
          <w:sz w:val="21"/>
          <w:szCs w:val="21"/>
          <w:highlight w:val="none"/>
        </w:rPr>
        <w:t xml:space="preserve">月度考评</w:t>
      </w:r>
      <w:r>
        <w:rPr>
          <w:rFonts w:hint="eastAsia" w:ascii="宋体" w:hAnsi="宋体" w:eastAsia="宋体" w:cs="宋体"/>
          <w:color w:val="auto"/>
          <w:sz w:val="21"/>
          <w:szCs w:val="21"/>
          <w:highlight w:val="none"/>
        </w:rPr>
        <w:t xml:space="preserve">和</w:t>
      </w:r>
      <w:r>
        <w:rPr>
          <w:rFonts w:hint="eastAsia" w:ascii="宋体" w:hAnsi="宋体" w:eastAsia="宋体" w:cs="宋体"/>
          <w:b/>
          <w:bCs/>
          <w:color w:val="auto"/>
          <w:sz w:val="21"/>
          <w:szCs w:val="21"/>
          <w:highlight w:val="none"/>
        </w:rPr>
        <w:t xml:space="preserve">直接扣款项</w:t>
      </w:r>
      <w:r>
        <w:rPr>
          <w:rFonts w:hint="eastAsia" w:ascii="宋体" w:hAnsi="宋体" w:eastAsia="宋体" w:cs="宋体"/>
          <w:color w:val="auto"/>
          <w:sz w:val="21"/>
          <w:szCs w:val="21"/>
          <w:highlight w:val="none"/>
        </w:rPr>
        <w:t xml:space="preserve">两部分组成</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两者独立执行，</w:t>
      </w:r>
      <w:r>
        <w:rPr>
          <w:rFonts w:hint="eastAsia" w:ascii="宋体" w:hAnsi="宋体" w:eastAsia="宋体" w:cs="宋体"/>
          <w:color w:val="auto"/>
          <w:sz w:val="21"/>
          <w:szCs w:val="21"/>
          <w:highlight w:val="none"/>
        </w:rPr>
        <w:t xml:space="preserve">养护费用的支付与考核结果及扣款金额双挂钩。</w:t>
      </w:r>
      <w:r/>
    </w:p>
    <w:p>
      <w:pPr>
        <w:ind w:firstLine="422"/>
        <w:jc w:val="left"/>
        <w:keepLines w:val="0"/>
        <w:keepNext w:val="0"/>
        <w:pageBreakBefore w:val="0"/>
        <w:spacing w:line="360" w:lineRule="auto"/>
        <w:rPr>
          <w:rFonts w:hint="default" w:ascii="宋体" w:hAnsi="宋体" w:eastAsia="宋体" w:cs="宋体"/>
          <w:color w:val="auto"/>
          <w:sz w:val="21"/>
          <w:szCs w:val="21"/>
          <w:highlight w:val="none"/>
          <w:lang w:val="en-US" w:eastAsia="zh-CN"/>
        </w:rPr>
        <w:outlineLvl w:val="1"/>
      </w:pPr>
      <w:r/>
      <w:bookmarkStart w:id="44" w:name="_Toc25230"/>
      <w:r>
        <w:rPr>
          <w:rFonts w:hint="eastAsia" w:ascii="宋体" w:hAnsi="宋体" w:eastAsia="宋体" w:cs="宋体"/>
          <w:b/>
          <w:bCs/>
          <w:color w:val="auto"/>
          <w:sz w:val="21"/>
          <w:szCs w:val="21"/>
          <w:highlight w:val="none"/>
          <w:lang w:val="en-US" w:eastAsia="zh-CN"/>
        </w:rPr>
        <w:t xml:space="preserve">月度考评</w:t>
      </w:r>
      <w:r>
        <w:rPr>
          <w:rFonts w:hint="eastAsia" w:ascii="宋体" w:hAnsi="宋体" w:eastAsia="宋体" w:cs="宋体"/>
          <w:b/>
          <w:bCs/>
          <w:color w:val="auto"/>
          <w:sz w:val="21"/>
          <w:szCs w:val="21"/>
          <w:highlight w:val="none"/>
        </w:rPr>
        <w:t xml:space="preserve">：</w:t>
      </w:r>
      <w:r>
        <w:rPr>
          <w:rFonts w:hint="eastAsia" w:ascii="宋体" w:hAnsi="宋体" w:eastAsia="宋体" w:cs="宋体"/>
          <w:color w:val="auto"/>
          <w:sz w:val="21"/>
          <w:szCs w:val="21"/>
          <w:highlight w:val="none"/>
        </w:rPr>
        <w:t xml:space="preserve">由</w:t>
      </w:r>
      <w:r>
        <w:rPr>
          <w:rFonts w:hint="eastAsia" w:ascii="宋体" w:hAnsi="宋体" w:eastAsia="宋体" w:cs="宋体"/>
          <w:color w:val="auto"/>
          <w:sz w:val="21"/>
          <w:szCs w:val="21"/>
          <w:highlight w:val="none"/>
          <w:lang w:val="en-US" w:eastAsia="zh-CN"/>
        </w:rPr>
        <w:t xml:space="preserve">江宁区城市综合养护发展中心</w:t>
      </w:r>
      <w:r>
        <w:rPr>
          <w:rFonts w:hint="eastAsia" w:ascii="宋体" w:hAnsi="宋体" w:eastAsia="宋体" w:cs="宋体"/>
          <w:color w:val="auto"/>
          <w:sz w:val="21"/>
          <w:szCs w:val="21"/>
          <w:highlight w:val="none"/>
        </w:rPr>
        <w:t xml:space="preserve">牵头，组织相关人员成立考核小组。每月（具体时间另行通知）对合同范围内的养护</w:t>
      </w:r>
      <w:r>
        <w:rPr>
          <w:rFonts w:hint="eastAsia" w:ascii="宋体" w:hAnsi="宋体" w:eastAsia="宋体" w:cs="宋体"/>
          <w:color w:val="auto"/>
          <w:sz w:val="21"/>
          <w:szCs w:val="21"/>
          <w:highlight w:val="none"/>
          <w:lang w:val="en-US" w:eastAsia="zh-CN"/>
        </w:rPr>
        <w:t xml:space="preserve">区域</w:t>
      </w:r>
      <w:r>
        <w:rPr>
          <w:rFonts w:hint="eastAsia" w:ascii="宋体" w:hAnsi="宋体" w:eastAsia="宋体" w:cs="宋体"/>
          <w:color w:val="auto"/>
          <w:sz w:val="21"/>
          <w:szCs w:val="21"/>
          <w:highlight w:val="none"/>
        </w:rPr>
        <w:t xml:space="preserve">进行</w:t>
      </w:r>
      <w:r>
        <w:rPr>
          <w:rFonts w:hint="eastAsia" w:ascii="宋体" w:hAnsi="宋体" w:eastAsia="宋体" w:cs="宋体"/>
          <w:color w:val="auto"/>
          <w:sz w:val="21"/>
          <w:szCs w:val="21"/>
          <w:highlight w:val="none"/>
          <w:lang w:val="en-US" w:eastAsia="zh-CN"/>
        </w:rPr>
        <w:t xml:space="preserve">抽查</w:t>
      </w:r>
      <w:r>
        <w:rPr>
          <w:rFonts w:hint="eastAsia" w:ascii="宋体" w:hAnsi="宋体" w:eastAsia="宋体" w:cs="宋体"/>
          <w:color w:val="auto"/>
          <w:sz w:val="21"/>
          <w:szCs w:val="21"/>
          <w:highlight w:val="none"/>
        </w:rPr>
        <w:t xml:space="preserve">。采用百分制扣分法，满分为100分。对照</w:t>
      </w:r>
      <w:r>
        <w:rPr>
          <w:rFonts w:hint="eastAsia" w:ascii="宋体" w:hAnsi="宋体" w:eastAsia="宋体" w:cs="宋体"/>
          <w:color w:val="auto"/>
          <w:sz w:val="21"/>
          <w:szCs w:val="21"/>
          <w:highlight w:val="none"/>
          <w:lang w:val="en-US" w:eastAsia="zh-CN"/>
        </w:rPr>
        <w:t xml:space="preserve">考核细则</w:t>
      </w:r>
      <w:r>
        <w:rPr>
          <w:rFonts w:hint="eastAsia" w:ascii="宋体" w:hAnsi="宋体" w:eastAsia="宋体" w:cs="宋体"/>
          <w:color w:val="auto"/>
          <w:sz w:val="21"/>
          <w:szCs w:val="21"/>
          <w:highlight w:val="none"/>
        </w:rPr>
        <w:t xml:space="preserve">（详见附件</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）逐项检查，发现不合格项立即拍照取证并扣分</w:t>
      </w:r>
      <w:bookmarkEnd w:id="44"/>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随机抽查不定期进行。</w:t>
      </w:r>
      <w:r/>
    </w:p>
    <w:p>
      <w:pPr>
        <w:pStyle w:val="975"/>
        <w:ind w:left="0" w:firstLine="422"/>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直接扣款项：</w:t>
      </w:r>
      <w:r>
        <w:rPr>
          <w:rFonts w:hint="eastAsia" w:ascii="宋体" w:hAnsi="宋体" w:eastAsia="宋体" w:cs="宋体"/>
          <w:color w:val="auto"/>
          <w:sz w:val="21"/>
          <w:szCs w:val="21"/>
          <w:highlight w:val="none"/>
        </w:rPr>
        <w:t xml:space="preserve">由</w:t>
      </w:r>
      <w:r>
        <w:rPr>
          <w:rFonts w:hint="eastAsia" w:ascii="宋体" w:hAnsi="宋体" w:eastAsia="宋体" w:cs="宋体"/>
          <w:color w:val="auto"/>
          <w:sz w:val="21"/>
          <w:szCs w:val="21"/>
          <w:highlight w:val="none"/>
          <w:lang w:val="en-US" w:eastAsia="zh-CN"/>
        </w:rPr>
        <w:t xml:space="preserve">江宁区城市综合养护发展中心</w:t>
      </w:r>
      <w:r>
        <w:rPr>
          <w:rFonts w:hint="eastAsia" w:ascii="宋体" w:hAnsi="宋体" w:eastAsia="宋体" w:cs="宋体"/>
          <w:color w:val="auto"/>
          <w:sz w:val="21"/>
          <w:szCs w:val="21"/>
          <w:highlight w:val="none"/>
        </w:rPr>
        <w:t xml:space="preserve">组织每月对绿地进行全覆盖巡查考核</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下发工作提示单，养护单位针对同类型问题进行自查自纠，未在规定时间内整改到位的直接扣款。其中卫生死角、枯枝断枝、黄土裸露不设整改时间，发现即扣款。</w:t>
      </w:r>
      <w:r/>
    </w:p>
    <w:p>
      <w:pPr>
        <w:ind w:firstLine="44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（2）考核内容</w:t>
      </w:r>
      <w:r/>
    </w:p>
    <w:p>
      <w:pPr>
        <w:ind w:firstLine="44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对植物生长不良、人为损坏绿地及日常性养护工作等采取具体针对性养护方案的情况。包括每月养护工作计划及完成情况；绿地养护质量标准执行情况；绿地日常管理情况；文明安全生产和防汛防台防雪等要求落实情况；监管单位提出的各种管理要求落实以及其它突击性、指令性任务完成情况；中标养护单位承诺实施情况；其他需中标养护单位做好的工作。</w:t>
      </w:r>
      <w:r>
        <w:rPr>
          <w:rFonts w:hint="eastAsia" w:ascii="宋体" w:hAnsi="宋体" w:eastAsia="宋体" w:cs="宋体"/>
          <w:color w:val="auto"/>
          <w:sz w:val="21"/>
          <w:szCs w:val="21"/>
          <w:highlight w:val="none"/>
          <w:lang w:val="en-US" w:eastAsia="zh-CN"/>
        </w:rPr>
        <w:t xml:space="preserve">同时检查</w:t>
      </w:r>
      <w:r>
        <w:rPr>
          <w:rFonts w:hint="eastAsia" w:ascii="宋体" w:hAnsi="宋体" w:eastAsia="宋体" w:cs="宋体"/>
          <w:color w:val="auto"/>
          <w:sz w:val="21"/>
          <w:szCs w:val="21"/>
          <w:highlight w:val="none"/>
        </w:rPr>
        <w:t xml:space="preserve">行业管理</w:t>
      </w:r>
      <w:r>
        <w:rPr>
          <w:rFonts w:hint="eastAsia" w:ascii="宋体" w:hAnsi="宋体" w:eastAsia="宋体" w:cs="宋体"/>
          <w:color w:val="auto"/>
          <w:sz w:val="21"/>
          <w:szCs w:val="21"/>
          <w:highlight w:val="none"/>
          <w:lang w:val="en-US" w:eastAsia="zh-CN"/>
        </w:rPr>
        <w:t xml:space="preserve">情况，</w:t>
      </w:r>
      <w:r>
        <w:rPr>
          <w:rFonts w:hint="eastAsia" w:ascii="宋体" w:hAnsi="宋体" w:eastAsia="宋体" w:cs="宋体"/>
          <w:color w:val="auto"/>
          <w:sz w:val="21"/>
          <w:szCs w:val="21"/>
          <w:highlight w:val="none"/>
        </w:rPr>
        <w:t xml:space="preserve">包括台账资料、救灾及演练、各类创建、安全生产等工作实施情况。对市民投诉、绿化义务监督员、12345公共服务平台反馈、媒体曝光、未经审批毁占绿地等进行现场核查，以保护绿地完整性、保证绿地养护质量。</w:t>
      </w:r>
      <w:r/>
    </w:p>
    <w:p>
      <w:pPr>
        <w:ind w:firstLine="44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（3）考核评分</w:t>
      </w:r>
      <w:r/>
    </w:p>
    <w:p>
      <w:pPr>
        <w:ind w:firstLine="440"/>
        <w:keepLines w:val="0"/>
        <w:keepNext w:val="0"/>
        <w:pageBreakBefore w:val="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color w:val="auto"/>
          <w:sz w:val="21"/>
          <w:szCs w:val="21"/>
          <w:highlight w:val="none"/>
        </w:rPr>
        <w:t xml:space="preserve">考核以百分制计分，</w:t>
      </w:r>
      <w:r>
        <w:rPr>
          <w:rFonts w:hint="eastAsia" w:ascii="宋体" w:hAnsi="宋体" w:eastAsia="宋体" w:cs="宋体"/>
          <w:color w:val="auto"/>
          <w:sz w:val="21"/>
          <w:szCs w:val="21"/>
          <w:highlight w:val="none"/>
          <w:lang w:val="en-US" w:eastAsia="zh-CN"/>
        </w:rPr>
        <w:t xml:space="preserve">月度考评</w:t>
      </w:r>
      <w:r>
        <w:rPr>
          <w:rFonts w:hint="eastAsia" w:ascii="宋体" w:hAnsi="宋体" w:eastAsia="宋体" w:cs="宋体"/>
          <w:color w:val="auto"/>
          <w:sz w:val="21"/>
          <w:szCs w:val="21"/>
          <w:highlight w:val="none"/>
        </w:rPr>
        <w:t xml:space="preserve">满分为100分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计分公式为：</w:t>
      </w:r>
      <w:r>
        <w:rPr>
          <w:rFonts w:hint="eastAsia" w:ascii="宋体" w:hAnsi="宋体" w:eastAsia="宋体" w:cs="宋体"/>
          <w:b w:val="0"/>
          <w:bCs/>
          <w:color w:val="auto"/>
          <w:sz w:val="21"/>
          <w:szCs w:val="21"/>
          <w:highlight w:val="none"/>
          <w:lang w:val="en-US" w:eastAsia="zh-CN"/>
        </w:rPr>
        <w:t xml:space="preserve">月度考评得分</w:t>
      </w:r>
      <w:r>
        <w:rPr>
          <w:rFonts w:hint="eastAsia" w:ascii="宋体" w:hAnsi="宋体" w:eastAsia="宋体" w:cs="宋体"/>
          <w:b w:val="0"/>
          <w:bCs/>
          <w:color w:val="auto"/>
          <w:sz w:val="21"/>
          <w:szCs w:val="21"/>
          <w:highlight w:val="none"/>
        </w:rPr>
        <w:t xml:space="preserve">＝100－考</w:t>
      </w:r>
      <w:r>
        <w:rPr>
          <w:rFonts w:hint="eastAsia" w:ascii="宋体" w:hAnsi="宋体" w:eastAsia="宋体" w:cs="宋体"/>
          <w:b w:val="0"/>
          <w:bCs/>
          <w:color w:val="auto"/>
          <w:sz w:val="21"/>
          <w:szCs w:val="21"/>
          <w:highlight w:val="none"/>
          <w:lang w:val="en-US" w:eastAsia="zh-CN"/>
        </w:rPr>
        <w:t xml:space="preserve">评</w:t>
      </w:r>
      <w:r>
        <w:rPr>
          <w:rFonts w:hint="eastAsia" w:ascii="宋体" w:hAnsi="宋体" w:eastAsia="宋体" w:cs="宋体"/>
          <w:b w:val="0"/>
          <w:bCs/>
          <w:color w:val="auto"/>
          <w:sz w:val="21"/>
          <w:szCs w:val="21"/>
          <w:highlight w:val="none"/>
        </w:rPr>
        <w:t xml:space="preserve">扣分</w:t>
      </w:r>
      <w:r>
        <w:rPr>
          <w:rFonts w:hint="eastAsia" w:ascii="宋体" w:hAnsi="宋体" w:eastAsia="宋体" w:cs="宋体"/>
          <w:b w:val="0"/>
          <w:bCs/>
          <w:color w:val="auto"/>
          <w:sz w:val="21"/>
          <w:szCs w:val="21"/>
          <w:highlight w:val="none"/>
          <w:lang w:val="en-US" w:eastAsia="zh-CN"/>
        </w:rPr>
        <w:t xml:space="preserve">-随机抽查扣分。</w:t>
      </w:r>
      <w:r/>
    </w:p>
    <w:p>
      <w:pPr>
        <w:ind w:firstLine="44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其他直接扣款项：不</w:t>
      </w:r>
      <w:r>
        <w:rPr>
          <w:rFonts w:hint="eastAsia" w:ascii="宋体" w:hAnsi="宋体" w:eastAsia="宋体" w:cs="宋体"/>
          <w:color w:val="auto"/>
          <w:sz w:val="21"/>
          <w:szCs w:val="21"/>
          <w:highlight w:val="none"/>
          <w:lang w:val="en-US" w:eastAsia="zh-CN"/>
        </w:rPr>
        <w:t xml:space="preserve">纳入月度考评扣</w:t>
      </w:r>
      <w:r>
        <w:rPr>
          <w:rFonts w:hint="eastAsia" w:ascii="宋体" w:hAnsi="宋体" w:eastAsia="宋体" w:cs="宋体"/>
          <w:color w:val="auto"/>
          <w:sz w:val="21"/>
          <w:szCs w:val="21"/>
          <w:highlight w:val="none"/>
        </w:rPr>
        <w:t xml:space="preserve">分，直接按条款扣款。</w:t>
      </w:r>
      <w:r/>
    </w:p>
    <w:p>
      <w:pPr>
        <w:ind w:firstLine="44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w:t>
      </w:r>
      <w:r>
        <w:rPr>
          <w:rFonts w:hint="eastAsia" w:ascii="宋体" w:hAnsi="宋体" w:eastAsia="宋体" w:cs="宋体"/>
          <w:color w:val="auto"/>
          <w:sz w:val="21"/>
          <w:szCs w:val="21"/>
          <w:highlight w:val="none"/>
          <w:lang w:val="en-US" w:eastAsia="zh-CN"/>
        </w:rPr>
        <w:t xml:space="preserve">评</w:t>
      </w:r>
      <w:r>
        <w:rPr>
          <w:rFonts w:hint="eastAsia" w:ascii="宋体" w:hAnsi="宋体" w:eastAsia="宋体" w:cs="宋体"/>
          <w:color w:val="auto"/>
          <w:sz w:val="21"/>
          <w:szCs w:val="21"/>
          <w:highlight w:val="none"/>
        </w:rPr>
        <w:t xml:space="preserve">得分在</w:t>
      </w:r>
      <w:r>
        <w:rPr>
          <w:rFonts w:hint="eastAsia" w:ascii="宋体" w:hAnsi="宋体" w:eastAsia="宋体" w:cs="宋体"/>
          <w:color w:val="auto"/>
          <w:sz w:val="21"/>
          <w:szCs w:val="21"/>
          <w:highlight w:val="none"/>
          <w:lang w:val="en-US" w:eastAsia="zh-CN"/>
        </w:rPr>
        <w:t xml:space="preserve">60</w:t>
      </w:r>
      <w:r>
        <w:rPr>
          <w:rFonts w:hint="eastAsia" w:ascii="宋体" w:hAnsi="宋体" w:eastAsia="宋体" w:cs="宋体"/>
          <w:color w:val="auto"/>
          <w:sz w:val="21"/>
          <w:szCs w:val="21"/>
          <w:highlight w:val="none"/>
        </w:rPr>
        <w:t xml:space="preserve">分以上（含</w:t>
      </w:r>
      <w:r>
        <w:rPr>
          <w:rFonts w:hint="eastAsia" w:ascii="宋体" w:hAnsi="宋体" w:eastAsia="宋体" w:cs="宋体"/>
          <w:color w:val="auto"/>
          <w:sz w:val="21"/>
          <w:szCs w:val="21"/>
          <w:highlight w:val="none"/>
          <w:lang w:val="en-US" w:eastAsia="zh-CN"/>
        </w:rPr>
        <w:t xml:space="preserve">60</w:t>
      </w:r>
      <w:r>
        <w:rPr>
          <w:rFonts w:hint="eastAsia" w:ascii="宋体" w:hAnsi="宋体" w:eastAsia="宋体" w:cs="宋体"/>
          <w:color w:val="auto"/>
          <w:sz w:val="21"/>
          <w:szCs w:val="21"/>
          <w:highlight w:val="none"/>
        </w:rPr>
        <w:t xml:space="preserve">分）为合格，合同期内，连续两次考</w:t>
      </w:r>
      <w:r>
        <w:rPr>
          <w:rFonts w:hint="eastAsia" w:ascii="宋体" w:hAnsi="宋体" w:eastAsia="宋体" w:cs="宋体"/>
          <w:color w:val="auto"/>
          <w:sz w:val="21"/>
          <w:szCs w:val="21"/>
          <w:highlight w:val="none"/>
          <w:lang w:val="en-US" w:eastAsia="zh-CN"/>
        </w:rPr>
        <w:t xml:space="preserve">评</w:t>
      </w:r>
      <w:r>
        <w:rPr>
          <w:rFonts w:hint="eastAsia" w:ascii="宋体" w:hAnsi="宋体" w:eastAsia="宋体" w:cs="宋体"/>
          <w:color w:val="auto"/>
          <w:sz w:val="21"/>
          <w:szCs w:val="21"/>
          <w:highlight w:val="none"/>
        </w:rPr>
        <w:t xml:space="preserve">不合格或累计三次考</w:t>
      </w:r>
      <w:r>
        <w:rPr>
          <w:rFonts w:hint="eastAsia" w:ascii="宋体" w:hAnsi="宋体" w:eastAsia="宋体" w:cs="宋体"/>
          <w:color w:val="auto"/>
          <w:sz w:val="21"/>
          <w:szCs w:val="21"/>
          <w:highlight w:val="none"/>
          <w:lang w:val="en-US" w:eastAsia="zh-CN"/>
        </w:rPr>
        <w:t xml:space="preserve">评</w:t>
      </w:r>
      <w:r>
        <w:rPr>
          <w:rFonts w:hint="eastAsia" w:ascii="宋体" w:hAnsi="宋体" w:eastAsia="宋体" w:cs="宋体"/>
          <w:color w:val="auto"/>
          <w:sz w:val="21"/>
          <w:szCs w:val="21"/>
          <w:highlight w:val="none"/>
        </w:rPr>
        <w:t xml:space="preserve">不合格，招标人有权单方终止中标人的管养合同，养护经费按实际养护期进行结算，招标人不额外支付任何费用。</w:t>
      </w:r>
      <w:r/>
    </w:p>
    <w:p>
      <w:pPr>
        <w:ind w:firstLine="44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绿化养护单位在养护合同期内有下列行为之一的，招标人有权单方终止中标人的管养合同。</w:t>
      </w:r>
      <w:r/>
    </w:p>
    <w:p>
      <w:pPr>
        <w:ind w:firstLine="44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未经审批同意，擅自砍伐、移植或更换养护范围内的树木，改变绿地原貌的；对毁绿、占绿的行为，未在第一时间（48小时）内发现、制止和及时报告，且毁损乔木3株以上，或毁占绿地面积5平方米以上的；经群众举报或媒体曝光等投诉内容经查证属实，并确系养护管理不到位所致的养护管理重大责任事件；应急抢险事件处理不力，造成严重后果的。</w:t>
      </w:r>
      <w:r/>
    </w:p>
    <w:p>
      <w:pPr>
        <w:ind w:firstLine="44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（4）日常经费支付</w:t>
      </w:r>
      <w:r/>
    </w:p>
    <w:p>
      <w:pPr>
        <w:ind w:firstLine="44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江宁区城市管理局负责对</w:t>
      </w:r>
      <w:r>
        <w:rPr>
          <w:rFonts w:hint="eastAsia" w:ascii="宋体" w:hAnsi="宋体" w:eastAsia="宋体" w:cs="宋体"/>
          <w:color w:val="auto"/>
          <w:sz w:val="21"/>
          <w:szCs w:val="21"/>
          <w:highlight w:val="none"/>
          <w:lang w:val="en-US" w:eastAsia="zh-CN"/>
        </w:rPr>
        <w:t xml:space="preserve">考核</w:t>
      </w:r>
      <w:r>
        <w:rPr>
          <w:rFonts w:hint="eastAsia" w:ascii="宋体" w:hAnsi="宋体" w:eastAsia="宋体" w:cs="宋体"/>
          <w:color w:val="auto"/>
          <w:sz w:val="21"/>
          <w:szCs w:val="21"/>
          <w:highlight w:val="none"/>
        </w:rPr>
        <w:t xml:space="preserve">结果及养护资金申请材料进行审核，养护中心</w:t>
      </w:r>
      <w:r>
        <w:rPr>
          <w:rFonts w:hint="eastAsia" w:ascii="宋体" w:hAnsi="宋体" w:eastAsia="宋体" w:cs="宋体"/>
          <w:color w:val="auto"/>
          <w:sz w:val="21"/>
          <w:szCs w:val="21"/>
          <w:highlight w:val="none"/>
          <w:lang w:val="en-US" w:eastAsia="zh-CN"/>
        </w:rPr>
        <w:t xml:space="preserve">提供</w:t>
      </w:r>
      <w:r>
        <w:rPr>
          <w:rFonts w:hint="eastAsia" w:ascii="宋体" w:hAnsi="宋体" w:eastAsia="宋体" w:cs="宋体"/>
          <w:color w:val="auto"/>
          <w:sz w:val="21"/>
          <w:szCs w:val="21"/>
          <w:highlight w:val="none"/>
        </w:rPr>
        <w:t xml:space="preserve">日常养护管理中发现的问题作为合同价款支付依据，实行累计扣分制。凡是检查考核不符合标准或是发现问题处理不及时（其中严重问题或涉及环境卫生问题不设整改时间，发现即扣分），均按相关扣分标准扣减相应分数（同一问题重复出现加倍扣分），</w:t>
      </w:r>
      <w:r>
        <w:rPr>
          <w:rFonts w:hint="eastAsia" w:ascii="宋体" w:hAnsi="宋体" w:eastAsia="宋体" w:cs="宋体"/>
          <w:b w:val="0"/>
          <w:bCs w:val="0"/>
          <w:color w:val="auto"/>
          <w:sz w:val="21"/>
          <w:szCs w:val="21"/>
          <w:highlight w:val="none"/>
        </w:rPr>
        <w:t xml:space="preserve">采购人所考核扣分值</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5000元</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lang w:val="zh-CN"/>
        </w:rPr>
        <w:t xml:space="preserve">直接扣款</w:t>
      </w:r>
      <w:r>
        <w:rPr>
          <w:rFonts w:hint="eastAsia" w:ascii="宋体" w:hAnsi="宋体" w:eastAsia="宋体" w:cs="宋体"/>
          <w:b w:val="0"/>
          <w:bCs w:val="0"/>
          <w:color w:val="auto"/>
          <w:sz w:val="21"/>
          <w:szCs w:val="21"/>
          <w:highlight w:val="none"/>
          <w:lang w:val="en-US" w:eastAsia="zh-CN"/>
        </w:rPr>
        <w:t xml:space="preserve">项=</w:t>
      </w:r>
      <w:r>
        <w:rPr>
          <w:rFonts w:hint="eastAsia" w:ascii="宋体" w:hAnsi="宋体" w:eastAsia="宋体" w:cs="宋体"/>
          <w:b w:val="0"/>
          <w:bCs w:val="0"/>
          <w:color w:val="auto"/>
          <w:sz w:val="21"/>
          <w:szCs w:val="21"/>
          <w:highlight w:val="none"/>
        </w:rPr>
        <w:t xml:space="preserve">考核扣除经费(元)</w:t>
      </w:r>
      <w:r>
        <w:rPr>
          <w:rFonts w:hint="eastAsia" w:ascii="宋体" w:hAnsi="宋体" w:eastAsia="宋体" w:cs="宋体"/>
          <w:color w:val="auto"/>
          <w:sz w:val="21"/>
          <w:szCs w:val="21"/>
          <w:highlight w:val="none"/>
        </w:rPr>
        <w:t xml:space="preserve">。</w:t>
      </w:r>
      <w:r/>
    </w:p>
    <w:p>
      <w:pPr>
        <w:ind w:firstLine="44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（5）相关要求</w:t>
      </w:r>
      <w:r/>
    </w:p>
    <w:p>
      <w:pPr>
        <w:ind w:firstLine="44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每月1次，监管单位、中标养护单位主要负责人对月度养护管理情况进行通报、分析存在问题、提出针对性养护方案等。</w:t>
      </w:r>
      <w:r/>
    </w:p>
    <w:p>
      <w:pPr>
        <w:ind w:firstLine="44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标养护单位应对招标范围内绿地负全责。每两天要有专人对绿化等设施巡查一次，并做好巡查记录；发现绿化设施损坏，应在24小时内处理完毕；发现违章搭建及其他破坏绿化现象，必须当场制止，并立即报告养护中心（不得迟于48小时）；汛期和台风季节要加强人员值班，随时处置各种情况；做好绿地病虫害和污染等预报，发现情况及时处置并报养护中心。</w:t>
      </w:r>
      <w:r/>
    </w:p>
    <w:p>
      <w:pPr>
        <w:ind w:firstLine="44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中标养护单位须按时上报月、季、年度养护作业巡查、统计报表、养护工作计划以及应急抢险救灾情况。</w:t>
      </w:r>
      <w:r/>
    </w:p>
    <w:p>
      <w:pPr>
        <w:ind w:firstLine="44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（6）考核细则见附件6，具体考核可根据南京市相关文件要求适时调整。</w:t>
      </w:r>
      <w:r/>
    </w:p>
    <w:p>
      <w:pPr>
        <w:ind w:firstLine="422"/>
        <w:jc w:val="left"/>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rPr>
        <w:t xml:space="preserve">4.</w:t>
      </w:r>
      <w:r>
        <w:rPr>
          <w:rFonts w:hint="eastAsia" w:ascii="宋体" w:hAnsi="宋体" w:eastAsia="宋体" w:cs="宋体"/>
          <w:b/>
          <w:color w:val="auto"/>
          <w:sz w:val="21"/>
          <w:szCs w:val="21"/>
          <w:highlight w:val="none"/>
          <w:lang w:val="en-US" w:eastAsia="zh-CN"/>
        </w:rPr>
        <w:t xml:space="preserve">2</w:t>
      </w:r>
      <w:r>
        <w:rPr>
          <w:rFonts w:hint="eastAsia" w:ascii="宋体" w:hAnsi="宋体" w:eastAsia="宋体" w:cs="宋体"/>
          <w:b/>
          <w:color w:val="auto"/>
          <w:sz w:val="21"/>
          <w:szCs w:val="21"/>
          <w:highlight w:val="none"/>
        </w:rPr>
        <w:t xml:space="preserve">除上述考核内容外，以下为其他直接考核扣款项，</w:t>
      </w:r>
      <w:r>
        <w:rPr>
          <w:rFonts w:hint="eastAsia" w:ascii="宋体" w:hAnsi="宋体" w:eastAsia="宋体" w:cs="宋体"/>
          <w:b/>
          <w:color w:val="auto"/>
          <w:sz w:val="21"/>
          <w:szCs w:val="21"/>
          <w:highlight w:val="none"/>
          <w:lang w:val="zh-CN"/>
        </w:rPr>
        <w:t xml:space="preserve">不占比例分，</w:t>
      </w:r>
      <w:r>
        <w:rPr>
          <w:rFonts w:hint="eastAsia" w:ascii="宋体" w:hAnsi="宋体" w:eastAsia="宋体" w:cs="宋体"/>
          <w:b/>
          <w:color w:val="auto"/>
          <w:sz w:val="21"/>
          <w:szCs w:val="21"/>
          <w:highlight w:val="none"/>
        </w:rPr>
        <w:t xml:space="preserve">可</w:t>
      </w:r>
      <w:r>
        <w:rPr>
          <w:rFonts w:hint="eastAsia" w:ascii="宋体" w:hAnsi="宋体" w:eastAsia="宋体" w:cs="宋体"/>
          <w:b/>
          <w:color w:val="auto"/>
          <w:sz w:val="21"/>
          <w:szCs w:val="21"/>
          <w:highlight w:val="none"/>
          <w:lang w:val="zh-CN"/>
        </w:rPr>
        <w:t xml:space="preserve">直接按条款扣款。</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zh-CN"/>
        </w:rPr>
        <w:t xml:space="preserve">）因养护管理存在问题经查属实的，被媒体曝光、“12345”或热线投诉、</w:t>
      </w:r>
      <w:r>
        <w:rPr>
          <w:rFonts w:hint="eastAsia" w:ascii="宋体" w:hAnsi="宋体" w:eastAsia="宋体" w:cs="宋体"/>
          <w:color w:val="auto"/>
          <w:sz w:val="21"/>
          <w:szCs w:val="21"/>
          <w:highlight w:val="none"/>
          <w:lang w:val="en-US" w:eastAsia="zh-CN"/>
        </w:rPr>
        <w:t xml:space="preserve">信访</w:t>
      </w:r>
      <w:r>
        <w:rPr>
          <w:rFonts w:hint="eastAsia" w:ascii="宋体" w:hAnsi="宋体" w:eastAsia="宋体" w:cs="宋体"/>
          <w:color w:val="auto"/>
          <w:sz w:val="21"/>
          <w:szCs w:val="21"/>
          <w:highlight w:val="none"/>
          <w:lang w:val="zh-CN"/>
        </w:rPr>
        <w:t xml:space="preserve">的，扣除2000元/次，</w:t>
      </w:r>
      <w:r>
        <w:rPr>
          <w:rFonts w:hint="eastAsia" w:ascii="宋体" w:hAnsi="宋体" w:eastAsia="宋体" w:cs="宋体"/>
          <w:color w:val="auto"/>
          <w:sz w:val="21"/>
          <w:szCs w:val="21"/>
          <w:highlight w:val="none"/>
          <w:lang w:val="en-US" w:eastAsia="zh-CN"/>
        </w:rPr>
        <w:t xml:space="preserve">对投诉工单不加核实随意推诿的，扣除5000元/次。</w:t>
      </w:r>
      <w:r>
        <w:rPr>
          <w:rFonts w:hint="eastAsia" w:ascii="宋体" w:hAnsi="宋体" w:eastAsia="宋体" w:cs="宋体"/>
          <w:color w:val="auto"/>
          <w:sz w:val="21"/>
          <w:szCs w:val="21"/>
          <w:highlight w:val="none"/>
          <w:lang w:val="zh-CN"/>
        </w:rPr>
        <w:t xml:space="preserve">对数字化城管、上级部门考核等相关工单出现返工、返单的，扣除5000元/次。整改后仍不到位，回访不满意属实的扣10000元/次。</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）文明典范城市创建检查、标准化验收等上级部门在检查通报中出现养护质量问题，扣款</w:t>
      </w:r>
      <w:r>
        <w:rPr>
          <w:rFonts w:hint="eastAsia" w:ascii="宋体" w:hAnsi="宋体" w:eastAsia="宋体" w:cs="宋体"/>
          <w:color w:val="auto"/>
          <w:sz w:val="21"/>
          <w:szCs w:val="21"/>
          <w:highlight w:val="none"/>
          <w:lang w:val="en-US" w:eastAsia="zh-CN"/>
        </w:rPr>
        <w:t xml:space="preserve">5000</w:t>
      </w:r>
      <w:r>
        <w:rPr>
          <w:rFonts w:hint="eastAsia" w:ascii="宋体" w:hAnsi="宋体" w:eastAsia="宋体" w:cs="宋体"/>
          <w:color w:val="auto"/>
          <w:sz w:val="21"/>
          <w:szCs w:val="21"/>
          <w:highlight w:val="none"/>
          <w:lang w:val="zh-CN"/>
        </w:rPr>
        <w:t xml:space="preserve">元/处；被上级部门通报批评的</w:t>
      </w:r>
      <w:r>
        <w:rPr>
          <w:rFonts w:hint="eastAsia" w:ascii="宋体" w:hAnsi="宋体" w:eastAsia="宋体" w:cs="宋体"/>
          <w:color w:val="auto"/>
          <w:sz w:val="21"/>
          <w:szCs w:val="21"/>
          <w:highlight w:val="none"/>
          <w:lang w:val="en-US" w:eastAsia="zh-CN"/>
        </w:rPr>
        <w:t xml:space="preserve">10000</w:t>
      </w:r>
      <w:r>
        <w:rPr>
          <w:rFonts w:hint="eastAsia" w:ascii="宋体" w:hAnsi="宋体" w:eastAsia="宋体" w:cs="宋体"/>
          <w:color w:val="auto"/>
          <w:sz w:val="21"/>
          <w:szCs w:val="21"/>
          <w:highlight w:val="none"/>
          <w:lang w:val="zh-CN"/>
        </w:rPr>
        <w:t xml:space="preserve">元/次。</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）养护不按规范操作及责任心不强，在</w:t>
      </w:r>
      <w:r>
        <w:rPr>
          <w:rFonts w:hint="eastAsia" w:ascii="宋体" w:hAnsi="宋体" w:eastAsia="宋体" w:cs="宋体"/>
          <w:color w:val="auto"/>
          <w:sz w:val="21"/>
          <w:szCs w:val="21"/>
          <w:highlight w:val="none"/>
        </w:rPr>
        <w:t xml:space="preserve">养护时</w:t>
      </w:r>
      <w:r>
        <w:rPr>
          <w:rFonts w:hint="eastAsia" w:ascii="宋体" w:hAnsi="宋体" w:eastAsia="宋体" w:cs="宋体"/>
          <w:color w:val="auto"/>
          <w:sz w:val="21"/>
          <w:szCs w:val="21"/>
          <w:highlight w:val="none"/>
          <w:lang w:val="zh-CN"/>
        </w:rPr>
        <w:t xml:space="preserve">污染路面没有及时处理的扣除2000元/次；偷倒垃圾扣除</w:t>
      </w:r>
      <w:r>
        <w:rPr>
          <w:rFonts w:hint="eastAsia" w:ascii="宋体" w:hAnsi="宋体" w:eastAsia="宋体" w:cs="宋体"/>
          <w:color w:val="auto"/>
          <w:sz w:val="21"/>
          <w:szCs w:val="21"/>
          <w:highlight w:val="none"/>
          <w:lang w:val="en-US" w:eastAsia="zh-CN"/>
        </w:rPr>
        <w:t xml:space="preserve">5000</w:t>
      </w:r>
      <w:r>
        <w:rPr>
          <w:rFonts w:hint="eastAsia" w:ascii="宋体" w:hAnsi="宋体" w:eastAsia="宋体" w:cs="宋体"/>
          <w:color w:val="auto"/>
          <w:sz w:val="21"/>
          <w:szCs w:val="21"/>
          <w:highlight w:val="none"/>
          <w:lang w:val="zh-CN"/>
        </w:rPr>
        <w:t xml:space="preserve">元/次；重大检查活动不按要求随产随清的扣除5000元/处；</w:t>
      </w:r>
      <w:r>
        <w:rPr>
          <w:rFonts w:hint="eastAsia" w:ascii="宋体" w:hAnsi="宋体" w:eastAsia="宋体" w:cs="宋体"/>
          <w:color w:val="auto"/>
          <w:sz w:val="21"/>
          <w:szCs w:val="21"/>
          <w:highlight w:val="none"/>
          <w:lang w:val="en-US" w:eastAsia="zh-CN"/>
        </w:rPr>
        <w:t xml:space="preserve">作业</w:t>
      </w:r>
      <w:r>
        <w:rPr>
          <w:rFonts w:hint="eastAsia" w:ascii="宋体" w:hAnsi="宋体" w:eastAsia="宋体" w:cs="宋体"/>
          <w:color w:val="auto"/>
          <w:sz w:val="21"/>
          <w:szCs w:val="21"/>
          <w:highlight w:val="none"/>
          <w:lang w:val="zh-CN"/>
        </w:rPr>
        <w:t xml:space="preserve">不符合安全规范要求的扣除2000元/处；工人没有统一着装或着装不规范的扣除1000元/人次。</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）养护单位一线工人投入不足影响养护质量，管理部门有权安排其他队伍进行管理，产生费用由养护单位承担；另外，其实际投入人数与采购文件规定人数的差额，按</w:t>
      </w:r>
      <w:r>
        <w:rPr>
          <w:rFonts w:hint="eastAsia" w:ascii="宋体" w:hAnsi="宋体" w:eastAsia="宋体" w:cs="宋体"/>
          <w:color w:val="auto"/>
          <w:sz w:val="21"/>
          <w:szCs w:val="21"/>
          <w:highlight w:val="none"/>
          <w:lang w:val="en-US" w:eastAsia="zh-CN"/>
        </w:rPr>
        <w:t xml:space="preserve">1000</w:t>
      </w:r>
      <w:r>
        <w:rPr>
          <w:rFonts w:hint="eastAsia" w:ascii="宋体" w:hAnsi="宋体" w:eastAsia="宋体" w:cs="宋体"/>
          <w:color w:val="auto"/>
          <w:sz w:val="21"/>
          <w:szCs w:val="21"/>
          <w:highlight w:val="none"/>
          <w:lang w:val="zh-CN"/>
        </w:rPr>
        <w:t xml:space="preserve">元/人进行处罚。</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施工或养护单位应加强日常巡查管理，对管养范围树荫下露土、人为破坏、开挖施工结束需要恢复的绿化，以及管辖区域内的商业、物业，管理盲区，边缘地带存在绿化缺失、环境脏乱差、菜地等问题，定期将查找问题整理成整改菜单反馈给</w:t>
      </w:r>
      <w:r>
        <w:rPr>
          <w:rFonts w:hint="eastAsia" w:ascii="宋体" w:hAnsi="宋体" w:eastAsia="宋体" w:cs="宋体"/>
          <w:color w:val="auto"/>
          <w:sz w:val="21"/>
          <w:szCs w:val="21"/>
          <w:highlight w:val="none"/>
        </w:rPr>
        <w:t xml:space="preserve">管理部门</w:t>
      </w:r>
      <w:r>
        <w:rPr>
          <w:rFonts w:hint="eastAsia" w:ascii="宋体" w:hAnsi="宋体" w:eastAsia="宋体" w:cs="宋体"/>
          <w:color w:val="auto"/>
          <w:sz w:val="21"/>
          <w:szCs w:val="21"/>
          <w:highlight w:val="none"/>
          <w:lang w:val="zh-CN"/>
        </w:rPr>
        <w:t xml:space="preserve">，如果出现问题查找不尽职，扣除1000元/处。养护单位未第一时间发现、制止、上报违规占绿施工，扣除2000元/处。</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zh-CN"/>
        </w:rPr>
        <w:t xml:space="preserve">）绿化养护单位做好园林养护化肥、农药施用、贮存、回收管理工作，对违规施用、贮存化肥、农药以及没有规范回收药瓶、药袋，扣除</w:t>
      </w:r>
      <w:r>
        <w:rPr>
          <w:rFonts w:hint="eastAsia" w:ascii="宋体" w:hAnsi="宋体" w:eastAsia="宋体" w:cs="宋体"/>
          <w:color w:val="auto"/>
          <w:sz w:val="21"/>
          <w:szCs w:val="21"/>
          <w:highlight w:val="none"/>
          <w:lang w:val="en-US" w:eastAsia="zh-CN"/>
        </w:rPr>
        <w:t xml:space="preserve">2000</w:t>
      </w:r>
      <w:r>
        <w:rPr>
          <w:rFonts w:hint="eastAsia" w:ascii="宋体" w:hAnsi="宋体" w:eastAsia="宋体" w:cs="宋体"/>
          <w:color w:val="auto"/>
          <w:sz w:val="21"/>
          <w:szCs w:val="21"/>
          <w:highlight w:val="none"/>
          <w:lang w:val="zh-CN"/>
        </w:rPr>
        <w:t xml:space="preserve">元/次。</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lang w:val="zh-CN"/>
        </w:rPr>
        <w:t xml:space="preserve">）在灾害性天气来临时，没有做好有效防护措施，在灾害性天气期间，没有及时有效组织抗灾、消险，以及灾害性天气没有安排好人员值班，扣款2000元/次。造成损失的扣10000元。</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9</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工作提示单中同类型问题未在规定时间内整改</w:t>
      </w:r>
      <w:r>
        <w:rPr>
          <w:rFonts w:hint="eastAsia" w:ascii="宋体" w:hAnsi="宋体" w:eastAsia="宋体" w:cs="宋体"/>
          <w:color w:val="auto"/>
          <w:sz w:val="21"/>
          <w:szCs w:val="21"/>
          <w:highlight w:val="none"/>
          <w:lang w:val="zh-CN"/>
        </w:rPr>
        <w:t xml:space="preserve">或未按照养护质量标准进行整改</w:t>
      </w:r>
      <w:r>
        <w:rPr>
          <w:rFonts w:hint="eastAsia" w:ascii="宋体" w:hAnsi="宋体" w:eastAsia="宋体" w:cs="宋体"/>
          <w:color w:val="auto"/>
          <w:sz w:val="21"/>
          <w:szCs w:val="21"/>
          <w:highlight w:val="none"/>
          <w:lang w:val="en-US" w:eastAsia="zh-CN"/>
        </w:rPr>
        <w:t xml:space="preserve">，扣除2000元/处；同一问题重复出现，加倍扣款。</w:t>
      </w:r>
      <w:r/>
    </w:p>
    <w:p>
      <w:pPr>
        <w:pStyle w:val="975"/>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（10）养护范围内出现卫生死角、长时间未处理的断枝枯枝、存在安全隐患，不设整改时间，发现即扣款2000元/处。</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lang w:val="zh-CN"/>
        </w:rPr>
        <w:t xml:space="preserve">）重大参观路线，保障不到位，引发媒体的负面报道和关注、引起群体性事件或大规模上访、游行、示威、罢工等恶劣影响的，扣除</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CN"/>
        </w:rPr>
        <w:t xml:space="preserve">0000元/次。</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lang w:val="zh-CN"/>
        </w:rPr>
        <w:t xml:space="preserve">）管养中致使公共财产、国家和人民利益遭受损失及人员伤亡等重大失误的，除承担相应责任外，另扣除100000元/次。</w:t>
      </w:r>
      <w:r/>
    </w:p>
    <w:p>
      <w:pPr>
        <w:ind w:firstLine="420"/>
        <w:jc w:val="left"/>
        <w:keepLines w:val="0"/>
        <w:keepNext w:val="0"/>
        <w:pageBreakBefore w:val="0"/>
        <w:spacing w:line="360" w:lineRule="auto"/>
        <w:widowControl w:val="off"/>
        <w:rPr>
          <w:rFonts w:hint="default" w:eastAsia="宋体"/>
          <w:color w:val="auto"/>
          <w:highlight w:val="none"/>
          <w:lang w:val="en-US" w:eastAsia="zh-CN"/>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因态度不端正或缺乏责任心问题导致的其他养护问题，酌情扣款。</w:t>
      </w:r>
      <w:r/>
    </w:p>
    <w:p>
      <w:pPr>
        <w:keepLines w:val="0"/>
        <w:keepNext w:val="0"/>
        <w:pageBreakBefore w:val="0"/>
        <w:spacing w:line="360" w:lineRule="auto"/>
        <w:rPr>
          <w:rFonts w:hint="eastAsia" w:ascii="宋体" w:hAnsi="宋体" w:eastAsia="宋体" w:cs="宋体"/>
          <w:color w:val="auto"/>
          <w:sz w:val="21"/>
          <w:szCs w:val="21"/>
          <w:highlight w:val="none"/>
          <w:lang w:val="en-US" w:eastAsia="zh-CN"/>
        </w:rPr>
        <w:outlineLvl w:val="2"/>
      </w:pPr>
      <w:r>
        <w:rPr>
          <w:rFonts w:hint="eastAsia" w:ascii="宋体" w:hAnsi="宋体" w:eastAsia="宋体" w:cs="宋体"/>
          <w:b/>
          <w:bCs/>
          <w:color w:val="auto"/>
          <w:sz w:val="21"/>
          <w:szCs w:val="21"/>
          <w:highlight w:val="none"/>
        </w:rPr>
        <w:t xml:space="preserve">5、履约保证金</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以合同文本内容为准。</w:t>
      </w:r>
      <w:bookmarkStart w:id="45" w:name="OLE_LINK1"/>
      <w:r/>
      <w:r/>
    </w:p>
    <w:p>
      <w:pPr>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outlineLvl w:val="2"/>
      </w:pPr>
      <w:r>
        <w:rPr>
          <w:rFonts w:hint="eastAsia" w:ascii="宋体" w:hAnsi="宋体" w:eastAsia="宋体" w:cs="宋体"/>
          <w:b/>
          <w:bCs w:val="0"/>
          <w:color w:val="auto"/>
          <w:sz w:val="21"/>
          <w:szCs w:val="21"/>
          <w:highlight w:val="none"/>
          <w:lang w:val="en-US" w:eastAsia="zh-CN"/>
        </w:rPr>
        <w:t xml:space="preserve">6.其他要求</w:t>
      </w:r>
      <w:bookmarkEnd w:id="45"/>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技术要求中采购文件要求投标时提供证明材料的，供应商应按要求在投标文件中提供相应证明材料。要求合同签订时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w:t>
      </w:r>
      <w:r/>
    </w:p>
    <w:p>
      <w:pPr>
        <w:jc w:val="left"/>
        <w:keepLines w:val="0"/>
        <w:keepNext w:val="0"/>
        <w:pageBreakBefore w:val="0"/>
        <w:spacing w:line="360" w:lineRule="auto"/>
        <w:rPr>
          <w:rFonts w:hint="eastAsia" w:ascii="宋体" w:hAnsi="宋体" w:eastAsia="宋体" w:cs="宋体"/>
          <w:color w:val="auto"/>
          <w:sz w:val="21"/>
          <w:szCs w:val="21"/>
          <w:highlight w:val="none"/>
          <w:lang w:val="en-US" w:eastAsia="zh-CN"/>
        </w:rPr>
        <w:sectPr>
          <w:headerReference w:type="default" r:id="rId11"/>
          <w:footerReference w:type="default" r:id="rId15"/>
          <w:footnotePr/>
          <w:endnotePr/>
          <w:type w:val="nextPage"/>
          <w:pgSz w:w="11906" w:h="16838" w:orient="portrait"/>
          <w:pgMar w:top="1134" w:right="1134" w:bottom="1134" w:left="1134" w:header="851" w:footer="850" w:gutter="0"/>
          <w:cols w:num="1" w:sep="0" w:space="720" w:equalWidth="1"/>
          <w:docGrid w:linePitch="360"/>
        </w:sectPr>
      </w:pPr>
      <w:r>
        <w:rPr>
          <w:rFonts w:hint="eastAsia" w:ascii="宋体" w:hAnsi="宋体" w:eastAsia="宋体" w:cs="宋体"/>
          <w:color w:val="auto"/>
          <w:sz w:val="21"/>
          <w:szCs w:val="21"/>
          <w:highlight w:val="none"/>
          <w:lang w:val="en-US" w:eastAsia="zh-CN"/>
        </w:rPr>
      </w:r>
      <w:r/>
    </w:p>
    <w:p>
      <w:pPr>
        <w:jc w:val="center"/>
        <w:keepLines w:val="0"/>
        <w:keepNext w:val="0"/>
        <w:pageBreakBefore w:val="0"/>
        <w:spacing w:line="360" w:lineRule="auto"/>
        <w:rPr>
          <w:rFonts w:hint="eastAsia" w:ascii="宋体" w:hAnsi="宋体" w:eastAsia="宋体" w:cs="宋体"/>
          <w:b/>
          <w:bCs/>
          <w:color w:val="auto"/>
          <w:sz w:val="24"/>
          <w:szCs w:val="24"/>
          <w:highlight w:val="none"/>
        </w:rPr>
        <w:outlineLvl w:val="0"/>
      </w:pPr>
      <w:r/>
      <w:bookmarkStart w:id="46" w:name="_Toc11625"/>
      <w:r>
        <w:rPr>
          <w:rFonts w:hint="eastAsia" w:ascii="宋体" w:hAnsi="宋体" w:eastAsia="宋体" w:cs="宋体"/>
          <w:b/>
          <w:bCs/>
          <w:color w:val="auto"/>
          <w:sz w:val="24"/>
          <w:szCs w:val="24"/>
          <w:highlight w:val="none"/>
        </w:rPr>
        <w:t xml:space="preserve">附件</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：南京市城市绿化养护技术规程</w:t>
      </w:r>
      <w:bookmarkEnd w:id="46"/>
      <w:r/>
      <w:r/>
    </w:p>
    <w:p>
      <w:pPr>
        <w:jc w:val="left"/>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1总则</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为加强我市城市绿化养护技术管理，规范养护作业，确保植物生长繁茂，提高行道树、绿地广场园林植物观赏效果、生态效益和养护技术水平，根据有关规定，制定本规程。</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本规程适用于全市建成区各级各类行道树、绿地广场和风景名胜区等树木、花卉、藤本、地被和草坪等植物的养护技术工作。</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本市行道树养护与管理，除参照本规程外，还应符合国家和本市现行相关法规、规范要求。</w:t>
      </w:r>
      <w:r/>
    </w:p>
    <w:p>
      <w:pPr>
        <w:jc w:val="left"/>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2行道树养护</w:t>
      </w:r>
      <w:r/>
    </w:p>
    <w:p>
      <w:pPr>
        <w:jc w:val="left"/>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2.1基本标准</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1.生长健壮，发育良好，分枝均匀，树冠丰满。</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2.修剪合理，分枝定干高度整齐，无明显枯死枝，无病虫害。</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3.新植行道树树坑不得过小，支架整齐美观，基质具有良好通透性。</w:t>
      </w:r>
      <w:r/>
    </w:p>
    <w:p>
      <w:pPr>
        <w:jc w:val="left"/>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2.2灌溉</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1.根据树木品种的生物学特性和生态环境适时适量浇水。</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2.新植树木应适时充足灌溉，保水力差的土质适当增加灌水次数。</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3.围堰规整密实不透水，直径视栽植树木胸径冠幅大小确定。采用中水、雨水及河水树穴浇灌和树体喷灌方法补水。树穴浇灌时要缓流浇灌，严禁用高压水冲；树冠采用高压喷雾器对树体实施喷灌。</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4.浇水应浇透，树穴浇水后应适时支撑扶正。</w:t>
      </w:r>
      <w:r/>
    </w:p>
    <w:p>
      <w:pPr>
        <w:jc w:val="left"/>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2.3施肥</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1.土壤理化性状较差道路，视行道树生长情况及时施肥。肥料必须对人体、树体无害，有利树木生长，不污染环境，不破坏土壤结构。</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2.采用长效缓释肥料。新植或较小行道树施肥要结合灌水一并进行。</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3.施肥时间宜在冬季休眠期或春季生长季节。</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4.施肥方法可采用环施、穴施或沟施（可行）。挖施肥沟应避免伤根。</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5.每一次施肥地点应相应错开，增强施肥均匀性。</w:t>
      </w:r>
      <w:r/>
    </w:p>
    <w:p>
      <w:pPr>
        <w:jc w:val="left"/>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2.4修剪</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1.修剪时间</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落叶树木应在秋末冬初、树木休眠期内进行。常绿树木在早春萌芽前3～4月份或树木生长相对缓慢季节10～11月进行。伤流树木在早春萌芽早期修剪。</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2.修剪方法</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（1）剪枝：对枯枝、病虫枝、交叉枝、过密枝条从基部剪掉，以改善冠内通风透光条件。如簇生枝与轮生枝需全部去除时，应分次进行，以免伤口过多，影响树木生长。</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（2）短截：主要剪枝条先端一部分枝梢，促发侧枝，并防止枝条徒长。</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（3）截干：将比较粗大主枝、骨干枝进行截断，促使树木更新复壮。为防止伤口因病虫害侵入而腐烂，应在伤口处涂保护剂或用蜡封闭伤口，或包扎塑料布等加以保护，促进愈合。</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（4）除以上常用修剪方法外，还可采用环剥、切刻、断根、去蘖等措施来缓和调整树势。</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3.修剪要求</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（1）行道树修剪树型和分枝点高度应基本一致，分枝点最低标准为3.5～4.0米，郊区可适当提高。</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（2）行道树树干与树冠要保持适当比例，一般树冠高占全树的1/2～1/3。</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树木修剪程度，应根据主、侧枝生长习性、树龄及树种特性决定。整形时，为使主枝间长势平衡且保持树冠均匀，应采用“强主枝重剪，弱主枝轻剪”原则；如要调节侧枝长势，则采取“强主枝轻剪，弱主枝重剪”原则。对衰老树木可采取重度修剪，以恢复其树势。</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（4）对成型乔木树种，主要修除徒长枝、病虫枝、交叉枝、平行枝、下垂枝以及根部萌蘖枝等。除特殊需要，一般不作过度修剪。</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（5）树木与架空线有矛盾时，应修剪树枝，使其与架空线保持安全距离。行道树枝条与架空线路间安全距离，视线路类别确定。</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（6）交通路口30米范围内树木不能遮挡交通信号灯和指示牌。</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（7）路灯和变压设备附近树枝应与其保留足够安全距离。</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（8）近建筑物一侧行道树，为防止枝条堵门、堵窗，影响室内采光和安全，应随时对过长枝条进行短截修剪。</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4常用树形及整形修剪技术</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（1）杯状形：对上方有架空线行道树，常使用该树形。杯状行道树具有典型的“3股6杈12枝”，新植树木冬季选留分枝点附近3～5根与主干成45</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夹角的粗壮枝条做主枝，于80～100厘米处短截，剪口芽在枝条两侧并尽量使之处于同一水平位置。翌春萌芽后每主枝留2根一级侧枝，冬季留30～50厘米短截。来年修剪时再选留2根二级侧枝，斜向生长，树冠逐年上升，经反复修剪，3年～5年后可形成杯状形树冠。</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开心形：多用于无中央主轴树种，这种树形分枝比较低，树冠中心开展但不空，管理方便。新植树木选留3～5个位于不同方向、分布均匀侧枝进行短截．其余全部剪去。来年萌发后选留侧枝，共留6～10个，使其向四方斜生，并进行短截，促发次级侧枝，使冠形丰满、匀称。</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（3）自然形：在不妨碍交通和其它公用设施情况下，树木有任意生长条件时，行道树多采用自然式冠形，如塔形、卵圆形、扁圆形等。</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中央领导枝行道树。凡主轴明显树种，修剪时应保护中央领导枝，使其直立生长。原中央领导枝受损、折断，应利用顶端侧枝重新培养新的领导枝。不宜重抹头或重截树种，冬季以疏剪为主。注意最下层三大主枝上下位置要错开，方向均匀，角度适宜。及时剪掉三大主枝上最基部贴近树干侧枝，选留三大主枝以上枝条，萌生后形成圆锥状树冠。对轮生枝可分阶段疏剪。</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（5）无中央领导枝行道树，即主干性不强树种，于分枝点附近留5～6个主枝，使自然长成卵圆形或扁圆形树冠。</w:t>
      </w:r>
      <w:r/>
    </w:p>
    <w:p>
      <w:pPr>
        <w:jc w:val="left"/>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2.5剥芽</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1.根据树种、生长势不同，在萌芽条未木质化前进行剥芽，及时去除萌条。</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2.必须剥除过密、下垂、有严重病虫害及影响公共设施的芽条。</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3.剥芽方法</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（1）对萌芽力弱或自然形态好树种，可视具体情况不剥或轻剥。</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（2）主干分枝以下萌条原则上应全部剥除。新种树第一年以恢复生长势为主，可保留主干（枝）顶端20厘米范围内所有芽条。</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（3）采用“杯状型”修剪行道树，一级分枝点以上枝条，剥芽时应重点剥去内向及直立枝条，适当保留外向芽条，每级至少保留3根以上枝条。</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(4)剥芽时应剥至芽条基部，防止撕皮及留残桩。</w:t>
      </w:r>
      <w:r/>
    </w:p>
    <w:p>
      <w:pPr>
        <w:jc w:val="left"/>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2.6补植</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1.行道树木缺株应尽早适时补植。</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补植季节应以春秋两季为主，非种植季节补植时，应采取相应措施并加强补植后养护工作。落叶树补植，一般在春季土壤解冻后发芽以前或在秋季落叶后土壤冰冻以前进行；针叶树、常绿阔叶树补植，一般在春季土壤解冻以后发芽以前或在秋季新梢停止生长后降霜前进行。</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3.补植树木，应选用原树种，规格也应相近；若改变树种或规格则须与原来景观相协调。</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4.补植前应对树木进行适当修剪，减少蒸发量。修枝应注意树形均衡，剪除病虫枝和受损枝、根，对剪口较大处要防腐处理。</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5.主干略有弯曲树木，栽植时其弯曲面应与道路走向平行，最大弯曲处应设立护树桩。</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6.树木栽植后覆土高度与地表持平。覆土下沉后加土持平，并用树皮或其他材料覆盖，做到黄土不裸露。</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7.栽植裸根苗应将树根舒展在树穴内均匀加入细土，至根被覆盖时，树木略向上抖动提到栽植位置，扶直后再边培土边分层夯实。</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8.带土球树木栽植时，在树穴内应先将土球放妥后去除包扎物并将其取出，然后从树穴边缘向土球四周培土，分层夯实，不伤土球。</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9.竖桩与扎缚</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（1）行道树宜用打桩支护，一般采用三角桩、四角桩、扁担桩和单桩，视现场情况而定。</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（2）护树桩定位应与行道树走向平行，整齐、统一。</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（3）发现树干下沉，出现吊桩等应及时调整扎缚高低和松紧度。</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10.筑堰与浇水：树木栽植后，应及时浇透水。遇到天气干燥时适时浇水，常绿树还必须向树冠补充喷水。浇水应缓浇慢渗，出现漏水、土壤下陷和树木倾斜，应及时扶正、培土。浇水后，应及时封堰覆土整平。土表应铺设覆盖物以防止扬尘。</w:t>
      </w:r>
      <w:r/>
    </w:p>
    <w:p>
      <w:pPr>
        <w:jc w:val="left"/>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2.7补洞</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1.补洞时间宜在深秋到翌年4月树木萌发前，避开冰冻天进行。</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2.树洞内的填充物必须对人体、树体无害，修补后有利于伤口愈合、有利于树木的生长，不影响道路景观。</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3.补洞方法</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（1）开放法</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适于处理较浅树木伤口。用锯锯平残桩，用刀刮净死组织，后用防腐药剂消毒伤口涂上保护剂。保护剂应容易涂抹、粘着性好、受热不融化、不伤害树体组织且有防腐作用。创面大、腐烂较浅树洞，视情况用保护剂处理，也可用汽油喷灯灼烧炭化处理，严防烧伤树木活体组织。</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（2）填充法</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1.挖除树洞内腐烂物，至活体组织显现，用锋利刀削平伤口四周，使洞口边缘平滑呈弧形。</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2.用防腐消毒剂对树木全面消毒至少两次，待前一次干后再进行下一次消毒。</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填充物应选用对树体无损材料，提倡采用聚酯复合材料。较大树洞必须用钢筋做好支架再填料，较小树洞可直接拌好填料填充，填料须层层捣实，不留空隙，填充物边缘不超出形成层。洞口严密平滑不透水，表面用水泥涂料等材料装饰成树皮状。</w:t>
      </w:r>
      <w:r/>
    </w:p>
    <w:p>
      <w:pPr>
        <w:jc w:val="left"/>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2.8复壮</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1.衰弱树、衰老树和受损树需要复壮。</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复壮前须对树木生长环境、生长状况、土壤理化指标以及根系生长状况等进行调查分析，并依据调查分析结果，选择合理复壮措施，制定复壮方案。如采取下列方法复壮后，恢复效果不明显，可报请绿化审批部门申请树木更新。</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3.复壮方法</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(1)修剪对枯枝、断裂枝、病虫枝、腐烂枝进行修剪，直径大于10cm切口需用药剂封口处理。</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(2)施肥针对复壮树木实际情况配置肥料，选择合适的施肥方法。</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(3)换土对严重盐碱化、pH值严重超标、土壤中石砾含量超过20%的土壤应换土，换土范围以树冠垂直投影内面积为上限。</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通气在树冠垂直投影内有条件处开设4～6个深60～80厘米、直径在5～10厘米的洞穴，埋设通气管或填充陶粒等材料。</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(5)补洞。参见</w:t>
      </w:r>
      <w:r>
        <w:rPr>
          <w:rFonts w:hint="eastAsia" w:ascii="宋体" w:hAnsi="宋体" w:eastAsia="宋体" w:cs="宋体"/>
          <w:color w:val="auto"/>
          <w:sz w:val="21"/>
          <w:szCs w:val="21"/>
          <w:highlight w:val="none"/>
          <w:lang w:val="en-US" w:eastAsia="zh-CN"/>
        </w:rPr>
        <w:t xml:space="preserve">2.7</w:t>
      </w:r>
      <w:r/>
    </w:p>
    <w:p>
      <w:pPr>
        <w:jc w:val="left"/>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2.9安全操作规定</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（1）修剪行道树应事先与交通、公交、环卫、供电等部门联系，搞好配合。</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（2）操作人员上树前应将扶梯脚用橡皮包扎，扶梯应放置平稳，扶梯档用铅丝加固，上下扶梯应面向扶梯。扶梯位置应放在不影响交通的安全位置。</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（3）集中思想，不准酒后上树，不准树上吸烟，不准嬉笑打闹。必须穿胶鞋，将安全带系好并系扣在粗壮大枝上，戴好安全帽，随带工具放置在工具袋内，手锯柄应系好绳索套在手腕上。</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）树上不准两人在同一分枝和同一方位上下作业。</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）操作人员将大枝分段锯下前，应与地面人员联络后，方可下落。</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）操作区域内，必须用红、白小旗拉好安全区域。</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（7）修剪下来树枝，落在房屋、围墙、架空线及搭挂在树上的，必须及时清除。修剪树枝，应当日清运，病虫枝应予以烧毁。</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（8）患有高血压、心脏病、严重关节炎、贫血者不得上树登高作业。</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（9）上树修剪人员必须经过专业培训，机械设备应由专人使用。</w:t>
      </w:r>
      <w:r/>
    </w:p>
    <w:p>
      <w:pPr>
        <w:jc w:val="left"/>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3绿地、广场乔灌木养护</w:t>
      </w:r>
      <w:r/>
    </w:p>
    <w:p>
      <w:pPr>
        <w:jc w:val="left"/>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3.1灌溉与排水</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1.各类绿地应有完整灌溉与排水系统，或配备相应灌溉排水设备。</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2.灌溉前应先松土。新栽植树木应根据季节、立地条件和树种抗旱能力，适时、适量灌溉，保持土壤中有效水分。夏季清晨或傍晚实施，冬季中午实施。</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3.夏季空气干燥时，适当进行叶面及枝干喷雾，必要时搭棚蔽荫，减少植物体内水分蒸腾。</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4.暴雨后和梅雨期应及时排除树木周围积水。新栽及忌涝树木周围积水应尽速排除。</w:t>
      </w:r>
      <w:r/>
    </w:p>
    <w:p>
      <w:pPr>
        <w:jc w:val="left"/>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3.2中耕除草</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1.及时清除各类绿地中影响植物景观和影响树木生长的各类野生藤蔓杂草。</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2.保持树木根部附近土壤疏松，易板结土壤，适时松土，以不影响根系生长为限。</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3.中耕除草应选在晴朗或初晴天气，且土壤不过分潮湿（一般在土壤含水量50％）时进行。注意不损伤树皮，折损枝条。中耕时应及时清除土壤中瓦砾、石块等。</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4.使用化学除草剂必须保证园林植物安全，不能对人和园林植物及环境产生危害。</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5.清除的杂草要及时清理、运走、掩埋或异地制作肥料。</w:t>
      </w:r>
      <w:r/>
    </w:p>
    <w:p>
      <w:pPr>
        <w:jc w:val="left"/>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3.3施肥</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1.树木休眠期和种植前，需施基肥，基肥以有机肥为主，有机肥应腐熟后使用。树木生长期施追肥，追肥应以复合肥和长效缓释肥为主。花灌木在花前、花后进行。必要时结合病虫防治进行叶面喷洒。</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施用肥料种类应按树种、生长期、土壤条件及观赏性等不同要求选定。早期欲扩大冠幅，增施氮肥；观花观果树种应增施磷、钾肥。常绿针叶树在幼龄期间，不宜施用化肥。必要时，可根外追施微量元素的肥料，施用时间以清晨和傍晚为宜。注意化肥与有机肥合理搭配使用。</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3.施肥量应根据树种、树龄、生长期、肥料种类以及土壤理化性状等条件决定。树木青壮年期欲扩大树冠及观花、观果量，可适当增加施肥量。</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4.施肥常用方法：</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（1）施基肥常用方法有以下三种：</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穴施：在树冠正投影的外缘挖数个分布均匀的洞穴，将肥施入后，覆土踩实，使与地面齐平。这种方法操作方便省工，对壮龄前的树木适用。环施：沿树冠正投影线外缘，开挖30～40厘米宽的环状沟，将肥料施入沟内，上面覆土踩实，使与地面齐平。这种方法保证树木根系吸肥均匀，适用于青、壮龄树木。放射状沟施：以树干为中心，距干不远处开始，由浅而深向外，挖4～6条分布均匀呈放射状的沟，挖沟时不能损伤树根。沟长稍超出树冠正投影的外缘。将肥料施入沟内，上覆土踩实使与地面齐平。这种方法可保证内膛根也能吸收养料，对壮、老龄树使用适宜。</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（2）施追肥常用方法：</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根施法：按适合的施肥量，用穴施法把肥料埋于地表下10～20厘米处，然后灌水，或结合灌水将肥料施于灌水堰内，随水渗入，供树根吸收利用。根外追肥：将化肥按一定的比例兑水稀释后，用喷雾器喷施于树叶上。由于直接由地上叶片吸收利用，也可以结合打药混入喷施。</w:t>
      </w:r>
      <w:r/>
    </w:p>
    <w:p>
      <w:pPr>
        <w:jc w:val="left"/>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3.4整形修剪</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1.园林树木修剪时期和方法</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（1）园林树木修剪时期分为休眠期修剪和生长期修剪。前者于树液流动前进行。抗寒力差的，宜早春剪。易流胶的树种，不宜在生长季剪。生长季修剪还包括剥芽、摘心、去残花、摘果等。</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（2）方法：</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剥芽：在树木萌芽生长初期，徒手剥去枝干上无用芽。</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去蘖：除去主干上或根部萌发的无用枝条。在蘖枝尚幼嫩时可徒手去蘖。已经木质化的，则用剪刀去除，但要防止撕裂树皮或遗留枯桩。</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疏枝：把无用枝条，于枝基齐着生部位剪去。乔木疏枝，剪口应与着生枝干平齐，不留残桩；丛生灌木疏枝应与地面平齐；簇生枝及轮生枝需全部疏去者，应分次进行。</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短截：截去枝条先端一部分或大部分，保留基部枝段。剪去部分与保留部分比例，根据不同需要而定。</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锯截大枝：用锯短截或疏枝比较粗大枝干。</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抹头更新：对无明显主轴树种，如其树冠衰老，病虫危害严重，树形很差，或因其他损伤已无发展前途，其主干仍健壮，可将树冠自分枝点以上全部截除，使之重发新枝。主枝基部完好者应保留并剥芽，不使萌枝簇生枝顶，避免出现分杈处积水易腐等问题。</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（3）乔木类主要剪除内膛枝、徒长枝、病虫枝、扭伤枝及扰乱树形的交叉枝、平行枝、直立枝、下垂枝和枯枝、死桩。观花小乔木的整形修剪，宜对各枝条进行适当短截，使其符合其自然形态。</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灌木类通过修剪促使叶茂花繁，树叶分布匀称，花灌木修剪要有利于促进短枝和花芽形成，修剪应遵循“先上后下，先内后外，去弱留强，去老留新”的原则。春、夏季开花花木，应在花后及时修剪；秋季开花花木和一般树木，应在休眠期进行。</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绿篱及整形球类通过修剪促使分枝，保持全株枝叶丰满，形成各种几何图形。特殊造型绿篱要逐步修剪成形，线条要整齐美观。已成形球形植物，在整形修剪时，应适时进行摘心，对空隙处要进行吊扎。修剪次数视树种、植株生长情况确定。</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（6）地被、攀援类：通过修剪促进分枝，加速覆盖和攀援功能，清除枯枝，去除老弱藤蔓，保留新枝。</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（7）果木的修剪应按各类果木的修剪技术要求进行。</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（8）修剪下的枝叶要及时清理，保证作业现场的干净。</w:t>
      </w:r>
      <w:r/>
    </w:p>
    <w:p>
      <w:pPr>
        <w:jc w:val="left"/>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3.5.树体保护</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（1）树体保护应贯彻防重于治原则，做好应对各种自然灾害预防工作。</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（2）及时清理树体上缠绕物、绑扎物等杂物。</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（3）发现树洞要及时修补，防止腐朽扩大。</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（4）为防止人畜或车辆践踏、碰撞树木，在不影响游览观赏和景观前提下，可在树木周围用各种栅栏、绿篱及其他方法维护。动物笼舍中树木，必须用金属防护栏保护。</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（5）被风吹歪或人为损害倾斜树木，及时扶正，加强浇水、修剪等养护管理措施。伤根较重树，应对树冠进行强剪。</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（6）高大乔木在大风暴雨前，应做好防止风害预防工作，根据树木实际情况，分别采取立柱、绑扎、培土、扶正、疏枝、打地桩等综合措施。特别是新栽乔木应及时疏枝、搭扶木，以提高苗木成活率。</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(7)抢救工作</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树体受害后，应分轻重缓急进行抢救。首先对妨碍交通和即将倒伏险树进行抢救；已倒伏树木，如条件允许就地重栽。对树体倾斜树木及时扶正，并及时拆除有碍交通、观瞻的加固物。</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（8）易受冻害树木，冬季应采取根际培土、主干包扎、树干涂白等防寒措施。</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（9）培土：对易受冻害树木，在土地封冻前应采取根际培土。栽植较浅树木，应于根部培土，加厚土层。</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（10）植物绷带或草绳护干。新栽植乔木或珍贵树种，要用植物绷带或草绳裹干，保湿，减少水分蒸发，提高成活率。</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(11)反季节栽植灌木，需搭遮阳网，以减少水分蒸腾。</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(12)乔木树干涂白，可防治日灼、冻害及病虫害。</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（13）为防止雪压损枝，大雪时，特别是常绿乔木枝叶积雪应及时清除，且不得损伤树冠，有倒伏危险树木应立支撑保护。</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（14）严禁在绿地和行道树下堆积含融雪剂残雪，如发现应及时清除。</w:t>
      </w:r>
      <w:r/>
    </w:p>
    <w:p>
      <w:pPr>
        <w:jc w:val="left"/>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3.6枯死树木的处理</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1.市区主要干道及公园、广场等主要景区内枯死树木应及时清理。其他地点枯死树木可结合补植工作及时挖除。</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2.枯死古树名木在挖除前，必须报城市园林绿化行政主管部门审批，任何单位和个人不得擅自挖除。</w:t>
      </w:r>
      <w:r/>
    </w:p>
    <w:p>
      <w:pPr>
        <w:jc w:val="left"/>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3.7补植</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1.挖除枯死树，应及时补植新树木。</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2.规则式栽植行道树、绿篱、色块植物等死亡砍伐后，应及时补植。</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3.补植树木选用原有树种，形态应相近，且与原有景观相协调。补植行道树树种必须与原路段树种一致，其规格形态尽量保持与原路段树种一致。</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补植季节与绿化种植季节相同。落叶树补植，一般在春季土壤解冻后发芽以前或在秋季落叶后土壤冰冻前进行；针叶树、常绿阔叶树补植，一般在春季土壤解冻以后发芽以前或在秋季新梢停止生长后霜降前进行；雨季补植在春梢停止生长后进行。</w:t>
      </w:r>
      <w:r/>
    </w:p>
    <w:p>
      <w:pPr>
        <w:jc w:val="left"/>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4草坪地被植物养护</w:t>
      </w:r>
      <w:r/>
    </w:p>
    <w:p>
      <w:pPr>
        <w:jc w:val="left"/>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4.1地被植物</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1.地被植物在未覆盖地面期间，每年及时松土、除去杂草、中耕若干次，并结合中耕施肥，加速地被植物生长和覆盖。</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2.早春发芽前期要普遍施肥，生长季节采取薄肥勤施方法。天气干旱、土壤干燥时适时、适量浇水。夏季浇水在早、晚进行。</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3.萌发能力较强木本地被植物，应根据生物学特性进行适时修剪。</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4.球根、宿根类地被植物，经3～4年生长后，根部分蘖已影响其正常发育时，应按不同品种生理习性，于休眠期进行分株更新。</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5.发现枯死植物应及时挖除并补植。枯枝残花要随时整理清除，缺株应及时补植。</w:t>
      </w:r>
      <w:r/>
    </w:p>
    <w:p>
      <w:pPr>
        <w:jc w:val="left"/>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4.2草坪</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1.草坪覆盖率不得少于95%。草坪中杂草要及时清除。低洼处应填平，空秃地段应及时补植。</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草坪生长期应及时浇水，浇水一般以喷灌为主。当天气炎热，土壤干燥，早晚要及时浇水，浇水须浇透根系层，浸湿土层深度不少于10厘米。灌溉量及灌溉次数应根据土质、生长势、草种等因素确定。冷季型草坪夏季应充分浇水，干旱时要及时浇水。雨季及时排除草坪上积水，可用地表排水和暗沟排水方法。</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草坪施肥应遵循“薄肥勤施原则”，以有机肥和复合肥为主。冷季型草种追肥宜在春季和秋季，暖季型草种宜在晚春。追肥应以复合肥为主，追肥时间和数量应根据土壤肥力、草种和草坪生长情况定。施肥可采用撒施和根外施肥。</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草坪在生长季节适时进行修剪，高度视不同品种、不同季节及不同功能确定。草坪修剪应掌握“修剪1/3，保留2/3”原则，逆境生长时修剪高度适当留高。修剪要平整，边角无遗留，草屑及时运出、除净。暖季型草坪秋季最后一次修剪需重修。年修剪次数按草坪种类及生长情况确定。</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5.草坪中树穴、树坛、花坛边缘应进行切边，保持线条清晰、整齐，并清除杂物。</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6.草坪在生长季节适时进行打孔、中耕、培土、振压，保持土壤平整和良好透气性。对枯草层每年用耙或疏草机清除一至二次。</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7.草坪播种期、萌芽期、保养期以及土壤过湿或板结，应封闭暂停开放，严防践踏。</w:t>
      </w:r>
      <w:r/>
    </w:p>
    <w:p>
      <w:pPr>
        <w:jc w:val="left"/>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5水生植物养护</w:t>
      </w:r>
      <w:r/>
    </w:p>
    <w:p>
      <w:pPr>
        <w:ind w:firstLine="422"/>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5.1</w:t>
      </w:r>
      <w:r>
        <w:rPr>
          <w:rFonts w:hint="eastAsia" w:ascii="宋体" w:hAnsi="宋体" w:eastAsia="宋体" w:cs="宋体"/>
          <w:color w:val="auto"/>
          <w:sz w:val="21"/>
          <w:szCs w:val="21"/>
          <w:highlight w:val="none"/>
          <w:lang w:val="zh-CN"/>
        </w:rPr>
        <w:t xml:space="preserve">湖、池内水生植物的生长范围应严格控制，一般占水面积1/3比较合适，超出范围的叶片，应在水面以下随时割除，或在水中用砖石砌筑围池隔离。</w:t>
      </w:r>
      <w:r/>
    </w:p>
    <w:p>
      <w:pPr>
        <w:ind w:firstLine="422"/>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5.2</w:t>
      </w:r>
      <w:r>
        <w:rPr>
          <w:rFonts w:hint="eastAsia" w:ascii="宋体" w:hAnsi="宋体" w:eastAsia="宋体" w:cs="宋体"/>
          <w:color w:val="auto"/>
          <w:sz w:val="21"/>
          <w:szCs w:val="21"/>
          <w:highlight w:val="none"/>
          <w:lang w:val="zh-CN"/>
        </w:rPr>
        <w:t xml:space="preserve">水生植物在水面及水面以上的枯黄部分应及时清除，水面漂浮物和杂草要随时除去。</w:t>
      </w:r>
      <w:r/>
    </w:p>
    <w:p>
      <w:pPr>
        <w:ind w:firstLine="422"/>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5.3</w:t>
      </w:r>
      <w:r>
        <w:rPr>
          <w:rFonts w:hint="eastAsia" w:ascii="宋体" w:hAnsi="宋体" w:eastAsia="宋体" w:cs="宋体"/>
          <w:color w:val="auto"/>
          <w:sz w:val="21"/>
          <w:szCs w:val="21"/>
          <w:highlight w:val="none"/>
          <w:lang w:val="zh-CN"/>
        </w:rPr>
        <w:t xml:space="preserve">为保护水生植物不被鱼类破坏，可在水生植物栽植区域四周设置围网。</w:t>
      </w:r>
      <w:r/>
    </w:p>
    <w:p>
      <w:pPr>
        <w:jc w:val="left"/>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6花坛和花卉养护</w:t>
      </w:r>
      <w:r/>
    </w:p>
    <w:p>
      <w:pPr>
        <w:jc w:val="left"/>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6.1花坛</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1.应根据不同花卉品种和花坛的分级标准，制定花坛分级养护的技术措施和管理标准。</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2.花坛换花前必须深翻细耙，除尽土中石块、杂草、残茎、落叶等杂物，并施足基肥。</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3.生长季节，花坛10～15天松土除草一次，小苗定植后要加施追肥。枯萎花蒂、黄叶应及时摘除，缺株应尽快补栽。如有半数以上花朵凋萎，应立即换花。</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4.花坛的防护设施应保持清洁完好，发现损坏，及时修复，并保证行人和游客的安全。</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5.立体花坛要与周围环境相协调。设置在路边立体花坛不得影响交通视线，立体花坛要稳固，防止大风刮倒。</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6.主要花坛换花时空置期在10天之内，花卉覆盖率为85％以上。</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7.花坛花卉品种搭配合理，高低匀称，色彩和谐。花台及其他园林设施完好。</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8.对绿地中摆放盆栽，要求容器完整清洁，容器外形、规格、色彩与植物协调，枝叶生长正常，叶片清洁，枝叶繁茂、健壮，适时开花，无枯枝、黄叶、残花；做到排水通畅，植株不得出现失水萎蔫现象，盆中无杂草，无垃圾，无病虫害危害。</w:t>
      </w:r>
      <w:r/>
    </w:p>
    <w:p>
      <w:pPr>
        <w:jc w:val="left"/>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6.2花卉</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1.夏季花苗移栽应在早晨、傍晚或阴天进行。移栽后应立即浇透水，次日要及时复水。浇水时不得冲翻泥土，损伤根系，防止土壤冲到茎、叶、花上，保持植株清洁。</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2.花卉生长盛期要及时松土除草，一般每半月一次，深浅适度，不得伤根，并做好病虫害防治工作。</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3.花卉生长期应施追肥1～2次，化肥、有机肥宜交替施用。</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4.草本花卉应及时摘心；对株高、花茎长而软，花大品种应立支柱，支柱材料宜用细竹、芦苇、细木棒等。</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5.木本花卉要及时修剪、整形；宿根、球根花卉要及时分株更新，枯萎部分要及时清除。</w:t>
      </w:r>
      <w:r/>
    </w:p>
    <w:p>
      <w:pPr>
        <w:jc w:val="left"/>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7竹林养护</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7.01竹类植物要保持竹竿挺直、枝叶青翠；无死竹、枯竹；有完整的林相。</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7.02竹丛应通风透光，生长健壮；新、老竹生长比例恰当；竹鞭无裸露。</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7.03林地排水良好，无积水，无垃圾，并保留竹叶。</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7.04有害生物危害症状不明显。</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8垂直绿化——藤蔓植物养护</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藤蔓植物要求植株生长健壮，枝叶繁茂，分布均匀、疏密合理，无枯枝残花，设施安全、完好、无损。要经常修剪，不要让藤蔓植物随意生长，遮挡景墙和山石的主要观赏面，影响景观；防止遮挡花窗，影响窗户光线，干扰办公和居民生活。</w:t>
      </w:r>
      <w:r/>
    </w:p>
    <w:p>
      <w:pPr>
        <w:jc w:val="left"/>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9防止污染</w:t>
      </w:r>
      <w:r/>
    </w:p>
    <w:p>
      <w:pPr>
        <w:ind w:firstLine="422"/>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9.1</w:t>
      </w:r>
      <w:r>
        <w:rPr>
          <w:rFonts w:hint="eastAsia" w:ascii="宋体" w:hAnsi="宋体" w:eastAsia="宋体" w:cs="宋体"/>
          <w:color w:val="auto"/>
          <w:sz w:val="21"/>
          <w:szCs w:val="21"/>
          <w:highlight w:val="none"/>
          <w:lang w:val="zh-CN"/>
        </w:rPr>
        <w:t xml:space="preserve">严禁在绿地、树木根际附近堆放倾倒废液、废渣等污染物。</w:t>
      </w:r>
      <w:r/>
    </w:p>
    <w:p>
      <w:pPr>
        <w:ind w:firstLine="422"/>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9.2</w:t>
      </w:r>
      <w:r>
        <w:rPr>
          <w:rFonts w:hint="eastAsia" w:ascii="宋体" w:hAnsi="宋体" w:eastAsia="宋体" w:cs="宋体"/>
          <w:color w:val="auto"/>
          <w:sz w:val="21"/>
          <w:szCs w:val="21"/>
          <w:highlight w:val="none"/>
          <w:lang w:val="zh-CN"/>
        </w:rPr>
        <w:t xml:space="preserve">废气、废液、废渣对园林植物污染，应根据国家及环保法有关规定及时处理。</w:t>
      </w:r>
      <w:r/>
    </w:p>
    <w:p>
      <w:pPr>
        <w:ind w:firstLine="422"/>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9.3</w:t>
      </w:r>
      <w:r>
        <w:rPr>
          <w:rFonts w:hint="eastAsia" w:ascii="宋体" w:hAnsi="宋体" w:eastAsia="宋体" w:cs="宋体"/>
          <w:color w:val="auto"/>
          <w:sz w:val="21"/>
          <w:szCs w:val="21"/>
          <w:highlight w:val="none"/>
          <w:lang w:val="zh-CN"/>
        </w:rPr>
        <w:t xml:space="preserve">绿地内排污管网和排水管应保持通畅、有效。</w:t>
      </w:r>
      <w:r/>
    </w:p>
    <w:p>
      <w:pPr>
        <w:ind w:firstLine="422"/>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9.4</w:t>
      </w:r>
      <w:r>
        <w:rPr>
          <w:rFonts w:hint="eastAsia" w:ascii="宋体" w:hAnsi="宋体" w:eastAsia="宋体" w:cs="宋体"/>
          <w:color w:val="auto"/>
          <w:sz w:val="21"/>
          <w:szCs w:val="21"/>
          <w:highlight w:val="none"/>
          <w:lang w:val="zh-CN"/>
        </w:rPr>
        <w:t xml:space="preserve">发现绿地周围有污染源时，迅速报告环保部门，及时清除，并相应调整栽植具有抗有害性气体的园林植物。</w:t>
      </w:r>
      <w:r/>
    </w:p>
    <w:p>
      <w:pPr>
        <w:ind w:firstLine="422"/>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9.5</w:t>
      </w:r>
      <w:r>
        <w:rPr>
          <w:rFonts w:hint="eastAsia" w:ascii="宋体" w:hAnsi="宋体" w:eastAsia="宋体" w:cs="宋体"/>
          <w:color w:val="auto"/>
          <w:sz w:val="21"/>
          <w:szCs w:val="21"/>
          <w:highlight w:val="none"/>
          <w:lang w:val="zh-CN"/>
        </w:rPr>
        <w:t xml:space="preserve">严禁使用未腐熟肥料。化肥、农药施用应合理，并采用生物方法防治病虫，减少环境污染。</w:t>
      </w:r>
      <w:r/>
    </w:p>
    <w:p>
      <w:pPr>
        <w:jc w:val="left"/>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10有害生物综合治理</w:t>
      </w:r>
      <w:r/>
    </w:p>
    <w:p>
      <w:pPr>
        <w:ind w:firstLine="422"/>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10.1</w:t>
      </w:r>
      <w:r>
        <w:rPr>
          <w:rFonts w:hint="eastAsia" w:ascii="宋体" w:hAnsi="宋体" w:eastAsia="宋体" w:cs="宋体"/>
          <w:color w:val="auto"/>
          <w:sz w:val="21"/>
          <w:szCs w:val="21"/>
          <w:highlight w:val="none"/>
          <w:lang w:val="zh-CN"/>
        </w:rPr>
        <w:t xml:space="preserve">维护生态平衡、贯彻“预防为主，综合治理”方针。做好园林植物病虫害预测、预报工作，掌握病虫发生规律，做到适时防治。积极采用生物防治，并利用不同树木品种间合理搭配保护和增殖天敌，抑制病虫危害，减轻对环境污染，维护生态平衡。定期发布植保信息，制定长期和短期防治计划。</w:t>
      </w:r>
      <w:r/>
    </w:p>
    <w:p>
      <w:pPr>
        <w:ind w:firstLine="422"/>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10.2</w:t>
      </w:r>
      <w:r>
        <w:rPr>
          <w:rFonts w:hint="eastAsia" w:ascii="宋体" w:hAnsi="宋体" w:eastAsia="宋体" w:cs="宋体"/>
          <w:color w:val="auto"/>
          <w:sz w:val="21"/>
          <w:szCs w:val="21"/>
          <w:highlight w:val="none"/>
          <w:lang w:val="zh-CN"/>
        </w:rPr>
        <w:t xml:space="preserve">引进和输出种苗，严格遵守有关植物检疫法规和有关规章制度。</w:t>
      </w:r>
      <w:r/>
    </w:p>
    <w:p>
      <w:pPr>
        <w:ind w:firstLine="422"/>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10.3</w:t>
      </w:r>
      <w:r>
        <w:rPr>
          <w:rFonts w:hint="eastAsia" w:ascii="宋体" w:hAnsi="宋体" w:eastAsia="宋体" w:cs="宋体"/>
          <w:color w:val="auto"/>
          <w:sz w:val="21"/>
          <w:szCs w:val="21"/>
          <w:highlight w:val="none"/>
          <w:lang w:val="zh-CN"/>
        </w:rPr>
        <w:t xml:space="preserve">加强观察，发现危害严重，且大面积发生病虫害时，及时组织力量进行调查、分析，有针对性采取防治措施。</w:t>
      </w:r>
      <w:r/>
    </w:p>
    <w:p>
      <w:pPr>
        <w:ind w:firstLine="422"/>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10.4</w:t>
      </w:r>
      <w:r>
        <w:rPr>
          <w:rFonts w:hint="eastAsia" w:ascii="宋体" w:hAnsi="宋体" w:eastAsia="宋体" w:cs="宋体"/>
          <w:color w:val="auto"/>
          <w:sz w:val="21"/>
          <w:szCs w:val="21"/>
          <w:highlight w:val="none"/>
          <w:lang w:val="zh-CN"/>
        </w:rPr>
        <w:t xml:space="preserve">对我市园林植物危害既普遍又较为严重的病虫害种类如：各种蚧壳虫、蚜虫、军配虫、白蚁、天牛、悬铃木方翅网蝽、黄杨绢野螟、樟巢螟等要加强治理。</w:t>
      </w:r>
      <w:r/>
    </w:p>
    <w:p>
      <w:pPr>
        <w:ind w:firstLine="422"/>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10.5园艺防治：</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1.加强养护管理，夏、秋生长季节应适量控制氮肥，增施磷、钾肥，做好排水工作。</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2.适度修剪，剪除病虫枝、徒长枝和过密的内膛枝。</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3.对病叶、病枝、病根、病株应及时集中处理。</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4.结合冬耕除草，消灭地下害虫。</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5.有传染源的土壤，应及时消毒。</w:t>
      </w:r>
      <w:r/>
    </w:p>
    <w:p>
      <w:pPr>
        <w:ind w:firstLine="422"/>
        <w:jc w:val="left"/>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10.6人工防治：</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1.摘除休眠虫体和悬挂或依附在植物体和建筑物上越冬虫茧、虫囊和卵块、卵囊，并集中焚烧。</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2.直接捕杀个体大、危害明显的害虫，有假死性或飞翔力不强的成虫（如天蛾、尺蠖、蚱蝉、天牛、金龟子、叶甲等）。</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3.刮刷枝干虫体，不要损伤枝干皮层。刮除枝干病斑时尽可能不损伤树体，病斑伤口处应消毒后涂抹保护剂。</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4.冬季做好树干涂白工作。</w:t>
      </w:r>
      <w:r/>
    </w:p>
    <w:p>
      <w:pPr>
        <w:ind w:firstLine="422"/>
        <w:jc w:val="left"/>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10.7生物防治：</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1.保护和利用天敌资源。</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2.积极推广和施用微生物制剂、BT乳剂、白僵菌制剂以及性引诱剂。</w:t>
      </w:r>
      <w:r/>
    </w:p>
    <w:p>
      <w:pPr>
        <w:ind w:firstLine="422"/>
        <w:jc w:val="left"/>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10.8物理防治：</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1.在成虫发生期利用有一定装置规格黑光灯（短光波3600～4000）诱杀成虫。在诱杀害虫时应防止误伤益虫（主要开灯期5月～10月）。</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2.利用热力（干温或湿温）处理种籽、种球以及植物组织，以消灭内、外病虫原。</w:t>
      </w:r>
      <w:r/>
    </w:p>
    <w:p>
      <w:pPr>
        <w:ind w:firstLine="422"/>
        <w:jc w:val="left"/>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10.9化学防治：</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第三章采用化学农药防治病虫害，必须掌握对症下药、合理使用、适地防治、用量适当、安全使用等原则。</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第四章应用化学农药，必须选用低毒，低残留（易分解）及无公害药物。</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第五章同—种化学药剂，不宜连续施用。</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第六章在—定植物群落范围内应针对性施药，以免伤及天敌。</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第七章化学药剂混用，必须掌握药剂的理化性质。</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第八章严禁使用剧毒化学药剂和有机氯、有机汞化学农药，严禁使用国家或地方禁止使用化学农药。</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第九章操作者未经技术专家同意，不得任意把两种不同药剂混合使用。</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第十章化学农药应按规定浓度施用，不得任意提高浓度。</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第十一章应了解防治对象、环境条件、选用药剂及其性能，并应掌握防治技术措施和安全规定。了解用药的名称、规格、质量、使用方法、是否失效等，否则不得使用。</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第十二章</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配药时，稀释比例应准确，所用水应纯净。可湿性粉剂应先用少量水调成糊状，再加足应配水量，不断搅拌防止沉淀。乳剂应先加药后加水稀释，待搅拌均匀后使用。</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第十三章</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使用药械前应先检查，必须达到完好、安全，不合格药械严禁使用。</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第十四章</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药剂喷雾应符合下列规定：</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（1）喷药前应做好虫情调查，喷药后应做好防效检查，做好防治记录。</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（2）喷药应呈雾状，应先内后外，先上后下互相衔接，附药要均匀全面、周到。</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（3）喷药时应注意过往行人和四周住户的安全。遇有食品、水果等物，及居民开窗晾晒衣物等情况应事先联系，待移走或遮盖关闭后再喷药。</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（4）喷药后，药械应立即洗刷，剩余药液及冲洗残液、不得乱倒、乱放应集中处理。</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13.药剂注射应符合下列规定：</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（1）注射前，应对树干枝干上害虫虫孔进行检查，应在害虫蛀食孔口进行注射；虫孔、排粪口都应注满药液，不得遗漏，注射后堵住孔口。</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（2）如遇一虫多孔时，应先堵住注射孔以下虫孔，再注射。新蛀食孔应先将木屑、虫粪清除干净，再向孔内注满药液。</w:t>
      </w:r>
      <w:r/>
    </w:p>
    <w:p>
      <w:pPr>
        <w:jc w:val="left"/>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10.10人工扑杀和刮除应符合下列规定：</w:t>
      </w:r>
      <w:r/>
    </w:p>
    <w:p>
      <w:pPr>
        <w:ind w:firstLine="420"/>
        <w:jc w:val="left"/>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color w:val="auto"/>
          <w:sz w:val="21"/>
          <w:szCs w:val="21"/>
          <w:highlight w:val="none"/>
          <w:lang w:val="zh-CN"/>
        </w:rPr>
        <w:t xml:space="preserve">1.挖除地下虫、蛹时，深度宜在5～20厘米，接近树根处勿伤根系，工作结束后应恢复地面平整。</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2.挖除树干病虫，应用锋利工具，达到干净利落，伤口应平整并涂抹防腐剂（波尔多液、石硫合剂等）。</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3.刮除枝干虫体应彻底干净，不得损伤枝条。刮除病斑的伤口应先清除干净再进行消毒，涂抹保护剂。</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4.挖下病虫体、刮除卵块、幼虫、网幕，刮落病斑树皮、病叶、病枝等，均应集中烧毁，不得随意乱放。</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10.11安全操作应符合下列规定：</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1.喷药应在无风晴天进行，阴雨、高温炎热中午不宜喷药。微风打药应站在顺风上头，风力超过四级应停止喷药。易引起药害树木，</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不宜连续喷药，应按药剂说明慎重使用。</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2.施药人员必须穿工作服、戴风镜、口罩、手套等防护用具。</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3.果树、药用、食用植物，在收获前7～30天，应停止使用有残效期药剂。</w:t>
      </w:r>
      <w:r/>
    </w:p>
    <w:p>
      <w:pPr>
        <w:jc w:val="left"/>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11技术档案</w:t>
      </w:r>
      <w:r/>
    </w:p>
    <w:p>
      <w:pPr>
        <w:ind w:firstLine="422"/>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11.1</w:t>
      </w:r>
      <w:r>
        <w:rPr>
          <w:rFonts w:hint="eastAsia" w:ascii="宋体" w:hAnsi="宋体" w:eastAsia="宋体" w:cs="宋体"/>
          <w:color w:val="auto"/>
          <w:sz w:val="21"/>
          <w:szCs w:val="21"/>
          <w:highlight w:val="none"/>
          <w:lang w:val="zh-CN"/>
        </w:rPr>
        <w:t xml:space="preserve">各园林绿化单位必须建立完整的园林植物养护技术档案，做到及时收集、整理、分析与总结，为提高养管水平，提供科学依据。</w:t>
      </w:r>
      <w:r/>
    </w:p>
    <w:p>
      <w:pPr>
        <w:ind w:firstLine="422"/>
        <w:jc w:val="left"/>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11.2技术档案应符合下列要求：</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1.范围：行道树、公共绿地、防护绿地、生产绿地、风景名胜区、专用绿地，都应建立和健全园林植物养护管理技术档案。</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应记录绿地气候、物候、水文、土质地形、地下构筑物等自然条件变化资料（注：气候：当年每月最高、最低，平均气温及特殊气候，如连续高温、干旱、暴雨、积水等状况）及调查报告；绿地建设历史及其发展。</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3.按植物分类，应记载地区名称、规格、来源、栽植年月，生长势和日常养护措施及其成效等。</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4.应用新技术、新工艺、新成果的单项技术资料；各类统计报表和调查报告等。</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5.树木死亡经挖除后，必须记录入档。编号区（地区）、树种、规格、死亡日期、死亡原因、抢救措施、挖除日期、挖除人、记录人、主管人。</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6.认真记载坐落地区、位置、树种、拉丁学名、规格（高度、胸径、冠幅）、立地条件、生长势、养管措施、记录人、备注、照片（近期）。</w:t>
      </w:r>
      <w:r/>
    </w:p>
    <w:p>
      <w:pPr>
        <w:ind w:firstLine="422"/>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11.3</w:t>
      </w:r>
      <w:r>
        <w:rPr>
          <w:rFonts w:hint="eastAsia" w:ascii="宋体" w:hAnsi="宋体" w:eastAsia="宋体" w:cs="宋体"/>
          <w:color w:val="auto"/>
          <w:sz w:val="21"/>
          <w:szCs w:val="21"/>
          <w:highlight w:val="none"/>
          <w:lang w:val="zh-CN"/>
        </w:rPr>
        <w:t xml:space="preserve">技术档案应由各单位指定专人每年分类整理、装订成册，编好目录由负责人审查归档，长期保存。</w:t>
      </w:r>
      <w:r/>
    </w:p>
    <w:p>
      <w:pPr>
        <w:jc w:val="center"/>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名词解释</w:t>
      </w:r>
      <w:r/>
    </w:p>
    <w:p>
      <w:pPr>
        <w:ind w:firstLine="422"/>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1.行道树</w:t>
      </w:r>
      <w:r>
        <w:rPr>
          <w:rFonts w:hint="eastAsia" w:ascii="宋体" w:hAnsi="宋体" w:eastAsia="宋体" w:cs="宋体"/>
          <w:color w:val="auto"/>
          <w:sz w:val="21"/>
          <w:szCs w:val="21"/>
          <w:highlight w:val="none"/>
          <w:lang w:val="zh-CN"/>
        </w:rPr>
        <w:t xml:space="preserve">Roadsidetree栽植于道路或公路两旁的乔木。</w:t>
      </w:r>
      <w:r/>
    </w:p>
    <w:p>
      <w:pPr>
        <w:ind w:firstLine="422"/>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2.落叶植物</w:t>
      </w:r>
      <w:r>
        <w:rPr>
          <w:rFonts w:hint="eastAsia" w:ascii="宋体" w:hAnsi="宋体" w:eastAsia="宋体" w:cs="宋体"/>
          <w:color w:val="auto"/>
          <w:sz w:val="21"/>
          <w:szCs w:val="21"/>
          <w:highlight w:val="none"/>
          <w:lang w:val="zh-CN"/>
        </w:rPr>
        <w:t xml:space="preserve">Defoliationplant指秋冬季节，树叶枯死脱落，仅存枝条的多年生乔、灌木。</w:t>
      </w:r>
      <w:r/>
    </w:p>
    <w:p>
      <w:pPr>
        <w:ind w:firstLine="422"/>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3.常绿植物</w:t>
      </w:r>
      <w:r>
        <w:rPr>
          <w:rFonts w:hint="eastAsia" w:ascii="宋体" w:hAnsi="宋体" w:eastAsia="宋体" w:cs="宋体"/>
          <w:color w:val="auto"/>
          <w:sz w:val="21"/>
          <w:szCs w:val="21"/>
          <w:highlight w:val="none"/>
          <w:lang w:val="zh-CN"/>
        </w:rPr>
        <w:t xml:space="preserve">Evergreenplant</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终年具有绿叶的多年生植物。多为乔、灌木及多年生草本。每年春夏季新叶发生，老叶次第枯落，全树叶子陆续更新，植株终年保持常绿。</w:t>
      </w:r>
      <w:r/>
    </w:p>
    <w:p>
      <w:pPr>
        <w:ind w:firstLine="422"/>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4.主干</w:t>
      </w:r>
      <w:r>
        <w:rPr>
          <w:rFonts w:hint="eastAsia" w:ascii="宋体" w:hAnsi="宋体" w:eastAsia="宋体" w:cs="宋体"/>
          <w:color w:val="auto"/>
          <w:sz w:val="21"/>
          <w:szCs w:val="21"/>
          <w:highlight w:val="none"/>
          <w:lang w:val="zh-CN"/>
        </w:rPr>
        <w:t xml:space="preserve">Trunk</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乔木地面以上，分枝点以下的部分，上承树冠，下接根系。</w:t>
      </w:r>
      <w:r/>
    </w:p>
    <w:p>
      <w:pPr>
        <w:ind w:firstLine="422"/>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5.主枝</w:t>
      </w:r>
      <w:r>
        <w:rPr>
          <w:rFonts w:hint="eastAsia" w:ascii="宋体" w:hAnsi="宋体" w:eastAsia="宋体" w:cs="宋体"/>
          <w:color w:val="auto"/>
          <w:sz w:val="21"/>
          <w:szCs w:val="21"/>
          <w:highlight w:val="none"/>
          <w:lang w:val="zh-CN"/>
        </w:rPr>
        <w:t xml:space="preserve">Chiefbranches</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自主干生出，构成树型骨架的粗壮枝条。</w:t>
      </w:r>
      <w:r/>
    </w:p>
    <w:p>
      <w:pPr>
        <w:ind w:firstLine="422"/>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6.侧枝</w:t>
      </w:r>
      <w:r>
        <w:rPr>
          <w:rFonts w:hint="eastAsia" w:ascii="宋体" w:hAnsi="宋体" w:eastAsia="宋体" w:cs="宋体"/>
          <w:color w:val="auto"/>
          <w:sz w:val="21"/>
          <w:szCs w:val="21"/>
          <w:highlight w:val="none"/>
          <w:lang w:val="zh-CN"/>
        </w:rPr>
        <w:t xml:space="preserve">Lateralbranches</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自主枝生出的较小枝条。</w:t>
      </w:r>
      <w:r/>
    </w:p>
    <w:p>
      <w:pPr>
        <w:ind w:firstLine="422"/>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7.徒长枝</w:t>
      </w:r>
      <w:r>
        <w:rPr>
          <w:rFonts w:hint="eastAsia" w:ascii="宋体" w:hAnsi="宋体" w:eastAsia="宋体" w:cs="宋体"/>
          <w:color w:val="auto"/>
          <w:sz w:val="21"/>
          <w:szCs w:val="21"/>
          <w:highlight w:val="none"/>
          <w:lang w:val="zh-CN"/>
        </w:rPr>
        <w:t xml:space="preserve">Excessivegrowthofbranches</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生长过旺发育不充实的一种发育枝，通常表现为较直立、节间长。</w:t>
      </w:r>
      <w:r/>
    </w:p>
    <w:p>
      <w:pPr>
        <w:ind w:firstLine="422"/>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8.整形修剪</w:t>
      </w:r>
      <w:r>
        <w:rPr>
          <w:rFonts w:hint="eastAsia" w:ascii="宋体" w:hAnsi="宋体" w:eastAsia="宋体" w:cs="宋体"/>
          <w:color w:val="auto"/>
          <w:sz w:val="21"/>
          <w:szCs w:val="21"/>
          <w:highlight w:val="none"/>
          <w:lang w:val="zh-CN"/>
        </w:rPr>
        <w:t xml:space="preserve">Pruning</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对园林树木的某些器官，如茎、枝、叶、花、果、芽、根等采取一定的修剪措施，使之形成某种树体形态结构。</w:t>
      </w:r>
      <w:r/>
    </w:p>
    <w:p>
      <w:pPr>
        <w:ind w:firstLine="422"/>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9.伤流树</w:t>
      </w:r>
      <w:r>
        <w:rPr>
          <w:rFonts w:hint="eastAsia" w:ascii="宋体" w:hAnsi="宋体" w:eastAsia="宋体" w:cs="宋体"/>
          <w:color w:val="auto"/>
          <w:sz w:val="21"/>
          <w:szCs w:val="21"/>
          <w:highlight w:val="none"/>
          <w:lang w:val="zh-CN"/>
        </w:rPr>
        <w:t xml:space="preserve">Bleedingresinoussuccustree</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在一定气温和环境下，当植物被修剪或受损时，顺着伤口流出液体的树木。</w:t>
      </w:r>
      <w:r/>
    </w:p>
    <w:p>
      <w:pPr>
        <w:ind w:firstLine="422"/>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10.短截</w:t>
      </w:r>
      <w:r>
        <w:rPr>
          <w:rFonts w:hint="eastAsia" w:ascii="宋体" w:hAnsi="宋体" w:eastAsia="宋体" w:cs="宋体"/>
          <w:color w:val="auto"/>
          <w:sz w:val="21"/>
          <w:szCs w:val="21"/>
          <w:highlight w:val="none"/>
          <w:lang w:val="zh-CN"/>
        </w:rPr>
        <w:t xml:space="preserve">Shortcut</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剪去枝梢的一部分，保留一定长度的枝条和一定数量的芽，使树体重新分配养分，促进剪口下侧芽的萌发，是调节枝条生长势的重要方法。亦称短剪。</w:t>
      </w:r>
      <w:r/>
    </w:p>
    <w:p>
      <w:pPr>
        <w:ind w:firstLine="422"/>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11.剥芽</w:t>
      </w:r>
      <w:r>
        <w:rPr>
          <w:rFonts w:hint="eastAsia" w:ascii="宋体" w:hAnsi="宋体" w:eastAsia="宋体" w:cs="宋体"/>
          <w:color w:val="auto"/>
          <w:sz w:val="21"/>
          <w:szCs w:val="21"/>
          <w:highlight w:val="none"/>
          <w:lang w:val="zh-CN"/>
        </w:rPr>
        <w:t xml:space="preserve">Peelbud</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在树木的生长期，剥去树体上妨碍生长的不定芽，使养分集中供给其他生长部位，增强生长势。亦称摘芽或抹芽。</w:t>
      </w:r>
      <w:r/>
    </w:p>
    <w:p>
      <w:pPr>
        <w:ind w:firstLine="422"/>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12.疏枝</w:t>
      </w:r>
      <w:r>
        <w:rPr>
          <w:rFonts w:hint="eastAsia" w:ascii="宋体" w:hAnsi="宋体" w:eastAsia="宋体" w:cs="宋体"/>
          <w:color w:val="auto"/>
          <w:sz w:val="21"/>
          <w:szCs w:val="21"/>
          <w:highlight w:val="none"/>
          <w:lang w:val="zh-CN"/>
        </w:rPr>
        <w:t xml:space="preserve">Branchthinning</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剪除过密枝、衰老枝、病虫枝、徒长枝、内膛枝等，使树冠通风透光，合理分配养分，促使树木生长旺盛，增强树木的观赏效果。亦称疏剪。</w:t>
      </w:r>
      <w:r/>
    </w:p>
    <w:p>
      <w:pPr>
        <w:ind w:firstLine="422"/>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13.施肥</w:t>
      </w:r>
      <w:r>
        <w:rPr>
          <w:rFonts w:hint="eastAsia" w:ascii="宋体" w:hAnsi="宋体" w:eastAsia="宋体" w:cs="宋体"/>
          <w:color w:val="auto"/>
          <w:sz w:val="21"/>
          <w:szCs w:val="21"/>
          <w:highlight w:val="none"/>
          <w:lang w:val="zh-CN"/>
        </w:rPr>
        <w:t xml:space="preserve">Fertilization</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在植物生长和发育过程中，为补充所需的各种营养元素而采取的肥料施用措施。</w:t>
      </w:r>
      <w:r/>
    </w:p>
    <w:p>
      <w:pPr>
        <w:ind w:firstLine="422"/>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14.追肥</w:t>
      </w:r>
      <w:r>
        <w:rPr>
          <w:rFonts w:hint="eastAsia" w:ascii="宋体" w:hAnsi="宋体" w:eastAsia="宋体" w:cs="宋体"/>
          <w:color w:val="auto"/>
          <w:sz w:val="21"/>
          <w:szCs w:val="21"/>
          <w:highlight w:val="none"/>
          <w:lang w:val="zh-CN"/>
        </w:rPr>
        <w:t xml:space="preserve">Top-dressing</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在树木生长季节，根据需要加施速效肥料，促使树木生长的措施。</w:t>
      </w:r>
      <w:r/>
    </w:p>
    <w:p>
      <w:pPr>
        <w:ind w:firstLine="422"/>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15.基肥</w:t>
      </w:r>
      <w:r>
        <w:rPr>
          <w:rFonts w:hint="eastAsia" w:ascii="宋体" w:hAnsi="宋体" w:eastAsia="宋体" w:cs="宋体"/>
          <w:color w:val="auto"/>
          <w:sz w:val="21"/>
          <w:szCs w:val="21"/>
          <w:highlight w:val="none"/>
          <w:lang w:val="zh-CN"/>
        </w:rPr>
        <w:t xml:space="preserve">Basemanure以有机肥为主，可供较长时期吸收利用的肥料。</w:t>
      </w:r>
      <w:r/>
    </w:p>
    <w:p>
      <w:pPr>
        <w:ind w:firstLine="422"/>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16.树体修补</w:t>
      </w:r>
      <w:r>
        <w:rPr>
          <w:rFonts w:hint="eastAsia" w:ascii="宋体" w:hAnsi="宋体" w:eastAsia="宋体" w:cs="宋体"/>
          <w:color w:val="auto"/>
          <w:sz w:val="21"/>
          <w:szCs w:val="21"/>
          <w:highlight w:val="none"/>
          <w:lang w:val="zh-CN"/>
        </w:rPr>
        <w:t xml:space="preserve">Treework</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对有观赏价值的树木进行的维护措施。如堵树洞、吊枝、顶枝等。修补古树名木是一项重要的管理工作，根据树木受伤轻重、部位、特点，采用不同的补救方法，使其早日恢复树势，更好地发挥园林优势。</w:t>
      </w:r>
      <w:r/>
    </w:p>
    <w:p>
      <w:pPr>
        <w:ind w:firstLine="422"/>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17.有害生物综合治理</w:t>
      </w:r>
      <w:r>
        <w:rPr>
          <w:rFonts w:hint="eastAsia" w:ascii="宋体" w:hAnsi="宋体" w:eastAsia="宋体" w:cs="宋体"/>
          <w:color w:val="auto"/>
          <w:sz w:val="21"/>
          <w:szCs w:val="21"/>
          <w:highlight w:val="none"/>
          <w:lang w:val="zh-CN"/>
        </w:rPr>
        <w:t xml:space="preserve">Integratedpestmanagement指通过组合生物、栽培、物理、化学等措施，以最低的经济、健康和环境风险，实现一个可持续发展的有害生物治理。</w:t>
      </w:r>
      <w:r/>
    </w:p>
    <w:p>
      <w:pPr>
        <w:ind w:firstLine="422"/>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18.病虫害预测预报</w:t>
      </w:r>
      <w:r>
        <w:rPr>
          <w:rFonts w:hint="eastAsia" w:ascii="宋体" w:hAnsi="宋体" w:eastAsia="宋体" w:cs="宋体"/>
          <w:color w:val="auto"/>
          <w:sz w:val="21"/>
          <w:szCs w:val="21"/>
          <w:highlight w:val="none"/>
          <w:lang w:val="zh-CN"/>
        </w:rPr>
        <w:t xml:space="preserve">Predictionofplantdiseasesandinsectpests</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根据以往病、虫发生规律，分析病虫可能的发展趋势，并及时作出报道，作为预防的依据。</w:t>
      </w:r>
      <w:r/>
    </w:p>
    <w:p>
      <w:pPr>
        <w:ind w:firstLine="422"/>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19.杂草</w:t>
      </w:r>
      <w:r>
        <w:rPr>
          <w:rFonts w:hint="eastAsia" w:ascii="宋体" w:hAnsi="宋体" w:eastAsia="宋体" w:cs="宋体"/>
          <w:color w:val="auto"/>
          <w:sz w:val="21"/>
          <w:szCs w:val="21"/>
          <w:highlight w:val="none"/>
          <w:lang w:val="zh-CN"/>
        </w:rPr>
        <w:t xml:space="preserve">Weeds指干扰人类目的和需要的一切草本植物。</w:t>
      </w:r>
      <w:r/>
    </w:p>
    <w:p>
      <w:pPr>
        <w:ind w:firstLine="422"/>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20.藤本植物</w:t>
      </w:r>
      <w:r>
        <w:rPr>
          <w:rFonts w:hint="eastAsia" w:ascii="宋体" w:hAnsi="宋体" w:eastAsia="宋体" w:cs="宋体"/>
          <w:color w:val="auto"/>
          <w:sz w:val="21"/>
          <w:szCs w:val="21"/>
          <w:highlight w:val="none"/>
          <w:lang w:val="zh-CN"/>
        </w:rPr>
        <w:t xml:space="preserve">Climberplant能以自身的附属器官如卷须、钩状物、吸盘等附着于他物生长的植物，亦称攀援植物。</w:t>
      </w:r>
      <w:r/>
    </w:p>
    <w:p>
      <w:pPr>
        <w:ind w:firstLine="422"/>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21.地被植物</w:t>
      </w:r>
      <w:r>
        <w:rPr>
          <w:rFonts w:hint="eastAsia" w:ascii="宋体" w:hAnsi="宋体" w:eastAsia="宋体" w:cs="宋体"/>
          <w:color w:val="auto"/>
          <w:sz w:val="21"/>
          <w:szCs w:val="21"/>
          <w:highlight w:val="none"/>
          <w:lang w:val="zh-CN"/>
        </w:rPr>
        <w:t xml:space="preserve">Groundcoverplant能覆盖地面的低矮植物，包括草本、灌木、藤本等，种类繁多。</w:t>
      </w:r>
      <w:r/>
    </w:p>
    <w:p>
      <w:pPr>
        <w:ind w:firstLine="422"/>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22.绿篱</w:t>
      </w:r>
      <w:r>
        <w:rPr>
          <w:rFonts w:hint="eastAsia" w:ascii="宋体" w:hAnsi="宋体" w:eastAsia="宋体" w:cs="宋体"/>
          <w:color w:val="auto"/>
          <w:sz w:val="21"/>
          <w:szCs w:val="21"/>
          <w:highlight w:val="none"/>
          <w:lang w:val="zh-CN"/>
        </w:rPr>
        <w:t xml:space="preserve">Greenhedge绿篱是一种紧密的株行距，延长栽植的栽植形式，通过经常修剪，控制一定高度，维持一定形状。</w:t>
      </w:r>
      <w:r/>
    </w:p>
    <w:p>
      <w:pPr>
        <w:ind w:firstLine="422"/>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23</w:t>
      </w: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lang w:val="zh-CN"/>
        </w:rPr>
        <w:t xml:space="preserve">摘心</w:t>
      </w:r>
      <w:r>
        <w:rPr>
          <w:rFonts w:hint="eastAsia" w:ascii="宋体" w:hAnsi="宋体" w:eastAsia="宋体" w:cs="宋体"/>
          <w:color w:val="auto"/>
          <w:sz w:val="21"/>
          <w:szCs w:val="21"/>
          <w:highlight w:val="none"/>
          <w:lang w:val="zh-CN"/>
        </w:rPr>
        <w:t xml:space="preserve">Topremoval在树木生长季节，除去枝条先端嫩梢，也属短截范围。</w:t>
      </w:r>
      <w:r/>
    </w:p>
    <w:p>
      <w:pPr>
        <w:ind w:firstLine="422"/>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24</w:t>
      </w: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lang w:val="zh-CN"/>
        </w:rPr>
        <w:t xml:space="preserve">去蘖</w:t>
      </w:r>
      <w:r>
        <w:rPr>
          <w:rFonts w:hint="eastAsia" w:ascii="宋体" w:hAnsi="宋体" w:eastAsia="宋体" w:cs="宋体"/>
          <w:color w:val="auto"/>
          <w:sz w:val="21"/>
          <w:szCs w:val="21"/>
          <w:highlight w:val="none"/>
          <w:lang w:val="zh-CN"/>
        </w:rPr>
        <w:t xml:space="preserve">Cutofftiller除去主干上或根部萌发的无用枝条。</w:t>
      </w:r>
      <w:r/>
    </w:p>
    <w:p>
      <w:pPr>
        <w:ind w:firstLine="422"/>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25</w:t>
      </w: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lang w:val="zh-CN"/>
        </w:rPr>
        <w:t xml:space="preserve">中耕除草</w:t>
      </w:r>
      <w:r>
        <w:rPr>
          <w:rFonts w:hint="eastAsia" w:ascii="宋体" w:hAnsi="宋体" w:eastAsia="宋体" w:cs="宋体"/>
          <w:color w:val="auto"/>
          <w:sz w:val="21"/>
          <w:szCs w:val="21"/>
          <w:highlight w:val="none"/>
          <w:lang w:val="zh-CN"/>
        </w:rPr>
        <w:t xml:space="preserve">Cultivatingandweeding植物生长发育期内，在株内、行间进行松土耕作及除</w:t>
      </w:r>
      <w:r/>
    </w:p>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r/>
    </w:p>
    <w:p>
      <w:pPr>
        <w:jc w:val="center"/>
        <w:keepLines w:val="0"/>
        <w:keepNext w:val="0"/>
        <w:pageBreakBefore w:val="0"/>
        <w:spacing w:line="360" w:lineRule="auto"/>
        <w:rPr>
          <w:rFonts w:hint="eastAsia" w:ascii="宋体" w:hAnsi="宋体" w:eastAsia="宋体" w:cs="宋体"/>
          <w:b/>
          <w:bCs/>
          <w:color w:val="auto"/>
          <w:sz w:val="24"/>
          <w:szCs w:val="24"/>
          <w:highlight w:val="none"/>
        </w:rPr>
        <w:outlineLvl w:val="0"/>
      </w:pPr>
      <w:r/>
      <w:bookmarkStart w:id="47" w:name="_Toc994"/>
      <w:r>
        <w:rPr>
          <w:rFonts w:hint="eastAsia" w:ascii="宋体" w:hAnsi="宋体" w:eastAsia="宋体" w:cs="宋体"/>
          <w:b/>
          <w:bCs/>
          <w:color w:val="auto"/>
          <w:sz w:val="24"/>
          <w:szCs w:val="24"/>
          <w:highlight w:val="none"/>
        </w:rPr>
        <w:t xml:space="preserve">附件</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：南京市城市绿化养护质量等级标准</w:t>
      </w:r>
      <w:bookmarkEnd w:id="47"/>
      <w:r/>
      <w:r/>
    </w:p>
    <w:tbl>
      <w:tblPr>
        <w:tblStyle w:val="923"/>
        <w:tblW w:w="96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2871"/>
        <w:gridCol w:w="1096"/>
        <w:gridCol w:w="1834"/>
        <w:gridCol w:w="3103"/>
      </w:tblGrid>
      <w:tr>
        <w:trPr/>
        <w:tc>
          <w:tcPr>
            <w:tcBorders>
              <w:top w:val="single" w:color="auto" w:sz="4" w:space="0"/>
              <w:left w:val="single" w:color="auto" w:sz="4" w:space="0"/>
              <w:bottom w:val="single" w:color="auto" w:sz="4" w:space="0"/>
              <w:right w:val="single" w:color="auto" w:sz="4" w:space="0"/>
            </w:tcBorders>
            <w:tcW w:w="698" w:type="dxa"/>
            <w:vAlign w:val="center"/>
            <w:vMerge w:val="restart"/>
            <w:textDirection w:val="lrTb"/>
            <w:noWrap/>
          </w:tcPr>
          <w:p>
            <w:pPr>
              <w:jc w:val="left"/>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3.1行道树的养护质量标准</w:t>
            </w:r>
            <w:r/>
          </w:p>
          <w:p>
            <w:pPr>
              <w:jc w:val="center"/>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2871" w:type="dxa"/>
            <w:vAlign w:val="center"/>
            <w:textDirection w:val="lrTb"/>
            <w:noWrap/>
          </w:tcPr>
          <w:p>
            <w:pPr>
              <w:jc w:val="center"/>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一级养护标准</w:t>
            </w:r>
            <w:r/>
          </w:p>
        </w:tc>
        <w:tc>
          <w:tcPr>
            <w:gridSpan w:val="2"/>
            <w:tcBorders>
              <w:top w:val="single" w:color="auto" w:sz="4" w:space="0"/>
              <w:left w:val="single" w:color="auto" w:sz="4" w:space="0"/>
              <w:bottom w:val="single" w:color="auto" w:sz="4" w:space="0"/>
              <w:right w:val="single" w:color="auto" w:sz="4" w:space="0"/>
            </w:tcBorders>
            <w:tcW w:w="2930" w:type="dxa"/>
            <w:vAlign w:val="center"/>
            <w:textDirection w:val="lrTb"/>
            <w:noWrap/>
          </w:tcPr>
          <w:p>
            <w:pPr>
              <w:jc w:val="center"/>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二级养护标准</w:t>
            </w:r>
            <w:r/>
          </w:p>
        </w:tc>
        <w:tc>
          <w:tcPr>
            <w:tcBorders>
              <w:top w:val="single" w:color="auto" w:sz="4" w:space="0"/>
              <w:left w:val="single" w:color="auto" w:sz="4" w:space="0"/>
              <w:bottom w:val="single" w:color="auto" w:sz="4" w:space="0"/>
              <w:right w:val="single" w:color="auto" w:sz="4" w:space="0"/>
            </w:tcBorders>
            <w:tcW w:w="3103" w:type="dxa"/>
            <w:vAlign w:val="center"/>
            <w:textDirection w:val="lrTb"/>
            <w:noWrap/>
          </w:tcPr>
          <w:p>
            <w:pPr>
              <w:jc w:val="center"/>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基本养护标准</w:t>
            </w:r>
            <w:r/>
          </w:p>
        </w:tc>
      </w:tr>
      <w:tr>
        <w:trPr>
          <w:trHeight w:val="9401"/>
        </w:trPr>
        <w:tc>
          <w:tcPr>
            <w:tcBorders>
              <w:top w:val="single" w:color="auto" w:sz="4" w:space="0"/>
              <w:left w:val="single" w:color="auto" w:sz="4" w:space="0"/>
              <w:bottom w:val="single" w:color="auto" w:sz="4" w:space="0"/>
              <w:right w:val="single" w:color="auto" w:sz="4" w:space="0"/>
            </w:tcBorders>
            <w:tcW w:w="698"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2871" w:type="dxa"/>
            <w:vAlign w:val="center"/>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1.树木长势茂盛，规格整</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齐，树干挺直，定干高度一致，树冠丰满。新栽树木定干高度为4.2米。</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2.无枯枝、交叉枝、过密枝、并生枝、病虫枝，主</w:t>
            </w:r>
            <w:r>
              <w:rPr>
                <w:rFonts w:hint="eastAsia" w:ascii="宋体" w:hAnsi="宋体" w:eastAsia="宋体" w:cs="宋体"/>
                <w:color w:val="auto"/>
                <w:sz w:val="21"/>
                <w:szCs w:val="21"/>
                <w:highlight w:val="none"/>
              </w:rPr>
              <w:t xml:space="preserve">干</w:t>
            </w:r>
            <w:r>
              <w:rPr>
                <w:rFonts w:hint="eastAsia" w:ascii="宋体" w:hAnsi="宋体" w:eastAsia="宋体" w:cs="宋体"/>
                <w:color w:val="auto"/>
                <w:sz w:val="21"/>
                <w:szCs w:val="21"/>
                <w:highlight w:val="none"/>
                <w:lang w:val="zh-CN"/>
              </w:rPr>
              <w:t xml:space="preserve">上无萌蘖枝：无影响交通、架空线路、路灯、建筑、行人安全的树枝。</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3.枝条修剪截面要平整，不留短桩。截面直径大于6厘米的伤口要涂防腐剂。</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4.无明显病虫危害迹象，树干无未处理的腐洞。</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5.树体无钉挂物、悬挂物。</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6.树穴设施完好，黄土不裸露，无杂草、杂物。</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7.无死株、缺株、严重倾斜株。无法修整复壮的树木及时申报更换。</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8.新栽、补栽的树木和易受害倒伏的树木应设立扶木支撑，扎缚规范有效。</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9.每年12月至次年1月上旬，树干要刷白一次，高度1.2米。</w:t>
            </w:r>
            <w:r/>
          </w:p>
          <w:p>
            <w:pPr>
              <w:jc w:val="left"/>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color w:val="auto"/>
                <w:sz w:val="21"/>
                <w:szCs w:val="21"/>
                <w:highlight w:val="none"/>
                <w:lang w:val="zh-CN"/>
              </w:rPr>
              <w:t xml:space="preserve">10.主干道建立一路一档，有动态养护记录，历史资料齐全。</w:t>
            </w:r>
            <w:r/>
          </w:p>
        </w:tc>
        <w:tc>
          <w:tcPr>
            <w:gridSpan w:val="2"/>
            <w:tcBorders>
              <w:top w:val="single" w:color="auto" w:sz="4" w:space="0"/>
              <w:left w:val="single" w:color="auto" w:sz="4" w:space="0"/>
              <w:bottom w:val="single" w:color="auto" w:sz="4" w:space="0"/>
              <w:right w:val="single" w:color="auto" w:sz="4" w:space="0"/>
            </w:tcBorders>
            <w:tcW w:w="2930" w:type="dxa"/>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1.植株长势良好，树冠完整。新栽树木定干高度为4.2米。</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2.无枯枝、过密枝、并生枝、病虫枝，主干上无明显萌蘖枝；无影响交通、架空线路、路灯、建筑、行人安全的树枝。</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3.枝条修剪截面要平整，不留短桩。截面直径大于6厘米的伤口要涂防腐剂。</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4.无明显病虫危害迹象。</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5.树体无钉挂物、悬挂物。</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6.树穴无明显黄土裸露，无杂物，基本无杂草。</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7.无死株，缺株率不超过2%。</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8.新栽、补栽的树木和易受害倒伏的树木应设立扶木支撑，扎缚完好有效。</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9.每年12月至次年1月上旬，树干要刷白一次，高度1.2米。</w:t>
            </w:r>
            <w:r/>
          </w:p>
        </w:tc>
        <w:tc>
          <w:tcPr>
            <w:tcBorders>
              <w:top w:val="single" w:color="auto" w:sz="4" w:space="0"/>
              <w:left w:val="single" w:color="auto" w:sz="4" w:space="0"/>
              <w:bottom w:val="single" w:color="auto" w:sz="4" w:space="0"/>
              <w:right w:val="single" w:color="auto" w:sz="4" w:space="0"/>
            </w:tcBorders>
            <w:tcW w:w="3103" w:type="dxa"/>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1.植株生长正常，树冠基本完整。新栽树木定干高度为4.2米。</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2.无明显枯枝，无影响交通、架空线路、路灯、建筑、行人安全等树枝。</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3.枝条修剪截面要平整，不留短桩。截面直径大于6厘米的伤口要涂防腐剂。</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4.无影响景观的病虫危害迹象。</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5.树体无明显钉挂物、悬挂物。</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6.树穴无明显杂草。</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7.无死株，缺株率不超过10%。</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8.易受害倒伏的树木应设立扶木支撑，扎缚有效。</w:t>
            </w:r>
            <w:r/>
          </w:p>
        </w:tc>
      </w:tr>
      <w:tr>
        <w:trPr/>
        <w:tc>
          <w:tcPr>
            <w:tcBorders>
              <w:top w:val="single" w:color="auto" w:sz="4" w:space="0"/>
              <w:left w:val="single" w:color="auto" w:sz="4" w:space="0"/>
              <w:bottom w:val="single" w:color="auto" w:sz="4" w:space="0"/>
              <w:right w:val="single" w:color="auto" w:sz="4" w:space="0"/>
            </w:tcBorders>
            <w:tcW w:w="698" w:type="dxa"/>
            <w:vAlign w:val="center"/>
            <w:vMerge w:val="restart"/>
            <w:textDirection w:val="lrTb"/>
            <w:noWrap/>
          </w:tcPr>
          <w:p>
            <w:pPr>
              <w:jc w:val="left"/>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3.2乔木树养护质量标准</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2871"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一级养护标准</w:t>
            </w:r>
            <w:r/>
          </w:p>
        </w:tc>
        <w:tc>
          <w:tcPr>
            <w:gridSpan w:val="2"/>
            <w:tcBorders>
              <w:top w:val="single" w:color="auto" w:sz="4" w:space="0"/>
              <w:left w:val="single" w:color="auto" w:sz="4" w:space="0"/>
              <w:bottom w:val="single" w:color="auto" w:sz="4" w:space="0"/>
              <w:right w:val="single" w:color="auto" w:sz="4" w:space="0"/>
            </w:tcBorders>
            <w:tcW w:w="293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二级养护标准</w:t>
            </w:r>
            <w:r/>
          </w:p>
        </w:tc>
        <w:tc>
          <w:tcPr>
            <w:tcBorders>
              <w:top w:val="single" w:color="auto" w:sz="4" w:space="0"/>
              <w:left w:val="single" w:color="auto" w:sz="4" w:space="0"/>
              <w:bottom w:val="single" w:color="auto" w:sz="4" w:space="0"/>
              <w:right w:val="single" w:color="auto" w:sz="4" w:space="0"/>
            </w:tcBorders>
            <w:tcW w:w="3103"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基本养护标准</w:t>
            </w:r>
            <w:r/>
          </w:p>
        </w:tc>
      </w:tr>
      <w:tr>
        <w:trPr/>
        <w:tc>
          <w:tcPr>
            <w:tcBorders>
              <w:top w:val="single" w:color="auto" w:sz="4" w:space="0"/>
              <w:left w:val="single" w:color="auto" w:sz="4" w:space="0"/>
              <w:bottom w:val="single" w:color="auto" w:sz="4" w:space="0"/>
              <w:right w:val="single" w:color="auto" w:sz="4" w:space="0"/>
            </w:tcBorders>
            <w:tcW w:w="698"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2871" w:type="dxa"/>
            <w:vAlign w:val="center"/>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1.树木长势茂盛，树冠完整丰满，主侧枝分布匀称。</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2.无枯枝、伤残枝、交叉枝、过密枝、徒长枝、并生枝，主</w:t>
            </w:r>
            <w:r>
              <w:rPr>
                <w:rFonts w:hint="eastAsia" w:ascii="宋体" w:hAnsi="宋体" w:eastAsia="宋体" w:cs="宋体"/>
                <w:color w:val="auto"/>
                <w:sz w:val="21"/>
                <w:szCs w:val="21"/>
                <w:highlight w:val="none"/>
              </w:rPr>
              <w:t xml:space="preserve">干</w:t>
            </w:r>
            <w:r>
              <w:rPr>
                <w:rFonts w:hint="eastAsia" w:ascii="宋体" w:hAnsi="宋体" w:eastAsia="宋体" w:cs="宋体"/>
                <w:color w:val="auto"/>
                <w:sz w:val="21"/>
                <w:szCs w:val="21"/>
                <w:highlight w:val="none"/>
                <w:lang w:val="zh-CN"/>
              </w:rPr>
              <w:t xml:space="preserve">上无萌蘖枝。</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3.无影响交通、架空线路、路灯、建筑、行人安全的树枝。</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4.枝条修剪截面要平整，不留短桩。截面直径大于6厘米的伤口要涂防腐剂。</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5.观花树木按时茂盛开花，观果树木正常结果。</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6.无明显病虫危害迹象，树干无未处理的腐洞。</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7.树体无钉挂物、悬挂物。</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8.树穴内无杂草、杂物，黄土不裸露。</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9.落叶乔木每年12月至次年1月上旬，树干要刷白一次，高度1.2米。</w:t>
            </w:r>
            <w:r/>
          </w:p>
        </w:tc>
        <w:tc>
          <w:tcPr>
            <w:gridSpan w:val="2"/>
            <w:tcBorders>
              <w:top w:val="single" w:color="auto" w:sz="4" w:space="0"/>
              <w:left w:val="single" w:color="auto" w:sz="4" w:space="0"/>
              <w:bottom w:val="single" w:color="auto" w:sz="4" w:space="0"/>
              <w:right w:val="single" w:color="auto" w:sz="4" w:space="0"/>
            </w:tcBorders>
            <w:tcW w:w="2930" w:type="dxa"/>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1.树木长势良好，树冠完整，主侧枝分布较匀称。</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2.无枯、伤残枝、徒长枝、并生枝、过密枝，主</w:t>
            </w:r>
            <w:r>
              <w:rPr>
                <w:rFonts w:hint="eastAsia" w:ascii="宋体" w:hAnsi="宋体" w:eastAsia="宋体" w:cs="宋体"/>
                <w:color w:val="auto"/>
                <w:sz w:val="21"/>
                <w:szCs w:val="21"/>
                <w:highlight w:val="none"/>
              </w:rPr>
              <w:t xml:space="preserve">干</w:t>
            </w:r>
            <w:r>
              <w:rPr>
                <w:rFonts w:hint="eastAsia" w:ascii="宋体" w:hAnsi="宋体" w:eastAsia="宋体" w:cs="宋体"/>
                <w:color w:val="auto"/>
                <w:sz w:val="21"/>
                <w:szCs w:val="21"/>
                <w:highlight w:val="none"/>
                <w:lang w:val="zh-CN"/>
              </w:rPr>
              <w:t xml:space="preserve">上基本无萌蘖枝。</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3.无影响交通、架空线路、路灯、建筑、行人安全的树枝。</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4.枝条修剪截面要平整，不留短桩。截面直径大于6厘米的伤口要涂防腐剂。</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5.观花观果植株正常开花结果。</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6.无明显病虫危害迹象。</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7.树体无钉挂物、悬挂物。</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8.树穴内无杂物，基本无影响景观的杂草。</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9.落叶乔木每年12月至次年1月上旬，树干要刷白一次，高度1.2米。</w:t>
            </w:r>
            <w:r/>
          </w:p>
        </w:tc>
        <w:tc>
          <w:tcPr>
            <w:tcBorders>
              <w:top w:val="single" w:color="auto" w:sz="4" w:space="0"/>
              <w:left w:val="single" w:color="auto" w:sz="4" w:space="0"/>
              <w:bottom w:val="single" w:color="auto" w:sz="4" w:space="0"/>
              <w:right w:val="single" w:color="auto" w:sz="4" w:space="0"/>
            </w:tcBorders>
            <w:tcW w:w="3103" w:type="dxa"/>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1.树木生长正常，树冠基本完整。</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2.无明显枯枝、残枝、并生枝。</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3.无影响交通、架空线路、路灯、建筑、行人安全的树枝。</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4.枝条修剪截面要平整，不留短桩。截面直径大于6厘米的伤口要涂防腐剂。</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5.无影响景观的病虫危害迹象。</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6.树体无明显钉挂物、悬挂物。</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7.树穴内无明显影响景观的杂草。</w:t>
            </w:r>
            <w:r/>
          </w:p>
        </w:tc>
      </w:tr>
      <w:tr>
        <w:trPr/>
        <w:tc>
          <w:tcPr>
            <w:tcBorders>
              <w:top w:val="single" w:color="auto" w:sz="4" w:space="0"/>
              <w:left w:val="single" w:color="auto" w:sz="4" w:space="0"/>
              <w:bottom w:val="single" w:color="auto" w:sz="4" w:space="0"/>
              <w:right w:val="single" w:color="auto" w:sz="4" w:space="0"/>
            </w:tcBorders>
            <w:tcW w:w="698" w:type="dxa"/>
            <w:vAlign w:val="center"/>
            <w:vMerge w:val="restart"/>
            <w:textDirection w:val="lrTb"/>
            <w:noWrap/>
          </w:tcPr>
          <w:p>
            <w:pPr>
              <w:jc w:val="left"/>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3.3花灌木（含观花观果小乔木）养护质量标准</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2871"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一级养护标准</w:t>
            </w:r>
            <w:r/>
          </w:p>
        </w:tc>
        <w:tc>
          <w:tcPr>
            <w:gridSpan w:val="2"/>
            <w:tcBorders>
              <w:top w:val="single" w:color="auto" w:sz="4" w:space="0"/>
              <w:left w:val="single" w:color="auto" w:sz="4" w:space="0"/>
              <w:bottom w:val="single" w:color="auto" w:sz="4" w:space="0"/>
              <w:right w:val="single" w:color="auto" w:sz="4" w:space="0"/>
            </w:tcBorders>
            <w:tcW w:w="293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二级养护标准</w:t>
            </w:r>
            <w:r/>
          </w:p>
        </w:tc>
        <w:tc>
          <w:tcPr>
            <w:tcBorders>
              <w:top w:val="single" w:color="auto" w:sz="4" w:space="0"/>
              <w:left w:val="single" w:color="auto" w:sz="4" w:space="0"/>
              <w:bottom w:val="single" w:color="auto" w:sz="4" w:space="0"/>
              <w:right w:val="single" w:color="auto" w:sz="4" w:space="0"/>
            </w:tcBorders>
            <w:tcW w:w="3103"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基本养护标准</w:t>
            </w:r>
            <w:r/>
          </w:p>
        </w:tc>
      </w:tr>
      <w:tr>
        <w:trPr>
          <w:trHeight w:val="4929"/>
        </w:trPr>
        <w:tc>
          <w:tcPr>
            <w:tcBorders>
              <w:top w:val="single" w:color="auto" w:sz="4" w:space="0"/>
              <w:left w:val="single" w:color="auto" w:sz="4" w:space="0"/>
              <w:bottom w:val="single" w:color="auto" w:sz="4" w:space="0"/>
              <w:right w:val="single" w:color="auto" w:sz="4" w:space="0"/>
            </w:tcBorders>
            <w:tcW w:w="698"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2871" w:type="dxa"/>
            <w:vAlign w:val="center"/>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1.植株生长旺盛，枝叶健壮，分布均匀，造型美观。</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2.无枯枝残叶，树枝分布均匀，疏密度合宜，整形修剪与环境要求协调。</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3.无明显病虫危害迹象。</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4.观花植物按时茂盛开花，观果植物正常结果。</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5.植株下无杂草、杂物。</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6.枝叶上无钉挂物和晾晒物。</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7.每年在休眠期施有机肥（基肥）一次：花前花后各施追肥一次。</w:t>
            </w:r>
            <w:r/>
          </w:p>
        </w:tc>
        <w:tc>
          <w:tcPr>
            <w:gridSpan w:val="2"/>
            <w:tcBorders>
              <w:top w:val="single" w:color="auto" w:sz="4" w:space="0"/>
              <w:left w:val="single" w:color="auto" w:sz="4" w:space="0"/>
              <w:bottom w:val="single" w:color="auto" w:sz="4" w:space="0"/>
              <w:right w:val="single" w:color="auto" w:sz="4" w:space="0"/>
            </w:tcBorders>
            <w:tcW w:w="2930" w:type="dxa"/>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1.植株生长旺盛，枝叶健壮，分布均匀，造型美观。</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2.无枯枝残叶，树枝分布均匀，疏密度合宜，整形修剪与环境要求协调。</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3.无明显病虫危害迹象。</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4.观花植物按时茂盛开花，观果植物正常结果。</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5.植株下无杂草、杂物。</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6.枝叶上无钉挂物和晾晒物。</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7.每年在休眠期施有机肥（基肥）一次：花前花后各施追肥-一次。</w:t>
            </w:r>
            <w:r/>
          </w:p>
        </w:tc>
        <w:tc>
          <w:tcPr>
            <w:tcBorders>
              <w:top w:val="single" w:color="auto" w:sz="4" w:space="0"/>
              <w:left w:val="single" w:color="auto" w:sz="4" w:space="0"/>
              <w:bottom w:val="single" w:color="auto" w:sz="4" w:space="0"/>
              <w:right w:val="single" w:color="auto" w:sz="4" w:space="0"/>
            </w:tcBorders>
            <w:tcW w:w="3103" w:type="dxa"/>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1.植株生长正常。</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2.无明显枯枝残叶，树枝分布均匀，疏密度合宜，整形修剪与环境要求协调。</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3.无明显病虫危害迹象。</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4.观花观果植株基本能开花结果。</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5.植株下无明显影响景观的杂草。</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6.枝叶上无明显钉挂物和晾晒物。</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7.每二年在休眠期施有机肥（基肥）--一次。</w:t>
            </w:r>
            <w:r/>
          </w:p>
        </w:tc>
      </w:tr>
      <w:tr>
        <w:trPr/>
        <w:tc>
          <w:tcPr>
            <w:tcBorders>
              <w:top w:val="single" w:color="auto" w:sz="4" w:space="0"/>
              <w:left w:val="single" w:color="auto" w:sz="4" w:space="0"/>
              <w:bottom w:val="single" w:color="auto" w:sz="4" w:space="0"/>
              <w:right w:val="single" w:color="auto" w:sz="4" w:space="0"/>
            </w:tcBorders>
            <w:tcW w:w="698" w:type="dxa"/>
            <w:vAlign w:val="center"/>
            <w:vMerge w:val="restart"/>
            <w:textDirection w:val="lrTb"/>
            <w:noWrap/>
          </w:tcPr>
          <w:p>
            <w:pPr>
              <w:jc w:val="left"/>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3.4绿篱、球类、色块植物养护质量标准</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2871"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一级养护标准</w:t>
            </w:r>
            <w:r/>
          </w:p>
        </w:tc>
        <w:tc>
          <w:tcPr>
            <w:gridSpan w:val="2"/>
            <w:tcBorders>
              <w:top w:val="single" w:color="auto" w:sz="4" w:space="0"/>
              <w:left w:val="single" w:color="auto" w:sz="4" w:space="0"/>
              <w:bottom w:val="single" w:color="auto" w:sz="4" w:space="0"/>
              <w:right w:val="single" w:color="auto" w:sz="4" w:space="0"/>
            </w:tcBorders>
            <w:tcW w:w="293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二级养护标准</w:t>
            </w:r>
            <w:r/>
          </w:p>
        </w:tc>
        <w:tc>
          <w:tcPr>
            <w:tcBorders>
              <w:top w:val="single" w:color="auto" w:sz="4" w:space="0"/>
              <w:left w:val="single" w:color="auto" w:sz="4" w:space="0"/>
              <w:bottom w:val="single" w:color="auto" w:sz="4" w:space="0"/>
              <w:right w:val="single" w:color="auto" w:sz="4" w:space="0"/>
            </w:tcBorders>
            <w:tcW w:w="3103"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基本养护标准</w:t>
            </w:r>
            <w:r/>
          </w:p>
        </w:tc>
      </w:tr>
      <w:tr>
        <w:trPr>
          <w:trHeight w:val="5125"/>
        </w:trPr>
        <w:tc>
          <w:tcPr>
            <w:tcBorders>
              <w:top w:val="single" w:color="auto" w:sz="4" w:space="0"/>
              <w:left w:val="single" w:color="auto" w:sz="4" w:space="0"/>
              <w:bottom w:val="single" w:color="auto" w:sz="4" w:space="0"/>
              <w:right w:val="single" w:color="auto" w:sz="4" w:space="0"/>
            </w:tcBorders>
            <w:tcW w:w="698"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2871" w:type="dxa"/>
            <w:vAlign w:val="center"/>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1.枝条茂密，生长健壮。</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2.修剪成型，层次分明，面平边齐，线条流畅，曲线处弧度圆润丰满。</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3.观花植物按时茂盛开花，观果植物正常结</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4.无死株、缺株、断档现象。</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5.无枯枝、断枝、枯叶，无脱脚现象。</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6.无明显病虫危害迹象；</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7.基部无杂草、杂物。</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8.枝叶表面及球面、篱面无悬挂物、晾晒物。</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9.与草坪交界处切边整齐，宽度小于15cm。</w:t>
            </w:r>
            <w:r/>
          </w:p>
        </w:tc>
        <w:tc>
          <w:tcPr>
            <w:gridSpan w:val="2"/>
            <w:tcBorders>
              <w:top w:val="single" w:color="auto" w:sz="4" w:space="0"/>
              <w:left w:val="single" w:color="auto" w:sz="4" w:space="0"/>
              <w:bottom w:val="single" w:color="auto" w:sz="4" w:space="0"/>
              <w:right w:val="single" w:color="auto" w:sz="4" w:space="0"/>
            </w:tcBorders>
            <w:tcW w:w="2930" w:type="dxa"/>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1.枝条基本郁闭，生长良好。</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2.修剪成型，层次分明，线条流畅，萌条长度不超过10cm。</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3.观花观果植株正常开花结果。</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4.无死株，缺株、断档率不超过5%。</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5.基本无脱脚现象。</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6.无明显病虫危害迹象。</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7.基部无明显杂草、杂物。</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8.枝叶表面及球面、篱面无悬挂物、晾晒物。</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9.与草坪交界处切边基本整齐，宽度小于15cm。</w:t>
            </w:r>
            <w:r/>
          </w:p>
        </w:tc>
        <w:tc>
          <w:tcPr>
            <w:tcBorders>
              <w:top w:val="single" w:color="auto" w:sz="4" w:space="0"/>
              <w:left w:val="single" w:color="auto" w:sz="4" w:space="0"/>
              <w:bottom w:val="single" w:color="auto" w:sz="4" w:space="0"/>
              <w:right w:val="single" w:color="auto" w:sz="4" w:space="0"/>
            </w:tcBorders>
            <w:tcW w:w="3103" w:type="dxa"/>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1.生长正常。</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2.修剪基本成型，萌条长度不超过15cm。</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3.观花观果植株基本能开花结果。</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4.无死株，缺株、断档率不超过10%。</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5.病虫株不超过10%。</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6.基部无明显影响景观的杂草、杂物。</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7.枝叶表面及球面、篱面无悬挂物、晾晒物。</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8.与草坪交界处切边基本整齐，宽度小于15cm。</w:t>
            </w:r>
            <w:r/>
          </w:p>
        </w:tc>
      </w:tr>
      <w:tr>
        <w:trPr/>
        <w:tc>
          <w:tcPr>
            <w:tcBorders>
              <w:top w:val="single" w:color="auto" w:sz="4" w:space="0"/>
              <w:left w:val="single" w:color="auto" w:sz="4" w:space="0"/>
              <w:bottom w:val="single" w:color="auto" w:sz="4" w:space="0"/>
              <w:right w:val="single" w:color="auto" w:sz="4" w:space="0"/>
            </w:tcBorders>
            <w:tcW w:w="698" w:type="dxa"/>
            <w:vAlign w:val="center"/>
            <w:vMerge w:val="restart"/>
            <w:textDirection w:val="lrTb"/>
            <w:noWrap/>
          </w:tcPr>
          <w:p>
            <w:pPr>
              <w:jc w:val="left"/>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3.5草坪养护质量标准</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2871"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一级养护标准</w:t>
            </w:r>
            <w:r/>
          </w:p>
        </w:tc>
        <w:tc>
          <w:tcPr>
            <w:gridSpan w:val="2"/>
            <w:tcBorders>
              <w:top w:val="single" w:color="auto" w:sz="4" w:space="0"/>
              <w:left w:val="single" w:color="auto" w:sz="4" w:space="0"/>
              <w:bottom w:val="single" w:color="auto" w:sz="4" w:space="0"/>
              <w:right w:val="single" w:color="auto" w:sz="4" w:space="0"/>
            </w:tcBorders>
            <w:tcW w:w="293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二级养护标准</w:t>
            </w:r>
            <w:r/>
          </w:p>
        </w:tc>
        <w:tc>
          <w:tcPr>
            <w:tcBorders>
              <w:top w:val="single" w:color="auto" w:sz="4" w:space="0"/>
              <w:left w:val="single" w:color="auto" w:sz="4" w:space="0"/>
              <w:bottom w:val="single" w:color="auto" w:sz="4" w:space="0"/>
              <w:right w:val="single" w:color="auto" w:sz="4" w:space="0"/>
            </w:tcBorders>
            <w:tcW w:w="3103"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基本养护标准</w:t>
            </w:r>
            <w:r/>
          </w:p>
        </w:tc>
      </w:tr>
      <w:tr>
        <w:trPr/>
        <w:tc>
          <w:tcPr>
            <w:tcBorders>
              <w:top w:val="single" w:color="auto" w:sz="4" w:space="0"/>
              <w:left w:val="single" w:color="auto" w:sz="4" w:space="0"/>
              <w:bottom w:val="single" w:color="auto" w:sz="4" w:space="0"/>
              <w:right w:val="single" w:color="auto" w:sz="4" w:space="0"/>
            </w:tcBorders>
            <w:tcW w:w="698"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2871" w:type="dxa"/>
            <w:vAlign w:val="center"/>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1.草坪生长健壮，覆盖率达98%以上，生长期无枯黄现象。</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2.草坪内无低洼积水处，无明显裸露地。</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3.推剪平整，冷季型草高不超过7cm，暖季型草高不超过5cm，修剪后剪口无撕裂现象。</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4.草坪外边缘及树坛、花坛、花境、片植篱边缘切边清晰整齐，宽度小于15cm。</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5.草坪基本无病虫危害状，病虫受害率控制在5%以下。</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6.草坪上无修剪残留草屑、杂物，基本无杂草，无乱停乱放现象。</w:t>
            </w:r>
            <w:r/>
          </w:p>
        </w:tc>
        <w:tc>
          <w:tcPr>
            <w:gridSpan w:val="2"/>
            <w:tcBorders>
              <w:top w:val="single" w:color="auto" w:sz="4" w:space="0"/>
              <w:left w:val="single" w:color="auto" w:sz="4" w:space="0"/>
              <w:bottom w:val="single" w:color="auto" w:sz="4" w:space="0"/>
              <w:right w:val="single" w:color="auto" w:sz="4" w:space="0"/>
            </w:tcBorders>
            <w:tcW w:w="2930" w:type="dxa"/>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1.草坪生长正常，覆盖率95%以上，生长期枯黄面积不超过2%。</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2.草坪内无明显低洼积水处，裸露地不超过5%。</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3.推剪平整，冷季型草高不超过8cm，暖季型草高不超过6cm，修剪后剪口基本无撕裂现象。</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4.草坪外边缘及树坛、花坛、花境、片植篱边缘切边基本清晰整齐，宽度小于15cm。</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5.草坪无明显病虫危害现象（危害率不超过5%）。</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6.草坪上无草屑、杂物，无乱停乱放现象，杂草量少于5%。</w:t>
            </w:r>
            <w:r/>
          </w:p>
        </w:tc>
        <w:tc>
          <w:tcPr>
            <w:tcBorders>
              <w:top w:val="single" w:color="auto" w:sz="4" w:space="0"/>
              <w:left w:val="single" w:color="auto" w:sz="4" w:space="0"/>
              <w:bottom w:val="single" w:color="auto" w:sz="4" w:space="0"/>
              <w:right w:val="single" w:color="auto" w:sz="4" w:space="0"/>
            </w:tcBorders>
            <w:tcW w:w="3103" w:type="dxa"/>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1.草坪正常生长，覆盖率85%以上，生长期枯黄面积不超过10%。</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2.低洼积水处、裸露地不超过10%。</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3.推剪较平整，冷季型草高不超过9cm，暖季型草高不超过7cm，修剪后剪口无明显撕裂现象。</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4.草坪边缘较清晰。</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5.草坪病虫害危害现象不超过10%。</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6.草坪无明显杂物，无乱停乱放现象，杂草量少于10%。</w:t>
            </w:r>
            <w:r/>
          </w:p>
        </w:tc>
      </w:tr>
      <w:tr>
        <w:trPr/>
        <w:tc>
          <w:tcPr>
            <w:tcBorders>
              <w:top w:val="single" w:color="auto" w:sz="4" w:space="0"/>
              <w:left w:val="single" w:color="auto" w:sz="4" w:space="0"/>
              <w:bottom w:val="single" w:color="auto" w:sz="4" w:space="0"/>
              <w:right w:val="single" w:color="auto" w:sz="4" w:space="0"/>
            </w:tcBorders>
            <w:tcW w:w="698" w:type="dxa"/>
            <w:vAlign w:val="center"/>
            <w:vMerge w:val="restart"/>
            <w:textDirection w:val="lrTb"/>
            <w:noWrap/>
          </w:tcPr>
          <w:p>
            <w:pPr>
              <w:jc w:val="left"/>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3.6地被植物养护质量标准</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2871"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一级养护标准</w:t>
            </w:r>
            <w:r/>
          </w:p>
        </w:tc>
        <w:tc>
          <w:tcPr>
            <w:gridSpan w:val="2"/>
            <w:tcBorders>
              <w:top w:val="single" w:color="auto" w:sz="4" w:space="0"/>
              <w:left w:val="single" w:color="auto" w:sz="4" w:space="0"/>
              <w:bottom w:val="single" w:color="auto" w:sz="4" w:space="0"/>
              <w:right w:val="single" w:color="auto" w:sz="4" w:space="0"/>
            </w:tcBorders>
            <w:tcW w:w="293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二级养护标准</w:t>
            </w:r>
            <w:r/>
          </w:p>
        </w:tc>
        <w:tc>
          <w:tcPr>
            <w:tcBorders>
              <w:top w:val="single" w:color="auto" w:sz="4" w:space="0"/>
              <w:left w:val="single" w:color="auto" w:sz="4" w:space="0"/>
              <w:bottom w:val="single" w:color="auto" w:sz="4" w:space="0"/>
              <w:right w:val="single" w:color="auto" w:sz="4" w:space="0"/>
            </w:tcBorders>
            <w:tcW w:w="3103"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基本养护标准</w:t>
            </w:r>
            <w:r/>
          </w:p>
        </w:tc>
      </w:tr>
      <w:tr>
        <w:trPr/>
        <w:tc>
          <w:tcPr>
            <w:tcBorders>
              <w:top w:val="single" w:color="auto" w:sz="4" w:space="0"/>
              <w:left w:val="single" w:color="auto" w:sz="4" w:space="0"/>
              <w:bottom w:val="single" w:color="auto" w:sz="4" w:space="0"/>
              <w:right w:val="single" w:color="auto" w:sz="4" w:space="0"/>
            </w:tcBorders>
            <w:tcW w:w="698"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2871" w:type="dxa"/>
            <w:vAlign w:val="center"/>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1.植物生长茂盛，观花植物按时茂盛开花，观果植物正常结果。</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2.片植地被密度适宜，分布均匀，规格整齐，覆盖率大于95%。</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3.无残花、枯叶、死株、缺株，基本无病虫危害现象。</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4.无杂草、杂物。</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5.和草坪交界处切边清晰整齐，宽度小于15cm。</w:t>
            </w:r>
            <w:r/>
          </w:p>
        </w:tc>
        <w:tc>
          <w:tcPr>
            <w:gridSpan w:val="2"/>
            <w:tcBorders>
              <w:top w:val="single" w:color="auto" w:sz="4" w:space="0"/>
              <w:left w:val="single" w:color="auto" w:sz="4" w:space="0"/>
              <w:bottom w:val="single" w:color="auto" w:sz="4" w:space="0"/>
              <w:right w:val="single" w:color="auto" w:sz="4" w:space="0"/>
            </w:tcBorders>
            <w:tcW w:w="2930" w:type="dxa"/>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1.植物生长茂盛，观花植物按时茂盛开花，观果植物正常结果。</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2.片植地被密度适宜，分布均匀，规格整齐，覆盖率大于95%。</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3.无残花、枯叶、死株、缺株，基本无病虫危害现象。</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4.无杂草、杂物。</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5.和草坪交界处切边清晰整齐，宽度小于15cm。</w:t>
            </w:r>
            <w:r/>
          </w:p>
        </w:tc>
        <w:tc>
          <w:tcPr>
            <w:tcBorders>
              <w:top w:val="single" w:color="auto" w:sz="4" w:space="0"/>
              <w:left w:val="single" w:color="auto" w:sz="4" w:space="0"/>
              <w:bottom w:val="single" w:color="auto" w:sz="4" w:space="0"/>
              <w:right w:val="single" w:color="auto" w:sz="4" w:space="0"/>
            </w:tcBorders>
            <w:tcW w:w="3103" w:type="dxa"/>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1.植物生长良好，观花观果植株基本能开花结果。</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2.片植地被密度较适宜，分布较均匀，覆盖率大于85%。</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3.残花、枯叶不超过10%，死株、缺株不超过5%，病虫害危害现象不超过20%。</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4.无明显影响景观的杂草、杂物。</w:t>
            </w:r>
            <w:r/>
          </w:p>
        </w:tc>
      </w:tr>
      <w:tr>
        <w:trPr/>
        <w:tc>
          <w:tcPr>
            <w:tcBorders>
              <w:top w:val="single" w:color="auto" w:sz="4" w:space="0"/>
              <w:left w:val="single" w:color="auto" w:sz="4" w:space="0"/>
              <w:bottom w:val="single" w:color="auto" w:sz="4" w:space="0"/>
              <w:right w:val="single" w:color="auto" w:sz="4" w:space="0"/>
            </w:tcBorders>
            <w:tcW w:w="698" w:type="dxa"/>
            <w:vAlign w:val="center"/>
            <w:vMerge w:val="restart"/>
            <w:textDirection w:val="lrTb"/>
            <w:noWrap/>
          </w:tcPr>
          <w:p>
            <w:pPr>
              <w:jc w:val="left"/>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3.7花坛和自然式花群养护质量标准（专指草本）</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2871"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一级养护标准</w:t>
            </w:r>
            <w:r/>
          </w:p>
        </w:tc>
        <w:tc>
          <w:tcPr>
            <w:gridSpan w:val="2"/>
            <w:tcBorders>
              <w:top w:val="single" w:color="auto" w:sz="4" w:space="0"/>
              <w:left w:val="single" w:color="auto" w:sz="4" w:space="0"/>
              <w:bottom w:val="single" w:color="auto" w:sz="4" w:space="0"/>
              <w:right w:val="single" w:color="auto" w:sz="4" w:space="0"/>
            </w:tcBorders>
            <w:tcW w:w="293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二级养护标准</w:t>
            </w:r>
            <w:r/>
          </w:p>
        </w:tc>
        <w:tc>
          <w:tcPr>
            <w:tcBorders>
              <w:top w:val="single" w:color="auto" w:sz="4" w:space="0"/>
              <w:left w:val="single" w:color="auto" w:sz="4" w:space="0"/>
              <w:bottom w:val="single" w:color="auto" w:sz="4" w:space="0"/>
              <w:right w:val="single" w:color="auto" w:sz="4" w:space="0"/>
            </w:tcBorders>
            <w:tcW w:w="3103"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基本养护标准</w:t>
            </w:r>
            <w:r/>
          </w:p>
        </w:tc>
      </w:tr>
      <w:tr>
        <w:trPr/>
        <w:tc>
          <w:tcPr>
            <w:tcBorders>
              <w:top w:val="single" w:color="auto" w:sz="4" w:space="0"/>
              <w:left w:val="single" w:color="auto" w:sz="4" w:space="0"/>
              <w:bottom w:val="single" w:color="auto" w:sz="4" w:space="0"/>
              <w:right w:val="single" w:color="auto" w:sz="4" w:space="0"/>
            </w:tcBorders>
            <w:tcW w:w="698"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2871" w:type="dxa"/>
            <w:vAlign w:val="center"/>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1.按设计要求有全年用花计划，保持全年四季有花，无黄土裸露现象。</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2.同一品种花卉，规格一致，花期整齐，图案美观，整体景观效果好。</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3.植株生长健壮，蓬径饱满。</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4.无病虫危害迹象。</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5.花坛内土壤肥沃疏松，无杂草、杂物。</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6.无死株、缺株、残花败叶。</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7.部分品种或全部品种植株衰败时，应及时换花。</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8.围栏设施完好无损，和谐美观。</w:t>
            </w:r>
            <w:r/>
          </w:p>
        </w:tc>
        <w:tc>
          <w:tcPr>
            <w:gridSpan w:val="2"/>
            <w:tcBorders>
              <w:top w:val="single" w:color="auto" w:sz="4" w:space="0"/>
              <w:left w:val="single" w:color="auto" w:sz="4" w:space="0"/>
              <w:bottom w:val="single" w:color="auto" w:sz="4" w:space="0"/>
              <w:right w:val="single" w:color="auto" w:sz="4" w:space="0"/>
            </w:tcBorders>
            <w:tcW w:w="2930" w:type="dxa"/>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1.按设计要求有全年用花计划，保持全年四季有花，无黄土裸露现象。</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2.同一品种花卉，规格一致，花期整齐，图案美观，整体景观效果好。</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3.植株生长健壮，蓬径饱满。</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4.无病虫危害迹象。</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5.花坛内土壤肥沃疏松，无杂草、杂物。</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6.无死株、缺株、残花败叶。</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7.部分品种或全部品种植株衰败时，应及时换花。</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8.围栏设施完好无损，和谐美观。</w:t>
            </w:r>
            <w:r/>
          </w:p>
        </w:tc>
        <w:tc>
          <w:tcPr>
            <w:tcBorders>
              <w:top w:val="single" w:color="auto" w:sz="4" w:space="0"/>
              <w:left w:val="single" w:color="auto" w:sz="4" w:space="0"/>
              <w:bottom w:val="single" w:color="auto" w:sz="4" w:space="0"/>
              <w:right w:val="single" w:color="auto" w:sz="4" w:space="0"/>
            </w:tcBorders>
            <w:tcW w:w="3103" w:type="dxa"/>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1.花卉搭配合理，有整体效果。</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2.植株生长正常。</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3.无明显病虫危害迹象（危害率不超过5%）。</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4.花群内无明显影响景观的杂物、杂草。</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5.无死株，无明显残花败叶。</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6.围栏设施完好无损。</w:t>
            </w:r>
            <w:r/>
          </w:p>
        </w:tc>
      </w:tr>
      <w:tr>
        <w:trPr/>
        <w:tc>
          <w:tcPr>
            <w:tcBorders>
              <w:top w:val="single" w:color="auto" w:sz="4" w:space="0"/>
              <w:left w:val="single" w:color="auto" w:sz="4" w:space="0"/>
              <w:bottom w:val="single" w:color="auto" w:sz="4" w:space="0"/>
              <w:right w:val="single" w:color="auto" w:sz="4" w:space="0"/>
            </w:tcBorders>
            <w:tcW w:w="698" w:type="dxa"/>
            <w:vAlign w:val="center"/>
            <w:vMerge w:val="restart"/>
            <w:textDirection w:val="lrTb"/>
            <w:noWrap/>
          </w:tcPr>
          <w:p>
            <w:pPr>
              <w:jc w:val="left"/>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3.8花境养护质量标准</w:t>
            </w:r>
            <w:r/>
          </w:p>
          <w:p>
            <w:pPr>
              <w:jc w:val="center"/>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r>
            <w:r/>
          </w:p>
        </w:tc>
        <w:tc>
          <w:tcPr>
            <w:gridSpan w:val="2"/>
            <w:tcBorders>
              <w:top w:val="single" w:color="auto" w:sz="4" w:space="0"/>
              <w:left w:val="single" w:color="auto" w:sz="4" w:space="0"/>
              <w:bottom w:val="single" w:color="auto" w:sz="4" w:space="0"/>
              <w:right w:val="single" w:color="auto" w:sz="4" w:space="0"/>
            </w:tcBorders>
            <w:tcW w:w="3967" w:type="dxa"/>
            <w:vAlign w:val="center"/>
            <w:textDirection w:val="lrTb"/>
            <w:noWrap/>
          </w:tcPr>
          <w:p>
            <w:pPr>
              <w:jc w:val="center"/>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一级养护标准</w:t>
            </w:r>
            <w:r/>
          </w:p>
        </w:tc>
        <w:tc>
          <w:tcPr>
            <w:gridSpan w:val="2"/>
            <w:tcBorders>
              <w:top w:val="single" w:color="auto" w:sz="4" w:space="0"/>
              <w:left w:val="single" w:color="auto" w:sz="4" w:space="0"/>
              <w:bottom w:val="single" w:color="auto" w:sz="4" w:space="0"/>
              <w:right w:val="single" w:color="auto" w:sz="4" w:space="0"/>
            </w:tcBorders>
            <w:tcW w:w="4937" w:type="dxa"/>
            <w:vAlign w:val="center"/>
            <w:textDirection w:val="lrTb"/>
            <w:noWrap/>
          </w:tcPr>
          <w:p>
            <w:pPr>
              <w:jc w:val="center"/>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基本养护标准</w:t>
            </w:r>
            <w:r/>
          </w:p>
        </w:tc>
      </w:tr>
      <w:tr>
        <w:trPr/>
        <w:tc>
          <w:tcPr>
            <w:tcBorders>
              <w:top w:val="single" w:color="auto" w:sz="4" w:space="0"/>
              <w:left w:val="single" w:color="auto" w:sz="4" w:space="0"/>
              <w:bottom w:val="single" w:color="auto" w:sz="4" w:space="0"/>
              <w:right w:val="single" w:color="auto" w:sz="4" w:space="0"/>
            </w:tcBorders>
            <w:tcW w:w="698"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Borders>
              <w:top w:val="single" w:color="auto" w:sz="4" w:space="0"/>
              <w:left w:val="single" w:color="auto" w:sz="4" w:space="0"/>
              <w:bottom w:val="single" w:color="auto" w:sz="4" w:space="0"/>
              <w:right w:val="single" w:color="auto" w:sz="4" w:space="0"/>
            </w:tcBorders>
            <w:tcW w:w="3967" w:type="dxa"/>
            <w:vAlign w:val="center"/>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1.植株生长健壮，组团结构和</w:t>
            </w:r>
            <w:r>
              <w:rPr>
                <w:rFonts w:hint="eastAsia" w:ascii="宋体" w:hAnsi="宋体" w:eastAsia="宋体" w:cs="宋体"/>
                <w:color w:val="auto"/>
                <w:sz w:val="21"/>
                <w:szCs w:val="21"/>
                <w:highlight w:val="none"/>
              </w:rPr>
              <w:t xml:space="preserve">整</w:t>
            </w:r>
            <w:r>
              <w:rPr>
                <w:rFonts w:hint="eastAsia" w:ascii="宋体" w:hAnsi="宋体" w:eastAsia="宋体" w:cs="宋体"/>
                <w:color w:val="auto"/>
                <w:sz w:val="21"/>
                <w:szCs w:val="21"/>
                <w:highlight w:val="none"/>
                <w:lang w:val="zh-CN"/>
              </w:rPr>
              <w:t xml:space="preserve">体效果好，高低错落有序。</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2.观花植物适时开花，保持春、夏、秋三季有花，开花不断，此起落，季相变化明显。</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3.花卉色彩鲜艳，观赏期长。</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4.无病虫危害迹象。</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5.土壤肥沃疏松，无杂草、杂物残花败叶。</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6.无死株、缺株。</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7.和草坪交界处切边清晰整齐宽度小于15cm。</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8.围栏砌体完好无损，和谐美观。</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9.一、二年生草花及时换花。</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10.及时整形修剪、更新、换植。</w:t>
            </w:r>
            <w:r/>
          </w:p>
        </w:tc>
        <w:tc>
          <w:tcPr>
            <w:gridSpan w:val="2"/>
            <w:tcBorders>
              <w:top w:val="single" w:color="auto" w:sz="4" w:space="0"/>
              <w:left w:val="single" w:color="auto" w:sz="4" w:space="0"/>
              <w:bottom w:val="single" w:color="auto" w:sz="4" w:space="0"/>
              <w:right w:val="single" w:color="auto" w:sz="4" w:space="0"/>
            </w:tcBorders>
            <w:tcW w:w="4937" w:type="dxa"/>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1.植株生长健壮，组团结构和群体效果好，高低错落有序。</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2.观花植物能正常开花，季相变化明显。</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3.花卉色彩鲜艳，观赏期长。</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4.基本无病虫危害迹象（危害率超过5%）。</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5.无明显杂草、杂物、残花败叶。</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6.无死株，缺株率不超过10%。</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7.和草坪交界处边缘清晰。</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8.围栏砌体完好无损。</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9.及时整形修剪、更新、换植。</w:t>
            </w:r>
            <w:r/>
          </w:p>
        </w:tc>
      </w:tr>
      <w:tr>
        <w:trPr/>
        <w:tc>
          <w:tcPr>
            <w:tcBorders>
              <w:top w:val="single" w:color="auto" w:sz="4" w:space="0"/>
              <w:left w:val="single" w:color="auto" w:sz="4" w:space="0"/>
              <w:bottom w:val="single" w:color="auto" w:sz="4" w:space="0"/>
              <w:right w:val="single" w:color="auto" w:sz="4" w:space="0"/>
            </w:tcBorders>
            <w:tcW w:w="698" w:type="dxa"/>
            <w:vAlign w:val="center"/>
            <w:vMerge w:val="restart"/>
            <w:textDirection w:val="lrTb"/>
            <w:noWrap/>
          </w:tcPr>
          <w:p>
            <w:pPr>
              <w:jc w:val="left"/>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3.9垂直绿化植物养护质量标准</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Borders>
              <w:top w:val="single" w:color="auto" w:sz="4" w:space="0"/>
              <w:left w:val="single" w:color="auto" w:sz="4" w:space="0"/>
              <w:bottom w:val="single" w:color="auto" w:sz="4" w:space="0"/>
              <w:right w:val="single" w:color="auto" w:sz="4" w:space="0"/>
            </w:tcBorders>
            <w:tcW w:w="3967"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一级养护标准</w:t>
            </w:r>
            <w:r/>
          </w:p>
        </w:tc>
        <w:tc>
          <w:tcPr>
            <w:gridSpan w:val="2"/>
            <w:tcBorders>
              <w:top w:val="single" w:color="auto" w:sz="4" w:space="0"/>
              <w:left w:val="single" w:color="auto" w:sz="4" w:space="0"/>
              <w:bottom w:val="single" w:color="auto" w:sz="4" w:space="0"/>
              <w:right w:val="single" w:color="auto" w:sz="4" w:space="0"/>
            </w:tcBorders>
            <w:tcW w:w="4937"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基本养护标准</w:t>
            </w:r>
            <w:r/>
          </w:p>
        </w:tc>
      </w:tr>
      <w:tr>
        <w:trPr/>
        <w:tc>
          <w:tcPr>
            <w:tcBorders>
              <w:top w:val="single" w:color="auto" w:sz="4" w:space="0"/>
              <w:left w:val="single" w:color="auto" w:sz="4" w:space="0"/>
              <w:bottom w:val="single" w:color="auto" w:sz="4" w:space="0"/>
              <w:right w:val="single" w:color="auto" w:sz="4" w:space="0"/>
            </w:tcBorders>
            <w:tcW w:w="698"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Borders>
              <w:top w:val="single" w:color="auto" w:sz="4" w:space="0"/>
              <w:left w:val="single" w:color="auto" w:sz="4" w:space="0"/>
              <w:bottom w:val="single" w:color="auto" w:sz="4" w:space="0"/>
              <w:right w:val="single" w:color="auto" w:sz="4" w:space="0"/>
            </w:tcBorders>
            <w:tcW w:w="3967" w:type="dxa"/>
            <w:vAlign w:val="center"/>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1.根据不同植物的攀援特点，采取牵引措施或设置网架等辅助设施，以助植物均匀覆盖攀爬物面。</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2.植物生长健壮，藤蔓枝叶茂盛。</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3.植物枝叶分布均匀，无枯枝残叶。</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4.无病虫危害迹象。</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5.无影响景观和妨碍交通的枝。</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6.攀援覆盖面无缠挂物。</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7.植株栽植池内无杂草、杂物。</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8.设施安全、完好无损。</w:t>
            </w:r>
            <w:r/>
          </w:p>
        </w:tc>
        <w:tc>
          <w:tcPr>
            <w:gridSpan w:val="2"/>
            <w:tcBorders>
              <w:top w:val="single" w:color="auto" w:sz="4" w:space="0"/>
              <w:left w:val="single" w:color="auto" w:sz="4" w:space="0"/>
              <w:bottom w:val="single" w:color="auto" w:sz="4" w:space="0"/>
              <w:right w:val="single" w:color="auto" w:sz="4" w:space="0"/>
            </w:tcBorders>
            <w:tcW w:w="4937" w:type="dxa"/>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1.根据不同植物的攀援特点，采取牵引措施或设置网架等辅助设施，助植物均匀覆盖攀爬物面。</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2.植物生长良好，较整齐。</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3.无明显枯枝残叶。</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4.无明显病虫害危害现象。</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5.基本无影响景观和妨碍交通的枝条。</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6.攀援覆盖面无明显缠挂物。</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7.植株栽植池内无明显杂草、杂物。</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8.设施安全、完好无损。</w:t>
            </w:r>
            <w:r/>
          </w:p>
        </w:tc>
      </w:tr>
      <w:tr>
        <w:trPr/>
        <w:tc>
          <w:tcPr>
            <w:tcBorders>
              <w:top w:val="single" w:color="auto" w:sz="4" w:space="0"/>
              <w:left w:val="single" w:color="auto" w:sz="4" w:space="0"/>
              <w:bottom w:val="single" w:color="auto" w:sz="4" w:space="0"/>
              <w:right w:val="single" w:color="auto" w:sz="4" w:space="0"/>
            </w:tcBorders>
            <w:tcW w:w="698" w:type="dxa"/>
            <w:vAlign w:val="center"/>
            <w:vMerge w:val="restart"/>
            <w:textDirection w:val="lrTb"/>
            <w:noWrap/>
          </w:tcPr>
          <w:p>
            <w:pPr>
              <w:jc w:val="left"/>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3.10水生植物养护质量标准</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Borders>
              <w:top w:val="single" w:color="auto" w:sz="4" w:space="0"/>
              <w:left w:val="single" w:color="auto" w:sz="4" w:space="0"/>
              <w:bottom w:val="single" w:color="auto" w:sz="4" w:space="0"/>
              <w:right w:val="single" w:color="auto" w:sz="4" w:space="0"/>
            </w:tcBorders>
            <w:tcW w:w="3967"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一级养护标准</w:t>
            </w:r>
            <w:r/>
          </w:p>
        </w:tc>
        <w:tc>
          <w:tcPr>
            <w:gridSpan w:val="2"/>
            <w:tcBorders>
              <w:top w:val="single" w:color="auto" w:sz="4" w:space="0"/>
              <w:left w:val="single" w:color="auto" w:sz="4" w:space="0"/>
              <w:bottom w:val="single" w:color="auto" w:sz="4" w:space="0"/>
              <w:right w:val="single" w:color="auto" w:sz="4" w:space="0"/>
            </w:tcBorders>
            <w:tcW w:w="4937"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基本养护标准</w:t>
            </w:r>
            <w:r/>
          </w:p>
        </w:tc>
      </w:tr>
      <w:tr>
        <w:trPr/>
        <w:tc>
          <w:tcPr>
            <w:tcBorders>
              <w:top w:val="single" w:color="auto" w:sz="4" w:space="0"/>
              <w:left w:val="single" w:color="auto" w:sz="4" w:space="0"/>
              <w:bottom w:val="single" w:color="auto" w:sz="4" w:space="0"/>
              <w:right w:val="single" w:color="auto" w:sz="4" w:space="0"/>
            </w:tcBorders>
            <w:tcW w:w="698"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Borders>
              <w:top w:val="single" w:color="auto" w:sz="4" w:space="0"/>
              <w:left w:val="single" w:color="auto" w:sz="4" w:space="0"/>
              <w:bottom w:val="single" w:color="auto" w:sz="4" w:space="0"/>
              <w:right w:val="single" w:color="auto" w:sz="4" w:space="0"/>
            </w:tcBorders>
            <w:tcW w:w="3967" w:type="dxa"/>
            <w:vAlign w:val="center"/>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1.配置合理，景观优美。</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2.植株完整生长健壮，形态特征明显。</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3.观花观叶期长，观花观果植株花繁果茂。</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4.水质清澈，pH值保持6.5-8.5。透明度M≥1.0。</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5.植株无病虫危害。</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6.专人管理，定期定时清理漂浮物，水面无杂物。</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7.驳岸安全稳固，设施完好无缺损。</w:t>
            </w:r>
            <w:r/>
          </w:p>
        </w:tc>
        <w:tc>
          <w:tcPr>
            <w:gridSpan w:val="2"/>
            <w:tcBorders>
              <w:top w:val="single" w:color="auto" w:sz="4" w:space="0"/>
              <w:left w:val="single" w:color="auto" w:sz="4" w:space="0"/>
              <w:bottom w:val="single" w:color="auto" w:sz="4" w:space="0"/>
              <w:right w:val="single" w:color="auto" w:sz="4" w:space="0"/>
            </w:tcBorders>
            <w:tcW w:w="4937" w:type="dxa"/>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1.配置合理，景观优美。</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2.植株生长健壮。</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3.观花观叶期长，观花观果植株按期开花结果。</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4.水质清澈无异臭，pH值保持在6.5-8.5。透明度M≥0.5。</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5.无明显病虫危害迹象。</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6.种植池内无杂物、漂浮物。</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7.驳岸安全稳固，无缺损。</w:t>
            </w:r>
            <w:r/>
          </w:p>
        </w:tc>
      </w:tr>
      <w:tr>
        <w:trPr/>
        <w:tc>
          <w:tcPr>
            <w:tcBorders>
              <w:top w:val="single" w:color="auto" w:sz="4" w:space="0"/>
              <w:left w:val="single" w:color="auto" w:sz="4" w:space="0"/>
              <w:bottom w:val="single" w:color="auto" w:sz="4" w:space="0"/>
              <w:right w:val="single" w:color="auto" w:sz="4" w:space="0"/>
            </w:tcBorders>
            <w:tcW w:w="698" w:type="dxa"/>
            <w:vAlign w:val="center"/>
            <w:vMerge w:val="restart"/>
            <w:textDirection w:val="lrTb"/>
            <w:noWrap/>
          </w:tcPr>
          <w:p>
            <w:pPr>
              <w:jc w:val="left"/>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3.11竹类植物养护质量标准</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Borders>
              <w:top w:val="single" w:color="auto" w:sz="4" w:space="0"/>
              <w:left w:val="single" w:color="auto" w:sz="4" w:space="0"/>
              <w:bottom w:val="single" w:color="auto" w:sz="4" w:space="0"/>
              <w:right w:val="single" w:color="auto" w:sz="4" w:space="0"/>
            </w:tcBorders>
            <w:tcW w:w="3967" w:type="dxa"/>
            <w:vAlign w:val="center"/>
            <w:textDirection w:val="lrTb"/>
            <w:noWrap/>
          </w:tcPr>
          <w:p>
            <w:pPr>
              <w:jc w:val="center"/>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一级养护标准</w:t>
            </w:r>
            <w:r/>
          </w:p>
        </w:tc>
        <w:tc>
          <w:tcPr>
            <w:gridSpan w:val="2"/>
            <w:tcBorders>
              <w:top w:val="single" w:color="auto" w:sz="4" w:space="0"/>
              <w:left w:val="single" w:color="auto" w:sz="4" w:space="0"/>
              <w:bottom w:val="single" w:color="auto" w:sz="4" w:space="0"/>
              <w:right w:val="single" w:color="auto" w:sz="4" w:space="0"/>
            </w:tcBorders>
            <w:tcW w:w="4937" w:type="dxa"/>
            <w:vAlign w:val="center"/>
            <w:textDirection w:val="lrTb"/>
            <w:noWrap/>
          </w:tcPr>
          <w:p>
            <w:pPr>
              <w:jc w:val="center"/>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基本养护标准</w:t>
            </w:r>
            <w:r/>
          </w:p>
        </w:tc>
      </w:tr>
      <w:tr>
        <w:trPr>
          <w:trHeight w:val="2636"/>
        </w:trPr>
        <w:tc>
          <w:tcPr>
            <w:tcBorders>
              <w:top w:val="single" w:color="auto" w:sz="4" w:space="0"/>
              <w:left w:val="single" w:color="auto" w:sz="4" w:space="0"/>
              <w:bottom w:val="single" w:color="auto" w:sz="4" w:space="0"/>
              <w:right w:val="single" w:color="auto" w:sz="4" w:space="0"/>
            </w:tcBorders>
            <w:tcW w:w="698"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Borders>
              <w:top w:val="single" w:color="auto" w:sz="4" w:space="0"/>
              <w:left w:val="single" w:color="auto" w:sz="4" w:space="0"/>
              <w:bottom w:val="single" w:color="auto" w:sz="4" w:space="0"/>
              <w:right w:val="single" w:color="auto" w:sz="4" w:space="0"/>
            </w:tcBorders>
            <w:tcW w:w="3967" w:type="dxa"/>
            <w:vAlign w:val="center"/>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1.竹丛通风透光，植株生长健壮，竹竿挺拔，枝叶青翠。</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2.新、老竹生长比例恰当，竹鞭无裸露。</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3.无病虫危害迹象。</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4.无死竹和枯竹。</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5.无杂草、杂物。</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6.竹林排水良好，无积水。</w:t>
            </w:r>
            <w:r/>
          </w:p>
        </w:tc>
        <w:tc>
          <w:tcPr>
            <w:gridSpan w:val="2"/>
            <w:tcBorders>
              <w:top w:val="single" w:color="auto" w:sz="4" w:space="0"/>
              <w:left w:val="single" w:color="auto" w:sz="4" w:space="0"/>
              <w:bottom w:val="single" w:color="auto" w:sz="4" w:space="0"/>
              <w:right w:val="single" w:color="auto" w:sz="4" w:space="0"/>
            </w:tcBorders>
            <w:tcW w:w="4937" w:type="dxa"/>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1.竹丛通风透光，植株生长健壮。</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2.新、老竹生长比例基本恰当。</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3.无明显病虫危害迹象，危害率小于10%。</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4.基本无死竹和枯竹。</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5.无明显影响景观的杂草、杂物。</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6.竹林排水良好，无积水。</w:t>
            </w:r>
            <w:r/>
          </w:p>
        </w:tc>
      </w:tr>
      <w:tr>
        <w:trPr/>
        <w:tc>
          <w:tcPr>
            <w:tcBorders>
              <w:top w:val="single" w:color="auto" w:sz="4" w:space="0"/>
              <w:left w:val="single" w:color="auto" w:sz="4" w:space="0"/>
              <w:bottom w:val="single" w:color="auto" w:sz="4" w:space="0"/>
              <w:right w:val="single" w:color="auto" w:sz="4" w:space="0"/>
            </w:tcBorders>
            <w:tcW w:w="698" w:type="dxa"/>
            <w:vAlign w:val="center"/>
            <w:vMerge w:val="restart"/>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3.12盆、钵、箱体植物养护质量标准</w:t>
            </w:r>
            <w:r/>
          </w:p>
        </w:tc>
        <w:tc>
          <w:tcPr>
            <w:gridSpan w:val="2"/>
            <w:tcBorders>
              <w:top w:val="single" w:color="auto" w:sz="4" w:space="0"/>
              <w:left w:val="single" w:color="auto" w:sz="4" w:space="0"/>
              <w:bottom w:val="single" w:color="auto" w:sz="4" w:space="0"/>
              <w:right w:val="single" w:color="auto" w:sz="4" w:space="0"/>
            </w:tcBorders>
            <w:tcW w:w="3967"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一级养护标准</w:t>
            </w:r>
            <w:r/>
          </w:p>
        </w:tc>
        <w:tc>
          <w:tcPr>
            <w:gridSpan w:val="2"/>
            <w:tcBorders>
              <w:top w:val="single" w:color="auto" w:sz="4" w:space="0"/>
              <w:left w:val="single" w:color="auto" w:sz="4" w:space="0"/>
              <w:bottom w:val="single" w:color="auto" w:sz="4" w:space="0"/>
              <w:right w:val="single" w:color="auto" w:sz="4" w:space="0"/>
            </w:tcBorders>
            <w:tcW w:w="4937"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基本养护标准</w:t>
            </w:r>
            <w:r/>
          </w:p>
        </w:tc>
      </w:tr>
      <w:tr>
        <w:trPr>
          <w:trHeight w:val="4994"/>
        </w:trPr>
        <w:tc>
          <w:tcPr>
            <w:tcBorders>
              <w:top w:val="single" w:color="auto" w:sz="4" w:space="0"/>
              <w:left w:val="single" w:color="auto" w:sz="4" w:space="0"/>
              <w:bottom w:val="single" w:color="auto" w:sz="4" w:space="0"/>
              <w:right w:val="single" w:color="auto" w:sz="4" w:space="0"/>
            </w:tcBorders>
            <w:tcW w:w="698"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Borders>
              <w:top w:val="single" w:color="auto" w:sz="4" w:space="0"/>
              <w:left w:val="single" w:color="auto" w:sz="4" w:space="0"/>
              <w:bottom w:val="single" w:color="auto" w:sz="4" w:space="0"/>
              <w:right w:val="single" w:color="auto" w:sz="4" w:space="0"/>
            </w:tcBorders>
            <w:tcW w:w="3967" w:type="dxa"/>
            <w:vAlign w:val="center"/>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1.植株生长旺盛，枝叶健壮，分布均匀，造型美观。</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2.无枯枝残叶、交叉枝、徒长枝、并生枝、萌蘖枝。</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3.无病虫危害迹象。</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4.观花植物按时茂盛开花，观果植物正常结果。</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5.植株下和容器内无杂草、杂物，叶面清洁。</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6.容器完整清洁，容器外形、规格、色彩与植物要协调。</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7.排水要通畅。</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8.花钵中换花及时，全年四季有花，花开不断。</w:t>
            </w:r>
            <w:r/>
          </w:p>
        </w:tc>
        <w:tc>
          <w:tcPr>
            <w:gridSpan w:val="2"/>
            <w:tcBorders>
              <w:top w:val="single" w:color="auto" w:sz="4" w:space="0"/>
              <w:left w:val="single" w:color="auto" w:sz="4" w:space="0"/>
              <w:bottom w:val="single" w:color="auto" w:sz="4" w:space="0"/>
              <w:right w:val="single" w:color="auto" w:sz="4" w:space="0"/>
            </w:tcBorders>
            <w:tcW w:w="4937" w:type="dxa"/>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1.植株生长正常，分布均匀。</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2.无枯枝残叶、萌蘖枝。</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3.无明显病虫危害迹象。危害率控制在5%以下。</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4.观花观果植物能正常开花结果。</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5.植株下和容器内无明显杂草、杂物。</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6.容器完整清洁，容器外形、规格、色彩与植物基本协调。</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7.排水要通畅。</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8.花钵中保证重大节日有花。</w:t>
            </w:r>
            <w:r/>
          </w:p>
        </w:tc>
      </w:tr>
      <w:tr>
        <w:trPr/>
        <w:tc>
          <w:tcPr>
            <w:tcBorders>
              <w:top w:val="single" w:color="auto" w:sz="4" w:space="0"/>
              <w:left w:val="single" w:color="auto" w:sz="4" w:space="0"/>
              <w:bottom w:val="single" w:color="auto" w:sz="4" w:space="0"/>
              <w:right w:val="single" w:color="auto" w:sz="4" w:space="0"/>
            </w:tcBorders>
            <w:tcW w:w="698" w:type="dxa"/>
            <w:vAlign w:val="center"/>
            <w:vMerge w:val="restart"/>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3.13设施维护质量标准</w:t>
            </w:r>
            <w:r/>
          </w:p>
        </w:tc>
        <w:tc>
          <w:tcPr>
            <w:gridSpan w:val="2"/>
            <w:tcBorders>
              <w:top w:val="single" w:color="auto" w:sz="4" w:space="0"/>
              <w:left w:val="single" w:color="auto" w:sz="4" w:space="0"/>
              <w:bottom w:val="single" w:color="auto" w:sz="4" w:space="0"/>
              <w:right w:val="single" w:color="auto" w:sz="4" w:space="0"/>
            </w:tcBorders>
            <w:tcW w:w="3967" w:type="dxa"/>
            <w:vAlign w:val="center"/>
            <w:textDirection w:val="lrTb"/>
            <w:noWrap/>
          </w:tcPr>
          <w:p>
            <w:pPr>
              <w:jc w:val="center"/>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一级维护标准</w:t>
            </w:r>
            <w:r/>
          </w:p>
        </w:tc>
        <w:tc>
          <w:tcPr>
            <w:gridSpan w:val="2"/>
            <w:tcBorders>
              <w:top w:val="single" w:color="auto" w:sz="4" w:space="0"/>
              <w:left w:val="single" w:color="auto" w:sz="4" w:space="0"/>
              <w:bottom w:val="single" w:color="auto" w:sz="4" w:space="0"/>
              <w:right w:val="single" w:color="auto" w:sz="4" w:space="0"/>
            </w:tcBorders>
            <w:tcW w:w="4937" w:type="dxa"/>
            <w:vAlign w:val="center"/>
            <w:textDirection w:val="lrTb"/>
            <w:noWrap/>
          </w:tcPr>
          <w:p>
            <w:pPr>
              <w:jc w:val="center"/>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基本维护标准</w:t>
            </w:r>
            <w:r/>
          </w:p>
        </w:tc>
      </w:tr>
      <w:tr>
        <w:trPr>
          <w:trHeight w:val="8187"/>
        </w:trPr>
        <w:tc>
          <w:tcPr>
            <w:tcBorders>
              <w:top w:val="single" w:color="auto" w:sz="4" w:space="0"/>
              <w:left w:val="single" w:color="auto" w:sz="4" w:space="0"/>
              <w:bottom w:val="single" w:color="auto" w:sz="4" w:space="0"/>
              <w:right w:val="single" w:color="auto" w:sz="4" w:space="0"/>
            </w:tcBorders>
            <w:tcW w:w="698"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Borders>
              <w:top w:val="single" w:color="auto" w:sz="4" w:space="0"/>
              <w:left w:val="single" w:color="auto" w:sz="4" w:space="0"/>
              <w:bottom w:val="single" w:color="auto" w:sz="4" w:space="0"/>
              <w:right w:val="single" w:color="auto" w:sz="4" w:space="0"/>
            </w:tcBorders>
            <w:tcW w:w="3967" w:type="dxa"/>
            <w:vAlign w:val="center"/>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1.园林建筑、构筑物、雕塑、喷泉、厕所、围栏、护网、建筑小品以及路灯等基础设施完好，美观清洁，安全无隐患。</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2.园路、铺装地面平整，无破损、无积水：金属构件设施无锈斑、油漆剥落现象。无障碍设施完好通畅。</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3.供水、排水、喷灌等管网设施维护良好，使用便捷。窨井、进水口、给水口等设施完整无损，无安全隐患，清洁、通畅。防汛、消防等设备完好充足，保证应急使用要求。</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4.供电、照明设施完好无损，各类管线保持完整、安全无隐患。</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5.假山置石完整美观、安全稳固；</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不适于攀爬的叠石必须有醒目标志和防护设施。</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6.栏杆、桌椅、垃圾桶、井盖和指示牌、告示牌、宣传牌整洁美观，设置合理、醒目、完善、规范。</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7.游艺和体育健身器械等设施完整、清洁、安全，满足使用要求，随时进行安全检测，确保无故障运行。</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8.停车场地平整清洁，设施完好，车位标志明显清晰规范。</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9、文物的保护和管理应符合《中华人民共和国文物保护法》的规定。</w:t>
            </w:r>
            <w:r/>
          </w:p>
        </w:tc>
        <w:tc>
          <w:tcPr>
            <w:gridSpan w:val="2"/>
            <w:tcBorders>
              <w:top w:val="single" w:color="auto" w:sz="4" w:space="0"/>
              <w:left w:val="single" w:color="auto" w:sz="4" w:space="0"/>
              <w:bottom w:val="single" w:color="auto" w:sz="4" w:space="0"/>
              <w:right w:val="single" w:color="auto" w:sz="4" w:space="0"/>
            </w:tcBorders>
            <w:tcW w:w="4937" w:type="dxa"/>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1.园林建筑、构筑物、雕塑、喷泉、厕所、围栏、护网、建筑小品以及路灯等基础设施维护良好，美观清洁，安全无隐患。</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2.园路、铺装地面平整，无明显破损、无积水：金属构件设施无明显锈斑、油漆剥落现象。无障碍设施必须保持完好通畅。</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3.供水、排水、喷灌等管网设施维护良好，满足使用要求。窨井、进水口、给水口等设施完整无损。防汛、消防等设备完好，保证应急使用。</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4.供电、照明设施正常运转，各类管线保持完整、安全无隐患。</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5.假山置石完整美观、安全稳固：不适于攀爬的叠石必须有醒目标志和防护设施。</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6.栏杆、桌椅、垃圾桶、井盖和指示牌、告示牌、宣传牌整洁美观，设置合理、醒目、规范。</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7.游艺和体育健身器械等设施保持完整、清洁、安全，满足使用要求，定期。进行安全检测，不得带故障运行。</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8.停车场地平整清洁，车位有明显标志。</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9.文物的保护和管理应符合《中华人民共和国文物保护法》的规定。</w:t>
            </w:r>
            <w:r/>
          </w:p>
        </w:tc>
      </w:tr>
      <w:tr>
        <w:trPr/>
        <w:tc>
          <w:tcPr>
            <w:tcBorders>
              <w:top w:val="single" w:color="auto" w:sz="4" w:space="0"/>
              <w:left w:val="single" w:color="auto" w:sz="4" w:space="0"/>
              <w:bottom w:val="single" w:color="auto" w:sz="4" w:space="0"/>
              <w:right w:val="single" w:color="auto" w:sz="4" w:space="0"/>
            </w:tcBorders>
            <w:tcW w:w="698" w:type="dxa"/>
            <w:vAlign w:val="center"/>
            <w:vMerge w:val="restart"/>
            <w:textDirection w:val="lrTb"/>
            <w:noWrap/>
          </w:tcPr>
          <w:p>
            <w:pPr>
              <w:jc w:val="left"/>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3.14卫生保洁质量标准</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Borders>
              <w:top w:val="single" w:color="auto" w:sz="4" w:space="0"/>
              <w:left w:val="single" w:color="auto" w:sz="4" w:space="0"/>
              <w:bottom w:val="single" w:color="auto" w:sz="4" w:space="0"/>
              <w:right w:val="single" w:color="auto" w:sz="4" w:space="0"/>
            </w:tcBorders>
            <w:tcW w:w="3967"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一级养护标准</w:t>
            </w:r>
            <w:r/>
          </w:p>
        </w:tc>
        <w:tc>
          <w:tcPr>
            <w:gridSpan w:val="2"/>
            <w:tcBorders>
              <w:top w:val="single" w:color="auto" w:sz="4" w:space="0"/>
              <w:left w:val="single" w:color="auto" w:sz="4" w:space="0"/>
              <w:bottom w:val="single" w:color="auto" w:sz="4" w:space="0"/>
              <w:right w:val="single" w:color="auto" w:sz="4" w:space="0"/>
            </w:tcBorders>
            <w:tcW w:w="4937"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基本养护标准</w:t>
            </w:r>
            <w:r/>
          </w:p>
        </w:tc>
      </w:tr>
      <w:tr>
        <w:trPr/>
        <w:tc>
          <w:tcPr>
            <w:tcBorders>
              <w:top w:val="single" w:color="auto" w:sz="4" w:space="0"/>
              <w:left w:val="single" w:color="auto" w:sz="4" w:space="0"/>
              <w:bottom w:val="single" w:color="auto" w:sz="4" w:space="0"/>
              <w:right w:val="single" w:color="auto" w:sz="4" w:space="0"/>
            </w:tcBorders>
            <w:tcW w:w="698"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Borders>
              <w:top w:val="single" w:color="auto" w:sz="4" w:space="0"/>
              <w:left w:val="single" w:color="auto" w:sz="4" w:space="0"/>
              <w:bottom w:val="single" w:color="auto" w:sz="4" w:space="0"/>
              <w:right w:val="single" w:color="auto" w:sz="4" w:space="0"/>
            </w:tcBorders>
            <w:tcW w:w="3967" w:type="dxa"/>
            <w:vAlign w:val="center"/>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1.环境整洁，实行全天候保洁：水面无漂浮杂物、无异味，水体清洁无污染。</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2.垃圾箱及垃圾堆场外观清洁，无沉积垃圾，无卫生死角，垃圾日产日清，严禁焚烧垃圾和枯枝落叶。</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3.作业废弃物（如树枝、树叶、草屑等）、水面清理的杂物，随产随清。</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4.园林建筑小品保持整洁美观，定期清洗。</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5.厕所内外清洁卫生，全天保洁，无尿垢，无臭味，无蚊蝇，无污水外溢。</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6.园林机具摆放隐蔽，位置合理。</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7.及时清除或覆盖非法小广告。</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8.工作人员统</w:t>
            </w:r>
            <w:r>
              <w:rPr>
                <w:rFonts w:hint="eastAsia" w:ascii="宋体" w:hAnsi="宋体" w:eastAsia="宋体" w:cs="宋体"/>
                <w:color w:val="auto"/>
                <w:sz w:val="21"/>
                <w:szCs w:val="21"/>
                <w:highlight w:val="none"/>
              </w:rPr>
              <w:t xml:space="preserve">一</w:t>
            </w:r>
            <w:r>
              <w:rPr>
                <w:rFonts w:hint="eastAsia" w:ascii="宋体" w:hAnsi="宋体" w:eastAsia="宋体" w:cs="宋体"/>
                <w:color w:val="auto"/>
                <w:sz w:val="21"/>
                <w:szCs w:val="21"/>
                <w:highlight w:val="none"/>
                <w:lang w:val="zh-CN"/>
              </w:rPr>
              <w:t xml:space="preserve">着装，挂牌上岗。</w:t>
            </w:r>
            <w:r/>
          </w:p>
        </w:tc>
        <w:tc>
          <w:tcPr>
            <w:gridSpan w:val="2"/>
            <w:tcBorders>
              <w:top w:val="single" w:color="auto" w:sz="4" w:space="0"/>
              <w:left w:val="single" w:color="auto" w:sz="4" w:space="0"/>
              <w:bottom w:val="single" w:color="auto" w:sz="4" w:space="0"/>
              <w:right w:val="single" w:color="auto" w:sz="4" w:space="0"/>
            </w:tcBorders>
            <w:tcW w:w="4937" w:type="dxa"/>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1.环境整洁，无杂物，实行定时保洁，水面无漂浮杂物、无异味，水体无污染。</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2.垃圾箱及垃圾堆场外观清洁，沉积垃圾，无卫生死角，垃圾日产日清，严禁焚烧垃圾和枯枝落叶。</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3.作业废弃物（如树枝、树叶、草屑等）、水面清理的杂物，日产日清。</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4.园林建筑小品保持整洁，定期清洗。</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5.厕所内外清洁卫生，定期保洁，无尿垢，无臭味，无蚊蝇，无污水外溢。</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6.园林机具摆放隐蔽。</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7.定期清除或覆盖非法小广告。</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8.工作人员统一着装，挂牌上岗。</w:t>
            </w:r>
            <w:r/>
          </w:p>
        </w:tc>
      </w:tr>
      <w:tr>
        <w:trPr/>
        <w:tc>
          <w:tcPr>
            <w:tcBorders>
              <w:top w:val="single" w:color="auto" w:sz="4" w:space="0"/>
              <w:left w:val="single" w:color="auto" w:sz="4" w:space="0"/>
              <w:bottom w:val="single" w:color="auto" w:sz="4" w:space="0"/>
              <w:right w:val="single" w:color="auto" w:sz="4" w:space="0"/>
            </w:tcBorders>
            <w:tcW w:w="698" w:type="dxa"/>
            <w:vAlign w:val="center"/>
            <w:vMerge w:val="restart"/>
            <w:textDirection w:val="lrTb"/>
            <w:noWrap/>
          </w:tcPr>
          <w:p>
            <w:pPr>
              <w:jc w:val="left"/>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3.15绿地保护质量标准</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Borders>
              <w:top w:val="single" w:color="auto" w:sz="4" w:space="0"/>
              <w:left w:val="single" w:color="auto" w:sz="4" w:space="0"/>
              <w:bottom w:val="single" w:color="auto" w:sz="4" w:space="0"/>
              <w:right w:val="single" w:color="auto" w:sz="4" w:space="0"/>
            </w:tcBorders>
            <w:tcW w:w="3967"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一级管护标准</w:t>
            </w:r>
            <w:r/>
          </w:p>
        </w:tc>
        <w:tc>
          <w:tcPr>
            <w:gridSpan w:val="2"/>
            <w:tcBorders>
              <w:top w:val="single" w:color="auto" w:sz="4" w:space="0"/>
              <w:left w:val="single" w:color="auto" w:sz="4" w:space="0"/>
              <w:bottom w:val="single" w:color="auto" w:sz="4" w:space="0"/>
              <w:right w:val="single" w:color="auto" w:sz="4" w:space="0"/>
            </w:tcBorders>
            <w:tcW w:w="4937"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基本管护标准</w:t>
            </w:r>
            <w:r/>
          </w:p>
        </w:tc>
      </w:tr>
      <w:tr>
        <w:trPr>
          <w:trHeight w:val="5120"/>
        </w:trPr>
        <w:tc>
          <w:tcPr>
            <w:tcBorders>
              <w:top w:val="single" w:color="auto" w:sz="4" w:space="0"/>
              <w:left w:val="single" w:color="auto" w:sz="4" w:space="0"/>
              <w:bottom w:val="single" w:color="auto" w:sz="4" w:space="0"/>
              <w:right w:val="single" w:color="auto" w:sz="4" w:space="0"/>
            </w:tcBorders>
            <w:tcW w:w="698"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Borders>
              <w:top w:val="single" w:color="auto" w:sz="4" w:space="0"/>
              <w:left w:val="single" w:color="auto" w:sz="4" w:space="0"/>
              <w:bottom w:val="single" w:color="auto" w:sz="4" w:space="0"/>
              <w:right w:val="single" w:color="auto" w:sz="4" w:space="0"/>
            </w:tcBorders>
            <w:tcW w:w="3967" w:type="dxa"/>
            <w:vAlign w:val="center"/>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1.绿地范围内无违章建筑，无废弃的设施，无违规设置的广告、标牌，绿地，保护完好。</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2.绿地内无堆物、堆料、搭棚，无摆摊设点，车辆摆放有序，无乱停乱放现象。</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3.园林建筑、雕塑、栏杆、桌椅、指示牌等园林设施上无刻画：植物上无贴挂标语、晾晒衣物，无影响植物生长的亮化设施。</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4.绿地中无种菜、放养家禽宠物等。</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5.绿地占用必须持有审批手续，无非法侵占绿地行为；经审批同意占用的，要全过程跟踪，严格控制施工作业面：经批准临时占用的绿地，做到按时收回，并监督恢复。</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6.绿地每天进行巡查。广场实施全天候24小时安保。</w:t>
            </w:r>
            <w:r/>
          </w:p>
        </w:tc>
        <w:tc>
          <w:tcPr>
            <w:gridSpan w:val="2"/>
            <w:tcBorders>
              <w:top w:val="single" w:color="auto" w:sz="4" w:space="0"/>
              <w:left w:val="single" w:color="auto" w:sz="4" w:space="0"/>
              <w:bottom w:val="single" w:color="auto" w:sz="4" w:space="0"/>
              <w:right w:val="single" w:color="auto" w:sz="4" w:space="0"/>
            </w:tcBorders>
            <w:tcW w:w="4937" w:type="dxa"/>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1.绿地范围内无违章建筑，无废弃的设施，无违规设置的广告、标牌，绿地基本保护完好。</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2.绿地内无明显堆物、堆料、搭棚，无摆摊设点，无车辆乱停乱放现象。</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3.园林建筑、雕塑、栏杆、桌椅、指示牌等园林设施上刻画定期得到清理；植物。上无贴挂标语、晾晒衣物。</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4.绿地中无种菜、放养家禽宠物等。</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5.绿地占用必须持有审批手续，无非法侵占绿地行为：经审批同意占用的，要全过程跟踪，严格控制施工作业面；经批准临时占用的绿地，做到按时收回，并监督恢复。</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6.绿地每天定期进行安保巡查。广场二班实施安保。</w:t>
            </w:r>
            <w:r/>
          </w:p>
        </w:tc>
      </w:tr>
      <w:tr>
        <w:trPr/>
        <w:tc>
          <w:tcPr>
            <w:tcBorders>
              <w:top w:val="single" w:color="auto" w:sz="4" w:space="0"/>
              <w:left w:val="single" w:color="auto" w:sz="4" w:space="0"/>
              <w:bottom w:val="single" w:color="auto" w:sz="4" w:space="0"/>
              <w:right w:val="single" w:color="auto" w:sz="4" w:space="0"/>
            </w:tcBorders>
            <w:tcW w:w="698" w:type="dxa"/>
            <w:vAlign w:val="center"/>
            <w:vMerge w:val="restart"/>
            <w:textDirection w:val="lrTb"/>
            <w:noWrap/>
          </w:tcPr>
          <w:p>
            <w:pPr>
              <w:jc w:val="left"/>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3.16古树名木养护质量标准</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4"/>
            <w:tcBorders>
              <w:top w:val="single" w:color="auto" w:sz="4" w:space="0"/>
              <w:left w:val="single" w:color="auto" w:sz="4" w:space="0"/>
              <w:bottom w:val="single" w:color="auto" w:sz="4" w:space="0"/>
              <w:right w:val="single" w:color="auto" w:sz="4" w:space="0"/>
            </w:tcBorders>
            <w:tcW w:w="8904"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养护质量标准</w:t>
            </w:r>
            <w:r/>
          </w:p>
        </w:tc>
      </w:tr>
      <w:tr>
        <w:trPr>
          <w:trHeight w:val="3787"/>
        </w:trPr>
        <w:tc>
          <w:tcPr>
            <w:tcBorders>
              <w:top w:val="single" w:color="auto" w:sz="4" w:space="0"/>
              <w:left w:val="single" w:color="auto" w:sz="4" w:space="0"/>
              <w:bottom w:val="single" w:color="auto" w:sz="4" w:space="0"/>
              <w:right w:val="single" w:color="auto" w:sz="4" w:space="0"/>
            </w:tcBorders>
            <w:tcW w:w="698"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4"/>
            <w:tcBorders>
              <w:top w:val="single" w:color="auto" w:sz="4" w:space="0"/>
              <w:left w:val="single" w:color="auto" w:sz="4" w:space="0"/>
              <w:bottom w:val="single" w:color="auto" w:sz="4" w:space="0"/>
              <w:right w:val="single" w:color="auto" w:sz="4" w:space="0"/>
            </w:tcBorders>
            <w:tcW w:w="8904" w:type="dxa"/>
            <w:vAlign w:val="center"/>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1.保持植株的自然形态和面貌，具有较好的景观效果。</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2.植株的保护性支撑物和棚架支撑必须与植株协调。</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3.植株无病枝、枯枝、腐烂枝和多余的萌蘖枝。无未处理的树洞和创伤。</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4.基本无病虫害危害现象，植株上无影响生长的寄生植物。</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5.保护区内无影响植株生长的建筑物、构筑物等。地面覆盖物必须有利植株生</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长。</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6.保护区内必须排水通畅，无积水。</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7.植株必须有保护标牌，位置要明显，字迹要清晰。</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8.保护区内的设施（如围栏、驳岸、避雷针）必须完整美观、安全有效。</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9.保护区内无垃圾、杂草。</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10.建立一树一档，有动态养护记录，历史资料齐全。</w:t>
            </w:r>
            <w:r/>
          </w:p>
        </w:tc>
      </w:tr>
      <w:tr>
        <w:trPr/>
        <w:tc>
          <w:tcPr>
            <w:tcW w:w="698" w:type="dxa"/>
            <w:vAlign w:val="center"/>
            <w:vMerge w:val="restart"/>
            <w:textDirection w:val="lrTb"/>
            <w:noWrap/>
          </w:tcPr>
          <w:p>
            <w:pPr>
              <w:jc w:val="left"/>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3.1行道树的养护质量标准</w:t>
            </w:r>
            <w:r/>
          </w:p>
          <w:p>
            <w:pPr>
              <w:jc w:val="center"/>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r>
            <w:r/>
          </w:p>
        </w:tc>
        <w:tc>
          <w:tcPr>
            <w:tcW w:w="2871" w:type="dxa"/>
            <w:vAlign w:val="center"/>
            <w:textDirection w:val="lrTb"/>
            <w:noWrap/>
          </w:tcPr>
          <w:p>
            <w:pPr>
              <w:jc w:val="center"/>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一级养护标准</w:t>
            </w:r>
            <w:r/>
          </w:p>
        </w:tc>
        <w:tc>
          <w:tcPr>
            <w:gridSpan w:val="2"/>
            <w:tcW w:w="2930" w:type="dxa"/>
            <w:vAlign w:val="center"/>
            <w:textDirection w:val="lrTb"/>
            <w:noWrap/>
          </w:tcPr>
          <w:p>
            <w:pPr>
              <w:jc w:val="center"/>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二级养护标准</w:t>
            </w:r>
            <w:r/>
          </w:p>
        </w:tc>
        <w:tc>
          <w:tcPr>
            <w:tcW w:w="3103" w:type="dxa"/>
            <w:vAlign w:val="center"/>
            <w:textDirection w:val="lrTb"/>
            <w:noWrap/>
          </w:tcPr>
          <w:p>
            <w:pPr>
              <w:jc w:val="center"/>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基本养护标准</w:t>
            </w:r>
            <w:r/>
          </w:p>
        </w:tc>
      </w:tr>
      <w:tr>
        <w:trPr>
          <w:trHeight w:val="2328"/>
        </w:trPr>
        <w:tc>
          <w:tcPr>
            <w:tcW w:w="698"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871" w:type="dxa"/>
            <w:vAlign w:val="center"/>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1.树木长势茂盛，规格整</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齐，树干挺直，定干高度一致，树冠丰满。新栽树木定干高度为4.2米。</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2.无枯枝、交叉枝、过密枝、并生枝、病虫枝，主</w:t>
            </w:r>
            <w:r>
              <w:rPr>
                <w:rFonts w:hint="eastAsia" w:ascii="宋体" w:hAnsi="宋体" w:eastAsia="宋体" w:cs="宋体"/>
                <w:color w:val="auto"/>
                <w:sz w:val="21"/>
                <w:szCs w:val="21"/>
                <w:highlight w:val="none"/>
              </w:rPr>
              <w:t xml:space="preserve">干</w:t>
            </w:r>
            <w:r>
              <w:rPr>
                <w:rFonts w:hint="eastAsia" w:ascii="宋体" w:hAnsi="宋体" w:eastAsia="宋体" w:cs="宋体"/>
                <w:color w:val="auto"/>
                <w:sz w:val="21"/>
                <w:szCs w:val="21"/>
                <w:highlight w:val="none"/>
                <w:lang w:val="zh-CN"/>
              </w:rPr>
              <w:t xml:space="preserve">上无萌蘖枝：无影响交通、架空线路、路灯、建筑、行人安全的树枝。</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3.枝条修剪截面要平整，不留短桩。截面直径大于6厘米的伤口要涂防腐剂。</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4.无明显病虫危害迹象，树干无未处理的腐洞。</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5.树体无钉挂物、悬挂物。</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6.树穴设施完好，黄土不裸露，无杂草、杂物。</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7.无死株、缺株、严重倾斜株。无法修整复壮的树木及时申报更换。</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8.新栽、补栽的树木和易受害倒伏的树木应设立扶木支撑，扎缚规范有效。</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9.每年12月至次年1月上旬，树干要刷白一次，高度1.2米。</w:t>
            </w:r>
            <w:r/>
          </w:p>
          <w:p>
            <w:pPr>
              <w:jc w:val="left"/>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color w:val="auto"/>
                <w:sz w:val="21"/>
                <w:szCs w:val="21"/>
                <w:highlight w:val="none"/>
                <w:lang w:val="zh-CN"/>
              </w:rPr>
              <w:t xml:space="preserve">10.主干道建立一路一档，有动态养护记录，历史资料齐全。</w:t>
            </w:r>
            <w:r/>
          </w:p>
        </w:tc>
        <w:tc>
          <w:tcPr>
            <w:gridSpan w:val="2"/>
            <w:tcW w:w="2930" w:type="dxa"/>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1.植株长势良好，树冠完整。新栽树木定干高度为4.2米。</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2.无枯枝、过密枝、并生枝、病虫枝，主干上无明显萌蘖枝；无影响交通、架空线路、路灯、建筑、行人安全的树枝。</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3.枝条修剪截面要平整，不留短桩。截面直径大于6厘米的伤口要涂防腐剂。</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4.无明显病虫危害迹象。</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5.树体无钉挂物、悬挂物。</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6.树穴无明显黄土裸露，无杂物，基本无杂草。</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7.无死株，缺株率不超过2%。</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8.新栽、补栽的树木和易受害倒伏的树木应设立扶木支撑，扎缚完好有效。</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9.每年12月至次年1月上旬，树干要刷白一次，高度1.2米。</w:t>
            </w:r>
            <w:r/>
          </w:p>
        </w:tc>
        <w:tc>
          <w:tcPr>
            <w:tcW w:w="3103" w:type="dxa"/>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1.植株生长正常，树冠基本完整。新栽树木定干高度为4.2米。</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2.无明显枯枝，无影响交通、架空线路、路灯、建筑、行人安全等树枝。</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3.枝条修剪截面要平整，不留短桩。截面直径大于6厘米的伤口要涂防腐剂。</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4.无影响景观的病虫危害迹象。</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5.树体无明显钉挂物、悬挂物。</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6.树穴无明显杂草。</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7.无死株，缺株率不超过10%。</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8.易受害倒伏的树木应设立扶木支撑，扎缚有效。</w:t>
            </w:r>
            <w:r/>
          </w:p>
        </w:tc>
      </w:tr>
      <w:tr>
        <w:trPr/>
        <w:tc>
          <w:tcPr>
            <w:tcW w:w="698" w:type="dxa"/>
            <w:vAlign w:val="center"/>
            <w:vMerge w:val="restart"/>
            <w:textDirection w:val="lrTb"/>
            <w:noWrap/>
          </w:tcPr>
          <w:p>
            <w:pPr>
              <w:jc w:val="left"/>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3.2乔木树养护质量标准</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871"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一级养护标准</w:t>
            </w:r>
            <w:r/>
          </w:p>
        </w:tc>
        <w:tc>
          <w:tcPr>
            <w:gridSpan w:val="2"/>
            <w:tcW w:w="293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二级养护标准</w:t>
            </w:r>
            <w:r/>
          </w:p>
        </w:tc>
        <w:tc>
          <w:tcPr>
            <w:tcW w:w="3103"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基本养护标准</w:t>
            </w:r>
            <w:r/>
          </w:p>
        </w:tc>
      </w:tr>
      <w:tr>
        <w:trPr/>
        <w:tc>
          <w:tcPr>
            <w:tcW w:w="698"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871" w:type="dxa"/>
            <w:vAlign w:val="center"/>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1.树木长势茂盛，树冠完整丰满，主侧枝分布匀称。</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2.无枯枝、伤残枝、交叉枝、过密枝、徒长枝、并生枝，主</w:t>
            </w:r>
            <w:r>
              <w:rPr>
                <w:rFonts w:hint="eastAsia" w:ascii="宋体" w:hAnsi="宋体" w:eastAsia="宋体" w:cs="宋体"/>
                <w:color w:val="auto"/>
                <w:sz w:val="21"/>
                <w:szCs w:val="21"/>
                <w:highlight w:val="none"/>
              </w:rPr>
              <w:t xml:space="preserve">干</w:t>
            </w:r>
            <w:r>
              <w:rPr>
                <w:rFonts w:hint="eastAsia" w:ascii="宋体" w:hAnsi="宋体" w:eastAsia="宋体" w:cs="宋体"/>
                <w:color w:val="auto"/>
                <w:sz w:val="21"/>
                <w:szCs w:val="21"/>
                <w:highlight w:val="none"/>
                <w:lang w:val="zh-CN"/>
              </w:rPr>
              <w:t xml:space="preserve">上无萌蘖枝。</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3.无影响交通、架空线路、路灯、建筑、行人安全的树枝。</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4.枝条修剪截面要平整，不留短桩。截面直径大于6厘米的伤口要涂防腐剂。</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5.观花树木按时茂盛开花，观果树木正常结果。</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6.无明显病虫危害迹象，树干无未处理的腐洞。</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7.树体无钉挂物、悬挂物。</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8.树穴内无杂草、杂物，黄土不裸露。</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9.落叶乔木每年12月至次年1月上旬，树干要刷白一次，高度1.2米。</w:t>
            </w:r>
            <w:r/>
          </w:p>
        </w:tc>
        <w:tc>
          <w:tcPr>
            <w:gridSpan w:val="2"/>
            <w:tcW w:w="2930" w:type="dxa"/>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1.树木长势良好，树冠完整，主侧枝分布较匀称。</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2.无枯、伤残枝、徒长枝、并生枝、过密枝，主</w:t>
            </w:r>
            <w:r>
              <w:rPr>
                <w:rFonts w:hint="eastAsia" w:ascii="宋体" w:hAnsi="宋体" w:eastAsia="宋体" w:cs="宋体"/>
                <w:color w:val="auto"/>
                <w:sz w:val="21"/>
                <w:szCs w:val="21"/>
                <w:highlight w:val="none"/>
              </w:rPr>
              <w:t xml:space="preserve">干</w:t>
            </w:r>
            <w:r>
              <w:rPr>
                <w:rFonts w:hint="eastAsia" w:ascii="宋体" w:hAnsi="宋体" w:eastAsia="宋体" w:cs="宋体"/>
                <w:color w:val="auto"/>
                <w:sz w:val="21"/>
                <w:szCs w:val="21"/>
                <w:highlight w:val="none"/>
                <w:lang w:val="zh-CN"/>
              </w:rPr>
              <w:t xml:space="preserve">上基本无萌蘖枝。</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3.无影响交通、架空线路、路灯、建筑、行人安全的树枝。</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4.枝条修剪截面要平整，不留短桩。截面直径大于6厘米的伤口要涂防腐剂。</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5.观花观果植株正常开花结果。</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6.无明显病虫危害迹象。</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7.树体无钉挂物、悬挂物。</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8.树穴内无杂物，基本无影响景观的杂草。</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9.落叶乔木每年12月至次年1月上旬，树干要刷白一次，高度1.2米。</w:t>
            </w:r>
            <w:r/>
          </w:p>
        </w:tc>
        <w:tc>
          <w:tcPr>
            <w:tcW w:w="3103" w:type="dxa"/>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1.树木生长正常，树冠基本完整。</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2.无明显枯枝、残枝、并生枝。</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3.无影响交通、架空线路、路灯、建筑、行人安全的树枝。</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4.枝条修剪截面要平整，不留短桩。截面直径大于6厘米的伤口要涂防腐剂。</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5.无影响景观的病虫危害迹象。</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6.树体无明显钉挂物、悬挂物。</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7.树穴内无明显影响景观的杂草。</w:t>
            </w:r>
            <w:r/>
          </w:p>
        </w:tc>
      </w:tr>
      <w:tr>
        <w:trPr/>
        <w:tc>
          <w:tcPr>
            <w:tcW w:w="698" w:type="dxa"/>
            <w:vAlign w:val="center"/>
            <w:vMerge w:val="restart"/>
            <w:textDirection w:val="lrTb"/>
            <w:noWrap/>
          </w:tcPr>
          <w:p>
            <w:pPr>
              <w:jc w:val="left"/>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3.3花灌木（含观花观果小乔木）养护质量标准</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871"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一级养护标准</w:t>
            </w:r>
            <w:r/>
          </w:p>
        </w:tc>
        <w:tc>
          <w:tcPr>
            <w:gridSpan w:val="2"/>
            <w:tcW w:w="293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二级养护标准</w:t>
            </w:r>
            <w:r/>
          </w:p>
        </w:tc>
        <w:tc>
          <w:tcPr>
            <w:tcW w:w="3103"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基本养护标准</w:t>
            </w:r>
            <w:r/>
          </w:p>
        </w:tc>
      </w:tr>
      <w:tr>
        <w:trPr>
          <w:trHeight w:val="4929"/>
        </w:trPr>
        <w:tc>
          <w:tcPr>
            <w:tcW w:w="698"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871" w:type="dxa"/>
            <w:vAlign w:val="center"/>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1.植株生长旺盛，枝叶健壮，分布均匀，造型美观。</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2.无枯枝残叶，树枝分布均匀，疏密度合宜，整形修剪与环境要求协调。</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3.无明显病虫危害迹象。</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4.观花植物按时茂盛开花，观果植物正常结果。</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5.植株下无杂草、杂物。</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6.枝叶上无钉挂物和晾晒物。</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7.每年在休眠期施有机肥（基肥）一次：花前花后各施追肥一次。</w:t>
            </w:r>
            <w:r/>
          </w:p>
        </w:tc>
        <w:tc>
          <w:tcPr>
            <w:gridSpan w:val="2"/>
            <w:tcW w:w="2930" w:type="dxa"/>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1.植株生长旺盛，枝叶健壮，分布均匀，造型美观。</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2.无枯枝残叶，树枝分布均匀，疏密度合宜，整形修剪与环境要求协调。</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3.无明显病虫危害迹象。</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4.观花植物按时茂盛开花，观果植物正常结果。</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5.植株下无杂草、杂物。</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6.枝叶上无钉挂物和晾晒物。</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7.每年在休眠期施有机肥（基肥）一次：花前花后各施追肥-一次。</w:t>
            </w:r>
            <w:r/>
          </w:p>
        </w:tc>
        <w:tc>
          <w:tcPr>
            <w:tcW w:w="3103" w:type="dxa"/>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1.植株生长正常。</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2.无明显枯枝残叶，树枝分布均匀，疏密度合宜，整形修剪与环境要求协调。</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3.无明显病虫危害迹象。</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4.观花观果植株基本能开花结果。</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5.植株下无明显影响景观的杂草。</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6.枝叶上无明显钉挂物和晾晒物。</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7.每二年在休眠期施有机肥（基肥）--一次。</w:t>
            </w:r>
            <w:r/>
          </w:p>
        </w:tc>
      </w:tr>
      <w:tr>
        <w:trPr/>
        <w:tc>
          <w:tcPr>
            <w:tcW w:w="698" w:type="dxa"/>
            <w:vAlign w:val="center"/>
            <w:vMerge w:val="restart"/>
            <w:textDirection w:val="lrTb"/>
            <w:noWrap/>
          </w:tcPr>
          <w:p>
            <w:pPr>
              <w:jc w:val="left"/>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3.4绿篱、球类、色块植物养护质量标准</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871"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一级养护标准</w:t>
            </w:r>
            <w:r/>
          </w:p>
        </w:tc>
        <w:tc>
          <w:tcPr>
            <w:gridSpan w:val="2"/>
            <w:tcW w:w="293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二级养护标准</w:t>
            </w:r>
            <w:r/>
          </w:p>
        </w:tc>
        <w:tc>
          <w:tcPr>
            <w:tcW w:w="3103"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基本养护标准</w:t>
            </w:r>
            <w:r/>
          </w:p>
        </w:tc>
      </w:tr>
      <w:tr>
        <w:trPr>
          <w:trHeight w:val="5125"/>
        </w:trPr>
        <w:tc>
          <w:tcPr>
            <w:tcW w:w="698"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871" w:type="dxa"/>
            <w:vAlign w:val="center"/>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1.枝条茂密，生长健壮。</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2.修剪成型，层次分明，面平边齐，线条流畅，曲线处弧度圆润丰满。</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3.观花植物按时茂盛开花，观果植物正常结</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4.无死株、缺株、断档现象。</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5.无枯枝、断枝、枯叶，无脱脚现象。</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6.无明显病虫危害迹象；</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7.基部无杂草、杂物。</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8.枝叶表面及球面、篱面无悬挂物、晾晒物。</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9.与草坪交界处切边整齐，宽度小于15cm。</w:t>
            </w:r>
            <w:r/>
          </w:p>
        </w:tc>
        <w:tc>
          <w:tcPr>
            <w:gridSpan w:val="2"/>
            <w:tcW w:w="2930" w:type="dxa"/>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1.枝条基本郁闭，生长良好。</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2.修剪成型，层次分明，线条流畅，萌条长度不超过10cm。</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3.观花观果植株正常开花结果。</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4.无死株，缺株、断档率不超过5%。</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5.基本无脱脚现象。</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6.无明显病虫危害迹象。</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7.基部无明显杂草、杂物。</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8.枝叶表面及球面、篱面无悬挂物、晾晒物。</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9.与草坪交界处切边基本整齐，宽度小于15cm。</w:t>
            </w:r>
            <w:r/>
          </w:p>
        </w:tc>
        <w:tc>
          <w:tcPr>
            <w:tcW w:w="3103" w:type="dxa"/>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1.生长正常。</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2.修剪基本成型，萌条长度不超过15cm。</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3.观花观果植株基本能开花结果。</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4.无死株，缺株、断档率不超过10%。</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5.病虫株不超过10%。</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6.基部无明显影响景观的杂草、杂物。</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7.枝叶表面及球面、篱面无悬挂物、晾晒物。</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8.与草坪交界处切边基本整齐，宽度小于15cm。</w:t>
            </w:r>
            <w:r/>
          </w:p>
        </w:tc>
      </w:tr>
      <w:tr>
        <w:trPr/>
        <w:tc>
          <w:tcPr>
            <w:tcW w:w="698" w:type="dxa"/>
            <w:vAlign w:val="center"/>
            <w:vMerge w:val="restart"/>
            <w:textDirection w:val="lrTb"/>
            <w:noWrap/>
          </w:tcPr>
          <w:p>
            <w:pPr>
              <w:jc w:val="left"/>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3.5草坪养护质量标准</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871"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一级养护标准</w:t>
            </w:r>
            <w:r/>
          </w:p>
        </w:tc>
        <w:tc>
          <w:tcPr>
            <w:gridSpan w:val="2"/>
            <w:tcW w:w="293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二级养护标准</w:t>
            </w:r>
            <w:r/>
          </w:p>
        </w:tc>
        <w:tc>
          <w:tcPr>
            <w:tcW w:w="3103"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基本养护标准</w:t>
            </w:r>
            <w:r/>
          </w:p>
        </w:tc>
      </w:tr>
      <w:tr>
        <w:trPr/>
        <w:tc>
          <w:tcPr>
            <w:tcW w:w="698"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871" w:type="dxa"/>
            <w:vAlign w:val="center"/>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1.草坪生长健壮，覆盖率达98%以上，生长期无枯黄现象。</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2.草坪内无低洼积水处，无明显裸露地。</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3.推剪平整，冷季型草高不超过7cm，暖季型草高不超过5cm，修剪后剪口无撕裂现象。</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4.草坪外边缘及树坛、花坛、花境、片植篱边缘切边清晰整齐，宽度小于15cm。</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5.草坪基本无病虫危害状，病虫受害率控制在5%以下。</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6.草坪上无修剪残留草屑、杂物，基本无杂草，无乱停乱放现象。</w:t>
            </w:r>
            <w:r/>
          </w:p>
        </w:tc>
        <w:tc>
          <w:tcPr>
            <w:gridSpan w:val="2"/>
            <w:tcW w:w="2930" w:type="dxa"/>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1.草坪生长正常，覆盖率95%以上，生长期枯黄面积不超过2%。</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2.草坪内无明显低洼积水处，裸露地不超过5%。</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3.推剪平整，冷季型草高不超过8cm，暖季型草高不超过6cm，修剪后剪口基本无撕裂现象。</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4.草坪外边缘及树坛、花坛、花境、片植篱边缘切边基本清晰整齐，宽度小于15cm。</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5.草坪无明显病虫危害现象（危害率不超过5%）。</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6.草坪上无草屑、杂物，无乱停乱放现象，杂草量少于5%。</w:t>
            </w:r>
            <w:r/>
          </w:p>
        </w:tc>
        <w:tc>
          <w:tcPr>
            <w:tcW w:w="3103" w:type="dxa"/>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1.草坪正常生长，覆盖率85%以上，生长期枯黄面积不超过10%。</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2.低洼积水处、裸露地不超过10%。</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3.推剪较平整，冷季型草高不超过9cm，暖季型草高不超过7cm，修剪后剪口无明显撕裂现象。</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4.草坪边缘较清晰。</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5.草坪病虫害危害现象不超过10%。</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6.草坪无明显杂物，无乱停乱放现象，杂草量少于10%。</w:t>
            </w:r>
            <w:r/>
          </w:p>
        </w:tc>
      </w:tr>
      <w:tr>
        <w:trPr/>
        <w:tc>
          <w:tcPr>
            <w:tcW w:w="698" w:type="dxa"/>
            <w:vAlign w:val="center"/>
            <w:vMerge w:val="restart"/>
            <w:textDirection w:val="lrTb"/>
            <w:noWrap/>
          </w:tcPr>
          <w:p>
            <w:pPr>
              <w:jc w:val="left"/>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3.6地被植物养护质量标准</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871"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一级养护标准</w:t>
            </w:r>
            <w:r/>
          </w:p>
        </w:tc>
        <w:tc>
          <w:tcPr>
            <w:gridSpan w:val="2"/>
            <w:tcW w:w="293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二级养护标准</w:t>
            </w:r>
            <w:r/>
          </w:p>
        </w:tc>
        <w:tc>
          <w:tcPr>
            <w:tcW w:w="3103"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基本养护标准</w:t>
            </w:r>
            <w:r/>
          </w:p>
        </w:tc>
      </w:tr>
      <w:tr>
        <w:trPr/>
        <w:tc>
          <w:tcPr>
            <w:tcW w:w="698"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871" w:type="dxa"/>
            <w:vAlign w:val="center"/>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1.植物生长茂盛，观花植物按时茂盛开花，观果植物正常结果。</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2.片植地被密度适宜，分布均匀，规格整齐，覆盖率大于95%。</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3.无残花、枯叶、死株、缺株，基本无病虫危害现象。</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4.无杂草、杂物。</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5.和草坪交界处切边清晰整齐，宽度小于15cm。</w:t>
            </w:r>
            <w:r/>
          </w:p>
        </w:tc>
        <w:tc>
          <w:tcPr>
            <w:gridSpan w:val="2"/>
            <w:tcW w:w="2930" w:type="dxa"/>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1.植物生长茂盛，观花植物按时茂盛开花，观果植物正常结果。</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2.片植地被密度适宜，分布均匀，规格整齐，覆盖率大于95%。</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3.无残花、枯叶、死株、缺株，基本无病虫危害现象。</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4.无杂草、杂物。</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5.和草坪交界处切边清晰整齐，宽度小于15cm。</w:t>
            </w:r>
            <w:r/>
          </w:p>
        </w:tc>
        <w:tc>
          <w:tcPr>
            <w:tcW w:w="3103" w:type="dxa"/>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1.植物生长良好，观花观果植株基本能开花结果。</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2.片植地被密度较适宜，分布较均匀，覆盖率大于85%。</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3.残花、枯叶不超过10%，死株、缺株不超过5%，病虫害危害现象不超过20%。</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4.无明显影响景观的杂草、杂物。</w:t>
            </w:r>
            <w:r/>
          </w:p>
        </w:tc>
      </w:tr>
      <w:tr>
        <w:trPr/>
        <w:tc>
          <w:tcPr>
            <w:tcW w:w="698" w:type="dxa"/>
            <w:vAlign w:val="center"/>
            <w:vMerge w:val="restart"/>
            <w:textDirection w:val="lrTb"/>
            <w:noWrap/>
          </w:tcPr>
          <w:p>
            <w:pPr>
              <w:jc w:val="left"/>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3.7花坛和自然式花群养护质量标准（专指草本）</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871"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一级养护标准</w:t>
            </w:r>
            <w:r/>
          </w:p>
        </w:tc>
        <w:tc>
          <w:tcPr>
            <w:gridSpan w:val="2"/>
            <w:tcW w:w="293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二级养护标准</w:t>
            </w:r>
            <w:r/>
          </w:p>
        </w:tc>
        <w:tc>
          <w:tcPr>
            <w:tcW w:w="3103"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基本养护标准</w:t>
            </w:r>
            <w:r/>
          </w:p>
        </w:tc>
      </w:tr>
      <w:tr>
        <w:trPr/>
        <w:tc>
          <w:tcPr>
            <w:tcW w:w="698"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871" w:type="dxa"/>
            <w:vAlign w:val="center"/>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1.按设计要求有全年用花计划，保持全年四季有花，无黄土裸露现象。</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2.同一品种花卉，规格一致，花期整齐，图案美观，整体景观效果好。</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3.植株生长健壮，蓬径饱满。</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4.无病虫危害迹象。</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5.花坛内土壤肥沃疏松，无杂草、杂物。</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6.无死株、缺株、残花败叶。</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7.部分品种或全部品种植株衰败时，应及时换花。</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8.围栏设施完好无损，和谐美观。</w:t>
            </w:r>
            <w:r/>
          </w:p>
        </w:tc>
        <w:tc>
          <w:tcPr>
            <w:gridSpan w:val="2"/>
            <w:tcW w:w="2930" w:type="dxa"/>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1.按设计要求有全年用花计划，保持全年四季有花，无黄土裸露现象。</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2.同一品种花卉，规格一致，花期整齐，图案美观，整体景观效果好。</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3.植株生长健壮，蓬径饱满。</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4.无病虫危害迹象。</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5.花坛内土壤肥沃疏松，无杂草、杂物。</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6.无死株、缺株、残花败叶。</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7.部分品种或全部品种植株衰败时，应及时换花。</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8.围栏设施完好无损，和谐美观。</w:t>
            </w:r>
            <w:r/>
          </w:p>
        </w:tc>
        <w:tc>
          <w:tcPr>
            <w:tcW w:w="3103" w:type="dxa"/>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1.花卉搭配合理，有整体效果。</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2.植株生长正常。</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3.无明显病虫危害迹象（危害率不超过5%）。</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4.花群内无明显影响景观的杂物、杂草。</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5.无死株，无明显残花败叶。</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6.围栏设施完好无损。</w:t>
            </w:r>
            <w:r/>
          </w:p>
        </w:tc>
      </w:tr>
      <w:tr>
        <w:trPr/>
        <w:tc>
          <w:tcPr>
            <w:tcW w:w="698" w:type="dxa"/>
            <w:vAlign w:val="center"/>
            <w:vMerge w:val="restart"/>
            <w:textDirection w:val="lrTb"/>
            <w:noWrap/>
          </w:tcPr>
          <w:p>
            <w:pPr>
              <w:jc w:val="left"/>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3.8花境养护质量标准</w:t>
            </w:r>
            <w:r/>
          </w:p>
          <w:p>
            <w:pPr>
              <w:jc w:val="center"/>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r>
            <w:r/>
          </w:p>
        </w:tc>
        <w:tc>
          <w:tcPr>
            <w:gridSpan w:val="2"/>
            <w:tcW w:w="3967" w:type="dxa"/>
            <w:vAlign w:val="center"/>
            <w:textDirection w:val="lrTb"/>
            <w:noWrap/>
          </w:tcPr>
          <w:p>
            <w:pPr>
              <w:jc w:val="center"/>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一级养护标准</w:t>
            </w:r>
            <w:r/>
          </w:p>
        </w:tc>
        <w:tc>
          <w:tcPr>
            <w:gridSpan w:val="2"/>
            <w:tcW w:w="4937" w:type="dxa"/>
            <w:vAlign w:val="center"/>
            <w:textDirection w:val="lrTb"/>
            <w:noWrap/>
          </w:tcPr>
          <w:p>
            <w:pPr>
              <w:jc w:val="center"/>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基本养护标准</w:t>
            </w:r>
            <w:r/>
          </w:p>
        </w:tc>
      </w:tr>
      <w:tr>
        <w:trPr/>
        <w:tc>
          <w:tcPr>
            <w:tcW w:w="698"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W w:w="3967" w:type="dxa"/>
            <w:vAlign w:val="center"/>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1.植株生长健壮，组团结构和</w:t>
            </w:r>
            <w:r>
              <w:rPr>
                <w:rFonts w:hint="eastAsia" w:ascii="宋体" w:hAnsi="宋体" w:eastAsia="宋体" w:cs="宋体"/>
                <w:color w:val="auto"/>
                <w:sz w:val="21"/>
                <w:szCs w:val="21"/>
                <w:highlight w:val="none"/>
              </w:rPr>
              <w:t xml:space="preserve">整</w:t>
            </w:r>
            <w:r>
              <w:rPr>
                <w:rFonts w:hint="eastAsia" w:ascii="宋体" w:hAnsi="宋体" w:eastAsia="宋体" w:cs="宋体"/>
                <w:color w:val="auto"/>
                <w:sz w:val="21"/>
                <w:szCs w:val="21"/>
                <w:highlight w:val="none"/>
                <w:lang w:val="zh-CN"/>
              </w:rPr>
              <w:t xml:space="preserve">体效果好，高低错落有序。</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2.观花植物适时开花，保持春、夏、秋三季有花，开花不断，此起落，季相变化明显。</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3.花卉色彩鲜艳，观赏期长。</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4.无病虫危害迹象。</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5.土壤肥沃疏松，无杂草、杂物残花败叶。</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6.无死株、缺株。</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7.和草坪交界处切边清晰整齐宽度小于15cm。</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8.围栏砌体完好无损，和谐美观。</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9.一、二年生草花及时换花。</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10.及时整形修剪、更新、换植。</w:t>
            </w:r>
            <w:r/>
          </w:p>
        </w:tc>
        <w:tc>
          <w:tcPr>
            <w:gridSpan w:val="2"/>
            <w:tcW w:w="4937" w:type="dxa"/>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1.植株生长健壮，组团结构和群体效果好，高低错落有序。</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2.观花植物能正常开花，季相变化明显。</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3.花卉色彩鲜艳，观赏期长。</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4.基本无病虫危害迹象（危害率超过5%）。</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5.无明显杂草、杂物、残花败叶。</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6.无死株，缺株率不超过10%。</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7.和草坪交界处边缘清晰。</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8.围栏砌体完好无损。</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9.及时整形修剪、更新、换植。</w:t>
            </w:r>
            <w:r/>
          </w:p>
        </w:tc>
      </w:tr>
      <w:tr>
        <w:trPr/>
        <w:tc>
          <w:tcPr>
            <w:tcW w:w="698" w:type="dxa"/>
            <w:vAlign w:val="center"/>
            <w:vMerge w:val="restart"/>
            <w:textDirection w:val="lrTb"/>
            <w:noWrap/>
          </w:tcPr>
          <w:p>
            <w:pPr>
              <w:jc w:val="left"/>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3.9垂直绿化植物养护质量标准</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W w:w="3967"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一级养护标准</w:t>
            </w:r>
            <w:r/>
          </w:p>
        </w:tc>
        <w:tc>
          <w:tcPr>
            <w:gridSpan w:val="2"/>
            <w:tcW w:w="4937"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基本养护标准</w:t>
            </w:r>
            <w:r/>
          </w:p>
        </w:tc>
      </w:tr>
      <w:tr>
        <w:trPr/>
        <w:tc>
          <w:tcPr>
            <w:tcW w:w="698"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W w:w="3967" w:type="dxa"/>
            <w:vAlign w:val="center"/>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1.根据不同植物的攀援特点，采取牵引措施或设置网架等辅助设施，以助植物均匀覆盖攀爬物面。</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2.植物生长健壮，藤蔓枝叶茂盛。</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3.植物枝叶分布均匀，无枯枝残叶。</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4.无病虫危害迹象。</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5.无影响景观和妨碍交通的枝。</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6.攀援覆盖面无缠挂物。</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7.植株栽植池内无杂草、杂物。</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8.设施安全、完好无损。</w:t>
            </w:r>
            <w:r/>
          </w:p>
        </w:tc>
        <w:tc>
          <w:tcPr>
            <w:gridSpan w:val="2"/>
            <w:tcW w:w="4937" w:type="dxa"/>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1.根据不同植物的攀援特点，采取牵引措施或设置网架等辅助设施，助植物均匀覆盖攀爬物面。</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2.植物生长良好，较整齐。</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3.无明显枯枝残叶。</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4.无明显病虫害危害现象。</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5.基本无影响景观和妨碍交通的枝条。</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6.攀援覆盖面无明显缠挂物。</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7.植株栽植池内无明显杂草、杂物。</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8.设施安全、完好无损。</w:t>
            </w:r>
            <w:r/>
          </w:p>
        </w:tc>
      </w:tr>
      <w:tr>
        <w:trPr/>
        <w:tc>
          <w:tcPr>
            <w:tcW w:w="698" w:type="dxa"/>
            <w:vAlign w:val="center"/>
            <w:vMerge w:val="restart"/>
            <w:textDirection w:val="lrTb"/>
            <w:noWrap/>
          </w:tcPr>
          <w:p>
            <w:pPr>
              <w:jc w:val="left"/>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3.10水生植物养护质量标准</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W w:w="3967"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一级养护标准</w:t>
            </w:r>
            <w:r/>
          </w:p>
        </w:tc>
        <w:tc>
          <w:tcPr>
            <w:gridSpan w:val="2"/>
            <w:tcW w:w="4937"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基本养护标准</w:t>
            </w:r>
            <w:r/>
          </w:p>
        </w:tc>
      </w:tr>
      <w:tr>
        <w:trPr/>
        <w:tc>
          <w:tcPr>
            <w:tcW w:w="698"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W w:w="3967" w:type="dxa"/>
            <w:vAlign w:val="center"/>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1.配置合理，景观优美。</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2.植株完整生长健壮，形态特征明显。</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3.观花观叶期长，观花观果植株花繁果茂。</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4.水质清澈，pH值保持6.5-8.5。透明度M≥1.0。</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5.植株无病虫危害。</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6.专人管理，定期定时清理漂浮物，水面无杂物。</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7.驳岸安全稳固，设施完好无缺损。</w:t>
            </w:r>
            <w:r/>
          </w:p>
        </w:tc>
        <w:tc>
          <w:tcPr>
            <w:gridSpan w:val="2"/>
            <w:tcW w:w="4937" w:type="dxa"/>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1.配置合理，景观优美。</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2.植株生长健壮。</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3.观花观叶期长，观花观果植株按期开花结果。</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4.水质清澈无异臭，pH值保持在6.5-8.5。透明度M≥0.5。</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5.无明显病虫危害迹象。</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6.种植池内无杂物、漂浮物。</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7.驳岸安全稳固，无缺损。</w:t>
            </w:r>
            <w:r/>
          </w:p>
        </w:tc>
      </w:tr>
      <w:tr>
        <w:trPr/>
        <w:tc>
          <w:tcPr>
            <w:tcW w:w="698" w:type="dxa"/>
            <w:vAlign w:val="center"/>
            <w:vMerge w:val="restart"/>
            <w:textDirection w:val="lrTb"/>
            <w:noWrap/>
          </w:tcPr>
          <w:p>
            <w:pPr>
              <w:jc w:val="left"/>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3.11竹类植物养护质量标准</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shd w:val="clear" w:color="auto" w:fill="auto"/>
            <w:tcW w:w="3967" w:type="dxa"/>
            <w:vAlign w:val="center"/>
            <w:textDirection w:val="lrTb"/>
            <w:noWrap/>
          </w:tcPr>
          <w:p>
            <w:pPr>
              <w:jc w:val="center"/>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一级养护标准</w:t>
            </w:r>
            <w:r/>
          </w:p>
        </w:tc>
        <w:tc>
          <w:tcPr>
            <w:gridSpan w:val="2"/>
            <w:shd w:val="clear" w:color="auto" w:fill="auto"/>
            <w:tcW w:w="4937" w:type="dxa"/>
            <w:vAlign w:val="center"/>
            <w:textDirection w:val="lrTb"/>
            <w:noWrap/>
          </w:tcPr>
          <w:p>
            <w:pPr>
              <w:jc w:val="center"/>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基本养护标准</w:t>
            </w:r>
            <w:r/>
          </w:p>
        </w:tc>
      </w:tr>
      <w:tr>
        <w:trPr>
          <w:trHeight w:val="2636"/>
        </w:trPr>
        <w:tc>
          <w:tcPr>
            <w:tcW w:w="698"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shd w:val="clear" w:color="auto" w:fill="auto"/>
            <w:tcW w:w="3967" w:type="dxa"/>
            <w:vAlign w:val="center"/>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1.竹丛通风透光，植株生长健壮，竹竿挺拔，枝叶青翠。</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2.新、老竹生长比例恰当，竹鞭无裸露。</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3.无病虫危害迹象。</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4.无死竹和枯竹。</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5.无杂草、杂物。</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6.竹林排水良好，无积水。</w:t>
            </w:r>
            <w:r/>
          </w:p>
        </w:tc>
        <w:tc>
          <w:tcPr>
            <w:gridSpan w:val="2"/>
            <w:shd w:val="clear" w:color="auto" w:fill="auto"/>
            <w:tcW w:w="4937" w:type="dxa"/>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1.竹丛通风透光，植株生长健壮。</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2.新、老竹生长比例基本恰当。</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3.无明显病虫危害迹象，危害率小于10%。</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4.基本无死竹和枯竹。</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5.无明显影响景观的杂草、杂物。</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6.竹林排水良好，无积水。</w:t>
            </w:r>
            <w:r/>
          </w:p>
        </w:tc>
      </w:tr>
      <w:tr>
        <w:trPr/>
        <w:tc>
          <w:tcPr>
            <w:tcW w:w="698" w:type="dxa"/>
            <w:vAlign w:val="center"/>
            <w:vMerge w:val="restart"/>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3.12盆、钵、箱体植物养护质量标准</w:t>
            </w:r>
            <w:r/>
          </w:p>
        </w:tc>
        <w:tc>
          <w:tcPr>
            <w:gridSpan w:val="2"/>
            <w:shd w:val="clear" w:color="auto" w:fill="auto"/>
            <w:tcW w:w="3967"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一级养护标准</w:t>
            </w:r>
            <w:r/>
          </w:p>
        </w:tc>
        <w:tc>
          <w:tcPr>
            <w:gridSpan w:val="2"/>
            <w:shd w:val="clear" w:color="auto" w:fill="auto"/>
            <w:tcW w:w="4937"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基本养护标准</w:t>
            </w:r>
            <w:r/>
          </w:p>
        </w:tc>
      </w:tr>
      <w:tr>
        <w:trPr>
          <w:trHeight w:val="834"/>
        </w:trPr>
        <w:tc>
          <w:tcPr>
            <w:tcW w:w="698"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shd w:val="clear" w:color="auto" w:fill="auto"/>
            <w:tcW w:w="3967" w:type="dxa"/>
            <w:vAlign w:val="center"/>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1.植株生长旺盛，枝叶健壮，分布均匀，造型美观。</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2.无枯枝残叶、交叉枝、徒长枝、并生枝、萌蘖枝。</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3.无病虫危害迹象。</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4.观花植物按时茂盛开花，观果植物正常结果。</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5.植株下和容器内无杂草、杂物，叶面清洁。</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6.容器完整清洁，容器外形、规格、色彩与植物要协调。</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7.排水要通畅。</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8.花钵中换花及时，全年四季有花，花开不断。</w:t>
            </w:r>
            <w:r/>
          </w:p>
        </w:tc>
        <w:tc>
          <w:tcPr>
            <w:gridSpan w:val="2"/>
            <w:shd w:val="clear" w:color="auto" w:fill="auto"/>
            <w:tcW w:w="4937" w:type="dxa"/>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1.植株生长正常，分布均匀。</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2.无枯枝残叶、萌蘖枝。</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3.无明显病虫危害迹象。危害率控制在5%以下。</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4.观花观果植物能正常开花结果。</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5.植株下和容器内无明显杂草、杂物。</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6.容器完整清洁，容器外形、规格、色彩与植物基本协调。</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7.排水要通畅。</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8.花钵中保证重大节日有花。</w:t>
            </w:r>
            <w:r/>
          </w:p>
        </w:tc>
      </w:tr>
      <w:tr>
        <w:trPr/>
        <w:tc>
          <w:tcPr>
            <w:tcW w:w="698" w:type="dxa"/>
            <w:vAlign w:val="center"/>
            <w:vMerge w:val="restart"/>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3.13设施维护质量标准</w:t>
            </w:r>
            <w:r/>
          </w:p>
        </w:tc>
        <w:tc>
          <w:tcPr>
            <w:gridSpan w:val="2"/>
            <w:shd w:val="clear" w:color="auto" w:fill="auto"/>
            <w:tcW w:w="3967" w:type="dxa"/>
            <w:vAlign w:val="center"/>
            <w:textDirection w:val="lrTb"/>
            <w:noWrap/>
          </w:tcPr>
          <w:p>
            <w:pPr>
              <w:jc w:val="center"/>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一级维护标准</w:t>
            </w:r>
            <w:r/>
          </w:p>
        </w:tc>
        <w:tc>
          <w:tcPr>
            <w:gridSpan w:val="2"/>
            <w:shd w:val="clear" w:color="auto" w:fill="auto"/>
            <w:tcW w:w="4937" w:type="dxa"/>
            <w:vAlign w:val="center"/>
            <w:textDirection w:val="lrTb"/>
            <w:noWrap/>
          </w:tcPr>
          <w:p>
            <w:pPr>
              <w:jc w:val="center"/>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基本维护标准</w:t>
            </w:r>
            <w:r/>
          </w:p>
        </w:tc>
      </w:tr>
      <w:tr>
        <w:trPr>
          <w:trHeight w:val="8187"/>
        </w:trPr>
        <w:tc>
          <w:tcPr>
            <w:tcW w:w="698"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shd w:val="clear" w:color="auto" w:fill="auto"/>
            <w:tcW w:w="3967" w:type="dxa"/>
            <w:vAlign w:val="center"/>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1.园林建筑、构筑物、雕塑、喷泉、厕所、围栏、护网、建筑小品以及路灯等基础设施完好，美观清洁，安全无隐患。</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2.园路、铺装地面平整，无破损、无积水：金属构件设施无锈斑、油漆剥落现象。无障碍设施完好通畅。</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3.供水、排水、喷灌等管网设施维护良好，使用便捷。窨井、进水口、给水口等设施完整无损，无安全隐患，清洁、通畅。防汛、消防等设备完好充足，保证应急使用要求。</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4.供电、照明设施完好无损，各类管线保持完整、安全无隐患。</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5.假山置石完整美观、安全稳固；</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不适于攀爬的叠石必须有醒目标志和防护设施。</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6.栏杆、桌椅、垃圾桶、井盖和指示牌、告示牌、宣传牌整洁美观，设置合理、醒目、完善、规范。</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7.游艺和体育健身器械等设施完整、清洁、安全，满足使用要求，随时进行安全检测，确保无故障运行。</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8.停车场地平整清洁，设施完好，车位标志明显清晰规范。</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9、文物的保护和管理应符合《中华人民共和国文物保护法》的规定。</w:t>
            </w:r>
            <w:r/>
          </w:p>
        </w:tc>
        <w:tc>
          <w:tcPr>
            <w:gridSpan w:val="2"/>
            <w:shd w:val="clear" w:color="auto" w:fill="auto"/>
            <w:tcW w:w="4937" w:type="dxa"/>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1.园林建筑、构筑物、雕塑、喷泉、厕所、围栏、护网、建筑小品以及路灯等基础设施维护良好，美观清洁，安全无隐患。</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2.园路、铺装地面平整，无明显破损、无积水：金属构件设施无明显锈斑、油漆剥落现象。无障碍设施必须保持完好通畅。</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3.供水、排水、喷灌等管网设施维护良好，满足使用要求。窨井、进水口、给水口等设施完整无损。防汛、消防等设备完好，保证应急使用。</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4.供电、照明设施正常运转，各类管线保持完整、安全无隐患。</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5.假山置石完整美观、安全稳固：不适于攀爬的叠石必须有醒目标志和防护设施。</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6.栏杆、桌椅、垃圾桶、井盖和指示牌、告示牌、宣传牌整洁美观，设置合理、醒目、规范。</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7.游艺和体育健身器械等设施保持完整、清洁、安全，满足使用要求，定期。进行安全检测，不得带故障运行。</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8.停车场地平整清洁，车位有明显标志。</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9.文物的保护和管理应符合《中华人民共和国文物保护法》的规定。</w:t>
            </w:r>
            <w:r/>
          </w:p>
        </w:tc>
      </w:tr>
      <w:tr>
        <w:trPr/>
        <w:tc>
          <w:tcPr>
            <w:tcW w:w="698" w:type="dxa"/>
            <w:vAlign w:val="center"/>
            <w:vMerge w:val="restart"/>
            <w:textDirection w:val="lrTb"/>
            <w:noWrap/>
          </w:tcPr>
          <w:p>
            <w:pPr>
              <w:jc w:val="left"/>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3.14卫生保洁质量标准</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shd w:val="clear" w:color="auto" w:fill="auto"/>
            <w:tcW w:w="3967"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一级养护标准</w:t>
            </w:r>
            <w:r/>
          </w:p>
        </w:tc>
        <w:tc>
          <w:tcPr>
            <w:gridSpan w:val="2"/>
            <w:shd w:val="clear" w:color="auto" w:fill="auto"/>
            <w:tcW w:w="4937"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基本养护标准</w:t>
            </w:r>
            <w:r/>
          </w:p>
        </w:tc>
      </w:tr>
      <w:tr>
        <w:trPr/>
        <w:tc>
          <w:tcPr>
            <w:tcW w:w="698"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shd w:val="clear" w:color="auto" w:fill="auto"/>
            <w:tcW w:w="3967" w:type="dxa"/>
            <w:vAlign w:val="center"/>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1.环境整洁，实行全天候保洁：水面无漂浮杂物、无异味，水体清洁无污染。</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2.垃圾箱及垃圾堆场外观清洁，无沉积垃圾，无卫生死角，垃圾日产日清，严禁焚烧垃圾和枯枝落叶。</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3.作业废弃物（如树枝、树叶、草屑等）、水面清理的杂物，随产随清。</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4.园林建筑小品保持整洁美观，定期清洗。</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5.厕所内外清洁卫生，全天保洁，无尿垢，无臭味，无蚊蝇，无污水外溢。</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6.园林机具摆放隐蔽，位置合理。</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7.及时清除或覆盖非法小广告。</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8.工作人员统</w:t>
            </w:r>
            <w:r>
              <w:rPr>
                <w:rFonts w:hint="eastAsia" w:ascii="宋体" w:hAnsi="宋体" w:eastAsia="宋体" w:cs="宋体"/>
                <w:color w:val="auto"/>
                <w:sz w:val="21"/>
                <w:szCs w:val="21"/>
                <w:highlight w:val="none"/>
              </w:rPr>
              <w:t xml:space="preserve">一</w:t>
            </w:r>
            <w:r>
              <w:rPr>
                <w:rFonts w:hint="eastAsia" w:ascii="宋体" w:hAnsi="宋体" w:eastAsia="宋体" w:cs="宋体"/>
                <w:color w:val="auto"/>
                <w:sz w:val="21"/>
                <w:szCs w:val="21"/>
                <w:highlight w:val="none"/>
                <w:lang w:val="zh-CN"/>
              </w:rPr>
              <w:t xml:space="preserve">着装，挂牌上岗。</w:t>
            </w:r>
            <w:r/>
          </w:p>
        </w:tc>
        <w:tc>
          <w:tcPr>
            <w:gridSpan w:val="2"/>
            <w:shd w:val="clear" w:color="auto" w:fill="auto"/>
            <w:tcW w:w="4937" w:type="dxa"/>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1.环境整洁，无杂物，实行定时保洁，水面无漂浮杂物、无异味，水体无污染。</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2.垃圾箱及垃圾堆场外观清洁，沉积垃圾，无卫生死角，垃圾日产日清，严禁焚烧垃圾和枯枝落叶。</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3.作业废弃物（如树枝、树叶、草屑等）、水面清理的杂物，日产日清。</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4.园林建筑小品保持整洁，定期清洗。</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5.厕所内外清洁卫生，定期保洁，无尿垢，无臭味，无蚊蝇，无污水外溢。</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6.园林机具摆放隐蔽。</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7.定期清除或覆盖非法小广告。</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8.工作人员统一着装，挂牌上岗。</w:t>
            </w:r>
            <w:r/>
          </w:p>
        </w:tc>
      </w:tr>
      <w:tr>
        <w:trPr/>
        <w:tc>
          <w:tcPr>
            <w:tcW w:w="698" w:type="dxa"/>
            <w:vAlign w:val="center"/>
            <w:vMerge w:val="restart"/>
            <w:textDirection w:val="lrTb"/>
            <w:noWrap/>
          </w:tcPr>
          <w:p>
            <w:pPr>
              <w:jc w:val="left"/>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3.15绿地保护质量标准</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shd w:val="clear" w:color="auto" w:fill="auto"/>
            <w:tcW w:w="3967"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一级管护标准</w:t>
            </w:r>
            <w:r/>
          </w:p>
        </w:tc>
        <w:tc>
          <w:tcPr>
            <w:gridSpan w:val="2"/>
            <w:shd w:val="clear" w:color="auto" w:fill="auto"/>
            <w:tcW w:w="4937"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基本管护标准</w:t>
            </w:r>
            <w:r/>
          </w:p>
        </w:tc>
      </w:tr>
      <w:tr>
        <w:trPr>
          <w:trHeight w:val="5120"/>
        </w:trPr>
        <w:tc>
          <w:tcPr>
            <w:tcW w:w="698"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shd w:val="clear" w:color="auto" w:fill="auto"/>
            <w:tcW w:w="3967" w:type="dxa"/>
            <w:vAlign w:val="center"/>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1.绿地范围内无违章建筑，无废弃的设施，无违规设置的广告、标牌，绿地，保护完好。</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2.绿地内无堆物、堆料、搭棚，无摆摊设点，车辆摆放有序，无乱停乱放现象。</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3.园林建筑、雕塑、栏杆、桌椅、指示牌等园林设施上无刻画：植物上无贴挂标语、晾晒衣物，无影响植物生长的亮化设施。</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4.绿地中无种菜、放养家禽宠物等。</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5.绿地占用必须持有审批手续，无非法侵占绿地行为；经审批同意占用的，要全过程跟踪，严格控制施工作业面：经批准临时占用的绿地，做到按时收回，并监督恢复。</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6.绿地每天进行巡查。广场实施全天候24小时安保。</w:t>
            </w:r>
            <w:r/>
          </w:p>
        </w:tc>
        <w:tc>
          <w:tcPr>
            <w:gridSpan w:val="2"/>
            <w:shd w:val="clear" w:color="auto" w:fill="auto"/>
            <w:tcW w:w="4937" w:type="dxa"/>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1.绿地范围内无违章建筑，无废弃的设施，无违规设置的广告、标牌，绿地基本保护完好。</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2.绿地内无明显堆物、堆料、搭棚，无摆摊设点，无车辆乱停乱放现象。</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3.园林建筑、雕塑、栏杆、桌椅、指示牌等园林设施上刻画定期得到清理；植物。上无贴挂标语、晾晒衣物。</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4.绿地中无种菜、放养家禽宠物等。</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5.绿地占用必须持有审批手续，无非法侵占绿地行为：经审批同意占用的，要全过程跟踪，严格控制施工作业面；经批准临时占用的绿地，做到按时收回，并监督恢复。</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6.绿地每天定期进行安保巡查。广场二班实施安保。</w:t>
            </w:r>
            <w:r/>
          </w:p>
        </w:tc>
      </w:tr>
      <w:tr>
        <w:trPr/>
        <w:tc>
          <w:tcPr>
            <w:tcW w:w="698" w:type="dxa"/>
            <w:vAlign w:val="center"/>
            <w:vMerge w:val="restart"/>
            <w:textDirection w:val="lrTb"/>
            <w:noWrap/>
          </w:tcPr>
          <w:p>
            <w:pPr>
              <w:jc w:val="left"/>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3.16古树名木养护质量标准</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4"/>
            <w:shd w:val="clear" w:color="auto" w:fill="auto"/>
            <w:tcW w:w="8904"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养护质量标准</w:t>
            </w:r>
            <w:r/>
          </w:p>
        </w:tc>
      </w:tr>
      <w:tr>
        <w:trPr>
          <w:trHeight w:val="3787"/>
        </w:trPr>
        <w:tc>
          <w:tcPr>
            <w:tcW w:w="698"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4"/>
            <w:shd w:val="clear" w:color="auto" w:fill="auto"/>
            <w:tcW w:w="8904" w:type="dxa"/>
            <w:vAlign w:val="center"/>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1.保持植株的自然形态和面貌，具有较好的景观效果。</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2.植株的保护性支撑物和棚架支撑必须与植株协调。</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3.植株无病枝、枯枝、腐烂枝和多余的萌蘖枝。无未处理的树洞和创伤。</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4.基本无病虫害危害现象，植株上无影响生长的寄生植物。</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5.保护区内无影响植株生长的建筑物、构筑物等。地面覆盖物必须有利植株生</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长。</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6.保护区内必须排水通畅，无积水。</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7.植株必须有保护标牌，位置要明显，字迹要清晰。</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8.保护区内的设施（如围栏、驳岸、避雷针）必须完整美观、安全有效。</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9.保护区内无垃圾、杂草。</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10.建立一树一档，有动态养护记录，历史资料齐全。</w:t>
            </w:r>
            <w:r/>
          </w:p>
        </w:tc>
      </w:tr>
    </w:tbl>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r/>
    </w:p>
    <w:p>
      <w:pPr>
        <w:jc w:val="center"/>
        <w:keepLines w:val="0"/>
        <w:keepNext w:val="0"/>
        <w:pageBreakBefore w:val="0"/>
        <w:spacing w:line="360" w:lineRule="auto"/>
        <w:rPr>
          <w:rFonts w:hint="eastAsia" w:ascii="宋体" w:hAnsi="宋体" w:eastAsia="宋体" w:cs="宋体"/>
          <w:b/>
          <w:bCs/>
          <w:color w:val="auto"/>
          <w:sz w:val="24"/>
          <w:szCs w:val="24"/>
          <w:highlight w:val="none"/>
        </w:rPr>
        <w:outlineLvl w:val="0"/>
      </w:pPr>
      <w:r/>
      <w:bookmarkStart w:id="48" w:name="_Toc21579"/>
      <w:r>
        <w:rPr>
          <w:rFonts w:hint="eastAsia" w:ascii="宋体" w:hAnsi="宋体" w:eastAsia="宋体" w:cs="宋体"/>
          <w:b/>
          <w:bCs/>
          <w:color w:val="auto"/>
          <w:sz w:val="24"/>
          <w:szCs w:val="24"/>
          <w:highlight w:val="none"/>
        </w:rPr>
        <w:t xml:space="preserve">附件</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：南京市城市市民广场管理标准</w:t>
      </w:r>
      <w:bookmarkEnd w:id="48"/>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市民广场管理，是指城市、城镇建成区范围供市民休闲娱乐的广场、小游园、街头绿地等管理。主要包括：环境卫生、容貌秩序、公共设施、绿化、建（构）筑物等方面的管理。</w:t>
      </w:r>
      <w:r/>
    </w:p>
    <w:p>
      <w:pPr>
        <w:jc w:val="left"/>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（一）服务规范</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1、从业人员坚持“先培训，后上岗”，从业人员100％持证上岗的原则，</w:t>
      </w:r>
      <w:r>
        <w:rPr>
          <w:rFonts w:hint="eastAsia" w:ascii="宋体" w:hAnsi="宋体" w:eastAsia="宋体" w:cs="宋体"/>
          <w:color w:val="auto"/>
          <w:sz w:val="21"/>
          <w:szCs w:val="21"/>
          <w:highlight w:val="none"/>
        </w:rPr>
        <w:t xml:space="preserve">并</w:t>
      </w:r>
      <w:r>
        <w:rPr>
          <w:rFonts w:hint="eastAsia" w:ascii="宋体" w:hAnsi="宋体" w:eastAsia="宋体" w:cs="宋体"/>
          <w:color w:val="auto"/>
          <w:sz w:val="21"/>
          <w:szCs w:val="21"/>
          <w:highlight w:val="none"/>
          <w:lang w:val="zh-CN"/>
        </w:rPr>
        <w:t xml:space="preserve">定期进行消防安全、治安、卫生管理等方面的培训。</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2、直接为顾客服务的人员，持有“健康合格证”方能从事本职工作。</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3、工作人员着装干净、平整、无破损。上岗前整理仪表，工作时精神饱满。</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4、熟练掌握问候礼节及礼貌用语，服务文明礼貌。</w:t>
      </w:r>
      <w:r/>
    </w:p>
    <w:p>
      <w:pPr>
        <w:jc w:val="left"/>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（二）环境卫生</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1、室内外环境要保持清洁卫生，无白色垃圾，无痰迹，无烟头、纸屑、果皮、树叶等垃圾。</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2、标牌、地面（台阶）、地毯、座椅、石凳、台阶、堆砌山石装饰、石雕、大型花瓶、柱、梁、台、柜、建筑物外观等清洁、无灰尘、无污迹。</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3、景观池内无淤积沉淀杂物，水质清透，无异味。</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4、室内空气质量、空调送风质量、微小气候、采光照明和防噪音污染必须符合国家卫生标准。</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5、消除蚊、蝇、老鼠、蟑螂和其他病媒昆虫危害。</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6、设置吸烟点，减少“游烟”现象。</w:t>
      </w:r>
      <w:r/>
    </w:p>
    <w:p>
      <w:pPr>
        <w:jc w:val="left"/>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（三）容貌</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1、无乱堆乱放、乱贴乱画、乱泼乱倒、乱扯乱挂、乱搭乱建等现象。</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2、各类警示牌、指示牌、招牌制作精美、设置规范、用字规范（有中英文对照），定期检查</w:t>
      </w:r>
      <w:r>
        <w:rPr>
          <w:rFonts w:hint="eastAsia" w:ascii="宋体" w:hAnsi="宋体" w:eastAsia="宋体" w:cs="宋体"/>
          <w:color w:val="auto"/>
          <w:sz w:val="21"/>
          <w:szCs w:val="21"/>
          <w:highlight w:val="none"/>
        </w:rPr>
        <w:t xml:space="preserve">并</w:t>
      </w:r>
      <w:r>
        <w:rPr>
          <w:rFonts w:hint="eastAsia" w:ascii="宋体" w:hAnsi="宋体" w:eastAsia="宋体" w:cs="宋体"/>
          <w:color w:val="auto"/>
          <w:sz w:val="21"/>
          <w:szCs w:val="21"/>
          <w:highlight w:val="none"/>
          <w:lang w:val="zh-CN"/>
        </w:rPr>
        <w:t xml:space="preserve">粉饰出新。</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3、经营摊点摆设整洁美观，</w:t>
      </w:r>
      <w:r>
        <w:rPr>
          <w:rFonts w:hint="eastAsia" w:ascii="宋体" w:hAnsi="宋体" w:eastAsia="宋体" w:cs="宋体"/>
          <w:color w:val="auto"/>
          <w:sz w:val="21"/>
          <w:szCs w:val="21"/>
          <w:highlight w:val="none"/>
        </w:rPr>
        <w:t xml:space="preserve">按</w:t>
      </w:r>
      <w:r>
        <w:rPr>
          <w:rFonts w:hint="eastAsia" w:ascii="宋体" w:hAnsi="宋体" w:eastAsia="宋体" w:cs="宋体"/>
          <w:color w:val="auto"/>
          <w:sz w:val="21"/>
          <w:szCs w:val="21"/>
          <w:highlight w:val="none"/>
          <w:lang w:val="zh-CN"/>
        </w:rPr>
        <w:t xml:space="preserve">规定时间规范营业，无油渍污染地面、噪声扰民、溢摊占道经营现象。</w:t>
      </w:r>
      <w:r/>
    </w:p>
    <w:p>
      <w:pPr>
        <w:jc w:val="left"/>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（四）基础设施</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1、配备足够的果壳箱</w:t>
      </w:r>
      <w:r>
        <w:rPr>
          <w:rFonts w:hint="eastAsia" w:ascii="宋体" w:hAnsi="宋体" w:eastAsia="宋体" w:cs="宋体"/>
          <w:color w:val="auto"/>
          <w:sz w:val="21"/>
          <w:szCs w:val="21"/>
          <w:highlight w:val="none"/>
        </w:rPr>
        <w:t xml:space="preserve">并</w:t>
      </w:r>
      <w:r>
        <w:rPr>
          <w:rFonts w:hint="eastAsia" w:ascii="宋体" w:hAnsi="宋体" w:eastAsia="宋体" w:cs="宋体"/>
          <w:color w:val="auto"/>
          <w:sz w:val="21"/>
          <w:szCs w:val="21"/>
          <w:highlight w:val="none"/>
          <w:lang w:val="zh-CN"/>
        </w:rPr>
        <w:t xml:space="preserve">定期保洁清洗。</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2、配备封闭式保洁车辆。</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3、大理石地面、石凳、座椅、果壳箱、健身设施、公共走廊、洗手间、灯饰、喷泉等公共设施保持完好，损坏的及时维修恢复原状，喷泉要保证节假日重要活</w:t>
      </w:r>
      <w:r>
        <w:rPr>
          <w:rFonts w:hint="eastAsia" w:ascii="宋体" w:hAnsi="宋体" w:eastAsia="宋体" w:cs="宋体"/>
          <w:color w:val="auto"/>
          <w:sz w:val="21"/>
          <w:szCs w:val="21"/>
          <w:highlight w:val="none"/>
        </w:rPr>
        <w:t xml:space="preserve">动</w:t>
      </w:r>
      <w:r>
        <w:rPr>
          <w:rFonts w:hint="eastAsia" w:ascii="宋体" w:hAnsi="宋体" w:eastAsia="宋体" w:cs="宋体"/>
          <w:color w:val="auto"/>
          <w:sz w:val="21"/>
          <w:szCs w:val="21"/>
          <w:highlight w:val="none"/>
          <w:lang w:val="zh-CN"/>
        </w:rPr>
        <w:t xml:space="preserve">正常开放和使用。</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4、配电箱、垃圾箱、健身器设施完好。</w:t>
      </w:r>
      <w:r/>
    </w:p>
    <w:p>
      <w:pPr>
        <w:jc w:val="left"/>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（五）停车场</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1、设置停存车标牌，明示收费及相关管理规定。</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2、停车位布局合理、车道线明晰，导向线明显，各种车辆规范停放，整齐有序。</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3、设有残疾人专用车位。</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4、停车收费单（证）要备注有关车内物品丢失，车辆毁损、灭失等责任的提示，停车前，</w:t>
      </w:r>
      <w:r>
        <w:rPr>
          <w:rFonts w:hint="eastAsia" w:ascii="宋体" w:hAnsi="宋体" w:eastAsia="宋体" w:cs="宋体"/>
          <w:color w:val="auto"/>
          <w:sz w:val="21"/>
          <w:szCs w:val="21"/>
          <w:highlight w:val="none"/>
        </w:rPr>
        <w:t xml:space="preserve">检</w:t>
      </w:r>
      <w:r>
        <w:rPr>
          <w:rFonts w:hint="eastAsia" w:ascii="宋体" w:hAnsi="宋体" w:eastAsia="宋体" w:cs="宋体"/>
          <w:color w:val="auto"/>
          <w:sz w:val="21"/>
          <w:szCs w:val="21"/>
          <w:highlight w:val="none"/>
          <w:lang w:val="zh-CN"/>
        </w:rPr>
        <w:t xml:space="preserve">查外观，如有毁、损、划痕应请车主确认。</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5、室内和室外封闭式停车场应设置灭鼠设施，定期组织灭鼠活</w:t>
      </w:r>
      <w:r>
        <w:rPr>
          <w:rFonts w:hint="eastAsia" w:ascii="宋体" w:hAnsi="宋体" w:eastAsia="宋体" w:cs="宋体"/>
          <w:color w:val="auto"/>
          <w:sz w:val="21"/>
          <w:szCs w:val="21"/>
          <w:highlight w:val="none"/>
        </w:rPr>
        <w:t xml:space="preserve">动</w:t>
      </w:r>
      <w:r>
        <w:rPr>
          <w:rFonts w:hint="eastAsia" w:ascii="宋体" w:hAnsi="宋体" w:eastAsia="宋体" w:cs="宋体"/>
          <w:color w:val="auto"/>
          <w:sz w:val="21"/>
          <w:szCs w:val="21"/>
          <w:highlight w:val="none"/>
          <w:lang w:val="zh-CN"/>
        </w:rPr>
        <w:t xml:space="preserve">。</w:t>
      </w:r>
      <w:r/>
    </w:p>
    <w:p>
      <w:pPr>
        <w:jc w:val="left"/>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（六）卫生间</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1、标识明显规范，有</w:t>
      </w:r>
      <w:r>
        <w:rPr>
          <w:rFonts w:hint="eastAsia" w:ascii="宋体" w:hAnsi="宋体" w:eastAsia="宋体" w:cs="宋体"/>
          <w:color w:val="auto"/>
          <w:sz w:val="21"/>
          <w:szCs w:val="21"/>
          <w:highlight w:val="none"/>
        </w:rPr>
        <w:t xml:space="preserve">专</w:t>
      </w:r>
      <w:r>
        <w:rPr>
          <w:rFonts w:hint="eastAsia" w:ascii="宋体" w:hAnsi="宋体" w:eastAsia="宋体" w:cs="宋体"/>
          <w:color w:val="auto"/>
          <w:sz w:val="21"/>
          <w:szCs w:val="21"/>
          <w:highlight w:val="none"/>
          <w:lang w:val="zh-CN"/>
        </w:rPr>
        <w:t xml:space="preserve">人管理。</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2、镜面、水龙头、面盆、水池、洗手台面光洁，无污垢、水垢、印迹。</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3、马桶（便器）光洁、无印迹，地漏无污渍、无异味，室内无蚊蝇，下水道保持畅通。</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4、皂液器、干手器等设备光洁、无印迹，清洁工具无外露。</w:t>
      </w:r>
      <w:r/>
    </w:p>
    <w:p>
      <w:pPr>
        <w:jc w:val="left"/>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（七）园林绿化</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1、乔木</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（1）树木长势茂盛，树冠完整丰满，主侧枝分布匀称。</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（2）无枯枝、伤残枝、交叉枝、过密枝、徒长枝、</w:t>
      </w:r>
      <w:r>
        <w:rPr>
          <w:rFonts w:hint="eastAsia" w:ascii="宋体" w:hAnsi="宋体" w:eastAsia="宋体" w:cs="宋体"/>
          <w:color w:val="auto"/>
          <w:sz w:val="21"/>
          <w:szCs w:val="21"/>
          <w:highlight w:val="none"/>
        </w:rPr>
        <w:t xml:space="preserve">并</w:t>
      </w:r>
      <w:r>
        <w:rPr>
          <w:rFonts w:hint="eastAsia" w:ascii="宋体" w:hAnsi="宋体" w:eastAsia="宋体" w:cs="宋体"/>
          <w:color w:val="auto"/>
          <w:sz w:val="21"/>
          <w:szCs w:val="21"/>
          <w:highlight w:val="none"/>
          <w:lang w:val="zh-CN"/>
        </w:rPr>
        <w:t xml:space="preserve">生枝，主干上无</w:t>
      </w:r>
      <w:r>
        <w:rPr>
          <w:rFonts w:hint="eastAsia" w:ascii="宋体" w:hAnsi="宋体" w:eastAsia="宋体" w:cs="宋体"/>
          <w:color w:val="auto"/>
          <w:sz w:val="21"/>
          <w:szCs w:val="21"/>
          <w:highlight w:val="none"/>
        </w:rPr>
        <w:t xml:space="preserve">萌蘖</w:t>
      </w:r>
      <w:r>
        <w:rPr>
          <w:rFonts w:hint="eastAsia" w:ascii="宋体" w:hAnsi="宋体" w:eastAsia="宋体" w:cs="宋体"/>
          <w:color w:val="auto"/>
          <w:sz w:val="21"/>
          <w:szCs w:val="21"/>
          <w:highlight w:val="none"/>
          <w:lang w:val="zh-CN"/>
        </w:rPr>
        <w:t xml:space="preserve">枝。</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（3）无影响交通、架空线路、路灯、建筑、行人安全的树枝。</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（4）枝条修剪截面要平整，</w:t>
      </w:r>
      <w:r>
        <w:rPr>
          <w:rFonts w:hint="eastAsia" w:ascii="宋体" w:hAnsi="宋体" w:eastAsia="宋体" w:cs="宋体"/>
          <w:color w:val="auto"/>
          <w:sz w:val="21"/>
          <w:szCs w:val="21"/>
          <w:highlight w:val="none"/>
        </w:rPr>
        <w:t xml:space="preserve">不</w:t>
      </w:r>
      <w:r>
        <w:rPr>
          <w:rFonts w:hint="eastAsia" w:ascii="宋体" w:hAnsi="宋体" w:eastAsia="宋体" w:cs="宋体"/>
          <w:color w:val="auto"/>
          <w:sz w:val="21"/>
          <w:szCs w:val="21"/>
          <w:highlight w:val="none"/>
          <w:lang w:val="zh-CN"/>
        </w:rPr>
        <w:t xml:space="preserve">留短桩。截面直径大</w:t>
      </w:r>
      <w:r>
        <w:rPr>
          <w:rFonts w:hint="eastAsia" w:ascii="宋体" w:hAnsi="宋体" w:eastAsia="宋体" w:cs="宋体"/>
          <w:color w:val="auto"/>
          <w:sz w:val="21"/>
          <w:szCs w:val="21"/>
          <w:highlight w:val="none"/>
        </w:rPr>
        <w:t xml:space="preserve">于</w:t>
      </w:r>
      <w:r>
        <w:rPr>
          <w:rFonts w:hint="eastAsia" w:ascii="宋体" w:hAnsi="宋体" w:eastAsia="宋体" w:cs="宋体"/>
          <w:color w:val="auto"/>
          <w:sz w:val="21"/>
          <w:szCs w:val="21"/>
          <w:highlight w:val="none"/>
          <w:lang w:val="zh-CN"/>
        </w:rPr>
        <w:t xml:space="preserve">6cm的伤口要涂防腐剂。</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（5）观花树木</w:t>
      </w:r>
      <w:r>
        <w:rPr>
          <w:rFonts w:hint="eastAsia" w:ascii="宋体" w:hAnsi="宋体" w:eastAsia="宋体" w:cs="宋体"/>
          <w:color w:val="auto"/>
          <w:sz w:val="21"/>
          <w:szCs w:val="21"/>
          <w:highlight w:val="none"/>
        </w:rPr>
        <w:t xml:space="preserve">按</w:t>
      </w:r>
      <w:r>
        <w:rPr>
          <w:rFonts w:hint="eastAsia" w:ascii="宋体" w:hAnsi="宋体" w:eastAsia="宋体" w:cs="宋体"/>
          <w:color w:val="auto"/>
          <w:sz w:val="21"/>
          <w:szCs w:val="21"/>
          <w:highlight w:val="none"/>
          <w:lang w:val="zh-CN"/>
        </w:rPr>
        <w:t xml:space="preserve">时茂盛开花，观果树木正常结果。</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（6）无明显病虫害迹象，树干无未处理的腐洞。</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（7）树体无钉挂物、悬挂物。</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（8）树穴内无杂草、杂物，黄土裸露。</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（9）乔木每年12月至次年1月上旬，树干要刷白一次，高度1.2m。</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2、绿篱、球类、色块</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（1）枝条茂密，生长健壮。</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（2）修剪成型，层次分明，面平边齐，线条流畅，曲线处弧度圆润丰满。</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（3）观花植物</w:t>
      </w:r>
      <w:r>
        <w:rPr>
          <w:rFonts w:hint="eastAsia" w:ascii="宋体" w:hAnsi="宋体" w:eastAsia="宋体" w:cs="宋体"/>
          <w:color w:val="auto"/>
          <w:sz w:val="21"/>
          <w:szCs w:val="21"/>
          <w:highlight w:val="none"/>
        </w:rPr>
        <w:t xml:space="preserve">按</w:t>
      </w:r>
      <w:r>
        <w:rPr>
          <w:rFonts w:hint="eastAsia" w:ascii="宋体" w:hAnsi="宋体" w:eastAsia="宋体" w:cs="宋体"/>
          <w:color w:val="auto"/>
          <w:sz w:val="21"/>
          <w:szCs w:val="21"/>
          <w:highlight w:val="none"/>
          <w:lang w:val="zh-CN"/>
        </w:rPr>
        <w:t xml:space="preserve">时茂盛开花，观果植物正常结果。</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（4）无死株、缺株、断档现象。</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（5）无枯枝、断枝、枯叶，无脱脚现象。</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（6）无明显病虫危害迹象。</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（7）基部无杂草、杂物。</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（8）枝叶表面及球面、篱面无悬挂物、晾晒物。</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（9）不草坪交界处切边整齐，宽度小</w:t>
      </w:r>
      <w:r>
        <w:rPr>
          <w:rFonts w:hint="eastAsia" w:ascii="宋体" w:hAnsi="宋体" w:eastAsia="宋体" w:cs="宋体"/>
          <w:color w:val="auto"/>
          <w:sz w:val="21"/>
          <w:szCs w:val="21"/>
          <w:highlight w:val="none"/>
        </w:rPr>
        <w:t xml:space="preserve">于</w:t>
      </w:r>
      <w:r>
        <w:rPr>
          <w:rFonts w:hint="eastAsia" w:ascii="宋体" w:hAnsi="宋体" w:eastAsia="宋体" w:cs="宋体"/>
          <w:color w:val="auto"/>
          <w:sz w:val="21"/>
          <w:szCs w:val="21"/>
          <w:highlight w:val="none"/>
          <w:lang w:val="zh-CN"/>
        </w:rPr>
        <w:t xml:space="preserve">15cm。</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3、花灌木</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（1）植株生长旺盛，枝叶健壮，分布均匀，造型美观。</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（2）无枯枝残叶，树枝分布均匀，疏密度合宜，整形修剪</w:t>
      </w:r>
      <w:r>
        <w:rPr>
          <w:rFonts w:hint="eastAsia" w:ascii="宋体" w:hAnsi="宋体" w:eastAsia="宋体" w:cs="宋体"/>
          <w:color w:val="auto"/>
          <w:sz w:val="21"/>
          <w:szCs w:val="21"/>
          <w:highlight w:val="none"/>
        </w:rPr>
        <w:t xml:space="preserve">与</w:t>
      </w:r>
      <w:r>
        <w:rPr>
          <w:rFonts w:hint="eastAsia" w:ascii="宋体" w:hAnsi="宋体" w:eastAsia="宋体" w:cs="宋体"/>
          <w:color w:val="auto"/>
          <w:sz w:val="21"/>
          <w:szCs w:val="21"/>
          <w:highlight w:val="none"/>
          <w:lang w:val="zh-CN"/>
        </w:rPr>
        <w:t xml:space="preserve">环境要求协调。</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（3）无明显病虫危害迹象。</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（4）观花植物</w:t>
      </w:r>
      <w:r>
        <w:rPr>
          <w:rFonts w:hint="eastAsia" w:ascii="宋体" w:hAnsi="宋体" w:eastAsia="宋体" w:cs="宋体"/>
          <w:color w:val="auto"/>
          <w:sz w:val="21"/>
          <w:szCs w:val="21"/>
          <w:highlight w:val="none"/>
        </w:rPr>
        <w:t xml:space="preserve">按</w:t>
      </w:r>
      <w:r>
        <w:rPr>
          <w:rFonts w:hint="eastAsia" w:ascii="宋体" w:hAnsi="宋体" w:eastAsia="宋体" w:cs="宋体"/>
          <w:color w:val="auto"/>
          <w:sz w:val="21"/>
          <w:szCs w:val="21"/>
          <w:highlight w:val="none"/>
          <w:lang w:val="zh-CN"/>
        </w:rPr>
        <w:t xml:space="preserve">时茂盛开花，观果植物正常结果。</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（5）植株下无杂草、杂物</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（6）枝叶上无钉挂物和晾晒物。</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（7）观花植物每年在休眠期施有机肥（基肥）一次；花前花后各追肥一次。</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4、草坪</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（1）草坪生长健壮，覆盖率达98％以上，生长期无枯黄现象。</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（2）草坪内无低洼积水处，无明显裸露地。</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（3）推剪平整，坚持1/3原则，冷季型草高不超过7cm，暖季型草高</w:t>
      </w:r>
      <w:r>
        <w:rPr>
          <w:rFonts w:hint="eastAsia" w:ascii="宋体" w:hAnsi="宋体" w:eastAsia="宋体" w:cs="宋体"/>
          <w:color w:val="auto"/>
          <w:sz w:val="21"/>
          <w:szCs w:val="21"/>
          <w:highlight w:val="none"/>
        </w:rPr>
        <w:t xml:space="preserve">不</w:t>
      </w:r>
      <w:r>
        <w:rPr>
          <w:rFonts w:hint="eastAsia" w:ascii="宋体" w:hAnsi="宋体" w:eastAsia="宋体" w:cs="宋体"/>
          <w:color w:val="auto"/>
          <w:sz w:val="21"/>
          <w:szCs w:val="21"/>
          <w:highlight w:val="none"/>
          <w:lang w:val="zh-CN"/>
        </w:rPr>
        <w:t xml:space="preserve">超过5cm，修剪后剪口无撕裂现象。</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（4）草坪外边缘及树坛、花坛、花境、片植篱边缘切边清晰整齐，宽度小</w:t>
      </w:r>
      <w:r>
        <w:rPr>
          <w:rFonts w:hint="eastAsia" w:ascii="宋体" w:hAnsi="宋体" w:eastAsia="宋体" w:cs="宋体"/>
          <w:color w:val="auto"/>
          <w:sz w:val="21"/>
          <w:szCs w:val="21"/>
          <w:highlight w:val="none"/>
        </w:rPr>
        <w:t xml:space="preserve">于</w:t>
      </w:r>
      <w:r>
        <w:rPr>
          <w:rFonts w:hint="eastAsia" w:ascii="宋体" w:hAnsi="宋体" w:eastAsia="宋体" w:cs="宋体"/>
          <w:color w:val="auto"/>
          <w:sz w:val="21"/>
          <w:szCs w:val="21"/>
          <w:highlight w:val="none"/>
          <w:lang w:val="zh-CN"/>
        </w:rPr>
        <w:t xml:space="preserve">15cm。</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（5）草坪基本无病虫危害状，病虫受害率控制在5％以下。</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（6）草坪上无修剪残留草屑、杂物，基本无杂草，无乱停乱放现象。</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（7）冷季型草视生长情况，平均每月修剪2-3次。</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5、地被植物</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（1）植物生长茂盛，观花植物</w:t>
      </w:r>
      <w:r>
        <w:rPr>
          <w:rFonts w:hint="eastAsia" w:ascii="宋体" w:hAnsi="宋体" w:eastAsia="宋体" w:cs="宋体"/>
          <w:color w:val="auto"/>
          <w:sz w:val="21"/>
          <w:szCs w:val="21"/>
          <w:highlight w:val="none"/>
        </w:rPr>
        <w:t xml:space="preserve">按</w:t>
      </w:r>
      <w:r>
        <w:rPr>
          <w:rFonts w:hint="eastAsia" w:ascii="宋体" w:hAnsi="宋体" w:eastAsia="宋体" w:cs="宋体"/>
          <w:color w:val="auto"/>
          <w:sz w:val="21"/>
          <w:szCs w:val="21"/>
          <w:highlight w:val="none"/>
          <w:lang w:val="zh-CN"/>
        </w:rPr>
        <w:t xml:space="preserve">时茂盛开花，观果植物正常结果。</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（2）片植地被密度适宜，分布均匀，规格整齐，覆盖率大</w:t>
      </w:r>
      <w:r>
        <w:rPr>
          <w:rFonts w:hint="eastAsia" w:ascii="宋体" w:hAnsi="宋体" w:eastAsia="宋体" w:cs="宋体"/>
          <w:color w:val="auto"/>
          <w:sz w:val="21"/>
          <w:szCs w:val="21"/>
          <w:highlight w:val="none"/>
        </w:rPr>
        <w:t xml:space="preserve">于</w:t>
      </w:r>
      <w:r>
        <w:rPr>
          <w:rFonts w:hint="eastAsia" w:ascii="宋体" w:hAnsi="宋体" w:eastAsia="宋体" w:cs="宋体"/>
          <w:color w:val="auto"/>
          <w:sz w:val="21"/>
          <w:szCs w:val="21"/>
          <w:highlight w:val="none"/>
          <w:lang w:val="zh-CN"/>
        </w:rPr>
        <w:t xml:space="preserve">95％。</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（3）无残花、枯叶、死株、缺株，基本无病虫危害现象。</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（4）无杂草、杂物。</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（5）不草坪交界处切边清晰整齐，宽度小</w:t>
      </w:r>
      <w:r>
        <w:rPr>
          <w:rFonts w:hint="eastAsia" w:ascii="宋体" w:hAnsi="宋体" w:eastAsia="宋体" w:cs="宋体"/>
          <w:color w:val="auto"/>
          <w:sz w:val="21"/>
          <w:szCs w:val="21"/>
          <w:highlight w:val="none"/>
        </w:rPr>
        <w:t xml:space="preserve">于</w:t>
      </w:r>
      <w:r>
        <w:rPr>
          <w:rFonts w:hint="eastAsia" w:ascii="宋体" w:hAnsi="宋体" w:eastAsia="宋体" w:cs="宋体"/>
          <w:color w:val="auto"/>
          <w:sz w:val="21"/>
          <w:szCs w:val="21"/>
          <w:highlight w:val="none"/>
          <w:lang w:val="zh-CN"/>
        </w:rPr>
        <w:t xml:space="preserve">15cm。</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6、花坛花境</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（1）植株生长健壮，组团结构和群体效果好，高低错落有序。</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（2）观花植物适时开花，保持春、夏、秋三季节有花。</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（3）花卉色彩鲜艳，观赏期长。</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（4）无病虫危害迹象。</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（5）土壤肥沃疏松，无杂草、杂物、残花败叶。</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（6）无死株、缺株。</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（7）不草坪交界处切边清晰整齐，宽度小</w:t>
      </w:r>
      <w:r>
        <w:rPr>
          <w:rFonts w:hint="eastAsia" w:ascii="宋体" w:hAnsi="宋体" w:eastAsia="宋体" w:cs="宋体"/>
          <w:color w:val="auto"/>
          <w:sz w:val="21"/>
          <w:szCs w:val="21"/>
          <w:highlight w:val="none"/>
        </w:rPr>
        <w:t xml:space="preserve">于</w:t>
      </w:r>
      <w:r>
        <w:rPr>
          <w:rFonts w:hint="eastAsia" w:ascii="宋体" w:hAnsi="宋体" w:eastAsia="宋体" w:cs="宋体"/>
          <w:color w:val="auto"/>
          <w:sz w:val="21"/>
          <w:szCs w:val="21"/>
          <w:highlight w:val="none"/>
          <w:lang w:val="zh-CN"/>
        </w:rPr>
        <w:t xml:space="preserve">15cm。</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（8）围栏砌体完好无损，和谐美观。</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（9）一、二年生草花及时换花。</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（10）及时整形修剪、更新、换植。</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（11）</w:t>
      </w:r>
      <w:r>
        <w:rPr>
          <w:rFonts w:hint="eastAsia" w:ascii="宋体" w:hAnsi="宋体" w:eastAsia="宋体" w:cs="宋体"/>
          <w:color w:val="auto"/>
          <w:sz w:val="21"/>
          <w:szCs w:val="21"/>
          <w:highlight w:val="none"/>
        </w:rPr>
        <w:t xml:space="preserve">按</w:t>
      </w:r>
      <w:r>
        <w:rPr>
          <w:rFonts w:hint="eastAsia" w:ascii="宋体" w:hAnsi="宋体" w:eastAsia="宋体" w:cs="宋体"/>
          <w:color w:val="auto"/>
          <w:sz w:val="21"/>
          <w:szCs w:val="21"/>
          <w:highlight w:val="none"/>
          <w:lang w:val="zh-CN"/>
        </w:rPr>
        <w:t xml:space="preserve">设计要求，保持全年三季有花，无黄土裸露现象。</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（12）部分品种或全部品种植株衰败时，应及时换花。</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7、盆、钵、花箱、花伞</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（1）植株生长旺盛，枝叶健壮，分布均匀，造型美观。</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（2）无枯枝黄叶、残花</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（3）无病虫危害迹象。</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（4）观花植物</w:t>
      </w:r>
      <w:r>
        <w:rPr>
          <w:rFonts w:hint="eastAsia" w:ascii="宋体" w:hAnsi="宋体" w:eastAsia="宋体" w:cs="宋体"/>
          <w:color w:val="auto"/>
          <w:sz w:val="21"/>
          <w:szCs w:val="21"/>
          <w:highlight w:val="none"/>
        </w:rPr>
        <w:t xml:space="preserve">按</w:t>
      </w:r>
      <w:r>
        <w:rPr>
          <w:rFonts w:hint="eastAsia" w:ascii="宋体" w:hAnsi="宋体" w:eastAsia="宋体" w:cs="宋体"/>
          <w:color w:val="auto"/>
          <w:sz w:val="21"/>
          <w:szCs w:val="21"/>
          <w:highlight w:val="none"/>
          <w:lang w:val="zh-CN"/>
        </w:rPr>
        <w:t xml:space="preserve">时茂盛开花，观果植物正常结果。</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（5）植株下和容器内无杂草、杂物，叶面清洁。</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（6）容器完整清洁，容器外观、规格、色彩</w:t>
      </w:r>
      <w:r>
        <w:rPr>
          <w:rFonts w:hint="eastAsia" w:ascii="宋体" w:hAnsi="宋体" w:eastAsia="宋体" w:cs="宋体"/>
          <w:color w:val="auto"/>
          <w:sz w:val="21"/>
          <w:szCs w:val="21"/>
          <w:highlight w:val="none"/>
        </w:rPr>
        <w:t xml:space="preserve">与</w:t>
      </w:r>
      <w:r>
        <w:rPr>
          <w:rFonts w:hint="eastAsia" w:ascii="宋体" w:hAnsi="宋体" w:eastAsia="宋体" w:cs="宋体"/>
          <w:color w:val="auto"/>
          <w:sz w:val="21"/>
          <w:szCs w:val="21"/>
          <w:highlight w:val="none"/>
          <w:lang w:val="zh-CN"/>
        </w:rPr>
        <w:t xml:space="preserve">植物要协调。</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（7）排水要通畅，植株</w:t>
      </w:r>
      <w:r>
        <w:rPr>
          <w:rFonts w:hint="eastAsia" w:ascii="宋体" w:hAnsi="宋体" w:eastAsia="宋体" w:cs="宋体"/>
          <w:color w:val="auto"/>
          <w:sz w:val="21"/>
          <w:szCs w:val="21"/>
          <w:highlight w:val="none"/>
        </w:rPr>
        <w:t xml:space="preserve">不</w:t>
      </w:r>
      <w:r>
        <w:rPr>
          <w:rFonts w:hint="eastAsia" w:ascii="宋体" w:hAnsi="宋体" w:eastAsia="宋体" w:cs="宋体"/>
          <w:color w:val="auto"/>
          <w:sz w:val="21"/>
          <w:szCs w:val="21"/>
          <w:highlight w:val="none"/>
          <w:lang w:val="zh-CN"/>
        </w:rPr>
        <w:t xml:space="preserve">得出现失水萎蔫现象。</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（8）换花及时，全年四季有花，花开</w:t>
      </w:r>
      <w:r>
        <w:rPr>
          <w:rFonts w:hint="eastAsia" w:ascii="宋体" w:hAnsi="宋体" w:eastAsia="宋体" w:cs="宋体"/>
          <w:color w:val="auto"/>
          <w:sz w:val="21"/>
          <w:szCs w:val="21"/>
          <w:highlight w:val="none"/>
        </w:rPr>
        <w:t xml:space="preserve">不</w:t>
      </w:r>
      <w:r>
        <w:rPr>
          <w:rFonts w:hint="eastAsia" w:ascii="宋体" w:hAnsi="宋体" w:eastAsia="宋体" w:cs="宋体"/>
          <w:color w:val="auto"/>
          <w:sz w:val="21"/>
          <w:szCs w:val="21"/>
          <w:highlight w:val="none"/>
          <w:lang w:val="zh-CN"/>
        </w:rPr>
        <w:t xml:space="preserve">断。</w:t>
      </w:r>
      <w:r/>
    </w:p>
    <w:p>
      <w:pPr>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（八）亮化</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1、草坪灯、路灯、景观灯等亮化灯饰完好，</w:t>
      </w:r>
      <w:r>
        <w:rPr>
          <w:rFonts w:hint="eastAsia" w:ascii="宋体" w:hAnsi="宋体" w:eastAsia="宋体" w:cs="宋体"/>
          <w:color w:val="auto"/>
          <w:sz w:val="21"/>
          <w:szCs w:val="21"/>
          <w:highlight w:val="none"/>
        </w:rPr>
        <w:t xml:space="preserve">并</w:t>
      </w:r>
      <w:r>
        <w:rPr>
          <w:rFonts w:hint="eastAsia" w:ascii="宋体" w:hAnsi="宋体" w:eastAsia="宋体" w:cs="宋体"/>
          <w:color w:val="auto"/>
          <w:sz w:val="21"/>
          <w:szCs w:val="21"/>
          <w:highlight w:val="none"/>
          <w:lang w:val="zh-CN"/>
        </w:rPr>
        <w:t xml:space="preserve">正常开闭。</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2、亮化灯罩要定期进行擦洗，保持灯罩的透光性，提高透明度。</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3、亮化设施坏损、老化的应及时予以维修或更新，灯饰坏损后1日内应予以修复。</w:t>
      </w:r>
      <w:r/>
    </w:p>
    <w:p>
      <w:pPr>
        <w:jc w:val="left"/>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（九）施工管理</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应当</w:t>
      </w:r>
      <w:r>
        <w:rPr>
          <w:rFonts w:hint="eastAsia" w:ascii="宋体" w:hAnsi="宋体" w:eastAsia="宋体" w:cs="宋体"/>
          <w:color w:val="auto"/>
          <w:sz w:val="21"/>
          <w:szCs w:val="21"/>
          <w:highlight w:val="none"/>
        </w:rPr>
        <w:t xml:space="preserve">按</w:t>
      </w:r>
      <w:r>
        <w:rPr>
          <w:rFonts w:hint="eastAsia" w:ascii="宋体" w:hAnsi="宋体" w:eastAsia="宋体" w:cs="宋体"/>
          <w:color w:val="auto"/>
          <w:sz w:val="21"/>
          <w:szCs w:val="21"/>
          <w:highlight w:val="none"/>
          <w:lang w:val="zh-CN"/>
        </w:rPr>
        <w:t xml:space="preserve">照规定设置围挡，做好施工期间的压尘和清扫保洁工作，施工产生的垃圾渣土，应当随时清运。</w:t>
      </w:r>
      <w:r>
        <w:rPr>
          <w:rFonts w:hint="eastAsia" w:ascii="宋体" w:hAnsi="宋体" w:eastAsia="宋体" w:cs="宋体"/>
          <w:color w:val="auto"/>
          <w:sz w:val="21"/>
          <w:szCs w:val="21"/>
          <w:highlight w:val="none"/>
          <w:lang w:val="en-US" w:eastAsia="zh-CN"/>
        </w:rPr>
        <w:t xml:space="preserve">施工作业结束</w:t>
      </w:r>
      <w:r>
        <w:rPr>
          <w:rFonts w:hint="eastAsia" w:ascii="宋体" w:hAnsi="宋体" w:eastAsia="宋体" w:cs="宋体"/>
          <w:color w:val="auto"/>
          <w:sz w:val="21"/>
          <w:szCs w:val="21"/>
          <w:highlight w:val="none"/>
          <w:lang w:val="zh-CN"/>
        </w:rPr>
        <w:t xml:space="preserve">后，施工单位或者建设单位应当及时将弃物弃料和围挡清除干净。</w:t>
      </w:r>
      <w:r/>
    </w:p>
    <w:p>
      <w:pPr>
        <w:jc w:val="left"/>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（十）治安</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1、有</w:t>
      </w:r>
      <w:r>
        <w:rPr>
          <w:rFonts w:hint="eastAsia" w:ascii="宋体" w:hAnsi="宋体" w:eastAsia="宋体" w:cs="宋体"/>
          <w:color w:val="auto"/>
          <w:sz w:val="21"/>
          <w:szCs w:val="21"/>
          <w:highlight w:val="none"/>
        </w:rPr>
        <w:t xml:space="preserve">专</w:t>
      </w:r>
      <w:r>
        <w:rPr>
          <w:rFonts w:hint="eastAsia" w:ascii="宋体" w:hAnsi="宋体" w:eastAsia="宋体" w:cs="宋体"/>
          <w:color w:val="auto"/>
          <w:sz w:val="21"/>
          <w:szCs w:val="21"/>
          <w:highlight w:val="none"/>
          <w:lang w:val="zh-CN"/>
        </w:rPr>
        <w:t xml:space="preserve">职保安人员，着装整齐统一，坚持24小时值班制度，治安防范设施配套、齐全。</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2、无看相算命或进行其他封建迷信活动，无赌博或变相赌博行为。</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不</w:t>
      </w:r>
      <w:r>
        <w:rPr>
          <w:rFonts w:hint="eastAsia" w:ascii="宋体" w:hAnsi="宋体" w:eastAsia="宋体" w:cs="宋体"/>
          <w:color w:val="auto"/>
          <w:sz w:val="21"/>
          <w:szCs w:val="21"/>
          <w:highlight w:val="none"/>
          <w:lang w:val="zh-CN"/>
        </w:rPr>
        <w:t xml:space="preserve">得进行非法集会、游行活</w:t>
      </w:r>
      <w:r>
        <w:rPr>
          <w:rFonts w:hint="eastAsia" w:ascii="宋体" w:hAnsi="宋体" w:eastAsia="宋体" w:cs="宋体"/>
          <w:color w:val="auto"/>
          <w:sz w:val="21"/>
          <w:szCs w:val="21"/>
          <w:highlight w:val="none"/>
        </w:rPr>
        <w:t xml:space="preserve">动</w:t>
      </w:r>
      <w:r>
        <w:rPr>
          <w:rFonts w:hint="eastAsia" w:ascii="宋体" w:hAnsi="宋体" w:eastAsia="宋体" w:cs="宋体"/>
          <w:color w:val="auto"/>
          <w:sz w:val="21"/>
          <w:szCs w:val="21"/>
          <w:highlight w:val="none"/>
          <w:lang w:val="zh-CN"/>
        </w:rPr>
        <w:t xml:space="preserve">。</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4、建筑物和各项设施坚固安全，安全出口处设置明显的标志，灯光明亮，疏散通道畅通；危险的路段、部位，设置护栏等安全设施。</w:t>
      </w:r>
      <w:r/>
    </w:p>
    <w:p>
      <w:pPr>
        <w:jc w:val="left"/>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（十一）消防</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1、消防安全经当地公安消防机构检查合格。</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2、消防设备齐全有效，放置得当，消火栓标志清楚，完好，有效施工作业有预防火灾措施。</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3、电器设备符合安全标准，夜间开放的广场及公共场所须有足够的照明设备和突然停电时的应急措施，临时增加电器设备，必须采取相应的安全措施。</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4、有禁烟标志。</w:t>
      </w:r>
      <w:r/>
    </w:p>
    <w:p>
      <w:pPr>
        <w:ind w:firstLine="210"/>
        <w:keepLines w:val="0"/>
        <w:keepNext w:val="0"/>
        <w:pageBreakBefore w:val="0"/>
        <w:spacing w:line="360" w:lineRule="auto"/>
        <w:rPr>
          <w:rFonts w:hint="eastAsia" w:ascii="宋体" w:hAnsi="宋体" w:eastAsia="宋体" w:cs="宋体"/>
          <w:color w:val="auto"/>
          <w:sz w:val="21"/>
          <w:szCs w:val="21"/>
          <w:highlight w:val="none"/>
        </w:rPr>
        <w:sectPr>
          <w:headerReference w:type="default" r:id="rId12"/>
          <w:footerReference w:type="default" r:id="rId16"/>
          <w:footnotePr/>
          <w:endnotePr/>
          <w:type w:val="nextPage"/>
          <w:pgSz w:w="11906" w:h="16838" w:orient="portrait"/>
          <w:pgMar w:top="1134" w:right="1134" w:bottom="1134" w:left="1134" w:header="851" w:footer="850" w:gutter="0"/>
          <w:cols w:num="1" w:sep="0" w:space="0" w:equalWidth="1"/>
          <w:docGrid w:linePitch="360"/>
        </w:sectPr>
      </w:pPr>
      <w:r>
        <w:rPr>
          <w:rFonts w:hint="eastAsia" w:ascii="宋体" w:hAnsi="宋体" w:eastAsia="宋体" w:cs="宋体"/>
          <w:color w:val="auto"/>
          <w:sz w:val="21"/>
          <w:szCs w:val="21"/>
          <w:highlight w:val="none"/>
        </w:rPr>
      </w:r>
      <w:r/>
    </w:p>
    <w:p>
      <w:pPr>
        <w:jc w:val="center"/>
        <w:keepLines w:val="0"/>
        <w:keepNext w:val="0"/>
        <w:pageBreakBefore w:val="0"/>
        <w:spacing w:line="360" w:lineRule="auto"/>
        <w:rPr>
          <w:rFonts w:hint="eastAsia" w:ascii="宋体" w:hAnsi="宋体" w:eastAsia="宋体" w:cs="宋体"/>
          <w:b/>
          <w:color w:val="auto"/>
          <w:sz w:val="24"/>
          <w:szCs w:val="24"/>
          <w:highlight w:val="none"/>
        </w:rPr>
        <w:outlineLvl w:val="0"/>
      </w:pPr>
      <w:r/>
      <w:bookmarkStart w:id="49" w:name="_Toc13989"/>
      <w:r>
        <w:rPr>
          <w:rFonts w:hint="eastAsia" w:ascii="宋体" w:hAnsi="宋体" w:eastAsia="宋体" w:cs="宋体"/>
          <w:b/>
          <w:bCs/>
          <w:color w:val="auto"/>
          <w:sz w:val="24"/>
          <w:szCs w:val="24"/>
          <w:highlight w:val="none"/>
        </w:rPr>
        <w:t xml:space="preserve">附件</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：考核细则</w:t>
      </w:r>
      <w:bookmarkEnd w:id="49"/>
      <w:r/>
      <w:r/>
    </w:p>
    <w:p>
      <w:pPr>
        <w:jc w:val="left"/>
        <w:keepLines w:val="0"/>
        <w:keepNext w:val="0"/>
        <w:pageBreakBefore w:val="0"/>
        <w:spacing w:line="360" w:lineRule="auto"/>
        <w:rPr>
          <w:rFonts w:hint="eastAsia" w:ascii="宋体" w:hAnsi="宋体" w:eastAsia="宋体" w:cs="宋体"/>
          <w:b/>
          <w:color w:val="auto"/>
          <w:sz w:val="21"/>
          <w:szCs w:val="21"/>
          <w:highlight w:val="none"/>
        </w:rPr>
        <w:outlineLvl w:val="1"/>
      </w:pPr>
      <w:r/>
      <w:bookmarkStart w:id="50" w:name="_Toc11719"/>
      <w:r>
        <w:rPr>
          <w:rFonts w:hint="eastAsia" w:ascii="宋体" w:hAnsi="宋体" w:eastAsia="宋体" w:cs="宋体"/>
          <w:b/>
          <w:color w:val="auto"/>
          <w:sz w:val="21"/>
          <w:szCs w:val="21"/>
          <w:highlight w:val="none"/>
        </w:rPr>
        <w:t xml:space="preserve">1、东山主城区园林养护日常考核评分标准</w:t>
      </w:r>
      <w:bookmarkEnd w:id="50"/>
      <w:r/>
      <w:r/>
    </w:p>
    <w:tbl>
      <w:tblPr>
        <w:tblStyle w:val="923"/>
        <w:tblW w:w="9101" w:type="dxa"/>
        <w:tblInd w:w="93" w:type="dxa"/>
        <w:tblLayout w:type="fixed"/>
        <w:tblCellMar>
          <w:left w:w="108" w:type="dxa"/>
          <w:top w:w="0" w:type="dxa"/>
          <w:right w:w="108" w:type="dxa"/>
          <w:bottom w:w="0" w:type="dxa"/>
        </w:tblCellMar>
        <w:tblLook w:val="04A0" w:firstRow="1" w:lastRow="0" w:firstColumn="1" w:lastColumn="0" w:noHBand="0" w:noVBand="1"/>
      </w:tblPr>
      <w:tblGrid>
        <w:gridCol w:w="407"/>
        <w:gridCol w:w="613"/>
        <w:gridCol w:w="652"/>
        <w:gridCol w:w="1844"/>
        <w:gridCol w:w="3576"/>
        <w:gridCol w:w="2009"/>
      </w:tblGrid>
      <w:tr>
        <w:trPr>
          <w:trHeight w:val="623"/>
        </w:trPr>
        <w:tc>
          <w:tcPr>
            <w:gridSpan w:val="2"/>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考核项目</w:t>
            </w:r>
            <w:r/>
          </w:p>
        </w:tc>
        <w:tc>
          <w:tcPr>
            <w:gridSpan w:val="2"/>
            <w:tcBorders>
              <w:top w:val="single" w:color="000000" w:sz="4" w:space="0"/>
              <w:left w:val="single" w:color="000000" w:sz="4" w:space="0"/>
              <w:bottom w:val="single" w:color="000000" w:sz="4" w:space="0"/>
              <w:right w:val="single" w:color="000000" w:sz="4" w:space="0"/>
            </w:tcBorders>
            <w:tcW w:w="2496" w:type="dxa"/>
            <w:vAlign w:val="center"/>
            <w:textDirection w:val="lrTb"/>
            <w:noWrap/>
          </w:tcPr>
          <w:p>
            <w:pPr>
              <w:jc w:val="center"/>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质量标准</w:t>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tcPr>
          <w:p>
            <w:pPr>
              <w:jc w:val="center"/>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评分细则</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扣分</w:t>
            </w:r>
            <w:r/>
          </w:p>
        </w:tc>
      </w:tr>
      <w:tr>
        <w:trPr>
          <w:trHeight w:val="873"/>
        </w:trPr>
        <w:tc>
          <w:tcPr>
            <w:tcBorders>
              <w:top w:val="single" w:color="000000" w:sz="4" w:space="0"/>
              <w:left w:val="single" w:color="000000" w:sz="4" w:space="0"/>
              <w:bottom w:val="single" w:color="000000" w:sz="4" w:space="0"/>
              <w:right w:val="single" w:color="000000" w:sz="4" w:space="0"/>
            </w:tcBorders>
            <w:tcW w:w="407" w:type="dxa"/>
            <w:vAlign w:val="center"/>
            <w:vMerge w:val="restart"/>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613" w:type="dxa"/>
            <w:vAlign w:val="center"/>
            <w:vMerge w:val="restart"/>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植物养护及景观效果</w:t>
            </w:r>
            <w:r/>
          </w:p>
        </w:tc>
        <w:tc>
          <w:tcPr>
            <w:tcBorders>
              <w:top w:val="single" w:color="000000" w:sz="4" w:space="0"/>
              <w:left w:val="single" w:color="000000" w:sz="4" w:space="0"/>
              <w:bottom w:val="single" w:color="000000" w:sz="4" w:space="0"/>
              <w:right w:val="single" w:color="000000" w:sz="4" w:space="0"/>
            </w:tcBorders>
            <w:tcW w:w="652" w:type="dxa"/>
            <w:vAlign w:val="center"/>
            <w:vMerge w:val="restart"/>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1844" w:type="dxa"/>
            <w:vAlign w:val="center"/>
            <w:vMerge w:val="restart"/>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行道树全冠、分枝分层合理，修剪病虫枝、过密枝、并生枝、枯死枝、伤损枝、下垂枝；无影响交通、架空线、市政设施的树枝；及时冬剪。倾斜度大于10°的树木不超过5%。</w:t>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乔木生长季节叶色不正常，有明显黄叶、焦叶、卷叶。枝干生长不正常，有枯死枝</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断枝</w:t>
            </w:r>
            <w:r>
              <w:rPr>
                <w:rFonts w:hint="eastAsia" w:ascii="宋体" w:hAnsi="宋体" w:eastAsia="宋体" w:cs="宋体"/>
                <w:color w:val="auto"/>
                <w:sz w:val="21"/>
                <w:szCs w:val="21"/>
                <w:highlight w:val="none"/>
              </w:rPr>
              <w:t xml:space="preserve">。未及时进行冬季修剪</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每株扣</w:t>
            </w:r>
            <w:r>
              <w:rPr>
                <w:rFonts w:hint="eastAsia" w:ascii="宋体" w:hAnsi="宋体" w:eastAsia="宋体" w:cs="宋体"/>
                <w:color w:val="auto"/>
                <w:sz w:val="21"/>
                <w:szCs w:val="21"/>
                <w:highlight w:val="none"/>
                <w:lang w:val="en-US" w:eastAsia="zh-CN"/>
              </w:rPr>
              <w:t xml:space="preserve">0.2</w:t>
            </w:r>
            <w:r>
              <w:rPr>
                <w:rFonts w:hint="eastAsia" w:ascii="宋体" w:hAnsi="宋体" w:eastAsia="宋体" w:cs="宋体"/>
                <w:color w:val="auto"/>
                <w:sz w:val="21"/>
                <w:szCs w:val="21"/>
                <w:highlight w:val="none"/>
              </w:rPr>
              <w:t xml:space="preserve">分</w:t>
            </w:r>
            <w:r/>
          </w:p>
        </w:tc>
      </w:tr>
      <w:tr>
        <w:trPr>
          <w:trHeight w:val="864"/>
        </w:trPr>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内膛杂乱、未合理修剪，严重影响架空线、市政设施及影响交通信号灯等设施</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同一路段总数超5%扣0.5分；5%以内扣0.2分</w:t>
            </w:r>
            <w:r/>
          </w:p>
        </w:tc>
      </w:tr>
      <w:tr>
        <w:trPr>
          <w:trHeight w:val="365"/>
        </w:trPr>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剥芽不及时或留芽不合理</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每株扣</w:t>
            </w:r>
            <w:r>
              <w:rPr>
                <w:rFonts w:hint="eastAsia" w:ascii="宋体" w:hAnsi="宋体" w:eastAsia="宋体" w:cs="宋体"/>
                <w:color w:val="auto"/>
                <w:sz w:val="21"/>
                <w:szCs w:val="21"/>
                <w:highlight w:val="none"/>
                <w:lang w:val="en-US" w:eastAsia="zh-CN"/>
              </w:rPr>
              <w:t xml:space="preserve">0.2</w:t>
            </w:r>
            <w:r>
              <w:rPr>
                <w:rFonts w:hint="eastAsia" w:ascii="宋体" w:hAnsi="宋体" w:eastAsia="宋体" w:cs="宋体"/>
                <w:color w:val="auto"/>
                <w:sz w:val="21"/>
                <w:szCs w:val="21"/>
                <w:highlight w:val="none"/>
              </w:rPr>
              <w:t xml:space="preserve">分</w:t>
            </w:r>
            <w:r/>
          </w:p>
        </w:tc>
      </w:tr>
      <w:tr>
        <w:trPr>
          <w:trHeight w:val="578"/>
        </w:trPr>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行道树缺株、死株</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每株</w:t>
            </w:r>
            <w:r>
              <w:rPr>
                <w:rFonts w:hint="eastAsia" w:ascii="宋体" w:hAnsi="宋体" w:eastAsia="宋体" w:cs="宋体"/>
                <w:color w:val="auto"/>
                <w:sz w:val="21"/>
                <w:szCs w:val="21"/>
                <w:highlight w:val="none"/>
              </w:rPr>
              <w:t xml:space="preserve">扣0.5分</w:t>
            </w:r>
            <w:r/>
          </w:p>
        </w:tc>
      </w:tr>
      <w:tr>
        <w:trPr>
          <w:trHeight w:val="90"/>
        </w:trPr>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倾斜超10度</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每株扣</w:t>
            </w:r>
            <w:r>
              <w:rPr>
                <w:rFonts w:hint="eastAsia" w:ascii="宋体" w:hAnsi="宋体" w:eastAsia="宋体" w:cs="宋体"/>
                <w:color w:val="auto"/>
                <w:sz w:val="21"/>
                <w:szCs w:val="21"/>
                <w:highlight w:val="none"/>
                <w:lang w:val="en-US" w:eastAsia="zh-CN"/>
              </w:rPr>
              <w:t xml:space="preserve">0.2</w:t>
            </w:r>
            <w:r>
              <w:rPr>
                <w:rFonts w:hint="eastAsia" w:ascii="宋体" w:hAnsi="宋体" w:eastAsia="宋体" w:cs="宋体"/>
                <w:color w:val="auto"/>
                <w:sz w:val="21"/>
                <w:szCs w:val="21"/>
                <w:highlight w:val="none"/>
              </w:rPr>
              <w:t xml:space="preserve">分；同一路段总数超5%扣0.5分</w:t>
            </w:r>
            <w:r/>
          </w:p>
        </w:tc>
      </w:tr>
      <w:tr>
        <w:trPr>
          <w:trHeight w:val="365"/>
        </w:trPr>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5585"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同一路段内，以上各项总数每超5%，加扣0.2分。</w:t>
            </w:r>
            <w:r/>
          </w:p>
        </w:tc>
      </w:tr>
      <w:tr>
        <w:trPr>
          <w:trHeight w:val="365"/>
        </w:trPr>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vMerge w:val="restart"/>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1844" w:type="dxa"/>
            <w:vAlign w:val="center"/>
            <w:vMerge w:val="restart"/>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乔木生长季节叶色正常，无黄叶、焦叶、卷叶。枝干生长正常，无枯死枝。及时进行冬季修剪。</w:t>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生长期叶色不正常，树冠枯死枝明显</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每株扣</w:t>
            </w:r>
            <w:r>
              <w:rPr>
                <w:rFonts w:hint="eastAsia" w:ascii="宋体" w:hAnsi="宋体" w:eastAsia="宋体" w:cs="宋体"/>
                <w:color w:val="auto"/>
                <w:sz w:val="21"/>
                <w:szCs w:val="21"/>
                <w:highlight w:val="none"/>
                <w:lang w:val="en-US" w:eastAsia="zh-CN"/>
              </w:rPr>
              <w:t xml:space="preserve">0.2</w:t>
            </w:r>
            <w:r>
              <w:rPr>
                <w:rFonts w:hint="eastAsia" w:ascii="宋体" w:hAnsi="宋体" w:eastAsia="宋体" w:cs="宋体"/>
                <w:color w:val="auto"/>
                <w:sz w:val="21"/>
                <w:szCs w:val="21"/>
                <w:highlight w:val="none"/>
              </w:rPr>
              <w:t xml:space="preserve">分</w:t>
            </w:r>
            <w:r/>
          </w:p>
        </w:tc>
      </w:tr>
      <w:tr>
        <w:trPr>
          <w:trHeight w:val="365"/>
        </w:trPr>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修剪不合理，树冠不匀称</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每株扣</w:t>
            </w:r>
            <w:r>
              <w:rPr>
                <w:rFonts w:hint="eastAsia" w:ascii="宋体" w:hAnsi="宋体" w:eastAsia="宋体" w:cs="宋体"/>
                <w:color w:val="auto"/>
                <w:sz w:val="21"/>
                <w:szCs w:val="21"/>
                <w:highlight w:val="none"/>
                <w:lang w:val="en-US" w:eastAsia="zh-CN"/>
              </w:rPr>
              <w:t xml:space="preserve">0.2</w:t>
            </w:r>
            <w:r>
              <w:rPr>
                <w:rFonts w:hint="eastAsia" w:ascii="宋体" w:hAnsi="宋体" w:eastAsia="宋体" w:cs="宋体"/>
                <w:color w:val="auto"/>
                <w:sz w:val="21"/>
                <w:szCs w:val="21"/>
                <w:highlight w:val="none"/>
              </w:rPr>
              <w:t xml:space="preserve">分</w:t>
            </w:r>
            <w:r/>
          </w:p>
        </w:tc>
      </w:tr>
      <w:tr>
        <w:trPr>
          <w:trHeight w:val="365"/>
        </w:trPr>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剥芽不及时或留芽不合理</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每株扣</w:t>
            </w:r>
            <w:r>
              <w:rPr>
                <w:rFonts w:hint="eastAsia" w:ascii="宋体" w:hAnsi="宋体" w:eastAsia="宋体" w:cs="宋体"/>
                <w:color w:val="auto"/>
                <w:sz w:val="21"/>
                <w:szCs w:val="21"/>
                <w:highlight w:val="none"/>
                <w:lang w:val="en-US" w:eastAsia="zh-CN"/>
              </w:rPr>
              <w:t xml:space="preserve">0.2</w:t>
            </w:r>
            <w:r>
              <w:rPr>
                <w:rFonts w:hint="eastAsia" w:ascii="宋体" w:hAnsi="宋体" w:eastAsia="宋体" w:cs="宋体"/>
                <w:color w:val="auto"/>
                <w:sz w:val="21"/>
                <w:szCs w:val="21"/>
                <w:highlight w:val="none"/>
              </w:rPr>
              <w:t xml:space="preserve">分</w:t>
            </w:r>
            <w:r/>
          </w:p>
        </w:tc>
      </w:tr>
      <w:tr>
        <w:trPr>
          <w:trHeight w:val="365"/>
        </w:trPr>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不进行冬季修剪</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每株扣</w:t>
            </w:r>
            <w:r>
              <w:rPr>
                <w:rFonts w:hint="eastAsia" w:ascii="宋体" w:hAnsi="宋体" w:eastAsia="宋体" w:cs="宋体"/>
                <w:color w:val="auto"/>
                <w:sz w:val="21"/>
                <w:szCs w:val="21"/>
                <w:highlight w:val="none"/>
                <w:lang w:val="en-US" w:eastAsia="zh-CN"/>
              </w:rPr>
              <w:t xml:space="preserve">0.2</w:t>
            </w:r>
            <w:r>
              <w:rPr>
                <w:rFonts w:hint="eastAsia" w:ascii="宋体" w:hAnsi="宋体" w:eastAsia="宋体" w:cs="宋体"/>
                <w:color w:val="auto"/>
                <w:sz w:val="21"/>
                <w:szCs w:val="21"/>
                <w:highlight w:val="none"/>
              </w:rPr>
              <w:t xml:space="preserve">分</w:t>
            </w:r>
            <w:r/>
          </w:p>
        </w:tc>
      </w:tr>
      <w:tr>
        <w:trPr>
          <w:trHeight w:val="365"/>
        </w:trPr>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植物生长状态不佳，长势差</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每株扣</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p>
        </w:tc>
      </w:tr>
      <w:tr>
        <w:trPr>
          <w:trHeight w:val="666"/>
        </w:trPr>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枝条修剪截面不平整，留短桩。截面直径大于2公分的伤口不涂防腐剂</w:t>
            </w:r>
            <w:r/>
          </w:p>
        </w:tc>
        <w:tc>
          <w:tcPr>
            <w:tcBorders>
              <w:top w:val="single" w:color="000000" w:sz="4" w:space="0"/>
              <w:left w:val="none" w:color="000000"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每株扣</w:t>
            </w:r>
            <w:r>
              <w:rPr>
                <w:rFonts w:hint="eastAsia" w:ascii="宋体" w:hAnsi="宋体" w:eastAsia="宋体" w:cs="宋体"/>
                <w:color w:val="auto"/>
                <w:sz w:val="21"/>
                <w:szCs w:val="21"/>
                <w:highlight w:val="none"/>
                <w:lang w:val="en-US" w:eastAsia="zh-CN"/>
              </w:rPr>
              <w:t xml:space="preserve">0.2</w:t>
            </w:r>
            <w:r>
              <w:rPr>
                <w:rFonts w:hint="eastAsia" w:ascii="宋体" w:hAnsi="宋体" w:eastAsia="宋体" w:cs="宋体"/>
                <w:color w:val="auto"/>
                <w:sz w:val="21"/>
                <w:szCs w:val="21"/>
                <w:highlight w:val="none"/>
              </w:rPr>
              <w:t xml:space="preserve">分</w:t>
            </w:r>
            <w:r/>
          </w:p>
        </w:tc>
      </w:tr>
      <w:tr>
        <w:trPr>
          <w:trHeight w:val="666"/>
        </w:trPr>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树干空腐、开裂未按要求处理</w:t>
            </w:r>
            <w:r/>
          </w:p>
        </w:tc>
        <w:tc>
          <w:tcPr>
            <w:tcBorders>
              <w:top w:val="single" w:color="000000" w:sz="4" w:space="0"/>
              <w:left w:val="none" w:color="000000"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每株扣</w:t>
            </w:r>
            <w:r>
              <w:rPr>
                <w:rFonts w:hint="eastAsia" w:ascii="宋体" w:hAnsi="宋体" w:eastAsia="宋体" w:cs="宋体"/>
                <w:color w:val="auto"/>
                <w:sz w:val="21"/>
                <w:szCs w:val="21"/>
                <w:highlight w:val="none"/>
                <w:lang w:val="en-US" w:eastAsia="zh-CN"/>
              </w:rPr>
              <w:t xml:space="preserve">0.2</w:t>
            </w:r>
            <w:r>
              <w:rPr>
                <w:rFonts w:hint="eastAsia" w:ascii="宋体" w:hAnsi="宋体" w:eastAsia="宋体" w:cs="宋体"/>
                <w:color w:val="auto"/>
                <w:sz w:val="21"/>
                <w:szCs w:val="21"/>
                <w:highlight w:val="none"/>
              </w:rPr>
              <w:t xml:space="preserve">分</w:t>
            </w:r>
            <w:r/>
          </w:p>
        </w:tc>
      </w:tr>
      <w:tr>
        <w:trPr>
          <w:trHeight w:val="666"/>
        </w:trPr>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未按规范进行刷白作业</w:t>
            </w:r>
            <w:r/>
          </w:p>
        </w:tc>
        <w:tc>
          <w:tcPr>
            <w:tcBorders>
              <w:top w:val="single" w:color="000000" w:sz="4" w:space="0"/>
              <w:left w:val="none" w:color="000000"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每株扣0.2分</w:t>
            </w:r>
            <w:r/>
          </w:p>
        </w:tc>
      </w:tr>
      <w:tr>
        <w:trPr>
          <w:trHeight w:val="408"/>
        </w:trPr>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树穴内有杂草、杂物、黄土</w:t>
            </w:r>
            <w:r/>
          </w:p>
        </w:tc>
        <w:tc>
          <w:tcPr>
            <w:tcBorders>
              <w:top w:val="single" w:color="000000" w:sz="4" w:space="0"/>
              <w:left w:val="none" w:color="000000"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每株扣</w:t>
            </w:r>
            <w:r>
              <w:rPr>
                <w:rFonts w:hint="eastAsia" w:ascii="宋体" w:hAnsi="宋体" w:eastAsia="宋体" w:cs="宋体"/>
                <w:color w:val="auto"/>
                <w:sz w:val="21"/>
                <w:szCs w:val="21"/>
                <w:highlight w:val="none"/>
                <w:lang w:val="en-US" w:eastAsia="zh-CN"/>
              </w:rPr>
              <w:t xml:space="preserve">0.2</w:t>
            </w:r>
            <w:r>
              <w:rPr>
                <w:rFonts w:hint="eastAsia" w:ascii="宋体" w:hAnsi="宋体" w:eastAsia="宋体" w:cs="宋体"/>
                <w:color w:val="auto"/>
                <w:sz w:val="21"/>
                <w:szCs w:val="21"/>
                <w:highlight w:val="none"/>
              </w:rPr>
              <w:t xml:space="preserve">分</w:t>
            </w:r>
            <w:r/>
          </w:p>
        </w:tc>
      </w:tr>
      <w:tr>
        <w:trPr>
          <w:trHeight w:val="578"/>
        </w:trPr>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5585"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同一路段内，以上各项总数达5%扣0.5分，总数超5%加扣</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p>
        </w:tc>
      </w:tr>
      <w:tr>
        <w:trPr>
          <w:trHeight w:val="439"/>
        </w:trPr>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vMerge w:val="restart"/>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W w:w="1844" w:type="dxa"/>
            <w:vAlign w:val="center"/>
            <w:vMerge w:val="restart"/>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灌木、整形植物及色块修剪及时，整齐无死株，无枯枝败叶，无修后枝叶残存或散落不清理。花灌木能够正常开花结果，观枝植物冬态效果良好。</w:t>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花灌木修剪不合理，开花期不开花</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每株扣</w:t>
            </w:r>
            <w:r>
              <w:rPr>
                <w:rFonts w:hint="eastAsia" w:ascii="宋体" w:hAnsi="宋体" w:eastAsia="宋体" w:cs="宋体"/>
                <w:color w:val="auto"/>
                <w:sz w:val="21"/>
                <w:szCs w:val="21"/>
                <w:highlight w:val="none"/>
                <w:lang w:val="en-US" w:eastAsia="zh-CN"/>
              </w:rPr>
              <w:t xml:space="preserve">0.2</w:t>
            </w:r>
            <w:r>
              <w:rPr>
                <w:rFonts w:hint="eastAsia" w:ascii="宋体" w:hAnsi="宋体" w:eastAsia="宋体" w:cs="宋体"/>
                <w:color w:val="auto"/>
                <w:sz w:val="21"/>
                <w:szCs w:val="21"/>
                <w:highlight w:val="none"/>
              </w:rPr>
              <w:t xml:space="preserve">分</w:t>
            </w:r>
            <w:r/>
          </w:p>
        </w:tc>
      </w:tr>
      <w:tr>
        <w:trPr>
          <w:trHeight w:val="403"/>
        </w:trPr>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生长期有枯枝、病虫枝</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每株扣</w:t>
            </w:r>
            <w:r>
              <w:rPr>
                <w:rFonts w:hint="eastAsia" w:ascii="宋体" w:hAnsi="宋体" w:eastAsia="宋体" w:cs="宋体"/>
                <w:color w:val="auto"/>
                <w:sz w:val="21"/>
                <w:szCs w:val="21"/>
                <w:highlight w:val="none"/>
                <w:lang w:val="en-US" w:eastAsia="zh-CN"/>
              </w:rPr>
              <w:t xml:space="preserve">0.2</w:t>
            </w:r>
            <w:r>
              <w:rPr>
                <w:rFonts w:hint="eastAsia" w:ascii="宋体" w:hAnsi="宋体" w:eastAsia="宋体" w:cs="宋体"/>
                <w:color w:val="auto"/>
                <w:sz w:val="21"/>
                <w:szCs w:val="21"/>
                <w:highlight w:val="none"/>
              </w:rPr>
              <w:t xml:space="preserve">分</w:t>
            </w:r>
            <w:r/>
          </w:p>
        </w:tc>
      </w:tr>
      <w:tr>
        <w:trPr>
          <w:trHeight w:val="602"/>
        </w:trPr>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整形植物（色块、球等）修剪不及时</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每棵（平方米）扣</w:t>
            </w:r>
            <w:r>
              <w:rPr>
                <w:rFonts w:hint="eastAsia" w:ascii="宋体" w:hAnsi="宋体" w:eastAsia="宋体" w:cs="宋体"/>
                <w:color w:val="auto"/>
                <w:sz w:val="21"/>
                <w:szCs w:val="21"/>
                <w:highlight w:val="none"/>
                <w:lang w:val="en-US" w:eastAsia="zh-CN"/>
              </w:rPr>
              <w:t xml:space="preserve">0.2</w:t>
            </w:r>
            <w:r>
              <w:rPr>
                <w:rFonts w:hint="eastAsia" w:ascii="宋体" w:hAnsi="宋体" w:eastAsia="宋体" w:cs="宋体"/>
                <w:color w:val="auto"/>
                <w:sz w:val="21"/>
                <w:szCs w:val="21"/>
                <w:highlight w:val="none"/>
              </w:rPr>
              <w:t xml:space="preserve">分</w:t>
            </w:r>
            <w:r/>
          </w:p>
        </w:tc>
      </w:tr>
      <w:tr>
        <w:trPr>
          <w:trHeight w:val="365"/>
        </w:trPr>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5585"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同一路段以上总数达5%扣0.5分，每超5%加扣</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p>
        </w:tc>
      </w:tr>
      <w:tr>
        <w:trPr>
          <w:trHeight w:val="524"/>
        </w:trPr>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生长期色泽不正常</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每平方米扣</w:t>
            </w:r>
            <w:r>
              <w:rPr>
                <w:rFonts w:hint="eastAsia" w:ascii="宋体" w:hAnsi="宋体" w:eastAsia="宋体" w:cs="宋体"/>
                <w:color w:val="auto"/>
                <w:sz w:val="21"/>
                <w:szCs w:val="21"/>
                <w:highlight w:val="none"/>
                <w:lang w:val="en-US" w:eastAsia="zh-CN"/>
              </w:rPr>
              <w:t xml:space="preserve">0.2</w:t>
            </w:r>
            <w:r>
              <w:rPr>
                <w:rFonts w:hint="eastAsia" w:ascii="宋体" w:hAnsi="宋体" w:eastAsia="宋体" w:cs="宋体"/>
                <w:color w:val="auto"/>
                <w:sz w:val="21"/>
                <w:szCs w:val="21"/>
                <w:highlight w:val="none"/>
              </w:rPr>
              <w:t xml:space="preserve">分</w:t>
            </w:r>
            <w:r/>
          </w:p>
        </w:tc>
      </w:tr>
      <w:tr>
        <w:trPr>
          <w:trHeight w:val="365"/>
        </w:trPr>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有死株、缺株、断档现象</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每处扣</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p>
        </w:tc>
      </w:tr>
      <w:tr>
        <w:trPr>
          <w:trHeight w:val="1021"/>
        </w:trPr>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有杂草、杂物、垃圾等。枝叶表面及球面、篱面有悬挂物、晾晒物</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每处扣</w:t>
            </w:r>
            <w:r>
              <w:rPr>
                <w:rFonts w:hint="eastAsia" w:ascii="宋体" w:hAnsi="宋体" w:eastAsia="宋体" w:cs="宋体"/>
                <w:color w:val="auto"/>
                <w:sz w:val="21"/>
                <w:szCs w:val="21"/>
                <w:highlight w:val="none"/>
                <w:lang w:val="en-US" w:eastAsia="zh-CN"/>
              </w:rPr>
              <w:t xml:space="preserve">0.2</w:t>
            </w:r>
            <w:r>
              <w:rPr>
                <w:rFonts w:hint="eastAsia" w:ascii="宋体" w:hAnsi="宋体" w:eastAsia="宋体" w:cs="宋体"/>
                <w:color w:val="auto"/>
                <w:sz w:val="21"/>
                <w:szCs w:val="21"/>
                <w:highlight w:val="none"/>
              </w:rPr>
              <w:t xml:space="preserve">分</w:t>
            </w:r>
            <w:r/>
          </w:p>
        </w:tc>
      </w:tr>
      <w:tr>
        <w:trPr>
          <w:trHeight w:val="758"/>
        </w:trPr>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未做到修剪成型，层次分明，修剪平面整齐，线条流畅，曲线处弧度圆润丰满</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每处扣</w:t>
            </w:r>
            <w:r>
              <w:rPr>
                <w:rFonts w:hint="eastAsia" w:ascii="宋体" w:hAnsi="宋体" w:eastAsia="宋体" w:cs="宋体"/>
                <w:color w:val="auto"/>
                <w:sz w:val="21"/>
                <w:szCs w:val="21"/>
                <w:highlight w:val="none"/>
                <w:lang w:val="en-US" w:eastAsia="zh-CN"/>
              </w:rPr>
              <w:t xml:space="preserve">0.2</w:t>
            </w:r>
            <w:r>
              <w:rPr>
                <w:rFonts w:hint="eastAsia" w:ascii="宋体" w:hAnsi="宋体" w:eastAsia="宋体" w:cs="宋体"/>
                <w:color w:val="auto"/>
                <w:sz w:val="21"/>
                <w:szCs w:val="21"/>
                <w:highlight w:val="none"/>
              </w:rPr>
              <w:t xml:space="preserve">分</w:t>
            </w:r>
            <w:r/>
          </w:p>
        </w:tc>
      </w:tr>
      <w:tr>
        <w:trPr>
          <w:trHeight w:val="365"/>
        </w:trPr>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vMerge w:val="restart"/>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1844" w:type="dxa"/>
            <w:vAlign w:val="center"/>
            <w:vMerge w:val="restart"/>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草坪生长季节无枯黄，杂草率≤15%，覆盖率达95%以上。修剪及时，修剪高度合理。切边规范。单块空秃面积不超过0.1㎡，无垃圾及堆物，按规程完成养护作业。</w:t>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生长期枯黄、色泽不正常，养护不合要求</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每处扣0.2分</w:t>
            </w:r>
            <w:r/>
          </w:p>
        </w:tc>
      </w:tr>
      <w:tr>
        <w:trPr>
          <w:trHeight w:val="365"/>
        </w:trPr>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none" w:color="000000" w:sz="4" w:space="0"/>
              <w:right w:val="none" w:color="000000"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草坪排水不畅、大雨后积水超2天</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每处扣0.5分</w:t>
            </w:r>
            <w:r/>
          </w:p>
        </w:tc>
      </w:tr>
      <w:tr>
        <w:trPr>
          <w:trHeight w:val="365"/>
        </w:trPr>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同一区域覆盖率95%（含95%）以下</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每处扣0.2分</w:t>
            </w:r>
            <w:r/>
          </w:p>
        </w:tc>
      </w:tr>
      <w:tr>
        <w:trPr>
          <w:trHeight w:val="365"/>
        </w:trPr>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修剪不及时，留草高度不符合规程要求</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每处扣</w:t>
            </w:r>
            <w:r>
              <w:rPr>
                <w:rFonts w:hint="eastAsia" w:ascii="宋体" w:hAnsi="宋体" w:eastAsia="宋体" w:cs="宋体"/>
                <w:color w:val="auto"/>
                <w:sz w:val="21"/>
                <w:szCs w:val="21"/>
                <w:highlight w:val="none"/>
                <w:lang w:val="en-US" w:eastAsia="zh-CN"/>
              </w:rPr>
              <w:t xml:space="preserve">0.2</w:t>
            </w:r>
            <w:r>
              <w:rPr>
                <w:rFonts w:hint="eastAsia" w:ascii="宋体" w:hAnsi="宋体" w:eastAsia="宋体" w:cs="宋体"/>
                <w:color w:val="auto"/>
                <w:sz w:val="21"/>
                <w:szCs w:val="21"/>
                <w:highlight w:val="none"/>
              </w:rPr>
              <w:t xml:space="preserve">分</w:t>
            </w:r>
            <w:r/>
          </w:p>
        </w:tc>
      </w:tr>
      <w:tr>
        <w:trPr>
          <w:trHeight w:val="365"/>
        </w:trPr>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同一区域杂草量超10%（含10%）以上</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每处扣0.2分</w:t>
            </w:r>
            <w:r/>
          </w:p>
        </w:tc>
      </w:tr>
      <w:tr>
        <w:trPr>
          <w:trHeight w:val="365"/>
        </w:trPr>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单块空秃超0.1㎡(30cmx30cm)</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每处扣</w:t>
            </w:r>
            <w:r>
              <w:rPr>
                <w:rFonts w:hint="eastAsia" w:ascii="宋体" w:hAnsi="宋体" w:eastAsia="宋体" w:cs="宋体"/>
                <w:color w:val="auto"/>
                <w:sz w:val="21"/>
                <w:szCs w:val="21"/>
                <w:highlight w:val="none"/>
                <w:lang w:val="en-US" w:eastAsia="zh-CN"/>
              </w:rPr>
              <w:t xml:space="preserve">0.2</w:t>
            </w:r>
            <w:r>
              <w:rPr>
                <w:rFonts w:hint="eastAsia" w:ascii="宋体" w:hAnsi="宋体" w:eastAsia="宋体" w:cs="宋体"/>
                <w:color w:val="auto"/>
                <w:sz w:val="21"/>
                <w:szCs w:val="21"/>
                <w:highlight w:val="none"/>
              </w:rPr>
              <w:t xml:space="preserve">分</w:t>
            </w:r>
            <w:r/>
          </w:p>
        </w:tc>
      </w:tr>
      <w:tr>
        <w:trPr>
          <w:trHeight w:val="365"/>
        </w:trPr>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单块裸土面积超过1㎡</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每处扣</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p>
        </w:tc>
      </w:tr>
      <w:tr>
        <w:trPr>
          <w:trHeight w:val="857"/>
        </w:trPr>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复壮措施不得力，未合理安排打孔梳草、防治病虫害、除杂草、浇水施肥等作业。底草有退化现象</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每处扣0.2分</w:t>
            </w:r>
            <w:r/>
          </w:p>
        </w:tc>
      </w:tr>
      <w:tr>
        <w:trPr>
          <w:trHeight w:val="365"/>
        </w:trPr>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草坪内有垃圾、明显石块</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每处扣</w:t>
            </w:r>
            <w:r>
              <w:rPr>
                <w:rFonts w:hint="eastAsia" w:ascii="宋体" w:hAnsi="宋体" w:eastAsia="宋体" w:cs="宋体"/>
                <w:color w:val="auto"/>
                <w:sz w:val="21"/>
                <w:szCs w:val="21"/>
                <w:highlight w:val="none"/>
                <w:lang w:val="en-US" w:eastAsia="zh-CN"/>
              </w:rPr>
              <w:t xml:space="preserve">0.2</w:t>
            </w:r>
            <w:r>
              <w:rPr>
                <w:rFonts w:hint="eastAsia" w:ascii="宋体" w:hAnsi="宋体" w:eastAsia="宋体" w:cs="宋体"/>
                <w:color w:val="auto"/>
                <w:sz w:val="21"/>
                <w:szCs w:val="21"/>
                <w:highlight w:val="none"/>
              </w:rPr>
              <w:t xml:space="preserve">分</w:t>
            </w:r>
            <w:r/>
          </w:p>
        </w:tc>
      </w:tr>
      <w:tr>
        <w:trPr>
          <w:trHeight w:val="387"/>
        </w:trPr>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vMerge w:val="restart"/>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Borders>
              <w:top w:val="single" w:color="000000" w:sz="4" w:space="0"/>
              <w:left w:val="single" w:color="000000" w:sz="4" w:space="0"/>
              <w:bottom w:val="none" w:color="000000" w:sz="4" w:space="0"/>
              <w:right w:val="single" w:color="000000" w:sz="4" w:space="0"/>
            </w:tcBorders>
            <w:tcW w:w="1844" w:type="dxa"/>
            <w:vAlign w:val="center"/>
            <w:vMerge w:val="restart"/>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地被及攀援植物生长茂盛，枝条繁茂。攀援植物生长期覆盖率不得低于80%。地被植物生长期覆盖率不得低于90%。修剪适时，无枯枝残叶、残花，攀援植物无病弱藤蔓。</w:t>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生长期同一区域覆盖率低90%</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每处扣0.2分</w:t>
            </w:r>
            <w:r/>
          </w:p>
        </w:tc>
      </w:tr>
      <w:tr>
        <w:trPr>
          <w:trHeight w:val="387"/>
        </w:trPr>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none" w:color="000000" w:sz="4" w:space="0"/>
              <w:right w:val="single" w:color="000000" w:sz="4" w:space="0"/>
            </w:tcBorders>
            <w:tcW w:w="1844"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攀缘植物同一区域覆盖面积低于90%</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每处扣</w:t>
            </w:r>
            <w:r>
              <w:rPr>
                <w:rFonts w:hint="eastAsia" w:ascii="宋体" w:hAnsi="宋体" w:eastAsia="宋体" w:cs="宋体"/>
                <w:color w:val="auto"/>
                <w:sz w:val="21"/>
                <w:szCs w:val="21"/>
                <w:highlight w:val="none"/>
                <w:lang w:val="en-US" w:eastAsia="zh-CN"/>
              </w:rPr>
              <w:t xml:space="preserve">0.2</w:t>
            </w:r>
            <w:r>
              <w:rPr>
                <w:rFonts w:hint="eastAsia" w:ascii="宋体" w:hAnsi="宋体" w:eastAsia="宋体" w:cs="宋体"/>
                <w:color w:val="auto"/>
                <w:sz w:val="21"/>
                <w:szCs w:val="21"/>
                <w:highlight w:val="none"/>
              </w:rPr>
              <w:t xml:space="preserve">分</w:t>
            </w:r>
            <w:r/>
          </w:p>
        </w:tc>
      </w:tr>
      <w:tr>
        <w:trPr>
          <w:trHeight w:val="796"/>
        </w:trPr>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none" w:color="000000" w:sz="4" w:space="0"/>
              <w:right w:val="single" w:color="000000" w:sz="4" w:space="0"/>
            </w:tcBorders>
            <w:tcW w:w="1844"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攀缘植物整理不及时影响景观或影响其他植物生长</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枯枝或同一区域残叶超10%</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每处扣</w:t>
            </w:r>
            <w:r>
              <w:rPr>
                <w:rFonts w:hint="eastAsia" w:ascii="宋体" w:hAnsi="宋体" w:eastAsia="宋体" w:cs="宋体"/>
                <w:color w:val="auto"/>
                <w:sz w:val="21"/>
                <w:szCs w:val="21"/>
                <w:highlight w:val="none"/>
                <w:lang w:val="en-US" w:eastAsia="zh-CN"/>
              </w:rPr>
              <w:t xml:space="preserve">,0.2</w:t>
            </w:r>
            <w:r>
              <w:rPr>
                <w:rFonts w:hint="eastAsia" w:ascii="宋体" w:hAnsi="宋体" w:eastAsia="宋体" w:cs="宋体"/>
                <w:color w:val="auto"/>
                <w:sz w:val="21"/>
                <w:szCs w:val="21"/>
                <w:highlight w:val="none"/>
              </w:rPr>
              <w:t xml:space="preserve">分</w:t>
            </w:r>
            <w:r/>
          </w:p>
        </w:tc>
      </w:tr>
      <w:tr>
        <w:trPr>
          <w:trHeight w:val="387"/>
        </w:trPr>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none" w:color="000000" w:sz="4" w:space="0"/>
              <w:right w:val="single" w:color="000000" w:sz="4" w:space="0"/>
            </w:tcBorders>
            <w:tcW w:w="1844"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宿根植物每2～3年不进行分株的</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扣0.5分</w:t>
            </w:r>
            <w:r/>
          </w:p>
        </w:tc>
      </w:tr>
      <w:tr>
        <w:trPr>
          <w:trHeight w:val="570"/>
        </w:trPr>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none" w:color="000000" w:sz="4" w:space="0"/>
              <w:right w:val="single" w:color="000000" w:sz="4" w:space="0"/>
            </w:tcBorders>
            <w:tcW w:w="1844"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同一区域杂草量超10%</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每处扣</w:t>
            </w:r>
            <w:r>
              <w:rPr>
                <w:rFonts w:hint="eastAsia" w:ascii="宋体" w:hAnsi="宋体" w:eastAsia="宋体" w:cs="宋体"/>
                <w:color w:val="auto"/>
                <w:sz w:val="21"/>
                <w:szCs w:val="21"/>
                <w:highlight w:val="none"/>
                <w:lang w:val="en-US" w:eastAsia="zh-CN"/>
              </w:rPr>
              <w:t xml:space="preserve">0.2</w:t>
            </w:r>
            <w:r>
              <w:rPr>
                <w:rFonts w:hint="eastAsia" w:ascii="宋体" w:hAnsi="宋体" w:eastAsia="宋体" w:cs="宋体"/>
                <w:color w:val="auto"/>
                <w:sz w:val="21"/>
                <w:szCs w:val="21"/>
                <w:highlight w:val="none"/>
              </w:rPr>
              <w:t xml:space="preserve">分</w:t>
            </w:r>
            <w:r/>
          </w:p>
        </w:tc>
      </w:tr>
      <w:tr>
        <w:trPr>
          <w:trHeight w:val="365"/>
        </w:trPr>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vMerge w:val="restart"/>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W w:w="1844" w:type="dxa"/>
            <w:vAlign w:val="center"/>
            <w:vMerge w:val="restart"/>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草花无缺株倒伏，无枯枝残花（残花量≤10%），花期整齐，覆盖面积达85%以上。花境花卉层次分明，高矮有序。</w:t>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草花缺株</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每处扣</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p>
        </w:tc>
      </w:tr>
      <w:tr>
        <w:trPr>
          <w:trHeight w:val="365"/>
        </w:trPr>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同一区域盛花期开花不整齐</w:t>
            </w:r>
            <w:r>
              <w:rPr>
                <w:rFonts w:hint="eastAsia" w:ascii="宋体" w:hAnsi="宋体" w:eastAsia="宋体" w:cs="宋体"/>
                <w:color w:val="auto"/>
                <w:sz w:val="21"/>
                <w:szCs w:val="21"/>
                <w:highlight w:val="none"/>
                <w:lang w:val="en-US" w:eastAsia="zh-CN"/>
              </w:rPr>
              <w:t xml:space="preserve">或</w:t>
            </w:r>
            <w:r>
              <w:rPr>
                <w:rFonts w:hint="eastAsia" w:ascii="宋体" w:hAnsi="宋体" w:eastAsia="宋体" w:cs="宋体"/>
                <w:color w:val="auto"/>
                <w:sz w:val="21"/>
                <w:szCs w:val="21"/>
                <w:highlight w:val="none"/>
              </w:rPr>
              <w:t xml:space="preserve">覆盖面低于85%</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每处扣0.2分</w:t>
            </w:r>
            <w:r/>
          </w:p>
        </w:tc>
      </w:tr>
      <w:tr>
        <w:trPr>
          <w:trHeight w:val="569"/>
        </w:trPr>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开花期残花未处理，同一区域残花量超10%</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每处扣</w:t>
            </w:r>
            <w:r>
              <w:rPr>
                <w:rFonts w:hint="eastAsia" w:ascii="宋体" w:hAnsi="宋体" w:eastAsia="宋体" w:cs="宋体"/>
                <w:color w:val="auto"/>
                <w:sz w:val="21"/>
                <w:szCs w:val="21"/>
                <w:highlight w:val="none"/>
                <w:lang w:val="en-US" w:eastAsia="zh-CN"/>
              </w:rPr>
              <w:t xml:space="preserve">0.2</w:t>
            </w:r>
            <w:r>
              <w:rPr>
                <w:rFonts w:hint="eastAsia" w:ascii="宋体" w:hAnsi="宋体" w:eastAsia="宋体" w:cs="宋体"/>
                <w:color w:val="auto"/>
                <w:sz w:val="21"/>
                <w:szCs w:val="21"/>
                <w:highlight w:val="none"/>
              </w:rPr>
              <w:t xml:space="preserve">分</w:t>
            </w:r>
            <w:r/>
          </w:p>
        </w:tc>
      </w:tr>
      <w:tr>
        <w:trPr>
          <w:trHeight w:val="365"/>
        </w:trPr>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观花植物结籽、观叶植物开花</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每处扣0.2分</w:t>
            </w:r>
            <w:r/>
          </w:p>
        </w:tc>
      </w:tr>
      <w:tr>
        <w:trPr>
          <w:trHeight w:val="578"/>
        </w:trPr>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种植土质量差、高于侧石不利浇水，引起土壤冲刷</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每处扣</w:t>
            </w:r>
            <w:r>
              <w:rPr>
                <w:rFonts w:hint="eastAsia" w:ascii="宋体" w:hAnsi="宋体" w:eastAsia="宋体" w:cs="宋体"/>
                <w:color w:val="auto"/>
                <w:sz w:val="21"/>
                <w:szCs w:val="21"/>
                <w:highlight w:val="none"/>
                <w:lang w:val="en-US" w:eastAsia="zh-CN"/>
              </w:rPr>
              <w:t xml:space="preserve">0.2</w:t>
            </w:r>
            <w:r>
              <w:rPr>
                <w:rFonts w:hint="eastAsia" w:ascii="宋体" w:hAnsi="宋体" w:eastAsia="宋体" w:cs="宋体"/>
                <w:color w:val="auto"/>
                <w:sz w:val="21"/>
                <w:szCs w:val="21"/>
                <w:highlight w:val="none"/>
              </w:rPr>
              <w:t xml:space="preserve">分</w:t>
            </w:r>
            <w:r/>
          </w:p>
        </w:tc>
      </w:tr>
      <w:tr>
        <w:trPr>
          <w:trHeight w:val="850"/>
        </w:trPr>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观花植物没有适时开花，群体效果差、有倒伏现象，花卉色彩不鲜艳，观赏期短</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每处扣</w:t>
            </w:r>
            <w:r>
              <w:rPr>
                <w:rFonts w:hint="eastAsia" w:ascii="宋体" w:hAnsi="宋体" w:eastAsia="宋体" w:cs="宋体"/>
                <w:color w:val="auto"/>
                <w:sz w:val="21"/>
                <w:szCs w:val="21"/>
                <w:highlight w:val="none"/>
                <w:lang w:val="en-US" w:eastAsia="zh-CN"/>
              </w:rPr>
              <w:t xml:space="preserve">0.2</w:t>
            </w:r>
            <w:r>
              <w:rPr>
                <w:rFonts w:hint="eastAsia" w:ascii="宋体" w:hAnsi="宋体" w:eastAsia="宋体" w:cs="宋体"/>
                <w:color w:val="auto"/>
                <w:sz w:val="21"/>
                <w:szCs w:val="21"/>
                <w:highlight w:val="none"/>
              </w:rPr>
              <w:t xml:space="preserve">分</w:t>
            </w:r>
            <w:r/>
          </w:p>
        </w:tc>
      </w:tr>
      <w:tr>
        <w:trPr>
          <w:trHeight w:val="774"/>
        </w:trPr>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季节性草花花期过后，不根据</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要求及时更换或擅自更换成草坪、板块苗等</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每处扣</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p>
        </w:tc>
      </w:tr>
      <w:tr>
        <w:trPr>
          <w:trHeight w:val="857"/>
        </w:trPr>
        <w:tc>
          <w:tcPr>
            <w:tcBorders>
              <w:top w:val="single" w:color="000000" w:sz="4" w:space="0"/>
              <w:left w:val="single" w:color="000000" w:sz="4" w:space="0"/>
              <w:bottom w:val="single" w:color="000000" w:sz="4" w:space="0"/>
              <w:right w:val="single" w:color="000000" w:sz="4" w:space="0"/>
            </w:tcBorders>
            <w:tcW w:w="407" w:type="dxa"/>
            <w:vAlign w:val="center"/>
            <w:vMerge w:val="restart"/>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613" w:type="dxa"/>
            <w:vAlign w:val="center"/>
            <w:vMerge w:val="restart"/>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植物保存率</w:t>
            </w:r>
            <w:r/>
          </w:p>
        </w:tc>
        <w:tc>
          <w:tcPr>
            <w:tcBorders>
              <w:top w:val="single" w:color="000000" w:sz="4" w:space="0"/>
              <w:left w:val="single" w:color="000000" w:sz="4" w:space="0"/>
              <w:bottom w:val="single" w:color="000000" w:sz="4" w:space="0"/>
              <w:right w:val="single" w:color="000000" w:sz="4" w:space="0"/>
            </w:tcBorders>
            <w:tcW w:w="652" w:type="dxa"/>
            <w:vAlign w:val="center"/>
            <w:vMerge w:val="restart"/>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tcBorders>
              <w:top w:val="single" w:color="000000" w:sz="4" w:space="0"/>
              <w:left w:val="single" w:color="000000" w:sz="4" w:space="0"/>
              <w:bottom w:val="single" w:color="000000" w:sz="4" w:space="0"/>
              <w:right w:val="single" w:color="000000" w:sz="4" w:space="0"/>
            </w:tcBorders>
            <w:tcW w:w="1844" w:type="dxa"/>
            <w:vAlign w:val="center"/>
            <w:vMerge w:val="restart"/>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行道树保存率100%，道路绿化带植物保存率98%以上，无死株，重要景观树不得缺株。</w:t>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同一路段行道树和成行或排种植于隔离带乔木保存率应为100%；每缺一棵（行道树可参考第一项）</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扣</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p>
        </w:tc>
      </w:tr>
      <w:tr>
        <w:trPr>
          <w:trHeight w:val="578"/>
        </w:trPr>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其他植物种植同一区域保存率98%以下，每增加0.1个百分点</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扣</w:t>
            </w:r>
            <w:r>
              <w:rPr>
                <w:rFonts w:hint="eastAsia" w:ascii="宋体" w:hAnsi="宋体" w:eastAsia="宋体" w:cs="宋体"/>
                <w:color w:val="auto"/>
                <w:sz w:val="21"/>
                <w:szCs w:val="21"/>
                <w:highlight w:val="none"/>
                <w:lang w:val="en-US" w:eastAsia="zh-CN"/>
              </w:rPr>
              <w:t xml:space="preserve">0.2</w:t>
            </w:r>
            <w:r>
              <w:rPr>
                <w:rFonts w:hint="eastAsia" w:ascii="宋体" w:hAnsi="宋体" w:eastAsia="宋体" w:cs="宋体"/>
                <w:color w:val="auto"/>
                <w:sz w:val="21"/>
                <w:szCs w:val="21"/>
                <w:highlight w:val="none"/>
              </w:rPr>
              <w:t xml:space="preserve">分</w:t>
            </w:r>
            <w:r/>
          </w:p>
        </w:tc>
      </w:tr>
      <w:tr>
        <w:trPr>
          <w:trHeight w:val="365"/>
        </w:trPr>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重要景观树缺株</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每株扣</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tc>
      </w:tr>
      <w:tr>
        <w:trPr>
          <w:trHeight w:val="365"/>
        </w:trPr>
        <w:tc>
          <w:tcPr>
            <w:tcBorders>
              <w:top w:val="single" w:color="000000" w:sz="4" w:space="0"/>
              <w:left w:val="single" w:color="000000" w:sz="4" w:space="0"/>
              <w:bottom w:val="single" w:color="000000" w:sz="4" w:space="0"/>
              <w:right w:val="single" w:color="000000" w:sz="4" w:space="0"/>
            </w:tcBorders>
            <w:tcW w:w="407" w:type="dxa"/>
            <w:vAlign w:val="center"/>
            <w:vMerge w:val="restart"/>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613" w:type="dxa"/>
            <w:vAlign w:val="center"/>
            <w:vMerge w:val="restart"/>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设施维护</w:t>
            </w:r>
            <w:r/>
          </w:p>
        </w:tc>
        <w:tc>
          <w:tcPr>
            <w:tcBorders>
              <w:top w:val="single" w:color="000000" w:sz="4" w:space="0"/>
              <w:left w:val="single" w:color="000000" w:sz="4" w:space="0"/>
              <w:bottom w:val="single" w:color="000000" w:sz="4" w:space="0"/>
              <w:right w:val="single" w:color="000000" w:sz="4" w:space="0"/>
            </w:tcBorders>
            <w:tcW w:w="652" w:type="dxa"/>
            <w:vAlign w:val="center"/>
            <w:vMerge w:val="restart"/>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w:t>
            </w:r>
            <w:r/>
          </w:p>
        </w:tc>
        <w:tc>
          <w:tcPr>
            <w:tcBorders>
              <w:top w:val="single" w:color="000000" w:sz="4" w:space="0"/>
              <w:left w:val="single" w:color="000000" w:sz="4" w:space="0"/>
              <w:bottom w:val="single" w:color="000000" w:sz="4" w:space="0"/>
              <w:right w:val="single" w:color="000000" w:sz="4" w:space="0"/>
            </w:tcBorders>
            <w:tcW w:w="1844" w:type="dxa"/>
            <w:vAlign w:val="center"/>
            <w:vMerge w:val="restart"/>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树木支撑规范、统一，无断桩、坏桩，桩位扎缚规范化，根据植物生长情况及时松绑清理。</w:t>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支撑不整齐、不规范</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每处扣</w:t>
            </w:r>
            <w:r>
              <w:rPr>
                <w:rFonts w:hint="eastAsia" w:ascii="宋体" w:hAnsi="宋体" w:eastAsia="宋体" w:cs="宋体"/>
                <w:color w:val="auto"/>
                <w:sz w:val="21"/>
                <w:szCs w:val="21"/>
                <w:highlight w:val="none"/>
                <w:lang w:val="en-US" w:eastAsia="zh-CN"/>
              </w:rPr>
              <w:t xml:space="preserve">0.2</w:t>
            </w:r>
            <w:r>
              <w:rPr>
                <w:rFonts w:hint="eastAsia" w:ascii="宋体" w:hAnsi="宋体" w:eastAsia="宋体" w:cs="宋体"/>
                <w:color w:val="auto"/>
                <w:sz w:val="21"/>
                <w:szCs w:val="21"/>
                <w:highlight w:val="none"/>
              </w:rPr>
              <w:t xml:space="preserve">分</w:t>
            </w:r>
            <w:r/>
          </w:p>
        </w:tc>
      </w:tr>
      <w:tr>
        <w:trPr>
          <w:trHeight w:val="365"/>
        </w:trPr>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不及时清理包扎草绳</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裹树布等</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每株扣</w:t>
            </w:r>
            <w:r>
              <w:rPr>
                <w:rFonts w:hint="eastAsia" w:ascii="宋体" w:hAnsi="宋体" w:eastAsia="宋体" w:cs="宋体"/>
                <w:color w:val="auto"/>
                <w:sz w:val="21"/>
                <w:szCs w:val="21"/>
                <w:highlight w:val="none"/>
                <w:lang w:val="en-US" w:eastAsia="zh-CN"/>
              </w:rPr>
              <w:t xml:space="preserve">0.2</w:t>
            </w:r>
            <w:r>
              <w:rPr>
                <w:rFonts w:hint="eastAsia" w:ascii="宋体" w:hAnsi="宋体" w:eastAsia="宋体" w:cs="宋体"/>
                <w:color w:val="auto"/>
                <w:sz w:val="21"/>
                <w:szCs w:val="21"/>
                <w:highlight w:val="none"/>
              </w:rPr>
              <w:t xml:space="preserve">分</w:t>
            </w:r>
            <w:r/>
          </w:p>
        </w:tc>
      </w:tr>
      <w:tr>
        <w:trPr>
          <w:trHeight w:val="850"/>
        </w:trPr>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树体上</w:t>
            </w:r>
            <w:r>
              <w:rPr>
                <w:rFonts w:hint="eastAsia" w:ascii="宋体" w:hAnsi="宋体" w:eastAsia="宋体" w:cs="宋体"/>
                <w:color w:val="auto"/>
                <w:sz w:val="21"/>
                <w:szCs w:val="21"/>
                <w:highlight w:val="none"/>
                <w:lang w:val="en-US" w:eastAsia="zh-CN"/>
              </w:rPr>
              <w:t xml:space="preserve">存在</w:t>
            </w:r>
            <w:r>
              <w:rPr>
                <w:rFonts w:hint="eastAsia" w:ascii="宋体" w:hAnsi="宋体" w:eastAsia="宋体" w:cs="宋体"/>
                <w:color w:val="auto"/>
                <w:sz w:val="21"/>
                <w:szCs w:val="21"/>
                <w:highlight w:val="none"/>
              </w:rPr>
              <w:t xml:space="preserve">钉子、铁丝、拴挂杂物、缠绕各类电线线缆</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每处扣0.2分</w:t>
            </w:r>
            <w:r/>
          </w:p>
        </w:tc>
      </w:tr>
      <w:tr>
        <w:trPr>
          <w:trHeight w:val="452"/>
        </w:trPr>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vMerge w:val="restart"/>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w:t>
            </w:r>
            <w:r/>
          </w:p>
        </w:tc>
        <w:tc>
          <w:tcPr>
            <w:tcBorders>
              <w:top w:val="single" w:color="000000" w:sz="4" w:space="0"/>
              <w:left w:val="single" w:color="000000" w:sz="4" w:space="0"/>
              <w:bottom w:val="single" w:color="000000" w:sz="4" w:space="0"/>
              <w:right w:val="single" w:color="000000" w:sz="4" w:space="0"/>
            </w:tcBorders>
            <w:tcW w:w="1844" w:type="dxa"/>
            <w:vAlign w:val="center"/>
            <w:vMerge w:val="restart"/>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园林设施（桌椅、路灯、井盖和牌示）完好、放置整齐、保持清洁。</w:t>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绿地合同内设施破损，不及时维修</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每处扣0.2分</w:t>
            </w:r>
            <w:r/>
          </w:p>
        </w:tc>
      </w:tr>
      <w:tr>
        <w:trPr>
          <w:trHeight w:val="695"/>
        </w:trPr>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非合同内设施损坏，不及时通知有关业主，并无临时安全补救措施的</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每处扣</w:t>
            </w:r>
            <w:r>
              <w:rPr>
                <w:rFonts w:hint="eastAsia" w:ascii="宋体" w:hAnsi="宋体" w:eastAsia="宋体" w:cs="宋体"/>
                <w:color w:val="auto"/>
                <w:sz w:val="21"/>
                <w:szCs w:val="21"/>
                <w:highlight w:val="none"/>
                <w:lang w:val="en-US" w:eastAsia="zh-CN"/>
              </w:rPr>
              <w:t xml:space="preserve">0.2</w:t>
            </w:r>
            <w:r>
              <w:rPr>
                <w:rFonts w:hint="eastAsia" w:ascii="宋体" w:hAnsi="宋体" w:eastAsia="宋体" w:cs="宋体"/>
                <w:color w:val="auto"/>
                <w:sz w:val="21"/>
                <w:szCs w:val="21"/>
                <w:highlight w:val="none"/>
              </w:rPr>
              <w:t xml:space="preserve">分</w:t>
            </w:r>
            <w:r/>
          </w:p>
        </w:tc>
      </w:tr>
      <w:tr>
        <w:trPr>
          <w:trHeight w:val="365"/>
        </w:trPr>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vMerge w:val="restart"/>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w:t>
            </w:r>
            <w:r/>
          </w:p>
        </w:tc>
        <w:tc>
          <w:tcPr>
            <w:tcBorders>
              <w:top w:val="single" w:color="000000" w:sz="4" w:space="0"/>
              <w:left w:val="single" w:color="000000" w:sz="4" w:space="0"/>
              <w:bottom w:val="single" w:color="000000" w:sz="4" w:space="0"/>
              <w:right w:val="single" w:color="000000" w:sz="4" w:space="0"/>
            </w:tcBorders>
            <w:tcW w:w="1844" w:type="dxa"/>
            <w:vAlign w:val="center"/>
            <w:vMerge w:val="restart"/>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建筑小品、道路等基础设施维护完整（园路、铺装、亭、廊、金属构件等）。</w:t>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合同内设施具有安全隐患</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每处扣0.5分</w:t>
            </w:r>
            <w:r/>
          </w:p>
        </w:tc>
      </w:tr>
      <w:tr>
        <w:trPr>
          <w:trHeight w:val="365"/>
        </w:trPr>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园路破损不维修</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每处扣0.2分</w:t>
            </w:r>
            <w:r/>
          </w:p>
        </w:tc>
      </w:tr>
      <w:tr>
        <w:trPr>
          <w:trHeight w:val="365"/>
        </w:trPr>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非自有设施原因造成市民伤亡的</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扣1分</w:t>
            </w:r>
            <w:r/>
          </w:p>
        </w:tc>
      </w:tr>
      <w:tr>
        <w:trPr>
          <w:trHeight w:val="365"/>
        </w:trPr>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因合同内设施原因造成市民伤亡的</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扣</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tc>
      </w:tr>
      <w:tr>
        <w:trPr>
          <w:trHeight w:val="365"/>
        </w:trPr>
        <w:tc>
          <w:tcPr>
            <w:tcBorders>
              <w:top w:val="single" w:color="000000" w:sz="4" w:space="0"/>
              <w:left w:val="single" w:color="000000" w:sz="4" w:space="0"/>
              <w:bottom w:val="single" w:color="000000" w:sz="4" w:space="0"/>
              <w:right w:val="single" w:color="000000" w:sz="4" w:space="0"/>
            </w:tcBorders>
            <w:tcW w:w="407" w:type="dxa"/>
            <w:vAlign w:val="center"/>
            <w:vMerge w:val="restart"/>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613" w:type="dxa"/>
            <w:vAlign w:val="center"/>
            <w:vMerge w:val="restart"/>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绿地管理</w:t>
            </w:r>
            <w:r/>
          </w:p>
        </w:tc>
        <w:tc>
          <w:tcPr>
            <w:tcBorders>
              <w:top w:val="single" w:color="000000" w:sz="4" w:space="0"/>
              <w:left w:val="single" w:color="000000" w:sz="4" w:space="0"/>
              <w:bottom w:val="single" w:color="000000" w:sz="4" w:space="0"/>
              <w:right w:val="single" w:color="000000" w:sz="4" w:space="0"/>
            </w:tcBorders>
            <w:tcW w:w="652" w:type="dxa"/>
            <w:vAlign w:val="center"/>
            <w:vMerge w:val="restart"/>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w:t>
            </w:r>
            <w:r/>
          </w:p>
        </w:tc>
        <w:tc>
          <w:tcPr>
            <w:tcBorders>
              <w:top w:val="single" w:color="000000" w:sz="4" w:space="0"/>
              <w:left w:val="single" w:color="000000" w:sz="4" w:space="0"/>
              <w:bottom w:val="single" w:color="000000" w:sz="4" w:space="0"/>
              <w:right w:val="single" w:color="000000" w:sz="4" w:space="0"/>
            </w:tcBorders>
            <w:tcW w:w="1844" w:type="dxa"/>
            <w:vAlign w:val="center"/>
            <w:vMerge w:val="restart"/>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绿地内无白色垃圾或悬挂物，无大型杂草及缠绕、攀援性杂草，水面无漂浮杂物、无杂生水生植物。道路绿化植物叶面无积尘。废弃物（如树枝、树叶、草屑等），重点地区随产随清，其他地区二日内清除干净。</w:t>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绿地内各类垃圾不及时清理</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每处扣</w:t>
            </w:r>
            <w:r>
              <w:rPr>
                <w:rFonts w:hint="eastAsia" w:ascii="宋体" w:hAnsi="宋体" w:eastAsia="宋体" w:cs="宋体"/>
                <w:color w:val="auto"/>
                <w:sz w:val="21"/>
                <w:szCs w:val="21"/>
                <w:highlight w:val="none"/>
                <w:lang w:val="en-US" w:eastAsia="zh-CN"/>
              </w:rPr>
              <w:t xml:space="preserve">0.2</w:t>
            </w:r>
            <w:r>
              <w:rPr>
                <w:rFonts w:hint="eastAsia" w:ascii="宋体" w:hAnsi="宋体" w:eastAsia="宋体" w:cs="宋体"/>
                <w:color w:val="auto"/>
                <w:sz w:val="21"/>
                <w:szCs w:val="21"/>
                <w:highlight w:val="none"/>
              </w:rPr>
              <w:t xml:space="preserve">分</w:t>
            </w:r>
            <w:r/>
          </w:p>
        </w:tc>
      </w:tr>
      <w:tr>
        <w:trPr>
          <w:trHeight w:val="365"/>
        </w:trPr>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水面有漂浮物</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每处</w:t>
            </w:r>
            <w:r>
              <w:rPr>
                <w:rFonts w:hint="eastAsia" w:ascii="宋体" w:hAnsi="宋体" w:eastAsia="宋体" w:cs="宋体"/>
                <w:color w:val="auto"/>
                <w:sz w:val="21"/>
                <w:szCs w:val="21"/>
                <w:highlight w:val="none"/>
              </w:rPr>
              <w:t xml:space="preserve">扣</w:t>
            </w:r>
            <w:r>
              <w:rPr>
                <w:rFonts w:hint="eastAsia" w:ascii="宋体" w:hAnsi="宋体" w:eastAsia="宋体" w:cs="宋体"/>
                <w:color w:val="auto"/>
                <w:sz w:val="21"/>
                <w:szCs w:val="21"/>
                <w:highlight w:val="none"/>
                <w:lang w:val="en-US" w:eastAsia="zh-CN"/>
              </w:rPr>
              <w:t xml:space="preserve">0.2</w:t>
            </w:r>
            <w:r>
              <w:rPr>
                <w:rFonts w:hint="eastAsia" w:ascii="宋体" w:hAnsi="宋体" w:eastAsia="宋体" w:cs="宋体"/>
                <w:color w:val="auto"/>
                <w:sz w:val="21"/>
                <w:szCs w:val="21"/>
                <w:highlight w:val="none"/>
              </w:rPr>
              <w:t xml:space="preserve">分</w:t>
            </w:r>
            <w:r/>
          </w:p>
        </w:tc>
      </w:tr>
      <w:tr>
        <w:trPr>
          <w:trHeight w:val="816"/>
        </w:trPr>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重点地段作业剩余物未随产随清，其他地段两日内未清理</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每处扣</w:t>
            </w:r>
            <w:r>
              <w:rPr>
                <w:rFonts w:hint="eastAsia" w:ascii="宋体" w:hAnsi="宋体" w:eastAsia="宋体" w:cs="宋体"/>
                <w:color w:val="auto"/>
                <w:sz w:val="21"/>
                <w:szCs w:val="21"/>
                <w:highlight w:val="none"/>
                <w:lang w:val="en-US" w:eastAsia="zh-CN"/>
              </w:rPr>
              <w:t xml:space="preserve">0.2</w:t>
            </w:r>
            <w:r>
              <w:rPr>
                <w:rFonts w:hint="eastAsia" w:ascii="宋体" w:hAnsi="宋体" w:eastAsia="宋体" w:cs="宋体"/>
                <w:color w:val="auto"/>
                <w:sz w:val="21"/>
                <w:szCs w:val="21"/>
                <w:highlight w:val="none"/>
              </w:rPr>
              <w:t xml:space="preserve">分</w:t>
            </w:r>
            <w:r/>
          </w:p>
        </w:tc>
      </w:tr>
      <w:tr>
        <w:trPr>
          <w:trHeight w:val="924"/>
        </w:trPr>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养护区域内垃圾箱有明显灰尘，未按要求套好垃圾袋，不及时清理垃圾箱内的垃圾，垃圾满溢</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每处扣</w:t>
            </w:r>
            <w:r>
              <w:rPr>
                <w:rFonts w:hint="eastAsia" w:ascii="宋体" w:hAnsi="宋体" w:eastAsia="宋体" w:cs="宋体"/>
                <w:color w:val="auto"/>
                <w:sz w:val="21"/>
                <w:szCs w:val="21"/>
                <w:highlight w:val="none"/>
                <w:lang w:val="en-US" w:eastAsia="zh-CN"/>
              </w:rPr>
              <w:t xml:space="preserve">0.2</w:t>
            </w:r>
            <w:r>
              <w:rPr>
                <w:rFonts w:hint="eastAsia" w:ascii="宋体" w:hAnsi="宋体" w:eastAsia="宋体" w:cs="宋体"/>
                <w:color w:val="auto"/>
                <w:sz w:val="21"/>
                <w:szCs w:val="21"/>
                <w:highlight w:val="none"/>
              </w:rPr>
              <w:t xml:space="preserve">分</w:t>
            </w:r>
            <w:r/>
          </w:p>
        </w:tc>
      </w:tr>
      <w:tr>
        <w:trPr>
          <w:trHeight w:val="796"/>
        </w:trPr>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垃圾箱标识没有按照要求统一、规范张贴，有破损、字迹模糊等现象</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每处扣</w:t>
            </w:r>
            <w:r>
              <w:rPr>
                <w:rFonts w:hint="eastAsia" w:ascii="宋体" w:hAnsi="宋体" w:eastAsia="宋体" w:cs="宋体"/>
                <w:color w:val="auto"/>
                <w:sz w:val="21"/>
                <w:szCs w:val="21"/>
                <w:highlight w:val="none"/>
                <w:lang w:val="en-US" w:eastAsia="zh-CN"/>
              </w:rPr>
              <w:t xml:space="preserve">0.2</w:t>
            </w:r>
            <w:r>
              <w:rPr>
                <w:rFonts w:hint="eastAsia" w:ascii="宋体" w:hAnsi="宋体" w:eastAsia="宋体" w:cs="宋体"/>
                <w:color w:val="auto"/>
                <w:sz w:val="21"/>
                <w:szCs w:val="21"/>
                <w:highlight w:val="none"/>
              </w:rPr>
              <w:t xml:space="preserve">分</w:t>
            </w:r>
            <w:r/>
          </w:p>
        </w:tc>
      </w:tr>
      <w:tr>
        <w:trPr>
          <w:trHeight w:val="1153"/>
        </w:trPr>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vMerge w:val="restart"/>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w:t>
            </w:r>
            <w:r/>
          </w:p>
        </w:tc>
        <w:tc>
          <w:tcPr>
            <w:tcBorders>
              <w:top w:val="single" w:color="000000" w:sz="4" w:space="0"/>
              <w:left w:val="single" w:color="000000" w:sz="4" w:space="0"/>
              <w:bottom w:val="single" w:color="000000" w:sz="4" w:space="0"/>
              <w:right w:val="single" w:color="000000" w:sz="4" w:space="0"/>
            </w:tcBorders>
            <w:tcW w:w="1844" w:type="dxa"/>
            <w:vAlign w:val="center"/>
            <w:vMerge w:val="restart"/>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巡查绿地，及时制止擅自移植或损坏绿地内的园林植物及设施的行为，并于1个工作日内书面报告，不得发生媒体曝光和市民投诉。及时回复整改单。</w:t>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非法侵占绿地未阻止，24小时内不上报</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扣</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p>
        </w:tc>
      </w:tr>
      <w:tr>
        <w:trPr>
          <w:trHeight w:val="997"/>
        </w:trPr>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经媒体曝光或市民投诉，确因管理原因</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扣</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tc>
      </w:tr>
      <w:tr>
        <w:trPr>
          <w:trHeight w:val="578"/>
        </w:trPr>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vMerge w:val="restart"/>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w:t>
            </w:r>
            <w:r/>
          </w:p>
        </w:tc>
        <w:tc>
          <w:tcPr>
            <w:tcBorders>
              <w:top w:val="single" w:color="000000" w:sz="4" w:space="0"/>
              <w:left w:val="single" w:color="000000" w:sz="4" w:space="0"/>
              <w:bottom w:val="single" w:color="000000" w:sz="4" w:space="0"/>
              <w:right w:val="single" w:color="000000" w:sz="4" w:space="0"/>
            </w:tcBorders>
            <w:tcW w:w="1844" w:type="dxa"/>
            <w:vAlign w:val="center"/>
            <w:vMerge w:val="restart"/>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绿地及时合理浇水、排水，有防灾措施，对危树及时采取修枝、加固或更换等措施。</w:t>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干旱时浇水不及时，引起植物萎蔫</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每50㎡扣</w:t>
            </w:r>
            <w:r>
              <w:rPr>
                <w:rFonts w:hint="eastAsia" w:ascii="宋体" w:hAnsi="宋体" w:eastAsia="宋体" w:cs="宋体"/>
                <w:color w:val="auto"/>
                <w:sz w:val="21"/>
                <w:szCs w:val="21"/>
                <w:highlight w:val="none"/>
                <w:lang w:val="en-US" w:eastAsia="zh-CN"/>
              </w:rPr>
              <w:t xml:space="preserve">0.2</w:t>
            </w:r>
            <w:r>
              <w:rPr>
                <w:rFonts w:hint="eastAsia" w:ascii="宋体" w:hAnsi="宋体" w:eastAsia="宋体" w:cs="宋体"/>
                <w:color w:val="auto"/>
                <w:sz w:val="21"/>
                <w:szCs w:val="21"/>
                <w:highlight w:val="none"/>
              </w:rPr>
              <w:t xml:space="preserve">分</w:t>
            </w:r>
            <w:r/>
          </w:p>
        </w:tc>
      </w:tr>
      <w:tr>
        <w:trPr>
          <w:trHeight w:val="578"/>
        </w:trPr>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干旱时浇水不及时，引起植物死亡</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每50㎡扣</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p>
        </w:tc>
      </w:tr>
      <w:tr>
        <w:trPr>
          <w:trHeight w:val="578"/>
        </w:trPr>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雨后积水超过2天</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每50㎡扣</w:t>
            </w:r>
            <w:r>
              <w:rPr>
                <w:rFonts w:hint="eastAsia" w:ascii="宋体" w:hAnsi="宋体" w:eastAsia="宋体" w:cs="宋体"/>
                <w:color w:val="auto"/>
                <w:sz w:val="21"/>
                <w:szCs w:val="21"/>
                <w:highlight w:val="none"/>
                <w:lang w:val="en-US" w:eastAsia="zh-CN"/>
              </w:rPr>
              <w:t xml:space="preserve">0.2</w:t>
            </w:r>
            <w:r>
              <w:rPr>
                <w:rFonts w:hint="eastAsia" w:ascii="宋体" w:hAnsi="宋体" w:eastAsia="宋体" w:cs="宋体"/>
                <w:color w:val="auto"/>
                <w:sz w:val="21"/>
                <w:szCs w:val="21"/>
                <w:highlight w:val="none"/>
              </w:rPr>
              <w:t xml:space="preserve">分</w:t>
            </w:r>
            <w:r/>
          </w:p>
        </w:tc>
      </w:tr>
      <w:tr>
        <w:trPr>
          <w:trHeight w:val="569"/>
        </w:trPr>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倒伏树木、断桩不及时处理，存在安全隐患</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每处扣</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p>
        </w:tc>
      </w:tr>
      <w:tr>
        <w:trPr>
          <w:trHeight w:val="365"/>
        </w:trPr>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危树不处理</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每株扣</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p>
        </w:tc>
      </w:tr>
      <w:tr>
        <w:trPr>
          <w:trHeight w:val="569"/>
        </w:trPr>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vMerge w:val="restart"/>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w:t>
            </w:r>
            <w:r/>
          </w:p>
        </w:tc>
        <w:tc>
          <w:tcPr>
            <w:tcBorders>
              <w:top w:val="single" w:color="000000" w:sz="4" w:space="0"/>
              <w:left w:val="single" w:color="000000" w:sz="4" w:space="0"/>
              <w:bottom w:val="single" w:color="000000" w:sz="4" w:space="0"/>
              <w:right w:val="single" w:color="000000" w:sz="4" w:space="0"/>
            </w:tcBorders>
            <w:tcW w:w="1844" w:type="dxa"/>
            <w:vAlign w:val="center"/>
            <w:vMerge w:val="restart"/>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养护管理人员到位，养护作业人员必须统一着装，标识明显，做到文明作业。养护作业时使用同一标识的水车。</w:t>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浇水、喷药影响交通或妨碍市民正常生活</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每次扣</w:t>
            </w:r>
            <w:r>
              <w:rPr>
                <w:rFonts w:hint="eastAsia" w:ascii="宋体" w:hAnsi="宋体" w:eastAsia="宋体" w:cs="宋体"/>
                <w:color w:val="auto"/>
                <w:sz w:val="21"/>
                <w:szCs w:val="21"/>
                <w:highlight w:val="none"/>
                <w:lang w:val="en-US" w:eastAsia="zh-CN"/>
              </w:rPr>
              <w:t xml:space="preserve">0.2</w:t>
            </w:r>
            <w:r>
              <w:rPr>
                <w:rFonts w:hint="eastAsia" w:ascii="宋体" w:hAnsi="宋体" w:eastAsia="宋体" w:cs="宋体"/>
                <w:color w:val="auto"/>
                <w:sz w:val="21"/>
                <w:szCs w:val="21"/>
                <w:highlight w:val="none"/>
              </w:rPr>
              <w:t xml:space="preserve">分</w:t>
            </w:r>
            <w:r/>
          </w:p>
        </w:tc>
      </w:tr>
      <w:tr>
        <w:trPr>
          <w:trHeight w:val="569"/>
        </w:trPr>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不统一着装</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每人扣</w:t>
            </w:r>
            <w:r>
              <w:rPr>
                <w:rFonts w:hint="eastAsia" w:ascii="宋体" w:hAnsi="宋体" w:eastAsia="宋体" w:cs="宋体"/>
                <w:color w:val="auto"/>
                <w:sz w:val="21"/>
                <w:szCs w:val="21"/>
                <w:highlight w:val="none"/>
                <w:lang w:val="en-US" w:eastAsia="zh-CN"/>
              </w:rPr>
              <w:t xml:space="preserve">0.1</w:t>
            </w:r>
            <w:r>
              <w:rPr>
                <w:rFonts w:hint="eastAsia" w:ascii="宋体" w:hAnsi="宋体" w:eastAsia="宋体" w:cs="宋体"/>
                <w:color w:val="auto"/>
                <w:sz w:val="21"/>
                <w:szCs w:val="21"/>
                <w:highlight w:val="none"/>
              </w:rPr>
              <w:t xml:space="preserve">分</w:t>
            </w:r>
            <w:r/>
          </w:p>
        </w:tc>
      </w:tr>
      <w:tr>
        <w:trPr>
          <w:trHeight w:val="365"/>
        </w:trPr>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不用统一水车</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每次扣</w:t>
            </w:r>
            <w:r>
              <w:rPr>
                <w:rFonts w:hint="eastAsia" w:ascii="宋体" w:hAnsi="宋体" w:eastAsia="宋体" w:cs="宋体"/>
                <w:color w:val="auto"/>
                <w:sz w:val="21"/>
                <w:szCs w:val="21"/>
                <w:highlight w:val="none"/>
                <w:lang w:val="en-US" w:eastAsia="zh-CN"/>
              </w:rPr>
              <w:t xml:space="preserve">0.1</w:t>
            </w:r>
            <w:r>
              <w:rPr>
                <w:rFonts w:hint="eastAsia" w:ascii="宋体" w:hAnsi="宋体" w:eastAsia="宋体" w:cs="宋体"/>
                <w:color w:val="auto"/>
                <w:sz w:val="21"/>
                <w:szCs w:val="21"/>
                <w:highlight w:val="none"/>
              </w:rPr>
              <w:t xml:space="preserve">分</w:t>
            </w:r>
            <w:r/>
          </w:p>
        </w:tc>
      </w:tr>
      <w:tr>
        <w:trPr>
          <w:trHeight w:val="365"/>
        </w:trPr>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52"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养护作业影响交通</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每次扣0.1分</w:t>
            </w:r>
            <w:r/>
          </w:p>
        </w:tc>
      </w:tr>
      <w:tr>
        <w:trPr>
          <w:trHeight w:val="1136"/>
        </w:trPr>
        <w:tc>
          <w:tcPr>
            <w:tcBorders>
              <w:top w:val="single" w:color="000000" w:sz="4" w:space="0"/>
              <w:left w:val="single" w:color="000000" w:sz="4" w:space="0"/>
              <w:bottom w:val="none" w:color="000000" w:sz="4" w:space="0"/>
              <w:right w:val="single" w:color="000000" w:sz="4" w:space="0"/>
            </w:tcBorders>
            <w:tcW w:w="407" w:type="dxa"/>
            <w:vAlign w:val="center"/>
            <w:vMerge w:val="restart"/>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000000" w:sz="4" w:space="0"/>
              <w:left w:val="single" w:color="000000" w:sz="4" w:space="0"/>
              <w:bottom w:val="none" w:color="000000" w:sz="4" w:space="0"/>
              <w:right w:val="single" w:color="000000" w:sz="4" w:space="0"/>
            </w:tcBorders>
            <w:tcW w:w="613" w:type="dxa"/>
            <w:vAlign w:val="center"/>
            <w:vMerge w:val="restart"/>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行业管理</w:t>
            </w:r>
            <w:r/>
          </w:p>
        </w:tc>
        <w:tc>
          <w:tcPr>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w:t>
            </w:r>
            <w:r/>
          </w:p>
        </w:tc>
        <w:tc>
          <w:tcPr>
            <w:tcBorders>
              <w:top w:val="single" w:color="000000" w:sz="4" w:space="0"/>
              <w:left w:val="single" w:color="000000" w:sz="4" w:space="0"/>
              <w:bottom w:val="single" w:color="000000" w:sz="4" w:space="0"/>
              <w:right w:val="single" w:color="000000" w:sz="4" w:space="0"/>
            </w:tcBorders>
            <w:tcW w:w="1844"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整改单及时回复，完整、准确，整改到位；通知回复及时，按要求上报材料。</w:t>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整改单回复不及时、文件材料上报不及时</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每迟一天扣</w:t>
            </w:r>
            <w:r>
              <w:rPr>
                <w:rFonts w:hint="eastAsia" w:ascii="宋体" w:hAnsi="宋体" w:eastAsia="宋体" w:cs="宋体"/>
                <w:color w:val="auto"/>
                <w:sz w:val="21"/>
                <w:szCs w:val="21"/>
                <w:highlight w:val="none"/>
                <w:lang w:val="en-US" w:eastAsia="zh-CN"/>
              </w:rPr>
              <w:t xml:space="preserve">0.2</w:t>
            </w:r>
            <w:r>
              <w:rPr>
                <w:rFonts w:hint="eastAsia" w:ascii="宋体" w:hAnsi="宋体" w:eastAsia="宋体" w:cs="宋体"/>
                <w:color w:val="auto"/>
                <w:sz w:val="21"/>
                <w:szCs w:val="21"/>
                <w:highlight w:val="none"/>
              </w:rPr>
              <w:t xml:space="preserve">分</w:t>
            </w:r>
            <w:r/>
          </w:p>
        </w:tc>
      </w:tr>
      <w:tr>
        <w:trPr>
          <w:trHeight w:val="365"/>
        </w:trPr>
        <w:tc>
          <w:tcPr>
            <w:tcBorders>
              <w:top w:val="none" w:color="000000" w:sz="4" w:space="0"/>
              <w:left w:val="single" w:color="000000" w:sz="4" w:space="0"/>
              <w:bottom w:val="none" w:color="000000" w:sz="4" w:space="0"/>
              <w:right w:val="single" w:color="000000" w:sz="4" w:space="0"/>
            </w:tcBorders>
            <w:tcW w:w="407" w:type="dxa"/>
            <w:vAlign w:val="center"/>
            <w:vMerge w:val="continue"/>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000000" w:sz="4" w:space="0"/>
              <w:bottom w:val="none" w:color="000000" w:sz="4" w:space="0"/>
              <w:right w:val="single" w:color="000000" w:sz="4" w:space="0"/>
            </w:tcBorders>
            <w:tcW w:w="613" w:type="dxa"/>
            <w:vAlign w:val="center"/>
            <w:vMerge w:val="continue"/>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none" w:color="000000" w:sz="4" w:space="0"/>
              <w:right w:val="single" w:color="000000" w:sz="4" w:space="0"/>
            </w:tcBorders>
            <w:tcW w:w="652" w:type="dxa"/>
            <w:vAlign w:val="center"/>
            <w:vMerge w:val="restart"/>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w:t>
            </w:r>
            <w:r/>
          </w:p>
        </w:tc>
        <w:tc>
          <w:tcPr>
            <w:tcBorders>
              <w:top w:val="single" w:color="000000" w:sz="4" w:space="0"/>
              <w:left w:val="single" w:color="000000" w:sz="4" w:space="0"/>
              <w:bottom w:val="none" w:color="000000" w:sz="4" w:space="0"/>
              <w:right w:val="single" w:color="000000" w:sz="4" w:space="0"/>
            </w:tcBorders>
            <w:tcW w:w="1844" w:type="dxa"/>
            <w:vAlign w:val="center"/>
            <w:vMerge w:val="restart"/>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资料统计完整，上报备案及时，台账记录齐全，根据要求的领导参加会议。</w:t>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无台账记录</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扣1分</w:t>
            </w:r>
            <w:r/>
          </w:p>
        </w:tc>
      </w:tr>
      <w:tr>
        <w:trPr>
          <w:trHeight w:val="365"/>
        </w:trPr>
        <w:tc>
          <w:tcPr>
            <w:tcBorders>
              <w:top w:val="none" w:color="000000" w:sz="4" w:space="0"/>
              <w:left w:val="single" w:color="000000" w:sz="4" w:space="0"/>
              <w:bottom w:val="none" w:color="000000" w:sz="4" w:space="0"/>
              <w:right w:val="single" w:color="000000" w:sz="4" w:space="0"/>
            </w:tcBorders>
            <w:tcW w:w="407" w:type="dxa"/>
            <w:vAlign w:val="center"/>
            <w:vMerge w:val="continue"/>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000000" w:sz="4" w:space="0"/>
              <w:bottom w:val="none" w:color="000000" w:sz="4" w:space="0"/>
              <w:right w:val="single" w:color="000000" w:sz="4" w:space="0"/>
            </w:tcBorders>
            <w:tcW w:w="613" w:type="dxa"/>
            <w:vAlign w:val="center"/>
            <w:vMerge w:val="continue"/>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000000" w:sz="4" w:space="0"/>
              <w:bottom w:val="none" w:color="000000" w:sz="4" w:space="0"/>
              <w:right w:val="single" w:color="000000" w:sz="4" w:space="0"/>
            </w:tcBorders>
            <w:tcW w:w="652" w:type="dxa"/>
            <w:vAlign w:val="center"/>
            <w:vMerge w:val="continue"/>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000000" w:sz="4" w:space="0"/>
              <w:bottom w:val="none" w:color="000000" w:sz="4" w:space="0"/>
              <w:right w:val="single" w:color="000000" w:sz="4" w:space="0"/>
            </w:tcBorders>
            <w:tcW w:w="1844" w:type="dxa"/>
            <w:vAlign w:val="center"/>
            <w:vMerge w:val="continue"/>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上报、备案材料缺一项</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扣0.5分</w:t>
            </w:r>
            <w:r/>
          </w:p>
        </w:tc>
      </w:tr>
      <w:tr>
        <w:trPr>
          <w:trHeight w:val="365"/>
        </w:trPr>
        <w:tc>
          <w:tcPr>
            <w:tcBorders>
              <w:top w:val="none" w:color="000000" w:sz="4" w:space="0"/>
              <w:left w:val="single" w:color="000000" w:sz="4" w:space="0"/>
              <w:bottom w:val="none" w:color="000000" w:sz="4" w:space="0"/>
              <w:right w:val="single" w:color="000000" w:sz="4" w:space="0"/>
            </w:tcBorders>
            <w:tcW w:w="407" w:type="dxa"/>
            <w:vAlign w:val="center"/>
            <w:vMerge w:val="continue"/>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000000" w:sz="4" w:space="0"/>
              <w:bottom w:val="none" w:color="000000" w:sz="4" w:space="0"/>
              <w:right w:val="single" w:color="000000" w:sz="4" w:space="0"/>
            </w:tcBorders>
            <w:tcW w:w="613" w:type="dxa"/>
            <w:vAlign w:val="center"/>
            <w:vMerge w:val="continue"/>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000000" w:sz="4" w:space="0"/>
              <w:bottom w:val="none" w:color="000000" w:sz="4" w:space="0"/>
              <w:right w:val="single" w:color="000000" w:sz="4" w:space="0"/>
            </w:tcBorders>
            <w:tcW w:w="652" w:type="dxa"/>
            <w:vAlign w:val="center"/>
            <w:vMerge w:val="continue"/>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000000" w:sz="4" w:space="0"/>
              <w:bottom w:val="none" w:color="000000" w:sz="4" w:space="0"/>
              <w:right w:val="single" w:color="000000" w:sz="4" w:space="0"/>
            </w:tcBorders>
            <w:tcW w:w="1844" w:type="dxa"/>
            <w:vAlign w:val="center"/>
            <w:vMerge w:val="continue"/>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不按规定时间上报，每迟一天</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扣0.5分</w:t>
            </w:r>
            <w:r/>
          </w:p>
        </w:tc>
      </w:tr>
      <w:tr>
        <w:trPr>
          <w:trHeight w:val="583"/>
        </w:trPr>
        <w:tc>
          <w:tcPr>
            <w:tcBorders>
              <w:top w:val="none" w:color="000000" w:sz="4" w:space="0"/>
              <w:left w:val="single" w:color="000000" w:sz="4" w:space="0"/>
              <w:bottom w:val="none" w:color="000000" w:sz="4" w:space="0"/>
              <w:right w:val="single" w:color="000000" w:sz="4" w:space="0"/>
            </w:tcBorders>
            <w:tcW w:w="407" w:type="dxa"/>
            <w:vAlign w:val="center"/>
            <w:vMerge w:val="continue"/>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000000" w:sz="4" w:space="0"/>
              <w:bottom w:val="none" w:color="000000" w:sz="4" w:space="0"/>
              <w:right w:val="single" w:color="000000" w:sz="4" w:space="0"/>
            </w:tcBorders>
            <w:tcW w:w="613" w:type="dxa"/>
            <w:vAlign w:val="center"/>
            <w:vMerge w:val="continue"/>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000000" w:sz="4" w:space="0"/>
              <w:bottom w:val="single" w:color="000000" w:sz="4" w:space="0"/>
              <w:right w:val="single" w:color="000000" w:sz="4" w:space="0"/>
            </w:tcBorders>
            <w:tcW w:w="652" w:type="dxa"/>
            <w:vAlign w:val="center"/>
            <w:vMerge w:val="continue"/>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000000" w:sz="4" w:space="0"/>
              <w:bottom w:val="single" w:color="000000" w:sz="4" w:space="0"/>
              <w:right w:val="single" w:color="000000" w:sz="4" w:space="0"/>
            </w:tcBorders>
            <w:tcW w:w="1844" w:type="dxa"/>
            <w:vAlign w:val="center"/>
            <w:vMerge w:val="continue"/>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未按要求</w:t>
            </w:r>
            <w:r>
              <w:rPr>
                <w:rFonts w:hint="eastAsia" w:ascii="宋体" w:hAnsi="宋体" w:eastAsia="宋体" w:cs="宋体"/>
                <w:color w:val="auto"/>
                <w:sz w:val="21"/>
                <w:szCs w:val="21"/>
                <w:highlight w:val="none"/>
              </w:rPr>
              <w:t xml:space="preserve">参加会议，每发生一次</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扣1分</w:t>
            </w:r>
            <w:r/>
          </w:p>
        </w:tc>
      </w:tr>
      <w:tr>
        <w:trPr>
          <w:trHeight w:val="365"/>
        </w:trPr>
        <w:tc>
          <w:tcPr>
            <w:tcBorders>
              <w:top w:val="none" w:color="000000" w:sz="4" w:space="0"/>
              <w:left w:val="single" w:color="000000" w:sz="4" w:space="0"/>
              <w:bottom w:val="none" w:color="000000" w:sz="4" w:space="0"/>
              <w:right w:val="single" w:color="000000" w:sz="4" w:space="0"/>
            </w:tcBorders>
            <w:tcW w:w="407" w:type="dxa"/>
            <w:vAlign w:val="center"/>
            <w:vMerge w:val="continue"/>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000000" w:sz="4" w:space="0"/>
              <w:bottom w:val="none" w:color="000000" w:sz="4" w:space="0"/>
              <w:right w:val="single" w:color="000000" w:sz="4" w:space="0"/>
            </w:tcBorders>
            <w:tcW w:w="613" w:type="dxa"/>
            <w:vAlign w:val="center"/>
            <w:vMerge w:val="continue"/>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none" w:color="000000" w:sz="4" w:space="0"/>
              <w:right w:val="single" w:color="000000" w:sz="4" w:space="0"/>
            </w:tcBorders>
            <w:tcW w:w="652" w:type="dxa"/>
            <w:vAlign w:val="center"/>
            <w:vMerge w:val="restart"/>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w:t>
            </w:r>
            <w:r/>
          </w:p>
        </w:tc>
        <w:tc>
          <w:tcPr>
            <w:tcBorders>
              <w:top w:val="single" w:color="000000" w:sz="4" w:space="0"/>
              <w:left w:val="single" w:color="000000" w:sz="4" w:space="0"/>
              <w:bottom w:val="none" w:color="000000" w:sz="4" w:space="0"/>
              <w:right w:val="single" w:color="000000" w:sz="4" w:space="0"/>
            </w:tcBorders>
            <w:tcW w:w="1844" w:type="dxa"/>
            <w:vAlign w:val="center"/>
            <w:vMerge w:val="restart"/>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合理的防灾预案、认真参加防灾演练，积极参加抢险救灾、主动承担社会救助。防灾、抗灾网络完整，人员、设备物资储备能满足救灾的需要。</w:t>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无网络</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扣6分</w:t>
            </w:r>
            <w:r/>
          </w:p>
        </w:tc>
      </w:tr>
      <w:tr>
        <w:trPr>
          <w:trHeight w:val="365"/>
        </w:trPr>
        <w:tc>
          <w:tcPr>
            <w:tcBorders>
              <w:top w:val="none" w:color="000000" w:sz="4" w:space="0"/>
              <w:left w:val="single" w:color="000000" w:sz="4" w:space="0"/>
              <w:bottom w:val="none" w:color="000000" w:sz="4" w:space="0"/>
              <w:right w:val="single" w:color="000000" w:sz="4" w:space="0"/>
            </w:tcBorders>
            <w:tcW w:w="407" w:type="dxa"/>
            <w:vAlign w:val="center"/>
            <w:vMerge w:val="continue"/>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000000" w:sz="4" w:space="0"/>
              <w:bottom w:val="none" w:color="000000" w:sz="4" w:space="0"/>
              <w:right w:val="single" w:color="000000" w:sz="4" w:space="0"/>
            </w:tcBorders>
            <w:tcW w:w="613" w:type="dxa"/>
            <w:vAlign w:val="center"/>
            <w:vMerge w:val="continue"/>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000000" w:sz="4" w:space="0"/>
              <w:bottom w:val="none" w:color="000000" w:sz="4" w:space="0"/>
              <w:right w:val="single" w:color="000000" w:sz="4" w:space="0"/>
            </w:tcBorders>
            <w:tcW w:w="652" w:type="dxa"/>
            <w:vAlign w:val="center"/>
            <w:vMerge w:val="continue"/>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000000" w:sz="4" w:space="0"/>
              <w:bottom w:val="none" w:color="000000" w:sz="4" w:space="0"/>
              <w:right w:val="single" w:color="000000" w:sz="4" w:space="0"/>
            </w:tcBorders>
            <w:tcW w:w="1844" w:type="dxa"/>
            <w:vAlign w:val="center"/>
            <w:vMerge w:val="continue"/>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网络不完整，每缺一项</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扣0.5分</w:t>
            </w:r>
            <w:r/>
          </w:p>
        </w:tc>
      </w:tr>
      <w:tr>
        <w:trPr>
          <w:trHeight w:val="717"/>
        </w:trPr>
        <w:tc>
          <w:tcPr>
            <w:tcBorders>
              <w:top w:val="none" w:color="000000" w:sz="4" w:space="0"/>
              <w:left w:val="single" w:color="000000" w:sz="4" w:space="0"/>
              <w:bottom w:val="none" w:color="000000" w:sz="4" w:space="0"/>
              <w:right w:val="single" w:color="000000" w:sz="4" w:space="0"/>
            </w:tcBorders>
            <w:tcW w:w="407" w:type="dxa"/>
            <w:vAlign w:val="center"/>
            <w:vMerge w:val="continue"/>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000000" w:sz="4" w:space="0"/>
              <w:bottom w:val="none" w:color="000000" w:sz="4" w:space="0"/>
              <w:right w:val="single" w:color="000000" w:sz="4" w:space="0"/>
            </w:tcBorders>
            <w:tcW w:w="613" w:type="dxa"/>
            <w:vAlign w:val="center"/>
            <w:vMerge w:val="continue"/>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000000" w:sz="4" w:space="0"/>
              <w:bottom w:val="none" w:color="000000" w:sz="4" w:space="0"/>
              <w:right w:val="single" w:color="000000" w:sz="4" w:space="0"/>
            </w:tcBorders>
            <w:tcW w:w="652" w:type="dxa"/>
            <w:vAlign w:val="center"/>
            <w:vMerge w:val="continue"/>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000000" w:sz="4" w:space="0"/>
              <w:bottom w:val="none" w:color="000000" w:sz="4" w:space="0"/>
              <w:right w:val="single" w:color="000000" w:sz="4" w:space="0"/>
            </w:tcBorders>
            <w:tcW w:w="1844" w:type="dxa"/>
            <w:vAlign w:val="center"/>
            <w:vMerge w:val="continue"/>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演练85分以下扣分</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85分扣0.5分，每少得5分扣1分</w:t>
            </w:r>
            <w:r/>
          </w:p>
        </w:tc>
      </w:tr>
      <w:tr>
        <w:trPr>
          <w:trHeight w:val="365"/>
        </w:trPr>
        <w:tc>
          <w:tcPr>
            <w:tcBorders>
              <w:top w:val="none" w:color="000000" w:sz="4" w:space="0"/>
              <w:left w:val="single" w:color="000000" w:sz="4" w:space="0"/>
              <w:bottom w:val="none" w:color="000000" w:sz="4" w:space="0"/>
              <w:right w:val="single" w:color="000000" w:sz="4" w:space="0"/>
            </w:tcBorders>
            <w:tcW w:w="407" w:type="dxa"/>
            <w:vAlign w:val="center"/>
            <w:vMerge w:val="continue"/>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000000" w:sz="4" w:space="0"/>
              <w:bottom w:val="none" w:color="000000" w:sz="4" w:space="0"/>
              <w:right w:val="single" w:color="000000" w:sz="4" w:space="0"/>
            </w:tcBorders>
            <w:tcW w:w="613" w:type="dxa"/>
            <w:vAlign w:val="center"/>
            <w:vMerge w:val="continue"/>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000000" w:sz="4" w:space="0"/>
              <w:bottom w:val="none" w:color="000000" w:sz="4" w:space="0"/>
              <w:right w:val="single" w:color="000000" w:sz="4" w:space="0"/>
            </w:tcBorders>
            <w:tcW w:w="652" w:type="dxa"/>
            <w:vAlign w:val="center"/>
            <w:vMerge w:val="continue"/>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000000" w:sz="4" w:space="0"/>
              <w:bottom w:val="none" w:color="000000" w:sz="4" w:space="0"/>
              <w:right w:val="single" w:color="000000" w:sz="4" w:space="0"/>
            </w:tcBorders>
            <w:tcW w:w="1844" w:type="dxa"/>
            <w:vAlign w:val="center"/>
            <w:vMerge w:val="continue"/>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救灾队伍不落实</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扣1分</w:t>
            </w:r>
            <w:r/>
          </w:p>
        </w:tc>
      </w:tr>
      <w:tr>
        <w:trPr>
          <w:trHeight w:val="365"/>
        </w:trPr>
        <w:tc>
          <w:tcPr>
            <w:tcBorders>
              <w:top w:val="none" w:color="000000" w:sz="4" w:space="0"/>
              <w:left w:val="single" w:color="000000" w:sz="4" w:space="0"/>
              <w:bottom w:val="none" w:color="000000" w:sz="4" w:space="0"/>
              <w:right w:val="single" w:color="000000" w:sz="4" w:space="0"/>
            </w:tcBorders>
            <w:tcW w:w="407" w:type="dxa"/>
            <w:vAlign w:val="center"/>
            <w:vMerge w:val="continue"/>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000000" w:sz="4" w:space="0"/>
              <w:bottom w:val="none" w:color="000000" w:sz="4" w:space="0"/>
              <w:right w:val="single" w:color="000000" w:sz="4" w:space="0"/>
            </w:tcBorders>
            <w:tcW w:w="613" w:type="dxa"/>
            <w:vAlign w:val="center"/>
            <w:vMerge w:val="continue"/>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000000" w:sz="4" w:space="0"/>
              <w:bottom w:val="none" w:color="000000" w:sz="4" w:space="0"/>
              <w:right w:val="single" w:color="000000" w:sz="4" w:space="0"/>
            </w:tcBorders>
            <w:tcW w:w="652" w:type="dxa"/>
            <w:vAlign w:val="center"/>
            <w:vMerge w:val="continue"/>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000000" w:sz="4" w:space="0"/>
              <w:bottom w:val="none" w:color="000000" w:sz="4" w:space="0"/>
              <w:right w:val="single" w:color="000000" w:sz="4" w:space="0"/>
            </w:tcBorders>
            <w:tcW w:w="1844" w:type="dxa"/>
            <w:vAlign w:val="center"/>
            <w:vMerge w:val="continue"/>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物资储备、工具不到位</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扣1分</w:t>
            </w:r>
            <w:r/>
          </w:p>
        </w:tc>
      </w:tr>
      <w:tr>
        <w:trPr>
          <w:trHeight w:val="365"/>
        </w:trPr>
        <w:tc>
          <w:tcPr>
            <w:tcBorders>
              <w:top w:val="none" w:color="000000" w:sz="4" w:space="0"/>
              <w:left w:val="single" w:color="000000" w:sz="4" w:space="0"/>
              <w:bottom w:val="none" w:color="000000" w:sz="4" w:space="0"/>
              <w:right w:val="single" w:color="000000" w:sz="4" w:space="0"/>
            </w:tcBorders>
            <w:tcW w:w="407" w:type="dxa"/>
            <w:vAlign w:val="center"/>
            <w:vMerge w:val="continue"/>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000000" w:sz="4" w:space="0"/>
              <w:bottom w:val="none" w:color="000000" w:sz="4" w:space="0"/>
              <w:right w:val="single" w:color="000000" w:sz="4" w:space="0"/>
            </w:tcBorders>
            <w:tcW w:w="613" w:type="dxa"/>
            <w:vAlign w:val="center"/>
            <w:vMerge w:val="continue"/>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000000" w:sz="4" w:space="0"/>
              <w:bottom w:val="none" w:color="000000" w:sz="4" w:space="0"/>
              <w:right w:val="single" w:color="000000" w:sz="4" w:space="0"/>
            </w:tcBorders>
            <w:tcW w:w="652" w:type="dxa"/>
            <w:vAlign w:val="center"/>
            <w:vMerge w:val="continue"/>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000000" w:sz="4" w:space="0"/>
              <w:bottom w:val="none" w:color="000000" w:sz="4" w:space="0"/>
              <w:right w:val="single" w:color="000000" w:sz="4" w:space="0"/>
            </w:tcBorders>
            <w:tcW w:w="1844" w:type="dxa"/>
            <w:vAlign w:val="center"/>
            <w:vMerge w:val="continue"/>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救灾无领导值班、指挥</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扣1分</w:t>
            </w:r>
            <w:r/>
          </w:p>
        </w:tc>
      </w:tr>
      <w:tr>
        <w:trPr>
          <w:trHeight w:val="365"/>
        </w:trPr>
        <w:tc>
          <w:tcPr>
            <w:tcBorders>
              <w:top w:val="none" w:color="000000" w:sz="4" w:space="0"/>
              <w:left w:val="single" w:color="000000" w:sz="4" w:space="0"/>
              <w:bottom w:val="none" w:color="000000" w:sz="4" w:space="0"/>
              <w:right w:val="single" w:color="000000" w:sz="4" w:space="0"/>
            </w:tcBorders>
            <w:tcW w:w="407" w:type="dxa"/>
            <w:vAlign w:val="center"/>
            <w:vMerge w:val="continue"/>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000000" w:sz="4" w:space="0"/>
              <w:bottom w:val="none" w:color="000000" w:sz="4" w:space="0"/>
              <w:right w:val="single" w:color="000000" w:sz="4" w:space="0"/>
            </w:tcBorders>
            <w:tcW w:w="613" w:type="dxa"/>
            <w:vAlign w:val="center"/>
            <w:vMerge w:val="continue"/>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000000" w:sz="4" w:space="0"/>
              <w:bottom w:val="single" w:color="auto" w:sz="4" w:space="0"/>
              <w:right w:val="single" w:color="000000" w:sz="4" w:space="0"/>
            </w:tcBorders>
            <w:tcW w:w="652" w:type="dxa"/>
            <w:vAlign w:val="center"/>
            <w:vMerge w:val="continue"/>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000000" w:sz="4" w:space="0"/>
              <w:bottom w:val="single" w:color="auto" w:sz="4" w:space="0"/>
              <w:right w:val="single" w:color="000000" w:sz="4" w:space="0"/>
            </w:tcBorders>
            <w:tcW w:w="1844" w:type="dxa"/>
            <w:vAlign w:val="center"/>
            <w:vMerge w:val="continue"/>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auto" w:sz="4" w:space="0"/>
              <w:right w:val="single" w:color="000000"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社会救助不积极</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扣1分</w:t>
            </w:r>
            <w:r/>
          </w:p>
        </w:tc>
      </w:tr>
      <w:tr>
        <w:trPr>
          <w:trHeight w:val="365"/>
        </w:trPr>
        <w:tc>
          <w:tcPr>
            <w:tcBorders>
              <w:top w:val="none" w:color="000000" w:sz="4" w:space="0"/>
              <w:left w:val="single" w:color="000000" w:sz="4" w:space="0"/>
              <w:bottom w:val="none" w:color="000000" w:sz="4" w:space="0"/>
              <w:right w:val="single" w:color="000000" w:sz="4" w:space="0"/>
            </w:tcBorders>
            <w:tcW w:w="407" w:type="dxa"/>
            <w:vAlign w:val="center"/>
            <w:vMerge w:val="continue"/>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000000" w:sz="4" w:space="0"/>
              <w:bottom w:val="none" w:color="000000" w:sz="4" w:space="0"/>
              <w:right w:val="single" w:color="000000" w:sz="4" w:space="0"/>
            </w:tcBorders>
            <w:tcW w:w="613" w:type="dxa"/>
            <w:vAlign w:val="center"/>
            <w:vMerge w:val="continue"/>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none" w:color="000000" w:sz="4" w:space="0"/>
              <w:right w:val="single" w:color="auto" w:sz="4" w:space="0"/>
            </w:tcBorders>
            <w:tcW w:w="652" w:type="dxa"/>
            <w:vAlign w:val="center"/>
            <w:vMerge w:val="restart"/>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w:t>
            </w:r>
            <w:r/>
          </w:p>
        </w:tc>
        <w:tc>
          <w:tcPr>
            <w:tcBorders>
              <w:top w:val="single" w:color="auto" w:sz="4" w:space="0"/>
              <w:left w:val="single" w:color="auto" w:sz="4" w:space="0"/>
              <w:bottom w:val="none" w:color="000000" w:sz="4" w:space="0"/>
              <w:right w:val="single" w:color="auto" w:sz="4" w:space="0"/>
            </w:tcBorders>
            <w:tcW w:w="1844" w:type="dxa"/>
            <w:vAlign w:val="center"/>
            <w:vMerge w:val="restart"/>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积极参加市政府组织的各项创建工作，保证行业内项目得分95以上，完成市政园林局领导交办指令的工作。</w:t>
            </w:r>
            <w:r/>
          </w:p>
        </w:tc>
        <w:tc>
          <w:tcPr>
            <w:tcBorders>
              <w:top w:val="single" w:color="auto" w:sz="4" w:space="0"/>
              <w:left w:val="single" w:color="auto" w:sz="4" w:space="0"/>
              <w:bottom w:val="single" w:color="auto" w:sz="4" w:space="0"/>
              <w:right w:val="single" w:color="auto"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创建不积极</w:t>
            </w:r>
            <w:r/>
          </w:p>
        </w:tc>
        <w:tc>
          <w:tcPr>
            <w:tcBorders>
              <w:top w:val="single" w:color="000000" w:sz="4" w:space="0"/>
              <w:left w:val="single" w:color="auto"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扣4分</w:t>
            </w:r>
            <w:r/>
          </w:p>
        </w:tc>
      </w:tr>
      <w:tr>
        <w:trPr>
          <w:trHeight w:val="569"/>
        </w:trPr>
        <w:tc>
          <w:tcPr>
            <w:tcBorders>
              <w:top w:val="none" w:color="000000" w:sz="4" w:space="0"/>
              <w:left w:val="single" w:color="000000" w:sz="4" w:space="0"/>
              <w:bottom w:val="none" w:color="000000" w:sz="4" w:space="0"/>
              <w:right w:val="single" w:color="000000" w:sz="4" w:space="0"/>
            </w:tcBorders>
            <w:tcW w:w="407" w:type="dxa"/>
            <w:vAlign w:val="center"/>
            <w:vMerge w:val="continue"/>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000000" w:sz="4" w:space="0"/>
              <w:bottom w:val="none" w:color="000000" w:sz="4" w:space="0"/>
              <w:right w:val="single" w:color="000000" w:sz="4" w:space="0"/>
            </w:tcBorders>
            <w:tcW w:w="613" w:type="dxa"/>
            <w:vAlign w:val="center"/>
            <w:vMerge w:val="continue"/>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none" w:color="000000" w:sz="4" w:space="0"/>
              <w:right w:val="single" w:color="auto" w:sz="4" w:space="0"/>
            </w:tcBorders>
            <w:tcW w:w="652" w:type="dxa"/>
            <w:vAlign w:val="center"/>
            <w:vMerge w:val="continue"/>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none" w:color="000000" w:sz="4" w:space="0"/>
              <w:right w:val="single" w:color="auto" w:sz="4" w:space="0"/>
            </w:tcBorders>
            <w:tcW w:w="1844" w:type="dxa"/>
            <w:vAlign w:val="center"/>
            <w:vMerge w:val="continue"/>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创建不达标（行业内项目得分95分以下）</w:t>
            </w:r>
            <w:r/>
          </w:p>
        </w:tc>
        <w:tc>
          <w:tcPr>
            <w:tcBorders>
              <w:top w:val="single" w:color="000000" w:sz="4" w:space="0"/>
              <w:left w:val="single" w:color="auto"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扣2分</w:t>
            </w:r>
            <w:r/>
          </w:p>
        </w:tc>
      </w:tr>
      <w:tr>
        <w:trPr>
          <w:trHeight w:val="365"/>
        </w:trPr>
        <w:tc>
          <w:tcPr>
            <w:tcBorders>
              <w:top w:val="none" w:color="000000" w:sz="4" w:space="0"/>
              <w:left w:val="single" w:color="000000" w:sz="4" w:space="0"/>
              <w:bottom w:val="none" w:color="000000" w:sz="4" w:space="0"/>
              <w:right w:val="single" w:color="000000" w:sz="4" w:space="0"/>
            </w:tcBorders>
            <w:tcW w:w="407" w:type="dxa"/>
            <w:vAlign w:val="center"/>
            <w:vMerge w:val="continue"/>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000000" w:sz="4" w:space="0"/>
              <w:bottom w:val="none" w:color="000000" w:sz="4" w:space="0"/>
              <w:right w:val="single" w:color="000000" w:sz="4" w:space="0"/>
            </w:tcBorders>
            <w:tcW w:w="613" w:type="dxa"/>
            <w:vAlign w:val="center"/>
            <w:vMerge w:val="continue"/>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none" w:color="000000" w:sz="4" w:space="0"/>
              <w:right w:val="single" w:color="auto" w:sz="4" w:space="0"/>
            </w:tcBorders>
            <w:tcW w:w="652" w:type="dxa"/>
            <w:vAlign w:val="center"/>
            <w:vMerge w:val="continue"/>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none" w:color="000000" w:sz="4" w:space="0"/>
              <w:right w:val="single" w:color="auto" w:sz="4" w:space="0"/>
            </w:tcBorders>
            <w:tcW w:w="1844" w:type="dxa"/>
            <w:vAlign w:val="center"/>
            <w:vMerge w:val="continue"/>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指令任务不完成</w:t>
            </w:r>
            <w:r/>
          </w:p>
        </w:tc>
        <w:tc>
          <w:tcPr>
            <w:tcBorders>
              <w:top w:val="single" w:color="000000" w:sz="4" w:space="0"/>
              <w:left w:val="single" w:color="auto"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扣2分</w:t>
            </w:r>
            <w:r/>
          </w:p>
        </w:tc>
      </w:tr>
      <w:tr>
        <w:trPr>
          <w:trHeight w:val="387"/>
        </w:trPr>
        <w:tc>
          <w:tcPr>
            <w:tcBorders>
              <w:top w:val="none" w:color="000000" w:sz="4" w:space="0"/>
              <w:left w:val="single" w:color="000000" w:sz="4" w:space="0"/>
              <w:bottom w:val="none" w:color="000000" w:sz="4" w:space="0"/>
              <w:right w:val="single" w:color="000000" w:sz="4" w:space="0"/>
            </w:tcBorders>
            <w:tcW w:w="407" w:type="dxa"/>
            <w:vAlign w:val="center"/>
            <w:vMerge w:val="continue"/>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000000" w:sz="4" w:space="0"/>
              <w:bottom w:val="none" w:color="000000" w:sz="4" w:space="0"/>
              <w:right w:val="single" w:color="000000" w:sz="4" w:space="0"/>
            </w:tcBorders>
            <w:tcW w:w="613" w:type="dxa"/>
            <w:vAlign w:val="center"/>
            <w:vMerge w:val="continue"/>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652" w:type="dxa"/>
            <w:vAlign w:val="center"/>
            <w:vMerge w:val="continue"/>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1844" w:type="dxa"/>
            <w:vAlign w:val="center"/>
            <w:vMerge w:val="continue"/>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指令任务每迟</w:t>
            </w:r>
            <w:r>
              <w:rPr>
                <w:rFonts w:hint="eastAsia" w:ascii="宋体" w:hAnsi="宋体" w:eastAsia="宋体" w:cs="宋体"/>
                <w:color w:val="auto"/>
                <w:sz w:val="21"/>
                <w:szCs w:val="21"/>
                <w:highlight w:val="none"/>
                <w:lang w:val="en-US" w:eastAsia="zh-CN"/>
              </w:rPr>
              <w:t xml:space="preserve">一</w:t>
            </w:r>
            <w:r>
              <w:rPr>
                <w:rFonts w:hint="eastAsia" w:ascii="宋体" w:hAnsi="宋体" w:eastAsia="宋体" w:cs="宋体"/>
                <w:color w:val="auto"/>
                <w:sz w:val="21"/>
                <w:szCs w:val="21"/>
                <w:highlight w:val="none"/>
              </w:rPr>
              <w:t xml:space="preserve">天完成</w:t>
            </w:r>
            <w:r/>
          </w:p>
        </w:tc>
        <w:tc>
          <w:tcPr>
            <w:tcBorders>
              <w:top w:val="single" w:color="000000" w:sz="4" w:space="0"/>
              <w:left w:val="single" w:color="auto"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扣1分</w:t>
            </w:r>
            <w:r/>
          </w:p>
        </w:tc>
      </w:tr>
      <w:tr>
        <w:trPr>
          <w:trHeight w:val="365"/>
        </w:trPr>
        <w:tc>
          <w:tcPr>
            <w:tcBorders>
              <w:top w:val="none" w:color="000000" w:sz="4" w:space="0"/>
              <w:left w:val="single" w:color="000000" w:sz="4" w:space="0"/>
              <w:bottom w:val="none" w:color="000000" w:sz="4" w:space="0"/>
              <w:right w:val="single" w:color="000000" w:sz="4" w:space="0"/>
            </w:tcBorders>
            <w:tcW w:w="407" w:type="dxa"/>
            <w:vAlign w:val="center"/>
            <w:vMerge w:val="continue"/>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000000" w:sz="4" w:space="0"/>
              <w:bottom w:val="none" w:color="000000" w:sz="4" w:space="0"/>
              <w:right w:val="single" w:color="000000" w:sz="4" w:space="0"/>
            </w:tcBorders>
            <w:tcW w:w="613" w:type="dxa"/>
            <w:vAlign w:val="center"/>
            <w:vMerge w:val="continue"/>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none" w:color="000000" w:sz="4" w:space="0"/>
              <w:right w:val="single" w:color="auto" w:sz="4" w:space="0"/>
            </w:tcBorders>
            <w:tcW w:w="652" w:type="dxa"/>
            <w:vAlign w:val="center"/>
            <w:vMerge w:val="restart"/>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w:t>
            </w:r>
            <w:r/>
          </w:p>
        </w:tc>
        <w:tc>
          <w:tcPr>
            <w:tcBorders>
              <w:top w:val="single" w:color="auto" w:sz="4" w:space="0"/>
              <w:left w:val="single" w:color="auto" w:sz="4" w:space="0"/>
              <w:bottom w:val="none" w:color="000000" w:sz="4" w:space="0"/>
              <w:right w:val="single" w:color="auto" w:sz="4" w:space="0"/>
            </w:tcBorders>
            <w:tcW w:w="1844" w:type="dxa"/>
            <w:vAlign w:val="center"/>
            <w:vMerge w:val="restart"/>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安全生产网络完整，单位制定安全生产规章制度全面、合理，严格执行安全生产操作规程，发生安全事故及时上报及抄报有关单位。</w:t>
            </w:r>
            <w:r/>
          </w:p>
        </w:tc>
        <w:tc>
          <w:tcPr>
            <w:tcBorders>
              <w:top w:val="single" w:color="auto" w:sz="4" w:space="0"/>
              <w:left w:val="single" w:color="auto" w:sz="4" w:space="0"/>
              <w:bottom w:val="single" w:color="auto" w:sz="4" w:space="0"/>
              <w:right w:val="single" w:color="auto"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无网络</w:t>
            </w:r>
            <w:r/>
          </w:p>
        </w:tc>
        <w:tc>
          <w:tcPr>
            <w:tcBorders>
              <w:top w:val="single" w:color="000000" w:sz="4" w:space="0"/>
              <w:left w:val="single" w:color="auto"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扣2分</w:t>
            </w:r>
            <w:r/>
          </w:p>
        </w:tc>
      </w:tr>
      <w:tr>
        <w:trPr>
          <w:trHeight w:val="365"/>
        </w:trPr>
        <w:tc>
          <w:tcPr>
            <w:tcBorders>
              <w:top w:val="none" w:color="000000" w:sz="4" w:space="0"/>
              <w:left w:val="single" w:color="000000" w:sz="4" w:space="0"/>
              <w:bottom w:val="none" w:color="000000" w:sz="4" w:space="0"/>
              <w:right w:val="single" w:color="000000" w:sz="4" w:space="0"/>
            </w:tcBorders>
            <w:tcW w:w="407" w:type="dxa"/>
            <w:vAlign w:val="center"/>
            <w:vMerge w:val="continue"/>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000000" w:sz="4" w:space="0"/>
              <w:bottom w:val="none" w:color="000000" w:sz="4" w:space="0"/>
              <w:right w:val="single" w:color="000000" w:sz="4" w:space="0"/>
            </w:tcBorders>
            <w:tcW w:w="613" w:type="dxa"/>
            <w:vAlign w:val="center"/>
            <w:vMerge w:val="continue"/>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none" w:color="000000" w:sz="4" w:space="0"/>
              <w:right w:val="single" w:color="auto" w:sz="4" w:space="0"/>
            </w:tcBorders>
            <w:tcW w:w="652" w:type="dxa"/>
            <w:vAlign w:val="center"/>
            <w:vMerge w:val="continue"/>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none" w:color="000000" w:sz="4" w:space="0"/>
              <w:right w:val="single" w:color="auto" w:sz="4" w:space="0"/>
            </w:tcBorders>
            <w:tcW w:w="1844" w:type="dxa"/>
            <w:vAlign w:val="center"/>
            <w:vMerge w:val="continue"/>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网络不落实每项</w:t>
            </w:r>
            <w:r/>
          </w:p>
        </w:tc>
        <w:tc>
          <w:tcPr>
            <w:tcBorders>
              <w:top w:val="single" w:color="000000" w:sz="4" w:space="0"/>
              <w:left w:val="single" w:color="auto"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扣0.5分</w:t>
            </w:r>
            <w:r/>
          </w:p>
        </w:tc>
      </w:tr>
      <w:tr>
        <w:trPr>
          <w:trHeight w:val="365"/>
        </w:trPr>
        <w:tc>
          <w:tcPr>
            <w:tcBorders>
              <w:top w:val="none" w:color="000000" w:sz="4" w:space="0"/>
              <w:left w:val="single" w:color="000000" w:sz="4" w:space="0"/>
              <w:bottom w:val="none" w:color="000000" w:sz="4" w:space="0"/>
              <w:right w:val="single" w:color="000000" w:sz="4" w:space="0"/>
            </w:tcBorders>
            <w:tcW w:w="407" w:type="dxa"/>
            <w:vAlign w:val="center"/>
            <w:vMerge w:val="continue"/>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000000" w:sz="4" w:space="0"/>
              <w:bottom w:val="none" w:color="000000" w:sz="4" w:space="0"/>
              <w:right w:val="single" w:color="000000" w:sz="4" w:space="0"/>
            </w:tcBorders>
            <w:tcW w:w="613" w:type="dxa"/>
            <w:vAlign w:val="center"/>
            <w:vMerge w:val="continue"/>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none" w:color="000000" w:sz="4" w:space="0"/>
              <w:right w:val="single" w:color="auto" w:sz="4" w:space="0"/>
            </w:tcBorders>
            <w:tcW w:w="652" w:type="dxa"/>
            <w:vAlign w:val="center"/>
            <w:vMerge w:val="continue"/>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none" w:color="000000" w:sz="4" w:space="0"/>
              <w:right w:val="single" w:color="auto" w:sz="4" w:space="0"/>
            </w:tcBorders>
            <w:tcW w:w="1844" w:type="dxa"/>
            <w:vAlign w:val="center"/>
            <w:vMerge w:val="continue"/>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无安全生产规章制度</w:t>
            </w:r>
            <w:r/>
          </w:p>
        </w:tc>
        <w:tc>
          <w:tcPr>
            <w:tcBorders>
              <w:top w:val="single" w:color="000000" w:sz="4" w:space="0"/>
              <w:left w:val="single" w:color="auto"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扣1分</w:t>
            </w:r>
            <w:r/>
          </w:p>
        </w:tc>
      </w:tr>
      <w:tr>
        <w:trPr>
          <w:trHeight w:val="365"/>
        </w:trPr>
        <w:tc>
          <w:tcPr>
            <w:tcBorders>
              <w:top w:val="none" w:color="000000" w:sz="4" w:space="0"/>
              <w:left w:val="single" w:color="000000" w:sz="4" w:space="0"/>
              <w:bottom w:val="none" w:color="000000" w:sz="4" w:space="0"/>
              <w:right w:val="single" w:color="000000" w:sz="4" w:space="0"/>
            </w:tcBorders>
            <w:tcW w:w="407" w:type="dxa"/>
            <w:vAlign w:val="center"/>
            <w:vMerge w:val="continue"/>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000000" w:sz="4" w:space="0"/>
              <w:bottom w:val="none" w:color="000000" w:sz="4" w:space="0"/>
              <w:right w:val="single" w:color="000000" w:sz="4" w:space="0"/>
            </w:tcBorders>
            <w:tcW w:w="613" w:type="dxa"/>
            <w:vAlign w:val="center"/>
            <w:vMerge w:val="continue"/>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none" w:color="000000" w:sz="4" w:space="0"/>
              <w:right w:val="single" w:color="auto" w:sz="4" w:space="0"/>
            </w:tcBorders>
            <w:tcW w:w="652" w:type="dxa"/>
            <w:vAlign w:val="center"/>
            <w:vMerge w:val="continue"/>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none" w:color="000000" w:sz="4" w:space="0"/>
              <w:right w:val="single" w:color="auto" w:sz="4" w:space="0"/>
            </w:tcBorders>
            <w:tcW w:w="1844" w:type="dxa"/>
            <w:vAlign w:val="center"/>
            <w:vMerge w:val="continue"/>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规章制度不全面</w:t>
            </w:r>
            <w:r/>
          </w:p>
        </w:tc>
        <w:tc>
          <w:tcPr>
            <w:tcBorders>
              <w:top w:val="single" w:color="000000" w:sz="4" w:space="0"/>
              <w:left w:val="single" w:color="auto"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扣0.5分</w:t>
            </w:r>
            <w:r/>
          </w:p>
        </w:tc>
      </w:tr>
      <w:tr>
        <w:trPr>
          <w:trHeight w:val="516"/>
        </w:trPr>
        <w:tc>
          <w:tcPr>
            <w:tcBorders>
              <w:top w:val="none" w:color="000000" w:sz="4" w:space="0"/>
              <w:left w:val="single" w:color="000000" w:sz="4" w:space="0"/>
              <w:bottom w:val="single" w:color="000000" w:sz="4" w:space="0"/>
              <w:right w:val="single" w:color="000000" w:sz="4" w:space="0"/>
            </w:tcBorders>
            <w:tcW w:w="407" w:type="dxa"/>
            <w:vAlign w:val="center"/>
            <w:vMerge w:val="continue"/>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000000" w:sz="4" w:space="0"/>
              <w:bottom w:val="single" w:color="000000" w:sz="4" w:space="0"/>
              <w:right w:val="single" w:color="000000" w:sz="4" w:space="0"/>
            </w:tcBorders>
            <w:tcW w:w="613" w:type="dxa"/>
            <w:vAlign w:val="center"/>
            <w:vMerge w:val="continue"/>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652" w:type="dxa"/>
            <w:vAlign w:val="center"/>
            <w:vMerge w:val="continue"/>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1844" w:type="dxa"/>
            <w:vAlign w:val="center"/>
            <w:vMerge w:val="continue"/>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7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发生安全事故不及时上报、抄报，每次</w:t>
            </w:r>
            <w:r/>
          </w:p>
        </w:tc>
        <w:tc>
          <w:tcPr>
            <w:tcBorders>
              <w:top w:val="single" w:color="000000" w:sz="4" w:space="0"/>
              <w:left w:val="single" w:color="auto" w:sz="4" w:space="0"/>
              <w:bottom w:val="single" w:color="000000" w:sz="4" w:space="0"/>
              <w:right w:val="single" w:color="000000" w:sz="4" w:space="0"/>
            </w:tcBorders>
            <w:tcW w:w="200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扣1分</w:t>
            </w:r>
            <w:r/>
          </w:p>
        </w:tc>
      </w:tr>
    </w:tbl>
    <w:p>
      <w:pPr>
        <w:jc w:val="left"/>
        <w:keepLines w:val="0"/>
        <w:keepNext w:val="0"/>
        <w:pageBreakBefore w:val="0"/>
        <w:spacing w:line="360" w:lineRule="auto"/>
        <w:widowControl/>
        <w:rPr>
          <w:rFonts w:hint="eastAsia" w:ascii="宋体" w:hAnsi="宋体" w:eastAsia="宋体" w:cs="宋体"/>
          <w:color w:val="auto"/>
          <w:sz w:val="21"/>
          <w:szCs w:val="21"/>
          <w:highlight w:val="none"/>
        </w:rPr>
        <w:sectPr>
          <w:headerReference w:type="default" r:id="rId13"/>
          <w:footerReference w:type="default" r:id="rId17"/>
          <w:footnotePr/>
          <w:endnotePr/>
          <w:type w:val="nextPage"/>
          <w:pgSz w:w="11906" w:h="16838" w:orient="portrait"/>
          <w:pgMar w:top="567" w:right="1417" w:bottom="567" w:left="1417" w:header="851" w:footer="850" w:gutter="0"/>
          <w:cols w:num="1" w:sep="0" w:space="720" w:equalWidth="1"/>
          <w:docGrid w:linePitch="360"/>
        </w:sectPr>
      </w:pPr>
      <w:r>
        <w:rPr>
          <w:rFonts w:hint="eastAsia" w:ascii="宋体" w:hAnsi="宋体" w:eastAsia="宋体" w:cs="宋体"/>
          <w:color w:val="auto"/>
          <w:sz w:val="21"/>
          <w:szCs w:val="21"/>
          <w:highlight w:val="none"/>
        </w:rPr>
        <w:br w:type="page" w:clear="all"/>
      </w:r>
      <w:r/>
    </w:p>
    <w:p>
      <w:pPr>
        <w:jc w:val="left"/>
        <w:keepLines w:val="0"/>
        <w:keepNext w:val="0"/>
        <w:pageBreakBefore w:val="0"/>
        <w:spacing w:line="360" w:lineRule="auto"/>
        <w:rPr>
          <w:rFonts w:hint="eastAsia" w:ascii="宋体" w:hAnsi="宋体" w:eastAsia="宋体" w:cs="宋体"/>
          <w:color w:val="auto"/>
          <w:sz w:val="21"/>
          <w:szCs w:val="21"/>
          <w:highlight w:val="none"/>
        </w:rPr>
        <w:outlineLvl w:val="1"/>
      </w:pPr>
      <w:r/>
      <w:bookmarkStart w:id="51" w:name="_Toc24080"/>
      <w:r>
        <w:rPr>
          <w:rFonts w:hint="eastAsia" w:ascii="宋体" w:hAnsi="宋体" w:eastAsia="宋体" w:cs="宋体"/>
          <w:b/>
          <w:color w:val="auto"/>
          <w:sz w:val="21"/>
          <w:szCs w:val="21"/>
          <w:highlight w:val="none"/>
          <w:lang w:val="en-US" w:eastAsia="zh-CN"/>
        </w:rPr>
        <w:t xml:space="preserve">2</w:t>
      </w:r>
      <w:r>
        <w:rPr>
          <w:rFonts w:hint="eastAsia" w:ascii="宋体" w:hAnsi="宋体" w:eastAsia="宋体" w:cs="宋体"/>
          <w:b/>
          <w:color w:val="auto"/>
          <w:sz w:val="21"/>
          <w:szCs w:val="21"/>
          <w:highlight w:val="none"/>
        </w:rPr>
        <w:t xml:space="preserve">、东山主城区园林养护随机抽查扣分标准</w:t>
      </w:r>
      <w:bookmarkEnd w:id="51"/>
      <w:r/>
      <w:r/>
    </w:p>
    <w:tbl>
      <w:tblPr>
        <w:tblStyle w:val="9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19"/>
        <w:gridCol w:w="5250"/>
        <w:gridCol w:w="927"/>
        <w:gridCol w:w="766"/>
      </w:tblGrid>
      <w:tr>
        <w:trPr>
          <w:trHeight w:val="498"/>
        </w:trPr>
        <w:tc>
          <w:tcPr>
            <w:tcBorders>
              <w:top w:val="single" w:color="auto" w:sz="4" w:space="0"/>
              <w:left w:val="single" w:color="auto" w:sz="4" w:space="0"/>
              <w:bottom w:val="single" w:color="auto" w:sz="4" w:space="0"/>
              <w:right w:val="single" w:color="auto" w:sz="4" w:space="0"/>
            </w:tcBorders>
            <w:tcW w:w="2144"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内容</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评分细则</w:t>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扣分值</w:t>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r>
      <w:tr>
        <w:trPr>
          <w:trHeight w:val="3681"/>
        </w:trPr>
        <w:tc>
          <w:tcPr>
            <w:tcBorders>
              <w:top w:val="single" w:color="auto" w:sz="4" w:space="0"/>
              <w:left w:val="single" w:color="auto" w:sz="4" w:space="0"/>
              <w:bottom w:val="single" w:color="auto" w:sz="4" w:space="0"/>
              <w:right w:val="single" w:color="auto" w:sz="4" w:space="0"/>
            </w:tcBorders>
            <w:tcW w:w="2144"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市民投诉、新闻媒体曝光、110或12345平台反馈及随机抽查中发现的问题</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1、未经许可同意，擅自砍伐、移植或更换养护范围内的树木，改变绿地原面貌的，发现一起，扣1分。</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2、对毁绿、占绿行为，未在24小时内发现、制止和报告的，毁损树木3株（含）以内，或毁占绿地面积5平方米（含）以下的，发现一起，扣</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分；超出此限范围的，发现一起，扣</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3、媒体曝光、市民投诉、绿化义务监督员和12345平台反馈等情况，查证属实并确系养护管理不到位所致的（非1、2项范围内容），发现一起，扣</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4、已办理许可手续，但存在超范围施工或不按许可要求监管的，发现一起，扣</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5、随机巡查中发现的管护中存在的其他严重问题，视情扣分；</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6、随机抽查中问题，在规定时限内，没有整改到位的，在原来扣分的基础上，加倍扣分。</w:t>
            </w:r>
            <w:r/>
          </w:p>
        </w:tc>
        <w:tc>
          <w:tcPr>
            <w:tcBorders>
              <w:top w:val="single" w:color="auto" w:sz="4" w:space="0"/>
              <w:left w:val="single" w:color="auto" w:sz="4" w:space="0"/>
              <w:bottom w:val="single" w:color="auto" w:sz="4" w:space="0"/>
              <w:right w:val="single" w:color="auto" w:sz="4" w:space="0"/>
            </w:tcBorders>
            <w:tcW w:w="936" w:type="dxa"/>
            <w:textDirection w:val="lrTb"/>
            <w:noWrap/>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73" w:type="dxa"/>
            <w:textDirection w:val="lrTb"/>
            <w:noWrap/>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784"/>
        </w:trPr>
        <w:tc>
          <w:tcPr>
            <w:tcBorders>
              <w:top w:val="single" w:color="auto" w:sz="4" w:space="0"/>
              <w:left w:val="single" w:color="auto" w:sz="4" w:space="0"/>
              <w:bottom w:val="single" w:color="auto" w:sz="4" w:space="0"/>
              <w:right w:val="single" w:color="auto" w:sz="4" w:space="0"/>
            </w:tcBorders>
            <w:tcW w:w="2144"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tc>
        <w:tc>
          <w:tcPr>
            <w:gridSpan w:val="3"/>
            <w:tcBorders>
              <w:top w:val="single" w:color="auto" w:sz="4" w:space="0"/>
              <w:left w:val="single" w:color="auto" w:sz="4" w:space="0"/>
              <w:bottom w:val="single" w:color="auto" w:sz="4" w:space="0"/>
              <w:right w:val="single" w:color="auto" w:sz="4" w:space="0"/>
            </w:tcBorders>
            <w:tcW w:w="7025" w:type="dxa"/>
            <w:vAlign w:val="center"/>
            <w:textDirection w:val="lrTb"/>
            <w:noWrap/>
          </w:tcPr>
          <w:p>
            <w:pPr>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1、其中5、6项与日常考核发现问题相同的不重复扣分；</w:t>
            </w:r>
            <w:r/>
          </w:p>
          <w:p>
            <w:pPr>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2、当季扣分超过10分的，该养护单位无条件退出该标段养护。</w:t>
            </w:r>
            <w:r/>
          </w:p>
        </w:tc>
      </w:tr>
      <w:tr>
        <w:trPr>
          <w:trHeight w:val="817"/>
        </w:trPr>
        <w:tc>
          <w:tcPr>
            <w:tcBorders>
              <w:top w:val="single" w:color="auto" w:sz="4" w:space="0"/>
              <w:left w:val="single" w:color="auto" w:sz="4" w:space="0"/>
              <w:bottom w:val="single" w:color="auto" w:sz="4" w:space="0"/>
              <w:right w:val="single" w:color="auto" w:sz="4" w:space="0"/>
            </w:tcBorders>
            <w:tcW w:w="2144"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合计：</w:t>
            </w:r>
            <w:r/>
          </w:p>
        </w:tc>
        <w:tc>
          <w:tcPr>
            <w:gridSpan w:val="3"/>
            <w:tcBorders>
              <w:top w:val="single" w:color="auto" w:sz="4" w:space="0"/>
              <w:left w:val="single" w:color="auto" w:sz="4" w:space="0"/>
              <w:bottom w:val="single" w:color="auto" w:sz="4" w:space="0"/>
              <w:right w:val="single" w:color="auto" w:sz="4" w:space="0"/>
            </w:tcBorders>
            <w:tcW w:w="7025" w:type="dxa"/>
            <w:textDirection w:val="lrTb"/>
            <w:noWrap/>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keepLines w:val="0"/>
        <w:keepNext w:val="0"/>
        <w:pageBreakBefore w:val="0"/>
        <w:spacing w:line="360" w:lineRule="auto"/>
        <w:rPr>
          <w:rFonts w:hint="eastAsia" w:ascii="宋体" w:hAnsi="宋体" w:eastAsia="宋体" w:cs="宋体"/>
          <w:color w:val="auto"/>
          <w:sz w:val="21"/>
          <w:szCs w:val="21"/>
          <w:highlight w:val="none"/>
        </w:rPr>
        <w:sectPr>
          <w:footnotePr/>
          <w:endnotePr/>
          <w:type w:val="nextPage"/>
          <w:pgSz w:w="11906" w:h="16838" w:orient="portrait"/>
          <w:pgMar w:top="567" w:right="1417" w:bottom="567" w:left="1417" w:header="851" w:footer="850" w:gutter="0"/>
          <w:cols w:num="1" w:sep="0" w:space="720" w:equalWidth="1"/>
          <w:docGrid w:linePitch="360"/>
        </w:sectPr>
      </w:pPr>
      <w:r>
        <w:rPr>
          <w:rFonts w:hint="eastAsia" w:ascii="宋体" w:hAnsi="宋体" w:eastAsia="宋体" w:cs="宋体"/>
          <w:color w:val="auto"/>
          <w:sz w:val="21"/>
          <w:szCs w:val="21"/>
          <w:highlight w:val="none"/>
        </w:rPr>
      </w:r>
      <w:r/>
    </w:p>
    <w:p>
      <w:pPr>
        <w:jc w:val="left"/>
        <w:keepLines w:val="0"/>
        <w:keepNext w:val="0"/>
        <w:pageBreakBefore w:val="0"/>
        <w:spacing w:line="360" w:lineRule="auto"/>
        <w:rPr>
          <w:rFonts w:hint="eastAsia" w:ascii="宋体" w:hAnsi="宋体" w:eastAsia="宋体" w:cs="宋体"/>
          <w:b/>
          <w:bCs/>
          <w:color w:val="auto"/>
          <w:sz w:val="21"/>
          <w:szCs w:val="21"/>
          <w:highlight w:val="none"/>
        </w:rPr>
        <w:outlineLvl w:val="0"/>
      </w:pPr>
      <w:r/>
      <w:bookmarkStart w:id="52" w:name="_Toc88"/>
      <w:r>
        <w:rPr>
          <w:rFonts w:hint="eastAsia" w:ascii="宋体" w:hAnsi="宋体" w:eastAsia="宋体" w:cs="宋体"/>
          <w:b/>
          <w:bCs/>
          <w:color w:val="auto"/>
          <w:sz w:val="21"/>
          <w:szCs w:val="21"/>
          <w:highlight w:val="none"/>
        </w:rPr>
        <w:t xml:space="preserve">附件</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：专项更新项目单价</w:t>
      </w:r>
      <w:bookmarkEnd w:id="52"/>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mc:AlternateContent>
          <mc:Choice Requires="wpg">
            <w:drawing>
              <wp:inline xmlns:wp="http://schemas.openxmlformats.org/drawingml/2006/wordprocessingDrawing" distT="0" distB="0" distL="0" distR="0">
                <wp:extent cx="5852795" cy="6496050"/>
                <wp:effectExtent l="0" t="0" r="1905" b="6350"/>
                <wp:docPr id="1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2"/>
                        <pic:cNvPicPr>
                          <a:picLocks noChangeAspect="1"/>
                        </pic:cNvPicPr>
                        <pic:nvPr/>
                      </pic:nvPicPr>
                      <pic:blipFill>
                        <a:blip r:embed="rId20"/>
                        <a:stretch/>
                      </pic:blipFill>
                      <pic:spPr bwMode="auto">
                        <a:xfrm>
                          <a:off x="0" y="0"/>
                          <a:ext cx="5852795" cy="6496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60.8pt;height:511.5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color w:val="auto"/>
          <w:sz w:val="21"/>
          <w:szCs w:val="21"/>
          <w:highlight w:val="none"/>
        </w:rPr>
        <w:t xml:space="preserve">说明：</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1、以上单价包含拆除费、材料费（设备费）、施工费（安装费）、规费、税金等所有费用。</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2、未列明事项或实际施工工程中与规格参数不一致的，按国家最新行业规范标准及定额计价规范计取，最终以审计结果为准。</w:t>
      </w:r>
      <w:r/>
    </w:p>
    <w:p>
      <w:pPr>
        <w:keepLines w:val="0"/>
        <w:keepNext w:val="0"/>
        <w:pageBreakBefore w:val="0"/>
        <w:spacing w:line="360" w:lineRule="auto"/>
        <w:rPr>
          <w:rFonts w:hint="eastAsia" w:ascii="Arial Unicode MS" w:hAnsi="Arial Unicode MS" w:eastAsia="Arial Unicode MS" w:cs="Arial Unicode MS"/>
          <w:color w:val="auto"/>
          <w:sz w:val="36"/>
          <w:szCs w:val="36"/>
          <w:highlight w:val="none"/>
        </w:rPr>
        <w:sectPr>
          <w:footnotePr/>
          <w:endnotePr/>
          <w:type w:val="nextPage"/>
          <w:pgSz w:w="11906" w:h="16838" w:orient="portrait"/>
          <w:pgMar w:top="567" w:right="1417" w:bottom="567" w:left="1417" w:header="851" w:footer="850" w:gutter="0"/>
          <w:cols w:num="1" w:sep="0" w:space="1701" w:equalWidth="1"/>
          <w:docGrid w:linePitch="360"/>
          <w:titlePg/>
        </w:sectPr>
      </w:pPr>
      <w:r>
        <w:rPr>
          <w:rFonts w:hint="eastAsia" w:ascii="Arial Unicode MS" w:hAnsi="Arial Unicode MS" w:eastAsia="Arial Unicode MS" w:cs="Arial Unicode MS"/>
          <w:color w:val="auto"/>
          <w:sz w:val="36"/>
          <w:szCs w:val="36"/>
          <w:highlight w:val="none"/>
        </w:rPr>
      </w:r>
      <w:bookmarkEnd w:id="35"/>
      <w:r/>
      <w:r/>
    </w:p>
    <w:p>
      <w:pPr>
        <w:pStyle w:val="974"/>
        <w:ind w:firstLine="21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90"/>
        <w:ind w:left="735" w:firstLine="0"/>
        <w:jc w:val="center"/>
        <w:spacing w:line="720" w:lineRule="auto"/>
        <w:rPr>
          <w:rFonts w:hint="eastAsia" w:ascii="宋体" w:hAnsi="宋体" w:eastAsia="宋体" w:cs="宋体"/>
          <w:b/>
          <w:color w:val="auto"/>
          <w:sz w:val="32"/>
          <w:szCs w:val="32"/>
          <w:highlight w:val="none"/>
        </w:rPr>
        <w:outlineLvl w:val="0"/>
      </w:pPr>
      <w:r/>
      <w:bookmarkStart w:id="53" w:name="_Toc25482"/>
      <w:r>
        <w:rPr>
          <w:rFonts w:hint="eastAsia" w:ascii="宋体" w:hAnsi="宋体" w:eastAsia="宋体" w:cs="宋体"/>
          <w:b/>
          <w:color w:val="auto"/>
          <w:sz w:val="32"/>
          <w:szCs w:val="32"/>
          <w:highlight w:val="none"/>
        </w:rPr>
        <w:t xml:space="preserve">第五章</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 xml:space="preserve">合同主要条款及格式</w:t>
      </w:r>
      <w:bookmarkEnd w:id="53"/>
      <w:r/>
      <w:r/>
    </w:p>
    <w:p>
      <w:pPr>
        <w:pStyle w:val="990"/>
        <w:ind w:firstLine="0"/>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pStyle w:val="990"/>
        <w:ind w:firstLine="0"/>
        <w:jc w:val="center"/>
        <w:rPr>
          <w:rFonts w:hint="eastAsia" w:ascii="宋体" w:hAnsi="宋体" w:eastAsia="宋体" w:cs="宋体"/>
          <w:bCs/>
          <w:color w:val="auto"/>
          <w:sz w:val="48"/>
          <w:szCs w:val="48"/>
          <w:highlight w:val="none"/>
        </w:rPr>
      </w:pPr>
      <w:r>
        <w:rPr>
          <w:rFonts w:hint="eastAsia" w:ascii="宋体" w:hAnsi="宋体" w:eastAsia="宋体" w:cs="宋体"/>
          <w:bCs/>
          <w:color w:val="auto"/>
          <w:sz w:val="48"/>
          <w:szCs w:val="48"/>
          <w:highlight w:val="none"/>
        </w:rPr>
        <w:t xml:space="preserve">南京市政府采购合同</w:t>
      </w:r>
      <w:r/>
    </w:p>
    <w:p>
      <w:pPr>
        <w:pStyle w:val="990"/>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（供参考）</w:t>
      </w:r>
      <w:r/>
    </w:p>
    <w:p>
      <w:pPr>
        <w:pStyle w:val="990"/>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0"/>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0"/>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0"/>
        <w:ind w:firstLine="0"/>
        <w:rPr>
          <w:rFonts w:hint="eastAsia" w:ascii="宋体" w:hAnsi="宋体" w:cs="宋体"/>
          <w:color w:val="auto"/>
          <w:highlight w:val="none"/>
        </w:rPr>
      </w:pPr>
      <w:r>
        <w:rPr>
          <w:rFonts w:hint="eastAsia" w:ascii="宋体" w:hAnsi="宋体" w:cs="宋体"/>
          <w:color w:val="auto"/>
          <w:highlight w:val="none"/>
        </w:rPr>
      </w:r>
      <w:r/>
    </w:p>
    <w:p>
      <w:pPr>
        <w:pStyle w:val="990"/>
        <w:ind w:firstLine="1841"/>
        <w:rPr>
          <w:rFonts w:hint="eastAsia" w:ascii="宋体" w:hAnsi="宋体" w:cs="宋体"/>
          <w:b/>
          <w:color w:val="auto"/>
          <w:sz w:val="24"/>
          <w:szCs w:val="24"/>
          <w:highlight w:val="none"/>
          <w:u w:val="single"/>
        </w:rPr>
      </w:pPr>
      <w:r>
        <w:rPr>
          <w:rFonts w:ascii="宋体" w:hAnsi="宋体" w:eastAsia="宋体" w:cs="宋体"/>
          <w:b/>
          <w:color w:val="auto"/>
          <w:sz w:val="24"/>
          <w:szCs w:val="24"/>
          <w:highlight w:val="none"/>
        </w:rPr>
        <w:t xml:space="preserve">合同编号 ： </w:t>
      </w:r>
      <w:r>
        <w:rPr>
          <w:rFonts w:ascii="宋体" w:hAnsi="宋体" w:eastAsia="宋体" w:cs="宋体"/>
          <w:b/>
          <w:color w:val="auto"/>
          <w:sz w:val="24"/>
          <w:szCs w:val="24"/>
          <w:highlight w:val="none"/>
          <w:u w:val="single"/>
        </w:rPr>
        <w:t xml:space="preserve">                     </w:t>
      </w:r>
      <w:r/>
    </w:p>
    <w:p>
      <w:pPr>
        <w:pStyle w:val="990"/>
        <w:ind w:firstLine="1841"/>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pStyle w:val="990"/>
        <w:ind w:firstLine="1841"/>
        <w:rPr>
          <w:rFonts w:hint="eastAsia" w:ascii="宋体" w:hAnsi="宋体" w:cs="宋体"/>
          <w:b/>
          <w:color w:val="auto"/>
          <w:sz w:val="24"/>
          <w:szCs w:val="24"/>
          <w:highlight w:val="none"/>
          <w:u w:val="single"/>
        </w:rPr>
      </w:pPr>
      <w:r>
        <w:rPr>
          <w:rFonts w:ascii="宋体" w:hAnsi="宋体" w:eastAsia="宋体" w:cs="宋体"/>
          <w:b/>
          <w:color w:val="auto"/>
          <w:sz w:val="24"/>
          <w:szCs w:val="24"/>
          <w:highlight w:val="none"/>
        </w:rPr>
        <w:t xml:space="preserve">项目名称 ：</w:t>
      </w:r>
      <w:r>
        <w:rPr>
          <w:rFonts w:ascii="宋体" w:hAnsi="宋体" w:eastAsia="宋体" w:cs="宋体"/>
          <w:b/>
          <w:color w:val="auto"/>
          <w:sz w:val="24"/>
          <w:szCs w:val="24"/>
          <w:highlight w:val="none"/>
          <w:u w:val="single"/>
        </w:rPr>
        <w:t xml:space="preserve">                      </w:t>
      </w:r>
      <w:r/>
    </w:p>
    <w:p>
      <w:pPr>
        <w:pStyle w:val="990"/>
        <w:ind w:firstLine="1841"/>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pStyle w:val="990"/>
        <w:ind w:firstLine="1841"/>
        <w:rPr>
          <w:rFonts w:hint="eastAsia" w:ascii="宋体" w:hAnsi="宋体" w:cs="宋体"/>
          <w:b/>
          <w:color w:val="auto"/>
          <w:sz w:val="24"/>
          <w:szCs w:val="24"/>
          <w:highlight w:val="none"/>
          <w:u w:val="single"/>
        </w:rPr>
      </w:pPr>
      <w:r>
        <w:rPr>
          <w:rFonts w:hint="eastAsia" w:ascii="宋体" w:hAnsi="宋体" w:eastAsia="宋体" w:cs="宋体"/>
          <w:b/>
          <w:color w:val="auto"/>
          <w:sz w:val="24"/>
          <w:szCs w:val="24"/>
          <w:highlight w:val="none"/>
        </w:rPr>
        <w:t xml:space="preserve">采购</w:t>
      </w:r>
      <w:r>
        <w:rPr>
          <w:rFonts w:ascii="宋体" w:hAnsi="宋体" w:eastAsia="宋体" w:cs="宋体"/>
          <w:b/>
          <w:color w:val="auto"/>
          <w:sz w:val="24"/>
          <w:szCs w:val="24"/>
          <w:highlight w:val="none"/>
        </w:rPr>
        <w:t xml:space="preserve">单位 ： </w:t>
      </w:r>
      <w:r>
        <w:rPr>
          <w:rFonts w:ascii="宋体" w:hAnsi="宋体" w:eastAsia="宋体" w:cs="宋体"/>
          <w:b/>
          <w:color w:val="auto"/>
          <w:sz w:val="24"/>
          <w:szCs w:val="24"/>
          <w:highlight w:val="none"/>
          <w:u w:val="single"/>
        </w:rPr>
        <w:t xml:space="preserve">                     </w:t>
      </w:r>
      <w:r>
        <w:rPr>
          <w:rFonts w:ascii="宋体" w:hAnsi="宋体" w:eastAsia="宋体" w:cs="宋体"/>
          <w:b/>
          <w:color w:val="auto"/>
          <w:sz w:val="24"/>
          <w:szCs w:val="24"/>
          <w:highlight w:val="none"/>
        </w:rPr>
        <w:t xml:space="preserve"> </w:t>
      </w:r>
      <w:r/>
    </w:p>
    <w:p>
      <w:pPr>
        <w:pStyle w:val="990"/>
        <w:ind w:firstLine="1841"/>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pStyle w:val="990"/>
        <w:ind w:firstLine="1841"/>
        <w:rPr>
          <w:rFonts w:hint="eastAsia" w:ascii="宋体" w:hAnsi="宋体" w:cs="宋体"/>
          <w:b/>
          <w:color w:val="auto"/>
          <w:sz w:val="24"/>
          <w:szCs w:val="24"/>
          <w:highlight w:val="none"/>
          <w:u w:val="single"/>
        </w:rPr>
      </w:pPr>
      <w:r>
        <w:rPr>
          <w:rFonts w:hint="eastAsia" w:ascii="宋体" w:hAnsi="宋体" w:eastAsia="宋体" w:cs="宋体"/>
          <w:b/>
          <w:color w:val="auto"/>
          <w:sz w:val="24"/>
          <w:szCs w:val="24"/>
          <w:highlight w:val="none"/>
        </w:rPr>
        <w:t xml:space="preserve">服务</w:t>
      </w:r>
      <w:r>
        <w:rPr>
          <w:rFonts w:ascii="宋体" w:hAnsi="宋体" w:eastAsia="宋体" w:cs="宋体"/>
          <w:b/>
          <w:color w:val="auto"/>
          <w:sz w:val="24"/>
          <w:szCs w:val="24"/>
          <w:highlight w:val="none"/>
        </w:rPr>
        <w:t xml:space="preserve">单位 ： </w:t>
      </w:r>
      <w:r>
        <w:rPr>
          <w:rFonts w:ascii="宋体" w:hAnsi="宋体" w:eastAsia="宋体" w:cs="宋体"/>
          <w:b/>
          <w:color w:val="auto"/>
          <w:sz w:val="24"/>
          <w:szCs w:val="24"/>
          <w:highlight w:val="none"/>
          <w:u w:val="single"/>
        </w:rPr>
        <w:t xml:space="preserve">                     </w:t>
      </w:r>
      <w:r>
        <w:rPr>
          <w:rFonts w:ascii="宋体" w:hAnsi="宋体" w:eastAsia="宋体" w:cs="宋体"/>
          <w:b/>
          <w:color w:val="auto"/>
          <w:sz w:val="24"/>
          <w:szCs w:val="24"/>
          <w:highlight w:val="none"/>
        </w:rPr>
        <w:t xml:space="preserve"> </w:t>
      </w:r>
      <w:r/>
    </w:p>
    <w:p>
      <w:pPr>
        <w:pStyle w:val="990"/>
        <w:ind w:firstLine="1841"/>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pStyle w:val="990"/>
        <w:ind w:firstLine="1841"/>
        <w:rPr>
          <w:rFonts w:hint="eastAsia" w:ascii="宋体" w:hAnsi="宋体" w:cs="宋体"/>
          <w:b/>
          <w:color w:val="auto"/>
          <w:sz w:val="24"/>
          <w:szCs w:val="24"/>
          <w:highlight w:val="none"/>
          <w:u w:val="single"/>
        </w:rPr>
      </w:pPr>
      <w:r>
        <w:rPr>
          <w:rFonts w:ascii="宋体" w:hAnsi="宋体" w:eastAsia="宋体" w:cs="宋体"/>
          <w:b/>
          <w:color w:val="auto"/>
          <w:sz w:val="24"/>
          <w:szCs w:val="24"/>
          <w:highlight w:val="none"/>
        </w:rPr>
        <w:t xml:space="preserve">签订日期 ： </w:t>
      </w:r>
      <w:r>
        <w:rPr>
          <w:rFonts w:ascii="宋体" w:hAnsi="宋体" w:eastAsia="宋体" w:cs="宋体"/>
          <w:b/>
          <w:color w:val="auto"/>
          <w:sz w:val="24"/>
          <w:szCs w:val="24"/>
          <w:highlight w:val="none"/>
          <w:u w:val="single"/>
        </w:rPr>
        <w:t xml:space="preserve">                     </w:t>
      </w:r>
      <w:r/>
    </w:p>
    <w:p>
      <w:pPr>
        <w:pStyle w:val="990"/>
        <w:ind w:firstLine="1841"/>
        <w:rPr>
          <w:rFonts w:hint="eastAsia" w:ascii="宋体" w:hAnsi="宋体" w:cs="宋体"/>
          <w:b/>
          <w:color w:val="auto"/>
          <w:sz w:val="24"/>
          <w:szCs w:val="24"/>
          <w:highlight w:val="none"/>
        </w:rPr>
      </w:pPr>
      <w:r>
        <w:rPr>
          <w:rFonts w:ascii="宋体" w:hAnsi="宋体" w:eastAsia="宋体" w:cs="宋体"/>
          <w:b/>
          <w:color w:val="auto"/>
          <w:sz w:val="24"/>
          <w:szCs w:val="24"/>
          <w:highlight w:val="none"/>
        </w:rPr>
        <w:t xml:space="preserve"> </w:t>
      </w:r>
      <w:r/>
    </w:p>
    <w:p>
      <w:pPr>
        <w:pStyle w:val="990"/>
        <w:ind w:firstLine="0"/>
        <w:rPr>
          <w:rFonts w:hint="eastAsia" w:ascii="宋体" w:hAnsi="宋体" w:cs="宋体"/>
          <w:b/>
          <w:color w:val="auto"/>
          <w:highlight w:val="none"/>
        </w:rPr>
      </w:pPr>
      <w:r>
        <w:rPr>
          <w:rFonts w:hint="eastAsia" w:ascii="宋体" w:hAnsi="宋体" w:cs="宋体"/>
          <w:b/>
          <w:color w:val="auto"/>
          <w:highlight w:val="none"/>
        </w:rPr>
      </w:r>
      <w:r/>
    </w:p>
    <w:p>
      <w:pPr>
        <w:pStyle w:val="990"/>
        <w:ind w:firstLine="0"/>
        <w:rPr>
          <w:rFonts w:hint="eastAsia" w:ascii="宋体" w:hAnsi="宋体" w:cs="宋体"/>
          <w:b/>
          <w:color w:val="auto"/>
          <w:highlight w:val="none"/>
        </w:rPr>
      </w:pPr>
      <w:r>
        <w:rPr>
          <w:rFonts w:hint="eastAsia" w:ascii="宋体" w:hAnsi="宋体" w:cs="宋体"/>
          <w:b/>
          <w:color w:val="auto"/>
          <w:highlight w:val="none"/>
        </w:rPr>
      </w:r>
      <w:r/>
    </w:p>
    <w:p>
      <w:pPr>
        <w:pStyle w:val="990"/>
        <w:ind w:firstLine="0"/>
        <w:rPr>
          <w:rFonts w:hint="eastAsia" w:ascii="宋体" w:hAnsi="宋体" w:cs="宋体"/>
          <w:color w:val="auto"/>
          <w:highlight w:val="none"/>
        </w:rPr>
      </w:pPr>
      <w:r>
        <w:rPr>
          <w:rFonts w:hint="eastAsia" w:ascii="宋体" w:hAnsi="宋体" w:cs="宋体"/>
          <w:color w:val="auto"/>
          <w:highlight w:val="none"/>
        </w:rPr>
      </w:r>
      <w:r/>
    </w:p>
    <w:p>
      <w:pPr>
        <w:pStyle w:val="990"/>
        <w:ind w:firstLine="0"/>
        <w:rPr>
          <w:rFonts w:hint="eastAsia" w:ascii="宋体" w:hAnsi="宋体" w:cs="宋体"/>
          <w:color w:val="auto"/>
          <w:highlight w:val="none"/>
        </w:rPr>
      </w:pPr>
      <w:r>
        <w:rPr>
          <w:rFonts w:hint="eastAsia" w:ascii="宋体" w:hAnsi="宋体" w:cs="宋体"/>
          <w:color w:val="auto"/>
          <w:highlight w:val="none"/>
        </w:rPr>
      </w:r>
      <w:r/>
    </w:p>
    <w:p>
      <w:pPr>
        <w:pStyle w:val="990"/>
        <w:ind w:firstLine="0"/>
        <w:rPr>
          <w:rFonts w:hint="eastAsia" w:ascii="宋体" w:hAnsi="宋体" w:cs="宋体"/>
          <w:color w:val="auto"/>
          <w:highlight w:val="none"/>
        </w:rPr>
      </w:pPr>
      <w:r>
        <w:rPr>
          <w:rFonts w:hint="eastAsia" w:ascii="宋体" w:hAnsi="宋体" w:cs="宋体"/>
          <w:color w:val="auto"/>
          <w:highlight w:val="none"/>
        </w:rPr>
      </w:r>
      <w:r/>
    </w:p>
    <w:p>
      <w:pPr>
        <w:pStyle w:val="990"/>
        <w:ind w:firstLine="0"/>
        <w:rPr>
          <w:rFonts w:hint="eastAsia" w:ascii="宋体" w:hAnsi="宋体" w:cs="宋体"/>
          <w:b/>
          <w:color w:val="auto"/>
          <w:highlight w:val="none"/>
        </w:rPr>
      </w:pPr>
      <w:r>
        <w:rPr>
          <w:rFonts w:hint="eastAsia" w:ascii="宋体" w:hAnsi="宋体" w:cs="宋体"/>
          <w:b/>
          <w:color w:val="auto"/>
          <w:highlight w:val="none"/>
        </w:rPr>
      </w:r>
      <w:r/>
    </w:p>
    <w:p>
      <w:pPr>
        <w:pStyle w:val="990"/>
        <w:ind w:firstLine="0"/>
        <w:rPr>
          <w:rFonts w:hint="eastAsia" w:ascii="宋体" w:hAnsi="宋体" w:cs="宋体"/>
          <w:b/>
          <w:color w:val="auto"/>
          <w:highlight w:val="none"/>
        </w:rPr>
      </w:pPr>
      <w:r>
        <w:rPr>
          <w:rFonts w:hint="eastAsia" w:ascii="宋体" w:hAnsi="宋体" w:cs="宋体"/>
          <w:b/>
          <w:color w:val="auto"/>
          <w:highlight w:val="none"/>
        </w:rPr>
      </w:r>
      <w:r/>
    </w:p>
    <w:p>
      <w:pPr>
        <w:pStyle w:val="990"/>
        <w:ind w:firstLine="0"/>
        <w:jc w:val="center"/>
        <w:rPr>
          <w:rFonts w:hint="eastAsia" w:ascii="宋体" w:hAnsi="宋体" w:cs="宋体"/>
          <w:b/>
          <w:color w:val="auto"/>
          <w:sz w:val="24"/>
          <w:szCs w:val="24"/>
          <w:highlight w:val="none"/>
        </w:rPr>
      </w:pPr>
      <w:r>
        <w:rPr>
          <w:rFonts w:ascii="宋体" w:hAnsi="宋体" w:eastAsia="宋体" w:cs="宋体"/>
          <w:b/>
          <w:color w:val="auto"/>
          <w:sz w:val="24"/>
          <w:szCs w:val="24"/>
          <w:highlight w:val="none"/>
        </w:rPr>
        <w:t xml:space="preserve">南京市工商行政管理局</w:t>
      </w:r>
      <w:r/>
    </w:p>
    <w:p>
      <w:pPr>
        <w:pStyle w:val="990"/>
        <w:ind w:firstLine="0"/>
        <w:jc w:val="center"/>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 xml:space="preserve"> </w:t>
      </w:r>
      <w:r>
        <w:rPr>
          <w:rFonts w:ascii="宋体" w:hAnsi="宋体" w:eastAsia="宋体" w:cs="宋体"/>
          <w:b/>
          <w:color w:val="auto"/>
          <w:sz w:val="24"/>
          <w:szCs w:val="24"/>
          <w:highlight w:val="none"/>
        </w:rPr>
        <w:t xml:space="preserve">                       监制</w:t>
      </w:r>
      <w:r/>
    </w:p>
    <w:p>
      <w:pPr>
        <w:pStyle w:val="990"/>
        <w:ind w:firstLine="0"/>
        <w:jc w:val="center"/>
        <w:rPr>
          <w:rFonts w:hint="eastAsia" w:ascii="宋体" w:hAnsi="宋体" w:cs="宋体"/>
          <w:b/>
          <w:color w:val="auto"/>
          <w:sz w:val="24"/>
          <w:szCs w:val="24"/>
          <w:highlight w:val="none"/>
        </w:rPr>
      </w:pPr>
      <w:r>
        <w:rPr>
          <w:rFonts w:ascii="宋体" w:hAnsi="宋体" w:eastAsia="宋体" w:cs="宋体"/>
          <w:b/>
          <w:color w:val="auto"/>
          <w:sz w:val="24"/>
          <w:szCs w:val="24"/>
          <w:highlight w:val="none"/>
        </w:rPr>
        <w:t xml:space="preserve">南 京 市 财 政 局</w:t>
      </w:r>
      <w:r/>
    </w:p>
    <w:p>
      <w:pPr>
        <w:pStyle w:val="990"/>
        <w:ind w:firstLine="0"/>
        <w:rPr>
          <w:rFonts w:hint="eastAsia" w:ascii="宋体" w:hAnsi="宋体" w:cs="宋体"/>
          <w:b/>
          <w:color w:val="auto"/>
          <w:highlight w:val="none"/>
        </w:rPr>
      </w:pPr>
      <w:r>
        <w:rPr>
          <w:rFonts w:hint="eastAsia" w:ascii="宋体" w:hAnsi="宋体" w:cs="宋体"/>
          <w:b/>
          <w:color w:val="auto"/>
          <w:highlight w:val="none"/>
        </w:rPr>
      </w:r>
      <w:r/>
    </w:p>
    <w:p>
      <w:pPr>
        <w:pStyle w:val="990"/>
        <w:ind w:firstLine="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990"/>
        <w:ind w:firstLine="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990"/>
        <w:ind w:firstLine="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990"/>
        <w:ind w:firstLine="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990"/>
        <w:ind w:firstLine="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990"/>
        <w:ind w:firstLine="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clear="all"/>
      </w:r>
      <w:r/>
    </w:p>
    <w:p>
      <w:pPr>
        <w:pStyle w:val="989"/>
        <w:ind w:left="0"/>
        <w:jc w:val="center"/>
        <w:keepLines w:val="0"/>
        <w:keepNext w:val="0"/>
        <w:pageBreakBefore w:val="0"/>
        <w:spacing w:line="360" w:lineRule="auto"/>
        <w:widowControl w:val="off"/>
        <w:rPr>
          <w:rFonts w:hint="eastAsia" w:ascii="宋体" w:hAnsi="宋体" w:eastAsia="宋体" w:cs="宋体"/>
          <w:b/>
          <w:bCs/>
          <w:color w:val="auto"/>
          <w:sz w:val="32"/>
          <w:szCs w:val="32"/>
          <w:highlight w:val="none"/>
          <w:lang w:val="en-US"/>
        </w:rPr>
        <w:outlineLvl w:val="0"/>
      </w:pPr>
      <w:r/>
      <w:bookmarkStart w:id="54" w:name="_Toc29062"/>
      <w:r>
        <w:rPr>
          <w:rFonts w:hint="eastAsia" w:ascii="宋体" w:hAnsi="宋体" w:eastAsia="宋体" w:cs="宋体"/>
          <w:b/>
          <w:bCs/>
          <w:color w:val="auto"/>
          <w:sz w:val="32"/>
          <w:szCs w:val="32"/>
          <w:highlight w:val="none"/>
          <w:lang w:val="en-US"/>
        </w:rPr>
        <w:t xml:space="preserve">合同文本</w:t>
      </w:r>
      <w:bookmarkEnd w:id="54"/>
      <w:r/>
      <w:r/>
    </w:p>
    <w:p>
      <w:pPr>
        <w:jc w:val="center"/>
        <w:keepLines w:val="0"/>
        <w:keepNext w:val="0"/>
        <w:pageBreakBefore w:val="0"/>
        <w:spacing w:line="360" w:lineRule="auto"/>
        <w:widowControl w:val="off"/>
        <w:rPr>
          <w:rFonts w:hint="eastAsia" w:ascii="宋体" w:hAnsi="宋体" w:eastAsia="宋体" w:cs="宋体"/>
          <w:bCs/>
          <w:color w:val="auto"/>
          <w:sz w:val="22"/>
          <w:szCs w:val="21"/>
          <w:highlight w:val="none"/>
        </w:rPr>
      </w:pPr>
      <w:r>
        <w:rPr>
          <w:rFonts w:hint="eastAsia" w:ascii="宋体" w:hAnsi="宋体" w:eastAsia="宋体" w:cs="宋体"/>
          <w:bCs/>
          <w:color w:val="auto"/>
          <w:sz w:val="22"/>
          <w:szCs w:val="21"/>
          <w:highlight w:val="none"/>
        </w:rPr>
        <w:t xml:space="preserve">以下为本项目的合同条款，合同双方不得对招标、投标文件内容作实质性修改。</w:t>
      </w:r>
      <w:r/>
    </w:p>
    <w:p>
      <w:pPr>
        <w:jc w:val="center"/>
        <w:keepLines w:val="0"/>
        <w:keepNext w:val="0"/>
        <w:pageBreakBefore w:val="0"/>
        <w:spacing w:line="360" w:lineRule="auto"/>
        <w:widowControl w:val="off"/>
        <w:rPr>
          <w:rFonts w:hint="eastAsia" w:ascii="宋体" w:hAnsi="宋体" w:eastAsia="宋体" w:cs="宋体"/>
          <w:b/>
          <w:bCs w:val="0"/>
          <w:color w:val="auto"/>
          <w:sz w:val="28"/>
          <w:szCs w:val="28"/>
          <w:highlight w:val="none"/>
        </w:rPr>
        <w:outlineLvl w:val="1"/>
      </w:pPr>
      <w:r/>
      <w:bookmarkStart w:id="55" w:name="_Toc8138"/>
      <w:r>
        <w:rPr>
          <w:rFonts w:hint="eastAsia" w:ascii="宋体" w:hAnsi="宋体" w:eastAsia="宋体" w:cs="宋体"/>
          <w:b/>
          <w:bCs w:val="0"/>
          <w:color w:val="auto"/>
          <w:sz w:val="28"/>
          <w:szCs w:val="28"/>
          <w:highlight w:val="none"/>
        </w:rPr>
        <w:t xml:space="preserve">南京市政府采购合同（服务）</w:t>
      </w:r>
      <w:bookmarkEnd w:id="55"/>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项目编号：</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采购人（以下称甲方）：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地址：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供应商（以下称乙方）：</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地址：</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根据《中华人民共和国政府采购法</w:t>
      </w:r>
      <w:r>
        <w:rPr>
          <w:rFonts w:hint="eastAsia" w:ascii="宋体" w:hAnsi="宋体" w:eastAsia="宋体" w:cs="宋体"/>
          <w:color w:val="auto"/>
          <w:szCs w:val="21"/>
          <w:highlight w:val="none"/>
          <w:lang w:eastAsia="zh-CN"/>
        </w:rPr>
        <w:t xml:space="preserve">》和《</w:t>
      </w:r>
      <w:r>
        <w:rPr>
          <w:rFonts w:hint="eastAsia" w:ascii="宋体" w:hAnsi="宋体" w:eastAsia="宋体" w:cs="宋体"/>
          <w:color w:val="auto"/>
          <w:szCs w:val="21"/>
          <w:highlight w:val="none"/>
        </w:rPr>
        <w:t xml:space="preserve">中华人民共和国民法典》等法律法规的规定，甲乙双方按照</w:t>
      </w:r>
      <w:r>
        <w:rPr>
          <w:rFonts w:hint="eastAsia" w:ascii="宋体" w:hAnsi="宋体" w:eastAsia="宋体" w:cs="宋体"/>
          <w:color w:val="auto"/>
          <w:szCs w:val="21"/>
          <w:highlight w:val="none"/>
          <w:u w:val="single"/>
        </w:rPr>
        <w:t xml:space="preserve"> （采购编号：  ）</w:t>
      </w:r>
      <w:r>
        <w:rPr>
          <w:rFonts w:hint="eastAsia" w:ascii="宋体" w:hAnsi="宋体" w:eastAsia="宋体" w:cs="宋体"/>
          <w:color w:val="auto"/>
          <w:szCs w:val="21"/>
          <w:highlight w:val="none"/>
        </w:rPr>
        <w:t xml:space="preserve">项目公开招标结果签订本合同。</w:t>
      </w:r>
      <w:r/>
    </w:p>
    <w:p>
      <w:pPr>
        <w:ind w:firstLine="422"/>
        <w:spacing w:line="360" w:lineRule="auto"/>
        <w:rPr>
          <w:rFonts w:hint="default" w:ascii="宋体" w:hAnsi="宋体" w:eastAsia="宋体" w:cs="宋体"/>
          <w:b/>
          <w:color w:val="auto"/>
          <w:szCs w:val="21"/>
          <w:highlight w:val="none"/>
          <w:lang w:val="en-US" w:eastAsia="zh-CN"/>
        </w:rPr>
        <w:outlineLvl w:val="2"/>
      </w:pPr>
      <w:r/>
      <w:bookmarkStart w:id="56" w:name="_Toc523128877"/>
      <w:r/>
      <w:bookmarkStart w:id="57" w:name="_Toc514592369"/>
      <w:r/>
      <w:bookmarkStart w:id="58" w:name="_Toc523064062"/>
      <w:r>
        <w:rPr>
          <w:rFonts w:hint="eastAsia" w:ascii="宋体" w:hAnsi="宋体" w:eastAsia="宋体" w:cs="宋体"/>
          <w:b/>
          <w:color w:val="auto"/>
          <w:szCs w:val="21"/>
          <w:highlight w:val="none"/>
          <w:lang w:val="zh-CN"/>
        </w:rPr>
        <w:t xml:space="preserve">第一条 </w:t>
      </w:r>
      <w:bookmarkEnd w:id="56"/>
      <w:r/>
      <w:bookmarkEnd w:id="57"/>
      <w:r/>
      <w:bookmarkEnd w:id="58"/>
      <w:r>
        <w:rPr>
          <w:rFonts w:hint="eastAsia" w:ascii="宋体" w:hAnsi="宋体" w:eastAsia="宋体" w:cs="宋体"/>
          <w:b/>
          <w:color w:val="auto"/>
          <w:szCs w:val="21"/>
          <w:highlight w:val="none"/>
          <w:lang w:val="en-US" w:eastAsia="zh-CN"/>
        </w:rPr>
        <w:t xml:space="preserve">合同内容</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本项目</w:t>
      </w:r>
      <w:r>
        <w:rPr>
          <w:rFonts w:hint="eastAsia" w:ascii="宋体" w:hAnsi="宋体" w:eastAsia="宋体" w:cs="宋体"/>
          <w:color w:val="auto"/>
          <w:szCs w:val="21"/>
          <w:highlight w:val="none"/>
          <w:lang w:val="en-US" w:eastAsia="zh-CN"/>
        </w:rPr>
        <w:t xml:space="preserve">为</w:t>
      </w:r>
      <w:r>
        <w:rPr>
          <w:rFonts w:hint="eastAsia" w:ascii="宋体" w:hAnsi="宋体" w:eastAsia="宋体" w:cs="宋体"/>
          <w:color w:val="auto"/>
          <w:szCs w:val="21"/>
          <w:highlight w:val="none"/>
          <w:lang w:eastAsia="zh-CN"/>
        </w:rPr>
        <w:t xml:space="preserve">2026年江宁区东山城区园林绿化养护服务项目，养护内容包括但不限于城市道路园林绿化、滨河绿地、公园广场等，通过日常巡查与维护，及时发现并处理损坏（包含人为破坏、施工破坏等）、缺失等问题，确保设施完好。</w:t>
      </w:r>
      <w:r/>
    </w:p>
    <w:p>
      <w:pPr>
        <w:ind w:firstLine="422"/>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主要服务内</w:t>
      </w:r>
      <w:r>
        <w:rPr>
          <w:rFonts w:hint="eastAsia" w:ascii="宋体" w:hAnsi="宋体" w:eastAsia="宋体" w:cs="宋体"/>
          <w:b/>
          <w:bCs/>
          <w:color w:val="auto"/>
          <w:szCs w:val="21"/>
          <w:highlight w:val="none"/>
        </w:rPr>
        <w:t xml:space="preserve">容</w:t>
      </w:r>
      <w:r>
        <w:rPr>
          <w:rFonts w:hint="eastAsia" w:ascii="宋体" w:hAnsi="宋体" w:eastAsia="宋体" w:cs="宋体"/>
          <w:color w:val="auto"/>
          <w:szCs w:val="21"/>
          <w:highlight w:val="none"/>
        </w:rPr>
        <w:t xml:space="preserve">：详见</w:t>
      </w:r>
      <w:r>
        <w:rPr>
          <w:rFonts w:hint="eastAsia" w:ascii="宋体" w:hAnsi="宋体" w:eastAsia="宋体" w:cs="宋体"/>
          <w:color w:val="auto"/>
          <w:szCs w:val="21"/>
          <w:highlight w:val="none"/>
          <w:lang w:val="en-US" w:eastAsia="zh-CN"/>
        </w:rPr>
        <w:t xml:space="preserve">采购文件及</w:t>
      </w:r>
      <w:r>
        <w:rPr>
          <w:rFonts w:hint="eastAsia" w:ascii="宋体" w:hAnsi="宋体" w:eastAsia="宋体" w:cs="宋体"/>
          <w:color w:val="auto"/>
          <w:szCs w:val="21"/>
          <w:highlight w:val="none"/>
        </w:rPr>
        <w:t xml:space="preserve">供应商投标文件</w:t>
      </w:r>
      <w:r/>
    </w:p>
    <w:p>
      <w:pPr>
        <w:ind w:firstLine="422"/>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1、服务方式：</w:t>
      </w:r>
      <w:r>
        <w:rPr>
          <w:rFonts w:hint="eastAsia" w:ascii="宋体" w:hAnsi="宋体" w:eastAsia="宋体" w:cs="宋体"/>
          <w:color w:val="auto"/>
          <w:szCs w:val="21"/>
          <w:highlight w:val="none"/>
          <w:lang w:val="en-US" w:eastAsia="zh-CN"/>
        </w:rPr>
        <w:t xml:space="preserve">乙方</w:t>
      </w:r>
      <w:r>
        <w:rPr>
          <w:rFonts w:hint="eastAsia" w:ascii="宋体" w:hAnsi="宋体" w:eastAsia="宋体" w:cs="宋体"/>
          <w:color w:val="auto"/>
          <w:szCs w:val="21"/>
          <w:highlight w:val="none"/>
        </w:rPr>
        <w:t xml:space="preserve">在养护期限内包工、包料、包质量、包安全、包文明施工、包维护设施完好无缺损，风险自担。养护维修所需材料、成品、设备等，均由供应商自行解决，但必须符合原设计、采购人及有关养护技术规程、规范要求。</w:t>
      </w:r>
      <w:r/>
    </w:p>
    <w:p>
      <w:pPr>
        <w:ind w:firstLine="413"/>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2、本合同项下合同价款：</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园林绿化养护</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zh-CN"/>
        </w:rPr>
        <w:t xml:space="preserve">服务价款为</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rPr>
        <w:t xml:space="preserve">万元</w:t>
      </w:r>
      <w:r>
        <w:rPr>
          <w:rFonts w:hint="eastAsia" w:ascii="宋体" w:hAnsi="宋体" w:eastAsia="宋体" w:cs="宋体"/>
          <w:color w:val="auto"/>
          <w:szCs w:val="21"/>
          <w:highlight w:val="none"/>
          <w:lang w:val="zh-CN"/>
        </w:rPr>
        <w:t xml:space="preserve">（大写</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），此项为包干费用，为完成日常管养服务所需的各项费用的总和。</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维修</w:t>
      </w:r>
      <w:r>
        <w:rPr>
          <w:rFonts w:hint="eastAsia" w:ascii="宋体" w:hAnsi="宋体" w:eastAsia="宋体" w:cs="宋体"/>
          <w:color w:val="auto"/>
          <w:szCs w:val="21"/>
          <w:highlight w:val="none"/>
        </w:rPr>
        <w:t xml:space="preserve">专项：年度预算控制价200万元。专项维修实行按实结算，专项服务费用=按实结算金额*折扣率，折扣率=维护专项资金投标价/控制价（200万元），专项服务费用结算金额以审计结果为准，审计确认专项服务费用结算金额年度累计不得超过200万元，超出部分甲方不予支付。本次维修专项折扣率为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本合同价款</w:t>
      </w:r>
      <w:r>
        <w:rPr>
          <w:rFonts w:hint="eastAsia" w:ascii="宋体" w:hAnsi="宋体" w:eastAsia="宋体" w:cs="宋体"/>
          <w:bCs/>
          <w:iCs/>
          <w:color w:val="auto"/>
          <w:szCs w:val="21"/>
          <w:highlight w:val="none"/>
        </w:rPr>
        <w:t xml:space="preserve">包括但不仅限于人员、设备、工具及维护费用，所用材料消耗费用、管理费用、利润、税金等支出。</w:t>
      </w:r>
      <w:r/>
    </w:p>
    <w:p>
      <w:pPr>
        <w:ind w:firstLine="422"/>
        <w:spacing w:line="360" w:lineRule="auto"/>
        <w:rPr>
          <w:rFonts w:hint="eastAsia" w:ascii="宋体" w:hAnsi="宋体" w:eastAsia="宋体" w:cs="宋体"/>
          <w:b/>
          <w:color w:val="auto"/>
          <w:szCs w:val="21"/>
          <w:highlight w:val="none"/>
        </w:rPr>
        <w:outlineLvl w:val="2"/>
      </w:pPr>
      <w:r/>
      <w:bookmarkStart w:id="59" w:name="_Toc514592368"/>
      <w:r/>
      <w:bookmarkStart w:id="60" w:name="_Toc523128878"/>
      <w:r/>
      <w:bookmarkStart w:id="61" w:name="_Toc523064063"/>
      <w:r>
        <w:rPr>
          <w:rFonts w:hint="eastAsia" w:ascii="宋体" w:hAnsi="宋体" w:eastAsia="宋体" w:cs="宋体"/>
          <w:b/>
          <w:color w:val="auto"/>
          <w:szCs w:val="21"/>
          <w:highlight w:val="none"/>
          <w:lang w:val="zh-CN"/>
        </w:rPr>
        <w:t xml:space="preserve">第二条 组成本合同的文件</w:t>
      </w:r>
      <w:bookmarkEnd w:id="59"/>
      <w:r/>
      <w:bookmarkEnd w:id="60"/>
      <w:r/>
      <w:bookmarkEnd w:id="61"/>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下列文件是组成本合同的不可分割的部分：（1）采购文件；（2）供应商递交的文件；（3）供应商所作的相关书面澄清；（4）中标通知书；（5）甲乙双方商定的其他必要文件。</w:t>
      </w:r>
      <w:r/>
    </w:p>
    <w:p>
      <w:pPr>
        <w:ind w:firstLine="422"/>
        <w:spacing w:line="360" w:lineRule="auto"/>
        <w:rPr>
          <w:rFonts w:hint="eastAsia" w:ascii="宋体" w:hAnsi="宋体" w:eastAsia="宋体" w:cs="宋体"/>
          <w:b/>
          <w:color w:val="auto"/>
          <w:szCs w:val="21"/>
          <w:highlight w:val="none"/>
        </w:rPr>
        <w:outlineLvl w:val="2"/>
      </w:pPr>
      <w:r/>
      <w:bookmarkStart w:id="62" w:name="_Toc514592370"/>
      <w:r/>
      <w:bookmarkStart w:id="63" w:name="_Toc523064064"/>
      <w:r/>
      <w:bookmarkStart w:id="64" w:name="_Toc523128879"/>
      <w:r>
        <w:rPr>
          <w:rFonts w:hint="eastAsia" w:ascii="宋体" w:hAnsi="宋体" w:eastAsia="宋体" w:cs="宋体"/>
          <w:b/>
          <w:color w:val="auto"/>
          <w:szCs w:val="21"/>
          <w:highlight w:val="none"/>
          <w:lang w:val="zh-CN"/>
        </w:rPr>
        <w:t xml:space="preserve">第三条 </w:t>
      </w:r>
      <w:r>
        <w:rPr>
          <w:rFonts w:hint="eastAsia" w:ascii="宋体" w:hAnsi="宋体" w:eastAsia="宋体" w:cs="宋体"/>
          <w:b/>
          <w:color w:val="auto"/>
          <w:szCs w:val="21"/>
          <w:highlight w:val="none"/>
          <w:lang w:val="en-US" w:eastAsia="zh-CN"/>
        </w:rPr>
        <w:t xml:space="preserve">养护</w:t>
      </w:r>
      <w:r>
        <w:rPr>
          <w:rFonts w:hint="eastAsia" w:ascii="宋体" w:hAnsi="宋体" w:eastAsia="宋体" w:cs="宋体"/>
          <w:b/>
          <w:color w:val="auto"/>
          <w:szCs w:val="21"/>
          <w:highlight w:val="none"/>
          <w:lang w:val="zh-CN"/>
        </w:rPr>
        <w:t xml:space="preserve">标准（</w:t>
      </w:r>
      <w:r>
        <w:rPr>
          <w:rFonts w:hint="eastAsia" w:ascii="宋体" w:hAnsi="宋体" w:eastAsia="宋体" w:cs="宋体"/>
          <w:b/>
          <w:color w:val="auto"/>
          <w:szCs w:val="21"/>
          <w:highlight w:val="none"/>
          <w:lang w:val="en-US" w:eastAsia="zh-CN"/>
        </w:rPr>
        <w:t xml:space="preserve">包括但</w:t>
      </w:r>
      <w:r>
        <w:rPr>
          <w:rFonts w:hint="eastAsia" w:ascii="宋体" w:hAnsi="宋体" w:eastAsia="宋体" w:cs="宋体"/>
          <w:b/>
          <w:color w:val="auto"/>
          <w:szCs w:val="21"/>
          <w:highlight w:val="none"/>
        </w:rPr>
        <w:t xml:space="preserve">不</w:t>
      </w:r>
      <w:r>
        <w:rPr>
          <w:rFonts w:hint="eastAsia" w:ascii="宋体" w:hAnsi="宋体" w:eastAsia="宋体" w:cs="宋体"/>
          <w:b/>
          <w:color w:val="auto"/>
          <w:szCs w:val="21"/>
          <w:highlight w:val="none"/>
          <w:lang w:val="en-US" w:eastAsia="zh-CN"/>
        </w:rPr>
        <w:t xml:space="preserve">限于</w:t>
      </w:r>
      <w:r>
        <w:rPr>
          <w:rFonts w:hint="eastAsia" w:ascii="宋体" w:hAnsi="宋体" w:eastAsia="宋体" w:cs="宋体"/>
          <w:b/>
          <w:color w:val="auto"/>
          <w:szCs w:val="21"/>
          <w:highlight w:val="none"/>
        </w:rPr>
        <w:t xml:space="preserve">以下</w:t>
      </w:r>
      <w:r>
        <w:rPr>
          <w:rFonts w:hint="eastAsia" w:ascii="宋体" w:hAnsi="宋体" w:eastAsia="宋体" w:cs="宋体"/>
          <w:b/>
          <w:color w:val="auto"/>
          <w:szCs w:val="21"/>
          <w:highlight w:val="none"/>
          <w:lang w:val="zh-CN"/>
        </w:rPr>
        <w:t xml:space="preserve">）：</w:t>
      </w:r>
      <w:bookmarkEnd w:id="62"/>
      <w:r/>
      <w:bookmarkEnd w:id="63"/>
      <w:r/>
      <w:bookmarkEnd w:id="64"/>
      <w:r/>
      <w:r/>
    </w:p>
    <w:p>
      <w:pPr>
        <w:ind w:firstLine="52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《江苏省城市园林绿化养护管理规范及分级标准》</w:t>
      </w:r>
      <w:r/>
    </w:p>
    <w:p>
      <w:pPr>
        <w:ind w:firstLine="52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《南京市行道树养护技术规程》</w:t>
      </w:r>
      <w:r/>
    </w:p>
    <w:p>
      <w:pPr>
        <w:ind w:firstLine="52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《南京市绿地园林植物养护技术规程（试行）》</w:t>
      </w:r>
      <w:r/>
    </w:p>
    <w:p>
      <w:pPr>
        <w:ind w:firstLine="52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《南京市园林绿化养护质量标准（试行）》</w:t>
      </w:r>
      <w:r/>
    </w:p>
    <w:p>
      <w:pPr>
        <w:ind w:firstLine="52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《南京市悬铃木行道树保护和有机更新技术导则》</w:t>
      </w:r>
      <w:r/>
    </w:p>
    <w:p>
      <w:pPr>
        <w:ind w:firstLine="52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注：如上级相应规范标准有更新，按照最新版本执行。</w:t>
      </w:r>
      <w:r/>
    </w:p>
    <w:p>
      <w:pPr>
        <w:ind w:firstLine="422"/>
        <w:spacing w:line="360" w:lineRule="auto"/>
        <w:rPr>
          <w:rFonts w:hint="eastAsia" w:ascii="宋体" w:hAnsi="宋体" w:eastAsia="宋体" w:cs="宋体"/>
          <w:b/>
          <w:color w:val="auto"/>
          <w:szCs w:val="21"/>
          <w:highlight w:val="none"/>
        </w:rPr>
        <w:outlineLvl w:val="2"/>
      </w:pPr>
      <w:r/>
      <w:bookmarkStart w:id="65" w:name="_Toc523064065"/>
      <w:r/>
      <w:bookmarkStart w:id="66" w:name="_Toc523128880"/>
      <w:r/>
      <w:bookmarkStart w:id="67" w:name="_Toc514592371"/>
      <w:r>
        <w:rPr>
          <w:rFonts w:hint="eastAsia" w:ascii="宋体" w:hAnsi="宋体" w:eastAsia="宋体" w:cs="宋体"/>
          <w:b/>
          <w:color w:val="auto"/>
          <w:szCs w:val="21"/>
          <w:highlight w:val="none"/>
          <w:lang w:val="zh-CN"/>
        </w:rPr>
        <w:t xml:space="preserve">第四条 服务时间</w:t>
      </w:r>
      <w:bookmarkEnd w:id="65"/>
      <w:r/>
      <w:bookmarkEnd w:id="66"/>
      <w:r/>
      <w:bookmarkEnd w:id="67"/>
      <w:r/>
      <w:r/>
    </w:p>
    <w:p>
      <w:pPr>
        <w:ind w:firstLine="420"/>
        <w:spacing w:line="360" w:lineRule="auto"/>
        <w:rPr>
          <w:rFonts w:ascii="宋体" w:hAnsi="宋体"/>
          <w:color w:val="auto"/>
          <w:szCs w:val="22"/>
          <w:highlight w:val="none"/>
        </w:rPr>
      </w:pPr>
      <w:r>
        <w:rPr>
          <w:rFonts w:hint="eastAsia" w:ascii="宋体" w:hAnsi="宋体" w:eastAsia="宋体" w:cs="宋体"/>
          <w:color w:val="auto"/>
          <w:szCs w:val="21"/>
          <w:highlight w:val="none"/>
        </w:rPr>
        <w:t xml:space="preserve">采购服务时间为一年整，即  年  月  日至  年  月  日。</w:t>
      </w:r>
      <w:r>
        <w:rPr>
          <w:rFonts w:ascii="宋体" w:hAnsi="宋体"/>
          <w:color w:val="auto"/>
          <w:szCs w:val="22"/>
          <w:highlight w:val="none"/>
        </w:rPr>
        <w:t xml:space="preserve">其中：前两个月为试用期，</w:t>
      </w:r>
      <w:r>
        <w:rPr>
          <w:rFonts w:hint="eastAsia" w:ascii="宋体" w:hAnsi="宋体"/>
          <w:color w:val="auto"/>
          <w:szCs w:val="22"/>
          <w:highlight w:val="none"/>
        </w:rPr>
        <w:t xml:space="preserve">试用期内甲方对乙方履约情况开展考核，试用期满经采购人考核合格后，正式进入全面履约阶段；如试用期考核不合格，甲方有权书面通知乙方解除本合同。合同解除后，乙方必须保障本项目各项养护服务正常运行，直至下一承接单位到位完成交接后方可撤离，过渡期服务费用按试用期标准支付；乙方拒不履行过渡期服务义务的，应当承担本合同约定的违约责任</w:t>
      </w:r>
      <w:r>
        <w:rPr>
          <w:rFonts w:ascii="宋体" w:hAnsi="宋体"/>
          <w:color w:val="auto"/>
          <w:szCs w:val="22"/>
          <w:highlight w:val="none"/>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当出现以下因素时，采购人有权随时终止合同，中标单位不得以任何理由提出索赔要求：1、因中标单位原因发生安全事故；2、中标单位不服从业主正常养护任务安排，造成工作延误；3、中标单位未按照中标承诺要求配备相应设备和人员；4、在履约过程中，存在偷工减料、以次充好等质量问题，造成</w:t>
      </w:r>
      <w:r>
        <w:rPr>
          <w:rFonts w:hint="eastAsia" w:ascii="宋体" w:hAnsi="宋体" w:eastAsia="宋体" w:cs="宋体"/>
          <w:color w:val="auto"/>
          <w:szCs w:val="21"/>
          <w:highlight w:val="none"/>
          <w:lang w:val="en-US" w:eastAsia="zh-CN"/>
        </w:rPr>
        <w:t xml:space="preserve">服务</w:t>
      </w:r>
      <w:r>
        <w:rPr>
          <w:rFonts w:hint="eastAsia" w:ascii="宋体" w:hAnsi="宋体" w:eastAsia="宋体" w:cs="宋体"/>
          <w:color w:val="auto"/>
          <w:szCs w:val="21"/>
          <w:highlight w:val="none"/>
        </w:rPr>
        <w:t xml:space="preserve">质量不合格：5、合同期内，连续两次考评不合格或累计三次考评不合格；6、中标单位未经采购人同意不得分包，如发现中标单位擅自分包或转包，采购人有权单方解除合同。</w:t>
      </w:r>
      <w:r/>
    </w:p>
    <w:p>
      <w:pPr>
        <w:ind w:firstLine="420"/>
        <w:spacing w:line="360" w:lineRule="auto"/>
        <w:rPr>
          <w:rFonts w:ascii="宋体" w:hAnsi="宋体"/>
          <w:b/>
          <w:bCs/>
          <w:color w:val="auto"/>
          <w:szCs w:val="22"/>
          <w:highlight w:val="none"/>
        </w:rPr>
      </w:pPr>
      <w:r/>
      <w:bookmarkStart w:id="68" w:name="_Toc514592372"/>
      <w:r/>
      <w:bookmarkStart w:id="69" w:name="_Toc523128881"/>
      <w:r/>
      <w:bookmarkStart w:id="70" w:name="_Toc523064066"/>
      <w:r>
        <w:rPr>
          <w:rFonts w:hint="eastAsia" w:ascii="宋体" w:hAnsi="宋体" w:eastAsia="宋体"/>
          <w:b/>
          <w:bCs/>
          <w:color w:val="auto"/>
          <w:szCs w:val="22"/>
          <w:highlight w:val="none"/>
          <w:lang w:val="en-US" w:eastAsia="zh-CN"/>
        </w:rPr>
        <w:t xml:space="preserve">第五条 </w:t>
      </w:r>
      <w:r>
        <w:rPr>
          <w:rFonts w:hint="eastAsia" w:ascii="宋体" w:hAnsi="宋体"/>
          <w:b/>
          <w:bCs/>
          <w:color w:val="auto"/>
          <w:szCs w:val="22"/>
          <w:highlight w:val="none"/>
        </w:rPr>
        <w:t xml:space="preserve">技术资料</w:t>
      </w:r>
      <w:r/>
    </w:p>
    <w:p>
      <w:pPr>
        <w:ind w:firstLine="420"/>
        <w:spacing w:line="360" w:lineRule="auto"/>
        <w:rPr>
          <w:rFonts w:hint="eastAsia" w:ascii="宋体" w:hAnsi="宋体"/>
          <w:color w:val="auto"/>
          <w:szCs w:val="22"/>
          <w:highlight w:val="none"/>
        </w:rPr>
      </w:pPr>
      <w:r>
        <w:rPr>
          <w:rFonts w:hint="eastAsia" w:ascii="宋体" w:hAnsi="宋体"/>
          <w:color w:val="auto"/>
          <w:szCs w:val="22"/>
          <w:highlight w:val="none"/>
        </w:rPr>
        <w:t xml:space="preserve">乙方应按招标文件规定的时间向甲方提供服务（包含与服务相关的货物）的有关技术资料。</w:t>
      </w:r>
      <w:r/>
    </w:p>
    <w:p>
      <w:pPr>
        <w:ind w:firstLine="420"/>
        <w:spacing w:line="360" w:lineRule="auto"/>
        <w:rPr>
          <w:rFonts w:hint="eastAsia" w:ascii="宋体" w:hAnsi="宋体"/>
          <w:color w:val="auto"/>
          <w:szCs w:val="22"/>
          <w:highlight w:val="none"/>
        </w:rPr>
      </w:pPr>
      <w:r>
        <w:rPr>
          <w:rFonts w:hint="eastAsia" w:ascii="宋体" w:hAnsi="宋体"/>
          <w:color w:val="auto"/>
          <w:szCs w:val="22"/>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ind w:firstLine="420"/>
        <w:spacing w:line="360" w:lineRule="auto"/>
        <w:rPr>
          <w:rFonts w:ascii="宋体" w:hAnsi="宋体"/>
          <w:b/>
          <w:bCs/>
          <w:color w:val="auto"/>
          <w:szCs w:val="22"/>
          <w:highlight w:val="none"/>
        </w:rPr>
      </w:pPr>
      <w:r>
        <w:rPr>
          <w:rFonts w:hint="eastAsia" w:ascii="宋体" w:hAnsi="宋体" w:eastAsia="宋体"/>
          <w:b/>
          <w:bCs/>
          <w:color w:val="auto"/>
          <w:szCs w:val="22"/>
          <w:highlight w:val="none"/>
          <w:lang w:val="en-US" w:eastAsia="zh-CN"/>
        </w:rPr>
        <w:t xml:space="preserve">第六条 </w:t>
      </w:r>
      <w:r>
        <w:rPr>
          <w:rFonts w:hint="eastAsia" w:ascii="宋体" w:hAnsi="宋体"/>
          <w:b/>
          <w:bCs/>
          <w:color w:val="auto"/>
          <w:szCs w:val="22"/>
          <w:highlight w:val="none"/>
        </w:rPr>
        <w:t xml:space="preserve">知识产权</w:t>
      </w:r>
      <w:r/>
    </w:p>
    <w:p>
      <w:pPr>
        <w:ind w:firstLine="420"/>
        <w:spacing w:line="360" w:lineRule="auto"/>
        <w:rPr>
          <w:rFonts w:hint="eastAsia"/>
          <w:color w:val="auto"/>
          <w:highlight w:val="none"/>
        </w:rPr>
      </w:pPr>
      <w:r>
        <w:rPr>
          <w:rFonts w:hint="eastAsia" w:ascii="宋体" w:hAnsi="宋体"/>
          <w:color w:val="auto"/>
          <w:szCs w:val="22"/>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bookmarkEnd w:id="68"/>
      <w:r/>
      <w:bookmarkEnd w:id="69"/>
      <w:r/>
      <w:bookmarkEnd w:id="70"/>
      <w:r/>
      <w:r/>
    </w:p>
    <w:p>
      <w:pPr>
        <w:ind w:firstLine="422"/>
        <w:spacing w:line="360" w:lineRule="auto"/>
        <w:rPr>
          <w:rFonts w:hint="eastAsia" w:ascii="宋体" w:hAnsi="宋体" w:eastAsia="宋体" w:cs="宋体"/>
          <w:b/>
          <w:color w:val="auto"/>
          <w:szCs w:val="21"/>
          <w:highlight w:val="none"/>
        </w:rPr>
        <w:outlineLvl w:val="2"/>
      </w:pPr>
      <w:r/>
      <w:bookmarkStart w:id="71" w:name="_Toc514592373"/>
      <w:r/>
      <w:bookmarkStart w:id="72" w:name="_Toc523128882"/>
      <w:r/>
      <w:bookmarkStart w:id="73" w:name="_Toc523064067"/>
      <w:r>
        <w:rPr>
          <w:rFonts w:hint="eastAsia" w:ascii="宋体" w:hAnsi="宋体" w:eastAsia="宋体" w:cs="宋体"/>
          <w:b/>
          <w:color w:val="auto"/>
          <w:szCs w:val="21"/>
          <w:highlight w:val="none"/>
          <w:lang w:val="zh-CN"/>
        </w:rPr>
        <w:t xml:space="preserve">第</w:t>
      </w:r>
      <w:r>
        <w:rPr>
          <w:rFonts w:hint="eastAsia" w:ascii="宋体" w:hAnsi="宋体" w:eastAsia="宋体" w:cs="宋体"/>
          <w:b/>
          <w:color w:val="auto"/>
          <w:szCs w:val="21"/>
          <w:highlight w:val="none"/>
          <w:lang w:val="en-US" w:eastAsia="zh-CN"/>
        </w:rPr>
        <w:t xml:space="preserve">七</w:t>
      </w:r>
      <w:r>
        <w:rPr>
          <w:rFonts w:hint="eastAsia" w:ascii="宋体" w:hAnsi="宋体" w:eastAsia="宋体" w:cs="宋体"/>
          <w:b/>
          <w:color w:val="auto"/>
          <w:szCs w:val="21"/>
          <w:highlight w:val="none"/>
          <w:lang w:val="zh-CN"/>
        </w:rPr>
        <w:t xml:space="preserve">条 双方的权利和义务</w:t>
      </w:r>
      <w:bookmarkEnd w:id="71"/>
      <w:r/>
      <w:bookmarkEnd w:id="72"/>
      <w:r/>
      <w:bookmarkEnd w:id="73"/>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1、甲方权利和义务</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1）甲方每月</w:t>
      </w:r>
      <w:r>
        <w:rPr>
          <w:rFonts w:hint="eastAsia" w:ascii="宋体" w:hAnsi="宋体" w:eastAsia="宋体" w:cs="宋体"/>
          <w:color w:val="auto"/>
          <w:szCs w:val="21"/>
          <w:highlight w:val="none"/>
          <w:lang w:eastAsia="zh-CN"/>
        </w:rPr>
        <w:t xml:space="preserve">28日</w:t>
      </w:r>
      <w:r>
        <w:rPr>
          <w:rFonts w:hint="eastAsia" w:ascii="宋体" w:hAnsi="宋体" w:eastAsia="宋体" w:cs="宋体"/>
          <w:color w:val="auto"/>
          <w:szCs w:val="21"/>
          <w:highlight w:val="none"/>
        </w:rPr>
        <w:t xml:space="preserve">之前审核中标单位上报的下个月度养护计划及月度工作量报表，并于每月5日前检查上个月养护计划执行情况，并进行月度考核；</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2）对中标单位的质量、安全、工期和巡视工作进行不定期抽查；</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3）根据养护需要，甲方对中标单位的工作内容及范围有调整的权利，要求中标单位服从；</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4）在中标单位不能履行本合同相应责任、义务或未完成履行而造成严重后果时</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甲方将书面通知成交供应商终止合同,并按相关</w:t>
      </w:r>
      <w:r>
        <w:rPr>
          <w:rFonts w:hint="eastAsia" w:ascii="宋体" w:hAnsi="宋体" w:eastAsia="宋体" w:cs="宋体"/>
          <w:color w:val="auto"/>
          <w:szCs w:val="21"/>
          <w:highlight w:val="none"/>
          <w:lang w:eastAsia="zh-CN"/>
        </w:rPr>
        <w:t xml:space="preserve">法律法规</w:t>
      </w:r>
      <w:r>
        <w:rPr>
          <w:rFonts w:hint="eastAsia" w:ascii="宋体" w:hAnsi="宋体" w:eastAsia="宋体" w:cs="宋体"/>
          <w:color w:val="auto"/>
          <w:szCs w:val="21"/>
          <w:highlight w:val="none"/>
        </w:rPr>
        <w:t xml:space="preserve">对成交供应商追究责任；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5）帮助协调中标单位养护作业施工与外部环境的问题；</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6）按照合同要求及时向中标单位支付养护经费；</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7）对中标单位报送的设计图进行确认后，中标单位可实施；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8）在中标单位不能履行本合同相应责任、义务或未完成履行而造成严重后果时</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甲方将书面通知中标单位终止合同,并按相关</w:t>
      </w:r>
      <w:r>
        <w:rPr>
          <w:rFonts w:hint="eastAsia" w:ascii="宋体" w:hAnsi="宋体" w:eastAsia="宋体" w:cs="宋体"/>
          <w:color w:val="auto"/>
          <w:szCs w:val="21"/>
          <w:highlight w:val="none"/>
          <w:lang w:eastAsia="zh-CN"/>
        </w:rPr>
        <w:t xml:space="preserve">法律法规</w:t>
      </w:r>
      <w:r>
        <w:rPr>
          <w:rFonts w:hint="eastAsia" w:ascii="宋体" w:hAnsi="宋体" w:eastAsia="宋体" w:cs="宋体"/>
          <w:color w:val="auto"/>
          <w:szCs w:val="21"/>
          <w:highlight w:val="none"/>
        </w:rPr>
        <w:t xml:space="preserve">对中标单位追究责任。</w:t>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 </w:t>
      </w:r>
      <w:r>
        <w:rPr>
          <w:rFonts w:hint="eastAsia" w:ascii="宋体" w:hAnsi="宋体" w:eastAsia="宋体" w:cs="宋体"/>
          <w:b/>
          <w:color w:val="auto"/>
          <w:szCs w:val="21"/>
          <w:highlight w:val="none"/>
        </w:rPr>
        <w:t xml:space="preserve">2</w:t>
      </w:r>
      <w:r>
        <w:rPr>
          <w:rFonts w:hint="eastAsia" w:ascii="宋体" w:hAnsi="宋体" w:eastAsia="宋体" w:cs="宋体"/>
          <w:b/>
          <w:color w:val="auto"/>
          <w:szCs w:val="21"/>
          <w:highlight w:val="none"/>
          <w:lang w:eastAsia="zh-CN"/>
        </w:rPr>
        <w:t xml:space="preserve">、</w:t>
      </w:r>
      <w:r>
        <w:rPr>
          <w:rFonts w:hint="eastAsia" w:ascii="宋体" w:hAnsi="宋体" w:eastAsia="宋体" w:cs="宋体"/>
          <w:b/>
          <w:color w:val="auto"/>
          <w:szCs w:val="21"/>
          <w:highlight w:val="none"/>
        </w:rPr>
        <w:t xml:space="preserve">乙方的权利、责任和义务</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1)按照本合同确定的养护设施范围，实施设施养护，确保养护设施完好率，取得相应的养护经费。</w:t>
      </w:r>
      <w:r/>
    </w:p>
    <w:p>
      <w:pPr>
        <w:ind w:firstLine="31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2）乙方应在每月25日前向采购人提交下月的养护书面计划（质量、进度、安全、投资、材料计划等内容，反映存在的问题和应对措施，</w:t>
      </w:r>
      <w:r>
        <w:rPr>
          <w:rFonts w:hint="eastAsia" w:ascii="宋体" w:hAnsi="宋体" w:eastAsia="宋体" w:cs="宋体"/>
          <w:color w:val="auto"/>
          <w:highlight w:val="none"/>
        </w:rPr>
        <w:t xml:space="preserve">纸质材料</w:t>
      </w:r>
      <w:r>
        <w:rPr>
          <w:rFonts w:hint="eastAsia" w:ascii="宋体" w:hAnsi="宋体" w:eastAsia="宋体" w:cs="宋体"/>
          <w:color w:val="auto"/>
          <w:szCs w:val="21"/>
          <w:highlight w:val="none"/>
        </w:rPr>
        <w:t xml:space="preserve">提交采购人），并组织实施经甲方认定的月度养护计划。</w:t>
      </w:r>
      <w:r/>
    </w:p>
    <w:p>
      <w:pPr>
        <w:ind w:firstLine="31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3)根据有关养护的</w:t>
      </w:r>
      <w:r>
        <w:rPr>
          <w:rFonts w:hint="eastAsia" w:ascii="宋体" w:hAnsi="宋体" w:eastAsia="宋体" w:cs="宋体"/>
          <w:color w:val="auto"/>
          <w:szCs w:val="21"/>
          <w:highlight w:val="none"/>
          <w:lang w:eastAsia="zh-CN"/>
        </w:rPr>
        <w:t xml:space="preserve">法律法规</w:t>
      </w:r>
      <w:r>
        <w:rPr>
          <w:rFonts w:hint="eastAsia" w:ascii="宋体" w:hAnsi="宋体" w:eastAsia="宋体" w:cs="宋体"/>
          <w:color w:val="auto"/>
          <w:szCs w:val="21"/>
          <w:highlight w:val="none"/>
        </w:rPr>
        <w:t xml:space="preserve">和规范性文件，以及相关的技术规程和检查、考核办法等要求做好养护工作，确保维护质量。</w:t>
      </w:r>
      <w:r/>
    </w:p>
    <w:p>
      <w:pPr>
        <w:ind w:firstLine="31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4)按照规定对设施组织每日巡视和经常检查，每月对养护计划执行情况进行自查。</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5)及时做好养护项目的内、外业资料的记录、收集、整理、保管、上报采购人</w:t>
      </w:r>
      <w:r>
        <w:rPr>
          <w:rFonts w:hint="eastAsia" w:ascii="宋体" w:hAnsi="宋体" w:eastAsia="宋体" w:cs="宋体"/>
          <w:color w:val="auto"/>
          <w:szCs w:val="21"/>
          <w:highlight w:val="none"/>
          <w:lang w:eastAsia="zh-CN"/>
        </w:rPr>
        <w:t xml:space="preserve">等工</w:t>
      </w:r>
      <w:r>
        <w:rPr>
          <w:rFonts w:hint="eastAsia" w:ascii="宋体" w:hAnsi="宋体" w:eastAsia="宋体" w:cs="宋体"/>
          <w:color w:val="auto"/>
          <w:szCs w:val="21"/>
          <w:highlight w:val="none"/>
        </w:rPr>
        <w:t xml:space="preserve">作，配合采购人进行设施完好状况检查、考核及日常安全、质量的检查。</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6)乙方进行养护时，必须选用符合设计及甲方要求的材料、设备，如有改变，必须征得甲方代表的签认。</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7)做好文明施工及各项现场管理工作，按照文明工地做好施工范围内的交通疏导，若因维护不当或安全措施不足而导致甲方或第三方损失的，乙方应负完全责任，并负经济赔偿责任。</w:t>
      </w:r>
      <w:r/>
    </w:p>
    <w:p>
      <w:pPr>
        <w:ind w:firstLine="52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8）防汛、暴雪期间，成交供应商需及时上路巡查，并无条件服从甲方的有关抢险调度。</w:t>
      </w:r>
      <w:r/>
    </w:p>
    <w:p>
      <w:pPr>
        <w:ind w:firstLine="52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9）应文明施工，尽量减少灰尘</w:t>
      </w:r>
      <w:r>
        <w:rPr>
          <w:rFonts w:hint="eastAsia" w:ascii="宋体" w:hAnsi="宋体" w:eastAsia="宋体" w:cs="宋体"/>
          <w:color w:val="auto"/>
          <w:szCs w:val="21"/>
          <w:highlight w:val="none"/>
          <w:lang w:eastAsia="zh-CN"/>
        </w:rPr>
        <w:t xml:space="preserve">噪声</w:t>
      </w:r>
      <w:r>
        <w:rPr>
          <w:rFonts w:hint="eastAsia" w:ascii="宋体" w:hAnsi="宋体" w:eastAsia="宋体" w:cs="宋体"/>
          <w:color w:val="auto"/>
          <w:szCs w:val="21"/>
          <w:highlight w:val="none"/>
        </w:rPr>
        <w:t xml:space="preserve">等，不影响正常活动。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乙方对所维护的交通设施包括区域内道路护栏有巡查的义务,如发现人为损坏、非法占用或偷盗等情况时,应予以制止,并及时向甲方报告。</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 乙方须具有绘图能力，对于维护的</w:t>
      </w:r>
      <w:r>
        <w:rPr>
          <w:rFonts w:hint="eastAsia" w:ascii="宋体" w:hAnsi="宋体" w:eastAsia="宋体" w:cs="宋体"/>
          <w:color w:val="auto"/>
          <w:szCs w:val="21"/>
          <w:highlight w:val="none"/>
          <w:lang w:val="en-US" w:eastAsia="zh-CN"/>
        </w:rPr>
        <w:t xml:space="preserve">内容</w:t>
      </w:r>
      <w:r>
        <w:rPr>
          <w:rFonts w:hint="eastAsia" w:ascii="宋体" w:hAnsi="宋体" w:eastAsia="宋体" w:cs="宋体"/>
          <w:color w:val="auto"/>
          <w:szCs w:val="21"/>
          <w:highlight w:val="none"/>
        </w:rPr>
        <w:t xml:space="preserve">，需绘制施工图纸的，按照甲方要求绘制施工图、编制施工组织设计，报甲方确认后，专项维修需同时报送造价，甲方审核批准后，乙方可实施。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12）服从甲方安排，达到检查及应急要求。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13）安排相应车辆，供日常及月度检查考核使用。以上费用由乙方自行承担，结算时不另行计算。</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14）实施过程中与市容、交通、道路、周边小区</w:t>
      </w:r>
      <w:r>
        <w:rPr>
          <w:rFonts w:hint="eastAsia" w:ascii="宋体" w:hAnsi="宋体" w:eastAsia="宋体" w:cs="宋体"/>
          <w:color w:val="auto"/>
          <w:szCs w:val="21"/>
          <w:highlight w:val="none"/>
          <w:lang w:eastAsia="zh-CN"/>
        </w:rPr>
        <w:t xml:space="preserve">等</w:t>
      </w:r>
      <w:r>
        <w:rPr>
          <w:rFonts w:hint="eastAsia" w:ascii="宋体" w:hAnsi="宋体" w:eastAsia="宋体" w:cs="宋体"/>
          <w:color w:val="auto"/>
          <w:szCs w:val="21"/>
          <w:highlight w:val="none"/>
        </w:rPr>
        <w:t xml:space="preserve">外部的协调由乙方自行承担</w:t>
      </w:r>
      <w:r>
        <w:rPr>
          <w:rFonts w:hint="eastAsia" w:ascii="宋体" w:hAnsi="宋体" w:eastAsia="宋体" w:cs="宋体"/>
          <w:color w:val="auto"/>
          <w:szCs w:val="21"/>
          <w:highlight w:val="none"/>
          <w:lang w:eastAsia="zh-CN"/>
        </w:rPr>
        <w:t xml:space="preserve">，由</w:t>
      </w:r>
      <w:r>
        <w:rPr>
          <w:rFonts w:hint="eastAsia" w:ascii="宋体" w:hAnsi="宋体" w:eastAsia="宋体" w:cs="宋体"/>
          <w:color w:val="auto"/>
          <w:szCs w:val="21"/>
          <w:highlight w:val="none"/>
        </w:rPr>
        <w:t xml:space="preserve">甲方协助。接水接电由乙方自行承担，结算时不另行计算。</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完成甲方交办的道路挖掘行政审批监管及其他临时性工作。</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16）乙方所用人员必须按照中华人民共和国《</w:t>
      </w:r>
      <w:r>
        <w:rPr>
          <w:rFonts w:hint="eastAsia" w:ascii="宋体" w:hAnsi="宋体" w:eastAsia="宋体" w:cs="宋体"/>
          <w:color w:val="auto"/>
          <w:szCs w:val="21"/>
          <w:highlight w:val="none"/>
          <w:lang w:eastAsia="zh-CN"/>
        </w:rPr>
        <w:t xml:space="preserve">中华人民共和国劳动法</w:t>
      </w:r>
      <w:r>
        <w:rPr>
          <w:rFonts w:hint="eastAsia" w:ascii="宋体" w:hAnsi="宋体" w:eastAsia="宋体" w:cs="宋体"/>
          <w:color w:val="auto"/>
          <w:szCs w:val="21"/>
          <w:highlight w:val="none"/>
        </w:rPr>
        <w:t xml:space="preserve">》的规定执行，如遇到工资纠纷问题由乙方自行解决。</w:t>
      </w:r>
      <w:r/>
    </w:p>
    <w:p>
      <w:pPr>
        <w:ind w:firstLine="422"/>
        <w:spacing w:line="360" w:lineRule="auto"/>
        <w:rPr>
          <w:rFonts w:hint="eastAsia" w:ascii="宋体" w:hAnsi="宋体" w:eastAsia="宋体" w:cs="宋体"/>
          <w:b/>
          <w:color w:val="auto"/>
          <w:szCs w:val="21"/>
          <w:highlight w:val="none"/>
        </w:rPr>
        <w:outlineLvl w:val="2"/>
      </w:pPr>
      <w:r/>
      <w:bookmarkStart w:id="74" w:name="_Toc523128883"/>
      <w:r/>
      <w:bookmarkStart w:id="75" w:name="_Toc514592374"/>
      <w:r/>
      <w:bookmarkStart w:id="76" w:name="_Toc523064068"/>
      <w:r>
        <w:rPr>
          <w:rFonts w:hint="eastAsia" w:ascii="宋体" w:hAnsi="宋体" w:eastAsia="宋体" w:cs="宋体"/>
          <w:b/>
          <w:color w:val="auto"/>
          <w:szCs w:val="21"/>
          <w:highlight w:val="none"/>
          <w:lang w:val="zh-CN"/>
        </w:rPr>
        <w:t xml:space="preserve">第</w:t>
      </w:r>
      <w:r>
        <w:rPr>
          <w:rFonts w:hint="eastAsia" w:ascii="宋体" w:hAnsi="宋体" w:eastAsia="宋体" w:cs="宋体"/>
          <w:b/>
          <w:color w:val="auto"/>
          <w:szCs w:val="21"/>
          <w:highlight w:val="none"/>
          <w:lang w:val="en-US" w:eastAsia="zh-CN"/>
        </w:rPr>
        <w:t xml:space="preserve">八</w:t>
      </w:r>
      <w:r>
        <w:rPr>
          <w:rFonts w:hint="eastAsia" w:ascii="宋体" w:hAnsi="宋体" w:eastAsia="宋体" w:cs="宋体"/>
          <w:b/>
          <w:color w:val="auto"/>
          <w:szCs w:val="21"/>
          <w:highlight w:val="none"/>
          <w:lang w:val="zh-CN"/>
        </w:rPr>
        <w:t xml:space="preserve">条 付款及结算</w:t>
      </w:r>
      <w:bookmarkEnd w:id="74"/>
      <w:r/>
      <w:bookmarkEnd w:id="75"/>
      <w:r/>
      <w:bookmarkEnd w:id="76"/>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合同项下所有款项均以人民币支付。</w:t>
      </w:r>
      <w:r/>
    </w:p>
    <w:p>
      <w:pPr>
        <w:ind w:firstLine="420"/>
        <w:spacing w:line="360" w:lineRule="auto"/>
        <w:rPr>
          <w:rFonts w:hint="eastAsia" w:ascii="宋体" w:hAnsi="宋体" w:eastAsia="宋体" w:cs="宋体"/>
          <w:color w:val="auto"/>
          <w:szCs w:val="21"/>
          <w:highlight w:val="none"/>
        </w:rPr>
      </w:pPr>
      <w:r/>
      <w:bookmarkStart w:id="77" w:name="_Toc523128884"/>
      <w:r/>
      <w:bookmarkStart w:id="78" w:name="_Toc514592375"/>
      <w:r/>
      <w:bookmarkStart w:id="79" w:name="_Toc523064069"/>
      <w:r>
        <w:rPr>
          <w:rFonts w:hint="eastAsia" w:ascii="宋体" w:hAnsi="宋体" w:eastAsia="宋体" w:cs="宋体"/>
          <w:color w:val="auto"/>
          <w:szCs w:val="21"/>
          <w:highlight w:val="none"/>
        </w:rPr>
        <w:t xml:space="preserve">付款方式：</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（1）园林绿化日常养护服务费</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采购人根据考核管理办法对中标单位服务质量进行考核，支付同时扣除考核等扣款。前两个月待试用期考核合格后，在第3个月支付前两个月的进度款，为本合同中园林绿化日常养护服务费的2/12，支付同时扣除预付款及考核扣款，如有剩余款项未扣完，则在下一次支付中扣除；从第3个月开始，</w:t>
      </w:r>
      <w:r>
        <w:rPr>
          <w:rFonts w:hint="eastAsia" w:ascii="宋体" w:hAnsi="宋体" w:eastAsia="宋体" w:cs="宋体"/>
          <w:color w:val="auto"/>
          <w:szCs w:val="21"/>
          <w:highlight w:val="none"/>
          <w:lang w:eastAsia="zh-CN"/>
        </w:rPr>
        <w:t xml:space="preserve">采购人</w:t>
      </w:r>
      <w:r>
        <w:rPr>
          <w:rFonts w:hint="eastAsia" w:ascii="宋体" w:hAnsi="宋体" w:eastAsia="宋体" w:cs="宋体"/>
          <w:color w:val="auto"/>
          <w:szCs w:val="21"/>
          <w:highlight w:val="none"/>
        </w:rPr>
        <w:t xml:space="preserve">根据考核情况向</w:t>
      </w:r>
      <w:r>
        <w:rPr>
          <w:rFonts w:hint="eastAsia" w:ascii="宋体" w:hAnsi="宋体" w:eastAsia="宋体" w:cs="宋体"/>
          <w:color w:val="auto"/>
          <w:szCs w:val="21"/>
          <w:highlight w:val="none"/>
          <w:lang w:eastAsia="zh-CN"/>
        </w:rPr>
        <w:t xml:space="preserve">中标供应商</w:t>
      </w:r>
      <w:r>
        <w:rPr>
          <w:rFonts w:hint="eastAsia" w:ascii="宋体" w:hAnsi="宋体" w:eastAsia="宋体" w:cs="宋体"/>
          <w:color w:val="auto"/>
          <w:szCs w:val="21"/>
          <w:highlight w:val="none"/>
        </w:rPr>
        <w:t xml:space="preserve">支付上个月的服务费用，每月支付本合同中园林绿化日常养护服务费的1/12。</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维修专项：</w:t>
      </w:r>
      <w:r>
        <w:rPr>
          <w:rFonts w:hint="eastAsia" w:ascii="宋体" w:hAnsi="宋体" w:eastAsia="宋体" w:cs="宋体"/>
          <w:color w:val="auto"/>
          <w:szCs w:val="21"/>
          <w:highlight w:val="none"/>
          <w:lang w:eastAsia="zh-CN"/>
        </w:rPr>
        <w:t xml:space="preserve">维修完成并验收合格，且完成结算审计，按照要求提交所有竣工资料后支付至最终审计确认专项服务费用的70%，余款待一年质保期满后支付。如审计核减率在10%以内，审计费用由采购人支付，如审计核减率超过10%，该项目审计费用全部由中标单位支付。</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eastAsia="zh-CN"/>
        </w:rPr>
        <w:t xml:space="preserve">采购人</w:t>
      </w:r>
      <w:r>
        <w:rPr>
          <w:rFonts w:hint="eastAsia" w:ascii="宋体" w:hAnsi="宋体" w:eastAsia="宋体" w:cs="宋体"/>
          <w:color w:val="auto"/>
          <w:szCs w:val="21"/>
          <w:highlight w:val="none"/>
        </w:rPr>
        <w:t xml:space="preserve">收到</w:t>
      </w:r>
      <w:r>
        <w:rPr>
          <w:rFonts w:hint="eastAsia" w:ascii="宋体" w:hAnsi="宋体" w:eastAsia="宋体" w:cs="宋体"/>
          <w:color w:val="auto"/>
          <w:szCs w:val="21"/>
          <w:highlight w:val="none"/>
          <w:lang w:eastAsia="zh-CN"/>
        </w:rPr>
        <w:t xml:space="preserve">中标供应商</w:t>
      </w:r>
      <w:r>
        <w:rPr>
          <w:rFonts w:hint="eastAsia" w:ascii="宋体" w:hAnsi="宋体" w:eastAsia="宋体" w:cs="宋体"/>
          <w:color w:val="auto"/>
          <w:szCs w:val="21"/>
          <w:highlight w:val="none"/>
        </w:rPr>
        <w:t xml:space="preserve">提供的同等金额的发票后，在履行财政相关资金审批手续后向</w:t>
      </w:r>
      <w:r>
        <w:rPr>
          <w:rFonts w:hint="eastAsia" w:ascii="宋体" w:hAnsi="宋体" w:eastAsia="宋体" w:cs="宋体"/>
          <w:color w:val="auto"/>
          <w:szCs w:val="21"/>
          <w:highlight w:val="none"/>
          <w:lang w:eastAsia="zh-CN"/>
        </w:rPr>
        <w:t xml:space="preserve">中标供应商</w:t>
      </w:r>
      <w:r>
        <w:rPr>
          <w:rFonts w:hint="eastAsia" w:ascii="宋体" w:hAnsi="宋体" w:eastAsia="宋体" w:cs="宋体"/>
          <w:color w:val="auto"/>
          <w:szCs w:val="21"/>
          <w:highlight w:val="none"/>
        </w:rPr>
        <w:t xml:space="preserve">支付合同款（因履行财政相关资金审批手续导致</w:t>
      </w:r>
      <w:r>
        <w:rPr>
          <w:rFonts w:hint="eastAsia" w:ascii="宋体" w:hAnsi="宋体" w:eastAsia="宋体" w:cs="宋体"/>
          <w:color w:val="auto"/>
          <w:szCs w:val="21"/>
          <w:highlight w:val="none"/>
          <w:lang w:eastAsia="zh-CN"/>
        </w:rPr>
        <w:t xml:space="preserve">采购人</w:t>
      </w:r>
      <w:r>
        <w:rPr>
          <w:rFonts w:hint="eastAsia" w:ascii="宋体" w:hAnsi="宋体" w:eastAsia="宋体" w:cs="宋体"/>
          <w:color w:val="auto"/>
          <w:szCs w:val="21"/>
          <w:highlight w:val="none"/>
        </w:rPr>
        <w:t xml:space="preserve">迟延支付合同价款的，</w:t>
      </w:r>
      <w:r>
        <w:rPr>
          <w:rFonts w:hint="eastAsia" w:ascii="宋体" w:hAnsi="宋体" w:eastAsia="宋体" w:cs="宋体"/>
          <w:color w:val="auto"/>
          <w:szCs w:val="21"/>
          <w:highlight w:val="none"/>
          <w:lang w:eastAsia="zh-CN"/>
        </w:rPr>
        <w:t xml:space="preserve">采购人</w:t>
      </w:r>
      <w:r>
        <w:rPr>
          <w:rFonts w:hint="eastAsia" w:ascii="宋体" w:hAnsi="宋体" w:eastAsia="宋体" w:cs="宋体"/>
          <w:color w:val="auto"/>
          <w:szCs w:val="21"/>
          <w:highlight w:val="none"/>
        </w:rPr>
        <w:t xml:space="preserve">不承担迟延支付价款的违约责任）</w:t>
      </w:r>
      <w:r>
        <w:rPr>
          <w:rFonts w:hint="eastAsia" w:ascii="宋体" w:hAnsi="宋体" w:eastAsia="宋体" w:cs="宋体"/>
          <w:color w:val="auto"/>
          <w:szCs w:val="21"/>
          <w:highlight w:val="none"/>
          <w:lang w:eastAsia="zh-CN"/>
        </w:rPr>
        <w:t xml:space="preserve">。</w:t>
      </w:r>
      <w:r/>
    </w:p>
    <w:p>
      <w:pPr>
        <w:ind w:firstLine="422"/>
        <w:spacing w:line="360" w:lineRule="auto"/>
        <w:rPr>
          <w:rFonts w:hint="eastAsia" w:ascii="宋体" w:hAnsi="宋体" w:eastAsia="宋体" w:cs="宋体"/>
          <w:b/>
          <w:color w:val="auto"/>
          <w:szCs w:val="21"/>
          <w:highlight w:val="none"/>
        </w:rPr>
        <w:outlineLvl w:val="2"/>
      </w:pPr>
      <w:r>
        <w:rPr>
          <w:rFonts w:hint="eastAsia" w:ascii="宋体" w:hAnsi="宋体" w:eastAsia="宋体" w:cs="宋体"/>
          <w:b/>
          <w:color w:val="auto"/>
          <w:szCs w:val="21"/>
          <w:highlight w:val="none"/>
          <w:lang w:val="zh-CN"/>
        </w:rPr>
        <w:t xml:space="preserve">第</w:t>
      </w:r>
      <w:r>
        <w:rPr>
          <w:rFonts w:hint="eastAsia" w:ascii="宋体" w:hAnsi="宋体" w:eastAsia="宋体" w:cs="宋体"/>
          <w:b/>
          <w:color w:val="auto"/>
          <w:szCs w:val="21"/>
          <w:highlight w:val="none"/>
          <w:lang w:val="en-US" w:eastAsia="zh-CN"/>
        </w:rPr>
        <w:t xml:space="preserve">九</w:t>
      </w:r>
      <w:r>
        <w:rPr>
          <w:rFonts w:hint="eastAsia" w:ascii="宋体" w:hAnsi="宋体" w:eastAsia="宋体" w:cs="宋体"/>
          <w:b/>
          <w:color w:val="auto"/>
          <w:szCs w:val="21"/>
          <w:highlight w:val="none"/>
          <w:lang w:val="zh-CN"/>
        </w:rPr>
        <w:t xml:space="preserve">条　违约责任</w:t>
      </w:r>
      <w:bookmarkEnd w:id="77"/>
      <w:r/>
      <w:bookmarkEnd w:id="78"/>
      <w:r/>
      <w:bookmarkEnd w:id="79"/>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1、甲方无正当理由拒付合同款项的，应向乙方偿付合同总价10％的违约金。</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2、乙方无法完成项目的，应向甲方支付合同总价10％的违约金，同时甲方有权解除合同。</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3、乙方逾期完成项目的，每逾期1天应向甲方偿付逾期交付合同总额0.5％的滞纳金，但滞纳金累计不得超过逾期交付合同总额的5％；一旦滞纳金总额累计达到逾期交付合同总额的5％，甲方有权解除合同。</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4、乙方完成的项目不符合要求的，应按照甲方选择的下列一种或多种方式承担赔偿责任：</w:t>
      </w:r>
      <w:r/>
    </w:p>
    <w:p>
      <w:pPr>
        <w:ind w:firstLine="31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（1）在甲方同意延长的期限内交付符合要求的提供服务并承担由此给甲方造成的一切损失；逾期未完成或完成的项目仍不符合要求，乙方应向甲方支付合同总价10％的违约金，同时甲方有权解除合同。</w:t>
      </w:r>
      <w:r/>
    </w:p>
    <w:p>
      <w:pPr>
        <w:ind w:firstLine="315"/>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（2）在甲方规定时间内，修正有缺陷的部分以达到合同规定的要求并承担一切费用和风险，同时承担甲方因此所遭受的全部损失</w:t>
      </w:r>
      <w:r>
        <w:rPr>
          <w:rFonts w:hint="eastAsia" w:ascii="宋体" w:hAnsi="宋体" w:eastAsia="宋体" w:cs="宋体"/>
          <w:color w:val="auto"/>
          <w:szCs w:val="21"/>
          <w:highlight w:val="none"/>
          <w:lang w:eastAsia="zh-CN"/>
        </w:rPr>
        <w:t xml:space="preserve">。</w:t>
      </w:r>
      <w:r/>
    </w:p>
    <w:p>
      <w:pPr>
        <w:ind w:firstLine="31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（3）按合同规定同种货币退还甲方已付款项，同时承担由此发生的一切损失和费用，包括但不限于利息、银行手续费、维权所需诉讼费、律师费及其他必要费用。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6、乙方未按规定和承诺提供伴随服务、售后服务的，应向甲方支付合同总价5％的违约金。</w:t>
      </w:r>
      <w:r/>
    </w:p>
    <w:p>
      <w:pPr>
        <w:pStyle w:val="926"/>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7、违约方承担违约责任并不影响其合同项下的义务（合同解除的除外）。</w:t>
      </w:r>
      <w:r/>
    </w:p>
    <w:p>
      <w:pPr>
        <w:ind w:firstLine="422"/>
        <w:spacing w:line="360" w:lineRule="auto"/>
        <w:rPr>
          <w:rFonts w:hint="eastAsia" w:ascii="宋体" w:hAnsi="宋体" w:eastAsia="宋体" w:cs="宋体"/>
          <w:b/>
          <w:color w:val="auto"/>
          <w:szCs w:val="21"/>
          <w:highlight w:val="none"/>
        </w:rPr>
        <w:outlineLvl w:val="2"/>
      </w:pPr>
      <w:r/>
      <w:bookmarkStart w:id="80" w:name="_Toc514592376"/>
      <w:r/>
      <w:bookmarkStart w:id="81" w:name="_Toc523128885"/>
      <w:r/>
      <w:bookmarkStart w:id="82" w:name="_Toc523064070"/>
      <w:r>
        <w:rPr>
          <w:rFonts w:hint="eastAsia" w:ascii="宋体" w:hAnsi="宋体" w:eastAsia="宋体" w:cs="宋体"/>
          <w:b/>
          <w:color w:val="auto"/>
          <w:szCs w:val="21"/>
          <w:highlight w:val="none"/>
          <w:lang w:val="zh-CN"/>
        </w:rPr>
        <w:t xml:space="preserve">第</w:t>
      </w:r>
      <w:r>
        <w:rPr>
          <w:rFonts w:hint="eastAsia" w:ascii="宋体" w:hAnsi="宋体" w:eastAsia="宋体" w:cs="宋体"/>
          <w:b/>
          <w:color w:val="auto"/>
          <w:szCs w:val="21"/>
          <w:highlight w:val="none"/>
          <w:lang w:val="en-US" w:eastAsia="zh-CN"/>
        </w:rPr>
        <w:t xml:space="preserve">十</w:t>
      </w:r>
      <w:r>
        <w:rPr>
          <w:rFonts w:hint="eastAsia" w:ascii="宋体" w:hAnsi="宋体" w:eastAsia="宋体" w:cs="宋体"/>
          <w:b/>
          <w:color w:val="auto"/>
          <w:szCs w:val="21"/>
          <w:highlight w:val="none"/>
          <w:lang w:val="zh-CN"/>
        </w:rPr>
        <w:t xml:space="preserve">条 不可抗力</w:t>
      </w:r>
      <w:bookmarkEnd w:id="80"/>
      <w:r/>
      <w:bookmarkEnd w:id="81"/>
      <w:r/>
      <w:bookmarkEnd w:id="82"/>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1、不可抗力，是指不能预见、不能避免并不能克服的客观情况，如战争、动乱、瘟疫、严重火灾、洪水、地震、风暴或其他自然灾害等。</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3、发生不可抗力事件，任何一方均不对因不可抗力无法履行或迟延履行本合同义务而使另一方蒙受的任何损失承担责任，法律另有规定的除外。</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4、合同各方应根据不可抗力对本合同履行的影响程度，协商确定是否终止本合同或是继续履行本合同。</w:t>
      </w:r>
      <w:r/>
    </w:p>
    <w:p>
      <w:pPr>
        <w:ind w:firstLine="422"/>
        <w:spacing w:line="360" w:lineRule="auto"/>
        <w:rPr>
          <w:rFonts w:hint="eastAsia" w:ascii="宋体" w:hAnsi="宋体" w:eastAsia="宋体" w:cs="宋体"/>
          <w:b/>
          <w:color w:val="auto"/>
          <w:szCs w:val="21"/>
          <w:highlight w:val="none"/>
        </w:rPr>
        <w:outlineLvl w:val="2"/>
      </w:pPr>
      <w:r/>
      <w:bookmarkStart w:id="83" w:name="_Toc514592377"/>
      <w:r/>
      <w:bookmarkStart w:id="84" w:name="_Toc523128886"/>
      <w:r/>
      <w:bookmarkStart w:id="85" w:name="_Toc523064071"/>
      <w:r>
        <w:rPr>
          <w:rFonts w:hint="eastAsia" w:ascii="宋体" w:hAnsi="宋体" w:eastAsia="宋体" w:cs="宋体"/>
          <w:b/>
          <w:color w:val="auto"/>
          <w:szCs w:val="21"/>
          <w:highlight w:val="none"/>
          <w:lang w:val="zh-CN"/>
        </w:rPr>
        <w:t xml:space="preserve">第十</w:t>
      </w:r>
      <w:r>
        <w:rPr>
          <w:rFonts w:hint="eastAsia" w:ascii="宋体" w:hAnsi="宋体" w:eastAsia="宋体" w:cs="宋体"/>
          <w:b/>
          <w:color w:val="auto"/>
          <w:szCs w:val="21"/>
          <w:highlight w:val="none"/>
          <w:lang w:val="en-US" w:eastAsia="zh-CN"/>
        </w:rPr>
        <w:t xml:space="preserve">一</w:t>
      </w:r>
      <w:r>
        <w:rPr>
          <w:rFonts w:hint="eastAsia" w:ascii="宋体" w:hAnsi="宋体" w:eastAsia="宋体" w:cs="宋体"/>
          <w:b/>
          <w:color w:val="auto"/>
          <w:szCs w:val="21"/>
          <w:highlight w:val="none"/>
          <w:lang w:val="zh-CN"/>
        </w:rPr>
        <w:t xml:space="preserve">条 履约保证金</w:t>
      </w:r>
      <w:bookmarkEnd w:id="83"/>
      <w:r/>
      <w:bookmarkEnd w:id="84"/>
      <w:r/>
      <w:bookmarkEnd w:id="85"/>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本项目乙方无需缴纳履约保证金。</w:t>
      </w:r>
      <w:r/>
    </w:p>
    <w:p>
      <w:pPr>
        <w:ind w:firstLine="422"/>
        <w:spacing w:line="360" w:lineRule="auto"/>
        <w:rPr>
          <w:rFonts w:hint="eastAsia" w:ascii="宋体" w:hAnsi="宋体" w:eastAsia="宋体" w:cs="宋体"/>
          <w:b/>
          <w:color w:val="auto"/>
          <w:szCs w:val="21"/>
          <w:highlight w:val="none"/>
        </w:rPr>
        <w:outlineLvl w:val="2"/>
      </w:pPr>
      <w:r/>
      <w:bookmarkStart w:id="86" w:name="_Toc523128888"/>
      <w:r/>
      <w:bookmarkStart w:id="87" w:name="_Toc514592379"/>
      <w:r/>
      <w:bookmarkStart w:id="88" w:name="_Toc523064073"/>
      <w:r>
        <w:rPr>
          <w:rFonts w:hint="eastAsia" w:ascii="宋体" w:hAnsi="宋体" w:eastAsia="宋体" w:cs="宋体"/>
          <w:b/>
          <w:color w:val="auto"/>
          <w:szCs w:val="21"/>
          <w:highlight w:val="none"/>
          <w:lang w:val="zh-CN"/>
        </w:rPr>
        <w:t xml:space="preserve">第十</w:t>
      </w:r>
      <w:r>
        <w:rPr>
          <w:rFonts w:hint="eastAsia" w:ascii="宋体" w:hAnsi="宋体" w:eastAsia="宋体" w:cs="宋体"/>
          <w:b/>
          <w:color w:val="auto"/>
          <w:szCs w:val="21"/>
          <w:highlight w:val="none"/>
          <w:lang w:val="en-US" w:eastAsia="zh-CN"/>
        </w:rPr>
        <w:t xml:space="preserve">二</w:t>
      </w:r>
      <w:r>
        <w:rPr>
          <w:rFonts w:hint="eastAsia" w:ascii="宋体" w:hAnsi="宋体" w:eastAsia="宋体" w:cs="宋体"/>
          <w:b/>
          <w:color w:val="auto"/>
          <w:szCs w:val="21"/>
          <w:highlight w:val="none"/>
          <w:lang w:val="zh-CN"/>
        </w:rPr>
        <w:t xml:space="preserve">条  合同的变更、终止</w:t>
      </w:r>
      <w:bookmarkEnd w:id="86"/>
      <w:r/>
      <w:bookmarkEnd w:id="87"/>
      <w:r/>
      <w:bookmarkEnd w:id="88"/>
      <w:r/>
      <w:r/>
    </w:p>
    <w:p>
      <w:pPr>
        <w:ind w:firstLine="411"/>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本合同一经签订，合同双方不得擅自变更或</w:t>
      </w:r>
      <w:r>
        <w:rPr>
          <w:rFonts w:hint="eastAsia" w:ascii="宋体" w:hAnsi="宋体" w:eastAsia="宋体" w:cs="宋体"/>
          <w:color w:val="auto"/>
          <w:szCs w:val="21"/>
          <w:highlight w:val="none"/>
          <w:lang w:eastAsia="zh-CN"/>
        </w:rPr>
        <w:t xml:space="preserve">终止</w:t>
      </w:r>
      <w:r>
        <w:rPr>
          <w:rFonts w:hint="eastAsia" w:ascii="宋体" w:hAnsi="宋体" w:eastAsia="宋体" w:cs="宋体"/>
          <w:color w:val="auto"/>
          <w:szCs w:val="21"/>
          <w:highlight w:val="none"/>
        </w:rPr>
        <w:t xml:space="preserve">合同，除非合同的继续履行将损害国家利益和社会公共利益。</w:t>
      </w:r>
      <w:r/>
    </w:p>
    <w:p>
      <w:pPr>
        <w:ind w:firstLine="422"/>
        <w:spacing w:line="360" w:lineRule="auto"/>
        <w:rPr>
          <w:rFonts w:hint="eastAsia" w:ascii="宋体" w:hAnsi="宋体" w:eastAsia="宋体" w:cs="宋体"/>
          <w:b/>
          <w:color w:val="auto"/>
          <w:szCs w:val="21"/>
          <w:highlight w:val="none"/>
        </w:rPr>
        <w:outlineLvl w:val="2"/>
      </w:pPr>
      <w:r/>
      <w:bookmarkStart w:id="89" w:name="_Toc523064074"/>
      <w:r/>
      <w:bookmarkStart w:id="90" w:name="_Toc514592380"/>
      <w:r/>
      <w:bookmarkStart w:id="91" w:name="_Toc523128889"/>
      <w:r>
        <w:rPr>
          <w:rFonts w:hint="eastAsia" w:ascii="宋体" w:hAnsi="宋体" w:eastAsia="宋体" w:cs="宋体"/>
          <w:b/>
          <w:color w:val="auto"/>
          <w:szCs w:val="21"/>
          <w:highlight w:val="none"/>
          <w:lang w:val="zh-CN"/>
        </w:rPr>
        <w:t xml:space="preserve">第十</w:t>
      </w:r>
      <w:r>
        <w:rPr>
          <w:rFonts w:hint="eastAsia" w:ascii="宋体" w:hAnsi="宋体" w:eastAsia="宋体" w:cs="宋体"/>
          <w:b/>
          <w:color w:val="auto"/>
          <w:szCs w:val="21"/>
          <w:highlight w:val="none"/>
          <w:lang w:val="en-US" w:eastAsia="zh-CN"/>
        </w:rPr>
        <w:t xml:space="preserve">三</w:t>
      </w:r>
      <w:r>
        <w:rPr>
          <w:rFonts w:hint="eastAsia" w:ascii="宋体" w:hAnsi="宋体" w:eastAsia="宋体" w:cs="宋体"/>
          <w:b/>
          <w:color w:val="auto"/>
          <w:szCs w:val="21"/>
          <w:highlight w:val="none"/>
          <w:lang w:val="zh-CN"/>
        </w:rPr>
        <w:t xml:space="preserve">条  合同的终止</w:t>
      </w:r>
      <w:bookmarkEnd w:id="89"/>
      <w:r/>
      <w:bookmarkEnd w:id="90"/>
      <w:r/>
      <w:bookmarkEnd w:id="91"/>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本合同因下列原因而终止：</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（1）本合同正常履行完毕；</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（2）因不可抗力导致本合同无法履行或履行不必要；</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（3）任何一方行使解除权解除本合同；</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（4）合同的继续履行将损害国家利益和社会公共利益。</w:t>
      </w:r>
      <w:r/>
    </w:p>
    <w:p>
      <w:pPr>
        <w:pStyle w:val="926"/>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（5）在合同履行期间，采购人若受上级管养模式调整要</w:t>
      </w:r>
      <w:r>
        <w:rPr>
          <w:rFonts w:hint="eastAsia" w:ascii="宋体" w:hAnsi="宋体" w:eastAsia="宋体" w:cs="宋体"/>
          <w:color w:val="auto"/>
          <w:highlight w:val="none"/>
          <w:lang w:eastAsia="zh-CN"/>
        </w:rPr>
        <w:t xml:space="preserve">求等</w:t>
      </w:r>
      <w:r>
        <w:rPr>
          <w:rFonts w:hint="eastAsia" w:ascii="宋体" w:hAnsi="宋体" w:eastAsia="宋体" w:cs="宋体"/>
          <w:color w:val="auto"/>
          <w:highlight w:val="none"/>
        </w:rPr>
        <w:t xml:space="preserve">因素影响，本项目合同提前终止，采购人不承担任何违约责任。</w:t>
      </w:r>
      <w:r/>
    </w:p>
    <w:p>
      <w:pPr>
        <w:pStyle w:val="926"/>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除上述情形外，甲乙双方不得擅自终止合同。</w:t>
      </w:r>
      <w:r/>
    </w:p>
    <w:p>
      <w:pPr>
        <w:ind w:firstLine="422"/>
        <w:spacing w:line="360" w:lineRule="auto"/>
        <w:rPr>
          <w:rFonts w:hint="eastAsia" w:ascii="宋体" w:hAnsi="宋体" w:eastAsia="宋体" w:cs="宋体"/>
          <w:b/>
          <w:color w:val="auto"/>
          <w:szCs w:val="21"/>
          <w:highlight w:val="none"/>
        </w:rPr>
        <w:outlineLvl w:val="2"/>
      </w:pPr>
      <w:r/>
      <w:bookmarkStart w:id="92" w:name="_Toc514592381"/>
      <w:r/>
      <w:bookmarkStart w:id="93" w:name="_Toc523064075"/>
      <w:r/>
      <w:bookmarkStart w:id="94" w:name="_Toc523128890"/>
      <w:r>
        <w:rPr>
          <w:rFonts w:hint="eastAsia" w:ascii="宋体" w:hAnsi="宋体" w:eastAsia="宋体" w:cs="宋体"/>
          <w:b/>
          <w:color w:val="auto"/>
          <w:szCs w:val="21"/>
          <w:highlight w:val="none"/>
          <w:lang w:val="zh-CN"/>
        </w:rPr>
        <w:t xml:space="preserve">第十</w:t>
      </w:r>
      <w:r>
        <w:rPr>
          <w:rFonts w:hint="eastAsia" w:ascii="宋体" w:hAnsi="宋体" w:eastAsia="宋体" w:cs="宋体"/>
          <w:b/>
          <w:color w:val="auto"/>
          <w:szCs w:val="21"/>
          <w:highlight w:val="none"/>
          <w:lang w:val="en-US" w:eastAsia="zh-CN"/>
        </w:rPr>
        <w:t xml:space="preserve">四</w:t>
      </w:r>
      <w:r>
        <w:rPr>
          <w:rFonts w:hint="eastAsia" w:ascii="宋体" w:hAnsi="宋体" w:eastAsia="宋体" w:cs="宋体"/>
          <w:b/>
          <w:color w:val="auto"/>
          <w:szCs w:val="21"/>
          <w:highlight w:val="none"/>
          <w:lang w:val="zh-CN"/>
        </w:rPr>
        <w:t xml:space="preserve">条  争议解决方式</w:t>
      </w:r>
      <w:bookmarkEnd w:id="92"/>
      <w:r/>
      <w:bookmarkEnd w:id="93"/>
      <w:r/>
      <w:bookmarkEnd w:id="94"/>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在执行本合同过程中所发生的或与本合同有关的一切争端，甲乙双方应通过友好协商的办法进行解决。如协商不能解决，则向甲方所在地人民法院提起诉讼。</w:t>
      </w:r>
      <w:r/>
    </w:p>
    <w:p>
      <w:pPr>
        <w:ind w:firstLine="422"/>
        <w:spacing w:line="360" w:lineRule="auto"/>
        <w:rPr>
          <w:rFonts w:hint="eastAsia" w:ascii="宋体" w:hAnsi="宋体" w:eastAsia="宋体" w:cs="宋体"/>
          <w:b/>
          <w:color w:val="auto"/>
          <w:szCs w:val="21"/>
          <w:highlight w:val="none"/>
        </w:rPr>
        <w:outlineLvl w:val="2"/>
      </w:pPr>
      <w:r/>
      <w:bookmarkStart w:id="95" w:name="_Toc514592382"/>
      <w:r/>
      <w:bookmarkStart w:id="96" w:name="_Toc523128891"/>
      <w:r/>
      <w:bookmarkStart w:id="97" w:name="_Toc523064076"/>
      <w:r>
        <w:rPr>
          <w:rFonts w:hint="eastAsia" w:ascii="宋体" w:hAnsi="宋体" w:eastAsia="宋体" w:cs="宋体"/>
          <w:b/>
          <w:color w:val="auto"/>
          <w:szCs w:val="21"/>
          <w:highlight w:val="none"/>
          <w:lang w:val="zh-CN"/>
        </w:rPr>
        <w:t xml:space="preserve">第十</w:t>
      </w:r>
      <w:r>
        <w:rPr>
          <w:rFonts w:hint="eastAsia" w:ascii="宋体" w:hAnsi="宋体" w:eastAsia="宋体" w:cs="宋体"/>
          <w:b/>
          <w:color w:val="auto"/>
          <w:szCs w:val="21"/>
          <w:highlight w:val="none"/>
          <w:lang w:val="en-US" w:eastAsia="zh-CN"/>
        </w:rPr>
        <w:t xml:space="preserve">五</w:t>
      </w:r>
      <w:r>
        <w:rPr>
          <w:rFonts w:hint="eastAsia" w:ascii="宋体" w:hAnsi="宋体" w:eastAsia="宋体" w:cs="宋体"/>
          <w:b/>
          <w:color w:val="auto"/>
          <w:szCs w:val="21"/>
          <w:highlight w:val="none"/>
          <w:lang w:val="zh-CN"/>
        </w:rPr>
        <w:t xml:space="preserve">条  合同生效及其他</w:t>
      </w:r>
      <w:bookmarkEnd w:id="95"/>
      <w:r/>
      <w:bookmarkEnd w:id="96"/>
      <w:r/>
      <w:bookmarkEnd w:id="97"/>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1、合同应在甲乙双方代表签字并加盖公章后生效。</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2、本合同一式</w:t>
      </w:r>
      <w:r>
        <w:rPr>
          <w:rFonts w:hint="eastAsia" w:ascii="宋体" w:hAnsi="宋体" w:eastAsia="宋体" w:cs="宋体"/>
          <w:color w:val="auto"/>
          <w:szCs w:val="21"/>
          <w:highlight w:val="none"/>
          <w:lang w:val="en-US" w:eastAsia="zh-CN"/>
        </w:rPr>
        <w:t xml:space="preserve">陆</w:t>
      </w:r>
      <w:r>
        <w:rPr>
          <w:rFonts w:hint="eastAsia" w:ascii="宋体" w:hAnsi="宋体" w:eastAsia="宋体" w:cs="宋体"/>
          <w:color w:val="auto"/>
          <w:szCs w:val="21"/>
          <w:highlight w:val="none"/>
        </w:rPr>
        <w:t xml:space="preserve">份，甲方执</w:t>
      </w:r>
      <w:r>
        <w:rPr>
          <w:rFonts w:hint="eastAsia" w:ascii="宋体" w:hAnsi="宋体" w:eastAsia="宋体" w:cs="宋体"/>
          <w:color w:val="auto"/>
          <w:szCs w:val="21"/>
          <w:highlight w:val="none"/>
          <w:lang w:val="en-US" w:eastAsia="zh-CN"/>
        </w:rPr>
        <w:t xml:space="preserve">肆</w:t>
      </w:r>
      <w:r>
        <w:rPr>
          <w:rFonts w:hint="eastAsia" w:ascii="宋体" w:hAnsi="宋体" w:eastAsia="宋体" w:cs="宋体"/>
          <w:color w:val="auto"/>
          <w:szCs w:val="21"/>
          <w:highlight w:val="none"/>
        </w:rPr>
        <w:t xml:space="preserve">份、乙方执</w:t>
      </w:r>
      <w:r>
        <w:rPr>
          <w:rFonts w:hint="eastAsia" w:ascii="宋体" w:hAnsi="宋体" w:eastAsia="宋体" w:cs="宋体"/>
          <w:color w:val="auto"/>
          <w:szCs w:val="21"/>
          <w:highlight w:val="none"/>
          <w:lang w:val="en-US" w:eastAsia="zh-CN"/>
        </w:rPr>
        <w:t xml:space="preserve">贰</w:t>
      </w:r>
      <w:r>
        <w:rPr>
          <w:rFonts w:hint="eastAsia" w:ascii="宋体" w:hAnsi="宋体" w:eastAsia="宋体" w:cs="宋体"/>
          <w:color w:val="auto"/>
          <w:szCs w:val="21"/>
          <w:highlight w:val="none"/>
        </w:rPr>
        <w:t xml:space="preserve">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3、本合同应按照中华人民共和国的现行法律进行解释。</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甲方（盖章）：                                 乙方（盖章）：                                               </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代表签字：</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 xml:space="preserve">      授权代表签字：</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                     开户银行：</w:t>
      </w:r>
      <w:r/>
    </w:p>
    <w:p>
      <w:pPr>
        <w:ind w:firstLine="483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账号</w:t>
      </w:r>
      <w:r>
        <w:rPr>
          <w:rFonts w:hint="eastAsia" w:ascii="宋体" w:hAnsi="宋体" w:eastAsia="宋体" w:cs="宋体"/>
          <w:color w:val="auto"/>
          <w:szCs w:val="21"/>
          <w:highlight w:val="none"/>
        </w:rPr>
        <w:t xml:space="preserve">：</w:t>
      </w:r>
      <w:r/>
    </w:p>
    <w:p>
      <w:pPr>
        <w:ind w:firstLine="483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p>
      <w:pPr>
        <w:ind w:firstLine="483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36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ind w:left="0" w:firstLine="0"/>
        <w:jc w:val="center"/>
        <w:spacing w:before="120" w:after="120" w:line="288" w:lineRule="auto"/>
        <w:rPr>
          <w:rFonts w:hint="eastAsia" w:ascii="宋体" w:hAnsi="宋体" w:eastAsia="宋体" w:cs="宋体"/>
          <w:b/>
          <w:color w:val="auto"/>
          <w:sz w:val="24"/>
          <w:szCs w:val="20"/>
          <w:highlight w:val="none"/>
        </w:rPr>
        <w:outlineLvl w:val="1"/>
      </w:pPr>
      <w:r/>
      <w:bookmarkStart w:id="98" w:name="_Toc20361"/>
      <w:r>
        <w:rPr>
          <w:rFonts w:hint="eastAsia" w:ascii="宋体" w:hAnsi="宋体" w:eastAsia="宋体" w:cs="宋体"/>
          <w:b/>
          <w:color w:val="auto"/>
          <w:sz w:val="24"/>
          <w:szCs w:val="20"/>
          <w:highlight w:val="none"/>
        </w:rPr>
        <w:t xml:space="preserve">《*******合同》补充协议（合同附件）</w:t>
      </w:r>
      <w:bookmarkEnd w:id="98"/>
      <w:r/>
      <w:r/>
    </w:p>
    <w:p>
      <w:pPr>
        <w:pStyle w:val="1208"/>
        <w:ind w:left="0" w:firstLine="0"/>
        <w:jc w:val="center"/>
        <w:spacing w:before="120" w:after="12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如遇招标文件及合同未约定事项，双方可友好协商签订补充协议。</w:t>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br w:type="page" w:clear="all"/>
      </w:r>
      <w:r/>
    </w:p>
    <w:p>
      <w:pPr>
        <w:pStyle w:val="990"/>
        <w:ind w:left="735" w:firstLine="0"/>
        <w:jc w:val="center"/>
        <w:spacing w:line="720" w:lineRule="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r>
      <w:r/>
    </w:p>
    <w:p>
      <w:pPr>
        <w:pStyle w:val="990"/>
        <w:ind w:left="735" w:firstLine="0"/>
        <w:jc w:val="center"/>
        <w:spacing w:line="720" w:lineRule="auto"/>
        <w:rPr>
          <w:rFonts w:hint="eastAsia" w:ascii="宋体" w:hAnsi="宋体" w:eastAsia="宋体" w:cs="宋体"/>
          <w:b/>
          <w:color w:val="auto"/>
          <w:sz w:val="28"/>
          <w:szCs w:val="28"/>
          <w:highlight w:val="none"/>
        </w:rPr>
        <w:outlineLvl w:val="0"/>
      </w:pPr>
      <w:r/>
      <w:bookmarkStart w:id="99" w:name="_Toc1820"/>
      <w:r>
        <w:rPr>
          <w:rFonts w:hint="eastAsia" w:ascii="宋体" w:hAnsi="宋体" w:eastAsia="宋体" w:cs="宋体"/>
          <w:b/>
          <w:color w:val="auto"/>
          <w:sz w:val="28"/>
          <w:szCs w:val="28"/>
          <w:highlight w:val="none"/>
        </w:rPr>
        <w:t xml:space="preserve">第六章投标文件格式及附件</w:t>
      </w:r>
      <w:bookmarkEnd w:id="99"/>
      <w:r/>
      <w:r/>
    </w:p>
    <w:p>
      <w:pPr>
        <w:jc w:val="center"/>
        <w:rPr>
          <w:rFonts w:hint="eastAsia" w:ascii="宋体" w:hAnsi="宋体" w:eastAsia="宋体" w:cs="宋体"/>
          <w:b/>
          <w:color w:val="auto"/>
          <w:sz w:val="60"/>
          <w:szCs w:val="21"/>
          <w:highlight w:val="none"/>
        </w:rPr>
      </w:pPr>
      <w:r>
        <w:rPr>
          <w:rFonts w:hint="eastAsia" w:ascii="宋体" w:hAnsi="宋体" w:eastAsia="宋体" w:cs="宋体"/>
          <w:b/>
          <w:color w:val="auto"/>
          <w:sz w:val="60"/>
          <w:szCs w:val="21"/>
          <w:highlight w:val="none"/>
        </w:rPr>
      </w:r>
      <w:r/>
    </w:p>
    <w:p>
      <w:pPr>
        <w:pStyle w:val="975"/>
        <w:rPr>
          <w:rFonts w:hint="eastAsia"/>
          <w:color w:val="auto"/>
          <w:highlight w:val="none"/>
        </w:rPr>
      </w:pPr>
      <w:r>
        <w:rPr>
          <w:rFonts w:hint="eastAsia"/>
          <w:color w:val="auto"/>
          <w:highlight w:val="none"/>
        </w:rPr>
      </w:r>
      <w:r/>
    </w:p>
    <w:p>
      <w:pPr>
        <w:jc w:val="center"/>
        <w:rPr>
          <w:rFonts w:hint="eastAsia" w:ascii="宋体" w:hAnsi="宋体" w:eastAsia="宋体" w:cs="宋体"/>
          <w:b/>
          <w:color w:val="auto"/>
          <w:sz w:val="60"/>
          <w:szCs w:val="21"/>
          <w:highlight w:val="none"/>
        </w:rPr>
      </w:pPr>
      <w:r>
        <w:rPr>
          <w:rFonts w:hint="eastAsia" w:ascii="宋体" w:hAnsi="宋体" w:eastAsia="宋体" w:cs="宋体"/>
          <w:b/>
          <w:color w:val="auto"/>
          <w:sz w:val="60"/>
          <w:szCs w:val="21"/>
          <w:highlight w:val="none"/>
        </w:rPr>
        <w:t xml:space="preserve">投</w:t>
      </w:r>
      <w:r>
        <w:rPr>
          <w:rFonts w:hint="eastAsia" w:ascii="宋体" w:hAnsi="宋体" w:eastAsia="宋体" w:cs="宋体"/>
          <w:b/>
          <w:color w:val="auto"/>
          <w:sz w:val="60"/>
          <w:szCs w:val="21"/>
          <w:highlight w:val="none"/>
          <w:lang w:val="en-US" w:eastAsia="zh-CN"/>
        </w:rPr>
        <w:t xml:space="preserve"> </w:t>
      </w:r>
      <w:r>
        <w:rPr>
          <w:rFonts w:hint="eastAsia" w:ascii="宋体" w:hAnsi="宋体" w:eastAsia="宋体" w:cs="宋体"/>
          <w:b/>
          <w:color w:val="auto"/>
          <w:sz w:val="60"/>
          <w:szCs w:val="21"/>
          <w:highlight w:val="none"/>
        </w:rPr>
        <w:t xml:space="preserve">标</w:t>
      </w:r>
      <w:r>
        <w:rPr>
          <w:rFonts w:hint="eastAsia" w:ascii="宋体" w:hAnsi="宋体" w:eastAsia="宋体" w:cs="宋体"/>
          <w:b/>
          <w:color w:val="auto"/>
          <w:sz w:val="60"/>
          <w:szCs w:val="21"/>
          <w:highlight w:val="none"/>
          <w:lang w:val="en-US" w:eastAsia="zh-CN"/>
        </w:rPr>
        <w:t xml:space="preserve"> </w:t>
      </w:r>
      <w:r>
        <w:rPr>
          <w:rFonts w:hint="eastAsia" w:ascii="宋体" w:hAnsi="宋体" w:eastAsia="宋体" w:cs="宋体"/>
          <w:b/>
          <w:color w:val="auto"/>
          <w:sz w:val="60"/>
          <w:szCs w:val="21"/>
          <w:highlight w:val="none"/>
        </w:rPr>
        <w:t xml:space="preserve">文</w:t>
      </w:r>
      <w:r>
        <w:rPr>
          <w:rFonts w:hint="eastAsia" w:ascii="宋体" w:hAnsi="宋体" w:eastAsia="宋体" w:cs="宋体"/>
          <w:b/>
          <w:color w:val="auto"/>
          <w:sz w:val="60"/>
          <w:szCs w:val="21"/>
          <w:highlight w:val="none"/>
          <w:lang w:val="en-US" w:eastAsia="zh-CN"/>
        </w:rPr>
        <w:t xml:space="preserve"> </w:t>
      </w:r>
      <w:r>
        <w:rPr>
          <w:rFonts w:hint="eastAsia" w:ascii="宋体" w:hAnsi="宋体" w:eastAsia="宋体" w:cs="宋体"/>
          <w:b/>
          <w:color w:val="auto"/>
          <w:sz w:val="60"/>
          <w:szCs w:val="21"/>
          <w:highlight w:val="none"/>
        </w:rPr>
        <w:t xml:space="preserve">件</w:t>
      </w:r>
      <w:r/>
    </w:p>
    <w:p>
      <w:pPr>
        <w:ind w:firstLine="3708"/>
        <w:rPr>
          <w:rFonts w:hint="eastAsia" w:ascii="宋体" w:hAnsi="宋体" w:eastAsia="宋体" w:cs="宋体"/>
          <w:b/>
          <w:color w:val="auto"/>
          <w:sz w:val="32"/>
          <w:szCs w:val="21"/>
          <w:highlight w:val="none"/>
        </w:rPr>
      </w:pPr>
      <w:r>
        <w:rPr>
          <w:rFonts w:hint="eastAsia" w:ascii="宋体" w:hAnsi="宋体" w:eastAsia="宋体" w:cs="宋体"/>
          <w:b/>
          <w:color w:val="auto"/>
          <w:sz w:val="32"/>
          <w:szCs w:val="21"/>
          <w:highlight w:val="none"/>
        </w:rPr>
      </w:r>
      <w:r/>
    </w:p>
    <w:p>
      <w:pPr>
        <w:jc w:val="center"/>
        <w:rPr>
          <w:rFonts w:hint="eastAsia" w:ascii="宋体" w:hAnsi="宋体" w:eastAsia="宋体" w:cs="宋体"/>
          <w:b/>
          <w:color w:val="auto"/>
          <w:sz w:val="60"/>
          <w:szCs w:val="21"/>
          <w:highlight w:val="none"/>
        </w:rPr>
      </w:pPr>
      <w:r>
        <w:rPr>
          <w:rFonts w:hint="eastAsia" w:ascii="宋体" w:hAnsi="宋体" w:eastAsia="宋体" w:cs="宋体"/>
          <w:b/>
          <w:color w:val="auto"/>
          <w:sz w:val="60"/>
          <w:szCs w:val="21"/>
          <w:highlight w:val="none"/>
        </w:rPr>
      </w:r>
      <w:r/>
    </w:p>
    <w:p>
      <w:pPr>
        <w:jc w:val="center"/>
        <w:rPr>
          <w:rFonts w:ascii="宋体" w:hAnsi="宋体"/>
          <w:b/>
          <w:color w:val="auto"/>
          <w:sz w:val="36"/>
          <w:highlight w:val="none"/>
        </w:rPr>
      </w:pPr>
      <w:r>
        <w:rPr>
          <w:rFonts w:ascii="宋体" w:hAnsi="宋体"/>
          <w:b/>
          <w:color w:val="auto"/>
          <w:sz w:val="36"/>
          <w:highlight w:val="none"/>
        </w:rPr>
      </w:r>
      <w:r/>
    </w:p>
    <w:p>
      <w:pPr>
        <w:ind w:left="0" w:firstLine="638"/>
        <w:rPr>
          <w:rFonts w:ascii="宋体" w:hAnsi="宋体"/>
          <w:b/>
          <w:color w:val="auto"/>
          <w:sz w:val="36"/>
          <w:highlight w:val="none"/>
        </w:rPr>
      </w:pPr>
      <w:r>
        <w:rPr>
          <w:rFonts w:hint="eastAsia" w:ascii="宋体" w:hAnsi="宋体"/>
          <w:b/>
          <w:color w:val="auto"/>
          <w:sz w:val="36"/>
          <w:highlight w:val="none"/>
        </w:rPr>
        <w:t xml:space="preserve"> </w:t>
      </w:r>
      <w:r>
        <w:rPr>
          <w:rFonts w:hint="eastAsia" w:ascii="宋体" w:hAnsi="宋体"/>
          <w:b/>
          <w:color w:val="auto"/>
          <w:sz w:val="36"/>
          <w:highlight w:val="none"/>
          <w:lang w:val="en-US" w:eastAsia="zh-CN"/>
        </w:rPr>
        <w:t xml:space="preserve"> </w:t>
      </w: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left="0" w:firstLine="638"/>
        <w:rPr>
          <w:rFonts w:ascii="宋体" w:hAnsi="宋体"/>
          <w:b/>
          <w:color w:val="auto"/>
          <w:sz w:val="36"/>
          <w:highlight w:val="none"/>
          <w:u w:val="single"/>
        </w:rPr>
      </w:pPr>
      <w:r>
        <w:rPr>
          <w:rFonts w:hint="eastAsia" w:ascii="宋体" w:hAnsi="宋体"/>
          <w:b/>
          <w:color w:val="auto"/>
          <w:sz w:val="36"/>
          <w:highlight w:val="none"/>
        </w:rPr>
        <w:t xml:space="preserve">  项 目 编 号：</w:t>
      </w:r>
      <w:r>
        <w:rPr>
          <w:rFonts w:hint="eastAsia" w:ascii="宋体" w:hAnsi="宋体"/>
          <w:b/>
          <w:color w:val="auto"/>
          <w:sz w:val="36"/>
          <w:highlight w:val="none"/>
          <w:u w:val="single"/>
        </w:rPr>
        <w:t xml:space="preserve">                   </w:t>
      </w:r>
      <w:r/>
    </w:p>
    <w:p>
      <w:pPr>
        <w:ind w:left="0" w:firstLine="638"/>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（加盖电子公章）   </w:t>
      </w:r>
      <w:r/>
    </w:p>
    <w:p>
      <w:pPr>
        <w:ind w:left="0" w:firstLine="638"/>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jc w:val="center"/>
        <w:rPr>
          <w:rFonts w:hint="eastAsia" w:ascii="宋体" w:hAnsi="宋体" w:eastAsia="宋体" w:cs="宋体"/>
          <w:b/>
          <w:bCs/>
          <w:color w:val="auto"/>
          <w:sz w:val="40"/>
          <w:szCs w:val="21"/>
          <w:highlight w:val="none"/>
        </w:rPr>
      </w:pPr>
      <w:r>
        <w:rPr>
          <w:rFonts w:hint="eastAsia" w:ascii="宋体" w:hAnsi="宋体" w:eastAsia="宋体" w:cs="宋体"/>
          <w:b/>
          <w:bCs/>
          <w:color w:val="auto"/>
          <w:sz w:val="40"/>
          <w:szCs w:val="21"/>
          <w:highlight w:val="none"/>
        </w:rPr>
      </w:r>
      <w:r/>
    </w:p>
    <w:p>
      <w:pPr>
        <w:pStyle w:val="990"/>
        <w:ind w:left="735" w:firstLine="0"/>
        <w:jc w:val="center"/>
        <w:spacing w:line="720"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990"/>
        <w:ind w:left="735" w:firstLine="0"/>
        <w:jc w:val="center"/>
        <w:spacing w:line="720"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990"/>
        <w:ind w:left="735" w:firstLine="0"/>
        <w:jc w:val="center"/>
        <w:spacing w:line="720"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ind w:left="6" w:right="21"/>
        <w:jc w:val="center"/>
        <w:spacing w:before="70"/>
        <w:rPr>
          <w:rFonts w:hint="eastAsia" w:ascii="宋体" w:hAnsi="宋体" w:eastAsia="宋体" w:cs="宋体"/>
          <w:b/>
          <w:color w:val="auto"/>
          <w:sz w:val="40"/>
          <w:szCs w:val="44"/>
          <w:highlight w:val="none"/>
        </w:rPr>
      </w:pPr>
      <w:r/>
      <w:bookmarkStart w:id="100" w:name="评分索引表"/>
      <w:r/>
      <w:bookmarkEnd w:id="100"/>
      <w:r/>
      <w:bookmarkStart w:id="101" w:name="_bookmark6"/>
      <w:r/>
      <w:bookmarkEnd w:id="101"/>
      <w:r/>
      <w:r/>
    </w:p>
    <w:p>
      <w:pPr>
        <w:ind w:left="6" w:right="21"/>
        <w:jc w:val="center"/>
        <w:spacing w:before="70"/>
        <w:rPr>
          <w:rFonts w:hint="eastAsia" w:ascii="宋体" w:hAnsi="宋体" w:eastAsia="宋体" w:cs="宋体"/>
          <w:b/>
          <w:color w:val="auto"/>
          <w:sz w:val="32"/>
          <w:szCs w:val="36"/>
          <w:highlight w:val="none"/>
        </w:rPr>
      </w:pPr>
      <w:r>
        <w:rPr>
          <w:rFonts w:hint="eastAsia" w:ascii="宋体" w:hAnsi="宋体" w:eastAsia="宋体" w:cs="宋体"/>
          <w:b/>
          <w:color w:val="auto"/>
          <w:sz w:val="32"/>
          <w:szCs w:val="36"/>
          <w:highlight w:val="none"/>
        </w:rPr>
      </w:r>
      <w:r/>
    </w:p>
    <w:p>
      <w:pPr>
        <w:ind w:left="6" w:right="21"/>
        <w:jc w:val="center"/>
        <w:spacing w:before="70"/>
        <w:rPr>
          <w:rFonts w:hint="eastAsia" w:ascii="宋体" w:hAnsi="宋体" w:eastAsia="宋体" w:cs="宋体"/>
          <w:b/>
          <w:color w:val="auto"/>
          <w:sz w:val="32"/>
          <w:szCs w:val="36"/>
          <w:highlight w:val="none"/>
        </w:rPr>
      </w:pPr>
      <w:r>
        <w:rPr>
          <w:rFonts w:hint="eastAsia" w:ascii="宋体" w:hAnsi="宋体" w:eastAsia="宋体" w:cs="宋体"/>
          <w:b/>
          <w:color w:val="auto"/>
          <w:sz w:val="32"/>
          <w:szCs w:val="36"/>
          <w:highlight w:val="none"/>
        </w:rPr>
      </w:r>
      <w:r/>
    </w:p>
    <w:p>
      <w:pPr>
        <w:ind w:left="6" w:right="21"/>
        <w:jc w:val="center"/>
        <w:spacing w:before="70"/>
        <w:rPr>
          <w:rFonts w:hint="eastAsia" w:ascii="宋体" w:hAnsi="宋体" w:eastAsia="宋体" w:cs="宋体"/>
          <w:b/>
          <w:color w:val="auto"/>
          <w:sz w:val="32"/>
          <w:szCs w:val="36"/>
          <w:highlight w:val="none"/>
        </w:rPr>
      </w:pPr>
      <w:r>
        <w:rPr>
          <w:rFonts w:hint="eastAsia" w:ascii="宋体" w:hAnsi="宋体" w:eastAsia="宋体" w:cs="宋体"/>
          <w:b/>
          <w:color w:val="auto"/>
          <w:sz w:val="32"/>
          <w:szCs w:val="36"/>
          <w:highlight w:val="none"/>
        </w:rPr>
      </w:r>
      <w:r/>
    </w:p>
    <w:p>
      <w:pPr>
        <w:ind w:left="6" w:right="21"/>
        <w:jc w:val="center"/>
        <w:spacing w:before="70"/>
        <w:rPr>
          <w:rFonts w:hint="eastAsia" w:ascii="宋体" w:hAnsi="宋体" w:eastAsia="宋体" w:cs="宋体"/>
          <w:b/>
          <w:color w:val="auto"/>
          <w:sz w:val="32"/>
          <w:szCs w:val="36"/>
          <w:highlight w:val="none"/>
        </w:rPr>
      </w:pPr>
      <w:r>
        <w:rPr>
          <w:rFonts w:hint="eastAsia" w:ascii="宋体" w:hAnsi="宋体" w:eastAsia="宋体" w:cs="宋体"/>
          <w:b/>
          <w:color w:val="auto"/>
          <w:sz w:val="32"/>
          <w:szCs w:val="36"/>
          <w:highlight w:val="none"/>
        </w:rPr>
        <w:t xml:space="preserve">评分索引表</w:t>
      </w:r>
      <w:r/>
    </w:p>
    <w:p>
      <w:pPr>
        <w:pStyle w:val="939"/>
        <w:ind w:firstLine="201"/>
        <w:spacing w:before="12"/>
        <w:rPr>
          <w:rFonts w:hint="eastAsia" w:ascii="宋体" w:hAnsi="宋体" w:eastAsia="宋体" w:cs="宋体"/>
          <w:b/>
          <w:color w:val="auto"/>
          <w:sz w:val="10"/>
          <w:highlight w:val="none"/>
          <w:lang w:eastAsia="zh-CN"/>
        </w:rPr>
      </w:pPr>
      <w:r>
        <w:rPr>
          <w:rFonts w:hint="eastAsia" w:ascii="宋体" w:hAnsi="宋体" w:eastAsia="宋体" w:cs="宋体"/>
          <w:b/>
          <w:color w:val="auto"/>
          <w:sz w:val="10"/>
          <w:highlight w:val="none"/>
          <w:lang w:eastAsia="zh-CN"/>
        </w:rPr>
      </w:r>
      <w:r/>
    </w:p>
    <w:tbl>
      <w:tblPr>
        <w:tblStyle w:val="923"/>
        <w:tblW w:w="92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670"/>
        <w:gridCol w:w="3570"/>
      </w:tblGrid>
      <w:tr>
        <w:trPr>
          <w:jc w:val="center"/>
          <w:trHeight w:val="460"/>
        </w:trPr>
        <w:tc>
          <w:tcPr>
            <w:tcW w:w="5670" w:type="dxa"/>
            <w:vAlign w:val="center"/>
            <w:textDirection w:val="lrTb"/>
            <w:noWrap w:val="false"/>
          </w:tcPr>
          <w:p>
            <w:pPr>
              <w:pStyle w:val="1149"/>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评分项目</w:t>
            </w:r>
            <w:r/>
          </w:p>
        </w:tc>
        <w:tc>
          <w:tcPr>
            <w:tcW w:w="3570" w:type="dxa"/>
            <w:vAlign w:val="center"/>
            <w:textDirection w:val="lrTb"/>
            <w:noWrap w:val="false"/>
          </w:tcPr>
          <w:p>
            <w:pPr>
              <w:pStyle w:val="1149"/>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在投标文件中的页码位置</w:t>
            </w:r>
            <w:r/>
          </w:p>
        </w:tc>
      </w:tr>
      <w:tr>
        <w:trPr>
          <w:jc w:val="center"/>
          <w:trHeight w:val="446"/>
        </w:trPr>
        <w:tc>
          <w:tcPr>
            <w:tcW w:w="5670" w:type="dxa"/>
            <w:vAlign w:val="center"/>
            <w:textDirection w:val="lrTb"/>
            <w:noWrap w:val="false"/>
          </w:tcPr>
          <w:p>
            <w:pPr>
              <w:pStyle w:val="114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570" w:type="dxa"/>
            <w:vAlign w:val="center"/>
            <w:textDirection w:val="lrTb"/>
            <w:noWrap w:val="false"/>
          </w:tcPr>
          <w:p>
            <w:pPr>
              <w:pStyle w:val="114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08"/>
        </w:trPr>
        <w:tc>
          <w:tcPr>
            <w:tcW w:w="5670" w:type="dxa"/>
            <w:vAlign w:val="center"/>
            <w:textDirection w:val="lrTb"/>
            <w:noWrap w:val="false"/>
          </w:tcPr>
          <w:p>
            <w:pPr>
              <w:pStyle w:val="114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570" w:type="dxa"/>
            <w:vAlign w:val="center"/>
            <w:textDirection w:val="lrTb"/>
            <w:noWrap w:val="false"/>
          </w:tcPr>
          <w:p>
            <w:pPr>
              <w:pStyle w:val="114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08"/>
        </w:trPr>
        <w:tc>
          <w:tcPr>
            <w:tcW w:w="5670" w:type="dxa"/>
            <w:vAlign w:val="center"/>
            <w:textDirection w:val="lrTb"/>
            <w:noWrap w:val="false"/>
          </w:tcPr>
          <w:p>
            <w:pPr>
              <w:pStyle w:val="114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570" w:type="dxa"/>
            <w:vAlign w:val="center"/>
            <w:textDirection w:val="lrTb"/>
            <w:noWrap w:val="false"/>
          </w:tcPr>
          <w:p>
            <w:pPr>
              <w:pStyle w:val="114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60"/>
        </w:trPr>
        <w:tc>
          <w:tcPr>
            <w:tcW w:w="5670" w:type="dxa"/>
            <w:vAlign w:val="center"/>
            <w:textDirection w:val="lrTb"/>
            <w:noWrap w:val="false"/>
          </w:tcPr>
          <w:p>
            <w:pPr>
              <w:pStyle w:val="1149"/>
              <w:ind w:left="196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行数不够，自行添加</w:t>
            </w:r>
            <w:r/>
          </w:p>
        </w:tc>
        <w:tc>
          <w:tcPr>
            <w:tcW w:w="3570" w:type="dxa"/>
            <w:vAlign w:val="center"/>
            <w:textDirection w:val="lrTb"/>
            <w:noWrap w:val="false"/>
          </w:tcPr>
          <w:p>
            <w:pPr>
              <w:pStyle w:val="114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93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注：建议投标供应商为《投标书》制作详细目录，并将该《评分索引表》放在投标书目录之前。</w:t>
      </w:r>
      <w:r/>
    </w:p>
    <w:p>
      <w:pPr>
        <w:pStyle w:val="990"/>
        <w:ind w:left="735" w:firstLine="0"/>
        <w:jc w:val="center"/>
        <w:spacing w:line="720"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990"/>
        <w:ind w:left="735" w:firstLine="0"/>
        <w:jc w:val="center"/>
        <w:spacing w:line="720"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990"/>
        <w:ind w:left="735" w:firstLine="0"/>
        <w:jc w:val="center"/>
        <w:spacing w:line="720" w:lineRule="auto"/>
        <w:rPr>
          <w:rFonts w:hint="eastAsia" w:ascii="宋体" w:hAnsi="宋体" w:eastAsia="宋体" w:cs="宋体"/>
          <w:b/>
          <w:color w:val="auto"/>
          <w:sz w:val="32"/>
          <w:szCs w:val="32"/>
          <w:highlight w:val="none"/>
        </w:rPr>
      </w:pPr>
      <w:r>
        <w:rPr>
          <w:rFonts w:hint="eastAsia" w:ascii="宋体" w:hAnsi="宋体" w:eastAsia="宋体" w:cs="宋体"/>
          <w:b/>
          <w:bCs/>
          <w:color w:val="auto"/>
          <w:sz w:val="36"/>
          <w:highlight w:val="none"/>
        </w:rPr>
        <w:br w:type="page" w:clear="all"/>
      </w:r>
      <w:r/>
    </w:p>
    <w:p>
      <w:pPr>
        <w:pStyle w:val="990"/>
        <w:ind w:firstLine="0"/>
        <w:rPr>
          <w:rFonts w:hint="eastAsia" w:ascii="宋体" w:hAnsi="宋体" w:eastAsia="宋体" w:cs="宋体"/>
          <w:b/>
          <w:bCs/>
          <w:color w:val="auto"/>
          <w:highlight w:val="none"/>
        </w:rPr>
      </w:pPr>
      <w:r/>
      <w:bookmarkStart w:id="102" w:name="_Hlk35523136"/>
      <w:r/>
      <w:r/>
    </w:p>
    <w:p>
      <w:pPr>
        <w:pStyle w:val="990"/>
        <w:ind w:firstLine="0"/>
        <w:rPr>
          <w:rFonts w:hint="eastAsia" w:ascii="宋体" w:hAnsi="宋体" w:eastAsia="宋体" w:cs="宋体"/>
          <w:b/>
          <w:bCs/>
          <w:color w:val="auto"/>
          <w:highlight w:val="none"/>
        </w:rPr>
        <w:outlineLvl w:val="1"/>
      </w:pPr>
      <w:r/>
      <w:bookmarkStart w:id="103" w:name="_Toc26788"/>
      <w:r/>
      <w:bookmarkStart w:id="104" w:name="_Toc2923"/>
      <w:r>
        <w:rPr>
          <w:rFonts w:hint="eastAsia" w:ascii="宋体" w:hAnsi="宋体" w:eastAsia="宋体" w:cs="宋体"/>
          <w:b/>
          <w:bCs/>
          <w:color w:val="auto"/>
          <w:highlight w:val="none"/>
        </w:rPr>
        <w:t xml:space="preserve">目录</w:t>
      </w:r>
      <w:bookmarkEnd w:id="102"/>
      <w:r>
        <w:rPr>
          <w:rFonts w:hint="eastAsia" w:ascii="宋体" w:hAnsi="宋体" w:eastAsia="宋体" w:cs="宋体"/>
          <w:b/>
          <w:bCs/>
          <w:color w:val="auto"/>
          <w:highlight w:val="none"/>
        </w:rPr>
        <w:t xml:space="preserve">一：投标申请及声明</w:t>
      </w:r>
      <w:bookmarkEnd w:id="103"/>
      <w:r/>
      <w:bookmarkEnd w:id="104"/>
      <w:r/>
      <w:r/>
    </w:p>
    <w:p>
      <w:pPr>
        <w:pStyle w:val="990"/>
        <w:ind w:firstLine="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投标申请及声明</w:t>
      </w:r>
      <w:r/>
    </w:p>
    <w:p>
      <w:pPr>
        <w:pStyle w:val="990"/>
        <w:ind w:firstLine="0"/>
        <w:spacing w:line="264"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致：南京市江宁区城市管理局</w:t>
      </w:r>
      <w:r/>
    </w:p>
    <w:p>
      <w:pPr>
        <w:ind w:firstLine="420"/>
        <w:spacing w:line="264" w:lineRule="auto"/>
        <w:rPr>
          <w:rFonts w:hint="eastAsia" w:ascii="宋体" w:hAnsi="宋体" w:eastAsia="宋体" w:cs="宋体"/>
          <w:color w:val="auto"/>
          <w:szCs w:val="21"/>
          <w:highlight w:val="none"/>
          <w:lang w:val="zh-CN"/>
        </w:rPr>
      </w:pPr>
      <w:r>
        <w:rPr>
          <w:rFonts w:hint="eastAsia" w:ascii="宋体" w:hAnsi="宋体" w:eastAsia="宋体" w:cs="宋体"/>
          <w:color w:val="auto"/>
          <w:highlight w:val="none"/>
        </w:rPr>
        <w:t xml:space="preserve">根据贵方</w:t>
      </w:r>
      <w:r>
        <w:rPr>
          <w:rFonts w:hint="eastAsia" w:ascii="宋体" w:hAnsi="宋体" w:eastAsia="宋体" w:cs="宋体"/>
          <w:color w:val="auto"/>
          <w:highlight w:val="none"/>
          <w:u w:val="single"/>
        </w:rPr>
        <w:t xml:space="preserve">（项目名称）（项目编号）</w:t>
      </w:r>
      <w:r>
        <w:rPr>
          <w:rFonts w:hint="eastAsia" w:ascii="宋体" w:hAnsi="宋体" w:eastAsia="宋体" w:cs="宋体"/>
          <w:bCs/>
          <w:color w:val="auto"/>
          <w:highlight w:val="none"/>
        </w:rPr>
        <w:t xml:space="preserve">投标</w:t>
      </w:r>
      <w:r>
        <w:rPr>
          <w:rFonts w:hint="eastAsia" w:ascii="宋体" w:hAnsi="宋体" w:eastAsia="宋体" w:cs="宋体"/>
          <w:color w:val="auto"/>
          <w:highlight w:val="none"/>
        </w:rPr>
        <w:t xml:space="preserve">邀请，</w:t>
      </w:r>
      <w:r>
        <w:rPr>
          <w:rFonts w:hint="eastAsia" w:ascii="宋体" w:hAnsi="宋体" w:eastAsia="宋体" w:cs="宋体"/>
          <w:color w:val="auto"/>
          <w:szCs w:val="21"/>
          <w:highlight w:val="none"/>
          <w:lang w:val="zh-CN"/>
        </w:rPr>
        <w:t xml:space="preserve">正式授权下述签字人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zh-CN"/>
        </w:rPr>
        <w:t xml:space="preserve">(姓名和职务)</w:t>
      </w:r>
      <w:r>
        <w:rPr>
          <w:rFonts w:hint="eastAsia" w:ascii="宋体" w:hAnsi="宋体" w:eastAsia="宋体" w:cs="宋体"/>
          <w:color w:val="auto"/>
          <w:szCs w:val="21"/>
          <w:highlight w:val="none"/>
          <w:lang w:val="zh-CN"/>
        </w:rPr>
        <w:t xml:space="preserve">代表投标供应商</w:t>
      </w:r>
      <w:r>
        <w:rPr>
          <w:rFonts w:hint="eastAsia" w:ascii="宋体" w:hAnsi="宋体" w:eastAsia="宋体" w:cs="宋体"/>
          <w:color w:val="auto"/>
          <w:szCs w:val="21"/>
          <w:highlight w:val="none"/>
          <w:u w:val="single"/>
          <w:lang w:val="zh-CN"/>
        </w:rPr>
        <w:t xml:space="preserve">（投标供应商名称）</w:t>
      </w:r>
      <w:r>
        <w:rPr>
          <w:rFonts w:hint="eastAsia" w:ascii="宋体" w:hAnsi="宋体" w:eastAsia="宋体" w:cs="宋体"/>
          <w:color w:val="auto"/>
          <w:szCs w:val="21"/>
          <w:highlight w:val="none"/>
          <w:lang w:val="zh-CN"/>
        </w:rPr>
        <w:t xml:space="preserve">，提交投标文件</w:t>
      </w:r>
      <w:r>
        <w:rPr>
          <w:rFonts w:hint="eastAsia" w:ascii="宋体" w:hAnsi="宋体" w:eastAsia="宋体" w:cs="宋体"/>
          <w:color w:val="auto"/>
          <w:szCs w:val="21"/>
          <w:highlight w:val="none"/>
          <w:u w:val="single"/>
          <w:lang w:val="zh-CN"/>
        </w:rPr>
        <w:t xml:space="preserve">正本壹份</w:t>
      </w:r>
      <w:r>
        <w:rPr>
          <w:rFonts w:hint="eastAsia" w:ascii="宋体" w:hAnsi="宋体" w:eastAsia="宋体" w:cs="宋体"/>
          <w:color w:val="auto"/>
          <w:szCs w:val="21"/>
          <w:highlight w:val="none"/>
          <w:lang w:val="zh-CN"/>
        </w:rPr>
        <w:t xml:space="preserve">。</w:t>
      </w:r>
      <w:r/>
    </w:p>
    <w:p>
      <w:pPr>
        <w:ind w:firstLine="420"/>
        <w:spacing w:line="264"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据此函，签字人兹宣布同意如下：</w:t>
      </w:r>
      <w:r/>
    </w:p>
    <w:p>
      <w:pPr>
        <w:ind w:firstLine="420"/>
        <w:spacing w:line="264"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1、我们的资格条件完全符合政府采购法和本次采购要求，我们同意并向贵方提供了与本次采购活动有关的所有证据和资料。</w:t>
      </w:r>
      <w:r/>
    </w:p>
    <w:p>
      <w:pPr>
        <w:ind w:firstLine="420"/>
        <w:spacing w:line="264" w:lineRule="auto"/>
        <w:rPr>
          <w:rFonts w:hint="default" w:ascii="宋体" w:hAnsi="宋体" w:eastAsia="宋体" w:cs="宋体"/>
          <w:color w:val="auto"/>
          <w:szCs w:val="21"/>
          <w:highlight w:val="none"/>
          <w:lang w:val="en-US"/>
        </w:rPr>
      </w:pPr>
      <w:r>
        <w:rPr>
          <w:rFonts w:hint="eastAsia" w:ascii="宋体" w:hAnsi="宋体" w:eastAsia="宋体" w:cs="宋体"/>
          <w:color w:val="auto"/>
          <w:highlight w:val="none"/>
        </w:rPr>
        <w:t xml:space="preserve">2、</w:t>
      </w:r>
      <w:r>
        <w:rPr>
          <w:rFonts w:hint="eastAsia" w:ascii="宋体" w:hAnsi="宋体" w:eastAsia="宋体" w:cs="宋体"/>
          <w:color w:val="auto"/>
          <w:szCs w:val="21"/>
          <w:highlight w:val="none"/>
          <w:lang w:val="zh-CN"/>
        </w:rPr>
        <w:t xml:space="preserve">按招标要求，</w:t>
      </w:r>
      <w:r>
        <w:rPr>
          <w:rFonts w:ascii="宋体" w:hAnsi="宋体" w:eastAsia="宋体" w:cs="宋体"/>
          <w:color w:val="auto"/>
          <w:highlight w:val="none"/>
        </w:rPr>
        <w:t xml:space="preserve">我们的</w:t>
      </w:r>
      <w:r>
        <w:rPr>
          <w:rFonts w:hint="eastAsia" w:ascii="宋体" w:hAnsi="宋体" w:eastAsia="宋体" w:cs="宋体"/>
          <w:color w:val="auto"/>
          <w:szCs w:val="21"/>
          <w:highlight w:val="none"/>
        </w:rPr>
        <w:t xml:space="preserve">投标总报价</w:t>
      </w:r>
      <w:r>
        <w:rPr>
          <w:rFonts w:hint="eastAsia" w:ascii="宋体" w:hAnsi="宋体" w:eastAsia="宋体" w:cs="宋体"/>
          <w:color w:val="auto"/>
          <w:highlight w:val="none"/>
        </w:rPr>
        <w:t xml:space="preserve">为</w:t>
      </w:r>
      <w:r>
        <w:rPr>
          <w:rFonts w:hint="eastAsia" w:ascii="宋体" w:hAnsi="宋体" w:eastAsia="宋体" w:cs="宋体"/>
          <w:color w:val="auto"/>
          <w:highlight w:val="none"/>
          <w:u w:val="single"/>
        </w:rPr>
        <w:t xml:space="preserve"> </w:t>
      </w:r>
      <w:r>
        <w:rPr>
          <w:rFonts w:ascii="宋体" w:hAnsi="宋体" w:eastAsia="宋体" w:cs="宋体"/>
          <w:color w:val="auto"/>
          <w:highlight w:val="none"/>
          <w:u w:val="single"/>
        </w:rPr>
        <w:t xml:space="preserve">       </w:t>
      </w:r>
      <w:r>
        <w:rPr>
          <w:rFonts w:hint="eastAsia" w:ascii="宋体" w:hAnsi="宋体" w:eastAsia="宋体" w:cs="宋体"/>
          <w:color w:val="auto"/>
          <w:szCs w:val="21"/>
          <w:highlight w:val="none"/>
        </w:rPr>
        <w:t xml:space="preserve">元（大写</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eastAsia="宋体" w:cs="宋体"/>
          <w:color w:val="auto"/>
          <w:szCs w:val="21"/>
          <w:highlight w:val="none"/>
        </w:rPr>
        <w:t xml:space="preserve">元），</w:t>
      </w:r>
      <w:r>
        <w:rPr>
          <w:rFonts w:hint="eastAsia" w:ascii="宋体" w:hAnsi="宋体" w:eastAsia="宋体" w:cs="宋体"/>
          <w:bCs/>
          <w:color w:val="auto"/>
          <w:highlight w:val="none"/>
        </w:rPr>
        <w:t xml:space="preserve">其中：其中：</w:t>
      </w:r>
      <w:r>
        <w:rPr>
          <w:rFonts w:hint="eastAsia" w:ascii="宋体" w:hAnsi="宋体" w:eastAsia="宋体" w:cs="宋体"/>
          <w:color w:val="auto"/>
          <w:szCs w:val="21"/>
          <w:highlight w:val="none"/>
          <w:lang w:eastAsia="zh-CN"/>
        </w:rPr>
        <w:t xml:space="preserve">园林绿化日常养护服务</w:t>
      </w:r>
      <w:r>
        <w:rPr>
          <w:rFonts w:hint="eastAsia" w:ascii="宋体" w:hAnsi="宋体" w:eastAsia="宋体" w:cs="宋体"/>
          <w:color w:val="auto"/>
          <w:highlight w:val="none"/>
        </w:rPr>
        <w:t xml:space="preserve">为</w:t>
      </w:r>
      <w:r>
        <w:rPr>
          <w:rFonts w:hint="eastAsia" w:ascii="宋体" w:hAnsi="宋体" w:eastAsia="宋体" w:cs="宋体"/>
          <w:color w:val="auto"/>
          <w:highlight w:val="none"/>
          <w:u w:val="single"/>
        </w:rPr>
        <w:t xml:space="preserve"> </w:t>
      </w:r>
      <w:r>
        <w:rPr>
          <w:rFonts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ascii="宋体" w:hAnsi="宋体" w:eastAsia="宋体" w:cs="宋体"/>
          <w:color w:val="auto"/>
          <w:highlight w:val="none"/>
          <w:u w:val="single"/>
        </w:rPr>
        <w:t xml:space="preserve">  </w:t>
      </w:r>
      <w:r>
        <w:rPr>
          <w:rFonts w:hint="eastAsia" w:ascii="宋体" w:hAnsi="宋体" w:eastAsia="宋体" w:cs="宋体"/>
          <w:color w:val="auto"/>
          <w:highlight w:val="none"/>
          <w:u w:val="none"/>
          <w:lang w:val="en-US" w:eastAsia="zh-CN"/>
        </w:rPr>
        <w:t xml:space="preserve">万</w:t>
      </w:r>
      <w:r>
        <w:rPr>
          <w:rFonts w:hint="eastAsia" w:ascii="宋体" w:hAnsi="宋体" w:eastAsia="宋体" w:cs="宋体"/>
          <w:color w:val="auto"/>
          <w:szCs w:val="21"/>
          <w:highlight w:val="none"/>
        </w:rPr>
        <w:t xml:space="preserve">元，</w:t>
      </w:r>
      <w:r>
        <w:rPr>
          <w:rFonts w:hint="eastAsia" w:ascii="宋体" w:hAnsi="宋体" w:eastAsia="宋体" w:cs="宋体"/>
          <w:color w:val="auto"/>
          <w:highlight w:val="none"/>
          <w:lang w:eastAsia="zh-CN"/>
        </w:rPr>
        <w:t xml:space="preserve">维修专项</w:t>
      </w:r>
      <w:r>
        <w:rPr>
          <w:rFonts w:hint="eastAsia" w:ascii="宋体" w:hAnsi="宋体" w:eastAsia="宋体" w:cs="宋体"/>
          <w:color w:val="auto"/>
          <w:highlight w:val="none"/>
          <w:lang w:val="en-US" w:eastAsia="zh-CN"/>
        </w:rPr>
        <w:t xml:space="preserve">为</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eastAsia="zh-CN"/>
        </w:rPr>
        <w:t xml:space="preserve">万元，维修专项折扣率为</w:t>
      </w:r>
      <w:r>
        <w:rPr>
          <w:rFonts w:hint="eastAsia" w:ascii="宋体" w:hAnsi="宋体" w:eastAsia="宋体" w:cs="宋体"/>
          <w:color w:val="auto"/>
          <w:highlight w:val="none"/>
          <w:u w:val="single"/>
          <w:lang w:eastAsia="zh-CN"/>
        </w:rPr>
        <w:t xml:space="preserve">      </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 </w:t>
      </w:r>
      <w:r/>
    </w:p>
    <w:p>
      <w:pPr>
        <w:ind w:firstLine="420"/>
        <w:spacing w:line="264" w:lineRule="auto"/>
        <w:rPr>
          <w:rFonts w:hint="eastAsia" w:ascii="宋体" w:hAnsi="宋体" w:eastAsia="宋体" w:cs="宋体"/>
          <w:color w:val="auto"/>
          <w:highlight w:val="none"/>
        </w:rPr>
        <w:outlineLvl w:val="1"/>
      </w:pPr>
      <w:r/>
      <w:bookmarkStart w:id="105" w:name="_Toc21815"/>
      <w:r/>
      <w:bookmarkStart w:id="106" w:name="_Toc26604"/>
      <w:r>
        <w:rPr>
          <w:rFonts w:hint="eastAsia" w:ascii="宋体" w:hAnsi="宋体" w:eastAsia="宋体" w:cs="宋体"/>
          <w:color w:val="auto"/>
          <w:highlight w:val="none"/>
        </w:rPr>
        <w:t xml:space="preserve">3、项目负责人为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bookmarkEnd w:id="105"/>
      <w:r/>
      <w:bookmarkEnd w:id="106"/>
      <w:r/>
      <w:r/>
    </w:p>
    <w:p>
      <w:pPr>
        <w:ind w:firstLine="420"/>
        <w:spacing w:line="264"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我们已详细审核全部招标文件及其有效补充文件，我们放弃对招标文件任何误解的权利，无论招标结果如何，我们不对招标文件本身提出质疑。否则，属于不诚信和故意扰乱政府采购活动行为，我们将无条件接受处罚。</w:t>
      </w:r>
      <w:r/>
    </w:p>
    <w:p>
      <w:pPr>
        <w:ind w:firstLine="420"/>
        <w:spacing w:line="264"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、我们同意从规定的开标日期起遵循本投标文件，并在规定的投标有效期期满之前均具有约束力。</w:t>
      </w:r>
      <w:r/>
    </w:p>
    <w:p>
      <w:pPr>
        <w:ind w:firstLine="420"/>
        <w:spacing w:line="264" w:lineRule="auto"/>
        <w:rPr>
          <w:rFonts w:hint="eastAsia" w:ascii="宋体" w:hAnsi="宋体" w:eastAsia="宋体" w:cs="宋体"/>
          <w:bCs/>
          <w:color w:val="auto"/>
          <w:szCs w:val="21"/>
          <w:highlight w:val="none"/>
          <w:lang w:val="zh-CN"/>
        </w:rPr>
      </w:pP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zh-CN"/>
        </w:rPr>
        <w:t xml:space="preserve">、如果在开标后规定的投标有效期内撤回投标，</w:t>
      </w:r>
      <w:r>
        <w:rPr>
          <w:rFonts w:hint="eastAsia" w:ascii="宋体" w:hAnsi="宋体" w:eastAsia="宋体" w:cs="宋体"/>
          <w:bCs/>
          <w:color w:val="auto"/>
          <w:szCs w:val="21"/>
          <w:highlight w:val="none"/>
          <w:lang w:val="zh-CN"/>
        </w:rPr>
        <w:t xml:space="preserve">按照《南京市政府采购供应商信用管理工作暂行办法》（宁财规[2018]10号）属第十三条第11款情形，作一般失信行为处理，纳入供应商诚信档案记录。</w:t>
      </w:r>
      <w:r/>
    </w:p>
    <w:p>
      <w:pPr>
        <w:ind w:firstLine="420"/>
        <w:spacing w:line="264"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7</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highlight w:val="none"/>
        </w:rPr>
        <w:t xml:space="preserve">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r/>
    </w:p>
    <w:p>
      <w:pPr>
        <w:ind w:firstLine="420"/>
        <w:spacing w:line="264"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8</w:t>
      </w:r>
      <w:r>
        <w:rPr>
          <w:rFonts w:hint="eastAsia" w:ascii="宋体" w:hAnsi="宋体" w:eastAsia="宋体" w:cs="宋体"/>
          <w:color w:val="auto"/>
          <w:szCs w:val="21"/>
          <w:highlight w:val="none"/>
          <w:lang w:val="zh-CN"/>
        </w:rPr>
        <w:t xml:space="preserve">、一旦我方中标，我方将根据招标文件的规定严格履行合同，并</w:t>
      </w:r>
      <w:r>
        <w:rPr>
          <w:rFonts w:hint="eastAsia" w:ascii="宋体" w:hAnsi="宋体" w:eastAsia="宋体" w:cs="宋体"/>
          <w:color w:val="auto"/>
          <w:highlight w:val="none"/>
        </w:rPr>
        <w:t xml:space="preserve">保证于承诺的时间内完成本项目规定的服务内容。</w:t>
      </w:r>
      <w:r/>
    </w:p>
    <w:p>
      <w:pPr>
        <w:ind w:firstLine="420"/>
        <w:spacing w:line="264"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9</w:t>
      </w:r>
      <w:r>
        <w:rPr>
          <w:rFonts w:hint="eastAsia" w:ascii="宋体" w:hAnsi="宋体" w:eastAsia="宋体" w:cs="宋体"/>
          <w:color w:val="auto"/>
          <w:szCs w:val="21"/>
          <w:highlight w:val="none"/>
          <w:lang w:val="zh-CN"/>
        </w:rPr>
        <w:t xml:space="preserve">、我方决不提供虚假材料谋取中标、决不采取不正当手段诋毁、排挤其他供应商、决不与采购人、其它供应商或者市装备中心恶意串通、决不向采购人、市装备中心工作人员和评委进行商业贿赂、决不在采购过程中与采购人进行协商谈判、决不拒绝有关部门监督检查或提供虚假情况，如有违反，无条件接受相关管理部门的处罚。</w:t>
      </w:r>
      <w:r/>
    </w:p>
    <w:p>
      <w:pPr>
        <w:ind w:firstLine="420"/>
        <w:spacing w:line="264" w:lineRule="auto"/>
        <w:rPr>
          <w:rFonts w:hint="eastAsia" w:ascii="宋体" w:hAnsi="宋体" w:eastAsia="宋体" w:cs="宋体"/>
          <w:color w:val="auto"/>
          <w:szCs w:val="21"/>
          <w:highlight w:val="none"/>
          <w:lang w:val="zh-CN"/>
        </w:rPr>
        <w:outlineLvl w:val="1"/>
      </w:pPr>
      <w:r/>
      <w:bookmarkStart w:id="107" w:name="_Toc7725"/>
      <w:r/>
      <w:bookmarkStart w:id="108" w:name="_Toc12108"/>
      <w:r>
        <w:rPr>
          <w:rFonts w:hint="eastAsia" w:ascii="宋体" w:hAnsi="宋体" w:eastAsia="宋体" w:cs="宋体"/>
          <w:color w:val="auto"/>
          <w:szCs w:val="21"/>
          <w:highlight w:val="none"/>
        </w:rPr>
        <w:t xml:space="preserve">10</w:t>
      </w:r>
      <w:r>
        <w:rPr>
          <w:rFonts w:hint="eastAsia" w:ascii="宋体" w:hAnsi="宋体" w:eastAsia="宋体" w:cs="宋体"/>
          <w:color w:val="auto"/>
          <w:szCs w:val="21"/>
          <w:highlight w:val="none"/>
          <w:lang w:val="zh-CN"/>
        </w:rPr>
        <w:t xml:space="preserve">、与本投标有关的正式联系方式为：</w:t>
      </w:r>
      <w:bookmarkEnd w:id="107"/>
      <w:r/>
      <w:bookmarkEnd w:id="108"/>
      <w:r/>
      <w:r/>
    </w:p>
    <w:p>
      <w:pPr>
        <w:ind w:firstLine="420"/>
        <w:spacing w:line="264" w:lineRule="auto"/>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地址：</w:t>
      </w:r>
      <w:r/>
    </w:p>
    <w:p>
      <w:pPr>
        <w:ind w:firstLine="420"/>
        <w:spacing w:line="264" w:lineRule="auto"/>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电话：</w:t>
      </w:r>
      <w:r/>
    </w:p>
    <w:p>
      <w:pPr>
        <w:ind w:firstLine="420"/>
        <w:spacing w:line="264" w:lineRule="auto"/>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传真：</w:t>
      </w:r>
      <w:r/>
    </w:p>
    <w:p>
      <w:pPr>
        <w:ind w:firstLine="420"/>
        <w:spacing w:line="264"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开户银行：</w:t>
      </w:r>
      <w:r/>
    </w:p>
    <w:p>
      <w:pPr>
        <w:ind w:firstLine="420"/>
        <w:spacing w:line="264"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银行账号：</w:t>
      </w:r>
      <w:r/>
    </w:p>
    <w:p>
      <w:pPr>
        <w:ind w:firstLine="420"/>
        <w:spacing w:line="264" w:lineRule="auto"/>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投标供应商授权代表（签字</w:t>
      </w:r>
      <w:r>
        <w:rPr>
          <w:rFonts w:hint="eastAsia" w:ascii="宋体" w:hAnsi="宋体" w:eastAsia="宋体" w:cs="宋体"/>
          <w:color w:val="auto"/>
          <w:szCs w:val="21"/>
          <w:highlight w:val="none"/>
        </w:rPr>
        <w:t xml:space="preserve">或盖章</w:t>
      </w:r>
      <w:r>
        <w:rPr>
          <w:rFonts w:hint="eastAsia" w:ascii="宋体" w:hAnsi="宋体" w:eastAsia="宋体" w:cs="宋体"/>
          <w:color w:val="auto"/>
          <w:szCs w:val="21"/>
          <w:highlight w:val="none"/>
          <w:lang w:val="zh-CN"/>
        </w:rPr>
        <w:t xml:space="preserve">）：</w:t>
      </w:r>
      <w:r/>
    </w:p>
    <w:p>
      <w:pPr>
        <w:ind w:firstLine="420"/>
        <w:spacing w:line="264"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投标供应商（</w:t>
      </w:r>
      <w:r>
        <w:rPr>
          <w:rFonts w:hint="eastAsia" w:ascii="宋体" w:hAnsi="宋体" w:eastAsia="宋体" w:cs="宋体"/>
          <w:color w:val="auto"/>
          <w:szCs w:val="21"/>
          <w:highlight w:val="none"/>
        </w:rPr>
        <w:t xml:space="preserve">盖章</w:t>
      </w:r>
      <w:r>
        <w:rPr>
          <w:rFonts w:hint="eastAsia" w:ascii="宋体" w:hAnsi="宋体" w:eastAsia="宋体" w:cs="宋体"/>
          <w:color w:val="auto"/>
          <w:szCs w:val="21"/>
          <w:highlight w:val="none"/>
          <w:lang w:val="zh-CN"/>
        </w:rPr>
        <w:t xml:space="preserve">）：</w:t>
      </w:r>
      <w:r/>
    </w:p>
    <w:p>
      <w:pPr>
        <w:pStyle w:val="990"/>
        <w:spacing w:line="264" w:lineRule="auto"/>
        <w:rPr>
          <w:rFonts w:hint="eastAsia" w:ascii="宋体" w:hAnsi="宋体" w:eastAsia="宋体" w:cs="宋体"/>
          <w:color w:val="auto"/>
          <w:highlight w:val="none"/>
        </w:rPr>
      </w:pPr>
      <w:r>
        <w:rPr>
          <w:rFonts w:hint="eastAsia" w:ascii="宋体" w:hAnsi="宋体" w:eastAsia="宋体" w:cs="宋体"/>
          <w:color w:val="auto"/>
          <w:szCs w:val="21"/>
          <w:highlight w:val="none"/>
          <w:lang w:val="zh-CN"/>
        </w:rPr>
        <w:t xml:space="preserve">日期：</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zh-CN"/>
        </w:rPr>
        <w:t xml:space="preserve">年</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zh-CN"/>
        </w:rPr>
        <w:t xml:space="preserve">月</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zh-CN"/>
        </w:rPr>
        <w:t xml:space="preserve">日</w:t>
      </w:r>
      <w:r/>
    </w:p>
    <w:p>
      <w:pPr>
        <w:pStyle w:val="990"/>
        <w:ind w:left="840" w:hanging="105"/>
        <w:spacing w:line="28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22"/>
        <w:rPr>
          <w:rFonts w:hint="eastAsia" w:ascii="宋体" w:hAnsi="宋体" w:eastAsia="宋体" w:cs="宋体"/>
          <w:b/>
          <w:color w:val="auto"/>
          <w:highlight w:val="none"/>
        </w:rPr>
      </w:pPr>
      <w:r>
        <w:rPr>
          <w:rFonts w:hint="eastAsia" w:ascii="宋体" w:hAnsi="宋体" w:eastAsia="宋体" w:cs="宋体"/>
          <w:b/>
          <w:color w:val="auto"/>
          <w:highlight w:val="none"/>
        </w:rPr>
      </w:r>
      <w:r/>
    </w:p>
    <w:p>
      <w:pPr>
        <w:ind w:firstLine="122"/>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br w:type="page" w:clear="all"/>
      </w:r>
      <w:r/>
    </w:p>
    <w:p>
      <w:pPr>
        <w:ind w:firstLine="122"/>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ind w:firstLine="122"/>
        <w:rPr>
          <w:rFonts w:hint="eastAsia" w:ascii="宋体" w:hAnsi="宋体" w:eastAsia="宋体" w:cs="宋体"/>
          <w:b/>
          <w:color w:val="auto"/>
          <w:highlight w:val="none"/>
        </w:rPr>
      </w:pPr>
      <w:r>
        <w:rPr>
          <w:rFonts w:hint="eastAsia" w:ascii="宋体" w:hAnsi="宋体" w:eastAsia="宋体" w:cs="宋体"/>
          <w:b/>
          <w:bCs/>
          <w:color w:val="auto"/>
          <w:highlight w:val="none"/>
        </w:rPr>
        <w:t xml:space="preserve">目录</w:t>
      </w:r>
      <w:r>
        <w:rPr>
          <w:rFonts w:hint="eastAsia" w:ascii="宋体" w:hAnsi="宋体" w:eastAsia="宋体" w:cs="宋体"/>
          <w:b/>
          <w:color w:val="auto"/>
          <w:highlight w:val="none"/>
        </w:rPr>
        <w:t xml:space="preserve">二、法定代表人授权书及委托代理人身份证文件的复印件</w:t>
      </w:r>
      <w:r/>
    </w:p>
    <w:p>
      <w:pPr>
        <w:ind w:firstLine="256"/>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ind w:firstLine="163"/>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法定代表人授权书</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致：南京市江宁区城市管理局</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本授权书声明：注册于</w:t>
      </w:r>
      <w:r>
        <w:rPr>
          <w:rFonts w:hint="eastAsia" w:ascii="宋体" w:hAnsi="宋体" w:eastAsia="宋体" w:cs="宋体"/>
          <w:color w:val="auto"/>
          <w:szCs w:val="21"/>
          <w:highlight w:val="none"/>
          <w:u w:val="single"/>
        </w:rPr>
        <w:t xml:space="preserve">（供应商住址）</w:t>
      </w:r>
      <w:r>
        <w:rPr>
          <w:rFonts w:hint="eastAsia" w:ascii="宋体" w:hAnsi="宋体" w:eastAsia="宋体" w:cs="宋体"/>
          <w:color w:val="auto"/>
          <w:szCs w:val="21"/>
          <w:highlight w:val="none"/>
        </w:rPr>
        <w:t xml:space="preserve">的</w:t>
      </w:r>
      <w:r>
        <w:rPr>
          <w:rFonts w:hint="eastAsia" w:ascii="宋体" w:hAnsi="宋体" w:eastAsia="宋体" w:cs="宋体"/>
          <w:color w:val="auto"/>
          <w:szCs w:val="21"/>
          <w:highlight w:val="none"/>
          <w:u w:val="single"/>
        </w:rPr>
        <w:t xml:space="preserve">（供应商名称）</w:t>
      </w:r>
      <w:r>
        <w:rPr>
          <w:rFonts w:hint="eastAsia" w:ascii="宋体" w:hAnsi="宋体" w:eastAsia="宋体" w:cs="宋体"/>
          <w:color w:val="auto"/>
          <w:szCs w:val="21"/>
          <w:highlight w:val="none"/>
        </w:rPr>
        <w:t xml:space="preserve">法定代表人</w:t>
      </w:r>
      <w:r>
        <w:rPr>
          <w:rFonts w:hint="eastAsia" w:ascii="宋体" w:hAnsi="宋体" w:eastAsia="宋体" w:cs="宋体"/>
          <w:color w:val="auto"/>
          <w:szCs w:val="21"/>
          <w:highlight w:val="none"/>
          <w:u w:val="single"/>
        </w:rPr>
        <w:t xml:space="preserve">（法定代表人姓名、职务）</w:t>
      </w:r>
      <w:r>
        <w:rPr>
          <w:rFonts w:hint="eastAsia" w:ascii="宋体" w:hAnsi="宋体" w:eastAsia="宋体" w:cs="宋体"/>
          <w:color w:val="auto"/>
          <w:szCs w:val="21"/>
          <w:highlight w:val="none"/>
        </w:rPr>
        <w:t xml:space="preserve">代表本公司授权在下面签字的</w:t>
      </w:r>
      <w:r>
        <w:rPr>
          <w:rFonts w:hint="eastAsia" w:ascii="宋体" w:hAnsi="宋体" w:eastAsia="宋体" w:cs="宋体"/>
          <w:color w:val="auto"/>
          <w:szCs w:val="21"/>
          <w:highlight w:val="none"/>
          <w:u w:val="single"/>
        </w:rPr>
        <w:t xml:space="preserve">（供应商代表姓名、职务）</w:t>
      </w:r>
      <w:r>
        <w:rPr>
          <w:rFonts w:hint="eastAsia" w:ascii="宋体" w:hAnsi="宋体" w:eastAsia="宋体" w:cs="宋体"/>
          <w:color w:val="auto"/>
          <w:szCs w:val="21"/>
          <w:highlight w:val="none"/>
        </w:rPr>
        <w:t xml:space="preserve">为本公司的合法代理人，就贵方组织的</w:t>
      </w:r>
      <w:r>
        <w:rPr>
          <w:rFonts w:hint="eastAsia" w:ascii="宋体" w:hAnsi="宋体" w:eastAsia="宋体" w:cs="宋体"/>
          <w:color w:val="auto"/>
          <w:szCs w:val="21"/>
          <w:highlight w:val="none"/>
          <w:u w:val="single"/>
        </w:rPr>
        <w:t xml:space="preserve">（项目名称）（项目编号）</w:t>
      </w:r>
      <w:r>
        <w:rPr>
          <w:rFonts w:hint="eastAsia" w:ascii="宋体" w:hAnsi="宋体" w:eastAsia="宋体" w:cs="宋体"/>
          <w:color w:val="auto"/>
          <w:szCs w:val="21"/>
          <w:highlight w:val="none"/>
        </w:rPr>
        <w:t xml:space="preserve">进行</w:t>
      </w:r>
      <w:r>
        <w:rPr>
          <w:rFonts w:hint="eastAsia" w:ascii="宋体" w:hAnsi="宋体" w:eastAsia="宋体" w:cs="宋体"/>
          <w:bCs/>
          <w:color w:val="auto"/>
          <w:szCs w:val="21"/>
          <w:highlight w:val="none"/>
        </w:rPr>
        <w:t xml:space="preserve">投标</w:t>
      </w:r>
      <w:r>
        <w:rPr>
          <w:rFonts w:hint="eastAsia" w:ascii="宋体" w:hAnsi="宋体" w:eastAsia="宋体" w:cs="宋体"/>
          <w:color w:val="auto"/>
          <w:szCs w:val="21"/>
          <w:highlight w:val="none"/>
        </w:rPr>
        <w:t xml:space="preserve">报价，以本公司名义处理一切与之有关的事务。</w:t>
      </w:r>
      <w:r/>
    </w:p>
    <w:p>
      <w:pPr>
        <w:ind w:firstLine="12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12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本授权书于年月日签字生效，特此声明。</w:t>
      </w:r>
      <w:r/>
    </w:p>
    <w:p>
      <w:pPr>
        <w:ind w:firstLine="122"/>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投标供应商（</w:t>
      </w:r>
      <w:r>
        <w:rPr>
          <w:rFonts w:hint="eastAsia" w:ascii="宋体" w:hAnsi="宋体" w:eastAsia="宋体" w:cs="宋体"/>
          <w:color w:val="auto"/>
          <w:highlight w:val="none"/>
          <w:lang w:val="zh-CN"/>
        </w:rPr>
        <w:t xml:space="preserve">盖</w:t>
      </w:r>
      <w:r>
        <w:rPr>
          <w:rFonts w:hint="eastAsia" w:ascii="宋体" w:hAnsi="宋体" w:eastAsia="宋体" w:cs="宋体"/>
          <w:color w:val="auto"/>
          <w:szCs w:val="21"/>
          <w:highlight w:val="none"/>
          <w:lang w:val="zh-CN"/>
        </w:rPr>
        <w:t xml:space="preserve">章）：</w:t>
      </w:r>
      <w:r/>
    </w:p>
    <w:p>
      <w:pPr>
        <w:ind w:firstLine="12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w:t>
      </w:r>
      <w:r>
        <w:rPr>
          <w:rFonts w:hint="eastAsia" w:ascii="宋体" w:hAnsi="宋体" w:eastAsia="宋体" w:cs="宋体"/>
          <w:color w:val="auto"/>
          <w:szCs w:val="21"/>
          <w:highlight w:val="none"/>
          <w:lang w:val="zh-CN"/>
        </w:rPr>
        <w:t xml:space="preserve">（签字</w:t>
      </w:r>
      <w:r>
        <w:rPr>
          <w:rFonts w:hint="eastAsia" w:ascii="宋体" w:hAnsi="宋体" w:eastAsia="宋体" w:cs="宋体"/>
          <w:color w:val="auto"/>
          <w:szCs w:val="21"/>
          <w:highlight w:val="none"/>
        </w:rPr>
        <w:t xml:space="preserve">或盖章</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w:t>
      </w:r>
      <w:r/>
    </w:p>
    <w:p>
      <w:pPr>
        <w:ind w:firstLine="12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被授权人</w:t>
      </w:r>
      <w:r>
        <w:rPr>
          <w:rFonts w:hint="eastAsia" w:ascii="宋体" w:hAnsi="宋体" w:eastAsia="宋体" w:cs="宋体"/>
          <w:color w:val="auto"/>
          <w:highlight w:val="none"/>
          <w:lang w:val="zh-CN"/>
        </w:rPr>
        <w:t xml:space="preserve">（签字</w:t>
      </w:r>
      <w:r>
        <w:rPr>
          <w:rFonts w:hint="eastAsia" w:ascii="宋体" w:hAnsi="宋体" w:eastAsia="宋体" w:cs="宋体"/>
          <w:color w:val="auto"/>
          <w:highlight w:val="none"/>
        </w:rPr>
        <w:t xml:space="preserve">或盖章</w:t>
      </w:r>
      <w:r>
        <w:rPr>
          <w:rFonts w:hint="eastAsia" w:ascii="宋体" w:hAnsi="宋体" w:eastAsia="宋体" w:cs="宋体"/>
          <w:color w:val="auto"/>
          <w:highlight w:val="none"/>
          <w:lang w:val="zh-CN"/>
        </w:rPr>
        <w:t xml:space="preserve">）</w:t>
      </w:r>
      <w:r>
        <w:rPr>
          <w:rFonts w:hint="eastAsia" w:ascii="宋体" w:hAnsi="宋体" w:eastAsia="宋体" w:cs="宋体"/>
          <w:color w:val="auto"/>
          <w:szCs w:val="21"/>
          <w:highlight w:val="none"/>
        </w:rPr>
        <w:t xml:space="preserve">：</w:t>
      </w:r>
      <w:r/>
    </w:p>
    <w:p>
      <w:pPr>
        <w:ind w:firstLine="12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p>
      <w:pPr>
        <w:ind w:firstLine="122"/>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22"/>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22"/>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22"/>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22"/>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法定代表人和</w:t>
      </w:r>
      <w:r>
        <w:rPr>
          <w:rFonts w:hint="eastAsia" w:ascii="宋体" w:hAnsi="宋体" w:eastAsia="宋体" w:cs="宋体"/>
          <w:color w:val="auto"/>
          <w:highlight w:val="none"/>
        </w:rPr>
        <w:t xml:space="preserve">委托代理人的身份证明文件的复印件：</w:t>
      </w:r>
      <w:r/>
    </w:p>
    <w:p>
      <w:pPr>
        <w:ind w:firstLine="122"/>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22"/>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22"/>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22"/>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22"/>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22"/>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22"/>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22"/>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22"/>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22"/>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22"/>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22"/>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22"/>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22"/>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22"/>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2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926"/>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widowControl/>
        <w:rPr>
          <w:rFonts w:hint="eastAsia" w:ascii="宋体" w:hAnsi="宋体" w:eastAsia="宋体" w:cs="宋体"/>
          <w:b/>
          <w:color w:val="auto"/>
          <w:szCs w:val="21"/>
          <w:highlight w:val="none"/>
          <w:lang w:val="zh-CN"/>
        </w:rPr>
      </w:pPr>
      <w:r>
        <w:rPr>
          <w:rFonts w:hint="eastAsia" w:ascii="宋体" w:hAnsi="宋体" w:eastAsia="宋体" w:cs="宋体"/>
          <w:b/>
          <w:bCs/>
          <w:color w:val="auto"/>
          <w:highlight w:val="none"/>
        </w:rPr>
        <w:t xml:space="preserve">目录</w:t>
      </w:r>
      <w:r>
        <w:rPr>
          <w:rFonts w:hint="eastAsia" w:ascii="宋体" w:hAnsi="宋体" w:eastAsia="宋体" w:cs="宋体"/>
          <w:b/>
          <w:color w:val="auto"/>
          <w:szCs w:val="21"/>
          <w:highlight w:val="none"/>
          <w:lang w:val="zh-CN"/>
        </w:rPr>
        <w:t xml:space="preserve">三、开标一览表</w:t>
      </w:r>
      <w:r/>
    </w:p>
    <w:p>
      <w:pPr>
        <w:jc w:val="center"/>
        <w:spacing w:line="240" w:lineRule="atLeast"/>
        <w:widowControl/>
        <w:rPr>
          <w:rFonts w:hint="eastAsia" w:ascii="宋体" w:hAnsi="宋体" w:eastAsia="宋体" w:cs="宋体"/>
          <w:color w:val="auto"/>
          <w:sz w:val="32"/>
          <w:szCs w:val="32"/>
          <w:highlight w:val="none"/>
          <w:lang w:val="zh-CN"/>
        </w:rPr>
        <w:outlineLvl w:val="0"/>
      </w:pPr>
      <w:r/>
      <w:bookmarkStart w:id="109" w:name="_Toc21106"/>
      <w:r/>
      <w:bookmarkStart w:id="110" w:name="_Toc4269"/>
      <w:r>
        <w:rPr>
          <w:rFonts w:hint="eastAsia" w:ascii="宋体" w:hAnsi="宋体" w:eastAsia="宋体" w:cs="宋体"/>
          <w:color w:val="auto"/>
          <w:sz w:val="32"/>
          <w:szCs w:val="32"/>
          <w:highlight w:val="none"/>
          <w:lang w:val="zh-CN"/>
        </w:rPr>
        <w:t xml:space="preserve">开标一览表</w:t>
      </w:r>
      <w:bookmarkEnd w:id="109"/>
      <w:r/>
      <w:bookmarkEnd w:id="110"/>
      <w:r/>
      <w:r/>
    </w:p>
    <w:p>
      <w:pPr>
        <w:spacing w:line="360" w:lineRule="auto"/>
        <w:rPr>
          <w:rFonts w:hint="eastAsia" w:ascii="宋体" w:hAnsi="宋体" w:eastAsia="宋体" w:cs="宋体"/>
          <w:bCs/>
          <w:color w:val="auto"/>
          <w:szCs w:val="20"/>
          <w:highlight w:val="none"/>
        </w:rPr>
      </w:pPr>
      <w:r>
        <w:rPr>
          <w:rFonts w:hint="eastAsia" w:ascii="宋体" w:hAnsi="宋体" w:eastAsia="宋体" w:cs="宋体"/>
          <w:bCs/>
          <w:color w:val="auto"/>
          <w:szCs w:val="20"/>
          <w:highlight w:val="none"/>
        </w:rPr>
        <w:t xml:space="preserve">项目编号：</w:t>
      </w:r>
      <w:r/>
    </w:p>
    <w:p>
      <w:pPr>
        <w:spacing w:line="360" w:lineRule="auto"/>
        <w:rPr>
          <w:rFonts w:hint="eastAsia" w:ascii="宋体" w:hAnsi="宋体" w:eastAsia="宋体" w:cs="宋体"/>
          <w:bCs/>
          <w:color w:val="auto"/>
          <w:szCs w:val="20"/>
          <w:highlight w:val="none"/>
        </w:rPr>
      </w:pPr>
      <w:r>
        <w:rPr>
          <w:rFonts w:hint="eastAsia" w:ascii="宋体" w:hAnsi="宋体" w:eastAsia="宋体" w:cs="宋体"/>
          <w:bCs/>
          <w:color w:val="auto"/>
          <w:szCs w:val="20"/>
          <w:highlight w:val="none"/>
        </w:rPr>
        <w:t xml:space="preserve">项目名称：</w:t>
      </w:r>
      <w:r/>
    </w:p>
    <w:tbl>
      <w:tblPr>
        <w:tblStyle w:val="923"/>
        <w:tblW w:w="9498"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58"/>
        <w:gridCol w:w="6840"/>
      </w:tblGrid>
      <w:tr>
        <w:trPr>
          <w:cantSplit/>
          <w:trHeight w:val="1230"/>
        </w:trPr>
        <w:tc>
          <w:tcPr>
            <w:tcW w:w="2658" w:type="dxa"/>
            <w:vAlign w:val="center"/>
            <w:textDirection w:val="lrTb"/>
            <w:noWrap w:val="false"/>
          </w:tcPr>
          <w:p>
            <w:pPr>
              <w:pStyle w:val="939"/>
              <w:jc w:val="center"/>
              <w:spacing w:after="156"/>
              <w:rPr>
                <w:rFonts w:hint="eastAsia" w:ascii="宋体" w:hAnsi="宋体" w:eastAsia="宋体" w:cs="宋体"/>
                <w:bCs/>
                <w:color w:val="auto"/>
                <w:highlight w:val="none"/>
                <w:lang w:eastAsia="zh-CN"/>
              </w:rPr>
            </w:pPr>
            <w:r>
              <w:rPr>
                <w:rFonts w:hint="eastAsia" w:eastAsia="宋体" w:cs="宋体"/>
                <w:color w:val="auto"/>
                <w:highlight w:val="none"/>
                <w:lang w:val="en-US" w:eastAsia="zh-CN"/>
              </w:rPr>
              <w:t xml:space="preserve">投标报价</w:t>
            </w:r>
            <w:r/>
          </w:p>
        </w:tc>
        <w:tc>
          <w:tcPr>
            <w:tcW w:w="6840" w:type="dxa"/>
            <w:vAlign w:val="center"/>
            <w:textDirection w:val="lrTb"/>
            <w:noWrap w:val="false"/>
          </w:tcPr>
          <w:p>
            <w:pPr>
              <w:pStyle w:val="939"/>
              <w:ind w:left="119"/>
              <w:keepLines w:val="0"/>
              <w:keepNext w:val="0"/>
              <w:pageBreakBefore w:val="0"/>
              <w:spacing w:after="156" w:line="360" w:lineRule="auto"/>
              <w:widowControl w:val="off"/>
              <w:rPr>
                <w:rFonts w:hint="eastAsia" w:ascii="宋体" w:hAnsi="宋体" w:eastAsia="宋体" w:cs="宋体"/>
                <w:bCs/>
                <w:color w:val="auto"/>
                <w:highlight w:val="none"/>
                <w:lang w:eastAsia="zh-CN"/>
              </w:rPr>
            </w:pPr>
            <w:r>
              <w:rPr>
                <w:rFonts w:hint="eastAsia" w:ascii="宋体" w:hAnsi="宋体" w:eastAsia="宋体" w:cs="宋体"/>
                <w:color w:val="auto"/>
                <w:szCs w:val="21"/>
                <w:highlight w:val="none"/>
              </w:rPr>
              <w:t xml:space="preserve">投标总报价</w:t>
            </w:r>
            <w:r>
              <w:rPr>
                <w:rFonts w:hint="eastAsia" w:ascii="宋体" w:hAnsi="宋体" w:eastAsia="宋体" w:cs="宋体"/>
                <w:color w:val="auto"/>
                <w:highlight w:val="none"/>
              </w:rPr>
              <w:t xml:space="preserve">为</w:t>
            </w:r>
            <w:r>
              <w:rPr>
                <w:rFonts w:hint="eastAsia" w:ascii="宋体" w:hAnsi="宋体" w:eastAsia="宋体" w:cs="宋体"/>
                <w:color w:val="auto"/>
                <w:highlight w:val="none"/>
                <w:u w:val="single"/>
              </w:rPr>
              <w:t xml:space="preserve"> </w:t>
            </w:r>
            <w:r>
              <w:rPr>
                <w:rFonts w:ascii="宋体" w:hAnsi="宋体" w:eastAsia="宋体" w:cs="宋体"/>
                <w:color w:val="auto"/>
                <w:highlight w:val="none"/>
                <w:u w:val="single"/>
              </w:rPr>
              <w:t xml:space="preserve">     </w:t>
            </w:r>
            <w:r>
              <w:rPr>
                <w:rFonts w:hint="eastAsia" w:ascii="宋体" w:hAnsi="宋体" w:eastAsia="宋体" w:cs="宋体"/>
                <w:color w:val="auto"/>
                <w:highlight w:val="none"/>
                <w:u w:val="none"/>
                <w:lang w:val="en-US" w:eastAsia="zh-CN"/>
              </w:rPr>
              <w:t xml:space="preserve">万</w:t>
            </w:r>
            <w:r>
              <w:rPr>
                <w:rFonts w:hint="eastAsia" w:ascii="宋体" w:hAnsi="宋体" w:eastAsia="宋体" w:cs="宋体"/>
                <w:color w:val="auto"/>
                <w:szCs w:val="21"/>
                <w:highlight w:val="none"/>
              </w:rPr>
              <w:t xml:space="preserve">元，</w:t>
            </w:r>
            <w:r>
              <w:rPr>
                <w:rFonts w:hint="eastAsia" w:ascii="宋体" w:hAnsi="宋体" w:eastAsia="宋体" w:cs="宋体"/>
                <w:bCs/>
                <w:color w:val="auto"/>
                <w:highlight w:val="none"/>
              </w:rPr>
              <w:t xml:space="preserve">其中：</w:t>
            </w:r>
            <w:r>
              <w:rPr>
                <w:rFonts w:hint="eastAsia" w:eastAsia="宋体" w:cs="宋体"/>
                <w:color w:val="auto"/>
                <w:szCs w:val="21"/>
                <w:highlight w:val="none"/>
                <w:lang w:eastAsia="zh-CN"/>
              </w:rPr>
              <w:t xml:space="preserve">园林绿化日常养护服务</w:t>
            </w:r>
            <w:r>
              <w:rPr>
                <w:rFonts w:hint="eastAsia" w:ascii="宋体" w:hAnsi="宋体" w:eastAsia="宋体" w:cs="宋体"/>
                <w:color w:val="auto"/>
                <w:highlight w:val="none"/>
              </w:rPr>
              <w:t xml:space="preserve">为</w:t>
            </w:r>
            <w:r>
              <w:rPr>
                <w:rFonts w:hint="eastAsia" w:ascii="宋体" w:hAnsi="宋体" w:eastAsia="宋体" w:cs="宋体"/>
                <w:color w:val="auto"/>
                <w:highlight w:val="none"/>
                <w:u w:val="single"/>
              </w:rPr>
              <w:t xml:space="preserve"> </w:t>
            </w:r>
            <w:r>
              <w:rPr>
                <w:rFonts w:ascii="宋体" w:hAnsi="宋体" w:eastAsia="宋体" w:cs="宋体"/>
                <w:color w:val="auto"/>
                <w:highlight w:val="none"/>
                <w:u w:val="single"/>
              </w:rPr>
              <w:t xml:space="preserve">   </w:t>
            </w:r>
            <w:r>
              <w:rPr>
                <w:rFonts w:hint="eastAsia" w:ascii="宋体" w:hAnsi="宋体" w:eastAsia="宋体" w:cs="宋体"/>
                <w:color w:val="auto"/>
                <w:highlight w:val="none"/>
                <w:u w:val="none"/>
                <w:lang w:val="en-US" w:eastAsia="zh-CN"/>
              </w:rPr>
              <w:t xml:space="preserve">万</w:t>
            </w:r>
            <w:r>
              <w:rPr>
                <w:rFonts w:hint="eastAsia" w:ascii="宋体" w:hAnsi="宋体" w:eastAsia="宋体" w:cs="宋体"/>
                <w:color w:val="auto"/>
                <w:szCs w:val="21"/>
                <w:highlight w:val="none"/>
              </w:rPr>
              <w:t xml:space="preserve">元，</w:t>
            </w:r>
            <w:r>
              <w:rPr>
                <w:rFonts w:hint="eastAsia" w:eastAsia="宋体" w:cs="宋体"/>
                <w:color w:val="auto"/>
                <w:highlight w:val="none"/>
                <w:lang w:eastAsia="zh-CN"/>
              </w:rPr>
              <w:t xml:space="preserve">维修专项</w:t>
            </w:r>
            <w:r>
              <w:rPr>
                <w:rFonts w:hint="eastAsia" w:ascii="宋体" w:hAnsi="宋体" w:eastAsia="宋体" w:cs="宋体"/>
                <w:color w:val="auto"/>
                <w:highlight w:val="none"/>
              </w:rPr>
              <w:t xml:space="preserve">为</w:t>
            </w:r>
            <w:r>
              <w:rPr>
                <w:rFonts w:hint="eastAsia" w:ascii="宋体" w:hAnsi="宋体" w:eastAsia="宋体" w:cs="宋体"/>
                <w:color w:val="auto"/>
                <w:highlight w:val="none"/>
                <w:u w:val="single"/>
              </w:rPr>
              <w:t xml:space="preserve"> </w:t>
            </w:r>
            <w:r>
              <w:rPr>
                <w:rFonts w:ascii="宋体" w:hAnsi="宋体" w:eastAsia="宋体" w:cs="宋体"/>
                <w:color w:val="auto"/>
                <w:highlight w:val="none"/>
                <w:u w:val="single"/>
              </w:rPr>
              <w:t xml:space="preserve"> </w:t>
            </w:r>
            <w:r>
              <w:rPr>
                <w:rFonts w:hint="eastAsia" w:eastAsia="宋体" w:cs="宋体"/>
                <w:color w:val="auto"/>
                <w:highlight w:val="none"/>
                <w:u w:val="single"/>
                <w:lang w:val="en-US" w:eastAsia="zh-CN"/>
              </w:rPr>
              <w:t xml:space="preserve"> </w:t>
            </w:r>
            <w:r>
              <w:rPr>
                <w:rFonts w:ascii="宋体" w:hAnsi="宋体" w:eastAsia="宋体" w:cs="宋体"/>
                <w:color w:val="auto"/>
                <w:highlight w:val="none"/>
                <w:u w:val="single"/>
              </w:rPr>
              <w:t xml:space="preserve">  </w:t>
            </w:r>
            <w:r>
              <w:rPr>
                <w:rFonts w:hint="eastAsia" w:ascii="宋体" w:hAnsi="宋体" w:eastAsia="宋体" w:cs="宋体"/>
                <w:color w:val="auto"/>
                <w:highlight w:val="none"/>
                <w:u w:val="none"/>
                <w:lang w:val="en-US" w:eastAsia="zh-CN"/>
              </w:rPr>
              <w:t xml:space="preserve">万</w:t>
            </w:r>
            <w:r>
              <w:rPr>
                <w:rFonts w:hint="eastAsia" w:ascii="宋体" w:hAnsi="宋体" w:eastAsia="宋体" w:cs="宋体"/>
                <w:color w:val="auto"/>
                <w:szCs w:val="21"/>
                <w:highlight w:val="none"/>
              </w:rPr>
              <w:t xml:space="preserve">元</w:t>
            </w:r>
            <w:r>
              <w:rPr>
                <w:rFonts w:hint="eastAsia" w:ascii="宋体" w:hAnsi="宋体" w:eastAsia="宋体" w:cs="宋体"/>
                <w:color w:val="auto"/>
                <w:highlight w:val="none"/>
                <w:lang w:eastAsia="zh-CN"/>
              </w:rPr>
              <w:t xml:space="preserve">，</w:t>
            </w:r>
            <w:r>
              <w:rPr>
                <w:rFonts w:hint="eastAsia" w:eastAsia="宋体" w:cs="宋体"/>
                <w:color w:val="auto"/>
                <w:highlight w:val="none"/>
                <w:lang w:eastAsia="zh-CN"/>
              </w:rPr>
              <w:t xml:space="preserve">维修专项</w:t>
            </w:r>
            <w:r>
              <w:rPr>
                <w:rFonts w:hint="eastAsia" w:ascii="宋体" w:hAnsi="宋体" w:eastAsia="宋体" w:cs="宋体"/>
                <w:color w:val="auto"/>
                <w:highlight w:val="none"/>
                <w:lang w:eastAsia="zh-CN"/>
              </w:rPr>
              <w:t xml:space="preserve">折扣率为</w:t>
            </w:r>
            <w:r>
              <w:rPr>
                <w:rFonts w:hint="eastAsia" w:ascii="宋体" w:hAnsi="宋体" w:eastAsia="宋体" w:cs="宋体"/>
                <w:color w:val="auto"/>
                <w:highlight w:val="none"/>
                <w:u w:val="single"/>
                <w:lang w:eastAsia="zh-CN"/>
              </w:rPr>
              <w:t xml:space="preserve">      </w:t>
            </w:r>
            <w:r>
              <w:rPr>
                <w:rFonts w:hint="eastAsia" w:ascii="宋体" w:hAnsi="宋体" w:eastAsia="宋体" w:cs="宋体"/>
                <w:color w:val="auto"/>
                <w:highlight w:val="none"/>
                <w:lang w:eastAsia="zh-CN"/>
              </w:rPr>
              <w:t xml:space="preserve">%</w:t>
            </w:r>
            <w:r>
              <w:rPr>
                <w:rFonts w:ascii="宋体" w:hAnsi="宋体" w:cs="宋体"/>
                <w:bCs/>
                <w:color w:val="auto"/>
                <w:highlight w:val="none"/>
              </w:rPr>
              <w:t xml:space="preserve">  </w:t>
            </w:r>
            <w:r>
              <w:rPr>
                <w:rFonts w:hint="eastAsia" w:ascii="宋体" w:hAnsi="宋体" w:eastAsia="宋体" w:cs="宋体"/>
                <w:bCs/>
                <w:color w:val="auto"/>
                <w:highlight w:val="none"/>
                <w:lang w:eastAsia="zh-CN"/>
              </w:rPr>
              <w:t xml:space="preserve">     </w:t>
            </w:r>
            <w:r/>
          </w:p>
        </w:tc>
      </w:tr>
      <w:tr>
        <w:trPr>
          <w:trHeight w:val="682"/>
        </w:trPr>
        <w:tc>
          <w:tcPr>
            <w:tcW w:w="2658" w:type="dxa"/>
            <w:vAlign w:val="center"/>
            <w:textDirection w:val="lrTb"/>
            <w:noWrap w:val="false"/>
          </w:tcPr>
          <w:p>
            <w:pPr>
              <w:pStyle w:val="939"/>
              <w:jc w:val="center"/>
              <w:spacing w:after="156"/>
              <w:rPr>
                <w:rFonts w:hint="eastAsia" w:ascii="宋体" w:hAnsi="宋体" w:eastAsia="宋体" w:cs="宋体"/>
                <w:bCs/>
                <w:color w:val="auto"/>
                <w:highlight w:val="none"/>
                <w:lang w:eastAsia="zh-CN"/>
              </w:rPr>
            </w:pPr>
            <w:r>
              <w:rPr>
                <w:rFonts w:hint="eastAsia" w:ascii="宋体" w:hAnsi="宋体" w:eastAsia="宋体" w:cs="宋体"/>
                <w:bCs/>
                <w:color w:val="auto"/>
                <w:highlight w:val="none"/>
                <w:lang w:eastAsia="zh-CN"/>
              </w:rPr>
              <w:t xml:space="preserve">投标标的是否全部由小微企业提供</w:t>
            </w:r>
            <w:r/>
          </w:p>
        </w:tc>
        <w:tc>
          <w:tcPr>
            <w:tcW w:w="6840" w:type="dxa"/>
            <w:vAlign w:val="center"/>
            <w:textDirection w:val="lrTb"/>
            <w:noWrap w:val="false"/>
          </w:tcPr>
          <w:p>
            <w:pPr>
              <w:pStyle w:val="939"/>
              <w:ind w:left="0" w:firstLine="1890"/>
              <w:spacing w:after="156"/>
              <w:rPr>
                <w:rFonts w:hint="eastAsia" w:ascii="宋体" w:hAnsi="宋体" w:eastAsia="宋体" w:cs="宋体"/>
                <w:bCs/>
                <w:color w:val="auto"/>
                <w:highlight w:val="none"/>
                <w:lang w:eastAsia="zh-CN"/>
              </w:rPr>
            </w:pPr>
            <w:r>
              <w:rPr>
                <w:rFonts w:hint="eastAsia" w:ascii="宋体" w:hAnsi="宋体" w:eastAsia="宋体" w:cs="宋体"/>
                <w:color w:val="auto"/>
                <w:highlight w:val="none"/>
                <w:lang w:eastAsia="zh-CN"/>
              </w:rPr>
              <w:t xml:space="preserve">（填写“是”或“否）</w:t>
            </w:r>
            <w:r/>
          </w:p>
        </w:tc>
      </w:tr>
      <w:tr>
        <w:trPr>
          <w:trHeight w:val="1206"/>
        </w:trPr>
        <w:tc>
          <w:tcPr>
            <w:tcW w:w="2658" w:type="dxa"/>
            <w:vAlign w:val="center"/>
            <w:textDirection w:val="lrTb"/>
            <w:noWrap w:val="false"/>
          </w:tcPr>
          <w:p>
            <w:pPr>
              <w:pStyle w:val="939"/>
              <w:jc w:val="center"/>
              <w:spacing w:after="156"/>
              <w:rPr>
                <w:rFonts w:hint="eastAsia" w:ascii="宋体" w:hAnsi="宋体" w:eastAsia="宋体" w:cs="宋体"/>
                <w:bCs/>
                <w:color w:val="auto"/>
                <w:highlight w:val="none"/>
                <w:lang w:eastAsia="zh-CN"/>
              </w:rPr>
            </w:pPr>
            <w:r>
              <w:rPr>
                <w:rFonts w:hint="eastAsia" w:ascii="宋体" w:hAnsi="宋体" w:eastAsia="宋体" w:cs="宋体"/>
                <w:bCs/>
                <w:color w:val="auto"/>
                <w:highlight w:val="none"/>
                <w:lang w:eastAsia="zh-CN"/>
              </w:rPr>
              <w:t xml:space="preserve">合同履行期限</w:t>
            </w:r>
            <w:r/>
          </w:p>
        </w:tc>
        <w:tc>
          <w:tcPr>
            <w:tcW w:w="6840" w:type="dxa"/>
            <w:vAlign w:val="center"/>
            <w:textDirection w:val="lrTb"/>
            <w:noWrap w:val="false"/>
          </w:tcPr>
          <w:p>
            <w:pPr>
              <w:pStyle w:val="939"/>
              <w:ind w:left="0"/>
              <w:spacing w:after="156"/>
              <w:rPr>
                <w:rFonts w:hint="eastAsia" w:ascii="宋体" w:hAnsi="宋体" w:eastAsia="宋体" w:cs="宋体"/>
                <w:color w:val="auto"/>
                <w:highlight w:val="none"/>
                <w:lang w:val="zh-CN" w:eastAsia="zh-CN"/>
              </w:rPr>
            </w:pPr>
            <w:r>
              <w:rPr>
                <w:rFonts w:hint="eastAsia" w:ascii="宋体" w:hAnsi="宋体" w:eastAsia="宋体" w:cs="宋体"/>
                <w:color w:val="auto"/>
                <w:sz w:val="21"/>
                <w:szCs w:val="21"/>
                <w:highlight w:val="none"/>
              </w:rPr>
              <w:t xml:space="preserve">合同期限为一年。其中：前两个月为试用期，试用期满经采购人考核合格后，合同方为有效。如考核不合格，采购人将终止与中标供应商的服务合同，但中标供应商必须保证采购人各项正常服务，直至下一中标供应商到位方可撤离，期间所产生的费用按试用期合同支付。</w:t>
            </w:r>
            <w:r/>
          </w:p>
        </w:tc>
      </w:tr>
      <w:tr>
        <w:trPr>
          <w:trHeight w:val="844"/>
        </w:trPr>
        <w:tc>
          <w:tcPr>
            <w:tcW w:w="2658" w:type="dxa"/>
            <w:vAlign w:val="center"/>
            <w:textDirection w:val="lrTb"/>
            <w:noWrap w:val="false"/>
          </w:tcPr>
          <w:p>
            <w:pPr>
              <w:pStyle w:val="939"/>
              <w:jc w:val="center"/>
              <w:spacing w:after="156"/>
              <w:rPr>
                <w:rFonts w:hint="eastAsia" w:ascii="宋体" w:hAnsi="宋体" w:eastAsia="宋体" w:cs="宋体"/>
                <w:bCs/>
                <w:color w:val="auto"/>
                <w:highlight w:val="none"/>
                <w:lang w:eastAsia="zh-CN"/>
              </w:rPr>
            </w:pPr>
            <w:r>
              <w:rPr>
                <w:rFonts w:hint="eastAsia" w:ascii="宋体" w:hAnsi="宋体" w:eastAsia="宋体" w:cs="宋体"/>
                <w:bCs/>
                <w:color w:val="auto"/>
                <w:highlight w:val="none"/>
                <w:lang w:eastAsia="zh-CN"/>
              </w:rPr>
              <w:t xml:space="preserve">其它</w:t>
            </w:r>
            <w:r/>
          </w:p>
        </w:tc>
        <w:tc>
          <w:tcPr>
            <w:tcW w:w="6840" w:type="dxa"/>
            <w:vAlign w:val="center"/>
            <w:textDirection w:val="lrTb"/>
            <w:noWrap w:val="false"/>
          </w:tcPr>
          <w:p>
            <w:pPr>
              <w:pStyle w:val="939"/>
              <w:spacing w:after="156"/>
              <w:rPr>
                <w:rFonts w:hint="eastAsia" w:ascii="宋体" w:hAnsi="宋体" w:eastAsia="宋体" w:cs="宋体"/>
                <w:bCs/>
                <w:color w:val="auto"/>
                <w:highlight w:val="none"/>
                <w:lang w:eastAsia="zh-CN"/>
              </w:rPr>
            </w:pPr>
            <w:r>
              <w:rPr>
                <w:rFonts w:hint="eastAsia" w:ascii="宋体" w:hAnsi="宋体" w:eastAsia="宋体" w:cs="宋体"/>
                <w:color w:val="auto"/>
                <w:highlight w:val="none"/>
                <w:lang w:val="zh-CN" w:eastAsia="zh-CN"/>
              </w:rPr>
              <w:t xml:space="preserve">（如有优惠条件须在此注明）</w:t>
            </w:r>
            <w:r/>
          </w:p>
        </w:tc>
      </w:tr>
    </w:tbl>
    <w:p>
      <w:pPr>
        <w:pStyle w:val="939"/>
        <w:ind w:left="119" w:firstLine="482"/>
        <w:spacing w:line="360" w:lineRule="auto"/>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t xml:space="preserve">投标供应商（盖章）：</w:t>
      </w:r>
      <w:r/>
    </w:p>
    <w:p>
      <w:pPr>
        <w:pStyle w:val="939"/>
        <w:ind w:left="119" w:firstLine="482"/>
        <w:jc w:val="both"/>
        <w:spacing w:line="360" w:lineRule="auto"/>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t xml:space="preserve">授权代表（签字</w:t>
      </w:r>
      <w:r>
        <w:rPr>
          <w:rFonts w:hint="eastAsia" w:ascii="宋体" w:hAnsi="宋体" w:eastAsia="宋体" w:cs="宋体"/>
          <w:color w:val="auto"/>
          <w:highlight w:val="none"/>
          <w:lang w:eastAsia="zh-CN"/>
        </w:rPr>
        <w:t xml:space="preserve">或盖章</w:t>
      </w:r>
      <w:r>
        <w:rPr>
          <w:rFonts w:hint="eastAsia" w:ascii="宋体" w:hAnsi="宋体" w:eastAsia="宋体" w:cs="宋体"/>
          <w:color w:val="auto"/>
          <w:highlight w:val="none"/>
          <w:lang w:val="zh-CN" w:eastAsia="zh-CN"/>
        </w:rPr>
        <w:t xml:space="preserve">）：</w:t>
      </w:r>
      <w:r/>
    </w:p>
    <w:p>
      <w:pPr>
        <w:pStyle w:val="939"/>
        <w:ind w:left="119" w:firstLine="482"/>
        <w:jc w:val="both"/>
        <w:spacing w:line="360" w:lineRule="auto"/>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t xml:space="preserve">日期：</w:t>
      </w:r>
      <w:r>
        <w:rPr>
          <w:rFonts w:hint="eastAsia" w:ascii="宋体" w:hAnsi="宋体" w:eastAsia="宋体" w:cs="宋体"/>
          <w:color w:val="auto"/>
          <w:highlight w:val="none"/>
          <w:lang w:eastAsia="zh-CN"/>
        </w:rPr>
        <w:t xml:space="preserve"> </w:t>
      </w:r>
      <w:r>
        <w:rPr>
          <w:rFonts w:hint="eastAsia" w:ascii="宋体" w:hAnsi="宋体" w:eastAsia="宋体" w:cs="宋体"/>
          <w:color w:val="auto"/>
          <w:highlight w:val="none"/>
          <w:lang w:val="zh-CN" w:eastAsia="zh-CN"/>
        </w:rPr>
        <w:t xml:space="preserve">年</w:t>
      </w:r>
      <w:r>
        <w:rPr>
          <w:rFonts w:hint="eastAsia" w:ascii="宋体" w:hAnsi="宋体" w:eastAsia="宋体" w:cs="宋体"/>
          <w:color w:val="auto"/>
          <w:highlight w:val="none"/>
          <w:lang w:eastAsia="zh-CN"/>
        </w:rPr>
        <w:t xml:space="preserve"> </w:t>
      </w:r>
      <w:r>
        <w:rPr>
          <w:rFonts w:hint="eastAsia" w:ascii="宋体" w:hAnsi="宋体" w:eastAsia="宋体" w:cs="宋体"/>
          <w:color w:val="auto"/>
          <w:highlight w:val="none"/>
          <w:lang w:val="zh-CN" w:eastAsia="zh-CN"/>
        </w:rPr>
        <w:t xml:space="preserve">月</w:t>
      </w:r>
      <w:r>
        <w:rPr>
          <w:rFonts w:hint="eastAsia" w:ascii="宋体" w:hAnsi="宋体" w:eastAsia="宋体" w:cs="宋体"/>
          <w:color w:val="auto"/>
          <w:highlight w:val="none"/>
          <w:lang w:eastAsia="zh-CN"/>
        </w:rPr>
        <w:t xml:space="preserve"> </w:t>
      </w:r>
      <w:r>
        <w:rPr>
          <w:rFonts w:hint="eastAsia" w:ascii="宋体" w:hAnsi="宋体" w:eastAsia="宋体" w:cs="宋体"/>
          <w:color w:val="auto"/>
          <w:highlight w:val="none"/>
          <w:lang w:val="zh-CN" w:eastAsia="zh-CN"/>
        </w:rPr>
        <w:t xml:space="preserve">日</w:t>
      </w:r>
      <w:r/>
    </w:p>
    <w:p>
      <w:pPr>
        <w:ind w:firstLine="400"/>
        <w:spacing w:line="360" w:lineRule="auto"/>
        <w:rPr>
          <w:rFonts w:hint="eastAsia" w:ascii="宋体" w:hAnsi="宋体" w:eastAsia="宋体" w:cs="宋体"/>
          <w:color w:val="auto"/>
          <w:sz w:val="20"/>
          <w:szCs w:val="20"/>
          <w:highlight w:val="none"/>
          <w:lang w:val="zh-CN"/>
        </w:rPr>
      </w:pPr>
      <w:r>
        <w:rPr>
          <w:rFonts w:hint="eastAsia" w:ascii="宋体" w:hAnsi="宋体" w:eastAsia="宋体" w:cs="宋体"/>
          <w:color w:val="auto"/>
          <w:sz w:val="20"/>
          <w:szCs w:val="20"/>
          <w:highlight w:val="none"/>
          <w:lang w:val="zh-CN"/>
        </w:rPr>
        <w:t xml:space="preserve">说明:</w:t>
      </w:r>
      <w:r/>
    </w:p>
    <w:p>
      <w:pPr>
        <w:ind w:firstLine="400"/>
        <w:spacing w:line="360" w:lineRule="auto"/>
        <w:rPr>
          <w:rFonts w:hint="eastAsia" w:ascii="宋体" w:hAnsi="宋体" w:eastAsia="宋体" w:cs="宋体"/>
          <w:color w:val="auto"/>
          <w:sz w:val="20"/>
          <w:szCs w:val="20"/>
          <w:highlight w:val="none"/>
          <w:lang w:val="zh-CN"/>
        </w:rPr>
      </w:pPr>
      <w:r>
        <w:rPr>
          <w:rFonts w:hint="eastAsia" w:ascii="宋体" w:hAnsi="宋体" w:eastAsia="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lang w:val="zh-CN"/>
        </w:rPr>
        <w:t xml:space="preserve">对每一项服务仅接受一个价格，不得填报有选择性报价方案。若有优惠条款须注明，但不得影响报价，影响产品整体功能。</w:t>
      </w:r>
      <w:r/>
    </w:p>
    <w:p>
      <w:pPr>
        <w:ind w:firstLine="400"/>
        <w:spacing w:line="360" w:lineRule="auto"/>
        <w:rPr>
          <w:rFonts w:hint="eastAsia" w:ascii="宋体" w:hAnsi="宋体" w:eastAsia="宋体" w:cs="宋体"/>
          <w:color w:val="auto"/>
          <w:sz w:val="20"/>
          <w:szCs w:val="20"/>
          <w:highlight w:val="none"/>
          <w:lang w:val="zh-CN"/>
        </w:rPr>
      </w:pPr>
      <w:r>
        <w:rPr>
          <w:rFonts w:hint="eastAsia" w:ascii="宋体" w:hAnsi="宋体" w:eastAsia="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lang w:val="zh-CN"/>
        </w:rPr>
        <w:t xml:space="preserve">“投标标的是否全部由小微企业提供”栏内填写“是”或“否”。如填写“是”，投标人应按招标文件要求提供《中小企业声明函》、《残疾人福利性单位声明函》、《属于监狱企业的证明文件》。如未按要求提供、填写，或相关内容表述不清前后矛盾的，不享受价格扣除。</w:t>
      </w:r>
      <w:r/>
    </w:p>
    <w:p>
      <w:pPr>
        <w:ind w:firstLine="400"/>
        <w:spacing w:line="360" w:lineRule="auto"/>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3.园林绿化日常养护服务：按采购文件要求总价包干，</w:t>
      </w:r>
      <w:r>
        <w:rPr>
          <w:rFonts w:hint="eastAsia" w:ascii="宋体" w:hAnsi="宋体"/>
          <w:b w:val="0"/>
          <w:bCs w:val="0"/>
          <w:color w:val="auto"/>
          <w:szCs w:val="22"/>
          <w:highlight w:val="none"/>
          <w:lang w:val="en-US" w:eastAsia="zh-CN"/>
        </w:rPr>
        <w:t xml:space="preserve">所有管养面积、道路长度等可能存在测量误差，本报价必须充分考虑所有可能影响到报价的价格因素，一旦投标结束最终成交，园林绿化日常养护服务费用将包定，合同期内不予调整。如发生漏、缺、少项，都将被认为是中标人的报价让利行为。</w:t>
      </w:r>
      <w:r/>
    </w:p>
    <w:p>
      <w:pPr>
        <w:ind w:firstLine="400"/>
        <w:spacing w:line="360" w:lineRule="auto"/>
        <w:rPr>
          <w:rFonts w:hint="eastAsia"/>
          <w:color w:val="auto"/>
          <w:highlight w:val="none"/>
          <w:lang w:val="zh-CN"/>
        </w:rPr>
      </w:pPr>
      <w:r>
        <w:rPr>
          <w:rFonts w:hint="eastAsia" w:ascii="宋体" w:hAnsi="宋体" w:eastAsia="宋体" w:cs="宋体"/>
          <w:color w:val="auto"/>
          <w:sz w:val="20"/>
          <w:szCs w:val="20"/>
          <w:highlight w:val="none"/>
          <w:lang w:val="en-US" w:eastAsia="zh-CN"/>
        </w:rPr>
        <w:t xml:space="preserve">4.维修专项：按折扣率方式报价，</w:t>
      </w:r>
      <w:r>
        <w:rPr>
          <w:rFonts w:hint="eastAsia" w:ascii="宋体" w:hAnsi="宋体"/>
          <w:color w:val="auto"/>
          <w:szCs w:val="22"/>
          <w:highlight w:val="none"/>
          <w:lang w:eastAsia="zh-CN"/>
        </w:rPr>
        <w:t xml:space="preserve">折扣率</w:t>
      </w:r>
      <w:r>
        <w:rPr>
          <w:rFonts w:ascii="宋体" w:hAnsi="宋体"/>
          <w:color w:val="auto"/>
          <w:szCs w:val="22"/>
          <w:highlight w:val="none"/>
        </w:rPr>
        <w:t xml:space="preserve">=维护专项资金投标价/控制价（</w:t>
      </w:r>
      <w:r>
        <w:rPr>
          <w:rFonts w:hint="eastAsia" w:ascii="宋体" w:hAnsi="宋体"/>
          <w:color w:val="auto"/>
          <w:szCs w:val="22"/>
          <w:highlight w:val="none"/>
          <w:lang w:val="en-US" w:eastAsia="zh-CN"/>
        </w:rPr>
        <w:t xml:space="preserve">2</w:t>
      </w:r>
      <w:r>
        <w:rPr>
          <w:rFonts w:ascii="宋体" w:hAnsi="宋体"/>
          <w:color w:val="auto"/>
          <w:szCs w:val="22"/>
          <w:highlight w:val="none"/>
        </w:rPr>
        <w:t xml:space="preserve">00万元），</w:t>
      </w:r>
      <w:r>
        <w:rPr>
          <w:rFonts w:ascii="宋体" w:hAnsi="宋体"/>
          <w:b/>
          <w:bCs/>
          <w:color w:val="auto"/>
          <w:szCs w:val="22"/>
          <w:highlight w:val="none"/>
        </w:rPr>
        <w:t xml:space="preserve">维护专项资金投标价最高不超过</w:t>
      </w:r>
      <w:r>
        <w:rPr>
          <w:rFonts w:hint="eastAsia" w:ascii="宋体" w:hAnsi="宋体"/>
          <w:b/>
          <w:bCs/>
          <w:color w:val="auto"/>
          <w:szCs w:val="22"/>
          <w:highlight w:val="none"/>
          <w:lang w:val="en-US" w:eastAsia="zh-CN"/>
        </w:rPr>
        <w:t xml:space="preserve">2</w:t>
      </w:r>
      <w:r>
        <w:rPr>
          <w:rFonts w:ascii="宋体" w:hAnsi="宋体"/>
          <w:b/>
          <w:bCs/>
          <w:color w:val="auto"/>
          <w:szCs w:val="22"/>
          <w:highlight w:val="none"/>
        </w:rPr>
        <w:t xml:space="preserve">00万，</w:t>
      </w:r>
      <w:r>
        <w:rPr>
          <w:rFonts w:hint="eastAsia" w:ascii="宋体" w:hAnsi="宋体"/>
          <w:b/>
          <w:bCs/>
          <w:color w:val="auto"/>
          <w:szCs w:val="22"/>
          <w:highlight w:val="none"/>
        </w:rPr>
        <w:t xml:space="preserve">超过</w:t>
      </w:r>
      <w:r>
        <w:rPr>
          <w:rFonts w:hint="eastAsia" w:ascii="宋体" w:hAnsi="宋体"/>
          <w:b/>
          <w:bCs/>
          <w:color w:val="auto"/>
          <w:szCs w:val="22"/>
          <w:highlight w:val="none"/>
          <w:lang w:val="en-US" w:eastAsia="zh-CN"/>
        </w:rPr>
        <w:t xml:space="preserve">2</w:t>
      </w:r>
      <w:r>
        <w:rPr>
          <w:rFonts w:hint="eastAsia" w:ascii="宋体" w:hAnsi="宋体"/>
          <w:b/>
          <w:bCs/>
          <w:color w:val="auto"/>
          <w:szCs w:val="22"/>
          <w:highlight w:val="none"/>
        </w:rPr>
        <w:t xml:space="preserve">00万做无效投标处理</w:t>
      </w:r>
      <w:r>
        <w:rPr>
          <w:rFonts w:hint="eastAsia" w:ascii="宋体" w:hAnsi="宋体" w:eastAsia="宋体"/>
          <w:b/>
          <w:bCs/>
          <w:color w:val="auto"/>
          <w:szCs w:val="22"/>
          <w:highlight w:val="none"/>
          <w:lang w:val="en-US" w:eastAsia="zh-CN"/>
        </w:rPr>
        <w:t xml:space="preserve">。</w:t>
      </w:r>
      <w:r>
        <w:rPr>
          <w:rFonts w:ascii="宋体" w:hAnsi="宋体"/>
          <w:color w:val="auto"/>
          <w:szCs w:val="22"/>
          <w:highlight w:val="none"/>
        </w:rPr>
        <w:t xml:space="preserve">最终结算金额以实际发生量及审计结果为准，按实结算</w:t>
      </w:r>
      <w:r>
        <w:rPr>
          <w:rFonts w:hint="eastAsia" w:ascii="宋体" w:hAnsi="宋体" w:eastAsia="宋体"/>
          <w:color w:val="auto"/>
          <w:szCs w:val="22"/>
          <w:highlight w:val="none"/>
          <w:lang w:eastAsia="zh-CN"/>
        </w:rPr>
        <w:t xml:space="preserve">。</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br w:type="page" w:clear="all"/>
      </w:r>
      <w:r/>
    </w:p>
    <w:p>
      <w:pPr>
        <w:rPr>
          <w:rFonts w:hint="eastAsia" w:ascii="宋体" w:hAnsi="宋体" w:eastAsia="宋体" w:cs="宋体"/>
          <w:b/>
          <w:color w:val="auto"/>
          <w:highlight w:val="none"/>
        </w:rPr>
      </w:pPr>
      <w:r>
        <w:rPr>
          <w:rFonts w:hint="eastAsia" w:ascii="宋体" w:hAnsi="宋体" w:eastAsia="宋体" w:cs="宋体"/>
          <w:b/>
          <w:bCs/>
          <w:color w:val="auto"/>
          <w:highlight w:val="none"/>
        </w:rPr>
        <w:t xml:space="preserve">目录四</w:t>
      </w:r>
      <w:r>
        <w:rPr>
          <w:rFonts w:hint="eastAsia" w:ascii="宋体" w:hAnsi="宋体" w:eastAsia="宋体" w:cs="宋体"/>
          <w:b/>
          <w:color w:val="auto"/>
          <w:highlight w:val="none"/>
        </w:rPr>
        <w:t xml:space="preserve">、投标分项报价表</w:t>
      </w:r>
      <w:r/>
    </w:p>
    <w:p>
      <w:pPr>
        <w:jc w:val="center"/>
        <w:spacing w:line="240" w:lineRule="atLeast"/>
        <w:widowControl/>
        <w:rPr>
          <w:rFonts w:hint="eastAsia" w:ascii="宋体" w:hAnsi="宋体" w:eastAsia="宋体" w:cs="宋体"/>
          <w:b/>
          <w:bCs/>
          <w:color w:val="auto"/>
          <w:sz w:val="32"/>
          <w:szCs w:val="32"/>
          <w:highlight w:val="none"/>
          <w:lang w:val="zh-CN"/>
        </w:rPr>
        <w:outlineLvl w:val="0"/>
      </w:pPr>
      <w:r/>
      <w:bookmarkStart w:id="111" w:name="_Toc9401"/>
      <w:r/>
      <w:bookmarkStart w:id="112" w:name="_Toc4983"/>
      <w:r>
        <w:rPr>
          <w:rFonts w:hint="eastAsia" w:ascii="宋体" w:hAnsi="宋体" w:eastAsia="宋体" w:cs="宋体"/>
          <w:b/>
          <w:bCs/>
          <w:color w:val="auto"/>
          <w:sz w:val="32"/>
          <w:szCs w:val="32"/>
          <w:highlight w:val="none"/>
          <w:lang w:val="zh-CN"/>
        </w:rPr>
        <w:t xml:space="preserve">分项报价表</w:t>
      </w:r>
      <w:bookmarkEnd w:id="111"/>
      <w:r/>
      <w:bookmarkEnd w:id="112"/>
      <w:r/>
      <w:r/>
    </w:p>
    <w:tbl>
      <w:tblPr>
        <w:tblStyle w:val="923"/>
        <w:tblW w:w="93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4"/>
        <w:gridCol w:w="1185"/>
        <w:gridCol w:w="2214"/>
        <w:gridCol w:w="1347"/>
        <w:gridCol w:w="978"/>
        <w:gridCol w:w="1316"/>
        <w:gridCol w:w="1361"/>
      </w:tblGrid>
      <w:tr>
        <w:trPr>
          <w:jc w:val="center"/>
          <w:trHeight w:val="692"/>
          <w:tblHeader/>
        </w:trPr>
        <w:tc>
          <w:tcPr>
            <w:gridSpan w:val="7"/>
            <w:tcW w:w="930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b/>
                <w:color w:val="auto"/>
                <w:sz w:val="21"/>
                <w:szCs w:val="21"/>
                <w:highlight w:val="none"/>
              </w:rPr>
            </w:pPr>
            <w:r>
              <w:rPr>
                <w:rFonts w:hint="eastAsia" w:ascii="宋体" w:hAnsi="宋体" w:eastAsia="宋体" w:cs="宋体"/>
                <w:b/>
                <w:bCs/>
                <w:color w:val="auto"/>
                <w:szCs w:val="21"/>
                <w:highlight w:val="none"/>
                <w:lang w:val="en-US" w:eastAsia="zh-CN"/>
              </w:rPr>
              <w:t xml:space="preserve">一、</w:t>
            </w:r>
            <w:r>
              <w:rPr>
                <w:rFonts w:hint="eastAsia" w:ascii="宋体" w:hAnsi="宋体" w:eastAsia="宋体" w:cs="宋体"/>
                <w:b/>
                <w:bCs/>
                <w:color w:val="auto"/>
                <w:szCs w:val="21"/>
                <w:highlight w:val="none"/>
                <w:lang w:eastAsia="zh-CN"/>
              </w:rPr>
              <w:t xml:space="preserve">园林绿化日常养护服务</w:t>
            </w:r>
            <w:r/>
          </w:p>
        </w:tc>
      </w:tr>
      <w:tr>
        <w:trPr>
          <w:jc w:val="center"/>
          <w:trHeight w:val="340"/>
          <w:tblHeader/>
        </w:trPr>
        <w:tc>
          <w:tcPr>
            <w:tcW w:w="90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W w:w="118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类别</w:t>
            </w:r>
            <w:r/>
          </w:p>
        </w:tc>
        <w:tc>
          <w:tcPr>
            <w:tcW w:w="22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设施种类</w:t>
            </w:r>
            <w:r/>
          </w:p>
        </w:tc>
        <w:tc>
          <w:tcPr>
            <w:tcW w:w="134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设施量</w:t>
            </w:r>
            <w:r/>
          </w:p>
        </w:tc>
        <w:tc>
          <w:tcPr>
            <w:tcW w:w="978"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单位</w:t>
            </w:r>
            <w:r/>
          </w:p>
        </w:tc>
        <w:tc>
          <w:tcPr>
            <w:tcW w:w="1316"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综合</w:t>
            </w:r>
            <w:r>
              <w:rPr>
                <w:rFonts w:hint="eastAsia" w:ascii="宋体" w:hAnsi="宋体" w:eastAsia="宋体" w:cs="宋体"/>
                <w:b/>
                <w:color w:val="auto"/>
                <w:sz w:val="21"/>
                <w:szCs w:val="21"/>
                <w:highlight w:val="none"/>
              </w:rPr>
              <w:t xml:space="preserve">单价（元）</w:t>
            </w:r>
            <w:r/>
          </w:p>
        </w:tc>
        <w:tc>
          <w:tcPr>
            <w:tcW w:w="1361"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 xml:space="preserve">合计</w:t>
            </w:r>
            <w:r/>
          </w:p>
          <w:p>
            <w:pPr>
              <w:ind w:left="0" w:right="0" w:firstLine="0"/>
              <w:jc w:val="center"/>
              <w:keepLines w:val="0"/>
              <w:keepNext w:val="0"/>
              <w:pageBreakBefore w:val="0"/>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（元）</w:t>
            </w:r>
            <w:r/>
          </w:p>
        </w:tc>
      </w:tr>
      <w:tr>
        <w:trPr>
          <w:jc w:val="center"/>
          <w:trHeight w:val="340"/>
        </w:trPr>
        <w:tc>
          <w:tcPr>
            <w:tcW w:w="90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185" w:type="dxa"/>
            <w:vAlign w:val="center"/>
            <w:vMerge w:val="restart"/>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城市道路园林绿化设施养护</w:t>
            </w:r>
            <w:r/>
          </w:p>
        </w:tc>
        <w:tc>
          <w:tcPr>
            <w:tcW w:w="22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绿地养护</w:t>
            </w:r>
            <w:r/>
          </w:p>
        </w:tc>
        <w:tc>
          <w:tcPr>
            <w:tcW w:w="134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706819.014</w:t>
            </w:r>
            <w:r/>
          </w:p>
        </w:tc>
        <w:tc>
          <w:tcPr>
            <w:tcW w:w="978"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1316"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61"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40"/>
        </w:trPr>
        <w:tc>
          <w:tcPr>
            <w:tcW w:w="90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185"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硬质养护</w:t>
            </w:r>
            <w:r/>
          </w:p>
        </w:tc>
        <w:tc>
          <w:tcPr>
            <w:tcW w:w="134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35175.485</w:t>
            </w:r>
            <w:r/>
          </w:p>
        </w:tc>
        <w:tc>
          <w:tcPr>
            <w:tcW w:w="978"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1316"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61"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40"/>
        </w:trPr>
        <w:tc>
          <w:tcPr>
            <w:tcW w:w="90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185"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行道树</w:t>
            </w:r>
            <w:r/>
          </w:p>
        </w:tc>
        <w:tc>
          <w:tcPr>
            <w:tcW w:w="134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26506</w:t>
            </w:r>
            <w:r/>
          </w:p>
        </w:tc>
        <w:tc>
          <w:tcPr>
            <w:tcW w:w="978"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株</w:t>
            </w:r>
            <w:r/>
          </w:p>
        </w:tc>
        <w:tc>
          <w:tcPr>
            <w:tcW w:w="1316"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61"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40"/>
        </w:trPr>
        <w:tc>
          <w:tcPr>
            <w:tcW w:w="90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1185"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树池面积</w:t>
            </w:r>
            <w:r/>
          </w:p>
        </w:tc>
        <w:tc>
          <w:tcPr>
            <w:tcW w:w="134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14874.13</w:t>
            </w:r>
            <w:r/>
          </w:p>
        </w:tc>
        <w:tc>
          <w:tcPr>
            <w:tcW w:w="978"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1316"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61"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40"/>
        </w:trPr>
        <w:tc>
          <w:tcPr>
            <w:tcW w:w="90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1185"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格栅/卵石面积</w:t>
            </w:r>
            <w:r/>
          </w:p>
        </w:tc>
        <w:tc>
          <w:tcPr>
            <w:tcW w:w="134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8918.62</w:t>
            </w:r>
            <w:r/>
          </w:p>
        </w:tc>
        <w:tc>
          <w:tcPr>
            <w:tcW w:w="978"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1316"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61"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40"/>
        </w:trPr>
        <w:tc>
          <w:tcPr>
            <w:tcW w:w="90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1185"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护栏面积</w:t>
            </w:r>
            <w:r/>
          </w:p>
        </w:tc>
        <w:tc>
          <w:tcPr>
            <w:tcW w:w="134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12414.08</w:t>
            </w:r>
            <w:r/>
          </w:p>
        </w:tc>
        <w:tc>
          <w:tcPr>
            <w:tcW w:w="978"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1316"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61"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40"/>
        </w:trPr>
        <w:tc>
          <w:tcPr>
            <w:tcW w:w="90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1185"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草花带面积</w:t>
            </w:r>
            <w:r/>
          </w:p>
        </w:tc>
        <w:tc>
          <w:tcPr>
            <w:tcW w:w="134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1393.258</w:t>
            </w:r>
            <w:r/>
          </w:p>
        </w:tc>
        <w:tc>
          <w:tcPr>
            <w:tcW w:w="978"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1316"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61"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40"/>
        </w:trPr>
        <w:tc>
          <w:tcPr>
            <w:tcW w:w="90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1185"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水生植物</w:t>
            </w:r>
            <w:r/>
          </w:p>
        </w:tc>
        <w:tc>
          <w:tcPr>
            <w:tcW w:w="134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44994.94</w:t>
            </w:r>
            <w:r/>
          </w:p>
        </w:tc>
        <w:tc>
          <w:tcPr>
            <w:tcW w:w="978"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1316"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61"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40"/>
        </w:trPr>
        <w:tc>
          <w:tcPr>
            <w:tcW w:w="90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W w:w="1185" w:type="dxa"/>
            <w:vAlign w:val="center"/>
            <w:vMerge w:val="restart"/>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滨河绿地园林绿化设施养护</w:t>
            </w:r>
            <w:r/>
          </w:p>
        </w:tc>
        <w:tc>
          <w:tcPr>
            <w:tcW w:w="22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灌木及地被植物</w:t>
            </w:r>
            <w:r/>
          </w:p>
        </w:tc>
        <w:tc>
          <w:tcPr>
            <w:tcW w:w="134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368787.54</w:t>
            </w:r>
            <w:r/>
          </w:p>
        </w:tc>
        <w:tc>
          <w:tcPr>
            <w:tcW w:w="978"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1316"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61"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40"/>
        </w:trPr>
        <w:tc>
          <w:tcPr>
            <w:tcW w:w="90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W w:w="1185"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硬质</w:t>
            </w:r>
            <w:r/>
          </w:p>
        </w:tc>
        <w:tc>
          <w:tcPr>
            <w:tcW w:w="134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81892.47</w:t>
            </w:r>
            <w:r/>
          </w:p>
        </w:tc>
        <w:tc>
          <w:tcPr>
            <w:tcW w:w="978"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1316"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61"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40"/>
        </w:trPr>
        <w:tc>
          <w:tcPr>
            <w:tcW w:w="90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W w:w="1185"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道路</w:t>
            </w:r>
            <w:r/>
          </w:p>
        </w:tc>
        <w:tc>
          <w:tcPr>
            <w:tcW w:w="134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34896.15</w:t>
            </w:r>
            <w:r/>
          </w:p>
        </w:tc>
        <w:tc>
          <w:tcPr>
            <w:tcW w:w="978"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1316"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61"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40"/>
        </w:trPr>
        <w:tc>
          <w:tcPr>
            <w:tcW w:w="90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W w:w="1185"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栈道/桥</w:t>
            </w:r>
            <w:r/>
          </w:p>
        </w:tc>
        <w:tc>
          <w:tcPr>
            <w:tcW w:w="134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6314.7</w:t>
            </w:r>
            <w:r/>
          </w:p>
        </w:tc>
        <w:tc>
          <w:tcPr>
            <w:tcW w:w="978"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1316"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61"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40"/>
        </w:trPr>
        <w:tc>
          <w:tcPr>
            <w:tcW w:w="90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W w:w="1185"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花卉</w:t>
            </w:r>
            <w:r/>
          </w:p>
        </w:tc>
        <w:tc>
          <w:tcPr>
            <w:tcW w:w="134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409.17</w:t>
            </w:r>
            <w:r/>
          </w:p>
        </w:tc>
        <w:tc>
          <w:tcPr>
            <w:tcW w:w="978"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1316"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61"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40"/>
        </w:trPr>
        <w:tc>
          <w:tcPr>
            <w:tcW w:w="90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W w:w="1185"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行道树</w:t>
            </w:r>
            <w:r/>
          </w:p>
        </w:tc>
        <w:tc>
          <w:tcPr>
            <w:tcW w:w="134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12401</w:t>
            </w:r>
            <w:r/>
          </w:p>
        </w:tc>
        <w:tc>
          <w:tcPr>
            <w:tcW w:w="978"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株</w:t>
            </w:r>
            <w:r/>
          </w:p>
        </w:tc>
        <w:tc>
          <w:tcPr>
            <w:tcW w:w="1316"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61"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40"/>
        </w:trPr>
        <w:tc>
          <w:tcPr>
            <w:tcW w:w="90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W w:w="1185"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护栏</w:t>
            </w:r>
            <w:r/>
          </w:p>
        </w:tc>
        <w:tc>
          <w:tcPr>
            <w:tcW w:w="134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8598.8</w:t>
            </w:r>
            <w:r/>
          </w:p>
        </w:tc>
        <w:tc>
          <w:tcPr>
            <w:tcW w:w="978"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m</w:t>
            </w:r>
            <w:r/>
          </w:p>
        </w:tc>
        <w:tc>
          <w:tcPr>
            <w:tcW w:w="1316"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61"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40"/>
        </w:trPr>
        <w:tc>
          <w:tcPr>
            <w:tcW w:w="90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tcW w:w="1185"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雕塑</w:t>
            </w:r>
            <w:r/>
          </w:p>
        </w:tc>
        <w:tc>
          <w:tcPr>
            <w:tcW w:w="134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164</w:t>
            </w:r>
            <w:r/>
          </w:p>
        </w:tc>
        <w:tc>
          <w:tcPr>
            <w:tcW w:w="978"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tcW w:w="1316"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61"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40"/>
        </w:trPr>
        <w:tc>
          <w:tcPr>
            <w:tcW w:w="90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tcW w:w="1185"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休息座椅</w:t>
            </w:r>
            <w:r/>
          </w:p>
        </w:tc>
        <w:tc>
          <w:tcPr>
            <w:tcW w:w="134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386</w:t>
            </w:r>
            <w:r/>
          </w:p>
        </w:tc>
        <w:tc>
          <w:tcPr>
            <w:tcW w:w="978"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tcW w:w="1316"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61"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40"/>
        </w:trPr>
        <w:tc>
          <w:tcPr>
            <w:tcW w:w="90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p>
        </w:tc>
        <w:tc>
          <w:tcPr>
            <w:tcW w:w="1185"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运动场地</w:t>
            </w:r>
            <w:r/>
          </w:p>
        </w:tc>
        <w:tc>
          <w:tcPr>
            <w:tcW w:w="134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978"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tcW w:w="1316"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61"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40"/>
        </w:trPr>
        <w:tc>
          <w:tcPr>
            <w:tcW w:w="90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w:t>
            </w:r>
            <w:r/>
          </w:p>
        </w:tc>
        <w:tc>
          <w:tcPr>
            <w:tcW w:w="1185"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娱乐设施</w:t>
            </w:r>
            <w:r/>
          </w:p>
        </w:tc>
        <w:tc>
          <w:tcPr>
            <w:tcW w:w="134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w:t>
            </w:r>
            <w:r/>
          </w:p>
        </w:tc>
        <w:tc>
          <w:tcPr>
            <w:tcW w:w="978"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处</w:t>
            </w:r>
            <w:r/>
          </w:p>
        </w:tc>
        <w:tc>
          <w:tcPr>
            <w:tcW w:w="1316"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61"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40"/>
        </w:trPr>
        <w:tc>
          <w:tcPr>
            <w:tcW w:w="90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tcW w:w="1185"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亭廊</w:t>
            </w:r>
            <w:r/>
          </w:p>
        </w:tc>
        <w:tc>
          <w:tcPr>
            <w:tcW w:w="134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173.36</w:t>
            </w:r>
            <w:r/>
          </w:p>
        </w:tc>
        <w:tc>
          <w:tcPr>
            <w:tcW w:w="978"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1316"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61"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40"/>
        </w:trPr>
        <w:tc>
          <w:tcPr>
            <w:tcW w:w="90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tcW w:w="1185"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喷泉</w:t>
            </w:r>
            <w:r/>
          </w:p>
        </w:tc>
        <w:tc>
          <w:tcPr>
            <w:tcW w:w="134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978"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tcW w:w="1316"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61"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40"/>
        </w:trPr>
        <w:tc>
          <w:tcPr>
            <w:tcW w:w="90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w:t>
            </w:r>
            <w:r/>
          </w:p>
        </w:tc>
        <w:tc>
          <w:tcPr>
            <w:tcW w:w="1185"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垃圾箱</w:t>
            </w:r>
            <w:r/>
          </w:p>
        </w:tc>
        <w:tc>
          <w:tcPr>
            <w:tcW w:w="134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175</w:t>
            </w:r>
            <w:r/>
          </w:p>
        </w:tc>
        <w:tc>
          <w:tcPr>
            <w:tcW w:w="978"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tcW w:w="1316"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61"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40"/>
        </w:trPr>
        <w:tc>
          <w:tcPr>
            <w:tcW w:w="90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w:t>
            </w:r>
            <w:r/>
          </w:p>
        </w:tc>
        <w:tc>
          <w:tcPr>
            <w:tcW w:w="1185"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宣传牌</w:t>
            </w:r>
            <w:r/>
          </w:p>
        </w:tc>
        <w:tc>
          <w:tcPr>
            <w:tcW w:w="134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455</w:t>
            </w:r>
            <w:r/>
          </w:p>
        </w:tc>
        <w:tc>
          <w:tcPr>
            <w:tcW w:w="978"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块</w:t>
            </w:r>
            <w:r/>
          </w:p>
        </w:tc>
        <w:tc>
          <w:tcPr>
            <w:tcW w:w="1316"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61"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40"/>
        </w:trPr>
        <w:tc>
          <w:tcPr>
            <w:tcW w:w="90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w:t>
            </w:r>
            <w:r/>
          </w:p>
        </w:tc>
        <w:tc>
          <w:tcPr>
            <w:tcW w:w="1185"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花箱</w:t>
            </w:r>
            <w:r/>
          </w:p>
        </w:tc>
        <w:tc>
          <w:tcPr>
            <w:tcW w:w="134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w:t>
            </w:r>
            <w:r/>
          </w:p>
        </w:tc>
        <w:tc>
          <w:tcPr>
            <w:tcW w:w="978"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tcW w:w="1316"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61"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40"/>
        </w:trPr>
        <w:tc>
          <w:tcPr>
            <w:tcW w:w="90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w:t>
            </w:r>
            <w:r/>
          </w:p>
        </w:tc>
        <w:tc>
          <w:tcPr>
            <w:tcW w:w="1185" w:type="dxa"/>
            <w:vAlign w:val="center"/>
            <w:vMerge w:val="restart"/>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公园广场绿地园林绿化设施养护</w:t>
            </w:r>
            <w:r/>
          </w:p>
        </w:tc>
        <w:tc>
          <w:tcPr>
            <w:tcW w:w="22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灌木及地被植物</w:t>
            </w:r>
            <w:r/>
          </w:p>
        </w:tc>
        <w:tc>
          <w:tcPr>
            <w:tcW w:w="134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344133.165</w:t>
            </w:r>
            <w:r/>
          </w:p>
        </w:tc>
        <w:tc>
          <w:tcPr>
            <w:tcW w:w="978"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1316"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61"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40"/>
        </w:trPr>
        <w:tc>
          <w:tcPr>
            <w:tcW w:w="90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w:t>
            </w:r>
            <w:r/>
          </w:p>
        </w:tc>
        <w:tc>
          <w:tcPr>
            <w:tcW w:w="1185"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硬质</w:t>
            </w:r>
            <w:r/>
          </w:p>
        </w:tc>
        <w:tc>
          <w:tcPr>
            <w:tcW w:w="134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146208.977</w:t>
            </w:r>
            <w:r/>
          </w:p>
        </w:tc>
        <w:tc>
          <w:tcPr>
            <w:tcW w:w="978"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1316"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61"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40"/>
        </w:trPr>
        <w:tc>
          <w:tcPr>
            <w:tcW w:w="90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w:t>
            </w:r>
            <w:r/>
          </w:p>
        </w:tc>
        <w:tc>
          <w:tcPr>
            <w:tcW w:w="1185"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道路</w:t>
            </w:r>
            <w:r/>
          </w:p>
        </w:tc>
        <w:tc>
          <w:tcPr>
            <w:tcW w:w="134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17400</w:t>
            </w:r>
            <w:r/>
          </w:p>
        </w:tc>
        <w:tc>
          <w:tcPr>
            <w:tcW w:w="978"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1316"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61"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40"/>
        </w:trPr>
        <w:tc>
          <w:tcPr>
            <w:tcW w:w="90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w:t>
            </w:r>
            <w:r/>
          </w:p>
        </w:tc>
        <w:tc>
          <w:tcPr>
            <w:tcW w:w="1185"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栈道/桥</w:t>
            </w:r>
            <w:r/>
          </w:p>
        </w:tc>
        <w:tc>
          <w:tcPr>
            <w:tcW w:w="134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4483</w:t>
            </w:r>
            <w:r/>
          </w:p>
        </w:tc>
        <w:tc>
          <w:tcPr>
            <w:tcW w:w="978"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1316"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61"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40"/>
        </w:trPr>
        <w:tc>
          <w:tcPr>
            <w:tcW w:w="90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w:t>
            </w:r>
            <w:r/>
          </w:p>
        </w:tc>
        <w:tc>
          <w:tcPr>
            <w:tcW w:w="1185"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花卉</w:t>
            </w:r>
            <w:r/>
          </w:p>
        </w:tc>
        <w:tc>
          <w:tcPr>
            <w:tcW w:w="134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932.7948</w:t>
            </w:r>
            <w:r/>
          </w:p>
        </w:tc>
        <w:tc>
          <w:tcPr>
            <w:tcW w:w="978"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1316"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61"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40"/>
        </w:trPr>
        <w:tc>
          <w:tcPr>
            <w:tcW w:w="90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w:t>
            </w:r>
            <w:r/>
          </w:p>
        </w:tc>
        <w:tc>
          <w:tcPr>
            <w:tcW w:w="1185"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维持秩序人员</w:t>
            </w:r>
            <w:r/>
          </w:p>
        </w:tc>
        <w:tc>
          <w:tcPr>
            <w:tcW w:w="134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19</w:t>
            </w:r>
            <w:r/>
          </w:p>
        </w:tc>
        <w:tc>
          <w:tcPr>
            <w:tcW w:w="978"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w:t>
            </w:r>
            <w:r/>
          </w:p>
        </w:tc>
        <w:tc>
          <w:tcPr>
            <w:tcW w:w="1316"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61"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40"/>
        </w:trPr>
        <w:tc>
          <w:tcPr>
            <w:tcW w:w="90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w:t>
            </w:r>
            <w:r/>
          </w:p>
        </w:tc>
        <w:tc>
          <w:tcPr>
            <w:tcW w:w="1185"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森林防火人员</w:t>
            </w:r>
            <w:r/>
          </w:p>
        </w:tc>
        <w:tc>
          <w:tcPr>
            <w:tcW w:w="134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4</w:t>
            </w:r>
            <w:r/>
          </w:p>
        </w:tc>
        <w:tc>
          <w:tcPr>
            <w:tcW w:w="978"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w:t>
            </w:r>
            <w:r/>
          </w:p>
        </w:tc>
        <w:tc>
          <w:tcPr>
            <w:tcW w:w="1316"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61"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40"/>
        </w:trPr>
        <w:tc>
          <w:tcPr>
            <w:tcW w:w="90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w:t>
            </w:r>
            <w:r/>
          </w:p>
        </w:tc>
        <w:tc>
          <w:tcPr>
            <w:tcW w:w="1185"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行道树</w:t>
            </w:r>
            <w:r/>
          </w:p>
        </w:tc>
        <w:tc>
          <w:tcPr>
            <w:tcW w:w="134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8982</w:t>
            </w:r>
            <w:r/>
          </w:p>
        </w:tc>
        <w:tc>
          <w:tcPr>
            <w:tcW w:w="978"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株</w:t>
            </w:r>
            <w:r/>
          </w:p>
        </w:tc>
        <w:tc>
          <w:tcPr>
            <w:tcW w:w="1316"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61"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40"/>
        </w:trPr>
        <w:tc>
          <w:tcPr>
            <w:tcW w:w="90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w:t>
            </w:r>
            <w:r/>
          </w:p>
        </w:tc>
        <w:tc>
          <w:tcPr>
            <w:tcW w:w="1185"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护栏</w:t>
            </w:r>
            <w:r/>
          </w:p>
        </w:tc>
        <w:tc>
          <w:tcPr>
            <w:tcW w:w="134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5507.4</w:t>
            </w:r>
            <w:r/>
          </w:p>
        </w:tc>
        <w:tc>
          <w:tcPr>
            <w:tcW w:w="978"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m</w:t>
            </w:r>
            <w:r/>
          </w:p>
        </w:tc>
        <w:tc>
          <w:tcPr>
            <w:tcW w:w="1316"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61"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40"/>
        </w:trPr>
        <w:tc>
          <w:tcPr>
            <w:tcW w:w="90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w:t>
            </w:r>
            <w:r/>
          </w:p>
        </w:tc>
        <w:tc>
          <w:tcPr>
            <w:tcW w:w="1185"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雕塑</w:t>
            </w:r>
            <w:r/>
          </w:p>
        </w:tc>
        <w:tc>
          <w:tcPr>
            <w:tcW w:w="134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177</w:t>
            </w:r>
            <w:r/>
          </w:p>
        </w:tc>
        <w:tc>
          <w:tcPr>
            <w:tcW w:w="978"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tcW w:w="1316"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61"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40"/>
        </w:trPr>
        <w:tc>
          <w:tcPr>
            <w:tcW w:w="90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w:t>
            </w:r>
            <w:r/>
          </w:p>
        </w:tc>
        <w:tc>
          <w:tcPr>
            <w:tcW w:w="1185"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休息座椅</w:t>
            </w:r>
            <w:r/>
          </w:p>
        </w:tc>
        <w:tc>
          <w:tcPr>
            <w:tcW w:w="134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30</w:t>
            </w:r>
            <w:r/>
          </w:p>
        </w:tc>
        <w:tc>
          <w:tcPr>
            <w:tcW w:w="978"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tcW w:w="1316"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61"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40"/>
        </w:trPr>
        <w:tc>
          <w:tcPr>
            <w:tcW w:w="90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w:t>
            </w:r>
            <w:r/>
          </w:p>
        </w:tc>
        <w:tc>
          <w:tcPr>
            <w:tcW w:w="1185"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运动场地</w:t>
            </w:r>
            <w:r/>
          </w:p>
        </w:tc>
        <w:tc>
          <w:tcPr>
            <w:tcW w:w="134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W w:w="978"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tcW w:w="1316"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61"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40"/>
        </w:trPr>
        <w:tc>
          <w:tcPr>
            <w:tcW w:w="90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w:t>
            </w:r>
            <w:r/>
          </w:p>
        </w:tc>
        <w:tc>
          <w:tcPr>
            <w:tcW w:w="1185"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娱乐设施</w:t>
            </w:r>
            <w:r/>
          </w:p>
        </w:tc>
        <w:tc>
          <w:tcPr>
            <w:tcW w:w="134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w:t>
            </w:r>
            <w:r/>
          </w:p>
        </w:tc>
        <w:tc>
          <w:tcPr>
            <w:tcW w:w="978"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W w:w="1316"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61"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40"/>
        </w:trPr>
        <w:tc>
          <w:tcPr>
            <w:tcW w:w="90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w:t>
            </w:r>
            <w:r/>
          </w:p>
        </w:tc>
        <w:tc>
          <w:tcPr>
            <w:tcW w:w="1185"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管理房</w:t>
            </w:r>
            <w:r/>
          </w:p>
        </w:tc>
        <w:tc>
          <w:tcPr>
            <w:tcW w:w="134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1685.39</w:t>
            </w:r>
            <w:r/>
          </w:p>
        </w:tc>
        <w:tc>
          <w:tcPr>
            <w:tcW w:w="978"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1316"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61"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40"/>
        </w:trPr>
        <w:tc>
          <w:tcPr>
            <w:tcW w:w="90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w:t>
            </w:r>
            <w:r/>
          </w:p>
        </w:tc>
        <w:tc>
          <w:tcPr>
            <w:tcW w:w="1185"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亭廊</w:t>
            </w:r>
            <w:r/>
          </w:p>
        </w:tc>
        <w:tc>
          <w:tcPr>
            <w:tcW w:w="134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1008.29</w:t>
            </w:r>
            <w:r/>
          </w:p>
        </w:tc>
        <w:tc>
          <w:tcPr>
            <w:tcW w:w="978"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1316"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61"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40"/>
        </w:trPr>
        <w:tc>
          <w:tcPr>
            <w:tcW w:w="90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w:t>
            </w:r>
            <w:r/>
          </w:p>
        </w:tc>
        <w:tc>
          <w:tcPr>
            <w:tcW w:w="1185"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垃圾箱</w:t>
            </w:r>
            <w:r/>
          </w:p>
        </w:tc>
        <w:tc>
          <w:tcPr>
            <w:tcW w:w="134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201</w:t>
            </w:r>
            <w:r/>
          </w:p>
        </w:tc>
        <w:tc>
          <w:tcPr>
            <w:tcW w:w="978"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tcW w:w="1316"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61"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40"/>
        </w:trPr>
        <w:tc>
          <w:tcPr>
            <w:tcW w:w="90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w:t>
            </w:r>
            <w:r/>
          </w:p>
        </w:tc>
        <w:tc>
          <w:tcPr>
            <w:tcW w:w="1185"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宣传牌</w:t>
            </w:r>
            <w:r/>
          </w:p>
        </w:tc>
        <w:tc>
          <w:tcPr>
            <w:tcW w:w="134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658</w:t>
            </w:r>
            <w:r/>
          </w:p>
        </w:tc>
        <w:tc>
          <w:tcPr>
            <w:tcW w:w="978"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块</w:t>
            </w:r>
            <w:r/>
          </w:p>
        </w:tc>
        <w:tc>
          <w:tcPr>
            <w:tcW w:w="1316"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61"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40"/>
        </w:trPr>
        <w:tc>
          <w:tcPr>
            <w:tcW w:w="90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w:t>
            </w:r>
            <w:r/>
          </w:p>
        </w:tc>
        <w:tc>
          <w:tcPr>
            <w:tcW w:w="1185"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花箱</w:t>
            </w:r>
            <w:r/>
          </w:p>
        </w:tc>
        <w:tc>
          <w:tcPr>
            <w:tcW w:w="134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w:t>
            </w:r>
            <w:r/>
          </w:p>
        </w:tc>
        <w:tc>
          <w:tcPr>
            <w:tcW w:w="978"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tcW w:w="1316"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61"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40"/>
        </w:trPr>
        <w:tc>
          <w:tcPr>
            <w:tcW w:w="90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w:t>
            </w:r>
            <w:r/>
          </w:p>
        </w:tc>
        <w:tc>
          <w:tcPr>
            <w:tcW w:w="1185"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小型绿雕</w:t>
            </w:r>
            <w:r/>
          </w:p>
        </w:tc>
        <w:tc>
          <w:tcPr>
            <w:tcW w:w="134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175</w:t>
            </w:r>
            <w:r/>
          </w:p>
        </w:tc>
        <w:tc>
          <w:tcPr>
            <w:tcW w:w="978"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1316"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61"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40"/>
        </w:trPr>
        <w:tc>
          <w:tcPr>
            <w:tcW w:w="90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w:t>
            </w:r>
            <w:r/>
          </w:p>
        </w:tc>
        <w:tc>
          <w:tcPr>
            <w:tcW w:w="1185"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阻车石</w:t>
            </w:r>
            <w:r/>
          </w:p>
        </w:tc>
        <w:tc>
          <w:tcPr>
            <w:tcW w:w="134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98</w:t>
            </w:r>
            <w:r/>
          </w:p>
        </w:tc>
        <w:tc>
          <w:tcPr>
            <w:tcW w:w="978"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tcW w:w="1316"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61"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40"/>
        </w:trPr>
        <w:tc>
          <w:tcPr>
            <w:tcW w:w="90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w:t>
            </w:r>
            <w:r/>
          </w:p>
        </w:tc>
        <w:tc>
          <w:tcPr>
            <w:tcW w:w="1185"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景观水体</w:t>
            </w:r>
            <w:r/>
          </w:p>
        </w:tc>
        <w:tc>
          <w:tcPr>
            <w:tcW w:w="134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58026.6</w:t>
            </w:r>
            <w:r/>
          </w:p>
        </w:tc>
        <w:tc>
          <w:tcPr>
            <w:tcW w:w="978"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1316"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61"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40"/>
        </w:trPr>
        <w:tc>
          <w:tcPr>
            <w:tcW w:w="90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w:t>
            </w:r>
            <w:r/>
          </w:p>
        </w:tc>
        <w:tc>
          <w:tcPr>
            <w:tcW w:w="1185"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喷泉</w:t>
            </w:r>
            <w:r/>
          </w:p>
        </w:tc>
        <w:tc>
          <w:tcPr>
            <w:tcW w:w="134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978"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tcW w:w="1316"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61"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40"/>
        </w:trPr>
        <w:tc>
          <w:tcPr>
            <w:tcW w:w="90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w:t>
            </w:r>
            <w:r/>
          </w:p>
        </w:tc>
        <w:tc>
          <w:tcPr>
            <w:tcW w:w="1185"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14"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建筑小品</w:t>
            </w:r>
            <w:r/>
          </w:p>
        </w:tc>
        <w:tc>
          <w:tcPr>
            <w:tcW w:w="134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978"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tcW w:w="1316"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61"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97"/>
        </w:trPr>
        <w:tc>
          <w:tcPr>
            <w:gridSpan w:val="5"/>
            <w:tcW w:w="6628" w:type="dxa"/>
            <w:vAlign w:val="center"/>
            <w:textDirection w:val="lrTb"/>
            <w:noWrap w:val="false"/>
          </w:tcPr>
          <w:p>
            <w:pPr>
              <w:ind w:left="0" w:right="0" w:firstLine="0"/>
              <w:jc w:val="both"/>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Cs w:val="21"/>
                <w:highlight w:val="none"/>
                <w:lang w:eastAsia="zh-CN"/>
              </w:rPr>
              <w:t xml:space="preserve">园林绿化日常养护服务</w:t>
            </w:r>
            <w:r>
              <w:rPr>
                <w:rFonts w:hint="eastAsia" w:ascii="宋体" w:hAnsi="宋体" w:eastAsia="宋体" w:cs="宋体"/>
                <w:b/>
                <w:bCs/>
                <w:color w:val="auto"/>
                <w:szCs w:val="21"/>
                <w:highlight w:val="none"/>
              </w:rPr>
              <w:t xml:space="preserve">合计（元）</w:t>
            </w:r>
            <w:r/>
          </w:p>
        </w:tc>
        <w:tc>
          <w:tcPr>
            <w:gridSpan w:val="2"/>
            <w:tcW w:w="267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62"/>
        </w:trPr>
        <w:tc>
          <w:tcPr>
            <w:gridSpan w:val="7"/>
            <w:tcW w:w="9305"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Cs w:val="21"/>
                <w:highlight w:val="none"/>
                <w:lang w:val="en-US" w:eastAsia="zh-CN"/>
              </w:rPr>
              <w:t xml:space="preserve">二、</w:t>
            </w:r>
            <w:r>
              <w:rPr>
                <w:rFonts w:hint="eastAsia" w:ascii="宋体" w:hAnsi="宋体" w:eastAsia="宋体" w:cs="宋体"/>
                <w:b/>
                <w:bCs/>
                <w:color w:val="auto"/>
                <w:szCs w:val="21"/>
                <w:highlight w:val="none"/>
                <w:lang w:eastAsia="zh-CN"/>
              </w:rPr>
              <w:t xml:space="preserve">维修专项</w:t>
            </w:r>
            <w:r/>
          </w:p>
        </w:tc>
      </w:tr>
      <w:tr>
        <w:trPr>
          <w:jc w:val="center"/>
          <w:trHeight w:val="1072"/>
        </w:trPr>
        <w:tc>
          <w:tcPr>
            <w:gridSpan w:val="7"/>
            <w:tcW w:w="930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highlight w:val="none"/>
                <w:lang w:eastAsia="zh-CN"/>
              </w:rPr>
              <w:t xml:space="preserve">维修专项</w:t>
            </w:r>
            <w:r>
              <w:rPr>
                <w:rFonts w:hint="eastAsia" w:ascii="宋体" w:hAnsi="宋体" w:eastAsia="宋体" w:cs="宋体"/>
                <w:color w:val="auto"/>
                <w:highlight w:val="none"/>
              </w:rPr>
              <w:t xml:space="preserve">为</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万元，</w:t>
            </w:r>
            <w:r>
              <w:rPr>
                <w:rFonts w:hint="eastAsia" w:ascii="宋体" w:hAnsi="宋体" w:eastAsia="宋体" w:cs="宋体"/>
                <w:bCs/>
                <w:color w:val="auto"/>
                <w:highlight w:val="none"/>
              </w:rPr>
              <w:t xml:space="preserve">（</w:t>
            </w:r>
            <w:r>
              <w:rPr>
                <w:rFonts w:hint="eastAsia" w:ascii="宋体" w:hAnsi="宋体" w:eastAsia="宋体" w:cs="宋体"/>
                <w:color w:val="auto"/>
                <w:szCs w:val="21"/>
                <w:highlight w:val="none"/>
                <w:lang w:eastAsia="zh-CN"/>
              </w:rPr>
              <w:t xml:space="preserve">维修专项</w:t>
            </w:r>
            <w:r>
              <w:rPr>
                <w:rFonts w:hint="eastAsia" w:ascii="宋体" w:hAnsi="宋体" w:eastAsia="宋体" w:cs="宋体"/>
                <w:color w:val="auto"/>
                <w:szCs w:val="21"/>
                <w:highlight w:val="none"/>
              </w:rPr>
              <w:t xml:space="preserve">折扣率为</w:t>
            </w:r>
            <w:r>
              <w:rPr>
                <w:rFonts w:hint="eastAsia" w:ascii="宋体" w:hAnsi="宋体" w:cs="宋体"/>
                <w:color w:val="auto"/>
                <w:szCs w:val="21"/>
                <w:highlight w:val="none"/>
                <w:u w:val="single"/>
              </w:rPr>
              <w:t xml:space="preserve">         %</w:t>
            </w:r>
            <w:r>
              <w:rPr>
                <w:rFonts w:hint="eastAsia" w:ascii="宋体" w:hAnsi="宋体" w:eastAsia="宋体" w:cs="宋体"/>
                <w:bCs/>
                <w:color w:val="auto"/>
                <w:highlight w:val="none"/>
              </w:rPr>
              <w:t xml:space="preserve">）</w:t>
            </w:r>
            <w:r/>
          </w:p>
        </w:tc>
      </w:tr>
    </w:tbl>
    <w:p>
      <w:pPr>
        <w:rPr>
          <w:rFonts w:hint="eastAsia"/>
          <w:color w:val="auto"/>
          <w:highlight w:val="none"/>
          <w:lang w:val="zh-CN"/>
        </w:rPr>
      </w:pPr>
      <w:r>
        <w:rPr>
          <w:rFonts w:hint="eastAsia"/>
          <w:color w:val="auto"/>
          <w:highlight w:val="none"/>
          <w:lang w:val="zh-CN"/>
        </w:rPr>
      </w:r>
      <w:r/>
    </w:p>
    <w:p>
      <w:pPr>
        <w:pStyle w:val="939"/>
        <w:ind w:left="16" w:right="-908" w:hanging="16"/>
        <w:spacing w:line="360" w:lineRule="auto"/>
        <w:rPr>
          <w:rFonts w:hint="eastAsia" w:ascii="宋体" w:hAnsi="宋体" w:cs="宋体"/>
          <w:color w:val="auto"/>
          <w:highlight w:val="none"/>
        </w:rPr>
      </w:pPr>
      <w:r>
        <w:rPr>
          <w:rFonts w:hint="eastAsia" w:ascii="宋体" w:hAnsi="宋体" w:eastAsia="宋体" w:cs="宋体"/>
          <w:color w:val="auto"/>
          <w:highlight w:val="none"/>
          <w:lang w:eastAsia="zh-CN"/>
        </w:rPr>
        <w:t xml:space="preserve">注：</w:t>
      </w:r>
      <w:r/>
    </w:p>
    <w:p>
      <w:pPr>
        <w:ind w:left="16" w:hanging="16"/>
        <w:rPr>
          <w:rFonts w:hint="eastAsia" w:ascii="宋体" w:hAnsi="宋体" w:cs="宋体"/>
          <w:color w:val="auto"/>
          <w:highlight w:val="none"/>
        </w:rPr>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园林绿化日常养护服务：报价为</w:t>
      </w:r>
      <w:r>
        <w:rPr>
          <w:rFonts w:hint="eastAsia" w:ascii="宋体" w:hAnsi="宋体" w:eastAsia="宋体" w:cs="宋体"/>
          <w:color w:val="auto"/>
          <w:highlight w:val="none"/>
          <w:lang w:val="en-US" w:eastAsia="zh-CN"/>
        </w:rPr>
        <w:t xml:space="preserve">全年</w:t>
      </w:r>
      <w:r>
        <w:rPr>
          <w:rFonts w:hint="eastAsia" w:ascii="宋体" w:hAnsi="宋体" w:eastAsia="宋体" w:cs="宋体"/>
          <w:color w:val="auto"/>
          <w:highlight w:val="none"/>
          <w:lang w:eastAsia="zh-CN"/>
        </w:rPr>
        <w:t xml:space="preserve">全费用综合单价（即将所有费用均摊销至各综合单价中），报综合单价和总价。</w:t>
      </w:r>
      <w:r>
        <w:rPr>
          <w:rFonts w:hint="eastAsia" w:ascii="宋体" w:hAnsi="宋体"/>
          <w:b w:val="0"/>
          <w:bCs w:val="0"/>
          <w:color w:val="auto"/>
          <w:szCs w:val="22"/>
          <w:highlight w:val="none"/>
          <w:lang w:val="en-US" w:eastAsia="zh-CN"/>
        </w:rPr>
        <w:t xml:space="preserve">所有管养面积、道路长度等可能存在测量误差，</w:t>
      </w:r>
      <w:r>
        <w:rPr>
          <w:rFonts w:hint="eastAsia" w:ascii="宋体" w:hAnsi="宋体" w:eastAsia="宋体" w:cs="宋体"/>
          <w:b w:val="0"/>
          <w:bCs w:val="0"/>
          <w:color w:val="auto"/>
          <w:sz w:val="21"/>
          <w:szCs w:val="21"/>
          <w:highlight w:val="none"/>
          <w:u w:val="none"/>
          <w:lang w:val="en-US" w:eastAsia="zh-CN"/>
        </w:rPr>
        <w:t xml:space="preserve">投标供应商需自行对项目现场进行勘察，</w:t>
      </w:r>
      <w:r>
        <w:rPr>
          <w:rFonts w:hint="eastAsia" w:ascii="宋体" w:hAnsi="宋体"/>
          <w:b w:val="0"/>
          <w:bCs w:val="0"/>
          <w:color w:val="auto"/>
          <w:szCs w:val="22"/>
          <w:highlight w:val="none"/>
          <w:lang w:val="en-US" w:eastAsia="zh-CN"/>
        </w:rPr>
        <w:t xml:space="preserve">本报价必须充分考虑所有可能影响到报价的价格因素，一旦投标结束最终成交，园林绿化日常养护服务费用将包定，合同期内不予调整。如发生漏、缺、少项，都将被认为是中标人的报价让利行为。</w:t>
      </w:r>
      <w:r/>
    </w:p>
    <w:p>
      <w:pPr>
        <w:ind w:left="16" w:hanging="16"/>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w:t>
      </w:r>
      <w:r>
        <w:rPr>
          <w:rFonts w:hint="eastAsia" w:eastAsia="宋体" w:asciiTheme="minorEastAsia" w:hAnsiTheme="minorEastAsia" w:cstheme="minorEastAsia"/>
          <w:b w:val="0"/>
          <w:bCs w:val="0"/>
          <w:color w:val="auto"/>
          <w:sz w:val="21"/>
          <w:szCs w:val="21"/>
          <w:highlight w:val="none"/>
          <w:shd w:val="clear" w:color="auto" w:fill="auto"/>
          <w:lang w:eastAsia="zh-CN"/>
        </w:rPr>
        <w:t xml:space="preserve">维修专项</w:t>
      </w:r>
      <w:r>
        <w:rPr>
          <w:rFonts w:hint="eastAsia" w:asciiTheme="minorEastAsia" w:hAnsiTheme="minorEastAsia" w:eastAsiaTheme="minorEastAsia" w:cstheme="minorEastAsia"/>
          <w:b w:val="0"/>
          <w:bCs w:val="0"/>
          <w:color w:val="auto"/>
          <w:sz w:val="21"/>
          <w:szCs w:val="21"/>
          <w:highlight w:val="none"/>
          <w:shd w:val="clear" w:color="auto" w:fill="auto"/>
        </w:rPr>
        <w:t xml:space="preserve">：</w:t>
      </w:r>
      <w:r>
        <w:rPr>
          <w:rFonts w:hint="eastAsia" w:ascii="宋体" w:hAnsi="宋体" w:eastAsia="宋体" w:cs="宋体"/>
          <w:color w:val="auto"/>
          <w:sz w:val="20"/>
          <w:szCs w:val="20"/>
          <w:highlight w:val="none"/>
          <w:lang w:val="en-US" w:eastAsia="zh-CN"/>
        </w:rPr>
        <w:t xml:space="preserve">按折扣率方式报价，</w:t>
      </w:r>
      <w:r>
        <w:rPr>
          <w:rFonts w:hint="eastAsia" w:ascii="宋体" w:hAnsi="宋体"/>
          <w:color w:val="auto"/>
          <w:szCs w:val="22"/>
          <w:highlight w:val="none"/>
          <w:lang w:eastAsia="zh-CN"/>
        </w:rPr>
        <w:t xml:space="preserve">折扣率</w:t>
      </w:r>
      <w:r>
        <w:rPr>
          <w:rFonts w:ascii="宋体" w:hAnsi="宋体"/>
          <w:color w:val="auto"/>
          <w:szCs w:val="22"/>
          <w:highlight w:val="none"/>
        </w:rPr>
        <w:t xml:space="preserve">=维护专项资金投标价/控制价（</w:t>
      </w:r>
      <w:r>
        <w:rPr>
          <w:rFonts w:hint="eastAsia" w:ascii="宋体" w:hAnsi="宋体"/>
          <w:color w:val="auto"/>
          <w:szCs w:val="22"/>
          <w:highlight w:val="none"/>
          <w:lang w:val="en-US" w:eastAsia="zh-CN"/>
        </w:rPr>
        <w:t xml:space="preserve">2</w:t>
      </w:r>
      <w:r>
        <w:rPr>
          <w:rFonts w:ascii="宋体" w:hAnsi="宋体"/>
          <w:color w:val="auto"/>
          <w:szCs w:val="22"/>
          <w:highlight w:val="none"/>
        </w:rPr>
        <w:t xml:space="preserve">00万元），</w:t>
      </w:r>
      <w:r>
        <w:rPr>
          <w:rFonts w:ascii="宋体" w:hAnsi="宋体"/>
          <w:b/>
          <w:bCs/>
          <w:color w:val="auto"/>
          <w:szCs w:val="22"/>
          <w:highlight w:val="none"/>
        </w:rPr>
        <w:t xml:space="preserve">维护专项资金投标价最高不超过</w:t>
      </w:r>
      <w:r>
        <w:rPr>
          <w:rFonts w:hint="eastAsia" w:ascii="宋体" w:hAnsi="宋体"/>
          <w:b/>
          <w:bCs/>
          <w:color w:val="auto"/>
          <w:szCs w:val="22"/>
          <w:highlight w:val="none"/>
          <w:lang w:val="en-US" w:eastAsia="zh-CN"/>
        </w:rPr>
        <w:t xml:space="preserve">2</w:t>
      </w:r>
      <w:r>
        <w:rPr>
          <w:rFonts w:ascii="宋体" w:hAnsi="宋体"/>
          <w:b/>
          <w:bCs/>
          <w:color w:val="auto"/>
          <w:szCs w:val="22"/>
          <w:highlight w:val="none"/>
        </w:rPr>
        <w:t xml:space="preserve">00万，</w:t>
      </w:r>
      <w:r>
        <w:rPr>
          <w:rFonts w:hint="eastAsia" w:ascii="宋体" w:hAnsi="宋体"/>
          <w:b/>
          <w:bCs/>
          <w:color w:val="auto"/>
          <w:szCs w:val="22"/>
          <w:highlight w:val="none"/>
        </w:rPr>
        <w:t xml:space="preserve">超过</w:t>
      </w:r>
      <w:r>
        <w:rPr>
          <w:rFonts w:hint="eastAsia" w:ascii="宋体" w:hAnsi="宋体"/>
          <w:b/>
          <w:bCs/>
          <w:color w:val="auto"/>
          <w:szCs w:val="22"/>
          <w:highlight w:val="none"/>
          <w:lang w:val="en-US" w:eastAsia="zh-CN"/>
        </w:rPr>
        <w:t xml:space="preserve">2</w:t>
      </w:r>
      <w:r>
        <w:rPr>
          <w:rFonts w:hint="eastAsia" w:ascii="宋体" w:hAnsi="宋体"/>
          <w:b/>
          <w:bCs/>
          <w:color w:val="auto"/>
          <w:szCs w:val="22"/>
          <w:highlight w:val="none"/>
        </w:rPr>
        <w:t xml:space="preserve">00万做无效投标处理</w:t>
      </w:r>
      <w:r>
        <w:rPr>
          <w:rFonts w:hint="eastAsia" w:ascii="宋体" w:hAnsi="宋体" w:eastAsia="宋体"/>
          <w:b/>
          <w:bCs/>
          <w:color w:val="auto"/>
          <w:szCs w:val="22"/>
          <w:highlight w:val="none"/>
          <w:lang w:val="en-US" w:eastAsia="zh-CN"/>
        </w:rPr>
        <w:t xml:space="preserve">。</w:t>
      </w:r>
      <w:r>
        <w:rPr>
          <w:rFonts w:ascii="宋体" w:hAnsi="宋体"/>
          <w:color w:val="auto"/>
          <w:szCs w:val="22"/>
          <w:highlight w:val="none"/>
        </w:rPr>
        <w:t xml:space="preserve">最终结算金额以实际发生量及审计结果为准，按实结算</w:t>
      </w:r>
      <w:r>
        <w:rPr>
          <w:rFonts w:hint="eastAsia" w:ascii="宋体" w:hAnsi="宋体" w:eastAsia="宋体"/>
          <w:color w:val="auto"/>
          <w:szCs w:val="22"/>
          <w:highlight w:val="none"/>
          <w:lang w:eastAsia="zh-CN"/>
        </w:rPr>
        <w:t xml:space="preserve">。</w:t>
      </w:r>
      <w:r/>
    </w:p>
    <w:p>
      <w:pPr>
        <w:ind w:left="16" w:hanging="16"/>
        <w:rPr>
          <w:rFonts w:hint="eastAsia" w:ascii="宋体" w:hAnsi="宋体" w:cs="宋体"/>
          <w:color w:val="auto"/>
          <w:highlight w:val="none"/>
        </w:rPr>
      </w:pP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lang w:eastAsia="zh-CN"/>
        </w:rPr>
        <w:t xml:space="preserve">表中的名称、数量、单位均不得更改，否则将作为无效投标处理。</w:t>
      </w:r>
      <w:r/>
    </w:p>
    <w:p>
      <w:pPr>
        <w:ind w:left="16" w:hanging="16"/>
        <w:rPr>
          <w:rFonts w:hint="eastAsia" w:ascii="宋体" w:hAnsi="宋体" w:eastAsia="宋体" w:cs="宋体"/>
          <w:color w:val="auto"/>
          <w:highlight w:val="none"/>
          <w:lang w:eastAsia="zh-CN"/>
        </w:rPr>
      </w:pPr>
      <w:r/>
      <w:bookmarkStart w:id="113" w:name="_Hlk164712507"/>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lang w:eastAsia="zh-CN"/>
        </w:rPr>
        <w:t xml:space="preserve">具体报价要求，详见招标文件项目需求报价说明。在养护期间，完成养护服务所有内容及要求产生的一切费用均包含在报价中。凡招标文件没做具体要求的，按照国家现行的有关法规、政策以及各项规范执行。</w:t>
      </w:r>
      <w:bookmarkEnd w:id="113"/>
      <w:r/>
      <w:r/>
    </w:p>
    <w:p>
      <w:pPr>
        <w:pStyle w:val="939"/>
        <w:ind w:left="16" w:right="840" w:hanging="16"/>
        <w:jc w:val="both"/>
        <w:spacing w:line="260" w:lineRule="exact"/>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t xml:space="preserve">投标供应商（盖章）：</w:t>
      </w:r>
      <w:r/>
    </w:p>
    <w:p>
      <w:pPr>
        <w:pStyle w:val="939"/>
        <w:ind w:left="16" w:right="840" w:hanging="16"/>
        <w:jc w:val="both"/>
        <w:spacing w:line="260" w:lineRule="exact"/>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t xml:space="preserve">授权代表（签字</w:t>
      </w:r>
      <w:r>
        <w:rPr>
          <w:rFonts w:hint="eastAsia" w:ascii="宋体" w:hAnsi="宋体" w:eastAsia="宋体" w:cs="宋体"/>
          <w:color w:val="auto"/>
          <w:highlight w:val="none"/>
          <w:lang w:eastAsia="zh-CN"/>
        </w:rPr>
        <w:t xml:space="preserve">或盖章</w:t>
      </w:r>
      <w:r>
        <w:rPr>
          <w:rFonts w:hint="eastAsia" w:ascii="宋体" w:hAnsi="宋体" w:eastAsia="宋体" w:cs="宋体"/>
          <w:color w:val="auto"/>
          <w:highlight w:val="none"/>
          <w:lang w:val="zh-CN" w:eastAsia="zh-CN"/>
        </w:rPr>
        <w:t xml:space="preserve">）：</w:t>
      </w:r>
      <w:r/>
    </w:p>
    <w:p>
      <w:pPr>
        <w:pStyle w:val="939"/>
        <w:ind w:left="16" w:hanging="16"/>
        <w:jc w:val="both"/>
        <w:spacing w:line="260" w:lineRule="exact"/>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t xml:space="preserve">日期：年 月  日</w:t>
      </w:r>
      <w:r/>
    </w:p>
    <w:p>
      <w:pPr>
        <w:pStyle w:val="939"/>
        <w:ind w:left="119" w:firstLine="482"/>
        <w:jc w:val="right"/>
        <w:spacing w:line="260" w:lineRule="exact"/>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r>
      <w:r/>
    </w:p>
    <w:p>
      <w:pPr>
        <w:pStyle w:val="939"/>
        <w:ind w:left="119" w:firstLine="482"/>
        <w:jc w:val="right"/>
        <w:spacing w:line="260" w:lineRule="exact"/>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r>
      <w:r/>
    </w:p>
    <w:p>
      <w:pPr>
        <w:pStyle w:val="914"/>
        <w:rPr>
          <w:rFonts w:hint="eastAsia" w:ascii="宋体" w:hAnsi="宋体" w:eastAsia="宋体" w:cs="宋体"/>
          <w:color w:val="auto"/>
          <w:sz w:val="22"/>
          <w:szCs w:val="22"/>
          <w:highlight w:val="none"/>
          <w:lang w:val="zh-CN"/>
        </w:rPr>
      </w:pPr>
      <w:r/>
      <w:bookmarkStart w:id="114" w:name="_Toc27709"/>
      <w:r/>
      <w:bookmarkStart w:id="115" w:name="_Toc27359"/>
      <w:r/>
      <w:bookmarkStart w:id="116" w:name="_Toc32500"/>
      <w:r>
        <w:rPr>
          <w:rFonts w:hint="eastAsia" w:ascii="宋体" w:hAnsi="宋体" w:eastAsia="宋体" w:cs="宋体"/>
          <w:color w:val="auto"/>
          <w:sz w:val="22"/>
          <w:szCs w:val="22"/>
          <w:highlight w:val="none"/>
          <w:lang w:val="zh-CN"/>
        </w:rPr>
        <w:t xml:space="preserve">目录五、技术规格偏离表格式</w:t>
      </w:r>
      <w:bookmarkEnd w:id="114"/>
      <w:r/>
      <w:bookmarkEnd w:id="115"/>
      <w:r/>
      <w:bookmarkEnd w:id="116"/>
      <w:r/>
      <w:r/>
    </w:p>
    <w:p>
      <w:pPr>
        <w:ind w:left="420"/>
        <w:jc w:val="center"/>
        <w:spacing w:line="360" w:lineRule="auto"/>
        <w:shd w:val="clear" w:color="auto" w:fill="ffffff"/>
        <w:widowControl/>
        <w:rPr>
          <w:rFonts w:hint="eastAsia" w:ascii="宋体" w:hAnsi="宋体" w:eastAsia="宋体" w:cs="宋体"/>
          <w:b/>
          <w:bCs/>
          <w:color w:val="auto"/>
          <w:sz w:val="28"/>
          <w:szCs w:val="28"/>
          <w:highlight w:val="none"/>
        </w:rPr>
        <w:outlineLvl w:val="0"/>
      </w:pPr>
      <w:r/>
      <w:bookmarkStart w:id="117" w:name="_Toc21719"/>
      <w:r/>
      <w:bookmarkStart w:id="118" w:name="_Toc701"/>
      <w:r>
        <w:rPr>
          <w:rFonts w:hint="eastAsia" w:ascii="宋体" w:hAnsi="宋体" w:eastAsia="宋体" w:cs="宋体"/>
          <w:b/>
          <w:bCs/>
          <w:color w:val="auto"/>
          <w:sz w:val="28"/>
          <w:szCs w:val="28"/>
          <w:highlight w:val="none"/>
        </w:rPr>
        <w:t xml:space="preserve">技术规格偏离表</w:t>
      </w:r>
      <w:bookmarkEnd w:id="117"/>
      <w:r/>
      <w:bookmarkEnd w:id="118"/>
      <w:r/>
      <w:r/>
    </w:p>
    <w:p>
      <w:pPr>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 w:val="24"/>
          <w:highlight w:val="none"/>
        </w:rPr>
        <w:t xml:space="preserve">                     </w:t>
      </w:r>
      <w:r/>
    </w:p>
    <w:tbl>
      <w:tblPr>
        <w:tblStyle w:val="923"/>
        <w:tblW w:w="9301" w:type="dxa"/>
        <w:jc w:val="center"/>
        <w:tblLayout w:type="fixed"/>
        <w:tblCellMar>
          <w:left w:w="0" w:type="dxa"/>
          <w:top w:w="0" w:type="dxa"/>
          <w:right w:w="0" w:type="dxa"/>
          <w:bottom w:w="0" w:type="dxa"/>
        </w:tblCellMar>
        <w:tblLook w:val="04A0" w:firstRow="1" w:lastRow="0" w:firstColumn="1" w:lastColumn="0" w:noHBand="0" w:noVBand="1"/>
      </w:tblPr>
      <w:tblGrid>
        <w:gridCol w:w="642"/>
        <w:gridCol w:w="1060"/>
        <w:gridCol w:w="2613"/>
        <w:gridCol w:w="1051"/>
        <w:gridCol w:w="1061"/>
        <w:gridCol w:w="2874"/>
      </w:tblGrid>
      <w:tr>
        <w:trPr>
          <w:jc w:val="center"/>
          <w:trHeight w:val="284"/>
        </w:trPr>
        <w:tc>
          <w:tcPr>
            <w:gridSpan w:val="4"/>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5366"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tc>
        <w:tc>
          <w:tcPr>
            <w:gridSpan w:val="2"/>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3935"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项目编号;</w:t>
            </w:r>
            <w:r/>
          </w:p>
        </w:tc>
      </w:tr>
      <w:tr>
        <w:trPr>
          <w:jc w:val="center"/>
          <w:trHeight w:val="284"/>
        </w:trPr>
        <w:tc>
          <w:tcPr>
            <w:tcBorders>
              <w:top w:val="single" w:color="auto" w:sz="8" w:space="0"/>
              <w:left w:val="single" w:color="auto" w:sz="8" w:space="0"/>
              <w:bottom w:val="single" w:color="auto" w:sz="6" w:space="0"/>
              <w:right w:val="single" w:color="auto" w:sz="6" w:space="0"/>
            </w:tcBorders>
            <w:tcMar>
              <w:left w:w="10" w:type="dxa"/>
              <w:top w:w="0" w:type="dxa"/>
              <w:right w:w="10" w:type="dxa"/>
              <w:bottom w:w="0" w:type="dxa"/>
            </w:tcMar>
            <w:tcW w:w="64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Borders>
              <w:top w:val="single" w:color="auto" w:sz="8" w:space="0"/>
              <w:left w:val="single" w:color="auto" w:sz="6" w:space="0"/>
              <w:bottom w:val="single" w:color="auto" w:sz="6" w:space="0"/>
              <w:right w:val="single" w:color="auto" w:sz="6" w:space="0"/>
            </w:tcBorders>
            <w:tcMar>
              <w:left w:w="10" w:type="dxa"/>
              <w:top w:w="0" w:type="dxa"/>
              <w:right w:w="10" w:type="dxa"/>
              <w:bottom w:w="0" w:type="dxa"/>
            </w:tcMar>
            <w:tcW w:w="10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招标文件条目号</w:t>
            </w:r>
            <w:r/>
          </w:p>
        </w:tc>
        <w:tc>
          <w:tcPr>
            <w:tcBorders>
              <w:top w:val="single" w:color="auto" w:sz="8" w:space="0"/>
              <w:left w:val="single" w:color="auto" w:sz="6" w:space="0"/>
              <w:bottom w:val="single" w:color="auto" w:sz="6" w:space="0"/>
              <w:right w:val="single" w:color="auto" w:sz="6" w:space="0"/>
            </w:tcBorders>
            <w:tcMar>
              <w:left w:w="10" w:type="dxa"/>
              <w:top w:w="0" w:type="dxa"/>
              <w:right w:w="10" w:type="dxa"/>
              <w:bottom w:w="0" w:type="dxa"/>
            </w:tcMar>
            <w:tcW w:w="261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招标文件要求</w:t>
            </w:r>
            <w:r/>
          </w:p>
        </w:tc>
        <w:tc>
          <w:tcPr>
            <w:gridSpan w:val="2"/>
            <w:tcBorders>
              <w:top w:val="single" w:color="auto" w:sz="8" w:space="0"/>
              <w:left w:val="single" w:color="auto" w:sz="6" w:space="0"/>
              <w:bottom w:val="single" w:color="auto" w:sz="6" w:space="0"/>
              <w:right w:val="single" w:color="auto" w:sz="6" w:space="0"/>
            </w:tcBorders>
            <w:tcMar>
              <w:left w:w="10" w:type="dxa"/>
              <w:top w:w="0" w:type="dxa"/>
              <w:right w:w="10" w:type="dxa"/>
              <w:bottom w:w="0" w:type="dxa"/>
            </w:tcMar>
            <w:tcW w:w="21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投标响应情况</w:t>
            </w:r>
            <w:r/>
          </w:p>
        </w:tc>
        <w:tc>
          <w:tcPr>
            <w:tcBorders>
              <w:top w:val="single" w:color="auto" w:sz="8" w:space="0"/>
              <w:left w:val="single" w:color="auto" w:sz="6" w:space="0"/>
              <w:bottom w:val="single" w:color="auto" w:sz="6" w:space="0"/>
              <w:right w:val="single" w:color="auto" w:sz="8" w:space="0"/>
            </w:tcBorders>
            <w:tcMar>
              <w:left w:w="10" w:type="dxa"/>
              <w:top w:w="0" w:type="dxa"/>
              <w:right w:w="10" w:type="dxa"/>
              <w:bottom w:w="0" w:type="dxa"/>
            </w:tcMar>
            <w:tcW w:w="287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正偏离、无偏离或负偏离</w:t>
            </w:r>
            <w:r/>
          </w:p>
        </w:tc>
      </w:tr>
      <w:tr>
        <w:trPr>
          <w:jc w:val="center"/>
          <w:trHeight w:val="284"/>
        </w:trPr>
        <w:tc>
          <w:tcPr>
            <w:tcBorders>
              <w:top w:val="single" w:color="auto" w:sz="6" w:space="0"/>
              <w:left w:val="single" w:color="auto" w:sz="8" w:space="0"/>
              <w:bottom w:val="single" w:color="auto" w:sz="6" w:space="0"/>
              <w:right w:val="single" w:color="auto" w:sz="6" w:space="0"/>
            </w:tcBorders>
            <w:tcMar>
              <w:left w:w="10" w:type="dxa"/>
              <w:top w:w="0" w:type="dxa"/>
              <w:right w:w="10" w:type="dxa"/>
              <w:bottom w:w="0" w:type="dxa"/>
            </w:tcMar>
            <w:tcW w:w="64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top w:val="single" w:color="auto" w:sz="6" w:space="0"/>
              <w:left w:val="single" w:color="auto" w:sz="6" w:space="0"/>
              <w:bottom w:val="single" w:color="auto" w:sz="6" w:space="0"/>
              <w:right w:val="single" w:color="auto" w:sz="6" w:space="0"/>
            </w:tcBorders>
            <w:tcMar>
              <w:left w:w="10" w:type="dxa"/>
              <w:top w:w="0" w:type="dxa"/>
              <w:right w:w="10" w:type="dxa"/>
              <w:bottom w:w="0" w:type="dxa"/>
            </w:tcMar>
            <w:tcW w:w="106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top w:val="single" w:color="auto" w:sz="6" w:space="0"/>
              <w:left w:val="single" w:color="auto" w:sz="6" w:space="0"/>
              <w:bottom w:val="single" w:color="auto" w:sz="6" w:space="0"/>
              <w:right w:val="single" w:color="auto" w:sz="6" w:space="0"/>
            </w:tcBorders>
            <w:tcMar>
              <w:left w:w="10" w:type="dxa"/>
              <w:top w:w="0" w:type="dxa"/>
              <w:right w:w="10" w:type="dxa"/>
              <w:bottom w:w="0" w:type="dxa"/>
            </w:tcMar>
            <w:tcW w:w="261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gridSpan w:val="2"/>
            <w:tcBorders>
              <w:top w:val="single" w:color="auto" w:sz="6" w:space="0"/>
              <w:left w:val="single" w:color="auto" w:sz="6" w:space="0"/>
              <w:bottom w:val="single" w:color="auto" w:sz="6" w:space="0"/>
              <w:right w:val="single" w:color="auto" w:sz="6" w:space="0"/>
            </w:tcBorders>
            <w:tcMar>
              <w:left w:w="10" w:type="dxa"/>
              <w:top w:w="0" w:type="dxa"/>
              <w:right w:w="10" w:type="dxa"/>
              <w:bottom w:w="0" w:type="dxa"/>
            </w:tcMar>
            <w:tcW w:w="211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top w:val="single" w:color="auto" w:sz="6" w:space="0"/>
              <w:left w:val="single" w:color="auto" w:sz="6" w:space="0"/>
              <w:bottom w:val="single" w:color="auto" w:sz="6" w:space="0"/>
              <w:right w:val="single" w:color="auto" w:sz="8" w:space="0"/>
            </w:tcBorders>
            <w:tcMar>
              <w:left w:w="10" w:type="dxa"/>
              <w:top w:w="0" w:type="dxa"/>
              <w:right w:w="10" w:type="dxa"/>
              <w:bottom w:w="0" w:type="dxa"/>
            </w:tcMar>
            <w:tcW w:w="287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284"/>
        </w:trPr>
        <w:tc>
          <w:tcPr>
            <w:tcBorders>
              <w:top w:val="single" w:color="auto" w:sz="6" w:space="0"/>
              <w:left w:val="single" w:color="auto" w:sz="8" w:space="0"/>
              <w:bottom w:val="single" w:color="auto" w:sz="6" w:space="0"/>
              <w:right w:val="single" w:color="auto" w:sz="6" w:space="0"/>
            </w:tcBorders>
            <w:tcMar>
              <w:left w:w="10" w:type="dxa"/>
              <w:top w:w="0" w:type="dxa"/>
              <w:right w:w="10" w:type="dxa"/>
              <w:bottom w:w="0" w:type="dxa"/>
            </w:tcMar>
            <w:tcW w:w="64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top w:val="single" w:color="auto" w:sz="6" w:space="0"/>
              <w:left w:val="single" w:color="auto" w:sz="6" w:space="0"/>
              <w:bottom w:val="single" w:color="auto" w:sz="6" w:space="0"/>
              <w:right w:val="single" w:color="auto" w:sz="6" w:space="0"/>
            </w:tcBorders>
            <w:tcMar>
              <w:left w:w="10" w:type="dxa"/>
              <w:top w:w="0" w:type="dxa"/>
              <w:right w:w="10" w:type="dxa"/>
              <w:bottom w:w="0" w:type="dxa"/>
            </w:tcMar>
            <w:tcW w:w="106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top w:val="single" w:color="auto" w:sz="6" w:space="0"/>
              <w:left w:val="single" w:color="auto" w:sz="6" w:space="0"/>
              <w:bottom w:val="single" w:color="auto" w:sz="6" w:space="0"/>
              <w:right w:val="single" w:color="auto" w:sz="6" w:space="0"/>
            </w:tcBorders>
            <w:tcMar>
              <w:left w:w="10" w:type="dxa"/>
              <w:top w:w="0" w:type="dxa"/>
              <w:right w:w="10" w:type="dxa"/>
              <w:bottom w:w="0" w:type="dxa"/>
            </w:tcMar>
            <w:tcW w:w="261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gridSpan w:val="2"/>
            <w:tcBorders>
              <w:top w:val="single" w:color="auto" w:sz="6" w:space="0"/>
              <w:left w:val="single" w:color="auto" w:sz="6" w:space="0"/>
              <w:bottom w:val="single" w:color="auto" w:sz="6" w:space="0"/>
              <w:right w:val="single" w:color="auto" w:sz="6" w:space="0"/>
            </w:tcBorders>
            <w:tcMar>
              <w:left w:w="10" w:type="dxa"/>
              <w:top w:w="0" w:type="dxa"/>
              <w:right w:w="10" w:type="dxa"/>
              <w:bottom w:w="0" w:type="dxa"/>
            </w:tcMar>
            <w:tcW w:w="211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top w:val="single" w:color="auto" w:sz="6" w:space="0"/>
              <w:left w:val="single" w:color="auto" w:sz="6" w:space="0"/>
              <w:bottom w:val="single" w:color="auto" w:sz="6" w:space="0"/>
              <w:right w:val="single" w:color="auto" w:sz="8" w:space="0"/>
            </w:tcBorders>
            <w:tcMar>
              <w:left w:w="10" w:type="dxa"/>
              <w:top w:w="0" w:type="dxa"/>
              <w:right w:w="10" w:type="dxa"/>
              <w:bottom w:w="0" w:type="dxa"/>
            </w:tcMar>
            <w:tcW w:w="287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284"/>
        </w:trPr>
        <w:tc>
          <w:tcPr>
            <w:tcBorders>
              <w:top w:val="single" w:color="auto" w:sz="6" w:space="0"/>
              <w:left w:val="single" w:color="auto" w:sz="8" w:space="0"/>
              <w:bottom w:val="single" w:color="auto" w:sz="8" w:space="0"/>
              <w:right w:val="single" w:color="auto" w:sz="6" w:space="0"/>
            </w:tcBorders>
            <w:tcMar>
              <w:left w:w="10" w:type="dxa"/>
              <w:top w:w="0" w:type="dxa"/>
              <w:right w:w="10" w:type="dxa"/>
              <w:bottom w:w="0" w:type="dxa"/>
            </w:tcMar>
            <w:tcW w:w="64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top w:val="single" w:color="auto" w:sz="6" w:space="0"/>
              <w:left w:val="single" w:color="auto" w:sz="6" w:space="0"/>
              <w:bottom w:val="single" w:color="auto" w:sz="8" w:space="0"/>
              <w:right w:val="single" w:color="auto" w:sz="6" w:space="0"/>
            </w:tcBorders>
            <w:tcMar>
              <w:left w:w="10" w:type="dxa"/>
              <w:top w:w="0" w:type="dxa"/>
              <w:right w:w="10" w:type="dxa"/>
              <w:bottom w:w="0" w:type="dxa"/>
            </w:tcMar>
            <w:tcW w:w="106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top w:val="single" w:color="auto" w:sz="6" w:space="0"/>
              <w:left w:val="single" w:color="auto" w:sz="6" w:space="0"/>
              <w:bottom w:val="single" w:color="auto" w:sz="8" w:space="0"/>
              <w:right w:val="single" w:color="auto" w:sz="6" w:space="0"/>
            </w:tcBorders>
            <w:tcMar>
              <w:left w:w="10" w:type="dxa"/>
              <w:top w:w="0" w:type="dxa"/>
              <w:right w:w="10" w:type="dxa"/>
              <w:bottom w:w="0" w:type="dxa"/>
            </w:tcMar>
            <w:tcW w:w="261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gridSpan w:val="2"/>
            <w:tcBorders>
              <w:top w:val="single" w:color="auto" w:sz="6" w:space="0"/>
              <w:left w:val="single" w:color="auto" w:sz="6" w:space="0"/>
              <w:bottom w:val="single" w:color="auto" w:sz="8" w:space="0"/>
              <w:right w:val="single" w:color="auto" w:sz="6" w:space="0"/>
            </w:tcBorders>
            <w:tcMar>
              <w:left w:w="10" w:type="dxa"/>
              <w:top w:w="0" w:type="dxa"/>
              <w:right w:w="10" w:type="dxa"/>
              <w:bottom w:w="0" w:type="dxa"/>
            </w:tcMar>
            <w:tcW w:w="211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top w:val="single" w:color="auto" w:sz="6" w:space="0"/>
              <w:left w:val="single" w:color="auto" w:sz="6" w:space="0"/>
              <w:bottom w:val="single" w:color="auto" w:sz="8" w:space="0"/>
              <w:right w:val="single" w:color="auto" w:sz="8" w:space="0"/>
            </w:tcBorders>
            <w:tcMar>
              <w:left w:w="10" w:type="dxa"/>
              <w:top w:w="0" w:type="dxa"/>
              <w:right w:w="10" w:type="dxa"/>
              <w:bottom w:w="0" w:type="dxa"/>
            </w:tcMar>
            <w:tcW w:w="287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284"/>
        </w:trPr>
        <w:tc>
          <w:tcPr>
            <w:tcBorders>
              <w:top w:val="single" w:color="auto" w:sz="6" w:space="0"/>
              <w:left w:val="single" w:color="auto" w:sz="8" w:space="0"/>
              <w:bottom w:val="single" w:color="auto" w:sz="8" w:space="0"/>
              <w:right w:val="single" w:color="auto" w:sz="6" w:space="0"/>
            </w:tcBorders>
            <w:tcMar>
              <w:left w:w="10" w:type="dxa"/>
              <w:top w:w="0" w:type="dxa"/>
              <w:right w:w="10" w:type="dxa"/>
              <w:bottom w:w="0" w:type="dxa"/>
            </w:tcMar>
            <w:tcW w:w="64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8" w:space="0"/>
              <w:right w:val="single" w:color="auto" w:sz="6" w:space="0"/>
            </w:tcBorders>
            <w:tcMar>
              <w:left w:w="10" w:type="dxa"/>
              <w:top w:w="0" w:type="dxa"/>
              <w:right w:w="10" w:type="dxa"/>
              <w:bottom w:w="0" w:type="dxa"/>
            </w:tcMar>
            <w:tcW w:w="106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8" w:space="0"/>
              <w:right w:val="single" w:color="auto" w:sz="6" w:space="0"/>
            </w:tcBorders>
            <w:tcMar>
              <w:left w:w="10" w:type="dxa"/>
              <w:top w:w="0" w:type="dxa"/>
              <w:right w:w="10" w:type="dxa"/>
              <w:bottom w:w="0" w:type="dxa"/>
            </w:tcMar>
            <w:tcW w:w="261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Borders>
              <w:top w:val="single" w:color="auto" w:sz="6" w:space="0"/>
              <w:left w:val="single" w:color="auto" w:sz="6" w:space="0"/>
              <w:bottom w:val="single" w:color="auto" w:sz="8" w:space="0"/>
              <w:right w:val="single" w:color="auto" w:sz="6" w:space="0"/>
            </w:tcBorders>
            <w:tcMar>
              <w:left w:w="10" w:type="dxa"/>
              <w:top w:w="0" w:type="dxa"/>
              <w:right w:w="10" w:type="dxa"/>
              <w:bottom w:w="0" w:type="dxa"/>
            </w:tcMar>
            <w:tcW w:w="211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8" w:space="0"/>
              <w:right w:val="single" w:color="auto" w:sz="8" w:space="0"/>
            </w:tcBorders>
            <w:tcMar>
              <w:left w:w="10" w:type="dxa"/>
              <w:top w:w="0" w:type="dxa"/>
              <w:right w:w="10" w:type="dxa"/>
              <w:bottom w:w="0" w:type="dxa"/>
            </w:tcMar>
            <w:tcW w:w="287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84"/>
        </w:trPr>
        <w:tc>
          <w:tcPr>
            <w:tcBorders>
              <w:top w:val="single" w:color="auto" w:sz="6" w:space="0"/>
              <w:left w:val="single" w:color="auto" w:sz="8" w:space="0"/>
              <w:bottom w:val="single" w:color="auto" w:sz="8" w:space="0"/>
              <w:right w:val="single" w:color="auto" w:sz="6" w:space="0"/>
            </w:tcBorders>
            <w:tcMar>
              <w:left w:w="10" w:type="dxa"/>
              <w:top w:w="0" w:type="dxa"/>
              <w:right w:w="10" w:type="dxa"/>
              <w:bottom w:w="0" w:type="dxa"/>
            </w:tcMar>
            <w:tcW w:w="64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8" w:space="0"/>
              <w:right w:val="single" w:color="auto" w:sz="6" w:space="0"/>
            </w:tcBorders>
            <w:tcMar>
              <w:left w:w="10" w:type="dxa"/>
              <w:top w:w="0" w:type="dxa"/>
              <w:right w:w="10" w:type="dxa"/>
              <w:bottom w:w="0" w:type="dxa"/>
            </w:tcMar>
            <w:tcW w:w="106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8" w:space="0"/>
              <w:right w:val="single" w:color="auto" w:sz="6" w:space="0"/>
            </w:tcBorders>
            <w:tcMar>
              <w:left w:w="10" w:type="dxa"/>
              <w:top w:w="0" w:type="dxa"/>
              <w:right w:w="10" w:type="dxa"/>
              <w:bottom w:w="0" w:type="dxa"/>
            </w:tcMar>
            <w:tcW w:w="261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Borders>
              <w:top w:val="single" w:color="auto" w:sz="6" w:space="0"/>
              <w:left w:val="single" w:color="auto" w:sz="6" w:space="0"/>
              <w:bottom w:val="single" w:color="auto" w:sz="8" w:space="0"/>
              <w:right w:val="single" w:color="auto" w:sz="6" w:space="0"/>
            </w:tcBorders>
            <w:tcMar>
              <w:left w:w="10" w:type="dxa"/>
              <w:top w:w="0" w:type="dxa"/>
              <w:right w:w="10" w:type="dxa"/>
              <w:bottom w:w="0" w:type="dxa"/>
            </w:tcMar>
            <w:tcW w:w="211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8" w:space="0"/>
              <w:right w:val="single" w:color="auto" w:sz="8" w:space="0"/>
            </w:tcBorders>
            <w:tcMar>
              <w:left w:w="10" w:type="dxa"/>
              <w:top w:w="0" w:type="dxa"/>
              <w:right w:w="10" w:type="dxa"/>
              <w:bottom w:w="0" w:type="dxa"/>
            </w:tcMar>
            <w:tcW w:w="287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84"/>
        </w:trPr>
        <w:tc>
          <w:tcPr>
            <w:tcBorders>
              <w:top w:val="single" w:color="auto" w:sz="6" w:space="0"/>
              <w:left w:val="single" w:color="auto" w:sz="8" w:space="0"/>
              <w:bottom w:val="single" w:color="auto" w:sz="8" w:space="0"/>
              <w:right w:val="single" w:color="auto" w:sz="6" w:space="0"/>
            </w:tcBorders>
            <w:tcMar>
              <w:left w:w="10" w:type="dxa"/>
              <w:top w:w="0" w:type="dxa"/>
              <w:right w:w="10" w:type="dxa"/>
              <w:bottom w:w="0" w:type="dxa"/>
            </w:tcMar>
            <w:tcW w:w="64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8" w:space="0"/>
              <w:right w:val="single" w:color="auto" w:sz="6" w:space="0"/>
            </w:tcBorders>
            <w:tcMar>
              <w:left w:w="10" w:type="dxa"/>
              <w:top w:w="0" w:type="dxa"/>
              <w:right w:w="10" w:type="dxa"/>
              <w:bottom w:w="0" w:type="dxa"/>
            </w:tcMar>
            <w:tcW w:w="106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8" w:space="0"/>
              <w:right w:val="single" w:color="auto" w:sz="6" w:space="0"/>
            </w:tcBorders>
            <w:tcMar>
              <w:left w:w="10" w:type="dxa"/>
              <w:top w:w="0" w:type="dxa"/>
              <w:right w:w="10" w:type="dxa"/>
              <w:bottom w:w="0" w:type="dxa"/>
            </w:tcMar>
            <w:tcW w:w="261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Borders>
              <w:top w:val="single" w:color="auto" w:sz="6" w:space="0"/>
              <w:left w:val="single" w:color="auto" w:sz="6" w:space="0"/>
              <w:bottom w:val="single" w:color="auto" w:sz="8" w:space="0"/>
              <w:right w:val="single" w:color="auto" w:sz="6" w:space="0"/>
            </w:tcBorders>
            <w:tcMar>
              <w:left w:w="10" w:type="dxa"/>
              <w:top w:w="0" w:type="dxa"/>
              <w:right w:w="10" w:type="dxa"/>
              <w:bottom w:w="0" w:type="dxa"/>
            </w:tcMar>
            <w:tcW w:w="211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8" w:space="0"/>
              <w:right w:val="single" w:color="auto" w:sz="8" w:space="0"/>
            </w:tcBorders>
            <w:tcMar>
              <w:left w:w="10" w:type="dxa"/>
              <w:top w:w="0" w:type="dxa"/>
              <w:right w:w="10" w:type="dxa"/>
              <w:bottom w:w="0" w:type="dxa"/>
            </w:tcMar>
            <w:tcW w:w="287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84"/>
        </w:trPr>
        <w:tc>
          <w:tcPr>
            <w:tcBorders>
              <w:top w:val="single" w:color="auto" w:sz="6" w:space="0"/>
              <w:left w:val="single" w:color="auto" w:sz="8" w:space="0"/>
              <w:bottom w:val="single" w:color="auto" w:sz="8" w:space="0"/>
              <w:right w:val="single" w:color="auto" w:sz="6" w:space="0"/>
            </w:tcBorders>
            <w:tcMar>
              <w:left w:w="10" w:type="dxa"/>
              <w:top w:w="0" w:type="dxa"/>
              <w:right w:w="10" w:type="dxa"/>
              <w:bottom w:w="0" w:type="dxa"/>
            </w:tcMar>
            <w:tcW w:w="64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8" w:space="0"/>
              <w:right w:val="single" w:color="auto" w:sz="6" w:space="0"/>
            </w:tcBorders>
            <w:tcMar>
              <w:left w:w="10" w:type="dxa"/>
              <w:top w:w="0" w:type="dxa"/>
              <w:right w:w="10" w:type="dxa"/>
              <w:bottom w:w="0" w:type="dxa"/>
            </w:tcMar>
            <w:tcW w:w="106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8" w:space="0"/>
              <w:right w:val="single" w:color="auto" w:sz="6" w:space="0"/>
            </w:tcBorders>
            <w:tcMar>
              <w:left w:w="10" w:type="dxa"/>
              <w:top w:w="0" w:type="dxa"/>
              <w:right w:w="10" w:type="dxa"/>
              <w:bottom w:w="0" w:type="dxa"/>
            </w:tcMar>
            <w:tcW w:w="261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Borders>
              <w:top w:val="single" w:color="auto" w:sz="6" w:space="0"/>
              <w:left w:val="single" w:color="auto" w:sz="6" w:space="0"/>
              <w:bottom w:val="single" w:color="auto" w:sz="8" w:space="0"/>
              <w:right w:val="single" w:color="auto" w:sz="6" w:space="0"/>
            </w:tcBorders>
            <w:tcMar>
              <w:left w:w="10" w:type="dxa"/>
              <w:top w:w="0" w:type="dxa"/>
              <w:right w:w="10" w:type="dxa"/>
              <w:bottom w:w="0" w:type="dxa"/>
            </w:tcMar>
            <w:tcW w:w="211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8" w:space="0"/>
              <w:right w:val="single" w:color="auto" w:sz="8" w:space="0"/>
            </w:tcBorders>
            <w:tcMar>
              <w:left w:w="10" w:type="dxa"/>
              <w:top w:w="0" w:type="dxa"/>
              <w:right w:w="10" w:type="dxa"/>
              <w:bottom w:w="0" w:type="dxa"/>
            </w:tcMar>
            <w:tcW w:w="287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84"/>
        </w:trPr>
        <w:tc>
          <w:tcPr>
            <w:tcBorders>
              <w:top w:val="single" w:color="auto" w:sz="6" w:space="0"/>
              <w:left w:val="single" w:color="auto" w:sz="8" w:space="0"/>
              <w:bottom w:val="single" w:color="auto" w:sz="8" w:space="0"/>
              <w:right w:val="single" w:color="auto" w:sz="6" w:space="0"/>
            </w:tcBorders>
            <w:tcMar>
              <w:left w:w="10" w:type="dxa"/>
              <w:top w:w="0" w:type="dxa"/>
              <w:right w:w="10" w:type="dxa"/>
              <w:bottom w:w="0" w:type="dxa"/>
            </w:tcMar>
            <w:tcW w:w="64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8" w:space="0"/>
              <w:right w:val="single" w:color="auto" w:sz="6" w:space="0"/>
            </w:tcBorders>
            <w:tcMar>
              <w:left w:w="10" w:type="dxa"/>
              <w:top w:w="0" w:type="dxa"/>
              <w:right w:w="10" w:type="dxa"/>
              <w:bottom w:w="0" w:type="dxa"/>
            </w:tcMar>
            <w:tcW w:w="106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8" w:space="0"/>
              <w:right w:val="single" w:color="auto" w:sz="6" w:space="0"/>
            </w:tcBorders>
            <w:tcMar>
              <w:left w:w="10" w:type="dxa"/>
              <w:top w:w="0" w:type="dxa"/>
              <w:right w:w="10" w:type="dxa"/>
              <w:bottom w:w="0" w:type="dxa"/>
            </w:tcMar>
            <w:tcW w:w="261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Borders>
              <w:top w:val="single" w:color="auto" w:sz="6" w:space="0"/>
              <w:left w:val="single" w:color="auto" w:sz="6" w:space="0"/>
              <w:bottom w:val="single" w:color="auto" w:sz="8" w:space="0"/>
              <w:right w:val="single" w:color="auto" w:sz="6" w:space="0"/>
            </w:tcBorders>
            <w:tcMar>
              <w:left w:w="10" w:type="dxa"/>
              <w:top w:w="0" w:type="dxa"/>
              <w:right w:w="10" w:type="dxa"/>
              <w:bottom w:w="0" w:type="dxa"/>
            </w:tcMar>
            <w:tcW w:w="211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8" w:space="0"/>
              <w:right w:val="single" w:color="auto" w:sz="8" w:space="0"/>
            </w:tcBorders>
            <w:tcMar>
              <w:left w:w="10" w:type="dxa"/>
              <w:top w:w="0" w:type="dxa"/>
              <w:right w:w="10" w:type="dxa"/>
              <w:bottom w:w="0" w:type="dxa"/>
            </w:tcMar>
            <w:tcW w:w="287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84"/>
        </w:trPr>
        <w:tc>
          <w:tcPr>
            <w:tcBorders>
              <w:top w:val="single" w:color="auto" w:sz="6" w:space="0"/>
              <w:left w:val="single" w:color="auto" w:sz="8" w:space="0"/>
              <w:bottom w:val="single" w:color="auto" w:sz="8" w:space="0"/>
              <w:right w:val="single" w:color="auto" w:sz="6" w:space="0"/>
            </w:tcBorders>
            <w:tcMar>
              <w:left w:w="10" w:type="dxa"/>
              <w:top w:w="0" w:type="dxa"/>
              <w:right w:w="10" w:type="dxa"/>
              <w:bottom w:w="0" w:type="dxa"/>
            </w:tcMar>
            <w:tcW w:w="64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8" w:space="0"/>
              <w:right w:val="single" w:color="auto" w:sz="6" w:space="0"/>
            </w:tcBorders>
            <w:tcMar>
              <w:left w:w="10" w:type="dxa"/>
              <w:top w:w="0" w:type="dxa"/>
              <w:right w:w="10" w:type="dxa"/>
              <w:bottom w:w="0" w:type="dxa"/>
            </w:tcMar>
            <w:tcW w:w="106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8" w:space="0"/>
              <w:right w:val="single" w:color="auto" w:sz="6" w:space="0"/>
            </w:tcBorders>
            <w:tcMar>
              <w:left w:w="10" w:type="dxa"/>
              <w:top w:w="0" w:type="dxa"/>
              <w:right w:w="10" w:type="dxa"/>
              <w:bottom w:w="0" w:type="dxa"/>
            </w:tcMar>
            <w:tcW w:w="261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Borders>
              <w:top w:val="single" w:color="auto" w:sz="6" w:space="0"/>
              <w:left w:val="single" w:color="auto" w:sz="6" w:space="0"/>
              <w:bottom w:val="single" w:color="auto" w:sz="8" w:space="0"/>
              <w:right w:val="single" w:color="auto" w:sz="6" w:space="0"/>
            </w:tcBorders>
            <w:tcMar>
              <w:left w:w="10" w:type="dxa"/>
              <w:top w:w="0" w:type="dxa"/>
              <w:right w:w="10" w:type="dxa"/>
              <w:bottom w:w="0" w:type="dxa"/>
            </w:tcMar>
            <w:tcW w:w="211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8" w:space="0"/>
              <w:right w:val="single" w:color="auto" w:sz="8" w:space="0"/>
            </w:tcBorders>
            <w:tcMar>
              <w:left w:w="10" w:type="dxa"/>
              <w:top w:w="0" w:type="dxa"/>
              <w:right w:w="10" w:type="dxa"/>
              <w:bottom w:w="0" w:type="dxa"/>
            </w:tcMar>
            <w:tcW w:w="287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84"/>
        </w:trPr>
        <w:tc>
          <w:tcPr>
            <w:tcBorders>
              <w:top w:val="single" w:color="auto" w:sz="6" w:space="0"/>
              <w:left w:val="single" w:color="auto" w:sz="8" w:space="0"/>
              <w:bottom w:val="single" w:color="auto" w:sz="8" w:space="0"/>
              <w:right w:val="single" w:color="auto" w:sz="6" w:space="0"/>
            </w:tcBorders>
            <w:tcMar>
              <w:left w:w="10" w:type="dxa"/>
              <w:top w:w="0" w:type="dxa"/>
              <w:right w:w="10" w:type="dxa"/>
              <w:bottom w:w="0" w:type="dxa"/>
            </w:tcMar>
            <w:tcW w:w="64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8" w:space="0"/>
              <w:right w:val="single" w:color="auto" w:sz="6" w:space="0"/>
            </w:tcBorders>
            <w:tcMar>
              <w:left w:w="10" w:type="dxa"/>
              <w:top w:w="0" w:type="dxa"/>
              <w:right w:w="10" w:type="dxa"/>
              <w:bottom w:w="0" w:type="dxa"/>
            </w:tcMar>
            <w:tcW w:w="106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8" w:space="0"/>
              <w:right w:val="single" w:color="auto" w:sz="6" w:space="0"/>
            </w:tcBorders>
            <w:tcMar>
              <w:left w:w="10" w:type="dxa"/>
              <w:top w:w="0" w:type="dxa"/>
              <w:right w:w="10" w:type="dxa"/>
              <w:bottom w:w="0" w:type="dxa"/>
            </w:tcMar>
            <w:tcW w:w="261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Borders>
              <w:top w:val="single" w:color="auto" w:sz="6" w:space="0"/>
              <w:left w:val="single" w:color="auto" w:sz="6" w:space="0"/>
              <w:bottom w:val="single" w:color="auto" w:sz="8" w:space="0"/>
              <w:right w:val="single" w:color="auto" w:sz="6" w:space="0"/>
            </w:tcBorders>
            <w:tcMar>
              <w:left w:w="10" w:type="dxa"/>
              <w:top w:w="0" w:type="dxa"/>
              <w:right w:w="10" w:type="dxa"/>
              <w:bottom w:w="0" w:type="dxa"/>
            </w:tcMar>
            <w:tcW w:w="211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8" w:space="0"/>
              <w:right w:val="single" w:color="auto" w:sz="8" w:space="0"/>
            </w:tcBorders>
            <w:tcMar>
              <w:left w:w="10" w:type="dxa"/>
              <w:top w:w="0" w:type="dxa"/>
              <w:right w:w="10" w:type="dxa"/>
              <w:bottom w:w="0" w:type="dxa"/>
            </w:tcMar>
            <w:tcW w:w="287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84"/>
        </w:trPr>
        <w:tc>
          <w:tcPr>
            <w:tcBorders>
              <w:top w:val="single" w:color="auto" w:sz="6" w:space="0"/>
              <w:left w:val="single" w:color="auto" w:sz="8" w:space="0"/>
              <w:bottom w:val="single" w:color="auto" w:sz="8" w:space="0"/>
              <w:right w:val="single" w:color="auto" w:sz="6" w:space="0"/>
            </w:tcBorders>
            <w:tcMar>
              <w:left w:w="10" w:type="dxa"/>
              <w:top w:w="0" w:type="dxa"/>
              <w:right w:w="10" w:type="dxa"/>
              <w:bottom w:w="0" w:type="dxa"/>
            </w:tcMar>
            <w:tcW w:w="64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8" w:space="0"/>
              <w:right w:val="single" w:color="auto" w:sz="6" w:space="0"/>
            </w:tcBorders>
            <w:tcMar>
              <w:left w:w="10" w:type="dxa"/>
              <w:top w:w="0" w:type="dxa"/>
              <w:right w:w="10" w:type="dxa"/>
              <w:bottom w:w="0" w:type="dxa"/>
            </w:tcMar>
            <w:tcW w:w="106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8" w:space="0"/>
              <w:right w:val="single" w:color="auto" w:sz="6" w:space="0"/>
            </w:tcBorders>
            <w:tcMar>
              <w:left w:w="10" w:type="dxa"/>
              <w:top w:w="0" w:type="dxa"/>
              <w:right w:w="10" w:type="dxa"/>
              <w:bottom w:w="0" w:type="dxa"/>
            </w:tcMar>
            <w:tcW w:w="261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Borders>
              <w:top w:val="single" w:color="auto" w:sz="6" w:space="0"/>
              <w:left w:val="single" w:color="auto" w:sz="6" w:space="0"/>
              <w:bottom w:val="single" w:color="auto" w:sz="8" w:space="0"/>
              <w:right w:val="single" w:color="auto" w:sz="6" w:space="0"/>
            </w:tcBorders>
            <w:tcMar>
              <w:left w:w="10" w:type="dxa"/>
              <w:top w:w="0" w:type="dxa"/>
              <w:right w:w="10" w:type="dxa"/>
              <w:bottom w:w="0" w:type="dxa"/>
            </w:tcMar>
            <w:tcW w:w="211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8" w:space="0"/>
              <w:right w:val="single" w:color="auto" w:sz="8" w:space="0"/>
            </w:tcBorders>
            <w:tcMar>
              <w:left w:w="10" w:type="dxa"/>
              <w:top w:w="0" w:type="dxa"/>
              <w:right w:w="10" w:type="dxa"/>
              <w:bottom w:w="0" w:type="dxa"/>
            </w:tcMar>
            <w:tcW w:w="287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84"/>
        </w:trPr>
        <w:tc>
          <w:tcPr>
            <w:tcBorders>
              <w:top w:val="single" w:color="auto" w:sz="6" w:space="0"/>
              <w:left w:val="single" w:color="auto" w:sz="8" w:space="0"/>
              <w:bottom w:val="single" w:color="auto" w:sz="8" w:space="0"/>
              <w:right w:val="single" w:color="auto" w:sz="6" w:space="0"/>
            </w:tcBorders>
            <w:tcMar>
              <w:left w:w="10" w:type="dxa"/>
              <w:top w:w="0" w:type="dxa"/>
              <w:right w:w="10" w:type="dxa"/>
              <w:bottom w:w="0" w:type="dxa"/>
            </w:tcMar>
            <w:tcW w:w="64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8" w:space="0"/>
              <w:right w:val="single" w:color="auto" w:sz="6" w:space="0"/>
            </w:tcBorders>
            <w:tcMar>
              <w:left w:w="10" w:type="dxa"/>
              <w:top w:w="0" w:type="dxa"/>
              <w:right w:w="10" w:type="dxa"/>
              <w:bottom w:w="0" w:type="dxa"/>
            </w:tcMar>
            <w:tcW w:w="106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8" w:space="0"/>
              <w:right w:val="single" w:color="auto" w:sz="6" w:space="0"/>
            </w:tcBorders>
            <w:tcMar>
              <w:left w:w="10" w:type="dxa"/>
              <w:top w:w="0" w:type="dxa"/>
              <w:right w:w="10" w:type="dxa"/>
              <w:bottom w:w="0" w:type="dxa"/>
            </w:tcMar>
            <w:tcW w:w="261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Borders>
              <w:top w:val="single" w:color="auto" w:sz="6" w:space="0"/>
              <w:left w:val="single" w:color="auto" w:sz="6" w:space="0"/>
              <w:bottom w:val="single" w:color="auto" w:sz="8" w:space="0"/>
              <w:right w:val="single" w:color="auto" w:sz="6" w:space="0"/>
            </w:tcBorders>
            <w:tcMar>
              <w:left w:w="10" w:type="dxa"/>
              <w:top w:w="0" w:type="dxa"/>
              <w:right w:w="10" w:type="dxa"/>
              <w:bottom w:w="0" w:type="dxa"/>
            </w:tcMar>
            <w:tcW w:w="211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8" w:space="0"/>
              <w:right w:val="single" w:color="auto" w:sz="8" w:space="0"/>
            </w:tcBorders>
            <w:tcMar>
              <w:left w:w="10" w:type="dxa"/>
              <w:top w:w="0" w:type="dxa"/>
              <w:right w:w="10" w:type="dxa"/>
              <w:bottom w:w="0" w:type="dxa"/>
            </w:tcMar>
            <w:tcW w:w="287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84"/>
        </w:trPr>
        <w:tc>
          <w:tcPr>
            <w:tcBorders>
              <w:top w:val="single" w:color="auto" w:sz="6" w:space="0"/>
              <w:left w:val="single" w:color="auto" w:sz="8" w:space="0"/>
              <w:bottom w:val="single" w:color="auto" w:sz="8" w:space="0"/>
              <w:right w:val="single" w:color="auto" w:sz="6" w:space="0"/>
            </w:tcBorders>
            <w:tcMar>
              <w:left w:w="10" w:type="dxa"/>
              <w:top w:w="0" w:type="dxa"/>
              <w:right w:w="10" w:type="dxa"/>
              <w:bottom w:w="0" w:type="dxa"/>
            </w:tcMar>
            <w:tcW w:w="64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8" w:space="0"/>
              <w:right w:val="single" w:color="auto" w:sz="6" w:space="0"/>
            </w:tcBorders>
            <w:tcMar>
              <w:left w:w="10" w:type="dxa"/>
              <w:top w:w="0" w:type="dxa"/>
              <w:right w:w="10" w:type="dxa"/>
              <w:bottom w:w="0" w:type="dxa"/>
            </w:tcMar>
            <w:tcW w:w="106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8" w:space="0"/>
              <w:right w:val="single" w:color="auto" w:sz="6" w:space="0"/>
            </w:tcBorders>
            <w:tcMar>
              <w:left w:w="10" w:type="dxa"/>
              <w:top w:w="0" w:type="dxa"/>
              <w:right w:w="10" w:type="dxa"/>
              <w:bottom w:w="0" w:type="dxa"/>
            </w:tcMar>
            <w:tcW w:w="261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Borders>
              <w:top w:val="single" w:color="auto" w:sz="6" w:space="0"/>
              <w:left w:val="single" w:color="auto" w:sz="6" w:space="0"/>
              <w:bottom w:val="single" w:color="auto" w:sz="8" w:space="0"/>
              <w:right w:val="single" w:color="auto" w:sz="6" w:space="0"/>
            </w:tcBorders>
            <w:tcMar>
              <w:left w:w="10" w:type="dxa"/>
              <w:top w:w="0" w:type="dxa"/>
              <w:right w:w="10" w:type="dxa"/>
              <w:bottom w:w="0" w:type="dxa"/>
            </w:tcMar>
            <w:tcW w:w="211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8" w:space="0"/>
              <w:right w:val="single" w:color="auto" w:sz="8" w:space="0"/>
            </w:tcBorders>
            <w:tcMar>
              <w:left w:w="10" w:type="dxa"/>
              <w:top w:w="0" w:type="dxa"/>
              <w:right w:w="10" w:type="dxa"/>
              <w:bottom w:w="0" w:type="dxa"/>
            </w:tcMar>
            <w:tcW w:w="287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84"/>
        </w:trPr>
        <w:tc>
          <w:tcPr>
            <w:tcBorders>
              <w:top w:val="single" w:color="auto" w:sz="6" w:space="0"/>
              <w:left w:val="single" w:color="auto" w:sz="8" w:space="0"/>
              <w:bottom w:val="single" w:color="auto" w:sz="8" w:space="0"/>
              <w:right w:val="single" w:color="auto" w:sz="6" w:space="0"/>
            </w:tcBorders>
            <w:tcMar>
              <w:left w:w="10" w:type="dxa"/>
              <w:top w:w="0" w:type="dxa"/>
              <w:right w:w="10" w:type="dxa"/>
              <w:bottom w:w="0" w:type="dxa"/>
            </w:tcMar>
            <w:tcW w:w="64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8" w:space="0"/>
              <w:right w:val="single" w:color="auto" w:sz="6" w:space="0"/>
            </w:tcBorders>
            <w:tcMar>
              <w:left w:w="10" w:type="dxa"/>
              <w:top w:w="0" w:type="dxa"/>
              <w:right w:w="10" w:type="dxa"/>
              <w:bottom w:w="0" w:type="dxa"/>
            </w:tcMar>
            <w:tcW w:w="106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8" w:space="0"/>
              <w:right w:val="single" w:color="auto" w:sz="6" w:space="0"/>
            </w:tcBorders>
            <w:tcMar>
              <w:left w:w="10" w:type="dxa"/>
              <w:top w:w="0" w:type="dxa"/>
              <w:right w:w="10" w:type="dxa"/>
              <w:bottom w:w="0" w:type="dxa"/>
            </w:tcMar>
            <w:tcW w:w="261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Borders>
              <w:top w:val="single" w:color="auto" w:sz="6" w:space="0"/>
              <w:left w:val="single" w:color="auto" w:sz="6" w:space="0"/>
              <w:bottom w:val="single" w:color="auto" w:sz="8" w:space="0"/>
              <w:right w:val="single" w:color="auto" w:sz="6" w:space="0"/>
            </w:tcBorders>
            <w:tcMar>
              <w:left w:w="10" w:type="dxa"/>
              <w:top w:w="0" w:type="dxa"/>
              <w:right w:w="10" w:type="dxa"/>
              <w:bottom w:w="0" w:type="dxa"/>
            </w:tcMar>
            <w:tcW w:w="211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8" w:space="0"/>
              <w:right w:val="single" w:color="auto" w:sz="8" w:space="0"/>
            </w:tcBorders>
            <w:tcMar>
              <w:left w:w="10" w:type="dxa"/>
              <w:top w:w="0" w:type="dxa"/>
              <w:right w:w="10" w:type="dxa"/>
              <w:bottom w:w="0" w:type="dxa"/>
            </w:tcMar>
            <w:tcW w:w="287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84"/>
        </w:trPr>
        <w:tc>
          <w:tcPr>
            <w:tcBorders>
              <w:top w:val="single" w:color="auto" w:sz="6" w:space="0"/>
              <w:left w:val="single" w:color="auto" w:sz="8" w:space="0"/>
              <w:bottom w:val="single" w:color="auto" w:sz="8" w:space="0"/>
              <w:right w:val="single" w:color="auto" w:sz="6" w:space="0"/>
            </w:tcBorders>
            <w:tcMar>
              <w:left w:w="10" w:type="dxa"/>
              <w:top w:w="0" w:type="dxa"/>
              <w:right w:w="10" w:type="dxa"/>
              <w:bottom w:w="0" w:type="dxa"/>
            </w:tcMar>
            <w:tcW w:w="64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8" w:space="0"/>
              <w:right w:val="single" w:color="auto" w:sz="6" w:space="0"/>
            </w:tcBorders>
            <w:tcMar>
              <w:left w:w="10" w:type="dxa"/>
              <w:top w:w="0" w:type="dxa"/>
              <w:right w:w="10" w:type="dxa"/>
              <w:bottom w:w="0" w:type="dxa"/>
            </w:tcMar>
            <w:tcW w:w="106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8" w:space="0"/>
              <w:right w:val="single" w:color="auto" w:sz="6" w:space="0"/>
            </w:tcBorders>
            <w:tcMar>
              <w:left w:w="10" w:type="dxa"/>
              <w:top w:w="0" w:type="dxa"/>
              <w:right w:w="10" w:type="dxa"/>
              <w:bottom w:w="0" w:type="dxa"/>
            </w:tcMar>
            <w:tcW w:w="261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Borders>
              <w:top w:val="single" w:color="auto" w:sz="6" w:space="0"/>
              <w:left w:val="single" w:color="auto" w:sz="6" w:space="0"/>
              <w:bottom w:val="single" w:color="auto" w:sz="8" w:space="0"/>
              <w:right w:val="single" w:color="auto" w:sz="6" w:space="0"/>
            </w:tcBorders>
            <w:tcMar>
              <w:left w:w="10" w:type="dxa"/>
              <w:top w:w="0" w:type="dxa"/>
              <w:right w:w="10" w:type="dxa"/>
              <w:bottom w:w="0" w:type="dxa"/>
            </w:tcMar>
            <w:tcW w:w="211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8" w:space="0"/>
              <w:right w:val="single" w:color="auto" w:sz="8" w:space="0"/>
            </w:tcBorders>
            <w:tcMar>
              <w:left w:w="10" w:type="dxa"/>
              <w:top w:w="0" w:type="dxa"/>
              <w:right w:w="10" w:type="dxa"/>
              <w:bottom w:w="0" w:type="dxa"/>
            </w:tcMar>
            <w:tcW w:w="287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84"/>
        </w:trPr>
        <w:tc>
          <w:tcPr>
            <w:tcBorders>
              <w:top w:val="single" w:color="auto" w:sz="6" w:space="0"/>
              <w:left w:val="single" w:color="auto" w:sz="8" w:space="0"/>
              <w:bottom w:val="single" w:color="auto" w:sz="8" w:space="0"/>
              <w:right w:val="single" w:color="auto" w:sz="6" w:space="0"/>
            </w:tcBorders>
            <w:tcMar>
              <w:left w:w="10" w:type="dxa"/>
              <w:top w:w="0" w:type="dxa"/>
              <w:right w:w="10" w:type="dxa"/>
              <w:bottom w:w="0" w:type="dxa"/>
            </w:tcMar>
            <w:tcW w:w="64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8" w:space="0"/>
              <w:right w:val="single" w:color="auto" w:sz="6" w:space="0"/>
            </w:tcBorders>
            <w:tcMar>
              <w:left w:w="10" w:type="dxa"/>
              <w:top w:w="0" w:type="dxa"/>
              <w:right w:w="10" w:type="dxa"/>
              <w:bottom w:w="0" w:type="dxa"/>
            </w:tcMar>
            <w:tcW w:w="106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8" w:space="0"/>
              <w:right w:val="single" w:color="auto" w:sz="6" w:space="0"/>
            </w:tcBorders>
            <w:tcMar>
              <w:left w:w="10" w:type="dxa"/>
              <w:top w:w="0" w:type="dxa"/>
              <w:right w:w="10" w:type="dxa"/>
              <w:bottom w:w="0" w:type="dxa"/>
            </w:tcMar>
            <w:tcW w:w="261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Borders>
              <w:top w:val="single" w:color="auto" w:sz="6" w:space="0"/>
              <w:left w:val="single" w:color="auto" w:sz="6" w:space="0"/>
              <w:bottom w:val="single" w:color="auto" w:sz="8" w:space="0"/>
              <w:right w:val="single" w:color="auto" w:sz="6" w:space="0"/>
            </w:tcBorders>
            <w:tcMar>
              <w:left w:w="10" w:type="dxa"/>
              <w:top w:w="0" w:type="dxa"/>
              <w:right w:w="10" w:type="dxa"/>
              <w:bottom w:w="0" w:type="dxa"/>
            </w:tcMar>
            <w:tcW w:w="211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8" w:space="0"/>
              <w:right w:val="single" w:color="auto" w:sz="8" w:space="0"/>
            </w:tcBorders>
            <w:tcMar>
              <w:left w:w="10" w:type="dxa"/>
              <w:top w:w="0" w:type="dxa"/>
              <w:right w:w="10" w:type="dxa"/>
              <w:bottom w:w="0" w:type="dxa"/>
            </w:tcMar>
            <w:tcW w:w="287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84"/>
        </w:trPr>
        <w:tc>
          <w:tcPr>
            <w:tcBorders>
              <w:top w:val="single" w:color="auto" w:sz="6" w:space="0"/>
              <w:left w:val="single" w:color="auto" w:sz="8" w:space="0"/>
              <w:bottom w:val="single" w:color="auto" w:sz="8" w:space="0"/>
              <w:right w:val="single" w:color="auto" w:sz="6" w:space="0"/>
            </w:tcBorders>
            <w:tcMar>
              <w:left w:w="10" w:type="dxa"/>
              <w:top w:w="0" w:type="dxa"/>
              <w:right w:w="10" w:type="dxa"/>
              <w:bottom w:w="0" w:type="dxa"/>
            </w:tcMar>
            <w:tcW w:w="64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8" w:space="0"/>
              <w:right w:val="single" w:color="auto" w:sz="6" w:space="0"/>
            </w:tcBorders>
            <w:tcMar>
              <w:left w:w="10" w:type="dxa"/>
              <w:top w:w="0" w:type="dxa"/>
              <w:right w:w="10" w:type="dxa"/>
              <w:bottom w:w="0" w:type="dxa"/>
            </w:tcMar>
            <w:tcW w:w="106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8" w:space="0"/>
              <w:right w:val="single" w:color="auto" w:sz="6" w:space="0"/>
            </w:tcBorders>
            <w:tcMar>
              <w:left w:w="10" w:type="dxa"/>
              <w:top w:w="0" w:type="dxa"/>
              <w:right w:w="10" w:type="dxa"/>
              <w:bottom w:w="0" w:type="dxa"/>
            </w:tcMar>
            <w:tcW w:w="261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Borders>
              <w:top w:val="single" w:color="auto" w:sz="6" w:space="0"/>
              <w:left w:val="single" w:color="auto" w:sz="6" w:space="0"/>
              <w:bottom w:val="single" w:color="auto" w:sz="8" w:space="0"/>
              <w:right w:val="single" w:color="auto" w:sz="6" w:space="0"/>
            </w:tcBorders>
            <w:tcMar>
              <w:left w:w="10" w:type="dxa"/>
              <w:top w:w="0" w:type="dxa"/>
              <w:right w:w="10" w:type="dxa"/>
              <w:bottom w:w="0" w:type="dxa"/>
            </w:tcMar>
            <w:tcW w:w="211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8" w:space="0"/>
              <w:right w:val="single" w:color="auto" w:sz="8" w:space="0"/>
            </w:tcBorders>
            <w:tcMar>
              <w:left w:w="10" w:type="dxa"/>
              <w:top w:w="0" w:type="dxa"/>
              <w:right w:w="10" w:type="dxa"/>
              <w:bottom w:w="0" w:type="dxa"/>
            </w:tcMar>
            <w:tcW w:w="287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84"/>
        </w:trPr>
        <w:tc>
          <w:tcPr>
            <w:tcBorders>
              <w:top w:val="single" w:color="auto" w:sz="6" w:space="0"/>
              <w:left w:val="single" w:color="auto" w:sz="8" w:space="0"/>
              <w:bottom w:val="single" w:color="auto" w:sz="8" w:space="0"/>
              <w:right w:val="single" w:color="auto" w:sz="6" w:space="0"/>
            </w:tcBorders>
            <w:tcMar>
              <w:left w:w="10" w:type="dxa"/>
              <w:top w:w="0" w:type="dxa"/>
              <w:right w:w="10" w:type="dxa"/>
              <w:bottom w:w="0" w:type="dxa"/>
            </w:tcMar>
            <w:tcW w:w="64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8" w:space="0"/>
              <w:right w:val="single" w:color="auto" w:sz="6" w:space="0"/>
            </w:tcBorders>
            <w:tcMar>
              <w:left w:w="10" w:type="dxa"/>
              <w:top w:w="0" w:type="dxa"/>
              <w:right w:w="10" w:type="dxa"/>
              <w:bottom w:w="0" w:type="dxa"/>
            </w:tcMar>
            <w:tcW w:w="106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8" w:space="0"/>
              <w:right w:val="single" w:color="auto" w:sz="6" w:space="0"/>
            </w:tcBorders>
            <w:tcMar>
              <w:left w:w="10" w:type="dxa"/>
              <w:top w:w="0" w:type="dxa"/>
              <w:right w:w="10" w:type="dxa"/>
              <w:bottom w:w="0" w:type="dxa"/>
            </w:tcMar>
            <w:tcW w:w="261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Borders>
              <w:top w:val="single" w:color="auto" w:sz="6" w:space="0"/>
              <w:left w:val="single" w:color="auto" w:sz="6" w:space="0"/>
              <w:bottom w:val="single" w:color="auto" w:sz="8" w:space="0"/>
              <w:right w:val="single" w:color="auto" w:sz="6" w:space="0"/>
            </w:tcBorders>
            <w:tcMar>
              <w:left w:w="10" w:type="dxa"/>
              <w:top w:w="0" w:type="dxa"/>
              <w:right w:w="10" w:type="dxa"/>
              <w:bottom w:w="0" w:type="dxa"/>
            </w:tcMar>
            <w:tcW w:w="211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8" w:space="0"/>
              <w:right w:val="single" w:color="auto" w:sz="8" w:space="0"/>
            </w:tcBorders>
            <w:tcMar>
              <w:left w:w="10" w:type="dxa"/>
              <w:top w:w="0" w:type="dxa"/>
              <w:right w:w="10" w:type="dxa"/>
              <w:bottom w:w="0" w:type="dxa"/>
            </w:tcMar>
            <w:tcW w:w="287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84"/>
        </w:trPr>
        <w:tc>
          <w:tcPr>
            <w:tcBorders>
              <w:top w:val="single" w:color="auto" w:sz="6" w:space="0"/>
              <w:left w:val="single" w:color="auto" w:sz="8" w:space="0"/>
              <w:bottom w:val="single" w:color="auto" w:sz="8" w:space="0"/>
              <w:right w:val="single" w:color="auto" w:sz="6" w:space="0"/>
            </w:tcBorders>
            <w:tcMar>
              <w:left w:w="10" w:type="dxa"/>
              <w:top w:w="0" w:type="dxa"/>
              <w:right w:w="10" w:type="dxa"/>
              <w:bottom w:w="0" w:type="dxa"/>
            </w:tcMar>
            <w:tcW w:w="64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8" w:space="0"/>
              <w:right w:val="single" w:color="auto" w:sz="6" w:space="0"/>
            </w:tcBorders>
            <w:tcMar>
              <w:left w:w="10" w:type="dxa"/>
              <w:top w:w="0" w:type="dxa"/>
              <w:right w:w="10" w:type="dxa"/>
              <w:bottom w:w="0" w:type="dxa"/>
            </w:tcMar>
            <w:tcW w:w="106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8" w:space="0"/>
              <w:right w:val="single" w:color="auto" w:sz="6" w:space="0"/>
            </w:tcBorders>
            <w:tcMar>
              <w:left w:w="10" w:type="dxa"/>
              <w:top w:w="0" w:type="dxa"/>
              <w:right w:w="10" w:type="dxa"/>
              <w:bottom w:w="0" w:type="dxa"/>
            </w:tcMar>
            <w:tcW w:w="261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Borders>
              <w:top w:val="single" w:color="auto" w:sz="6" w:space="0"/>
              <w:left w:val="single" w:color="auto" w:sz="6" w:space="0"/>
              <w:bottom w:val="single" w:color="auto" w:sz="8" w:space="0"/>
              <w:right w:val="single" w:color="auto" w:sz="6" w:space="0"/>
            </w:tcBorders>
            <w:tcMar>
              <w:left w:w="10" w:type="dxa"/>
              <w:top w:w="0" w:type="dxa"/>
              <w:right w:w="10" w:type="dxa"/>
              <w:bottom w:w="0" w:type="dxa"/>
            </w:tcMar>
            <w:tcW w:w="211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8" w:space="0"/>
              <w:right w:val="single" w:color="auto" w:sz="8" w:space="0"/>
            </w:tcBorders>
            <w:tcMar>
              <w:left w:w="10" w:type="dxa"/>
              <w:top w:w="0" w:type="dxa"/>
              <w:right w:w="10" w:type="dxa"/>
              <w:bottom w:w="0" w:type="dxa"/>
            </w:tcMar>
            <w:tcW w:w="287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none" w:color="000000" w:sz="4" w:space="0"/>
              <w:left w:val="none" w:color="000000" w:sz="4" w:space="0"/>
              <w:bottom w:val="none" w:color="000000" w:sz="4" w:space="0"/>
              <w:right w:val="none" w:color="000000" w:sz="4" w:space="0"/>
            </w:tcBorders>
            <w:tcMar>
              <w:left w:w="10" w:type="dxa"/>
              <w:top w:w="0" w:type="dxa"/>
              <w:right w:w="10" w:type="dxa"/>
              <w:bottom w:w="0" w:type="dxa"/>
            </w:tcMar>
            <w:tcW w:w="642"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top w:val="none" w:color="000000" w:sz="4" w:space="0"/>
              <w:left w:val="none" w:color="000000" w:sz="4" w:space="0"/>
              <w:bottom w:val="none" w:color="000000" w:sz="4" w:space="0"/>
              <w:right w:val="none" w:color="000000" w:sz="4" w:space="0"/>
            </w:tcBorders>
            <w:tcMar>
              <w:left w:w="10" w:type="dxa"/>
              <w:top w:w="0" w:type="dxa"/>
              <w:right w:w="10" w:type="dxa"/>
              <w:bottom w:w="0" w:type="dxa"/>
            </w:tcMar>
            <w:tcW w:w="1060"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top w:val="none" w:color="000000" w:sz="4" w:space="0"/>
              <w:left w:val="none" w:color="000000" w:sz="4" w:space="0"/>
              <w:bottom w:val="none" w:color="000000" w:sz="4" w:space="0"/>
              <w:right w:val="none" w:color="000000" w:sz="4" w:space="0"/>
            </w:tcBorders>
            <w:tcMar>
              <w:left w:w="10" w:type="dxa"/>
              <w:top w:w="0" w:type="dxa"/>
              <w:right w:w="10" w:type="dxa"/>
              <w:bottom w:w="0" w:type="dxa"/>
            </w:tcMar>
            <w:tcW w:w="2613"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top w:val="none" w:color="000000" w:sz="4" w:space="0"/>
              <w:left w:val="none" w:color="000000" w:sz="4" w:space="0"/>
              <w:bottom w:val="none" w:color="000000" w:sz="4" w:space="0"/>
              <w:right w:val="none" w:color="000000" w:sz="4" w:space="0"/>
            </w:tcBorders>
            <w:tcMar>
              <w:left w:w="10" w:type="dxa"/>
              <w:top w:w="0" w:type="dxa"/>
              <w:right w:w="10" w:type="dxa"/>
              <w:bottom w:w="0" w:type="dxa"/>
            </w:tcMar>
            <w:tcW w:w="105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top w:val="none" w:color="000000" w:sz="4" w:space="0"/>
              <w:left w:val="none" w:color="000000" w:sz="4" w:space="0"/>
              <w:bottom w:val="none" w:color="000000" w:sz="4" w:space="0"/>
              <w:right w:val="none" w:color="000000" w:sz="4" w:space="0"/>
            </w:tcBorders>
            <w:tcMar>
              <w:left w:w="10" w:type="dxa"/>
              <w:top w:w="0" w:type="dxa"/>
              <w:right w:w="10" w:type="dxa"/>
              <w:bottom w:w="0" w:type="dxa"/>
            </w:tcMar>
            <w:tcW w:w="106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top w:val="none" w:color="000000" w:sz="4" w:space="0"/>
              <w:left w:val="none" w:color="000000" w:sz="4" w:space="0"/>
              <w:bottom w:val="none" w:color="000000" w:sz="4" w:space="0"/>
              <w:right w:val="none" w:color="000000" w:sz="4" w:space="0"/>
            </w:tcBorders>
            <w:tcMar>
              <w:left w:w="10" w:type="dxa"/>
              <w:top w:w="0" w:type="dxa"/>
              <w:right w:w="10" w:type="dxa"/>
              <w:bottom w:w="0" w:type="dxa"/>
            </w:tcMar>
            <w:tcW w:w="2874"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Pr>
        <w:tc>
          <w:tcPr>
            <w:tcBorders>
              <w:top w:val="none" w:color="000000" w:sz="4" w:space="0"/>
              <w:left w:val="none" w:color="000000" w:sz="4" w:space="0"/>
              <w:bottom w:val="none" w:color="000000" w:sz="4" w:space="0"/>
              <w:right w:val="none" w:color="000000" w:sz="4" w:space="0"/>
            </w:tcBorders>
            <w:tcW w:w="642" w:type="dxa"/>
            <w:vAlign w:val="center"/>
            <w:textDirection w:val="lrTb"/>
            <w:noWrap w:val="false"/>
          </w:tcPr>
          <w:p>
            <w:pPr>
              <w:spacing w:line="360" w:lineRule="auto"/>
              <w:widowControl/>
              <w:rPr>
                <w:rFonts w:hint="eastAsia" w:ascii="宋体" w:hAnsi="宋体" w:eastAsia="宋体" w:cs="宋体"/>
                <w:color w:val="auto"/>
                <w:sz w:val="2"/>
                <w:highlight w:val="none"/>
              </w:rPr>
            </w:pPr>
            <w:r>
              <w:rPr>
                <w:rFonts w:hint="eastAsia" w:ascii="宋体" w:hAnsi="宋体" w:eastAsia="宋体" w:cs="宋体"/>
                <w:color w:val="auto"/>
                <w:sz w:val="2"/>
                <w:highlight w:val="none"/>
              </w:rPr>
            </w:r>
            <w:r/>
          </w:p>
        </w:tc>
        <w:tc>
          <w:tcPr>
            <w:tcBorders>
              <w:top w:val="none" w:color="000000" w:sz="4" w:space="0"/>
              <w:left w:val="none" w:color="000000" w:sz="4" w:space="0"/>
              <w:bottom w:val="none" w:color="000000" w:sz="4" w:space="0"/>
              <w:right w:val="none" w:color="000000" w:sz="4" w:space="0"/>
            </w:tcBorders>
            <w:tcW w:w="1060" w:type="dxa"/>
            <w:vAlign w:val="center"/>
            <w:textDirection w:val="lrTb"/>
            <w:noWrap w:val="false"/>
          </w:tcPr>
          <w:p>
            <w:pPr>
              <w:spacing w:line="360" w:lineRule="auto"/>
              <w:widowControl/>
              <w:rPr>
                <w:rFonts w:hint="eastAsia" w:ascii="宋体" w:hAnsi="宋体" w:eastAsia="宋体" w:cs="宋体"/>
                <w:color w:val="auto"/>
                <w:sz w:val="2"/>
                <w:highlight w:val="none"/>
              </w:rPr>
            </w:pPr>
            <w:r>
              <w:rPr>
                <w:rFonts w:hint="eastAsia" w:ascii="宋体" w:hAnsi="宋体" w:eastAsia="宋体" w:cs="宋体"/>
                <w:color w:val="auto"/>
                <w:sz w:val="2"/>
                <w:highlight w:val="none"/>
              </w:rPr>
            </w:r>
            <w:r/>
          </w:p>
        </w:tc>
        <w:tc>
          <w:tcPr>
            <w:tcBorders>
              <w:top w:val="none" w:color="000000" w:sz="4" w:space="0"/>
              <w:left w:val="none" w:color="000000" w:sz="4" w:space="0"/>
              <w:bottom w:val="none" w:color="000000" w:sz="4" w:space="0"/>
              <w:right w:val="none" w:color="000000" w:sz="4" w:space="0"/>
            </w:tcBorders>
            <w:tcW w:w="2613" w:type="dxa"/>
            <w:vAlign w:val="center"/>
            <w:textDirection w:val="lrTb"/>
            <w:noWrap w:val="false"/>
          </w:tcPr>
          <w:p>
            <w:pPr>
              <w:spacing w:line="360" w:lineRule="auto"/>
              <w:widowControl/>
              <w:rPr>
                <w:rFonts w:hint="eastAsia" w:ascii="宋体" w:hAnsi="宋体" w:eastAsia="宋体" w:cs="宋体"/>
                <w:color w:val="auto"/>
                <w:sz w:val="2"/>
                <w:highlight w:val="none"/>
              </w:rPr>
            </w:pPr>
            <w:r>
              <w:rPr>
                <w:rFonts w:hint="eastAsia" w:ascii="宋体" w:hAnsi="宋体" w:eastAsia="宋体" w:cs="宋体"/>
                <w:color w:val="auto"/>
                <w:sz w:val="2"/>
                <w:highlight w:val="none"/>
              </w:rPr>
            </w:r>
            <w:r/>
          </w:p>
        </w:tc>
        <w:tc>
          <w:tcPr>
            <w:tcBorders>
              <w:top w:val="none" w:color="000000" w:sz="4" w:space="0"/>
              <w:left w:val="none" w:color="000000" w:sz="4" w:space="0"/>
              <w:bottom w:val="none" w:color="000000" w:sz="4" w:space="0"/>
              <w:right w:val="none" w:color="000000" w:sz="4" w:space="0"/>
            </w:tcBorders>
            <w:tcW w:w="1051" w:type="dxa"/>
            <w:vAlign w:val="center"/>
            <w:textDirection w:val="lrTb"/>
            <w:noWrap w:val="false"/>
          </w:tcPr>
          <w:p>
            <w:pPr>
              <w:spacing w:line="360" w:lineRule="auto"/>
              <w:widowControl/>
              <w:rPr>
                <w:rFonts w:hint="eastAsia" w:ascii="宋体" w:hAnsi="宋体" w:eastAsia="宋体" w:cs="宋体"/>
                <w:color w:val="auto"/>
                <w:sz w:val="2"/>
                <w:highlight w:val="none"/>
              </w:rPr>
            </w:pPr>
            <w:r>
              <w:rPr>
                <w:rFonts w:hint="eastAsia" w:ascii="宋体" w:hAnsi="宋体" w:eastAsia="宋体" w:cs="宋体"/>
                <w:color w:val="auto"/>
                <w:sz w:val="2"/>
                <w:highlight w:val="none"/>
              </w:rPr>
            </w:r>
            <w:r/>
          </w:p>
        </w:tc>
        <w:tc>
          <w:tcPr>
            <w:tcBorders>
              <w:top w:val="none" w:color="000000" w:sz="4" w:space="0"/>
              <w:left w:val="none" w:color="000000" w:sz="4" w:space="0"/>
              <w:bottom w:val="none" w:color="000000" w:sz="4" w:space="0"/>
              <w:right w:val="none" w:color="000000" w:sz="4" w:space="0"/>
            </w:tcBorders>
            <w:tcW w:w="1061" w:type="dxa"/>
            <w:vAlign w:val="center"/>
            <w:textDirection w:val="lrTb"/>
            <w:noWrap w:val="false"/>
          </w:tcPr>
          <w:p>
            <w:pPr>
              <w:spacing w:line="360" w:lineRule="auto"/>
              <w:widowControl/>
              <w:rPr>
                <w:rFonts w:hint="eastAsia" w:ascii="宋体" w:hAnsi="宋体" w:eastAsia="宋体" w:cs="宋体"/>
                <w:color w:val="auto"/>
                <w:sz w:val="2"/>
                <w:highlight w:val="none"/>
              </w:rPr>
            </w:pPr>
            <w:r>
              <w:rPr>
                <w:rFonts w:hint="eastAsia" w:ascii="宋体" w:hAnsi="宋体" w:eastAsia="宋体" w:cs="宋体"/>
                <w:color w:val="auto"/>
                <w:sz w:val="2"/>
                <w:highlight w:val="none"/>
              </w:rPr>
            </w:r>
            <w:r/>
          </w:p>
        </w:tc>
        <w:tc>
          <w:tcPr>
            <w:tcBorders>
              <w:top w:val="none" w:color="000000" w:sz="4" w:space="0"/>
              <w:left w:val="none" w:color="000000" w:sz="4" w:space="0"/>
              <w:bottom w:val="none" w:color="000000" w:sz="4" w:space="0"/>
              <w:right w:val="none" w:color="000000" w:sz="4" w:space="0"/>
            </w:tcBorders>
            <w:tcW w:w="2874" w:type="dxa"/>
            <w:vAlign w:val="center"/>
            <w:textDirection w:val="lrTb"/>
            <w:noWrap w:val="false"/>
          </w:tcPr>
          <w:p>
            <w:pPr>
              <w:spacing w:line="360" w:lineRule="auto"/>
              <w:widowControl/>
              <w:rPr>
                <w:rFonts w:hint="eastAsia" w:ascii="宋体" w:hAnsi="宋体" w:eastAsia="宋体" w:cs="宋体"/>
                <w:color w:val="auto"/>
                <w:sz w:val="2"/>
                <w:highlight w:val="none"/>
              </w:rPr>
            </w:pPr>
            <w:r>
              <w:rPr>
                <w:rFonts w:hint="eastAsia" w:ascii="宋体" w:hAnsi="宋体" w:eastAsia="宋体" w:cs="宋体"/>
                <w:color w:val="auto"/>
                <w:sz w:val="2"/>
                <w:highlight w:val="none"/>
              </w:rPr>
            </w:r>
            <w:r/>
          </w:p>
        </w:tc>
      </w:tr>
    </w:tbl>
    <w:p>
      <w:pPr>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说明：</w:t>
      </w:r>
      <w:r/>
    </w:p>
    <w:p>
      <w:pPr>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如果行数不够，请自行增加。</w:t>
      </w:r>
      <w:r/>
    </w:p>
    <w:p>
      <w:pPr>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highlight w:val="none"/>
          <w:lang w:val="zh-CN" w:eastAsia="zh-CN"/>
        </w:rPr>
        <w:t xml:space="preserve">投标供应商</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（盖章）</w:t>
      </w:r>
      <w:r/>
    </w:p>
    <w:p>
      <w:pPr>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pStyle w:val="974"/>
        <w:ind w:firstLine="21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rPr>
          <w:rFonts w:hint="eastAsia" w:ascii="宋体" w:hAnsi="宋体" w:eastAsia="宋体" w:cs="宋体"/>
          <w:color w:val="auto"/>
          <w:sz w:val="22"/>
          <w:highlight w:val="none"/>
          <w:lang w:val="zh-CN"/>
        </w:rPr>
      </w:pPr>
      <w:r/>
      <w:bookmarkStart w:id="119" w:name="_Toc2435"/>
      <w:r/>
      <w:bookmarkStart w:id="120" w:name="_Toc5434"/>
      <w:r/>
      <w:bookmarkStart w:id="121" w:name="_Toc481604684"/>
      <w:r>
        <w:rPr>
          <w:rFonts w:hint="eastAsia" w:ascii="宋体" w:hAnsi="宋体" w:eastAsia="宋体" w:cs="宋体"/>
          <w:color w:val="auto"/>
          <w:sz w:val="22"/>
          <w:highlight w:val="none"/>
          <w:lang w:val="zh-CN"/>
        </w:rPr>
        <w:br w:type="page" w:clear="all"/>
      </w:r>
      <w:r/>
    </w:p>
    <w:p>
      <w:pPr>
        <w:pStyle w:val="914"/>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r>
      <w:r/>
    </w:p>
    <w:p>
      <w:pPr>
        <w:pStyle w:val="914"/>
        <w:rPr>
          <w:rFonts w:hint="eastAsia" w:ascii="宋体" w:hAnsi="宋体" w:eastAsia="宋体" w:cs="宋体"/>
          <w:color w:val="auto"/>
          <w:sz w:val="22"/>
          <w:szCs w:val="22"/>
          <w:highlight w:val="none"/>
        </w:rPr>
      </w:pPr>
      <w:r/>
      <w:bookmarkStart w:id="122" w:name="_Toc24106"/>
      <w:r/>
      <w:bookmarkStart w:id="123" w:name="_Toc26787"/>
      <w:r>
        <w:rPr>
          <w:rFonts w:hint="eastAsia" w:ascii="宋体" w:hAnsi="宋体" w:eastAsia="宋体" w:cs="宋体"/>
          <w:color w:val="auto"/>
          <w:sz w:val="22"/>
          <w:szCs w:val="22"/>
          <w:highlight w:val="none"/>
          <w:lang w:val="zh-CN"/>
        </w:rPr>
        <w:t xml:space="preserve">目录六、商务条款偏离表格式</w:t>
      </w:r>
      <w:bookmarkEnd w:id="119"/>
      <w:r/>
      <w:bookmarkEnd w:id="120"/>
      <w:r/>
      <w:bookmarkEnd w:id="121"/>
      <w:r/>
      <w:bookmarkEnd w:id="122"/>
      <w:r/>
      <w:bookmarkEnd w:id="123"/>
      <w:r/>
      <w:r/>
    </w:p>
    <w:p>
      <w:pPr>
        <w:ind w:left="420"/>
        <w:jc w:val="center"/>
        <w:spacing w:line="360" w:lineRule="auto"/>
        <w:shd w:val="clear" w:color="auto" w:fill="ffffff"/>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商务条款偏离表 </w:t>
      </w:r>
      <w:r/>
    </w:p>
    <w:tbl>
      <w:tblPr>
        <w:tblStyle w:val="923"/>
        <w:tblW w:w="9325" w:type="dxa"/>
        <w:jc w:val="center"/>
        <w:tblLayout w:type="fixed"/>
        <w:tblCellMar>
          <w:left w:w="0" w:type="dxa"/>
          <w:top w:w="0" w:type="dxa"/>
          <w:right w:w="0" w:type="dxa"/>
          <w:bottom w:w="0" w:type="dxa"/>
        </w:tblCellMar>
        <w:tblLook w:val="04A0" w:firstRow="1" w:lastRow="0" w:firstColumn="1" w:lastColumn="0" w:noHBand="0" w:noVBand="1"/>
      </w:tblPr>
      <w:tblGrid>
        <w:gridCol w:w="719"/>
        <w:gridCol w:w="1119"/>
        <w:gridCol w:w="2850"/>
        <w:gridCol w:w="678"/>
        <w:gridCol w:w="1235"/>
        <w:gridCol w:w="2724"/>
      </w:tblGrid>
      <w:tr>
        <w:trPr>
          <w:jc w:val="center"/>
          <w:trHeight w:val="284"/>
          <w:tblHeader/>
        </w:trPr>
        <w:tc>
          <w:tcPr>
            <w:gridSpan w:val="4"/>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5366"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tc>
        <w:tc>
          <w:tcPr>
            <w:gridSpan w:val="2"/>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3959"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项目编号：</w:t>
            </w:r>
            <w:r/>
          </w:p>
        </w:tc>
      </w:tr>
      <w:tr>
        <w:trPr>
          <w:jc w:val="center"/>
          <w:trHeight w:val="284"/>
        </w:trPr>
        <w:tc>
          <w:tcPr>
            <w:tcBorders>
              <w:top w:val="single" w:color="auto" w:sz="8" w:space="0"/>
              <w:left w:val="single" w:color="auto" w:sz="8" w:space="0"/>
              <w:bottom w:val="single" w:color="auto" w:sz="6" w:space="0"/>
              <w:right w:val="single" w:color="auto" w:sz="6" w:space="0"/>
            </w:tcBorders>
            <w:tcMar>
              <w:left w:w="10" w:type="dxa"/>
              <w:top w:w="0" w:type="dxa"/>
              <w:right w:w="10" w:type="dxa"/>
              <w:bottom w:w="0" w:type="dxa"/>
            </w:tcMar>
            <w:tcW w:w="71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Borders>
              <w:top w:val="single" w:color="auto" w:sz="8" w:space="0"/>
              <w:left w:val="single" w:color="auto" w:sz="6" w:space="0"/>
              <w:bottom w:val="single" w:color="auto" w:sz="6" w:space="0"/>
              <w:right w:val="single" w:color="auto" w:sz="6" w:space="0"/>
            </w:tcBorders>
            <w:tcMar>
              <w:left w:w="10" w:type="dxa"/>
              <w:top w:w="0" w:type="dxa"/>
              <w:right w:w="10" w:type="dxa"/>
              <w:bottom w:w="0" w:type="dxa"/>
            </w:tcMar>
            <w:tcW w:w="111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招标文件条目号</w:t>
            </w:r>
            <w:r/>
          </w:p>
        </w:tc>
        <w:tc>
          <w:tcPr>
            <w:tcBorders>
              <w:top w:val="single" w:color="auto" w:sz="8" w:space="0"/>
              <w:left w:val="single" w:color="auto" w:sz="6" w:space="0"/>
              <w:bottom w:val="single" w:color="auto" w:sz="6" w:space="0"/>
              <w:right w:val="single" w:color="auto" w:sz="6" w:space="0"/>
            </w:tcBorders>
            <w:tcMar>
              <w:left w:w="10" w:type="dxa"/>
              <w:top w:w="0" w:type="dxa"/>
              <w:right w:w="10" w:type="dxa"/>
              <w:bottom w:w="0" w:type="dxa"/>
            </w:tcMar>
            <w:tcW w:w="285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招标文件要求</w:t>
            </w:r>
            <w:r/>
          </w:p>
        </w:tc>
        <w:tc>
          <w:tcPr>
            <w:gridSpan w:val="2"/>
            <w:tcBorders>
              <w:top w:val="single" w:color="auto" w:sz="8" w:space="0"/>
              <w:left w:val="single" w:color="auto" w:sz="6" w:space="0"/>
              <w:bottom w:val="single" w:color="auto" w:sz="6" w:space="0"/>
              <w:right w:val="single" w:color="auto" w:sz="6" w:space="0"/>
            </w:tcBorders>
            <w:tcMar>
              <w:left w:w="10" w:type="dxa"/>
              <w:top w:w="0" w:type="dxa"/>
              <w:right w:w="10" w:type="dxa"/>
              <w:bottom w:w="0" w:type="dxa"/>
            </w:tcMar>
            <w:tcW w:w="191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投标响应情况</w:t>
            </w:r>
            <w:r/>
          </w:p>
        </w:tc>
        <w:tc>
          <w:tcPr>
            <w:tcBorders>
              <w:top w:val="single" w:color="auto" w:sz="8" w:space="0"/>
              <w:left w:val="single" w:color="auto" w:sz="6" w:space="0"/>
              <w:bottom w:val="single" w:color="auto" w:sz="6" w:space="0"/>
              <w:right w:val="single" w:color="auto" w:sz="8" w:space="0"/>
            </w:tcBorders>
            <w:tcMar>
              <w:left w:w="10" w:type="dxa"/>
              <w:top w:w="0" w:type="dxa"/>
              <w:right w:w="10" w:type="dxa"/>
              <w:bottom w:w="0" w:type="dxa"/>
            </w:tcMar>
            <w:tcW w:w="27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正偏离、无偏离或负偏离</w:t>
            </w:r>
            <w:r/>
          </w:p>
        </w:tc>
      </w:tr>
      <w:tr>
        <w:trPr>
          <w:jc w:val="center"/>
          <w:trHeight w:val="284"/>
        </w:trPr>
        <w:tc>
          <w:tcPr>
            <w:tcBorders>
              <w:top w:val="single" w:color="auto" w:sz="6" w:space="0"/>
              <w:left w:val="single" w:color="auto" w:sz="8" w:space="0"/>
              <w:bottom w:val="single" w:color="auto" w:sz="6" w:space="0"/>
              <w:right w:val="single" w:color="auto" w:sz="6" w:space="0"/>
            </w:tcBorders>
            <w:tcMar>
              <w:left w:w="10" w:type="dxa"/>
              <w:top w:w="0" w:type="dxa"/>
              <w:right w:w="10" w:type="dxa"/>
              <w:bottom w:w="0" w:type="dxa"/>
            </w:tcMar>
            <w:tcW w:w="71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top w:val="single" w:color="auto" w:sz="6" w:space="0"/>
              <w:left w:val="single" w:color="auto" w:sz="6" w:space="0"/>
              <w:bottom w:val="single" w:color="auto" w:sz="6" w:space="0"/>
              <w:right w:val="single" w:color="auto" w:sz="6" w:space="0"/>
            </w:tcBorders>
            <w:tcMar>
              <w:left w:w="10" w:type="dxa"/>
              <w:top w:w="0" w:type="dxa"/>
              <w:right w:w="10" w:type="dxa"/>
              <w:bottom w:w="0" w:type="dxa"/>
            </w:tcMar>
            <w:tcW w:w="111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top w:val="single" w:color="auto" w:sz="6" w:space="0"/>
              <w:left w:val="single" w:color="auto" w:sz="6" w:space="0"/>
              <w:bottom w:val="single" w:color="auto" w:sz="6" w:space="0"/>
              <w:right w:val="single" w:color="auto" w:sz="6" w:space="0"/>
            </w:tcBorders>
            <w:tcMar>
              <w:left w:w="10" w:type="dxa"/>
              <w:top w:w="0" w:type="dxa"/>
              <w:right w:w="10" w:type="dxa"/>
              <w:bottom w:w="0" w:type="dxa"/>
            </w:tcMar>
            <w:tcW w:w="285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gridSpan w:val="2"/>
            <w:tcBorders>
              <w:top w:val="single" w:color="auto" w:sz="6" w:space="0"/>
              <w:left w:val="single" w:color="auto" w:sz="6" w:space="0"/>
              <w:bottom w:val="single" w:color="auto" w:sz="6" w:space="0"/>
              <w:right w:val="single" w:color="auto" w:sz="6" w:space="0"/>
            </w:tcBorders>
            <w:tcMar>
              <w:left w:w="10" w:type="dxa"/>
              <w:top w:w="0" w:type="dxa"/>
              <w:right w:w="10" w:type="dxa"/>
              <w:bottom w:w="0" w:type="dxa"/>
            </w:tcMar>
            <w:tcW w:w="191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top w:val="single" w:color="auto" w:sz="6" w:space="0"/>
              <w:left w:val="single" w:color="auto" w:sz="6" w:space="0"/>
              <w:bottom w:val="single" w:color="auto" w:sz="6" w:space="0"/>
              <w:right w:val="single" w:color="auto" w:sz="8" w:space="0"/>
            </w:tcBorders>
            <w:tcMar>
              <w:left w:w="10" w:type="dxa"/>
              <w:top w:w="0" w:type="dxa"/>
              <w:right w:w="10" w:type="dxa"/>
              <w:bottom w:w="0" w:type="dxa"/>
            </w:tcMar>
            <w:tcW w:w="272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284"/>
        </w:trPr>
        <w:tc>
          <w:tcPr>
            <w:tcBorders>
              <w:top w:val="single" w:color="auto" w:sz="6" w:space="0"/>
              <w:left w:val="single" w:color="auto" w:sz="8" w:space="0"/>
              <w:bottom w:val="single" w:color="auto" w:sz="6" w:space="0"/>
              <w:right w:val="single" w:color="auto" w:sz="6" w:space="0"/>
            </w:tcBorders>
            <w:tcMar>
              <w:left w:w="10" w:type="dxa"/>
              <w:top w:w="0" w:type="dxa"/>
              <w:right w:w="10" w:type="dxa"/>
              <w:bottom w:w="0" w:type="dxa"/>
            </w:tcMar>
            <w:tcW w:w="71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top w:val="single" w:color="auto" w:sz="6" w:space="0"/>
              <w:left w:val="single" w:color="auto" w:sz="6" w:space="0"/>
              <w:bottom w:val="single" w:color="auto" w:sz="6" w:space="0"/>
              <w:right w:val="single" w:color="auto" w:sz="6" w:space="0"/>
            </w:tcBorders>
            <w:tcMar>
              <w:left w:w="10" w:type="dxa"/>
              <w:top w:w="0" w:type="dxa"/>
              <w:right w:w="10" w:type="dxa"/>
              <w:bottom w:w="0" w:type="dxa"/>
            </w:tcMar>
            <w:tcW w:w="111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top w:val="single" w:color="auto" w:sz="6" w:space="0"/>
              <w:left w:val="single" w:color="auto" w:sz="6" w:space="0"/>
              <w:bottom w:val="single" w:color="auto" w:sz="6" w:space="0"/>
              <w:right w:val="single" w:color="auto" w:sz="6" w:space="0"/>
            </w:tcBorders>
            <w:tcMar>
              <w:left w:w="10" w:type="dxa"/>
              <w:top w:w="0" w:type="dxa"/>
              <w:right w:w="10" w:type="dxa"/>
              <w:bottom w:w="0" w:type="dxa"/>
            </w:tcMar>
            <w:tcW w:w="285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gridSpan w:val="2"/>
            <w:tcBorders>
              <w:top w:val="single" w:color="auto" w:sz="6" w:space="0"/>
              <w:left w:val="single" w:color="auto" w:sz="6" w:space="0"/>
              <w:bottom w:val="single" w:color="auto" w:sz="6" w:space="0"/>
              <w:right w:val="single" w:color="auto" w:sz="6" w:space="0"/>
            </w:tcBorders>
            <w:tcMar>
              <w:left w:w="10" w:type="dxa"/>
              <w:top w:w="0" w:type="dxa"/>
              <w:right w:w="10" w:type="dxa"/>
              <w:bottom w:w="0" w:type="dxa"/>
            </w:tcMar>
            <w:tcW w:w="191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top w:val="single" w:color="auto" w:sz="6" w:space="0"/>
              <w:left w:val="single" w:color="auto" w:sz="6" w:space="0"/>
              <w:bottom w:val="single" w:color="auto" w:sz="6" w:space="0"/>
              <w:right w:val="single" w:color="auto" w:sz="8" w:space="0"/>
            </w:tcBorders>
            <w:tcMar>
              <w:left w:w="10" w:type="dxa"/>
              <w:top w:w="0" w:type="dxa"/>
              <w:right w:w="10" w:type="dxa"/>
              <w:bottom w:w="0" w:type="dxa"/>
            </w:tcMar>
            <w:tcW w:w="272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284"/>
        </w:trPr>
        <w:tc>
          <w:tcPr>
            <w:tcBorders>
              <w:top w:val="single" w:color="auto" w:sz="6" w:space="0"/>
              <w:left w:val="single" w:color="auto" w:sz="8" w:space="0"/>
              <w:bottom w:val="single" w:color="auto" w:sz="6" w:space="0"/>
              <w:right w:val="single" w:color="auto" w:sz="6" w:space="0"/>
            </w:tcBorders>
            <w:tcMar>
              <w:left w:w="10" w:type="dxa"/>
              <w:top w:w="0" w:type="dxa"/>
              <w:right w:w="10" w:type="dxa"/>
              <w:bottom w:w="0" w:type="dxa"/>
            </w:tcMar>
            <w:tcW w:w="71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top w:val="single" w:color="auto" w:sz="6" w:space="0"/>
              <w:left w:val="single" w:color="auto" w:sz="6" w:space="0"/>
              <w:bottom w:val="single" w:color="auto" w:sz="6" w:space="0"/>
              <w:right w:val="single" w:color="auto" w:sz="6" w:space="0"/>
            </w:tcBorders>
            <w:tcMar>
              <w:left w:w="10" w:type="dxa"/>
              <w:top w:w="0" w:type="dxa"/>
              <w:right w:w="10" w:type="dxa"/>
              <w:bottom w:w="0" w:type="dxa"/>
            </w:tcMar>
            <w:tcW w:w="111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top w:val="single" w:color="auto" w:sz="6" w:space="0"/>
              <w:left w:val="single" w:color="auto" w:sz="6" w:space="0"/>
              <w:bottom w:val="single" w:color="auto" w:sz="6" w:space="0"/>
              <w:right w:val="single" w:color="auto" w:sz="6" w:space="0"/>
            </w:tcBorders>
            <w:tcMar>
              <w:left w:w="10" w:type="dxa"/>
              <w:top w:w="0" w:type="dxa"/>
              <w:right w:w="10" w:type="dxa"/>
              <w:bottom w:w="0" w:type="dxa"/>
            </w:tcMar>
            <w:tcW w:w="285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gridSpan w:val="2"/>
            <w:tcBorders>
              <w:top w:val="single" w:color="auto" w:sz="6" w:space="0"/>
              <w:left w:val="single" w:color="auto" w:sz="6" w:space="0"/>
              <w:bottom w:val="single" w:color="auto" w:sz="6" w:space="0"/>
              <w:right w:val="single" w:color="auto" w:sz="6" w:space="0"/>
            </w:tcBorders>
            <w:tcMar>
              <w:left w:w="10" w:type="dxa"/>
              <w:top w:w="0" w:type="dxa"/>
              <w:right w:w="10" w:type="dxa"/>
              <w:bottom w:w="0" w:type="dxa"/>
            </w:tcMar>
            <w:tcW w:w="191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top w:val="single" w:color="auto" w:sz="6" w:space="0"/>
              <w:left w:val="single" w:color="auto" w:sz="6" w:space="0"/>
              <w:bottom w:val="single" w:color="auto" w:sz="6" w:space="0"/>
              <w:right w:val="single" w:color="auto" w:sz="8" w:space="0"/>
            </w:tcBorders>
            <w:tcMar>
              <w:left w:w="10" w:type="dxa"/>
              <w:top w:w="0" w:type="dxa"/>
              <w:right w:w="10" w:type="dxa"/>
              <w:bottom w:w="0" w:type="dxa"/>
            </w:tcMar>
            <w:tcW w:w="272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284"/>
        </w:trPr>
        <w:tc>
          <w:tcPr>
            <w:tcBorders>
              <w:top w:val="single" w:color="auto" w:sz="6" w:space="0"/>
              <w:left w:val="single" w:color="auto" w:sz="8" w:space="0"/>
              <w:bottom w:val="single" w:color="auto" w:sz="6" w:space="0"/>
              <w:right w:val="single" w:color="auto" w:sz="6" w:space="0"/>
            </w:tcBorders>
            <w:tcMar>
              <w:left w:w="10" w:type="dxa"/>
              <w:top w:w="0" w:type="dxa"/>
              <w:right w:w="10" w:type="dxa"/>
              <w:bottom w:w="0" w:type="dxa"/>
            </w:tcMar>
            <w:tcW w:w="71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Mar>
              <w:left w:w="10" w:type="dxa"/>
              <w:top w:w="0" w:type="dxa"/>
              <w:right w:w="10" w:type="dxa"/>
              <w:bottom w:w="0" w:type="dxa"/>
            </w:tcMar>
            <w:tcW w:w="111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Mar>
              <w:left w:w="10" w:type="dxa"/>
              <w:top w:w="0" w:type="dxa"/>
              <w:right w:w="10" w:type="dxa"/>
              <w:bottom w:w="0" w:type="dxa"/>
            </w:tcMar>
            <w:tcW w:w="285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Borders>
              <w:top w:val="single" w:color="auto" w:sz="6" w:space="0"/>
              <w:left w:val="single" w:color="auto" w:sz="6" w:space="0"/>
              <w:bottom w:val="single" w:color="auto" w:sz="6" w:space="0"/>
              <w:right w:val="single" w:color="auto" w:sz="6" w:space="0"/>
            </w:tcBorders>
            <w:tcMar>
              <w:left w:w="10" w:type="dxa"/>
              <w:top w:w="0" w:type="dxa"/>
              <w:right w:w="10" w:type="dxa"/>
              <w:bottom w:w="0" w:type="dxa"/>
            </w:tcMar>
            <w:tcW w:w="191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8" w:space="0"/>
            </w:tcBorders>
            <w:tcMar>
              <w:left w:w="10" w:type="dxa"/>
              <w:top w:w="0" w:type="dxa"/>
              <w:right w:w="10" w:type="dxa"/>
              <w:bottom w:w="0" w:type="dxa"/>
            </w:tcMar>
            <w:tcW w:w="272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84"/>
        </w:trPr>
        <w:tc>
          <w:tcPr>
            <w:tcBorders>
              <w:top w:val="single" w:color="auto" w:sz="6" w:space="0"/>
              <w:left w:val="single" w:color="auto" w:sz="8" w:space="0"/>
              <w:bottom w:val="single" w:color="auto" w:sz="6" w:space="0"/>
              <w:right w:val="single" w:color="auto" w:sz="6" w:space="0"/>
            </w:tcBorders>
            <w:tcMar>
              <w:left w:w="10" w:type="dxa"/>
              <w:top w:w="0" w:type="dxa"/>
              <w:right w:w="10" w:type="dxa"/>
              <w:bottom w:w="0" w:type="dxa"/>
            </w:tcMar>
            <w:tcW w:w="71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Mar>
              <w:left w:w="10" w:type="dxa"/>
              <w:top w:w="0" w:type="dxa"/>
              <w:right w:w="10" w:type="dxa"/>
              <w:bottom w:w="0" w:type="dxa"/>
            </w:tcMar>
            <w:tcW w:w="111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Mar>
              <w:left w:w="10" w:type="dxa"/>
              <w:top w:w="0" w:type="dxa"/>
              <w:right w:w="10" w:type="dxa"/>
              <w:bottom w:w="0" w:type="dxa"/>
            </w:tcMar>
            <w:tcW w:w="285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Borders>
              <w:top w:val="single" w:color="auto" w:sz="6" w:space="0"/>
              <w:left w:val="single" w:color="auto" w:sz="6" w:space="0"/>
              <w:bottom w:val="single" w:color="auto" w:sz="6" w:space="0"/>
              <w:right w:val="single" w:color="auto" w:sz="6" w:space="0"/>
            </w:tcBorders>
            <w:tcMar>
              <w:left w:w="10" w:type="dxa"/>
              <w:top w:w="0" w:type="dxa"/>
              <w:right w:w="10" w:type="dxa"/>
              <w:bottom w:w="0" w:type="dxa"/>
            </w:tcMar>
            <w:tcW w:w="191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8" w:space="0"/>
            </w:tcBorders>
            <w:tcMar>
              <w:left w:w="10" w:type="dxa"/>
              <w:top w:w="0" w:type="dxa"/>
              <w:right w:w="10" w:type="dxa"/>
              <w:bottom w:w="0" w:type="dxa"/>
            </w:tcMar>
            <w:tcW w:w="272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84"/>
        </w:trPr>
        <w:tc>
          <w:tcPr>
            <w:tcBorders>
              <w:top w:val="single" w:color="auto" w:sz="6" w:space="0"/>
              <w:left w:val="single" w:color="auto" w:sz="8" w:space="0"/>
              <w:bottom w:val="single" w:color="auto" w:sz="6" w:space="0"/>
              <w:right w:val="single" w:color="auto" w:sz="6" w:space="0"/>
            </w:tcBorders>
            <w:tcMar>
              <w:left w:w="10" w:type="dxa"/>
              <w:top w:w="0" w:type="dxa"/>
              <w:right w:w="10" w:type="dxa"/>
              <w:bottom w:w="0" w:type="dxa"/>
            </w:tcMar>
            <w:tcW w:w="71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Mar>
              <w:left w:w="10" w:type="dxa"/>
              <w:top w:w="0" w:type="dxa"/>
              <w:right w:w="10" w:type="dxa"/>
              <w:bottom w:w="0" w:type="dxa"/>
            </w:tcMar>
            <w:tcW w:w="111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Mar>
              <w:left w:w="10" w:type="dxa"/>
              <w:top w:w="0" w:type="dxa"/>
              <w:right w:w="10" w:type="dxa"/>
              <w:bottom w:w="0" w:type="dxa"/>
            </w:tcMar>
            <w:tcW w:w="285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Borders>
              <w:top w:val="single" w:color="auto" w:sz="6" w:space="0"/>
              <w:left w:val="single" w:color="auto" w:sz="6" w:space="0"/>
              <w:bottom w:val="single" w:color="auto" w:sz="6" w:space="0"/>
              <w:right w:val="single" w:color="auto" w:sz="6" w:space="0"/>
            </w:tcBorders>
            <w:tcMar>
              <w:left w:w="10" w:type="dxa"/>
              <w:top w:w="0" w:type="dxa"/>
              <w:right w:w="10" w:type="dxa"/>
              <w:bottom w:w="0" w:type="dxa"/>
            </w:tcMar>
            <w:tcW w:w="191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8" w:space="0"/>
            </w:tcBorders>
            <w:tcMar>
              <w:left w:w="10" w:type="dxa"/>
              <w:top w:w="0" w:type="dxa"/>
              <w:right w:w="10" w:type="dxa"/>
              <w:bottom w:w="0" w:type="dxa"/>
            </w:tcMar>
            <w:tcW w:w="272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84"/>
        </w:trPr>
        <w:tc>
          <w:tcPr>
            <w:tcBorders>
              <w:top w:val="single" w:color="auto" w:sz="6" w:space="0"/>
              <w:left w:val="single" w:color="auto" w:sz="8" w:space="0"/>
              <w:bottom w:val="single" w:color="auto" w:sz="6" w:space="0"/>
              <w:right w:val="single" w:color="auto" w:sz="6" w:space="0"/>
            </w:tcBorders>
            <w:tcMar>
              <w:left w:w="10" w:type="dxa"/>
              <w:top w:w="0" w:type="dxa"/>
              <w:right w:w="10" w:type="dxa"/>
              <w:bottom w:w="0" w:type="dxa"/>
            </w:tcMar>
            <w:tcW w:w="71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Mar>
              <w:left w:w="10" w:type="dxa"/>
              <w:top w:w="0" w:type="dxa"/>
              <w:right w:w="10" w:type="dxa"/>
              <w:bottom w:w="0" w:type="dxa"/>
            </w:tcMar>
            <w:tcW w:w="111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Mar>
              <w:left w:w="10" w:type="dxa"/>
              <w:top w:w="0" w:type="dxa"/>
              <w:right w:w="10" w:type="dxa"/>
              <w:bottom w:w="0" w:type="dxa"/>
            </w:tcMar>
            <w:tcW w:w="285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Borders>
              <w:top w:val="single" w:color="auto" w:sz="6" w:space="0"/>
              <w:left w:val="single" w:color="auto" w:sz="6" w:space="0"/>
              <w:bottom w:val="single" w:color="auto" w:sz="6" w:space="0"/>
              <w:right w:val="single" w:color="auto" w:sz="6" w:space="0"/>
            </w:tcBorders>
            <w:tcMar>
              <w:left w:w="10" w:type="dxa"/>
              <w:top w:w="0" w:type="dxa"/>
              <w:right w:w="10" w:type="dxa"/>
              <w:bottom w:w="0" w:type="dxa"/>
            </w:tcMar>
            <w:tcW w:w="191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8" w:space="0"/>
            </w:tcBorders>
            <w:tcMar>
              <w:left w:w="10" w:type="dxa"/>
              <w:top w:w="0" w:type="dxa"/>
              <w:right w:w="10" w:type="dxa"/>
              <w:bottom w:w="0" w:type="dxa"/>
            </w:tcMar>
            <w:tcW w:w="272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84"/>
        </w:trPr>
        <w:tc>
          <w:tcPr>
            <w:tcBorders>
              <w:top w:val="single" w:color="auto" w:sz="6" w:space="0"/>
              <w:left w:val="single" w:color="auto" w:sz="8" w:space="0"/>
              <w:bottom w:val="single" w:color="auto" w:sz="6" w:space="0"/>
              <w:right w:val="single" w:color="auto" w:sz="6" w:space="0"/>
            </w:tcBorders>
            <w:tcMar>
              <w:left w:w="10" w:type="dxa"/>
              <w:top w:w="0" w:type="dxa"/>
              <w:right w:w="10" w:type="dxa"/>
              <w:bottom w:w="0" w:type="dxa"/>
            </w:tcMar>
            <w:tcW w:w="71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Mar>
              <w:left w:w="10" w:type="dxa"/>
              <w:top w:w="0" w:type="dxa"/>
              <w:right w:w="10" w:type="dxa"/>
              <w:bottom w:w="0" w:type="dxa"/>
            </w:tcMar>
            <w:tcW w:w="111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Mar>
              <w:left w:w="10" w:type="dxa"/>
              <w:top w:w="0" w:type="dxa"/>
              <w:right w:w="10" w:type="dxa"/>
              <w:bottom w:w="0" w:type="dxa"/>
            </w:tcMar>
            <w:tcW w:w="285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Borders>
              <w:top w:val="single" w:color="auto" w:sz="6" w:space="0"/>
              <w:left w:val="single" w:color="auto" w:sz="6" w:space="0"/>
              <w:bottom w:val="single" w:color="auto" w:sz="6" w:space="0"/>
              <w:right w:val="single" w:color="auto" w:sz="6" w:space="0"/>
            </w:tcBorders>
            <w:tcMar>
              <w:left w:w="10" w:type="dxa"/>
              <w:top w:w="0" w:type="dxa"/>
              <w:right w:w="10" w:type="dxa"/>
              <w:bottom w:w="0" w:type="dxa"/>
            </w:tcMar>
            <w:tcW w:w="191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8" w:space="0"/>
            </w:tcBorders>
            <w:tcMar>
              <w:left w:w="10" w:type="dxa"/>
              <w:top w:w="0" w:type="dxa"/>
              <w:right w:w="10" w:type="dxa"/>
              <w:bottom w:w="0" w:type="dxa"/>
            </w:tcMar>
            <w:tcW w:w="272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84"/>
        </w:trPr>
        <w:tc>
          <w:tcPr>
            <w:tcBorders>
              <w:top w:val="single" w:color="auto" w:sz="6" w:space="0"/>
              <w:left w:val="single" w:color="auto" w:sz="8" w:space="0"/>
              <w:bottom w:val="single" w:color="auto" w:sz="6" w:space="0"/>
              <w:right w:val="single" w:color="auto" w:sz="6" w:space="0"/>
            </w:tcBorders>
            <w:tcMar>
              <w:left w:w="10" w:type="dxa"/>
              <w:top w:w="0" w:type="dxa"/>
              <w:right w:w="10" w:type="dxa"/>
              <w:bottom w:w="0" w:type="dxa"/>
            </w:tcMar>
            <w:tcW w:w="71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Mar>
              <w:left w:w="10" w:type="dxa"/>
              <w:top w:w="0" w:type="dxa"/>
              <w:right w:w="10" w:type="dxa"/>
              <w:bottom w:w="0" w:type="dxa"/>
            </w:tcMar>
            <w:tcW w:w="111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Mar>
              <w:left w:w="10" w:type="dxa"/>
              <w:top w:w="0" w:type="dxa"/>
              <w:right w:w="10" w:type="dxa"/>
              <w:bottom w:w="0" w:type="dxa"/>
            </w:tcMar>
            <w:tcW w:w="285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Borders>
              <w:top w:val="single" w:color="auto" w:sz="6" w:space="0"/>
              <w:left w:val="single" w:color="auto" w:sz="6" w:space="0"/>
              <w:bottom w:val="single" w:color="auto" w:sz="6" w:space="0"/>
              <w:right w:val="single" w:color="auto" w:sz="6" w:space="0"/>
            </w:tcBorders>
            <w:tcMar>
              <w:left w:w="10" w:type="dxa"/>
              <w:top w:w="0" w:type="dxa"/>
              <w:right w:w="10" w:type="dxa"/>
              <w:bottom w:w="0" w:type="dxa"/>
            </w:tcMar>
            <w:tcW w:w="191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8" w:space="0"/>
            </w:tcBorders>
            <w:tcMar>
              <w:left w:w="10" w:type="dxa"/>
              <w:top w:w="0" w:type="dxa"/>
              <w:right w:w="10" w:type="dxa"/>
              <w:bottom w:w="0" w:type="dxa"/>
            </w:tcMar>
            <w:tcW w:w="272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84"/>
        </w:trPr>
        <w:tc>
          <w:tcPr>
            <w:tcBorders>
              <w:top w:val="single" w:color="auto" w:sz="6" w:space="0"/>
              <w:left w:val="single" w:color="auto" w:sz="8" w:space="0"/>
              <w:bottom w:val="single" w:color="auto" w:sz="6" w:space="0"/>
              <w:right w:val="single" w:color="auto" w:sz="6" w:space="0"/>
            </w:tcBorders>
            <w:tcMar>
              <w:left w:w="10" w:type="dxa"/>
              <w:top w:w="0" w:type="dxa"/>
              <w:right w:w="10" w:type="dxa"/>
              <w:bottom w:w="0" w:type="dxa"/>
            </w:tcMar>
            <w:tcW w:w="71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Mar>
              <w:left w:w="10" w:type="dxa"/>
              <w:top w:w="0" w:type="dxa"/>
              <w:right w:w="10" w:type="dxa"/>
              <w:bottom w:w="0" w:type="dxa"/>
            </w:tcMar>
            <w:tcW w:w="111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Mar>
              <w:left w:w="10" w:type="dxa"/>
              <w:top w:w="0" w:type="dxa"/>
              <w:right w:w="10" w:type="dxa"/>
              <w:bottom w:w="0" w:type="dxa"/>
            </w:tcMar>
            <w:tcW w:w="285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Borders>
              <w:top w:val="single" w:color="auto" w:sz="6" w:space="0"/>
              <w:left w:val="single" w:color="auto" w:sz="6" w:space="0"/>
              <w:bottom w:val="single" w:color="auto" w:sz="6" w:space="0"/>
              <w:right w:val="single" w:color="auto" w:sz="6" w:space="0"/>
            </w:tcBorders>
            <w:tcMar>
              <w:left w:w="10" w:type="dxa"/>
              <w:top w:w="0" w:type="dxa"/>
              <w:right w:w="10" w:type="dxa"/>
              <w:bottom w:w="0" w:type="dxa"/>
            </w:tcMar>
            <w:tcW w:w="191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8" w:space="0"/>
            </w:tcBorders>
            <w:tcMar>
              <w:left w:w="10" w:type="dxa"/>
              <w:top w:w="0" w:type="dxa"/>
              <w:right w:w="10" w:type="dxa"/>
              <w:bottom w:w="0" w:type="dxa"/>
            </w:tcMar>
            <w:tcW w:w="272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84"/>
        </w:trPr>
        <w:tc>
          <w:tcPr>
            <w:tcBorders>
              <w:top w:val="single" w:color="auto" w:sz="6" w:space="0"/>
              <w:left w:val="single" w:color="auto" w:sz="8" w:space="0"/>
              <w:bottom w:val="single" w:color="auto" w:sz="6" w:space="0"/>
              <w:right w:val="single" w:color="auto" w:sz="6" w:space="0"/>
            </w:tcBorders>
            <w:tcMar>
              <w:left w:w="10" w:type="dxa"/>
              <w:top w:w="0" w:type="dxa"/>
              <w:right w:w="10" w:type="dxa"/>
              <w:bottom w:w="0" w:type="dxa"/>
            </w:tcMar>
            <w:tcW w:w="71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Mar>
              <w:left w:w="10" w:type="dxa"/>
              <w:top w:w="0" w:type="dxa"/>
              <w:right w:w="10" w:type="dxa"/>
              <w:bottom w:w="0" w:type="dxa"/>
            </w:tcMar>
            <w:tcW w:w="111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Mar>
              <w:left w:w="10" w:type="dxa"/>
              <w:top w:w="0" w:type="dxa"/>
              <w:right w:w="10" w:type="dxa"/>
              <w:bottom w:w="0" w:type="dxa"/>
            </w:tcMar>
            <w:tcW w:w="285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Borders>
              <w:top w:val="single" w:color="auto" w:sz="6" w:space="0"/>
              <w:left w:val="single" w:color="auto" w:sz="6" w:space="0"/>
              <w:bottom w:val="single" w:color="auto" w:sz="6" w:space="0"/>
              <w:right w:val="single" w:color="auto" w:sz="6" w:space="0"/>
            </w:tcBorders>
            <w:tcMar>
              <w:left w:w="10" w:type="dxa"/>
              <w:top w:w="0" w:type="dxa"/>
              <w:right w:w="10" w:type="dxa"/>
              <w:bottom w:w="0" w:type="dxa"/>
            </w:tcMar>
            <w:tcW w:w="191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8" w:space="0"/>
            </w:tcBorders>
            <w:tcMar>
              <w:left w:w="10" w:type="dxa"/>
              <w:top w:w="0" w:type="dxa"/>
              <w:right w:w="10" w:type="dxa"/>
              <w:bottom w:w="0" w:type="dxa"/>
            </w:tcMar>
            <w:tcW w:w="272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84"/>
        </w:trPr>
        <w:tc>
          <w:tcPr>
            <w:tcBorders>
              <w:top w:val="single" w:color="auto" w:sz="6" w:space="0"/>
              <w:left w:val="single" w:color="auto" w:sz="8" w:space="0"/>
              <w:bottom w:val="single" w:color="auto" w:sz="6" w:space="0"/>
              <w:right w:val="single" w:color="auto" w:sz="6" w:space="0"/>
            </w:tcBorders>
            <w:tcMar>
              <w:left w:w="10" w:type="dxa"/>
              <w:top w:w="0" w:type="dxa"/>
              <w:right w:w="10" w:type="dxa"/>
              <w:bottom w:w="0" w:type="dxa"/>
            </w:tcMar>
            <w:tcW w:w="71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Mar>
              <w:left w:w="10" w:type="dxa"/>
              <w:top w:w="0" w:type="dxa"/>
              <w:right w:w="10" w:type="dxa"/>
              <w:bottom w:w="0" w:type="dxa"/>
            </w:tcMar>
            <w:tcW w:w="111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Mar>
              <w:left w:w="10" w:type="dxa"/>
              <w:top w:w="0" w:type="dxa"/>
              <w:right w:w="10" w:type="dxa"/>
              <w:bottom w:w="0" w:type="dxa"/>
            </w:tcMar>
            <w:tcW w:w="285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Borders>
              <w:top w:val="single" w:color="auto" w:sz="6" w:space="0"/>
              <w:left w:val="single" w:color="auto" w:sz="6" w:space="0"/>
              <w:bottom w:val="single" w:color="auto" w:sz="6" w:space="0"/>
              <w:right w:val="single" w:color="auto" w:sz="6" w:space="0"/>
            </w:tcBorders>
            <w:tcMar>
              <w:left w:w="10" w:type="dxa"/>
              <w:top w:w="0" w:type="dxa"/>
              <w:right w:w="10" w:type="dxa"/>
              <w:bottom w:w="0" w:type="dxa"/>
            </w:tcMar>
            <w:tcW w:w="191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8" w:space="0"/>
            </w:tcBorders>
            <w:tcMar>
              <w:left w:w="10" w:type="dxa"/>
              <w:top w:w="0" w:type="dxa"/>
              <w:right w:w="10" w:type="dxa"/>
              <w:bottom w:w="0" w:type="dxa"/>
            </w:tcMar>
            <w:tcW w:w="272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84"/>
        </w:trPr>
        <w:tc>
          <w:tcPr>
            <w:tcBorders>
              <w:top w:val="single" w:color="auto" w:sz="6" w:space="0"/>
              <w:left w:val="single" w:color="auto" w:sz="8" w:space="0"/>
              <w:bottom w:val="single" w:color="auto" w:sz="6" w:space="0"/>
              <w:right w:val="single" w:color="auto" w:sz="6" w:space="0"/>
            </w:tcBorders>
            <w:tcMar>
              <w:left w:w="10" w:type="dxa"/>
              <w:top w:w="0" w:type="dxa"/>
              <w:right w:w="10" w:type="dxa"/>
              <w:bottom w:w="0" w:type="dxa"/>
            </w:tcMar>
            <w:tcW w:w="71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Mar>
              <w:left w:w="10" w:type="dxa"/>
              <w:top w:w="0" w:type="dxa"/>
              <w:right w:w="10" w:type="dxa"/>
              <w:bottom w:w="0" w:type="dxa"/>
            </w:tcMar>
            <w:tcW w:w="111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Mar>
              <w:left w:w="10" w:type="dxa"/>
              <w:top w:w="0" w:type="dxa"/>
              <w:right w:w="10" w:type="dxa"/>
              <w:bottom w:w="0" w:type="dxa"/>
            </w:tcMar>
            <w:tcW w:w="285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Borders>
              <w:top w:val="single" w:color="auto" w:sz="6" w:space="0"/>
              <w:left w:val="single" w:color="auto" w:sz="6" w:space="0"/>
              <w:bottom w:val="single" w:color="auto" w:sz="6" w:space="0"/>
              <w:right w:val="single" w:color="auto" w:sz="6" w:space="0"/>
            </w:tcBorders>
            <w:tcMar>
              <w:left w:w="10" w:type="dxa"/>
              <w:top w:w="0" w:type="dxa"/>
              <w:right w:w="10" w:type="dxa"/>
              <w:bottom w:w="0" w:type="dxa"/>
            </w:tcMar>
            <w:tcW w:w="191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8" w:space="0"/>
            </w:tcBorders>
            <w:tcMar>
              <w:left w:w="10" w:type="dxa"/>
              <w:top w:w="0" w:type="dxa"/>
              <w:right w:w="10" w:type="dxa"/>
              <w:bottom w:w="0" w:type="dxa"/>
            </w:tcMar>
            <w:tcW w:w="272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84"/>
        </w:trPr>
        <w:tc>
          <w:tcPr>
            <w:tcBorders>
              <w:top w:val="single" w:color="auto" w:sz="6" w:space="0"/>
              <w:left w:val="single" w:color="auto" w:sz="8" w:space="0"/>
              <w:bottom w:val="single" w:color="auto" w:sz="6" w:space="0"/>
              <w:right w:val="single" w:color="auto" w:sz="6" w:space="0"/>
            </w:tcBorders>
            <w:tcMar>
              <w:left w:w="10" w:type="dxa"/>
              <w:top w:w="0" w:type="dxa"/>
              <w:right w:w="10" w:type="dxa"/>
              <w:bottom w:w="0" w:type="dxa"/>
            </w:tcMar>
            <w:tcW w:w="71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Mar>
              <w:left w:w="10" w:type="dxa"/>
              <w:top w:w="0" w:type="dxa"/>
              <w:right w:w="10" w:type="dxa"/>
              <w:bottom w:w="0" w:type="dxa"/>
            </w:tcMar>
            <w:tcW w:w="111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Mar>
              <w:left w:w="10" w:type="dxa"/>
              <w:top w:w="0" w:type="dxa"/>
              <w:right w:w="10" w:type="dxa"/>
              <w:bottom w:w="0" w:type="dxa"/>
            </w:tcMar>
            <w:tcW w:w="285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Borders>
              <w:top w:val="single" w:color="auto" w:sz="6" w:space="0"/>
              <w:left w:val="single" w:color="auto" w:sz="6" w:space="0"/>
              <w:bottom w:val="single" w:color="auto" w:sz="6" w:space="0"/>
              <w:right w:val="single" w:color="auto" w:sz="6" w:space="0"/>
            </w:tcBorders>
            <w:tcMar>
              <w:left w:w="10" w:type="dxa"/>
              <w:top w:w="0" w:type="dxa"/>
              <w:right w:w="10" w:type="dxa"/>
              <w:bottom w:w="0" w:type="dxa"/>
            </w:tcMar>
            <w:tcW w:w="191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8" w:space="0"/>
            </w:tcBorders>
            <w:tcMar>
              <w:left w:w="10" w:type="dxa"/>
              <w:top w:w="0" w:type="dxa"/>
              <w:right w:w="10" w:type="dxa"/>
              <w:bottom w:w="0" w:type="dxa"/>
            </w:tcMar>
            <w:tcW w:w="272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84"/>
        </w:trPr>
        <w:tc>
          <w:tcPr>
            <w:tcBorders>
              <w:top w:val="single" w:color="auto" w:sz="6" w:space="0"/>
              <w:left w:val="single" w:color="auto" w:sz="8" w:space="0"/>
              <w:bottom w:val="single" w:color="auto" w:sz="6" w:space="0"/>
              <w:right w:val="single" w:color="auto" w:sz="6" w:space="0"/>
            </w:tcBorders>
            <w:tcMar>
              <w:left w:w="10" w:type="dxa"/>
              <w:top w:w="0" w:type="dxa"/>
              <w:right w:w="10" w:type="dxa"/>
              <w:bottom w:w="0" w:type="dxa"/>
            </w:tcMar>
            <w:tcW w:w="71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Mar>
              <w:left w:w="10" w:type="dxa"/>
              <w:top w:w="0" w:type="dxa"/>
              <w:right w:w="10" w:type="dxa"/>
              <w:bottom w:w="0" w:type="dxa"/>
            </w:tcMar>
            <w:tcW w:w="111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Mar>
              <w:left w:w="10" w:type="dxa"/>
              <w:top w:w="0" w:type="dxa"/>
              <w:right w:w="10" w:type="dxa"/>
              <w:bottom w:w="0" w:type="dxa"/>
            </w:tcMar>
            <w:tcW w:w="285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Borders>
              <w:top w:val="single" w:color="auto" w:sz="6" w:space="0"/>
              <w:left w:val="single" w:color="auto" w:sz="6" w:space="0"/>
              <w:bottom w:val="single" w:color="auto" w:sz="6" w:space="0"/>
              <w:right w:val="single" w:color="auto" w:sz="6" w:space="0"/>
            </w:tcBorders>
            <w:tcMar>
              <w:left w:w="10" w:type="dxa"/>
              <w:top w:w="0" w:type="dxa"/>
              <w:right w:w="10" w:type="dxa"/>
              <w:bottom w:w="0" w:type="dxa"/>
            </w:tcMar>
            <w:tcW w:w="191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8" w:space="0"/>
            </w:tcBorders>
            <w:tcMar>
              <w:left w:w="10" w:type="dxa"/>
              <w:top w:w="0" w:type="dxa"/>
              <w:right w:w="10" w:type="dxa"/>
              <w:bottom w:w="0" w:type="dxa"/>
            </w:tcMar>
            <w:tcW w:w="272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84"/>
        </w:trPr>
        <w:tc>
          <w:tcPr>
            <w:tcBorders>
              <w:top w:val="single" w:color="auto" w:sz="6" w:space="0"/>
              <w:left w:val="single" w:color="auto" w:sz="8" w:space="0"/>
              <w:bottom w:val="single" w:color="auto" w:sz="6" w:space="0"/>
              <w:right w:val="single" w:color="auto" w:sz="6" w:space="0"/>
            </w:tcBorders>
            <w:tcMar>
              <w:left w:w="10" w:type="dxa"/>
              <w:top w:w="0" w:type="dxa"/>
              <w:right w:w="10" w:type="dxa"/>
              <w:bottom w:w="0" w:type="dxa"/>
            </w:tcMar>
            <w:tcW w:w="71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Mar>
              <w:left w:w="10" w:type="dxa"/>
              <w:top w:w="0" w:type="dxa"/>
              <w:right w:w="10" w:type="dxa"/>
              <w:bottom w:w="0" w:type="dxa"/>
            </w:tcMar>
            <w:tcW w:w="111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Mar>
              <w:left w:w="10" w:type="dxa"/>
              <w:top w:w="0" w:type="dxa"/>
              <w:right w:w="10" w:type="dxa"/>
              <w:bottom w:w="0" w:type="dxa"/>
            </w:tcMar>
            <w:tcW w:w="285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Borders>
              <w:top w:val="single" w:color="auto" w:sz="6" w:space="0"/>
              <w:left w:val="single" w:color="auto" w:sz="6" w:space="0"/>
              <w:bottom w:val="single" w:color="auto" w:sz="6" w:space="0"/>
              <w:right w:val="single" w:color="auto" w:sz="6" w:space="0"/>
            </w:tcBorders>
            <w:tcMar>
              <w:left w:w="10" w:type="dxa"/>
              <w:top w:w="0" w:type="dxa"/>
              <w:right w:w="10" w:type="dxa"/>
              <w:bottom w:w="0" w:type="dxa"/>
            </w:tcMar>
            <w:tcW w:w="191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8" w:space="0"/>
            </w:tcBorders>
            <w:tcMar>
              <w:left w:w="10" w:type="dxa"/>
              <w:top w:w="0" w:type="dxa"/>
              <w:right w:w="10" w:type="dxa"/>
              <w:bottom w:w="0" w:type="dxa"/>
            </w:tcMar>
            <w:tcW w:w="272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84"/>
        </w:trPr>
        <w:tc>
          <w:tcPr>
            <w:tcBorders>
              <w:top w:val="single" w:color="auto" w:sz="6" w:space="0"/>
              <w:left w:val="single" w:color="auto" w:sz="8" w:space="0"/>
              <w:bottom w:val="single" w:color="auto" w:sz="6" w:space="0"/>
              <w:right w:val="single" w:color="auto" w:sz="6" w:space="0"/>
            </w:tcBorders>
            <w:tcMar>
              <w:left w:w="10" w:type="dxa"/>
              <w:top w:w="0" w:type="dxa"/>
              <w:right w:w="10" w:type="dxa"/>
              <w:bottom w:w="0" w:type="dxa"/>
            </w:tcMar>
            <w:tcW w:w="71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Mar>
              <w:left w:w="10" w:type="dxa"/>
              <w:top w:w="0" w:type="dxa"/>
              <w:right w:w="10" w:type="dxa"/>
              <w:bottom w:w="0" w:type="dxa"/>
            </w:tcMar>
            <w:tcW w:w="111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Mar>
              <w:left w:w="10" w:type="dxa"/>
              <w:top w:w="0" w:type="dxa"/>
              <w:right w:w="10" w:type="dxa"/>
              <w:bottom w:w="0" w:type="dxa"/>
            </w:tcMar>
            <w:tcW w:w="285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Borders>
              <w:top w:val="single" w:color="auto" w:sz="6" w:space="0"/>
              <w:left w:val="single" w:color="auto" w:sz="6" w:space="0"/>
              <w:bottom w:val="single" w:color="auto" w:sz="6" w:space="0"/>
              <w:right w:val="single" w:color="auto" w:sz="6" w:space="0"/>
            </w:tcBorders>
            <w:tcMar>
              <w:left w:w="10" w:type="dxa"/>
              <w:top w:w="0" w:type="dxa"/>
              <w:right w:w="10" w:type="dxa"/>
              <w:bottom w:w="0" w:type="dxa"/>
            </w:tcMar>
            <w:tcW w:w="191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8" w:space="0"/>
            </w:tcBorders>
            <w:tcMar>
              <w:left w:w="10" w:type="dxa"/>
              <w:top w:w="0" w:type="dxa"/>
              <w:right w:w="10" w:type="dxa"/>
              <w:bottom w:w="0" w:type="dxa"/>
            </w:tcMar>
            <w:tcW w:w="272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84"/>
        </w:trPr>
        <w:tc>
          <w:tcPr>
            <w:tcBorders>
              <w:top w:val="single" w:color="auto" w:sz="6" w:space="0"/>
              <w:left w:val="single" w:color="auto" w:sz="8" w:space="0"/>
              <w:bottom w:val="single" w:color="auto" w:sz="6" w:space="0"/>
              <w:right w:val="single" w:color="auto" w:sz="6" w:space="0"/>
            </w:tcBorders>
            <w:tcMar>
              <w:left w:w="10" w:type="dxa"/>
              <w:top w:w="0" w:type="dxa"/>
              <w:right w:w="10" w:type="dxa"/>
              <w:bottom w:w="0" w:type="dxa"/>
            </w:tcMar>
            <w:tcW w:w="71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Mar>
              <w:left w:w="10" w:type="dxa"/>
              <w:top w:w="0" w:type="dxa"/>
              <w:right w:w="10" w:type="dxa"/>
              <w:bottom w:w="0" w:type="dxa"/>
            </w:tcMar>
            <w:tcW w:w="111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Mar>
              <w:left w:w="10" w:type="dxa"/>
              <w:top w:w="0" w:type="dxa"/>
              <w:right w:w="10" w:type="dxa"/>
              <w:bottom w:w="0" w:type="dxa"/>
            </w:tcMar>
            <w:tcW w:w="285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Borders>
              <w:top w:val="single" w:color="auto" w:sz="6" w:space="0"/>
              <w:left w:val="single" w:color="auto" w:sz="6" w:space="0"/>
              <w:bottom w:val="single" w:color="auto" w:sz="6" w:space="0"/>
              <w:right w:val="single" w:color="auto" w:sz="6" w:space="0"/>
            </w:tcBorders>
            <w:tcMar>
              <w:left w:w="10" w:type="dxa"/>
              <w:top w:w="0" w:type="dxa"/>
              <w:right w:w="10" w:type="dxa"/>
              <w:bottom w:w="0" w:type="dxa"/>
            </w:tcMar>
            <w:tcW w:w="191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8" w:space="0"/>
            </w:tcBorders>
            <w:tcMar>
              <w:left w:w="10" w:type="dxa"/>
              <w:top w:w="0" w:type="dxa"/>
              <w:right w:w="10" w:type="dxa"/>
              <w:bottom w:w="0" w:type="dxa"/>
            </w:tcMar>
            <w:tcW w:w="272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none" w:color="000000" w:sz="4" w:space="0"/>
              <w:left w:val="none" w:color="000000" w:sz="4" w:space="0"/>
              <w:bottom w:val="none" w:color="000000" w:sz="4" w:space="0"/>
              <w:right w:val="none" w:color="000000" w:sz="4" w:space="0"/>
            </w:tcBorders>
            <w:tcW w:w="719" w:type="dxa"/>
            <w:vAlign w:val="center"/>
            <w:textDirection w:val="lrTb"/>
            <w:noWrap w:val="false"/>
          </w:tcPr>
          <w:p>
            <w:pPr>
              <w:spacing w:line="360" w:lineRule="auto"/>
              <w:widowControl/>
              <w:rPr>
                <w:rFonts w:hint="eastAsia" w:ascii="宋体" w:hAnsi="宋体" w:eastAsia="宋体" w:cs="宋体"/>
                <w:color w:val="auto"/>
                <w:sz w:val="2"/>
                <w:highlight w:val="none"/>
              </w:rPr>
            </w:pPr>
            <w:r>
              <w:rPr>
                <w:rFonts w:hint="eastAsia" w:ascii="宋体" w:hAnsi="宋体" w:eastAsia="宋体" w:cs="宋体"/>
                <w:color w:val="auto"/>
                <w:sz w:val="2"/>
                <w:highlight w:val="none"/>
              </w:rPr>
            </w:r>
            <w:r/>
          </w:p>
        </w:tc>
        <w:tc>
          <w:tcPr>
            <w:tcBorders>
              <w:top w:val="none" w:color="000000" w:sz="4" w:space="0"/>
              <w:left w:val="none" w:color="000000" w:sz="4" w:space="0"/>
              <w:bottom w:val="none" w:color="000000" w:sz="4" w:space="0"/>
              <w:right w:val="none" w:color="000000" w:sz="4" w:space="0"/>
            </w:tcBorders>
            <w:tcW w:w="1119" w:type="dxa"/>
            <w:vAlign w:val="center"/>
            <w:textDirection w:val="lrTb"/>
            <w:noWrap w:val="false"/>
          </w:tcPr>
          <w:p>
            <w:pPr>
              <w:spacing w:line="360" w:lineRule="auto"/>
              <w:widowControl/>
              <w:rPr>
                <w:rFonts w:hint="eastAsia" w:ascii="宋体" w:hAnsi="宋体" w:eastAsia="宋体" w:cs="宋体"/>
                <w:color w:val="auto"/>
                <w:sz w:val="2"/>
                <w:highlight w:val="none"/>
              </w:rPr>
            </w:pPr>
            <w:r>
              <w:rPr>
                <w:rFonts w:hint="eastAsia" w:ascii="宋体" w:hAnsi="宋体" w:eastAsia="宋体" w:cs="宋体"/>
                <w:color w:val="auto"/>
                <w:sz w:val="2"/>
                <w:highlight w:val="none"/>
              </w:rPr>
            </w:r>
            <w:r/>
          </w:p>
        </w:tc>
        <w:tc>
          <w:tcPr>
            <w:tcBorders>
              <w:top w:val="none" w:color="000000" w:sz="4" w:space="0"/>
              <w:left w:val="none" w:color="000000" w:sz="4" w:space="0"/>
              <w:bottom w:val="none" w:color="000000" w:sz="4" w:space="0"/>
              <w:right w:val="none" w:color="000000" w:sz="4" w:space="0"/>
            </w:tcBorders>
            <w:tcW w:w="2850" w:type="dxa"/>
            <w:vAlign w:val="center"/>
            <w:textDirection w:val="lrTb"/>
            <w:noWrap w:val="false"/>
          </w:tcPr>
          <w:p>
            <w:pPr>
              <w:spacing w:line="360" w:lineRule="auto"/>
              <w:widowControl/>
              <w:rPr>
                <w:rFonts w:hint="eastAsia" w:ascii="宋体" w:hAnsi="宋体" w:eastAsia="宋体" w:cs="宋体"/>
                <w:color w:val="auto"/>
                <w:sz w:val="2"/>
                <w:highlight w:val="none"/>
              </w:rPr>
            </w:pPr>
            <w:r>
              <w:rPr>
                <w:rFonts w:hint="eastAsia" w:ascii="宋体" w:hAnsi="宋体" w:eastAsia="宋体" w:cs="宋体"/>
                <w:color w:val="auto"/>
                <w:sz w:val="2"/>
                <w:highlight w:val="none"/>
              </w:rPr>
            </w:r>
            <w:r/>
          </w:p>
        </w:tc>
        <w:tc>
          <w:tcPr>
            <w:tcBorders>
              <w:top w:val="none" w:color="000000" w:sz="4" w:space="0"/>
              <w:left w:val="none" w:color="000000" w:sz="4" w:space="0"/>
              <w:bottom w:val="none" w:color="000000" w:sz="4" w:space="0"/>
              <w:right w:val="none" w:color="000000" w:sz="4" w:space="0"/>
            </w:tcBorders>
            <w:tcW w:w="678" w:type="dxa"/>
            <w:vAlign w:val="center"/>
            <w:textDirection w:val="lrTb"/>
            <w:noWrap w:val="false"/>
          </w:tcPr>
          <w:p>
            <w:pPr>
              <w:spacing w:line="360" w:lineRule="auto"/>
              <w:widowControl/>
              <w:rPr>
                <w:rFonts w:hint="eastAsia" w:ascii="宋体" w:hAnsi="宋体" w:eastAsia="宋体" w:cs="宋体"/>
                <w:color w:val="auto"/>
                <w:sz w:val="2"/>
                <w:highlight w:val="none"/>
              </w:rPr>
            </w:pPr>
            <w:r>
              <w:rPr>
                <w:rFonts w:hint="eastAsia" w:ascii="宋体" w:hAnsi="宋体" w:eastAsia="宋体" w:cs="宋体"/>
                <w:color w:val="auto"/>
                <w:sz w:val="2"/>
                <w:highlight w:val="none"/>
              </w:rPr>
            </w:r>
            <w:r/>
          </w:p>
        </w:tc>
        <w:tc>
          <w:tcPr>
            <w:tcBorders>
              <w:top w:val="none" w:color="000000" w:sz="4" w:space="0"/>
              <w:left w:val="none" w:color="000000" w:sz="4" w:space="0"/>
              <w:bottom w:val="none" w:color="000000" w:sz="4" w:space="0"/>
              <w:right w:val="none" w:color="000000" w:sz="4" w:space="0"/>
            </w:tcBorders>
            <w:tcW w:w="1235" w:type="dxa"/>
            <w:vAlign w:val="center"/>
            <w:textDirection w:val="lrTb"/>
            <w:noWrap w:val="false"/>
          </w:tcPr>
          <w:p>
            <w:pPr>
              <w:spacing w:line="360" w:lineRule="auto"/>
              <w:widowControl/>
              <w:rPr>
                <w:rFonts w:hint="eastAsia" w:ascii="宋体" w:hAnsi="宋体" w:eastAsia="宋体" w:cs="宋体"/>
                <w:color w:val="auto"/>
                <w:sz w:val="2"/>
                <w:highlight w:val="none"/>
              </w:rPr>
            </w:pPr>
            <w:r>
              <w:rPr>
                <w:rFonts w:hint="eastAsia" w:ascii="宋体" w:hAnsi="宋体" w:eastAsia="宋体" w:cs="宋体"/>
                <w:color w:val="auto"/>
                <w:sz w:val="2"/>
                <w:highlight w:val="none"/>
              </w:rPr>
            </w:r>
            <w:r/>
          </w:p>
        </w:tc>
        <w:tc>
          <w:tcPr>
            <w:tcBorders>
              <w:top w:val="none" w:color="000000" w:sz="4" w:space="0"/>
              <w:left w:val="none" w:color="000000" w:sz="4" w:space="0"/>
              <w:bottom w:val="none" w:color="000000" w:sz="4" w:space="0"/>
              <w:right w:val="none" w:color="000000" w:sz="4" w:space="0"/>
            </w:tcBorders>
            <w:tcW w:w="2724" w:type="dxa"/>
            <w:vAlign w:val="center"/>
            <w:textDirection w:val="lrTb"/>
            <w:noWrap w:val="false"/>
          </w:tcPr>
          <w:p>
            <w:pPr>
              <w:spacing w:line="360" w:lineRule="auto"/>
              <w:widowControl/>
              <w:rPr>
                <w:rFonts w:hint="eastAsia" w:ascii="宋体" w:hAnsi="宋体" w:eastAsia="宋体" w:cs="宋体"/>
                <w:color w:val="auto"/>
                <w:sz w:val="2"/>
                <w:highlight w:val="none"/>
              </w:rPr>
            </w:pPr>
            <w:r>
              <w:rPr>
                <w:rFonts w:hint="eastAsia" w:ascii="宋体" w:hAnsi="宋体" w:eastAsia="宋体" w:cs="宋体"/>
                <w:color w:val="auto"/>
                <w:sz w:val="2"/>
                <w:highlight w:val="none"/>
              </w:rPr>
            </w:r>
            <w:r/>
          </w:p>
        </w:tc>
      </w:tr>
    </w:tbl>
    <w:p>
      <w:pPr>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说明：如果行数不够，请自行增加。</w:t>
      </w:r>
      <w:r/>
    </w:p>
    <w:p>
      <w:pPr>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highlight w:val="none"/>
          <w:lang w:val="zh-CN" w:eastAsia="zh-CN"/>
        </w:rPr>
        <w:t xml:space="preserve">投标供应商</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（盖章）</w:t>
      </w:r>
      <w:r/>
    </w:p>
    <w:p>
      <w:pPr>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914"/>
        <w:rPr>
          <w:rFonts w:hint="eastAsia" w:ascii="宋体" w:hAnsi="宋体" w:eastAsia="宋体" w:cs="宋体"/>
          <w:color w:val="auto"/>
          <w:sz w:val="24"/>
          <w:highlight w:val="none"/>
          <w:lang w:val="zh-CN"/>
        </w:rPr>
      </w:pPr>
      <w:r/>
      <w:bookmarkStart w:id="124" w:name="_Toc7467"/>
      <w:r/>
      <w:bookmarkStart w:id="125" w:name="_Toc481604687"/>
      <w:r/>
      <w:r/>
    </w:p>
    <w:p>
      <w:pPr>
        <w:rPr>
          <w:rFonts w:hint="eastAsia" w:ascii="宋体" w:hAnsi="宋体" w:eastAsia="宋体" w:cs="宋体"/>
          <w:color w:val="auto"/>
          <w:sz w:val="22"/>
          <w:highlight w:val="none"/>
          <w:lang w:val="zh-CN"/>
        </w:rPr>
      </w:pPr>
      <w:r/>
      <w:bookmarkStart w:id="126" w:name="_Toc28487"/>
      <w:r>
        <w:rPr>
          <w:rFonts w:hint="eastAsia" w:ascii="宋体" w:hAnsi="宋体" w:eastAsia="宋体" w:cs="宋体"/>
          <w:color w:val="auto"/>
          <w:sz w:val="22"/>
          <w:highlight w:val="none"/>
          <w:lang w:val="zh-CN"/>
        </w:rPr>
        <w:br w:type="page" w:clear="all"/>
      </w:r>
      <w:r/>
    </w:p>
    <w:p>
      <w:pPr>
        <w:pStyle w:val="914"/>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r>
      <w:r/>
    </w:p>
    <w:p>
      <w:pPr>
        <w:pStyle w:val="914"/>
        <w:rPr>
          <w:rFonts w:hint="eastAsia" w:ascii="宋体" w:hAnsi="宋体" w:eastAsia="宋体" w:cs="宋体"/>
          <w:color w:val="auto"/>
          <w:sz w:val="22"/>
          <w:szCs w:val="22"/>
          <w:highlight w:val="none"/>
        </w:rPr>
      </w:pPr>
      <w:r/>
      <w:bookmarkStart w:id="127" w:name="_Toc10532"/>
      <w:r/>
      <w:bookmarkStart w:id="128" w:name="_Toc16487"/>
      <w:r>
        <w:rPr>
          <w:rFonts w:hint="eastAsia" w:ascii="宋体" w:hAnsi="宋体" w:eastAsia="宋体" w:cs="宋体"/>
          <w:color w:val="auto"/>
          <w:sz w:val="22"/>
          <w:szCs w:val="22"/>
          <w:highlight w:val="none"/>
          <w:lang w:val="zh-CN"/>
        </w:rPr>
        <w:t xml:space="preserve">目录</w:t>
      </w:r>
      <w:r>
        <w:rPr>
          <w:rFonts w:hint="eastAsia" w:ascii="宋体" w:hAnsi="宋体" w:eastAsia="宋体" w:cs="宋体"/>
          <w:color w:val="auto"/>
          <w:sz w:val="22"/>
          <w:szCs w:val="22"/>
          <w:highlight w:val="none"/>
        </w:rPr>
        <w:t xml:space="preserve">七</w:t>
      </w:r>
      <w:r>
        <w:rPr>
          <w:rFonts w:hint="eastAsia" w:ascii="宋体" w:hAnsi="宋体" w:eastAsia="宋体" w:cs="宋体"/>
          <w:color w:val="auto"/>
          <w:sz w:val="22"/>
          <w:szCs w:val="22"/>
          <w:highlight w:val="none"/>
          <w:lang w:val="zh-CN"/>
        </w:rPr>
        <w:t xml:space="preserve">、投标人拟投入本项目服务人员一览表</w:t>
      </w:r>
      <w:bookmarkEnd w:id="124"/>
      <w:r/>
      <w:bookmarkEnd w:id="125"/>
      <w:r/>
      <w:bookmarkEnd w:id="126"/>
      <w:r/>
      <w:bookmarkEnd w:id="127"/>
      <w:r/>
      <w:bookmarkEnd w:id="128"/>
      <w:r/>
      <w:r/>
    </w:p>
    <w:p>
      <w:pPr>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ind w:left="420"/>
        <w:jc w:val="center"/>
        <w:spacing w:line="360" w:lineRule="auto"/>
        <w:shd w:val="clear" w:color="auto" w:fill="ffffff"/>
        <w:widowControl/>
        <w:rPr>
          <w:rFonts w:hint="eastAsia" w:ascii="宋体" w:hAnsi="宋体" w:eastAsia="宋体" w:cs="宋体"/>
          <w:b/>
          <w:bCs/>
          <w:color w:val="auto"/>
          <w:sz w:val="28"/>
          <w:szCs w:val="28"/>
          <w:highlight w:val="none"/>
        </w:rPr>
        <w:outlineLvl w:val="0"/>
      </w:pPr>
      <w:r/>
      <w:bookmarkStart w:id="129" w:name="_Toc24823"/>
      <w:r/>
      <w:bookmarkStart w:id="130" w:name="_Toc21829"/>
      <w:r/>
      <w:bookmarkStart w:id="131" w:name="_Toc383"/>
      <w:r>
        <w:rPr>
          <w:rFonts w:hint="eastAsia" w:ascii="宋体" w:hAnsi="宋体" w:eastAsia="宋体" w:cs="宋体"/>
          <w:b/>
          <w:bCs/>
          <w:color w:val="auto"/>
          <w:sz w:val="28"/>
          <w:szCs w:val="28"/>
          <w:highlight w:val="none"/>
        </w:rPr>
        <w:t xml:space="preserve">拟投入本项目人员一览表</w:t>
      </w:r>
      <w:bookmarkEnd w:id="129"/>
      <w:r/>
      <w:bookmarkEnd w:id="130"/>
      <w:r/>
      <w:bookmarkEnd w:id="131"/>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项目编号：</w:t>
      </w:r>
      <w:r/>
    </w:p>
    <w:tbl>
      <w:tblPr>
        <w:tblStyle w:val="923"/>
        <w:tblW w:w="98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1"/>
        <w:gridCol w:w="856"/>
        <w:gridCol w:w="1051"/>
        <w:gridCol w:w="821"/>
        <w:gridCol w:w="731"/>
        <w:gridCol w:w="959"/>
        <w:gridCol w:w="787"/>
        <w:gridCol w:w="862"/>
        <w:gridCol w:w="840"/>
        <w:gridCol w:w="1026"/>
        <w:gridCol w:w="717"/>
        <w:gridCol w:w="719"/>
      </w:tblGrid>
      <w:tr>
        <w:trPr>
          <w:jc w:val="center"/>
          <w:trHeight w:val="1896"/>
        </w:trPr>
        <w:tc>
          <w:tcPr>
            <w:tcW w:w="451" w:type="dxa"/>
            <w:vAlign w:val="center"/>
            <w:textDirection w:val="lrTb"/>
            <w:noWrap w:val="false"/>
          </w:tcPr>
          <w:p>
            <w:pPr>
              <w:jc w:val="center"/>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序号</w:t>
            </w:r>
            <w:r/>
          </w:p>
        </w:tc>
        <w:tc>
          <w:tcPr>
            <w:tcW w:w="856" w:type="dxa"/>
            <w:vAlign w:val="center"/>
            <w:textDirection w:val="lrTb"/>
            <w:noWrap w:val="false"/>
          </w:tcPr>
          <w:p>
            <w:pPr>
              <w:jc w:val="center"/>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姓名</w:t>
            </w:r>
            <w:r/>
          </w:p>
        </w:tc>
        <w:tc>
          <w:tcPr>
            <w:tcW w:w="1051" w:type="dxa"/>
            <w:vAlign w:val="center"/>
            <w:textDirection w:val="lrTb"/>
            <w:noWrap w:val="false"/>
          </w:tcPr>
          <w:p>
            <w:pPr>
              <w:jc w:val="center"/>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职务</w:t>
            </w:r>
            <w:r/>
          </w:p>
        </w:tc>
        <w:tc>
          <w:tcPr>
            <w:tcW w:w="821" w:type="dxa"/>
            <w:vAlign w:val="center"/>
            <w:textDirection w:val="lrTb"/>
            <w:noWrap w:val="false"/>
          </w:tcPr>
          <w:p>
            <w:pPr>
              <w:jc w:val="center"/>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性别</w:t>
            </w:r>
            <w:r/>
          </w:p>
        </w:tc>
        <w:tc>
          <w:tcPr>
            <w:tcW w:w="731" w:type="dxa"/>
            <w:vAlign w:val="center"/>
            <w:textDirection w:val="lrTb"/>
            <w:noWrap w:val="false"/>
          </w:tcPr>
          <w:p>
            <w:pPr>
              <w:jc w:val="center"/>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年龄</w:t>
            </w:r>
            <w:r/>
          </w:p>
        </w:tc>
        <w:tc>
          <w:tcPr>
            <w:tcW w:w="959" w:type="dxa"/>
            <w:vAlign w:val="center"/>
            <w:textDirection w:val="lrTb"/>
            <w:noWrap w:val="false"/>
          </w:tcPr>
          <w:p>
            <w:pPr>
              <w:jc w:val="center"/>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专业</w:t>
            </w:r>
            <w:r/>
          </w:p>
        </w:tc>
        <w:tc>
          <w:tcPr>
            <w:tcW w:w="787" w:type="dxa"/>
            <w:vAlign w:val="center"/>
            <w:textDirection w:val="lrTb"/>
            <w:noWrap w:val="false"/>
          </w:tcPr>
          <w:p>
            <w:pPr>
              <w:jc w:val="center"/>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学历</w:t>
            </w:r>
            <w:r/>
          </w:p>
        </w:tc>
        <w:tc>
          <w:tcPr>
            <w:tcW w:w="862" w:type="dxa"/>
            <w:vAlign w:val="center"/>
            <w:textDirection w:val="lrTb"/>
            <w:noWrap w:val="false"/>
          </w:tcPr>
          <w:p>
            <w:pPr>
              <w:jc w:val="center"/>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执业</w:t>
            </w:r>
            <w:r/>
          </w:p>
          <w:p>
            <w:pPr>
              <w:jc w:val="center"/>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资格</w:t>
            </w:r>
            <w:r/>
          </w:p>
        </w:tc>
        <w:tc>
          <w:tcPr>
            <w:tcW w:w="840" w:type="dxa"/>
            <w:vAlign w:val="center"/>
            <w:textDirection w:val="lrTb"/>
            <w:noWrap w:val="false"/>
          </w:tcPr>
          <w:p>
            <w:pPr>
              <w:jc w:val="center"/>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证书号</w:t>
            </w:r>
            <w:r/>
          </w:p>
        </w:tc>
        <w:tc>
          <w:tcPr>
            <w:tcW w:w="1026" w:type="dxa"/>
            <w:vAlign w:val="center"/>
            <w:textDirection w:val="lrTb"/>
            <w:noWrap w:val="false"/>
          </w:tcPr>
          <w:p>
            <w:pPr>
              <w:jc w:val="center"/>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技术职称</w:t>
            </w:r>
            <w:r/>
          </w:p>
        </w:tc>
        <w:tc>
          <w:tcPr>
            <w:tcW w:w="717" w:type="dxa"/>
            <w:vAlign w:val="center"/>
            <w:textDirection w:val="lrTb"/>
            <w:noWrap w:val="false"/>
          </w:tcPr>
          <w:p>
            <w:pPr>
              <w:jc w:val="center"/>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相关工作年限</w:t>
            </w:r>
            <w:r/>
          </w:p>
        </w:tc>
        <w:tc>
          <w:tcPr>
            <w:tcW w:w="719" w:type="dxa"/>
            <w:vAlign w:val="center"/>
            <w:textDirection w:val="lrTb"/>
            <w:noWrap w:val="false"/>
          </w:tcPr>
          <w:p>
            <w:pPr>
              <w:jc w:val="center"/>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备注</w:t>
            </w:r>
            <w:r/>
          </w:p>
        </w:tc>
      </w:tr>
      <w:tr>
        <w:trPr>
          <w:jc w:val="center"/>
          <w:trHeight w:val="341"/>
        </w:trPr>
        <w:tc>
          <w:tcPr>
            <w:tcW w:w="451"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6"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51"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21"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31"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59"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87"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62"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40"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26"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17"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19"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341"/>
        </w:trPr>
        <w:tc>
          <w:tcPr>
            <w:tcW w:w="451"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6"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51"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21"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31"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59"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87"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62"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40"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26"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17"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19"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341"/>
        </w:trPr>
        <w:tc>
          <w:tcPr>
            <w:tcW w:w="451"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6"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51"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21"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31"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59"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87"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62"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40"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26"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17"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19"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341"/>
        </w:trPr>
        <w:tc>
          <w:tcPr>
            <w:tcW w:w="451"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6"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51"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21"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31"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59"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87"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62"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40"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26"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17"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19"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341"/>
        </w:trPr>
        <w:tc>
          <w:tcPr>
            <w:tcW w:w="451"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6"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51"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21"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31"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59"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87"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62"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40"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26"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17"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19"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341"/>
        </w:trPr>
        <w:tc>
          <w:tcPr>
            <w:tcW w:w="451"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6"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51"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21"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31"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59"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87"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62"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40"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26"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17"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19"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341"/>
        </w:trPr>
        <w:tc>
          <w:tcPr>
            <w:tcW w:w="451"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6"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51"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21"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31"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59"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87"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62"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40"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26"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17"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19"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341"/>
        </w:trPr>
        <w:tc>
          <w:tcPr>
            <w:tcW w:w="451"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6"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51"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21"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31"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59"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87"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62"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40"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26"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17"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19"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341"/>
        </w:trPr>
        <w:tc>
          <w:tcPr>
            <w:tcW w:w="451"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6"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51"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21"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31"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59"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87"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62"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40"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26"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17"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19"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341"/>
        </w:trPr>
        <w:tc>
          <w:tcPr>
            <w:tcW w:w="451"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6"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51"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21"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31"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59"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87"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62"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40"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26"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17"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19"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341"/>
        </w:trPr>
        <w:tc>
          <w:tcPr>
            <w:tcW w:w="451"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6"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51"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21"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31"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59"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87"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62"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40"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26"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17"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19"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341"/>
        </w:trPr>
        <w:tc>
          <w:tcPr>
            <w:tcW w:w="451"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6"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51"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21"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31"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59"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87"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62"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40"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26"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17"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19"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341"/>
        </w:trPr>
        <w:tc>
          <w:tcPr>
            <w:tcW w:w="451"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6"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51"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21"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31"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59"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87"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62"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40"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26"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17"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19"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341"/>
        </w:trPr>
        <w:tc>
          <w:tcPr>
            <w:tcW w:w="451"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6"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51"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21"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31"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59"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87"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62"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40"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26"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17"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19"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341"/>
        </w:trPr>
        <w:tc>
          <w:tcPr>
            <w:tcW w:w="451"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6"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51"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21"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31"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59"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87"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62"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40"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26"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17"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19"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说明：</w:t>
      </w:r>
      <w:r/>
    </w:p>
    <w:p>
      <w:pPr>
        <w:rPr>
          <w:rFonts w:hint="eastAsia" w:ascii="宋体" w:hAnsi="宋体" w:eastAsia="宋体" w:cs="宋体"/>
          <w:b w:val="0"/>
          <w:bCs/>
          <w:color w:val="auto"/>
          <w:szCs w:val="21"/>
          <w:highlight w:val="none"/>
          <w:lang w:eastAsia="zh-CN"/>
        </w:rPr>
      </w:pPr>
      <w:r>
        <w:rPr>
          <w:rFonts w:hint="eastAsia" w:ascii="宋体" w:hAnsi="宋体" w:eastAsia="宋体" w:cs="宋体"/>
          <w:b w:val="0"/>
          <w:bCs/>
          <w:color w:val="auto"/>
          <w:szCs w:val="21"/>
          <w:highlight w:val="none"/>
        </w:rPr>
        <w:t xml:space="preserve">“备注”栏，可填写该人员擅长的</w:t>
      </w:r>
      <w:r>
        <w:rPr>
          <w:rFonts w:hint="eastAsia" w:ascii="宋体" w:hAnsi="宋体" w:eastAsia="宋体" w:cs="宋体"/>
          <w:b w:val="0"/>
          <w:bCs/>
          <w:color w:val="auto"/>
          <w:szCs w:val="21"/>
          <w:highlight w:val="none"/>
          <w:lang w:val="en-US" w:eastAsia="zh-CN"/>
        </w:rPr>
        <w:t xml:space="preserve">服务</w:t>
      </w:r>
      <w:r>
        <w:rPr>
          <w:rFonts w:hint="eastAsia" w:ascii="宋体" w:hAnsi="宋体" w:eastAsia="宋体" w:cs="宋体"/>
          <w:b w:val="0"/>
          <w:bCs/>
          <w:color w:val="auto"/>
          <w:szCs w:val="21"/>
          <w:highlight w:val="none"/>
        </w:rPr>
        <w:t xml:space="preserve">（或工作）种类；职务填项目负责人或项目组成员</w:t>
      </w:r>
      <w:r>
        <w:rPr>
          <w:rFonts w:hint="eastAsia" w:ascii="宋体" w:hAnsi="宋体" w:eastAsia="宋体" w:cs="宋体"/>
          <w:b w:val="0"/>
          <w:bCs/>
          <w:color w:val="auto"/>
          <w:szCs w:val="21"/>
          <w:highlight w:val="none"/>
          <w:lang w:eastAsia="zh-CN"/>
        </w:rPr>
        <w:t xml:space="preserve">。</w:t>
      </w:r>
      <w:r/>
    </w:p>
    <w:p>
      <w:pPr>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说明：如果行数不够，请自行增加。</w:t>
      </w:r>
      <w:r/>
    </w:p>
    <w:p>
      <w:pPr>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highlight w:val="none"/>
          <w:lang w:val="zh-CN" w:eastAsia="zh-CN"/>
        </w:rPr>
        <w:t xml:space="preserve">投标供应商</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（盖章）</w:t>
      </w:r>
      <w:r/>
    </w:p>
    <w:p>
      <w:pPr>
        <w:spacing w:line="360" w:lineRule="auto"/>
        <w:shd w:val="clear" w:color="auto" w:fill="ffffff"/>
        <w:widowControl/>
        <w:rPr>
          <w:rFonts w:hint="eastAsia" w:ascii="宋体" w:hAnsi="宋体" w:eastAsia="宋体" w:cs="宋体"/>
          <w:color w:val="auto"/>
          <w:szCs w:val="21"/>
          <w:highlight w:val="none"/>
        </w:rPr>
      </w:pPr>
      <w:r/>
      <w:bookmarkStart w:id="132" w:name="_Toc481604688"/>
      <w:r/>
      <w:bookmarkStart w:id="133" w:name="_Toc16575"/>
      <w:r/>
      <w:r/>
    </w:p>
    <w:p>
      <w:pPr>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b/>
          <w:color w:val="auto"/>
          <w:sz w:val="22"/>
          <w:highlight w:val="none"/>
        </w:rPr>
      </w:pPr>
      <w:r/>
      <w:bookmarkStart w:id="134" w:name="_Toc11592"/>
      <w:r/>
      <w:r/>
    </w:p>
    <w:p>
      <w:pPr>
        <w:pStyle w:val="914"/>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br w:type="page" w:clear="all"/>
      </w:r>
      <w:r/>
    </w:p>
    <w:p>
      <w:pPr>
        <w:pStyle w:val="914"/>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914"/>
        <w:rPr>
          <w:rFonts w:hint="eastAsia" w:ascii="宋体" w:hAnsi="宋体" w:eastAsia="宋体" w:cs="宋体"/>
          <w:color w:val="auto"/>
          <w:sz w:val="22"/>
          <w:szCs w:val="22"/>
          <w:highlight w:val="none"/>
        </w:rPr>
      </w:pPr>
      <w:r/>
      <w:bookmarkStart w:id="135" w:name="_Toc7594"/>
      <w:r/>
      <w:bookmarkStart w:id="136" w:name="_Toc8061"/>
      <w:r>
        <w:rPr>
          <w:rFonts w:hint="eastAsia" w:ascii="宋体" w:hAnsi="宋体" w:eastAsia="宋体" w:cs="宋体"/>
          <w:color w:val="auto"/>
          <w:sz w:val="22"/>
          <w:szCs w:val="22"/>
          <w:highlight w:val="none"/>
          <w:lang w:val="zh-CN"/>
        </w:rPr>
        <w:t xml:space="preserve">目录</w:t>
      </w:r>
      <w:r>
        <w:rPr>
          <w:rFonts w:hint="eastAsia" w:ascii="宋体" w:hAnsi="宋体" w:eastAsia="宋体" w:cs="宋体"/>
          <w:color w:val="auto"/>
          <w:sz w:val="22"/>
          <w:szCs w:val="22"/>
          <w:highlight w:val="none"/>
        </w:rPr>
        <w:t xml:space="preserve">八</w:t>
      </w:r>
      <w:r>
        <w:rPr>
          <w:rFonts w:hint="eastAsia" w:ascii="宋体" w:hAnsi="宋体" w:eastAsia="宋体" w:cs="宋体"/>
          <w:color w:val="auto"/>
          <w:sz w:val="22"/>
          <w:szCs w:val="22"/>
          <w:highlight w:val="none"/>
          <w:lang w:val="zh-CN"/>
        </w:rPr>
        <w:t xml:space="preserve">、拟投入本项目车辆或设备一览表</w:t>
      </w:r>
      <w:bookmarkEnd w:id="135"/>
      <w:r/>
      <w:bookmarkEnd w:id="136"/>
      <w:r/>
      <w:r/>
    </w:p>
    <w:p>
      <w:pPr>
        <w:spacing w:line="360" w:lineRule="auto"/>
        <w:rPr>
          <w:rFonts w:hint="eastAsia" w:ascii="宋体" w:hAnsi="宋体" w:eastAsia="宋体" w:cs="宋体"/>
          <w:b/>
          <w:color w:val="auto"/>
          <w:sz w:val="22"/>
          <w:highlight w:val="none"/>
        </w:rPr>
      </w:pPr>
      <w:r>
        <w:rPr>
          <w:rFonts w:hint="eastAsia" w:ascii="宋体" w:hAnsi="宋体" w:eastAsia="宋体" w:cs="宋体"/>
          <w:b/>
          <w:color w:val="auto"/>
          <w:sz w:val="22"/>
          <w:highlight w:val="none"/>
        </w:rPr>
      </w:r>
      <w:r/>
    </w:p>
    <w:p>
      <w:pPr>
        <w:ind w:left="420"/>
        <w:jc w:val="center"/>
        <w:spacing w:line="360" w:lineRule="auto"/>
        <w:shd w:val="clear" w:color="auto" w:fill="ffffff"/>
        <w:widowControl/>
        <w:rPr>
          <w:rFonts w:hint="eastAsia" w:ascii="宋体" w:hAnsi="宋体" w:eastAsia="宋体" w:cs="宋体"/>
          <w:b/>
          <w:bCs/>
          <w:color w:val="auto"/>
          <w:sz w:val="28"/>
          <w:szCs w:val="28"/>
          <w:highlight w:val="none"/>
        </w:rPr>
        <w:outlineLvl w:val="0"/>
      </w:pPr>
      <w:r/>
      <w:bookmarkStart w:id="137" w:name="_Toc2683"/>
      <w:r/>
      <w:bookmarkStart w:id="138" w:name="_Toc6053"/>
      <w:r>
        <w:rPr>
          <w:rFonts w:hint="eastAsia" w:ascii="宋体" w:hAnsi="宋体" w:eastAsia="宋体" w:cs="宋体"/>
          <w:b/>
          <w:bCs/>
          <w:color w:val="auto"/>
          <w:sz w:val="28"/>
          <w:szCs w:val="28"/>
          <w:highlight w:val="none"/>
        </w:rPr>
        <w:t xml:space="preserve">拟投入本项目车辆或设备一览表</w:t>
      </w:r>
      <w:bookmarkEnd w:id="137"/>
      <w:r/>
      <w:bookmarkEnd w:id="138"/>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tbl>
      <w:tblPr>
        <w:tblStyle w:val="923"/>
        <w:tblpPr w:horzAnchor="page" w:tblpX="996" w:vertAnchor="text" w:tblpY="429" w:leftFromText="180" w:topFromText="0" w:rightFromText="180" w:bottomFromText="0"/>
        <w:tblW w:w="9639"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2357"/>
        <w:gridCol w:w="1825"/>
        <w:gridCol w:w="1638"/>
        <w:gridCol w:w="2118"/>
        <w:gridCol w:w="992"/>
      </w:tblGrid>
      <w:tr>
        <w:trPr>
          <w:trHeight w:val="39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2357"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车辆或设备名称</w:t>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使用年限</w:t>
            </w:r>
            <w:r/>
          </w:p>
        </w:tc>
        <w:tc>
          <w:tcPr>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自有或租赁说明</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备注</w:t>
            </w:r>
            <w:r/>
          </w:p>
        </w:tc>
      </w:tr>
      <w:tr>
        <w:trPr>
          <w:trHeight w:val="39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357"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trHeight w:val="39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357"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trHeight w:val="39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357"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trHeight w:val="39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357"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trHeight w:val="39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357"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trHeight w:val="39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357"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trHeight w:val="39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357"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trHeight w:val="39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357"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trHeight w:val="39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357"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trHeight w:val="39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357"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trHeight w:val="39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357"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trHeight w:val="39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357"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trHeight w:val="39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357"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trHeight w:val="39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357"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trHeight w:val="39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357"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trHeight w:val="39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357"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trHeight w:val="39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357"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bl>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项目编号：</w:t>
      </w:r>
      <w:r/>
    </w:p>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说明：如果行数不够，请自行增加。</w:t>
      </w:r>
      <w:r/>
    </w:p>
    <w:p>
      <w:pPr>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highlight w:val="none"/>
          <w:lang w:val="zh-CN" w:eastAsia="zh-CN"/>
        </w:rPr>
        <w:t xml:space="preserve">投标供应商</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（盖章）</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2"/>
          <w:highlight w:val="none"/>
        </w:rPr>
      </w:pPr>
      <w:r>
        <w:rPr>
          <w:rFonts w:hint="eastAsia" w:ascii="宋体" w:hAnsi="宋体" w:eastAsia="宋体" w:cs="宋体"/>
          <w:b/>
          <w:color w:val="auto"/>
          <w:sz w:val="22"/>
          <w:highlight w:val="none"/>
        </w:rPr>
        <w:br w:type="page" w:clear="all"/>
      </w:r>
      <w:r/>
    </w:p>
    <w:p>
      <w:pPr>
        <w:spacing w:line="360" w:lineRule="auto"/>
        <w:rPr>
          <w:rFonts w:hint="eastAsia" w:ascii="宋体" w:hAnsi="宋体" w:eastAsia="宋体" w:cs="宋体"/>
          <w:b/>
          <w:color w:val="auto"/>
          <w:sz w:val="22"/>
          <w:highlight w:val="none"/>
        </w:rPr>
      </w:pPr>
      <w:r>
        <w:rPr>
          <w:rFonts w:hint="eastAsia" w:ascii="宋体" w:hAnsi="宋体" w:eastAsia="宋体" w:cs="宋体"/>
          <w:b/>
          <w:color w:val="auto"/>
          <w:sz w:val="22"/>
          <w:highlight w:val="none"/>
        </w:rPr>
      </w:r>
      <w:r/>
    </w:p>
    <w:p>
      <w:pPr>
        <w:spacing w:line="360" w:lineRule="auto"/>
        <w:rPr>
          <w:rFonts w:hint="eastAsia" w:ascii="宋体" w:hAnsi="宋体" w:eastAsia="宋体" w:cs="宋体"/>
          <w:b/>
          <w:color w:val="auto"/>
          <w:sz w:val="22"/>
          <w:highlight w:val="none"/>
        </w:rPr>
        <w:outlineLvl w:val="0"/>
      </w:pPr>
      <w:r/>
      <w:bookmarkStart w:id="139" w:name="_Toc5877"/>
      <w:r/>
      <w:bookmarkStart w:id="140" w:name="_Toc11517"/>
      <w:r>
        <w:rPr>
          <w:rFonts w:hint="eastAsia" w:ascii="宋体" w:hAnsi="宋体" w:eastAsia="宋体" w:cs="宋体"/>
          <w:b/>
          <w:color w:val="auto"/>
          <w:sz w:val="22"/>
          <w:highlight w:val="none"/>
        </w:rPr>
        <w:t xml:space="preserve">目录九、投标人类似业绩及证明材料</w:t>
      </w:r>
      <w:bookmarkEnd w:id="132"/>
      <w:r/>
      <w:bookmarkEnd w:id="133"/>
      <w:r>
        <w:rPr>
          <w:rFonts w:hint="eastAsia" w:ascii="宋体" w:hAnsi="宋体" w:eastAsia="宋体" w:cs="宋体"/>
          <w:b/>
          <w:color w:val="auto"/>
          <w:sz w:val="22"/>
          <w:highlight w:val="none"/>
        </w:rPr>
        <w:t xml:space="preserve">（若有）</w:t>
      </w:r>
      <w:bookmarkEnd w:id="134"/>
      <w:r/>
      <w:bookmarkEnd w:id="139"/>
      <w:r/>
      <w:bookmarkEnd w:id="140"/>
      <w:r/>
      <w:r/>
    </w:p>
    <w:p>
      <w:pPr>
        <w:ind w:left="420"/>
        <w:jc w:val="center"/>
        <w:spacing w:line="360" w:lineRule="auto"/>
        <w:shd w:val="clear" w:color="auto" w:fill="ffffff"/>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left="420"/>
        <w:jc w:val="center"/>
        <w:spacing w:line="360" w:lineRule="auto"/>
        <w:shd w:val="clear" w:color="auto" w:fill="ffffff"/>
        <w:widowControl/>
        <w:rPr>
          <w:rFonts w:hint="eastAsia" w:ascii="宋体" w:hAnsi="宋体" w:eastAsia="宋体" w:cs="宋体"/>
          <w:b/>
          <w:bCs/>
          <w:color w:val="auto"/>
          <w:sz w:val="28"/>
          <w:szCs w:val="28"/>
          <w:highlight w:val="none"/>
        </w:rPr>
        <w:outlineLvl w:val="0"/>
      </w:pPr>
      <w:r/>
      <w:bookmarkStart w:id="141" w:name="_Toc21894"/>
      <w:r/>
      <w:bookmarkStart w:id="142" w:name="_Toc1813"/>
      <w:r>
        <w:rPr>
          <w:rFonts w:hint="eastAsia" w:ascii="宋体" w:hAnsi="宋体" w:eastAsia="宋体" w:cs="宋体"/>
          <w:b/>
          <w:bCs/>
          <w:color w:val="auto"/>
          <w:sz w:val="28"/>
          <w:szCs w:val="28"/>
          <w:highlight w:val="none"/>
        </w:rPr>
        <w:t xml:space="preserve">投标人类似业绩及证明材料一览表</w:t>
      </w:r>
      <w:bookmarkEnd w:id="141"/>
      <w:r/>
      <w:bookmarkEnd w:id="142"/>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tbl>
      <w:tblPr>
        <w:tblStyle w:val="923"/>
        <w:tblpPr w:horzAnchor="page" w:tblpX="996" w:vertAnchor="text" w:tblpY="429" w:leftFromText="180" w:topFromText="0" w:rightFromText="180" w:bottomFromText="0"/>
        <w:tblW w:w="9639"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2357"/>
        <w:gridCol w:w="2450"/>
        <w:gridCol w:w="1800"/>
        <w:gridCol w:w="1331"/>
        <w:gridCol w:w="992"/>
      </w:tblGrid>
      <w:tr>
        <w:trPr>
          <w:trHeight w:val="39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2357"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项目名称</w:t>
            </w:r>
            <w:r/>
          </w:p>
        </w:tc>
        <w:tc>
          <w:tcPr>
            <w:tcBorders>
              <w:top w:val="single" w:color="auto" w:sz="4" w:space="0"/>
              <w:left w:val="single" w:color="auto" w:sz="4" w:space="0"/>
              <w:bottom w:val="single" w:color="auto" w:sz="4" w:space="0"/>
              <w:right w:val="single" w:color="auto" w:sz="4" w:space="0"/>
            </w:tcBorders>
            <w:tcW w:w="2450"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甲方名称</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合同签订时间</w:t>
            </w:r>
            <w:r/>
          </w:p>
        </w:tc>
        <w:tc>
          <w:tcPr>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合同价格</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备注</w:t>
            </w:r>
            <w:r/>
          </w:p>
        </w:tc>
      </w:tr>
      <w:tr>
        <w:trPr>
          <w:trHeight w:val="39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357"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2450"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trHeight w:val="39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357"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2450"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trHeight w:val="39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357"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2450"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trHeight w:val="39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357"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2450"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trHeight w:val="39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357"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2450"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trHeight w:val="39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357"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2450"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trHeight w:val="39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357"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2450"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trHeight w:val="39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357"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2450"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trHeight w:val="39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357"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2450"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trHeight w:val="39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357"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2450"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trHeight w:val="39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357"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2450"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trHeight w:val="39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357"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2450"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bl>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项目编号：</w:t>
      </w:r>
      <w:r/>
    </w:p>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说明：如果行数不够，请自行增加。</w:t>
      </w:r>
      <w:r/>
    </w:p>
    <w:p>
      <w:pPr>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highlight w:val="none"/>
          <w:lang w:val="zh-CN" w:eastAsia="zh-CN"/>
        </w:rPr>
        <w:t xml:space="preserve">投标供应商</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（盖章）</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2"/>
          <w:highlight w:val="none"/>
        </w:rPr>
      </w:pPr>
      <w:r/>
      <w:bookmarkStart w:id="143" w:name="_Toc5117"/>
      <w:r>
        <w:rPr>
          <w:rFonts w:hint="eastAsia" w:ascii="宋体" w:hAnsi="宋体" w:eastAsia="宋体" w:cs="宋体"/>
          <w:b/>
          <w:color w:val="auto"/>
          <w:sz w:val="22"/>
          <w:highlight w:val="none"/>
        </w:rPr>
        <w:br w:type="page" w:clear="all"/>
      </w:r>
      <w:r/>
    </w:p>
    <w:p>
      <w:pPr>
        <w:spacing w:line="360" w:lineRule="auto"/>
        <w:rPr>
          <w:rFonts w:hint="eastAsia" w:ascii="宋体" w:hAnsi="宋体" w:eastAsia="宋体" w:cs="宋体"/>
          <w:b/>
          <w:color w:val="auto"/>
          <w:sz w:val="22"/>
          <w:highlight w:val="none"/>
        </w:rPr>
      </w:pPr>
      <w:r>
        <w:rPr>
          <w:rFonts w:hint="eastAsia" w:ascii="宋体" w:hAnsi="宋体" w:eastAsia="宋体" w:cs="宋体"/>
          <w:b/>
          <w:color w:val="auto"/>
          <w:sz w:val="22"/>
          <w:highlight w:val="none"/>
        </w:rPr>
      </w:r>
      <w:r/>
    </w:p>
    <w:p>
      <w:pPr>
        <w:spacing w:line="360" w:lineRule="auto"/>
        <w:rPr>
          <w:rFonts w:hint="eastAsia" w:ascii="宋体" w:hAnsi="宋体" w:eastAsia="宋体" w:cs="宋体"/>
          <w:b/>
          <w:color w:val="auto"/>
          <w:sz w:val="22"/>
          <w:highlight w:val="none"/>
        </w:rPr>
        <w:outlineLvl w:val="0"/>
      </w:pPr>
      <w:r/>
      <w:bookmarkStart w:id="144" w:name="_Toc15413"/>
      <w:r/>
      <w:bookmarkStart w:id="145" w:name="_Toc2801"/>
      <w:r>
        <w:rPr>
          <w:rFonts w:hint="eastAsia" w:ascii="宋体" w:hAnsi="宋体" w:eastAsia="宋体" w:cs="宋体"/>
          <w:b/>
          <w:color w:val="auto"/>
          <w:sz w:val="22"/>
          <w:highlight w:val="none"/>
        </w:rPr>
        <w:t xml:space="preserve">目录十、实施方案（根据招标文件要求，格式自拟）</w:t>
      </w:r>
      <w:bookmarkEnd w:id="143"/>
      <w:r/>
      <w:bookmarkEnd w:id="144"/>
      <w:r/>
      <w:bookmarkEnd w:id="145"/>
      <w:r/>
      <w:r/>
    </w:p>
    <w:p>
      <w:pPr>
        <w:spacing w:line="360" w:lineRule="auto"/>
        <w:rPr>
          <w:rFonts w:hint="eastAsia" w:ascii="宋体" w:hAnsi="宋体" w:eastAsia="宋体" w:cs="宋体"/>
          <w:b/>
          <w:color w:val="auto"/>
          <w:sz w:val="22"/>
          <w:highlight w:val="none"/>
        </w:rPr>
      </w:pPr>
      <w:r>
        <w:rPr>
          <w:rFonts w:hint="eastAsia" w:ascii="宋体" w:hAnsi="宋体" w:eastAsia="宋体" w:cs="宋体"/>
          <w:b/>
          <w:color w:val="auto"/>
          <w:sz w:val="22"/>
          <w:highlight w:val="none"/>
        </w:rPr>
      </w:r>
      <w:r/>
    </w:p>
    <w:p>
      <w:pPr>
        <w:spacing w:line="360" w:lineRule="auto"/>
        <w:rPr>
          <w:rFonts w:hint="eastAsia" w:ascii="宋体" w:hAnsi="宋体" w:eastAsia="宋体" w:cs="宋体"/>
          <w:b/>
          <w:color w:val="auto"/>
          <w:sz w:val="22"/>
          <w:highlight w:val="none"/>
        </w:rPr>
      </w:pPr>
      <w:r>
        <w:rPr>
          <w:rFonts w:hint="eastAsia" w:ascii="宋体" w:hAnsi="宋体" w:eastAsia="宋体" w:cs="宋体"/>
          <w:b/>
          <w:color w:val="auto"/>
          <w:sz w:val="22"/>
          <w:highlight w:val="none"/>
        </w:rPr>
      </w:r>
      <w:r/>
    </w:p>
    <w:p>
      <w:pPr>
        <w:spacing w:line="360" w:lineRule="auto"/>
        <w:rPr>
          <w:rFonts w:hint="eastAsia" w:ascii="宋体" w:hAnsi="宋体" w:eastAsia="宋体" w:cs="宋体"/>
          <w:b/>
          <w:color w:val="auto"/>
          <w:sz w:val="22"/>
          <w:highlight w:val="none"/>
        </w:rPr>
      </w:pPr>
      <w:r>
        <w:rPr>
          <w:rFonts w:hint="eastAsia" w:ascii="宋体" w:hAnsi="宋体" w:eastAsia="宋体" w:cs="宋体"/>
          <w:b/>
          <w:color w:val="auto"/>
          <w:sz w:val="22"/>
          <w:highlight w:val="none"/>
        </w:rPr>
      </w:r>
      <w:r/>
    </w:p>
    <w:p>
      <w:pPr>
        <w:spacing w:line="360" w:lineRule="auto"/>
        <w:rPr>
          <w:rFonts w:hint="eastAsia" w:ascii="宋体" w:hAnsi="宋体" w:eastAsia="宋体" w:cs="宋体"/>
          <w:b/>
          <w:color w:val="auto"/>
          <w:sz w:val="22"/>
          <w:highlight w:val="none"/>
        </w:rPr>
        <w:outlineLvl w:val="0"/>
      </w:pPr>
      <w:r/>
      <w:bookmarkStart w:id="146" w:name="_Toc11667"/>
      <w:r/>
      <w:bookmarkStart w:id="147" w:name="_Toc14"/>
      <w:r/>
      <w:bookmarkStart w:id="148" w:name="_Toc23880"/>
      <w:r>
        <w:rPr>
          <w:rFonts w:hint="eastAsia" w:ascii="宋体" w:hAnsi="宋体" w:eastAsia="宋体" w:cs="宋体"/>
          <w:b/>
          <w:color w:val="auto"/>
          <w:sz w:val="22"/>
          <w:highlight w:val="none"/>
        </w:rPr>
        <w:t xml:space="preserve">目录十一、服务与承诺</w:t>
      </w:r>
      <w:bookmarkEnd w:id="146"/>
      <w:r>
        <w:rPr>
          <w:rFonts w:hint="eastAsia" w:ascii="宋体" w:hAnsi="宋体" w:eastAsia="宋体" w:cs="宋体"/>
          <w:b/>
          <w:color w:val="auto"/>
          <w:sz w:val="22"/>
          <w:highlight w:val="none"/>
        </w:rPr>
        <w:t xml:space="preserve">（根据招标文件要求，格式自拟）</w:t>
      </w:r>
      <w:bookmarkEnd w:id="147"/>
      <w:r/>
      <w:bookmarkEnd w:id="148"/>
      <w:r/>
      <w:r/>
    </w:p>
    <w:p>
      <w:pPr>
        <w:spacing w:line="360" w:lineRule="auto"/>
        <w:rPr>
          <w:rFonts w:hint="eastAsia" w:ascii="宋体" w:hAnsi="宋体" w:eastAsia="宋体" w:cs="宋体"/>
          <w:b/>
          <w:color w:val="auto"/>
          <w:sz w:val="22"/>
          <w:highlight w:val="none"/>
        </w:rPr>
      </w:pPr>
      <w:r>
        <w:rPr>
          <w:rFonts w:hint="eastAsia" w:ascii="宋体" w:hAnsi="宋体" w:eastAsia="宋体" w:cs="宋体"/>
          <w:b/>
          <w:color w:val="auto"/>
          <w:sz w:val="22"/>
          <w:highlight w:val="none"/>
        </w:rPr>
      </w:r>
      <w:r/>
    </w:p>
    <w:p>
      <w:pPr>
        <w:spacing w:line="360" w:lineRule="auto"/>
        <w:rPr>
          <w:rFonts w:hint="eastAsia" w:ascii="宋体" w:hAnsi="宋体" w:eastAsia="宋体" w:cs="宋体"/>
          <w:b/>
          <w:color w:val="auto"/>
          <w:sz w:val="22"/>
          <w:highlight w:val="none"/>
        </w:rPr>
      </w:pPr>
      <w:r>
        <w:rPr>
          <w:rFonts w:hint="eastAsia" w:ascii="宋体" w:hAnsi="宋体" w:eastAsia="宋体" w:cs="宋体"/>
          <w:b/>
          <w:color w:val="auto"/>
          <w:sz w:val="22"/>
          <w:highlight w:val="none"/>
        </w:rPr>
      </w:r>
      <w:r/>
    </w:p>
    <w:p>
      <w:pPr>
        <w:spacing w:line="360" w:lineRule="auto"/>
        <w:rPr>
          <w:rFonts w:hint="eastAsia" w:ascii="宋体" w:hAnsi="宋体" w:eastAsia="宋体" w:cs="宋体"/>
          <w:b/>
          <w:color w:val="auto"/>
          <w:sz w:val="22"/>
          <w:highlight w:val="none"/>
        </w:rPr>
      </w:pPr>
      <w:r>
        <w:rPr>
          <w:rFonts w:hint="eastAsia" w:ascii="宋体" w:hAnsi="宋体" w:eastAsia="宋体" w:cs="宋体"/>
          <w:b/>
          <w:color w:val="auto"/>
          <w:sz w:val="22"/>
          <w:highlight w:val="none"/>
        </w:rPr>
      </w:r>
      <w:r/>
    </w:p>
    <w:p>
      <w:pPr>
        <w:spacing w:line="360" w:lineRule="auto"/>
        <w:rPr>
          <w:rFonts w:hint="eastAsia" w:ascii="宋体" w:hAnsi="宋体" w:eastAsia="宋体" w:cs="宋体"/>
          <w:b/>
          <w:color w:val="auto"/>
          <w:sz w:val="22"/>
          <w:highlight w:val="none"/>
        </w:rPr>
      </w:pPr>
      <w:r>
        <w:rPr>
          <w:rFonts w:hint="eastAsia" w:ascii="宋体" w:hAnsi="宋体" w:eastAsia="宋体" w:cs="宋体"/>
          <w:b/>
          <w:color w:val="auto"/>
          <w:sz w:val="22"/>
          <w:highlight w:val="none"/>
        </w:rPr>
      </w:r>
      <w:r/>
    </w:p>
    <w:p>
      <w:pPr>
        <w:spacing w:line="360" w:lineRule="auto"/>
        <w:rPr>
          <w:rFonts w:hint="eastAsia" w:ascii="宋体" w:hAnsi="宋体" w:eastAsia="宋体" w:cs="宋体"/>
          <w:color w:val="auto"/>
          <w:sz w:val="22"/>
          <w:highlight w:val="none"/>
        </w:rPr>
        <w:outlineLvl w:val="0"/>
      </w:pPr>
      <w:r/>
      <w:bookmarkStart w:id="149" w:name="_Toc1514"/>
      <w:r/>
      <w:bookmarkStart w:id="150" w:name="_Toc27100"/>
      <w:r/>
      <w:bookmarkStart w:id="151" w:name="_Toc14667"/>
      <w:r>
        <w:rPr>
          <w:rFonts w:hint="eastAsia" w:ascii="宋体" w:hAnsi="宋体" w:eastAsia="宋体" w:cs="宋体"/>
          <w:b/>
          <w:color w:val="auto"/>
          <w:sz w:val="22"/>
          <w:highlight w:val="none"/>
        </w:rPr>
        <w:t xml:space="preserve">目录十二、其他证明文件及材料（若有）</w:t>
      </w:r>
      <w:bookmarkEnd w:id="149"/>
      <w:r/>
      <w:bookmarkEnd w:id="150"/>
      <w:r/>
      <w:bookmarkEnd w:id="151"/>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before="50" w:after="5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before="50" w:after="5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before="50" w:after="5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2"/>
          <w:highlight w:val="none"/>
        </w:rPr>
      </w:pPr>
      <w:r/>
      <w:bookmarkStart w:id="152" w:name="_Toc847"/>
      <w:r>
        <w:rPr>
          <w:rFonts w:hint="eastAsia" w:ascii="宋体" w:hAnsi="宋体" w:eastAsia="宋体" w:cs="宋体"/>
          <w:b/>
          <w:color w:val="auto"/>
          <w:sz w:val="22"/>
          <w:highlight w:val="none"/>
        </w:rPr>
        <w:br w:type="page" w:clear="all"/>
      </w:r>
      <w:r/>
    </w:p>
    <w:p>
      <w:pPr>
        <w:spacing w:before="50" w:after="50" w:line="360" w:lineRule="auto"/>
        <w:rPr>
          <w:rFonts w:hint="eastAsia" w:ascii="宋体" w:hAnsi="宋体" w:eastAsia="宋体" w:cs="宋体"/>
          <w:b/>
          <w:color w:val="auto"/>
          <w:sz w:val="22"/>
          <w:highlight w:val="none"/>
        </w:rPr>
      </w:pPr>
      <w:r>
        <w:rPr>
          <w:rFonts w:hint="eastAsia" w:ascii="宋体" w:hAnsi="宋体" w:eastAsia="宋体" w:cs="宋体"/>
          <w:b/>
          <w:color w:val="auto"/>
          <w:sz w:val="22"/>
          <w:highlight w:val="none"/>
        </w:rPr>
      </w:r>
      <w:r/>
    </w:p>
    <w:p>
      <w:pPr>
        <w:spacing w:before="50" w:after="50" w:line="360" w:lineRule="auto"/>
        <w:rPr>
          <w:rFonts w:hint="eastAsia" w:ascii="宋体" w:hAnsi="宋体" w:eastAsia="宋体" w:cs="宋体"/>
          <w:b/>
          <w:color w:val="auto"/>
          <w:sz w:val="22"/>
          <w:highlight w:val="none"/>
        </w:rPr>
        <w:outlineLvl w:val="0"/>
      </w:pPr>
      <w:r/>
      <w:bookmarkStart w:id="153" w:name="_Toc16610"/>
      <w:r/>
      <w:bookmarkStart w:id="154" w:name="_Toc31174"/>
      <w:r>
        <w:rPr>
          <w:rFonts w:hint="eastAsia" w:ascii="宋体" w:hAnsi="宋体" w:eastAsia="宋体" w:cs="宋体"/>
          <w:b/>
          <w:color w:val="auto"/>
          <w:sz w:val="22"/>
          <w:highlight w:val="none"/>
        </w:rPr>
        <w:t xml:space="preserve">目录十二、《南京市政府采购供应商信用承诺书》</w:t>
      </w:r>
      <w:bookmarkEnd w:id="152"/>
      <w:r/>
      <w:bookmarkEnd w:id="153"/>
      <w:r/>
      <w:bookmarkEnd w:id="154"/>
      <w:r/>
      <w:r/>
    </w:p>
    <w:p>
      <w:pPr>
        <w:jc w:val="center"/>
        <w:keepLines w:val="0"/>
        <w:keepNext w:val="0"/>
        <w:pageBreakBefore w:val="0"/>
        <w:widowControl w:val="off"/>
        <w:rPr>
          <w:rFonts w:hint="eastAsia" w:ascii="方正小标宋简体" w:hAnsi="方正小标宋简体" w:eastAsia="方正小标宋简体" w:cs="方正小标宋简体"/>
          <w:color w:val="auto"/>
          <w:sz w:val="44"/>
          <w:szCs w:val="52"/>
          <w:highlight w:val="none"/>
          <w:lang w:val="en-US" w:eastAsia="zh-CN"/>
        </w:rPr>
      </w:pPr>
      <w:r>
        <w:rPr>
          <w:rFonts w:hint="eastAsia" w:ascii="方正小标宋简体" w:hAnsi="方正小标宋简体" w:eastAsia="方正小标宋简体" w:cs="方正小标宋简体"/>
          <w:color w:val="auto"/>
          <w:sz w:val="44"/>
          <w:szCs w:val="52"/>
          <w:highlight w:val="none"/>
          <w:lang w:val="en-US" w:eastAsia="zh-CN"/>
        </w:rPr>
      </w:r>
      <w:r/>
    </w:p>
    <w:p>
      <w:pPr>
        <w:jc w:val="center"/>
        <w:keepLines w:val="0"/>
        <w:keepNext w:val="0"/>
        <w:pageBreakBefore w:val="0"/>
        <w:widowControl w:val="off"/>
        <w:rPr>
          <w:rFonts w:hint="eastAsia" w:ascii="方正小标宋简体" w:hAnsi="方正小标宋简体" w:eastAsia="方正小标宋简体" w:cs="方正小标宋简体"/>
          <w:color w:val="auto"/>
          <w:sz w:val="44"/>
          <w:szCs w:val="52"/>
          <w:highlight w:val="none"/>
          <w:lang w:val="en-US" w:eastAsia="zh-CN"/>
        </w:rPr>
      </w:pPr>
      <w:r>
        <w:rPr>
          <w:rFonts w:hint="eastAsia" w:ascii="方正小标宋简体" w:hAnsi="方正小标宋简体" w:eastAsia="方正小标宋简体" w:cs="方正小标宋简体"/>
          <w:color w:val="auto"/>
          <w:sz w:val="44"/>
          <w:szCs w:val="52"/>
          <w:highlight w:val="none"/>
          <w:lang w:val="en-US" w:eastAsia="zh-CN"/>
        </w:rPr>
        <w:t xml:space="preserve">南京市政府采购供应商信用承诺书</w:t>
      </w:r>
      <w:r/>
    </w:p>
    <w:p>
      <w:pPr>
        <w:jc w:val="right"/>
        <w:rPr>
          <w:rFonts w:hint="default" w:ascii="方正小标宋简体" w:hAnsi="方正小标宋简体" w:eastAsia="方正小标宋简体" w:cs="方正小标宋简体"/>
          <w:color w:val="auto"/>
          <w:sz w:val="22"/>
          <w:szCs w:val="28"/>
          <w:highlight w:val="none"/>
          <w:lang w:val="en-US" w:eastAsia="zh-CN"/>
        </w:rPr>
      </w:pPr>
      <w:r>
        <w:rPr>
          <w:rFonts w:hint="eastAsia" w:ascii="方正小标宋简体" w:hAnsi="方正小标宋简体" w:eastAsia="方正小标宋简体" w:cs="方正小标宋简体"/>
          <w:color w:val="auto"/>
          <w:sz w:val="22"/>
          <w:szCs w:val="28"/>
          <w:highlight w:val="none"/>
          <w:lang w:val="en-US" w:eastAsia="zh-CN"/>
        </w:rPr>
        <w:t xml:space="preserve">XXXX年XX月XX日</w:t>
      </w:r>
      <w:r/>
    </w:p>
    <w:p>
      <w:pPr>
        <w:jc w:val="center"/>
        <w:rPr>
          <w:rFonts w:hint="eastAsia" w:eastAsia="宋体"/>
          <w:color w:val="auto"/>
          <w:highlight w:val="none"/>
          <w:lang w:val="en-US" w:eastAsia="zh-CN"/>
        </w:rPr>
      </w:pPr>
      <w:r>
        <w:rPr>
          <w:rFonts w:hint="eastAsia" w:eastAsia="宋体"/>
          <w:color w:val="auto"/>
          <w:highlight w:val="none"/>
          <w:lang w:val="en-US" w:eastAsia="zh-CN"/>
        </w:rPr>
      </w:r>
      <w:r/>
    </w:p>
    <w:tbl>
      <w:tblPr>
        <w:tblStyle w:val="976"/>
        <w:tblpPr w:horzAnchor="text" w:tblpXSpec="center" w:vertAnchor="text" w:tblpY="1" w:leftFromText="180" w:topFromText="0" w:rightFromText="180" w:bottomFromText="0"/>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firstLine="0"/>
              <w:jc w:val="center"/>
              <w:tabs>
                <w:tab w:val="left" w:pos="2520" w:leader="none"/>
              </w:tabs>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   单位名称</w:t>
            </w:r>
            <w:r/>
          </w:p>
        </w:tc>
        <w:tc>
          <w:tcPr>
            <w:tcW w:w="2284" w:type="dxa"/>
            <w:vAlign w:val="center"/>
            <w:textDirection w:val="lrTb"/>
            <w:noWrap w:val="false"/>
          </w:tcPr>
          <w:p>
            <w:pPr>
              <w:jc w:val="center"/>
              <w:rPr>
                <w:rFonts w:hint="eastAsia" w:eastAsia="宋体"/>
                <w:color w:val="auto"/>
                <w:sz w:val="24"/>
                <w:szCs w:val="32"/>
                <w:highlight w:val="none"/>
                <w:vertAlign w:val="baseline"/>
                <w:lang w:val="en-US" w:eastAsia="zh-CN"/>
              </w:rPr>
            </w:pPr>
            <w:r>
              <w:rPr>
                <w:rFonts w:hint="eastAsia" w:eastAsia="宋体"/>
                <w:color w:val="auto"/>
                <w:sz w:val="24"/>
                <w:szCs w:val="32"/>
                <w:highlight w:val="none"/>
                <w:vertAlign w:val="baseline"/>
                <w:lang w:val="en-US" w:eastAsia="zh-CN"/>
              </w:rPr>
            </w:r>
            <w:r/>
          </w:p>
        </w:tc>
        <w:tc>
          <w:tcPr>
            <w:tcW w:w="1833" w:type="dxa"/>
            <w:vAlign w:val="center"/>
            <w:textDirection w:val="lrTb"/>
            <w:noWrap w:val="false"/>
          </w:tcPr>
          <w:p>
            <w:pPr>
              <w:jc w:val="center"/>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统一社会信用代码</w:t>
            </w:r>
            <w:r/>
          </w:p>
        </w:tc>
        <w:tc>
          <w:tcPr>
            <w:tcW w:w="3331" w:type="dxa"/>
            <w:vAlign w:val="center"/>
            <w:textDirection w:val="lrTb"/>
            <w:noWrap w:val="false"/>
          </w:tcPr>
          <w:p>
            <w:pPr>
              <w:ind w:right="-678"/>
              <w:jc w:val="center"/>
              <w:tabs>
                <w:tab w:val="left" w:pos="2320" w:leader="none"/>
              </w:tabs>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r>
            <w:r/>
          </w:p>
        </w:tc>
      </w:tr>
      <w:tr>
        <w:trPr>
          <w:trHeight w:val="567"/>
        </w:trPr>
        <w:tc>
          <w:tcPr>
            <w:tcW w:w="2148" w:type="dxa"/>
            <w:vAlign w:val="center"/>
            <w:textDirection w:val="lrTb"/>
            <w:noWrap w:val="false"/>
          </w:tcPr>
          <w:p>
            <w:pPr>
              <w:jc w:val="center"/>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法定代表人</w:t>
            </w:r>
            <w:r/>
          </w:p>
        </w:tc>
        <w:tc>
          <w:tcPr>
            <w:tcW w:w="2284" w:type="dxa"/>
            <w:vAlign w:val="center"/>
            <w:textDirection w:val="lrTb"/>
            <w:noWrap w:val="false"/>
          </w:tcPr>
          <w:p>
            <w:pPr>
              <w:jc w:val="center"/>
              <w:rPr>
                <w:rFonts w:hint="eastAsia" w:eastAsia="宋体"/>
                <w:color w:val="auto"/>
                <w:sz w:val="24"/>
                <w:szCs w:val="32"/>
                <w:highlight w:val="none"/>
                <w:vertAlign w:val="baseline"/>
                <w:lang w:val="en-US" w:eastAsia="zh-CN"/>
              </w:rPr>
            </w:pPr>
            <w:r>
              <w:rPr>
                <w:rFonts w:hint="eastAsia" w:eastAsia="宋体"/>
                <w:color w:val="auto"/>
                <w:sz w:val="24"/>
                <w:szCs w:val="32"/>
                <w:highlight w:val="none"/>
                <w:vertAlign w:val="baseline"/>
                <w:lang w:val="en-US" w:eastAsia="zh-CN"/>
              </w:rPr>
            </w:r>
            <w:r/>
          </w:p>
        </w:tc>
        <w:tc>
          <w:tcPr>
            <w:tcW w:w="1833" w:type="dxa"/>
            <w:vAlign w:val="center"/>
            <w:textDirection w:val="lrTb"/>
            <w:noWrap w:val="false"/>
          </w:tcPr>
          <w:p>
            <w:pPr>
              <w:jc w:val="center"/>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联系人</w:t>
            </w:r>
            <w:r/>
          </w:p>
        </w:tc>
        <w:tc>
          <w:tcPr>
            <w:tcW w:w="3331" w:type="dxa"/>
            <w:vAlign w:val="center"/>
            <w:textDirection w:val="lrTb"/>
            <w:noWrap w:val="false"/>
          </w:tcPr>
          <w:p>
            <w:pPr>
              <w:jc w:val="center"/>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r>
            <w:r/>
          </w:p>
        </w:tc>
      </w:tr>
      <w:tr>
        <w:trPr>
          <w:trHeight w:val="567"/>
        </w:trPr>
        <w:tc>
          <w:tcPr>
            <w:tcW w:w="2148" w:type="dxa"/>
            <w:vAlign w:val="center"/>
            <w:textDirection w:val="lrTb"/>
            <w:noWrap w:val="false"/>
          </w:tcPr>
          <w:p>
            <w:pPr>
              <w:jc w:val="center"/>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联系地址</w:t>
            </w:r>
            <w:r/>
          </w:p>
        </w:tc>
        <w:tc>
          <w:tcPr>
            <w:tcW w:w="2284" w:type="dxa"/>
            <w:vAlign w:val="center"/>
            <w:textDirection w:val="lrTb"/>
            <w:noWrap w:val="false"/>
          </w:tcPr>
          <w:p>
            <w:pPr>
              <w:jc w:val="center"/>
              <w:rPr>
                <w:rFonts w:hint="eastAsia" w:eastAsia="宋体"/>
                <w:color w:val="auto"/>
                <w:sz w:val="24"/>
                <w:szCs w:val="32"/>
                <w:highlight w:val="none"/>
                <w:vertAlign w:val="baseline"/>
                <w:lang w:val="en-US" w:eastAsia="zh-CN"/>
              </w:rPr>
            </w:pPr>
            <w:r>
              <w:rPr>
                <w:rFonts w:hint="eastAsia" w:eastAsia="宋体"/>
                <w:color w:val="auto"/>
                <w:sz w:val="24"/>
                <w:szCs w:val="32"/>
                <w:highlight w:val="none"/>
                <w:vertAlign w:val="baseline"/>
                <w:lang w:val="en-US" w:eastAsia="zh-CN"/>
              </w:rPr>
            </w:r>
            <w:r/>
          </w:p>
        </w:tc>
        <w:tc>
          <w:tcPr>
            <w:tcW w:w="1833" w:type="dxa"/>
            <w:vAlign w:val="center"/>
            <w:textDirection w:val="lrTb"/>
            <w:noWrap w:val="false"/>
          </w:tcPr>
          <w:p>
            <w:pPr>
              <w:jc w:val="center"/>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联系电话</w:t>
            </w:r>
            <w:r/>
          </w:p>
        </w:tc>
        <w:tc>
          <w:tcPr>
            <w:tcW w:w="3331" w:type="dxa"/>
            <w:vAlign w:val="center"/>
            <w:textDirection w:val="lrTb"/>
            <w:noWrap w:val="false"/>
          </w:tcPr>
          <w:p>
            <w:pPr>
              <w:jc w:val="center"/>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r>
            <w:r/>
          </w:p>
        </w:tc>
      </w:tr>
      <w:tr>
        <w:trPr>
          <w:trHeight w:val="5560"/>
        </w:trPr>
        <w:tc>
          <w:tcPr>
            <w:tcW w:w="2148" w:type="dxa"/>
            <w:vAlign w:val="center"/>
            <w:textDirection w:val="lrTb"/>
            <w:noWrap w:val="false"/>
          </w:tcPr>
          <w:p>
            <w:pPr>
              <w:jc w:val="center"/>
              <w:rPr>
                <w:rFonts w:hint="default"/>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信用承诺</w:t>
            </w:r>
            <w:r/>
          </w:p>
        </w:tc>
        <w:tc>
          <w:tcPr>
            <w:gridSpan w:val="3"/>
            <w:tcW w:w="7448" w:type="dxa"/>
            <w:vAlign w:val="center"/>
            <w:textDirection w:val="lrTb"/>
            <w:noWrap w:val="false"/>
          </w:tcPr>
          <w:p>
            <w:pPr>
              <w:ind w:firstLine="420"/>
              <w:jc w:val="both"/>
              <w:rPr>
                <w:rFonts w:hint="eastAsia"/>
                <w:color w:val="auto"/>
                <w:highlight w:val="none"/>
                <w:vertAlign w:val="baseline"/>
                <w:lang w:val="en-US" w:eastAsia="zh-CN"/>
              </w:rPr>
            </w:pPr>
            <w:r>
              <w:rPr>
                <w:rFonts w:hint="eastAsia" w:eastAsia="宋体"/>
                <w:color w:val="auto"/>
                <w:highlight w:val="none"/>
                <w:vertAlign w:val="baseline"/>
                <w:lang w:val="en-US" w:eastAsia="zh-CN"/>
              </w:rPr>
              <w:t xml:space="preserve">我公司自愿参加贵中心</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公司</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color w:val="auto"/>
                <w:highlight w:val="none"/>
                <w:vertAlign w:val="baseline"/>
                <w:lang w:val="en-US" w:eastAsia="zh-CN"/>
              </w:rPr>
              <w:t xml:space="preserve">二</w:t>
            </w:r>
            <w:r>
              <w:rPr>
                <w:rFonts w:hint="eastAsia" w:eastAsia="宋体"/>
                <w:color w:val="auto"/>
                <w:highlight w:val="none"/>
                <w:vertAlign w:val="baseline"/>
                <w:lang w:val="en-US" w:eastAsia="zh-CN"/>
              </w:rPr>
              <w:t xml:space="preserve">条规定的条件，包括</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具有独立承担民事责任的能力</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具有良好的商业信誉和健全的财务会计制度</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有履行合同所必需的设备和专业技术能力</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有依法缴纳税收和社会保障资金的良好记录</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参加政府采购活动前三年内，在经营活动中没有重大违法记录</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符合法律、行政法规和采购文件规定的其他条件</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如有弄虚作假或其他违法违规行为，愿承担一切法律责任，接受各级政府采购监管部门和有权机关的审查和处罚</w:t>
            </w:r>
            <w:r>
              <w:rPr>
                <w:rFonts w:hint="eastAsia"/>
                <w:color w:val="auto"/>
                <w:highlight w:val="none"/>
                <w:vertAlign w:val="baseline"/>
                <w:lang w:val="en-US" w:eastAsia="zh-CN"/>
              </w:rPr>
              <w:t xml:space="preserve">。</w:t>
            </w:r>
            <w:r/>
          </w:p>
          <w:p>
            <w:pPr>
              <w:ind w:firstLine="420"/>
              <w:jc w:val="both"/>
              <w:rPr>
                <w:rFonts w:hint="eastAsia"/>
                <w:color w:val="auto"/>
                <w:highlight w:val="none"/>
                <w:vertAlign w:val="baseline"/>
                <w:lang w:val="en-US" w:eastAsia="zh-CN"/>
              </w:rPr>
            </w:pPr>
            <w:r>
              <w:rPr>
                <w:rFonts w:hint="eastAsia"/>
                <w:color w:val="auto"/>
                <w:highlight w:val="none"/>
                <w:vertAlign w:val="baseline"/>
                <w:lang w:val="en-US" w:eastAsia="zh-CN"/>
              </w:rPr>
            </w:r>
            <w:r/>
          </w:p>
          <w:p>
            <w:pPr>
              <w:ind w:firstLine="420"/>
              <w:jc w:val="center"/>
              <w:rPr>
                <w:rFonts w:hint="eastAsia"/>
                <w:color w:val="auto"/>
                <w:highlight w:val="none"/>
                <w:vertAlign w:val="baseline"/>
                <w:lang w:val="en-US" w:eastAsia="zh-CN"/>
              </w:rPr>
            </w:pPr>
            <w:r>
              <w:rPr>
                <w:rFonts w:hint="eastAsia"/>
                <w:color w:val="auto"/>
                <w:highlight w:val="none"/>
                <w:vertAlign w:val="baseline"/>
                <w:lang w:val="en-US" w:eastAsia="zh-CN"/>
              </w:rPr>
              <w:t xml:space="preserve">供应商名称（盖章）：</w:t>
            </w:r>
            <w:r/>
          </w:p>
          <w:p>
            <w:pPr>
              <w:ind w:firstLine="420"/>
              <w:jc w:val="center"/>
              <w:rPr>
                <w:rFonts w:hint="eastAsia"/>
                <w:color w:val="auto"/>
                <w:highlight w:val="none"/>
                <w:vertAlign w:val="baseline"/>
                <w:lang w:val="en-US" w:eastAsia="zh-CN"/>
              </w:rPr>
            </w:pPr>
            <w:r>
              <w:rPr>
                <w:rFonts w:hint="eastAsia"/>
                <w:color w:val="auto"/>
                <w:highlight w:val="none"/>
                <w:vertAlign w:val="baseline"/>
                <w:lang w:val="en-US" w:eastAsia="zh-CN"/>
              </w:rPr>
            </w:r>
            <w:r/>
          </w:p>
          <w:p>
            <w:pPr>
              <w:ind w:firstLine="420"/>
              <w:jc w:val="center"/>
              <w:rPr>
                <w:rFonts w:hint="eastAsia"/>
                <w:color w:val="auto"/>
                <w:highlight w:val="none"/>
                <w:vertAlign w:val="baseline"/>
                <w:lang w:val="en-US" w:eastAsia="zh-CN"/>
              </w:rPr>
            </w:pPr>
            <w:r>
              <w:rPr>
                <w:rFonts w:hint="eastAsia"/>
                <w:color w:val="auto"/>
                <w:highlight w:val="none"/>
                <w:vertAlign w:val="baseline"/>
                <w:lang w:val="en-US" w:eastAsia="zh-CN"/>
              </w:rPr>
              <w:t xml:space="preserve">法定代表人（签字）：</w:t>
            </w:r>
            <w:r/>
          </w:p>
          <w:p>
            <w:pPr>
              <w:ind w:firstLine="420"/>
              <w:jc w:val="center"/>
              <w:rPr>
                <w:rFonts w:hint="eastAsia"/>
                <w:color w:val="auto"/>
                <w:highlight w:val="none"/>
                <w:vertAlign w:val="baseline"/>
                <w:lang w:val="en-US" w:eastAsia="zh-CN"/>
              </w:rPr>
            </w:pPr>
            <w:r>
              <w:rPr>
                <w:rFonts w:hint="eastAsia"/>
                <w:color w:val="auto"/>
                <w:highlight w:val="none"/>
                <w:vertAlign w:val="baseline"/>
                <w:lang w:val="en-US" w:eastAsia="zh-CN"/>
              </w:rPr>
            </w:r>
            <w:r/>
          </w:p>
          <w:p>
            <w:pPr>
              <w:ind w:firstLine="420"/>
              <w:jc w:val="center"/>
              <w:rPr>
                <w:rFonts w:hint="default"/>
                <w:color w:val="auto"/>
                <w:highlight w:val="none"/>
                <w:vertAlign w:val="baseline"/>
                <w:lang w:val="en-US" w:eastAsia="zh-CN"/>
              </w:rPr>
            </w:pPr>
            <w:r>
              <w:rPr>
                <w:rFonts w:hint="eastAsia"/>
                <w:color w:val="auto"/>
                <w:highlight w:val="none"/>
                <w:vertAlign w:val="baseline"/>
                <w:lang w:val="en-US" w:eastAsia="zh-CN"/>
              </w:rPr>
              <w:t xml:space="preserve">XXXX年XX月XX日</w:t>
            </w:r>
            <w:r/>
          </w:p>
        </w:tc>
      </w:tr>
    </w:tbl>
    <w:p>
      <w:pPr>
        <w:jc w:val="both"/>
        <w:rPr>
          <w:rFonts w:hint="default" w:eastAsia="宋体"/>
          <w:color w:val="auto"/>
          <w:highlight w:val="none"/>
          <w:lang w:val="en-US" w:eastAsia="zh-CN"/>
        </w:rPr>
      </w:pPr>
      <w:r>
        <w:rPr>
          <w:rFonts w:hint="default" w:eastAsia="宋体"/>
          <w:color w:val="auto"/>
          <w:highlight w:val="none"/>
          <w:lang w:val="en-US" w:eastAsia="zh-CN"/>
        </w:rPr>
      </w:r>
      <w:r/>
    </w:p>
    <w:p>
      <w:pPr>
        <w:pStyle w:val="989"/>
        <w:rPr>
          <w:rFonts w:hint="eastAsia"/>
          <w:color w:val="auto"/>
          <w:highlight w:val="none"/>
        </w:rPr>
      </w:pPr>
      <w:r>
        <w:rPr>
          <w:rFonts w:hint="eastAsia"/>
          <w:color w:val="auto"/>
          <w:highlight w:val="none"/>
        </w:rPr>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2"/>
          <w:highlight w:val="none"/>
        </w:rPr>
      </w:pPr>
      <w:r/>
      <w:bookmarkStart w:id="155" w:name="_Toc21762"/>
      <w:r>
        <w:rPr>
          <w:rFonts w:hint="eastAsia" w:ascii="宋体" w:hAnsi="宋体" w:eastAsia="宋体" w:cs="宋体"/>
          <w:b/>
          <w:color w:val="auto"/>
          <w:sz w:val="22"/>
          <w:highlight w:val="none"/>
        </w:rPr>
        <w:br w:type="page" w:clear="all"/>
      </w:r>
      <w:r/>
    </w:p>
    <w:p>
      <w:pPr>
        <w:spacing w:line="360" w:lineRule="auto"/>
        <w:rPr>
          <w:rFonts w:hint="eastAsia" w:ascii="宋体" w:hAnsi="宋体" w:eastAsia="宋体" w:cs="宋体"/>
          <w:b/>
          <w:color w:val="auto"/>
          <w:sz w:val="22"/>
          <w:highlight w:val="none"/>
        </w:rPr>
      </w:pPr>
      <w:r>
        <w:rPr>
          <w:rFonts w:hint="eastAsia" w:ascii="宋体" w:hAnsi="宋体" w:eastAsia="宋体" w:cs="宋体"/>
          <w:b/>
          <w:color w:val="auto"/>
          <w:sz w:val="22"/>
          <w:highlight w:val="none"/>
        </w:rPr>
      </w:r>
      <w:r/>
    </w:p>
    <w:p>
      <w:pPr>
        <w:spacing w:line="360" w:lineRule="auto"/>
        <w:rPr>
          <w:rFonts w:hint="eastAsia" w:ascii="宋体" w:hAnsi="宋体" w:eastAsia="宋体" w:cs="宋体"/>
          <w:b/>
          <w:color w:val="auto"/>
          <w:sz w:val="22"/>
          <w:highlight w:val="none"/>
        </w:rPr>
        <w:outlineLvl w:val="0"/>
      </w:pPr>
      <w:r/>
      <w:bookmarkStart w:id="156" w:name="_Toc8723"/>
      <w:r/>
      <w:bookmarkStart w:id="157" w:name="_Toc17972"/>
      <w:r>
        <w:rPr>
          <w:rFonts w:hint="eastAsia" w:ascii="宋体" w:hAnsi="宋体" w:eastAsia="宋体" w:cs="宋体"/>
          <w:b/>
          <w:color w:val="auto"/>
          <w:sz w:val="22"/>
          <w:highlight w:val="none"/>
        </w:rPr>
        <w:t xml:space="preserve">目录十三、中小企业声明函格式</w:t>
      </w:r>
      <w:bookmarkEnd w:id="155"/>
      <w:r/>
      <w:bookmarkEnd w:id="156"/>
      <w:r/>
      <w:bookmarkEnd w:id="157"/>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
          <w:bCs/>
          <w:color w:val="auto"/>
          <w:sz w:val="28"/>
          <w:szCs w:val="28"/>
          <w:highlight w:val="none"/>
        </w:rPr>
        <w:outlineLvl w:val="0"/>
      </w:pPr>
      <w:r/>
      <w:bookmarkStart w:id="158" w:name="_Toc9898"/>
      <w:r/>
      <w:bookmarkStart w:id="159" w:name="_Toc23791"/>
      <w:r/>
      <w:bookmarkStart w:id="160" w:name="_Toc30583"/>
      <w:r>
        <w:rPr>
          <w:rFonts w:hint="eastAsia" w:ascii="宋体" w:hAnsi="宋体" w:eastAsia="宋体" w:cs="宋体"/>
          <w:b/>
          <w:bCs/>
          <w:color w:val="auto"/>
          <w:sz w:val="28"/>
          <w:szCs w:val="28"/>
          <w:highlight w:val="none"/>
        </w:rPr>
        <w:t xml:space="preserve">中小企业声明函(服务)</w:t>
      </w:r>
      <w:bookmarkEnd w:id="158"/>
      <w:r/>
      <w:bookmarkEnd w:id="159"/>
      <w:r/>
      <w:bookmarkEnd w:id="160"/>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40"/>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本公司（联合体）郑重声明，根据《政府采购促进中小企业发展管理办法》（财库﹝2020﹞46号）的规定，本公司（联合体）参加</w:t>
      </w:r>
      <w:r>
        <w:rPr>
          <w:rFonts w:hint="eastAsia" w:ascii="宋体" w:hAnsi="宋体" w:eastAsia="宋体" w:cs="宋体"/>
          <w:b/>
          <w:bCs/>
          <w:i/>
          <w:iCs/>
          <w:color w:val="auto"/>
          <w:sz w:val="22"/>
          <w:highlight w:val="none"/>
          <w:u w:val="single"/>
        </w:rPr>
        <w:t xml:space="preserve">（单位名称）</w:t>
      </w:r>
      <w:r>
        <w:rPr>
          <w:rFonts w:hint="eastAsia" w:ascii="宋体" w:hAnsi="宋体" w:eastAsia="宋体" w:cs="宋体"/>
          <w:color w:val="auto"/>
          <w:sz w:val="22"/>
          <w:highlight w:val="none"/>
        </w:rPr>
        <w:t xml:space="preserve">的</w:t>
      </w:r>
      <w:r>
        <w:rPr>
          <w:rFonts w:hint="eastAsia" w:ascii="宋体" w:hAnsi="宋体" w:eastAsia="宋体" w:cs="宋体"/>
          <w:b/>
          <w:bCs/>
          <w:i/>
          <w:iCs/>
          <w:color w:val="auto"/>
          <w:sz w:val="22"/>
          <w:highlight w:val="none"/>
          <w:u w:val="single"/>
        </w:rPr>
        <w:t xml:space="preserve">（项目名称）</w:t>
      </w:r>
      <w:r>
        <w:rPr>
          <w:rFonts w:hint="eastAsia" w:ascii="宋体" w:hAnsi="宋体" w:eastAsia="宋体" w:cs="宋体"/>
          <w:color w:val="auto"/>
          <w:sz w:val="22"/>
          <w:highlight w:val="none"/>
        </w:rPr>
        <w:t xml:space="preserve">采购活动，</w:t>
      </w:r>
      <w:r>
        <w:rPr>
          <w:rFonts w:hint="eastAsia" w:ascii="宋体" w:hAnsi="宋体" w:eastAsia="宋体" w:cs="宋体"/>
          <w:color w:val="auto"/>
          <w:sz w:val="22"/>
          <w:highlight w:val="none"/>
          <w:lang w:val="en-US" w:eastAsia="zh-CN"/>
        </w:rPr>
        <w:t xml:space="preserve">服务</w:t>
      </w:r>
      <w:r>
        <w:rPr>
          <w:rFonts w:hint="eastAsia" w:ascii="宋体" w:hAnsi="宋体" w:eastAsia="宋体" w:cs="宋体"/>
          <w:color w:val="auto"/>
          <w:sz w:val="22"/>
          <w:highlight w:val="none"/>
        </w:rPr>
        <w:t xml:space="preserve">的施工单位全部为符合政策要求的中小企业（或者：服务全部由符合政策要求的中小企业承接）。相关企业（含联合体中的中小企业、签订分包意向协议的中小企业）的具体情况如下：</w:t>
      </w:r>
      <w:r/>
    </w:p>
    <w:p>
      <w:pPr>
        <w:ind w:firstLine="442"/>
        <w:spacing w:line="360" w:lineRule="auto"/>
        <w:rPr>
          <w:rFonts w:hint="eastAsia" w:ascii="宋体" w:hAnsi="宋体" w:eastAsia="宋体" w:cs="宋体"/>
          <w:color w:val="auto"/>
          <w:sz w:val="22"/>
          <w:highlight w:val="none"/>
        </w:rPr>
      </w:pPr>
      <w:r>
        <w:rPr>
          <w:rFonts w:hint="eastAsia" w:ascii="宋体" w:hAnsi="宋体" w:eastAsia="宋体" w:cs="宋体"/>
          <w:b/>
          <w:bCs/>
          <w:i/>
          <w:iCs/>
          <w:color w:val="auto"/>
          <w:sz w:val="22"/>
          <w:highlight w:val="none"/>
          <w:u w:val="single"/>
        </w:rPr>
        <w:t xml:space="preserve">（标的名称）</w:t>
      </w:r>
      <w:r>
        <w:rPr>
          <w:rFonts w:hint="eastAsia" w:ascii="宋体" w:hAnsi="宋体" w:eastAsia="宋体" w:cs="宋体"/>
          <w:color w:val="auto"/>
          <w:sz w:val="22"/>
          <w:highlight w:val="none"/>
        </w:rPr>
        <w:t xml:space="preserve">，属于</w:t>
      </w:r>
      <w:r>
        <w:rPr>
          <w:rFonts w:hint="eastAsia" w:ascii="宋体" w:hAnsi="宋体" w:eastAsia="宋体" w:cs="宋体"/>
          <w:b/>
          <w:bCs/>
          <w:i/>
          <w:iCs/>
          <w:color w:val="auto"/>
          <w:sz w:val="22"/>
          <w:highlight w:val="none"/>
          <w:u w:val="single"/>
        </w:rPr>
        <w:t xml:space="preserve">（采购文件中明确的所属行业）</w:t>
      </w:r>
      <w:r>
        <w:rPr>
          <w:rFonts w:hint="eastAsia" w:ascii="宋体" w:hAnsi="宋体" w:eastAsia="宋体" w:cs="宋体"/>
          <w:color w:val="auto"/>
          <w:sz w:val="22"/>
          <w:highlight w:val="none"/>
        </w:rPr>
        <w:t xml:space="preserve">；承建（承接）企业为</w:t>
      </w:r>
      <w:r>
        <w:rPr>
          <w:rFonts w:hint="eastAsia" w:ascii="宋体" w:hAnsi="宋体" w:eastAsia="宋体" w:cs="宋体"/>
          <w:b/>
          <w:bCs/>
          <w:i/>
          <w:iCs/>
          <w:color w:val="auto"/>
          <w:sz w:val="22"/>
          <w:highlight w:val="none"/>
          <w:u w:val="single"/>
        </w:rPr>
        <w:t xml:space="preserve">（企业名称）</w:t>
      </w:r>
      <w:r>
        <w:rPr>
          <w:rFonts w:hint="eastAsia" w:ascii="宋体" w:hAnsi="宋体" w:eastAsia="宋体" w:cs="宋体"/>
          <w:color w:val="auto"/>
          <w:sz w:val="22"/>
          <w:highlight w:val="none"/>
        </w:rPr>
        <w:t xml:space="preserve">，从业人员人，营业收入为万元，资产总额为万元，属于</w:t>
      </w:r>
      <w:r>
        <w:rPr>
          <w:rFonts w:hint="eastAsia" w:ascii="宋体" w:hAnsi="宋体" w:eastAsia="宋体" w:cs="宋体"/>
          <w:b/>
          <w:bCs/>
          <w:i/>
          <w:iCs/>
          <w:color w:val="auto"/>
          <w:sz w:val="22"/>
          <w:highlight w:val="none"/>
          <w:u w:val="single"/>
        </w:rPr>
        <w:t xml:space="preserve">（中型企业、小型企业、微型企业）</w:t>
      </w:r>
      <w:r>
        <w:rPr>
          <w:rFonts w:hint="eastAsia" w:ascii="宋体" w:hAnsi="宋体" w:eastAsia="宋体" w:cs="宋体"/>
          <w:color w:val="auto"/>
          <w:sz w:val="22"/>
          <w:highlight w:val="none"/>
        </w:rPr>
        <w:t xml:space="preserve">；</w:t>
      </w:r>
      <w:r/>
    </w:p>
    <w:p>
      <w:pPr>
        <w:ind w:firstLine="440"/>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以上企业，不属于大企业的分支机构，不存在控股股东为大企业的情形，也不存在与大企业的负责人为同一人的情形。</w:t>
      </w:r>
      <w:r/>
    </w:p>
    <w:p>
      <w:pPr>
        <w:ind w:firstLine="440"/>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本企业对上述声明内容的真实性负责。如有虚假，将依法承担相应责任。</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highlight w:val="none"/>
          <w:lang w:val="zh-CN" w:eastAsia="zh-CN"/>
        </w:rPr>
        <w:t xml:space="preserve">投标供应商</w:t>
      </w:r>
      <w:r>
        <w:rPr>
          <w:rFonts w:hint="eastAsia" w:ascii="宋体" w:hAnsi="宋体" w:eastAsia="宋体" w:cs="宋体"/>
          <w:color w:val="auto"/>
          <w:sz w:val="22"/>
          <w:szCs w:val="22"/>
          <w:highlight w:val="none"/>
        </w:rPr>
        <w:t xml:space="preserve">（盖章）：</w:t>
      </w:r>
      <w:r/>
    </w:p>
    <w:p>
      <w:pPr>
        <w:ind w:firstLine="480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日期：</w:t>
      </w:r>
      <w:r/>
    </w:p>
    <w:p>
      <w:pPr>
        <w:pStyle w:val="926"/>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6"/>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6"/>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6"/>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6"/>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6"/>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6"/>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6"/>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6"/>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6"/>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6"/>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6"/>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6"/>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6"/>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6"/>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4"/>
        <w:ind w:firstLine="21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rPr>
          <w:rFonts w:hint="eastAsia" w:ascii="宋体" w:hAnsi="宋体" w:eastAsia="宋体" w:cs="宋体"/>
          <w:b/>
          <w:color w:val="auto"/>
          <w:sz w:val="22"/>
          <w:highlight w:val="none"/>
        </w:rPr>
      </w:pPr>
      <w:r/>
      <w:bookmarkStart w:id="161" w:name="_Toc16567"/>
      <w:r/>
      <w:bookmarkStart w:id="162" w:name="_Toc22355"/>
      <w:r>
        <w:rPr>
          <w:rFonts w:hint="eastAsia" w:ascii="宋体" w:hAnsi="宋体" w:eastAsia="宋体" w:cs="宋体"/>
          <w:b/>
          <w:color w:val="auto"/>
          <w:sz w:val="22"/>
          <w:highlight w:val="none"/>
        </w:rPr>
        <w:br w:type="page" w:clear="all"/>
      </w:r>
      <w:r/>
    </w:p>
    <w:p>
      <w:pPr>
        <w:spacing w:line="360" w:lineRule="auto"/>
        <w:widowControl/>
        <w:rPr>
          <w:rFonts w:hint="eastAsia" w:ascii="宋体" w:hAnsi="宋体" w:eastAsia="宋体" w:cs="宋体"/>
          <w:b/>
          <w:color w:val="auto"/>
          <w:sz w:val="22"/>
          <w:highlight w:val="none"/>
        </w:rPr>
        <w:outlineLvl w:val="0"/>
      </w:pPr>
      <w:r>
        <w:rPr>
          <w:rFonts w:hint="eastAsia" w:ascii="宋体" w:hAnsi="宋体" w:eastAsia="宋体" w:cs="宋体"/>
          <w:b/>
          <w:color w:val="auto"/>
          <w:sz w:val="22"/>
          <w:highlight w:val="none"/>
        </w:rPr>
      </w:r>
      <w:r/>
    </w:p>
    <w:p>
      <w:pPr>
        <w:spacing w:line="360" w:lineRule="auto"/>
        <w:widowControl/>
        <w:rPr>
          <w:rFonts w:hint="eastAsia" w:ascii="宋体" w:hAnsi="宋体" w:eastAsia="宋体" w:cs="宋体"/>
          <w:b/>
          <w:color w:val="auto"/>
          <w:sz w:val="24"/>
          <w:szCs w:val="24"/>
          <w:highlight w:val="none"/>
        </w:rPr>
        <w:outlineLvl w:val="0"/>
      </w:pPr>
      <w:r/>
      <w:bookmarkStart w:id="163" w:name="_Toc30413"/>
      <w:r>
        <w:rPr>
          <w:rFonts w:hint="eastAsia" w:ascii="宋体" w:hAnsi="宋体" w:eastAsia="宋体" w:cs="宋体"/>
          <w:b/>
          <w:color w:val="auto"/>
          <w:sz w:val="22"/>
          <w:highlight w:val="none"/>
        </w:rPr>
        <w:t xml:space="preserve">目录十四</w:t>
      </w:r>
      <w:r>
        <w:rPr>
          <w:rFonts w:hint="eastAsia" w:ascii="宋体" w:hAnsi="宋体" w:eastAsia="宋体" w:cs="宋体"/>
          <w:b/>
          <w:color w:val="auto"/>
          <w:sz w:val="24"/>
          <w:szCs w:val="24"/>
          <w:highlight w:val="none"/>
        </w:rPr>
        <w:t xml:space="preserve">、无重大违法记录声明格式</w:t>
      </w:r>
      <w:bookmarkEnd w:id="161"/>
      <w:r/>
      <w:bookmarkEnd w:id="162"/>
      <w:r/>
      <w:bookmarkEnd w:id="163"/>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
          <w:bCs/>
          <w:color w:val="auto"/>
          <w:sz w:val="28"/>
          <w:szCs w:val="28"/>
          <w:highlight w:val="none"/>
        </w:rPr>
        <w:outlineLvl w:val="0"/>
      </w:pPr>
      <w:r/>
      <w:bookmarkStart w:id="164" w:name="_Toc27431"/>
      <w:r/>
      <w:bookmarkStart w:id="165" w:name="_Toc10961"/>
      <w:r/>
      <w:bookmarkStart w:id="166" w:name="_Toc1911"/>
      <w:r>
        <w:rPr>
          <w:rFonts w:hint="eastAsia" w:ascii="宋体" w:hAnsi="宋体" w:eastAsia="宋体" w:cs="宋体"/>
          <w:b/>
          <w:bCs/>
          <w:color w:val="auto"/>
          <w:sz w:val="28"/>
          <w:szCs w:val="28"/>
          <w:highlight w:val="none"/>
        </w:rPr>
        <w:t xml:space="preserve">无重大违法记录声明</w:t>
      </w:r>
      <w:bookmarkEnd w:id="164"/>
      <w:r/>
      <w:bookmarkEnd w:id="165"/>
      <w:r/>
      <w:bookmarkEnd w:id="166"/>
      <w:r/>
      <w:r/>
    </w:p>
    <w:p>
      <w:pPr>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南京市江宁区城市管理局：</w:t>
      </w:r>
      <w:r/>
    </w:p>
    <w:p>
      <w:pPr>
        <w:ind w:firstLine="418"/>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我单位</w:t>
      </w:r>
      <w:r>
        <w:rPr>
          <w:rFonts w:hint="eastAsia" w:ascii="宋体" w:hAnsi="宋体" w:eastAsia="宋体" w:cs="宋体"/>
          <w:color w:val="auto"/>
          <w:sz w:val="22"/>
          <w:highlight w:val="none"/>
          <w:u w:val="single"/>
        </w:rPr>
        <w:t xml:space="preserve">（供应商名称）</w:t>
      </w:r>
      <w:r>
        <w:rPr>
          <w:rFonts w:hint="eastAsia" w:ascii="宋体" w:hAnsi="宋体" w:eastAsia="宋体" w:cs="宋体"/>
          <w:color w:val="auto"/>
          <w:sz w:val="22"/>
          <w:highlight w:val="none"/>
        </w:rPr>
        <w:t xml:space="preserve">郑重声明：</w:t>
      </w:r>
      <w:r/>
    </w:p>
    <w:p>
      <w:pPr>
        <w:ind w:firstLine="418"/>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参加政府采购活动前3年内在经营活动中 </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rPr>
        <w:t xml:space="preserve">（在下划线上如实填写：有或没有）重大违法记录。</w:t>
      </w:r>
      <w:r/>
    </w:p>
    <w:p>
      <w:pPr>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ind w:firstLine="5038"/>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声明人：（公章）</w:t>
      </w:r>
      <w:r/>
    </w:p>
    <w:p>
      <w:pPr>
        <w:ind w:firstLine="5038"/>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日期：  年  月  日</w:t>
      </w:r>
      <w:r/>
    </w:p>
    <w:p>
      <w:pPr>
        <w:pStyle w:val="974"/>
        <w:ind w:firstLine="21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bookmarkStart w:id="167" w:name="_Toc26633"/>
      <w:r>
        <w:rPr>
          <w:rFonts w:hint="eastAsia" w:ascii="宋体" w:hAnsi="宋体" w:eastAsia="宋体" w:cs="宋体"/>
          <w:b/>
          <w:color w:val="auto"/>
          <w:sz w:val="24"/>
          <w:szCs w:val="24"/>
          <w:highlight w:val="none"/>
        </w:rPr>
        <w:br w:type="page" w:clear="all"/>
      </w:r>
      <w:r/>
    </w:p>
    <w:p>
      <w:pPr>
        <w:spacing w:line="360" w:lineRule="auto"/>
        <w:rPr>
          <w:rFonts w:hint="eastAsia" w:ascii="宋体" w:hAnsi="宋体" w:eastAsia="宋体" w:cs="宋体"/>
          <w:b/>
          <w:color w:val="auto"/>
          <w:sz w:val="22"/>
          <w:highlight w:val="none"/>
        </w:rPr>
      </w:pPr>
      <w:r>
        <w:rPr>
          <w:rFonts w:hint="eastAsia" w:ascii="宋体" w:hAnsi="宋体" w:eastAsia="宋体" w:cs="宋体"/>
          <w:b/>
          <w:color w:val="auto"/>
          <w:sz w:val="22"/>
          <w:highlight w:val="none"/>
        </w:rPr>
      </w:r>
      <w:r/>
    </w:p>
    <w:p>
      <w:pPr>
        <w:spacing w:line="360" w:lineRule="auto"/>
        <w:rPr>
          <w:rFonts w:hint="eastAsia" w:ascii="宋体" w:hAnsi="宋体" w:eastAsia="宋体" w:cs="宋体"/>
          <w:b/>
          <w:color w:val="auto"/>
          <w:sz w:val="24"/>
          <w:szCs w:val="24"/>
          <w:highlight w:val="none"/>
        </w:rPr>
        <w:outlineLvl w:val="0"/>
      </w:pPr>
      <w:r/>
      <w:bookmarkStart w:id="168" w:name="_Toc16750"/>
      <w:r/>
      <w:bookmarkStart w:id="169" w:name="_Toc16870"/>
      <w:r>
        <w:rPr>
          <w:rFonts w:hint="eastAsia" w:ascii="宋体" w:hAnsi="宋体" w:eastAsia="宋体" w:cs="宋体"/>
          <w:b/>
          <w:color w:val="auto"/>
          <w:sz w:val="22"/>
          <w:highlight w:val="none"/>
        </w:rPr>
        <w:t xml:space="preserve">目录十五</w:t>
      </w:r>
      <w:r>
        <w:rPr>
          <w:rFonts w:hint="eastAsia" w:ascii="宋体" w:hAnsi="宋体" w:eastAsia="宋体" w:cs="宋体"/>
          <w:b/>
          <w:color w:val="auto"/>
          <w:sz w:val="24"/>
          <w:szCs w:val="24"/>
          <w:highlight w:val="none"/>
        </w:rPr>
        <w:t xml:space="preserve">、具备履行合同所必需的设备和专业技术能力的声明格式及证明材料</w:t>
      </w:r>
      <w:bookmarkEnd w:id="167"/>
      <w:r/>
      <w:bookmarkEnd w:id="168"/>
      <w:r/>
      <w:bookmarkEnd w:id="169"/>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
          <w:bCs/>
          <w:color w:val="auto"/>
          <w:sz w:val="22"/>
          <w:highlight w:val="none"/>
        </w:rPr>
        <w:outlineLvl w:val="0"/>
      </w:pPr>
      <w:r/>
      <w:bookmarkStart w:id="170" w:name="_Toc30986"/>
      <w:r/>
      <w:bookmarkStart w:id="171" w:name="_Toc17466"/>
      <w:r/>
      <w:bookmarkStart w:id="172" w:name="_Toc17409"/>
      <w:r>
        <w:rPr>
          <w:rFonts w:hint="eastAsia" w:ascii="宋体" w:hAnsi="宋体" w:eastAsia="宋体" w:cs="宋体"/>
          <w:b/>
          <w:bCs/>
          <w:color w:val="auto"/>
          <w:sz w:val="28"/>
          <w:szCs w:val="28"/>
          <w:highlight w:val="none"/>
        </w:rPr>
        <w:t xml:space="preserve">具备履行合同所必需的设备和专业技术能力的声明格式</w:t>
      </w:r>
      <w:bookmarkEnd w:id="170"/>
      <w:r/>
      <w:bookmarkEnd w:id="171"/>
      <w:r/>
      <w:bookmarkEnd w:id="172"/>
      <w:r/>
      <w:r/>
    </w:p>
    <w:p>
      <w:pPr>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南京市江宁区城市管理局：</w:t>
      </w:r>
      <w:r/>
    </w:p>
    <w:p>
      <w:pPr>
        <w:ind w:firstLine="492"/>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我单位</w:t>
      </w:r>
      <w:r>
        <w:rPr>
          <w:rFonts w:hint="eastAsia" w:ascii="宋体" w:hAnsi="宋体" w:eastAsia="宋体" w:cs="宋体"/>
          <w:color w:val="auto"/>
          <w:sz w:val="22"/>
          <w:highlight w:val="none"/>
          <w:u w:val="single"/>
        </w:rPr>
        <w:t xml:space="preserve">（供应商名称）</w:t>
      </w:r>
      <w:r>
        <w:rPr>
          <w:rFonts w:hint="eastAsia" w:ascii="宋体" w:hAnsi="宋体" w:eastAsia="宋体" w:cs="宋体"/>
          <w:color w:val="auto"/>
          <w:sz w:val="22"/>
          <w:highlight w:val="none"/>
        </w:rPr>
        <w:t xml:space="preserve">郑重声明：我公司具备履行本项采购合同所必需的设备和专业技术能力，为履行本项采购合同我单位具备如下主要设备和主要专业技术能力：</w:t>
      </w:r>
      <w:r/>
    </w:p>
    <w:p>
      <w:pPr>
        <w:ind w:firstLine="492"/>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主要设备有：</w:t>
      </w:r>
      <w:r>
        <w:rPr>
          <w:rFonts w:hint="eastAsia" w:ascii="宋体" w:hAnsi="宋体" w:eastAsia="宋体" w:cs="宋体"/>
          <w:color w:val="auto"/>
          <w:sz w:val="22"/>
          <w:highlight w:val="none"/>
          <w:u w:val="single"/>
        </w:rPr>
        <w:t xml:space="preserve">                              </w:t>
      </w:r>
      <w:r/>
    </w:p>
    <w:p>
      <w:pPr>
        <w:ind w:firstLine="492"/>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主要专业技术能力有：</w:t>
      </w:r>
      <w:r>
        <w:rPr>
          <w:rFonts w:hint="eastAsia" w:ascii="宋体" w:hAnsi="宋体" w:eastAsia="宋体" w:cs="宋体"/>
          <w:color w:val="auto"/>
          <w:sz w:val="22"/>
          <w:highlight w:val="none"/>
          <w:u w:val="single"/>
        </w:rPr>
        <w:t xml:space="preserve">                              </w:t>
      </w:r>
      <w:r/>
    </w:p>
    <w:p>
      <w:pPr>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ind w:firstLine="5678"/>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声明人：（公章）</w:t>
      </w:r>
      <w:r/>
    </w:p>
    <w:p>
      <w:pPr>
        <w:ind w:firstLine="5678"/>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日期：年月日</w:t>
      </w:r>
      <w:r/>
    </w:p>
    <w:p>
      <w:pPr>
        <w:rPr>
          <w:rFonts w:hint="eastAsia" w:ascii="宋体" w:hAnsi="宋体" w:eastAsia="宋体" w:cs="宋体"/>
          <w:b/>
          <w:color w:val="auto"/>
          <w:spacing w:val="15"/>
          <w:szCs w:val="21"/>
          <w:highlight w:val="none"/>
        </w:rPr>
      </w:pPr>
      <w:r>
        <w:rPr>
          <w:rFonts w:hint="eastAsia" w:ascii="宋体" w:hAnsi="宋体" w:eastAsia="宋体" w:cs="宋体"/>
          <w:b/>
          <w:color w:val="auto"/>
          <w:spacing w:val="15"/>
          <w:szCs w:val="21"/>
          <w:highlight w:val="none"/>
        </w:rPr>
      </w:r>
      <w:r/>
    </w:p>
    <w:p>
      <w:pPr>
        <w:rPr>
          <w:rFonts w:hint="eastAsia" w:ascii="宋体" w:hAnsi="宋体" w:eastAsia="宋体" w:cs="宋体"/>
          <w:b/>
          <w:color w:val="auto"/>
          <w:spacing w:val="15"/>
          <w:szCs w:val="21"/>
          <w:highlight w:val="none"/>
        </w:rPr>
      </w:pPr>
      <w:r>
        <w:rPr>
          <w:rFonts w:hint="eastAsia" w:ascii="宋体" w:hAnsi="宋体" w:eastAsia="宋体" w:cs="宋体"/>
          <w:b/>
          <w:color w:val="auto"/>
          <w:spacing w:val="15"/>
          <w:szCs w:val="21"/>
          <w:highlight w:val="none"/>
        </w:rPr>
      </w:r>
      <w:r/>
    </w:p>
    <w:p>
      <w:pPr>
        <w:rPr>
          <w:rFonts w:hint="eastAsia" w:ascii="宋体" w:hAnsi="宋体" w:eastAsia="宋体" w:cs="宋体"/>
          <w:b/>
          <w:color w:val="auto"/>
          <w:spacing w:val="15"/>
          <w:szCs w:val="21"/>
          <w:highlight w:val="none"/>
        </w:rPr>
      </w:pPr>
      <w:r/>
      <w:bookmarkStart w:id="173" w:name="_Toc840"/>
      <w:r>
        <w:rPr>
          <w:rFonts w:hint="eastAsia" w:ascii="宋体" w:hAnsi="宋体" w:eastAsia="宋体" w:cs="宋体"/>
          <w:b/>
          <w:color w:val="auto"/>
          <w:spacing w:val="15"/>
          <w:szCs w:val="21"/>
          <w:highlight w:val="none"/>
        </w:rPr>
        <w:br w:type="page" w:clear="all"/>
      </w:r>
      <w:r/>
    </w:p>
    <w:p>
      <w:pPr>
        <w:rPr>
          <w:rFonts w:hint="eastAsia" w:ascii="宋体" w:hAnsi="宋体" w:eastAsia="宋体" w:cs="宋体"/>
          <w:b/>
          <w:color w:val="auto"/>
          <w:sz w:val="20"/>
          <w:szCs w:val="20"/>
          <w:highlight w:val="none"/>
        </w:rPr>
        <w:outlineLvl w:val="0"/>
      </w:pPr>
      <w:r/>
      <w:bookmarkStart w:id="174" w:name="_Toc12626"/>
      <w:r/>
      <w:r/>
    </w:p>
    <w:p>
      <w:pPr>
        <w:rPr>
          <w:rFonts w:hint="eastAsia" w:ascii="宋体" w:hAnsi="宋体" w:eastAsia="宋体" w:cs="宋体"/>
          <w:b/>
          <w:color w:val="auto"/>
          <w:spacing w:val="15"/>
          <w:sz w:val="18"/>
          <w:szCs w:val="18"/>
          <w:highlight w:val="none"/>
        </w:rPr>
        <w:outlineLvl w:val="0"/>
      </w:pPr>
      <w:r/>
      <w:bookmarkStart w:id="175" w:name="_Toc1388"/>
      <w:r>
        <w:rPr>
          <w:rFonts w:hint="eastAsia" w:ascii="宋体" w:hAnsi="宋体" w:eastAsia="宋体" w:cs="宋体"/>
          <w:b/>
          <w:color w:val="auto"/>
          <w:sz w:val="20"/>
          <w:szCs w:val="20"/>
          <w:highlight w:val="none"/>
        </w:rPr>
        <w:t xml:space="preserve">目录十六</w:t>
      </w:r>
      <w:r>
        <w:rPr>
          <w:rFonts w:hint="eastAsia" w:ascii="宋体" w:hAnsi="宋体" w:eastAsia="宋体" w:cs="宋体"/>
          <w:b/>
          <w:color w:val="auto"/>
          <w:szCs w:val="21"/>
          <w:highlight w:val="none"/>
        </w:rPr>
        <w:t xml:space="preserve">、</w:t>
      </w:r>
      <w:r>
        <w:rPr>
          <w:rFonts w:hint="eastAsia" w:ascii="宋体" w:hAnsi="宋体" w:eastAsia="宋体" w:cs="宋体"/>
          <w:b/>
          <w:color w:val="auto"/>
          <w:spacing w:val="15"/>
          <w:szCs w:val="21"/>
          <w:highlight w:val="none"/>
        </w:rPr>
        <w:t xml:space="preserve">残疾人福利性单位声明函</w:t>
      </w:r>
      <w:bookmarkEnd w:id="173"/>
      <w:r>
        <w:rPr>
          <w:rFonts w:hint="eastAsia" w:ascii="宋体" w:hAnsi="宋体" w:eastAsia="宋体" w:cs="宋体"/>
          <w:b/>
          <w:bCs/>
          <w:color w:val="auto"/>
          <w:szCs w:val="21"/>
          <w:highlight w:val="none"/>
        </w:rPr>
        <w:t xml:space="preserve">（若有）</w:t>
      </w:r>
      <w:bookmarkEnd w:id="174"/>
      <w:r/>
      <w:bookmarkEnd w:id="175"/>
      <w:r/>
      <w:r/>
    </w:p>
    <w:p>
      <w:pPr>
        <w:rPr>
          <w:rFonts w:hint="eastAsia" w:ascii="宋体" w:hAnsi="宋体" w:eastAsia="宋体" w:cs="宋体"/>
          <w:b/>
          <w:color w:val="auto"/>
          <w:spacing w:val="15"/>
          <w:szCs w:val="21"/>
          <w:highlight w:val="none"/>
        </w:rPr>
      </w:pPr>
      <w:r>
        <w:rPr>
          <w:rFonts w:hint="eastAsia" w:ascii="宋体" w:hAnsi="宋体" w:eastAsia="宋体" w:cs="宋体"/>
          <w:b/>
          <w:color w:val="auto"/>
          <w:spacing w:val="15"/>
          <w:szCs w:val="21"/>
          <w:highlight w:val="none"/>
        </w:rPr>
      </w:r>
      <w:r/>
    </w:p>
    <w:p>
      <w:pPr>
        <w:jc w:val="center"/>
        <w:rPr>
          <w:rFonts w:hint="eastAsia" w:ascii="宋体" w:hAnsi="宋体" w:eastAsia="宋体" w:cs="宋体"/>
          <w:b/>
          <w:color w:val="auto"/>
          <w:spacing w:val="15"/>
          <w:sz w:val="22"/>
          <w:highlight w:val="none"/>
        </w:rPr>
        <w:outlineLvl w:val="0"/>
      </w:pPr>
      <w:r/>
      <w:bookmarkStart w:id="176" w:name="_Toc23978"/>
      <w:r/>
      <w:bookmarkStart w:id="177" w:name="_Toc32721"/>
      <w:r/>
      <w:bookmarkStart w:id="178" w:name="_Toc5667"/>
      <w:r>
        <w:rPr>
          <w:rFonts w:hint="eastAsia" w:ascii="宋体" w:hAnsi="宋体" w:eastAsia="宋体" w:cs="宋体"/>
          <w:b/>
          <w:color w:val="auto"/>
          <w:spacing w:val="15"/>
          <w:sz w:val="28"/>
          <w:szCs w:val="28"/>
          <w:highlight w:val="none"/>
        </w:rPr>
        <w:t xml:space="preserve">残疾人福利性单位声明函</w:t>
      </w:r>
      <w:bookmarkEnd w:id="176"/>
      <w:r/>
      <w:bookmarkEnd w:id="177"/>
      <w:r/>
      <w:bookmarkEnd w:id="178"/>
      <w:r/>
      <w:r/>
    </w:p>
    <w:p>
      <w:pPr>
        <w:ind w:firstLine="500"/>
        <w:spacing w:line="360" w:lineRule="auto"/>
        <w:rPr>
          <w:rFonts w:hint="eastAsia" w:ascii="宋体" w:hAnsi="宋体" w:eastAsia="宋体" w:cs="宋体"/>
          <w:color w:val="auto"/>
          <w:spacing w:val="15"/>
          <w:sz w:val="22"/>
          <w:highlight w:val="none"/>
        </w:rPr>
      </w:pPr>
      <w:r>
        <w:rPr>
          <w:rFonts w:hint="eastAsia" w:ascii="宋体" w:hAnsi="宋体" w:eastAsia="宋体" w:cs="宋体"/>
          <w:color w:val="auto"/>
          <w:spacing w:val="15"/>
          <w:sz w:val="22"/>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eastAsia="宋体" w:cs="宋体"/>
          <w:color w:val="auto"/>
          <w:spacing w:val="15"/>
          <w:sz w:val="22"/>
          <w:highlight w:val="none"/>
          <w:u w:val="single"/>
        </w:rPr>
        <w:t xml:space="preserve">       </w:t>
      </w:r>
      <w:r>
        <w:rPr>
          <w:rFonts w:hint="eastAsia" w:ascii="宋体" w:hAnsi="宋体" w:eastAsia="宋体" w:cs="宋体"/>
          <w:color w:val="auto"/>
          <w:spacing w:val="15"/>
          <w:sz w:val="22"/>
          <w:highlight w:val="none"/>
        </w:rPr>
        <w:t xml:space="preserve">单位的</w:t>
      </w:r>
      <w:r>
        <w:rPr>
          <w:rFonts w:hint="eastAsia" w:ascii="宋体" w:hAnsi="宋体" w:eastAsia="宋体" w:cs="宋体"/>
          <w:color w:val="auto"/>
          <w:spacing w:val="15"/>
          <w:sz w:val="22"/>
          <w:highlight w:val="none"/>
          <w:u w:val="single"/>
        </w:rPr>
        <w:t xml:space="preserve">       </w:t>
      </w:r>
      <w:r>
        <w:rPr>
          <w:rFonts w:hint="eastAsia" w:ascii="宋体" w:hAnsi="宋体" w:eastAsia="宋体" w:cs="宋体"/>
          <w:color w:val="auto"/>
          <w:spacing w:val="15"/>
          <w:sz w:val="22"/>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0"/>
        <w:spacing w:line="360" w:lineRule="auto"/>
        <w:rPr>
          <w:rFonts w:hint="eastAsia" w:ascii="宋体" w:hAnsi="宋体" w:eastAsia="宋体" w:cs="宋体"/>
          <w:color w:val="auto"/>
          <w:spacing w:val="15"/>
          <w:sz w:val="22"/>
          <w:highlight w:val="none"/>
        </w:rPr>
      </w:pPr>
      <w:r>
        <w:rPr>
          <w:rFonts w:hint="eastAsia" w:ascii="宋体" w:hAnsi="宋体" w:eastAsia="宋体" w:cs="宋体"/>
          <w:color w:val="auto"/>
          <w:spacing w:val="15"/>
          <w:sz w:val="22"/>
          <w:highlight w:val="none"/>
        </w:rPr>
        <w:t xml:space="preserve">本单位对上述声明的真实性负责。如有虚假，将依法承担相应责任。</w:t>
      </w:r>
      <w:r/>
    </w:p>
    <w:p>
      <w:pPr>
        <w:ind w:firstLine="502"/>
        <w:rPr>
          <w:rFonts w:hint="eastAsia" w:ascii="宋体" w:hAnsi="宋体" w:eastAsia="宋体" w:cs="宋体"/>
          <w:b/>
          <w:color w:val="auto"/>
          <w:spacing w:val="15"/>
          <w:sz w:val="22"/>
          <w:highlight w:val="none"/>
        </w:rPr>
      </w:pPr>
      <w:r>
        <w:rPr>
          <w:rFonts w:hint="eastAsia" w:ascii="宋体" w:hAnsi="宋体" w:eastAsia="宋体" w:cs="宋体"/>
          <w:b/>
          <w:color w:val="auto"/>
          <w:spacing w:val="15"/>
          <w:sz w:val="22"/>
          <w:highlight w:val="none"/>
        </w:rPr>
      </w:r>
      <w:r/>
    </w:p>
    <w:p>
      <w:pPr>
        <w:ind w:firstLine="502"/>
        <w:rPr>
          <w:rFonts w:hint="eastAsia" w:ascii="宋体" w:hAnsi="宋体" w:eastAsia="宋体" w:cs="宋体"/>
          <w:b/>
          <w:color w:val="auto"/>
          <w:spacing w:val="15"/>
          <w:sz w:val="22"/>
          <w:highlight w:val="none"/>
        </w:rPr>
      </w:pPr>
      <w:r>
        <w:rPr>
          <w:rFonts w:hint="eastAsia" w:ascii="宋体" w:hAnsi="宋体" w:eastAsia="宋体" w:cs="宋体"/>
          <w:b/>
          <w:color w:val="auto"/>
          <w:spacing w:val="15"/>
          <w:sz w:val="22"/>
          <w:highlight w:val="none"/>
        </w:rPr>
      </w:r>
      <w:r/>
    </w:p>
    <w:p>
      <w:pPr>
        <w:ind w:firstLine="3375"/>
        <w:rPr>
          <w:rFonts w:hint="eastAsia" w:ascii="宋体" w:hAnsi="宋体" w:eastAsia="宋体" w:cs="宋体"/>
          <w:color w:val="auto"/>
          <w:spacing w:val="15"/>
          <w:sz w:val="22"/>
          <w:highlight w:val="none"/>
        </w:rPr>
      </w:pPr>
      <w:r>
        <w:rPr>
          <w:rFonts w:hint="eastAsia" w:ascii="宋体" w:hAnsi="宋体" w:eastAsia="宋体" w:cs="宋体"/>
          <w:color w:val="auto"/>
          <w:highlight w:val="none"/>
          <w:lang w:val="zh-CN" w:eastAsia="zh-CN"/>
        </w:rPr>
        <w:t xml:space="preserve">投标供应商</w:t>
      </w:r>
      <w:r>
        <w:rPr>
          <w:rFonts w:hint="eastAsia" w:ascii="宋体" w:hAnsi="宋体" w:eastAsia="宋体" w:cs="宋体"/>
          <w:color w:val="auto"/>
          <w:spacing w:val="15"/>
          <w:sz w:val="22"/>
          <w:highlight w:val="none"/>
        </w:rPr>
        <w:t xml:space="preserve">（盖章）：</w:t>
      </w:r>
      <w:r/>
    </w:p>
    <w:p>
      <w:pPr>
        <w:ind w:firstLine="3375"/>
        <w:rPr>
          <w:rFonts w:hint="eastAsia" w:ascii="宋体" w:hAnsi="宋体" w:eastAsia="宋体" w:cs="宋体"/>
          <w:b/>
          <w:color w:val="auto"/>
          <w:spacing w:val="15"/>
          <w:sz w:val="22"/>
          <w:highlight w:val="none"/>
        </w:rPr>
      </w:pPr>
      <w:r>
        <w:rPr>
          <w:rFonts w:hint="eastAsia" w:ascii="宋体" w:hAnsi="宋体" w:eastAsia="宋体" w:cs="宋体"/>
          <w:color w:val="auto"/>
          <w:spacing w:val="15"/>
          <w:sz w:val="22"/>
          <w:highlight w:val="none"/>
        </w:rPr>
        <w:t xml:space="preserve">日期：</w:t>
      </w:r>
      <w:r>
        <w:rPr>
          <w:rFonts w:hint="eastAsia" w:ascii="宋体" w:hAnsi="宋体" w:eastAsia="宋体" w:cs="宋体"/>
          <w:color w:val="auto"/>
          <w:sz w:val="22"/>
          <w:highlight w:val="none"/>
        </w:rPr>
        <w:t xml:space="preserve">  年  月  日</w:t>
      </w:r>
      <w:r/>
    </w:p>
    <w:p>
      <w:pPr>
        <w:pStyle w:val="926"/>
        <w:ind w:firstLine="482"/>
        <w:rPr>
          <w:rFonts w:hint="eastAsia" w:ascii="宋体" w:hAnsi="宋体" w:eastAsia="宋体" w:cs="宋体"/>
          <w:b/>
          <w:color w:val="auto"/>
          <w:spacing w:val="15"/>
          <w:szCs w:val="21"/>
          <w:highlight w:val="none"/>
        </w:rPr>
      </w:pPr>
      <w:r>
        <w:rPr>
          <w:rFonts w:hint="eastAsia" w:ascii="宋体" w:hAnsi="宋体" w:eastAsia="宋体" w:cs="宋体"/>
          <w:b/>
          <w:color w:val="auto"/>
          <w:spacing w:val="15"/>
          <w:szCs w:val="21"/>
          <w:highlight w:val="none"/>
        </w:rPr>
      </w:r>
      <w:r/>
    </w:p>
    <w:p>
      <w:pPr>
        <w:pStyle w:val="926"/>
        <w:ind w:firstLine="482"/>
        <w:rPr>
          <w:rFonts w:hint="eastAsia" w:ascii="宋体" w:hAnsi="宋体" w:eastAsia="宋体" w:cs="宋体"/>
          <w:b/>
          <w:color w:val="auto"/>
          <w:spacing w:val="15"/>
          <w:szCs w:val="21"/>
          <w:highlight w:val="none"/>
        </w:rPr>
      </w:pPr>
      <w:r>
        <w:rPr>
          <w:rFonts w:hint="eastAsia" w:ascii="宋体" w:hAnsi="宋体" w:eastAsia="宋体" w:cs="宋体"/>
          <w:b/>
          <w:color w:val="auto"/>
          <w:spacing w:val="15"/>
          <w:szCs w:val="21"/>
          <w:highlight w:val="none"/>
        </w:rPr>
      </w:r>
      <w:r/>
    </w:p>
    <w:p>
      <w:pPr>
        <w:pStyle w:val="926"/>
        <w:ind w:firstLine="482"/>
        <w:rPr>
          <w:rFonts w:hint="eastAsia" w:ascii="宋体" w:hAnsi="宋体" w:eastAsia="宋体" w:cs="宋体"/>
          <w:b/>
          <w:color w:val="auto"/>
          <w:spacing w:val="15"/>
          <w:szCs w:val="21"/>
          <w:highlight w:val="none"/>
        </w:rPr>
      </w:pPr>
      <w:r>
        <w:rPr>
          <w:rFonts w:hint="eastAsia" w:ascii="宋体" w:hAnsi="宋体" w:eastAsia="宋体" w:cs="宋体"/>
          <w:b/>
          <w:color w:val="auto"/>
          <w:spacing w:val="15"/>
          <w:szCs w:val="21"/>
          <w:highlight w:val="none"/>
        </w:rPr>
      </w:r>
      <w:r/>
    </w:p>
    <w:p>
      <w:pPr>
        <w:pStyle w:val="926"/>
        <w:ind w:firstLine="482"/>
        <w:rPr>
          <w:rFonts w:hint="eastAsia" w:ascii="宋体" w:hAnsi="宋体" w:eastAsia="宋体" w:cs="宋体"/>
          <w:b/>
          <w:color w:val="auto"/>
          <w:spacing w:val="15"/>
          <w:szCs w:val="21"/>
          <w:highlight w:val="none"/>
        </w:rPr>
      </w:pPr>
      <w:r>
        <w:rPr>
          <w:rFonts w:hint="eastAsia" w:ascii="宋体" w:hAnsi="宋体" w:eastAsia="宋体" w:cs="宋体"/>
          <w:b/>
          <w:color w:val="auto"/>
          <w:spacing w:val="15"/>
          <w:szCs w:val="21"/>
          <w:highlight w:val="none"/>
        </w:rPr>
      </w:r>
      <w:r/>
    </w:p>
    <w:p>
      <w:pPr>
        <w:pStyle w:val="926"/>
        <w:ind w:firstLine="482"/>
        <w:rPr>
          <w:rFonts w:hint="eastAsia" w:ascii="宋体" w:hAnsi="宋体" w:eastAsia="宋体" w:cs="宋体"/>
          <w:b/>
          <w:color w:val="auto"/>
          <w:spacing w:val="15"/>
          <w:szCs w:val="21"/>
          <w:highlight w:val="none"/>
        </w:rPr>
      </w:pPr>
      <w:r>
        <w:rPr>
          <w:rFonts w:hint="eastAsia" w:ascii="宋体" w:hAnsi="宋体" w:eastAsia="宋体" w:cs="宋体"/>
          <w:b/>
          <w:color w:val="auto"/>
          <w:spacing w:val="15"/>
          <w:szCs w:val="21"/>
          <w:highlight w:val="none"/>
        </w:rPr>
      </w:r>
      <w:r/>
    </w:p>
    <w:p>
      <w:pPr>
        <w:rPr>
          <w:rFonts w:hint="eastAsia" w:ascii="宋体" w:hAnsi="宋体" w:eastAsia="宋体" w:cs="宋体"/>
          <w:b/>
          <w:color w:val="auto"/>
          <w:spacing w:val="15"/>
          <w:szCs w:val="21"/>
          <w:highlight w:val="none"/>
        </w:rPr>
      </w:pPr>
      <w:r>
        <w:rPr>
          <w:rFonts w:hint="eastAsia" w:ascii="宋体" w:hAnsi="宋体" w:eastAsia="宋体" w:cs="宋体"/>
          <w:b/>
          <w:color w:val="auto"/>
          <w:spacing w:val="15"/>
          <w:szCs w:val="21"/>
          <w:highlight w:val="none"/>
        </w:rPr>
        <w:br w:type="page" w:clear="all"/>
      </w:r>
      <w:r/>
    </w:p>
    <w:p>
      <w:pPr>
        <w:pStyle w:val="926"/>
        <w:ind w:firstLine="482"/>
        <w:rPr>
          <w:rFonts w:hint="eastAsia" w:ascii="宋体" w:hAnsi="宋体" w:eastAsia="宋体" w:cs="宋体"/>
          <w:b/>
          <w:color w:val="auto"/>
          <w:spacing w:val="15"/>
          <w:szCs w:val="21"/>
          <w:highlight w:val="none"/>
        </w:rPr>
      </w:pPr>
      <w:r>
        <w:rPr>
          <w:rFonts w:hint="eastAsia" w:ascii="宋体" w:hAnsi="宋体" w:eastAsia="宋体" w:cs="宋体"/>
          <w:b/>
          <w:color w:val="auto"/>
          <w:spacing w:val="15"/>
          <w:szCs w:val="21"/>
          <w:highlight w:val="none"/>
        </w:rPr>
      </w:r>
      <w:r/>
    </w:p>
    <w:p>
      <w:pPr>
        <w:rPr>
          <w:rFonts w:hint="eastAsia" w:ascii="宋体" w:hAnsi="宋体" w:eastAsia="宋体" w:cs="宋体"/>
          <w:b/>
          <w:color w:val="auto"/>
          <w:spacing w:val="15"/>
          <w:sz w:val="18"/>
          <w:szCs w:val="18"/>
          <w:highlight w:val="none"/>
        </w:rPr>
        <w:outlineLvl w:val="0"/>
      </w:pPr>
      <w:r/>
      <w:bookmarkStart w:id="179" w:name="_Toc4246"/>
      <w:r/>
      <w:bookmarkStart w:id="180" w:name="_Toc8328"/>
      <w:r/>
      <w:bookmarkStart w:id="181" w:name="_Toc12348"/>
      <w:r>
        <w:rPr>
          <w:rFonts w:hint="eastAsia" w:ascii="宋体" w:hAnsi="宋体" w:eastAsia="宋体" w:cs="宋体"/>
          <w:b/>
          <w:color w:val="auto"/>
          <w:sz w:val="20"/>
          <w:szCs w:val="20"/>
          <w:highlight w:val="none"/>
        </w:rPr>
        <w:t xml:space="preserve">目录十七</w:t>
      </w:r>
      <w:r>
        <w:rPr>
          <w:rFonts w:hint="eastAsia" w:ascii="宋体" w:hAnsi="宋体" w:eastAsia="宋体" w:cs="宋体"/>
          <w:b/>
          <w:color w:val="auto"/>
          <w:szCs w:val="21"/>
          <w:highlight w:val="none"/>
        </w:rPr>
        <w:t xml:space="preserve">、</w:t>
      </w:r>
      <w:r>
        <w:rPr>
          <w:rFonts w:hint="eastAsia" w:ascii="宋体" w:hAnsi="宋体" w:eastAsia="宋体" w:cs="宋体"/>
          <w:b/>
          <w:color w:val="auto"/>
          <w:spacing w:val="15"/>
          <w:szCs w:val="21"/>
          <w:highlight w:val="none"/>
        </w:rPr>
        <w:t xml:space="preserve">属于监狱企业的证明文件</w:t>
      </w:r>
      <w:bookmarkEnd w:id="179"/>
      <w:r>
        <w:rPr>
          <w:rFonts w:hint="eastAsia" w:ascii="宋体" w:hAnsi="宋体" w:eastAsia="宋体" w:cs="宋体"/>
          <w:b/>
          <w:bCs/>
          <w:color w:val="auto"/>
          <w:szCs w:val="21"/>
          <w:highlight w:val="none"/>
        </w:rPr>
        <w:t xml:space="preserve">（若有）</w:t>
      </w:r>
      <w:bookmarkEnd w:id="180"/>
      <w:r/>
      <w:bookmarkEnd w:id="181"/>
      <w:r/>
      <w:r/>
    </w:p>
    <w:p>
      <w:pPr>
        <w:rPr>
          <w:rFonts w:hint="eastAsia" w:ascii="宋体" w:hAnsi="宋体" w:eastAsia="宋体" w:cs="宋体"/>
          <w:b/>
          <w:color w:val="auto"/>
          <w:spacing w:val="15"/>
          <w:szCs w:val="21"/>
          <w:highlight w:val="none"/>
        </w:rPr>
      </w:pPr>
      <w:r>
        <w:rPr>
          <w:rFonts w:hint="eastAsia" w:ascii="宋体" w:hAnsi="宋体" w:eastAsia="宋体" w:cs="宋体"/>
          <w:b/>
          <w:color w:val="auto"/>
          <w:spacing w:val="15"/>
          <w:szCs w:val="21"/>
          <w:highlight w:val="none"/>
        </w:rPr>
      </w:r>
      <w:r/>
    </w:p>
    <w:p>
      <w:pPr>
        <w:jc w:val="center"/>
        <w:rPr>
          <w:rFonts w:hint="eastAsia" w:ascii="宋体" w:hAnsi="宋体" w:eastAsia="宋体" w:cs="宋体"/>
          <w:b/>
          <w:color w:val="auto"/>
          <w:spacing w:val="15"/>
          <w:sz w:val="28"/>
          <w:szCs w:val="28"/>
          <w:highlight w:val="none"/>
        </w:rPr>
        <w:outlineLvl w:val="0"/>
      </w:pPr>
      <w:r/>
      <w:bookmarkStart w:id="182" w:name="_Toc22415"/>
      <w:r/>
      <w:bookmarkStart w:id="183" w:name="_Toc1394"/>
      <w:r/>
      <w:bookmarkStart w:id="184" w:name="_Toc22898"/>
      <w:r>
        <w:rPr>
          <w:rFonts w:hint="eastAsia" w:ascii="宋体" w:hAnsi="宋体" w:eastAsia="宋体" w:cs="宋体"/>
          <w:b/>
          <w:color w:val="auto"/>
          <w:spacing w:val="15"/>
          <w:sz w:val="28"/>
          <w:szCs w:val="28"/>
          <w:highlight w:val="none"/>
        </w:rPr>
        <w:t xml:space="preserve">属于监狱企业的证明文件</w:t>
      </w:r>
      <w:bookmarkEnd w:id="182"/>
      <w:r/>
      <w:bookmarkEnd w:id="183"/>
      <w:r/>
      <w:bookmarkEnd w:id="184"/>
      <w:r/>
      <w:r/>
    </w:p>
    <w:p>
      <w:pPr>
        <w:rPr>
          <w:rFonts w:hint="eastAsia" w:ascii="宋体" w:hAnsi="宋体" w:eastAsia="宋体" w:cs="宋体"/>
          <w:color w:val="auto"/>
          <w:spacing w:val="15"/>
          <w:szCs w:val="21"/>
          <w:highlight w:val="none"/>
        </w:rPr>
      </w:pPr>
      <w:r>
        <w:rPr>
          <w:rFonts w:hint="eastAsia" w:ascii="宋体" w:hAnsi="宋体" w:eastAsia="宋体" w:cs="宋体"/>
          <w:color w:val="auto"/>
          <w:spacing w:val="15"/>
          <w:szCs w:val="21"/>
          <w:highlight w:val="none"/>
        </w:rPr>
        <w:t xml:space="preserve">（提供由省级以上监狱管理局、戒毒管理局(含新疆生产建设兵团)出具的属于监狱企业的证明文件）（如有）</w:t>
      </w:r>
      <w:r/>
    </w:p>
    <w:p>
      <w:pPr>
        <w:rPr>
          <w:rFonts w:hint="eastAsia" w:ascii="宋体" w:hAnsi="宋体" w:eastAsia="宋体" w:cs="宋体"/>
          <w:b/>
          <w:color w:val="auto"/>
          <w:spacing w:val="15"/>
          <w:szCs w:val="21"/>
          <w:highlight w:val="none"/>
        </w:rPr>
      </w:pPr>
      <w:r>
        <w:rPr>
          <w:rFonts w:hint="eastAsia" w:ascii="宋体" w:hAnsi="宋体" w:eastAsia="宋体" w:cs="宋体"/>
          <w:b/>
          <w:color w:val="auto"/>
          <w:spacing w:val="15"/>
          <w:szCs w:val="21"/>
          <w:highlight w:val="none"/>
        </w:rPr>
      </w:r>
      <w:r/>
    </w:p>
    <w:p>
      <w:pPr>
        <w:pStyle w:val="974"/>
        <w:ind w:firstLine="21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74"/>
        <w:ind w:firstLine="21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rPr>
          <w:rFonts w:hint="eastAsia" w:ascii="宋体" w:hAnsi="宋体" w:eastAsia="宋体" w:cs="宋体"/>
          <w:b/>
          <w:color w:val="auto"/>
          <w:sz w:val="20"/>
          <w:szCs w:val="20"/>
          <w:highlight w:val="none"/>
        </w:rPr>
        <w:outlineLvl w:val="0"/>
      </w:pPr>
      <w:r/>
      <w:bookmarkStart w:id="185" w:name="_Toc12699"/>
      <w:r/>
      <w:bookmarkStart w:id="186" w:name="_Toc15704"/>
      <w:r/>
      <w:bookmarkStart w:id="187" w:name="_Toc25567"/>
      <w:r/>
      <w:r/>
    </w:p>
    <w:p>
      <w:pPr>
        <w:rPr>
          <w:rFonts w:hint="eastAsia" w:ascii="宋体" w:hAnsi="宋体" w:eastAsia="宋体" w:cs="宋体"/>
          <w:b/>
          <w:color w:val="auto"/>
          <w:sz w:val="20"/>
          <w:szCs w:val="20"/>
          <w:highlight w:val="none"/>
        </w:rPr>
        <w:outlineLvl w:val="0"/>
      </w:pPr>
      <w:r>
        <w:rPr>
          <w:rFonts w:hint="eastAsia" w:ascii="宋体" w:hAnsi="宋体" w:eastAsia="宋体" w:cs="宋体"/>
          <w:b/>
          <w:color w:val="auto"/>
          <w:sz w:val="20"/>
          <w:szCs w:val="20"/>
          <w:highlight w:val="none"/>
        </w:rPr>
      </w:r>
      <w:r/>
    </w:p>
    <w:p>
      <w:pPr>
        <w:rPr>
          <w:rFonts w:hint="eastAsia" w:ascii="宋体" w:hAnsi="宋体" w:eastAsia="宋体" w:cs="宋体"/>
          <w:b/>
          <w:color w:val="auto"/>
          <w:spacing w:val="15"/>
          <w:sz w:val="18"/>
          <w:szCs w:val="18"/>
          <w:highlight w:val="none"/>
        </w:rPr>
        <w:outlineLvl w:val="0"/>
      </w:pPr>
      <w:r>
        <w:rPr>
          <w:rFonts w:hint="eastAsia" w:ascii="宋体" w:hAnsi="宋体" w:eastAsia="宋体" w:cs="宋体"/>
          <w:b/>
          <w:color w:val="auto"/>
          <w:sz w:val="20"/>
          <w:szCs w:val="20"/>
          <w:highlight w:val="none"/>
        </w:rPr>
        <w:t xml:space="preserve">目录十八</w:t>
      </w:r>
      <w:r>
        <w:rPr>
          <w:rFonts w:hint="eastAsia" w:ascii="宋体" w:hAnsi="宋体" w:eastAsia="宋体" w:cs="宋体"/>
          <w:b/>
          <w:color w:val="auto"/>
          <w:szCs w:val="21"/>
          <w:highlight w:val="none"/>
        </w:rPr>
        <w:t xml:space="preserve">、</w:t>
      </w:r>
      <w:r>
        <w:rPr>
          <w:rFonts w:hint="eastAsia" w:ascii="宋体" w:hAnsi="宋体" w:eastAsia="宋体" w:cs="宋体"/>
          <w:b/>
          <w:color w:val="auto"/>
          <w:spacing w:val="15"/>
          <w:szCs w:val="21"/>
          <w:highlight w:val="none"/>
        </w:rPr>
        <w:t xml:space="preserve">节能产品认证文件</w:t>
      </w:r>
      <w:bookmarkEnd w:id="185"/>
      <w:r>
        <w:rPr>
          <w:rFonts w:hint="eastAsia" w:ascii="宋体" w:hAnsi="宋体" w:eastAsia="宋体" w:cs="宋体"/>
          <w:b/>
          <w:bCs/>
          <w:color w:val="auto"/>
          <w:szCs w:val="21"/>
          <w:highlight w:val="none"/>
        </w:rPr>
        <w:t xml:space="preserve">（若有）</w:t>
      </w:r>
      <w:bookmarkEnd w:id="186"/>
      <w:r/>
      <w:bookmarkEnd w:id="187"/>
      <w:r/>
      <w:r/>
    </w:p>
    <w:p>
      <w:pPr>
        <w:rPr>
          <w:rFonts w:hint="eastAsia" w:ascii="宋体" w:hAnsi="宋体" w:eastAsia="宋体" w:cs="宋体"/>
          <w:b/>
          <w:color w:val="auto"/>
          <w:spacing w:val="15"/>
          <w:szCs w:val="21"/>
          <w:highlight w:val="none"/>
        </w:rPr>
      </w:pPr>
      <w:r>
        <w:rPr>
          <w:rFonts w:hint="eastAsia" w:ascii="宋体" w:hAnsi="宋体" w:eastAsia="宋体" w:cs="宋体"/>
          <w:b/>
          <w:color w:val="auto"/>
          <w:spacing w:val="15"/>
          <w:szCs w:val="21"/>
          <w:highlight w:val="none"/>
        </w:rPr>
      </w:r>
      <w:r/>
    </w:p>
    <w:p>
      <w:pPr>
        <w:jc w:val="center"/>
        <w:rPr>
          <w:rFonts w:hint="eastAsia" w:ascii="宋体" w:hAnsi="宋体" w:eastAsia="宋体" w:cs="宋体"/>
          <w:b/>
          <w:color w:val="auto"/>
          <w:spacing w:val="15"/>
          <w:sz w:val="28"/>
          <w:szCs w:val="28"/>
          <w:highlight w:val="none"/>
        </w:rPr>
        <w:outlineLvl w:val="0"/>
      </w:pPr>
      <w:r/>
      <w:bookmarkStart w:id="188" w:name="_Toc24807"/>
      <w:r/>
      <w:bookmarkStart w:id="189" w:name="_Toc14874"/>
      <w:r>
        <w:rPr>
          <w:rFonts w:hint="eastAsia" w:ascii="宋体" w:hAnsi="宋体" w:eastAsia="宋体" w:cs="宋体"/>
          <w:b/>
          <w:color w:val="auto"/>
          <w:spacing w:val="15"/>
          <w:sz w:val="28"/>
          <w:szCs w:val="28"/>
          <w:highlight w:val="none"/>
        </w:rPr>
        <w:t xml:space="preserve">节能产品认证文件</w:t>
      </w:r>
      <w:bookmarkEnd w:id="188"/>
      <w:r/>
      <w:bookmarkEnd w:id="189"/>
      <w:r/>
      <w:r/>
    </w:p>
    <w:p>
      <w:pPr>
        <w:jc w:val="center"/>
        <w:rPr>
          <w:rFonts w:hint="eastAsia" w:ascii="宋体" w:hAnsi="宋体" w:eastAsia="宋体" w:cs="宋体"/>
          <w:color w:val="auto"/>
          <w:spacing w:val="15"/>
          <w:szCs w:val="21"/>
          <w:highlight w:val="none"/>
        </w:rPr>
        <w:outlineLvl w:val="0"/>
      </w:pPr>
      <w:r/>
      <w:bookmarkStart w:id="190" w:name="_Toc22246"/>
      <w:r/>
      <w:bookmarkStart w:id="191" w:name="_Toc27650"/>
      <w:r/>
      <w:bookmarkStart w:id="192" w:name="_Toc32722"/>
      <w:r>
        <w:rPr>
          <w:rFonts w:hint="eastAsia" w:ascii="宋体" w:hAnsi="宋体" w:eastAsia="宋体" w:cs="宋体"/>
          <w:color w:val="auto"/>
          <w:spacing w:val="15"/>
          <w:szCs w:val="21"/>
          <w:highlight w:val="none"/>
        </w:rPr>
        <w:t xml:space="preserve">（提供产品在《节能产品政府采购清单》中相应的页面）</w:t>
      </w:r>
      <w:bookmarkEnd w:id="190"/>
      <w:r/>
      <w:bookmarkEnd w:id="191"/>
      <w:r/>
      <w:bookmarkEnd w:id="192"/>
      <w:r/>
      <w:r/>
    </w:p>
    <w:p>
      <w:pPr>
        <w:rPr>
          <w:rFonts w:hint="eastAsia" w:ascii="宋体" w:hAnsi="宋体" w:eastAsia="宋体" w:cs="宋体"/>
          <w:color w:val="auto"/>
          <w:spacing w:val="15"/>
          <w:szCs w:val="21"/>
          <w:highlight w:val="none"/>
        </w:rPr>
      </w:pPr>
      <w:r>
        <w:rPr>
          <w:rFonts w:hint="eastAsia" w:ascii="宋体" w:hAnsi="宋体" w:eastAsia="宋体" w:cs="宋体"/>
          <w:color w:val="auto"/>
          <w:spacing w:val="15"/>
          <w:szCs w:val="21"/>
          <w:highlight w:val="none"/>
        </w:rPr>
      </w:r>
      <w:r/>
    </w:p>
    <w:p>
      <w:pPr>
        <w:rPr>
          <w:rFonts w:hint="eastAsia" w:ascii="宋体" w:hAnsi="宋体" w:eastAsia="宋体" w:cs="宋体"/>
          <w:b/>
          <w:color w:val="auto"/>
          <w:spacing w:val="15"/>
          <w:szCs w:val="21"/>
          <w:highlight w:val="none"/>
        </w:rPr>
      </w:pPr>
      <w:r/>
      <w:bookmarkStart w:id="193" w:name="_Toc8921"/>
      <w:r/>
      <w:r/>
    </w:p>
    <w:p>
      <w:pPr>
        <w:rPr>
          <w:rFonts w:hint="eastAsia" w:ascii="宋体" w:hAnsi="宋体" w:eastAsia="宋体" w:cs="宋体"/>
          <w:b/>
          <w:color w:val="auto"/>
          <w:sz w:val="20"/>
          <w:szCs w:val="20"/>
          <w:highlight w:val="none"/>
        </w:rPr>
        <w:outlineLvl w:val="0"/>
      </w:pPr>
      <w:r/>
      <w:bookmarkStart w:id="194" w:name="_Toc10130"/>
      <w:r/>
      <w:bookmarkStart w:id="195" w:name="_Toc16034"/>
      <w:r/>
      <w:r/>
    </w:p>
    <w:p>
      <w:pPr>
        <w:rPr>
          <w:rFonts w:hint="eastAsia" w:ascii="宋体" w:hAnsi="宋体" w:eastAsia="宋体" w:cs="宋体"/>
          <w:b/>
          <w:color w:val="auto"/>
          <w:sz w:val="20"/>
          <w:szCs w:val="20"/>
          <w:highlight w:val="none"/>
        </w:rPr>
        <w:outlineLvl w:val="0"/>
      </w:pPr>
      <w:r>
        <w:rPr>
          <w:rFonts w:hint="eastAsia" w:ascii="宋体" w:hAnsi="宋体" w:eastAsia="宋体" w:cs="宋体"/>
          <w:b/>
          <w:color w:val="auto"/>
          <w:sz w:val="20"/>
          <w:szCs w:val="20"/>
          <w:highlight w:val="none"/>
        </w:rPr>
      </w:r>
      <w:r/>
    </w:p>
    <w:p>
      <w:pPr>
        <w:rPr>
          <w:rFonts w:hint="eastAsia" w:ascii="宋体" w:hAnsi="宋体" w:eastAsia="宋体" w:cs="宋体"/>
          <w:b/>
          <w:color w:val="auto"/>
          <w:sz w:val="20"/>
          <w:szCs w:val="20"/>
          <w:highlight w:val="none"/>
        </w:rPr>
        <w:outlineLvl w:val="0"/>
      </w:pPr>
      <w:r>
        <w:rPr>
          <w:rFonts w:hint="eastAsia" w:ascii="宋体" w:hAnsi="宋体" w:eastAsia="宋体" w:cs="宋体"/>
          <w:b/>
          <w:color w:val="auto"/>
          <w:sz w:val="20"/>
          <w:szCs w:val="20"/>
          <w:highlight w:val="none"/>
        </w:rPr>
      </w:r>
      <w:r/>
    </w:p>
    <w:p>
      <w:pPr>
        <w:rPr>
          <w:rFonts w:hint="eastAsia" w:ascii="宋体" w:hAnsi="宋体" w:eastAsia="宋体" w:cs="宋体"/>
          <w:b/>
          <w:color w:val="auto"/>
          <w:spacing w:val="15"/>
          <w:sz w:val="18"/>
          <w:szCs w:val="18"/>
          <w:highlight w:val="none"/>
        </w:rPr>
        <w:outlineLvl w:val="0"/>
      </w:pPr>
      <w:r>
        <w:rPr>
          <w:rFonts w:hint="eastAsia" w:ascii="宋体" w:hAnsi="宋体" w:eastAsia="宋体" w:cs="宋体"/>
          <w:b/>
          <w:color w:val="auto"/>
          <w:sz w:val="20"/>
          <w:szCs w:val="20"/>
          <w:highlight w:val="none"/>
        </w:rPr>
        <w:t xml:space="preserve">目录十九</w:t>
      </w:r>
      <w:r>
        <w:rPr>
          <w:rFonts w:hint="eastAsia" w:ascii="宋体" w:hAnsi="宋体" w:eastAsia="宋体" w:cs="宋体"/>
          <w:b/>
          <w:color w:val="auto"/>
          <w:szCs w:val="21"/>
          <w:highlight w:val="none"/>
        </w:rPr>
        <w:t xml:space="preserve">、</w:t>
      </w:r>
      <w:r>
        <w:rPr>
          <w:rFonts w:hint="eastAsia" w:ascii="宋体" w:hAnsi="宋体" w:eastAsia="宋体" w:cs="宋体"/>
          <w:b/>
          <w:color w:val="auto"/>
          <w:spacing w:val="15"/>
          <w:szCs w:val="21"/>
          <w:highlight w:val="none"/>
        </w:rPr>
        <w:t xml:space="preserve">环境标志产品认证文件</w:t>
      </w:r>
      <w:bookmarkEnd w:id="193"/>
      <w:r>
        <w:rPr>
          <w:rFonts w:hint="eastAsia" w:ascii="宋体" w:hAnsi="宋体" w:eastAsia="宋体" w:cs="宋体"/>
          <w:b/>
          <w:bCs/>
          <w:color w:val="auto"/>
          <w:szCs w:val="21"/>
          <w:highlight w:val="none"/>
        </w:rPr>
        <w:t xml:space="preserve">（若有）</w:t>
      </w:r>
      <w:bookmarkEnd w:id="194"/>
      <w:r/>
      <w:bookmarkEnd w:id="195"/>
      <w:r/>
      <w:r/>
    </w:p>
    <w:p>
      <w:pPr>
        <w:rPr>
          <w:rFonts w:hint="eastAsia" w:ascii="宋体" w:hAnsi="宋体" w:eastAsia="宋体" w:cs="宋体"/>
          <w:b/>
          <w:color w:val="auto"/>
          <w:spacing w:val="15"/>
          <w:szCs w:val="21"/>
          <w:highlight w:val="none"/>
        </w:rPr>
      </w:pPr>
      <w:r>
        <w:rPr>
          <w:rFonts w:hint="eastAsia" w:ascii="宋体" w:hAnsi="宋体" w:eastAsia="宋体" w:cs="宋体"/>
          <w:b/>
          <w:color w:val="auto"/>
          <w:spacing w:val="15"/>
          <w:szCs w:val="21"/>
          <w:highlight w:val="none"/>
        </w:rPr>
      </w:r>
      <w:r/>
    </w:p>
    <w:p>
      <w:pPr>
        <w:jc w:val="center"/>
        <w:rPr>
          <w:rFonts w:hint="eastAsia" w:ascii="宋体" w:hAnsi="宋体" w:eastAsia="宋体" w:cs="宋体"/>
          <w:b/>
          <w:color w:val="auto"/>
          <w:spacing w:val="15"/>
          <w:sz w:val="28"/>
          <w:szCs w:val="28"/>
          <w:highlight w:val="none"/>
        </w:rPr>
        <w:outlineLvl w:val="0"/>
      </w:pPr>
      <w:r/>
      <w:bookmarkStart w:id="196" w:name="_Toc24455"/>
      <w:r/>
      <w:bookmarkStart w:id="197" w:name="_Toc19745"/>
      <w:r/>
      <w:bookmarkStart w:id="198" w:name="_Toc22207"/>
      <w:r>
        <w:rPr>
          <w:rFonts w:hint="eastAsia" w:ascii="宋体" w:hAnsi="宋体" w:eastAsia="宋体" w:cs="宋体"/>
          <w:b/>
          <w:color w:val="auto"/>
          <w:spacing w:val="15"/>
          <w:sz w:val="28"/>
          <w:szCs w:val="28"/>
          <w:highlight w:val="none"/>
        </w:rPr>
        <w:t xml:space="preserve">环境标志产品认证文件</w:t>
      </w:r>
      <w:bookmarkEnd w:id="196"/>
      <w:r/>
      <w:bookmarkEnd w:id="197"/>
      <w:r/>
      <w:bookmarkEnd w:id="198"/>
      <w:r/>
      <w:r/>
    </w:p>
    <w:p>
      <w:pPr>
        <w:jc w:val="center"/>
        <w:rPr>
          <w:rFonts w:hint="eastAsia" w:ascii="宋体" w:hAnsi="宋体" w:eastAsia="宋体" w:cs="宋体"/>
          <w:color w:val="auto"/>
          <w:spacing w:val="15"/>
          <w:szCs w:val="21"/>
          <w:highlight w:val="none"/>
        </w:rPr>
      </w:pPr>
      <w:r>
        <w:rPr>
          <w:rFonts w:hint="eastAsia" w:ascii="宋体" w:hAnsi="宋体" w:eastAsia="宋体" w:cs="宋体"/>
          <w:color w:val="auto"/>
          <w:spacing w:val="15"/>
          <w:szCs w:val="21"/>
          <w:highlight w:val="none"/>
        </w:rPr>
        <w:t xml:space="preserve">（提供产品在《环境标志产品政府采购清单》中相应的页面）</w:t>
      </w:r>
      <w:r/>
    </w:p>
    <w:p>
      <w:pPr>
        <w:pStyle w:val="974"/>
        <w:ind w:firstLine="21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rPr>
          <w:rFonts w:hint="eastAsia" w:ascii="宋体" w:hAnsi="宋体" w:eastAsia="宋体" w:cs="宋体"/>
          <w:b/>
          <w:color w:val="auto"/>
          <w:spacing w:val="15"/>
          <w:szCs w:val="21"/>
          <w:highlight w:val="none"/>
        </w:rPr>
      </w:pPr>
      <w:r>
        <w:rPr>
          <w:rFonts w:hint="eastAsia" w:ascii="宋体" w:hAnsi="宋体" w:eastAsia="宋体" w:cs="宋体"/>
          <w:b/>
          <w:color w:val="auto"/>
          <w:spacing w:val="15"/>
          <w:szCs w:val="21"/>
          <w:highlight w:val="none"/>
        </w:rPr>
      </w:r>
      <w:r/>
    </w:p>
    <w:p>
      <w:pPr>
        <w:rPr>
          <w:rFonts w:hint="eastAsia" w:ascii="宋体" w:hAnsi="宋体" w:eastAsia="宋体" w:cs="宋体"/>
          <w:b/>
          <w:color w:val="auto"/>
          <w:sz w:val="20"/>
          <w:szCs w:val="20"/>
          <w:highlight w:val="none"/>
        </w:rPr>
        <w:outlineLvl w:val="0"/>
      </w:pPr>
      <w:r/>
      <w:bookmarkStart w:id="199" w:name="_Toc7954"/>
      <w:r/>
      <w:bookmarkStart w:id="200" w:name="_Toc13292"/>
      <w:r/>
      <w:bookmarkStart w:id="201" w:name="_Toc17265"/>
      <w:r/>
      <w:r/>
    </w:p>
    <w:p>
      <w:pPr>
        <w:rPr>
          <w:rFonts w:hint="eastAsia" w:ascii="宋体" w:hAnsi="宋体" w:eastAsia="宋体" w:cs="宋体"/>
          <w:b/>
          <w:color w:val="auto"/>
          <w:sz w:val="20"/>
          <w:szCs w:val="20"/>
          <w:highlight w:val="none"/>
        </w:rPr>
        <w:outlineLvl w:val="0"/>
      </w:pPr>
      <w:r>
        <w:rPr>
          <w:rFonts w:hint="eastAsia" w:ascii="宋体" w:hAnsi="宋体" w:eastAsia="宋体" w:cs="宋体"/>
          <w:b/>
          <w:color w:val="auto"/>
          <w:sz w:val="20"/>
          <w:szCs w:val="20"/>
          <w:highlight w:val="none"/>
        </w:rPr>
      </w:r>
      <w:r/>
    </w:p>
    <w:p>
      <w:pPr>
        <w:rPr>
          <w:rFonts w:hint="eastAsia" w:ascii="宋体" w:hAnsi="宋体" w:eastAsia="宋体" w:cs="宋体"/>
          <w:b/>
          <w:color w:val="auto"/>
          <w:sz w:val="20"/>
          <w:szCs w:val="20"/>
          <w:highlight w:val="none"/>
        </w:rPr>
        <w:outlineLvl w:val="0"/>
      </w:pPr>
      <w:r>
        <w:rPr>
          <w:rFonts w:hint="eastAsia" w:ascii="宋体" w:hAnsi="宋体" w:eastAsia="宋体" w:cs="宋体"/>
          <w:b/>
          <w:color w:val="auto"/>
          <w:sz w:val="20"/>
          <w:szCs w:val="20"/>
          <w:highlight w:val="none"/>
        </w:rPr>
      </w:r>
      <w:r/>
    </w:p>
    <w:p>
      <w:pPr>
        <w:rPr>
          <w:rFonts w:hint="eastAsia" w:ascii="宋体" w:hAnsi="宋体" w:eastAsia="宋体" w:cs="宋体"/>
          <w:b/>
          <w:color w:val="auto"/>
          <w:spacing w:val="15"/>
          <w:sz w:val="18"/>
          <w:szCs w:val="18"/>
          <w:highlight w:val="none"/>
        </w:rPr>
        <w:outlineLvl w:val="0"/>
      </w:pPr>
      <w:r>
        <w:rPr>
          <w:rFonts w:hint="eastAsia" w:ascii="宋体" w:hAnsi="宋体" w:eastAsia="宋体" w:cs="宋体"/>
          <w:b/>
          <w:color w:val="auto"/>
          <w:sz w:val="20"/>
          <w:szCs w:val="20"/>
          <w:highlight w:val="none"/>
        </w:rPr>
        <w:t xml:space="preserve">目录二十</w:t>
      </w:r>
      <w:r>
        <w:rPr>
          <w:rFonts w:hint="eastAsia" w:ascii="宋体" w:hAnsi="宋体" w:eastAsia="宋体" w:cs="宋体"/>
          <w:b/>
          <w:color w:val="auto"/>
          <w:szCs w:val="21"/>
          <w:highlight w:val="none"/>
        </w:rPr>
        <w:t xml:space="preserve">、</w:t>
      </w:r>
      <w:r>
        <w:rPr>
          <w:rFonts w:hint="eastAsia" w:ascii="宋体" w:hAnsi="宋体" w:eastAsia="宋体" w:cs="宋体"/>
          <w:b/>
          <w:color w:val="auto"/>
          <w:spacing w:val="15"/>
          <w:szCs w:val="21"/>
          <w:highlight w:val="none"/>
        </w:rPr>
        <w:t xml:space="preserve">进口产品转让技术、消化吸收再创新方案</w:t>
      </w:r>
      <w:bookmarkEnd w:id="199"/>
      <w:r>
        <w:rPr>
          <w:rFonts w:hint="eastAsia" w:ascii="宋体" w:hAnsi="宋体" w:eastAsia="宋体" w:cs="宋体"/>
          <w:b/>
          <w:bCs/>
          <w:color w:val="auto"/>
          <w:szCs w:val="21"/>
          <w:highlight w:val="none"/>
        </w:rPr>
        <w:t xml:space="preserve">（若有）</w:t>
      </w:r>
      <w:bookmarkEnd w:id="200"/>
      <w:r/>
      <w:bookmarkEnd w:id="201"/>
      <w:r/>
      <w:r/>
    </w:p>
    <w:p>
      <w:pPr>
        <w:rPr>
          <w:rFonts w:hint="eastAsia" w:ascii="宋体" w:hAnsi="宋体" w:eastAsia="宋体" w:cs="宋体"/>
          <w:b/>
          <w:color w:val="auto"/>
          <w:spacing w:val="15"/>
          <w:szCs w:val="21"/>
          <w:highlight w:val="none"/>
        </w:rPr>
      </w:pPr>
      <w:r>
        <w:rPr>
          <w:rFonts w:hint="eastAsia" w:ascii="宋体" w:hAnsi="宋体" w:eastAsia="宋体" w:cs="宋体"/>
          <w:b/>
          <w:color w:val="auto"/>
          <w:spacing w:val="15"/>
          <w:szCs w:val="21"/>
          <w:highlight w:val="none"/>
        </w:rPr>
      </w:r>
      <w:r/>
    </w:p>
    <w:p>
      <w:pPr>
        <w:jc w:val="center"/>
        <w:rPr>
          <w:rFonts w:hint="eastAsia" w:ascii="宋体" w:hAnsi="宋体" w:eastAsia="宋体" w:cs="宋体"/>
          <w:b/>
          <w:color w:val="auto"/>
          <w:spacing w:val="15"/>
          <w:sz w:val="28"/>
          <w:szCs w:val="28"/>
          <w:highlight w:val="none"/>
        </w:rPr>
        <w:outlineLvl w:val="0"/>
      </w:pPr>
      <w:r/>
      <w:bookmarkStart w:id="202" w:name="_Toc1581"/>
      <w:r/>
      <w:bookmarkStart w:id="203" w:name="_Toc4958"/>
      <w:r>
        <w:rPr>
          <w:rFonts w:hint="eastAsia" w:ascii="宋体" w:hAnsi="宋体" w:eastAsia="宋体" w:cs="宋体"/>
          <w:b/>
          <w:color w:val="auto"/>
          <w:spacing w:val="15"/>
          <w:sz w:val="28"/>
          <w:szCs w:val="28"/>
          <w:highlight w:val="none"/>
        </w:rPr>
        <w:t xml:space="preserve">进口产品转让技术、消化吸收再创新方案</w:t>
      </w:r>
      <w:bookmarkEnd w:id="202"/>
      <w:r/>
      <w:bookmarkEnd w:id="203"/>
      <w:r/>
      <w:r/>
    </w:p>
    <w:p>
      <w:pPr>
        <w:jc w:val="center"/>
        <w:rPr>
          <w:rFonts w:hint="eastAsia" w:ascii="宋体" w:hAnsi="宋体" w:eastAsia="宋体" w:cs="宋体"/>
          <w:color w:val="auto"/>
          <w:spacing w:val="15"/>
          <w:szCs w:val="21"/>
          <w:highlight w:val="none"/>
        </w:rPr>
      </w:pPr>
      <w:r>
        <w:rPr>
          <w:rFonts w:hint="eastAsia" w:ascii="宋体" w:hAnsi="宋体" w:eastAsia="宋体" w:cs="宋体"/>
          <w:color w:val="auto"/>
          <w:spacing w:val="15"/>
          <w:szCs w:val="21"/>
          <w:highlight w:val="none"/>
        </w:rPr>
        <w:t xml:space="preserve">（对于允许进口产品参加的项目）</w:t>
      </w:r>
      <w:r/>
    </w:p>
    <w:p>
      <w:pPr>
        <w:rPr>
          <w:rFonts w:hint="eastAsia" w:ascii="宋体" w:hAnsi="宋体" w:eastAsia="宋体" w:cs="宋体"/>
          <w:b/>
          <w:color w:val="auto"/>
          <w:spacing w:val="15"/>
          <w:szCs w:val="21"/>
          <w:highlight w:val="none"/>
        </w:rPr>
      </w:pPr>
      <w:r>
        <w:rPr>
          <w:rFonts w:hint="eastAsia" w:ascii="宋体" w:hAnsi="宋体" w:eastAsia="宋体" w:cs="宋体"/>
          <w:b/>
          <w:color w:val="auto"/>
          <w:spacing w:val="15"/>
          <w:szCs w:val="21"/>
          <w:highlight w:val="none"/>
        </w:rPr>
      </w:r>
      <w:r/>
    </w:p>
    <w:p>
      <w:pPr>
        <w:rPr>
          <w:rFonts w:hint="eastAsia" w:ascii="宋体" w:hAnsi="宋体" w:eastAsia="宋体" w:cs="宋体"/>
          <w:b/>
          <w:color w:val="auto"/>
          <w:spacing w:val="15"/>
          <w:szCs w:val="21"/>
          <w:highlight w:val="none"/>
        </w:rPr>
      </w:pPr>
      <w:r>
        <w:rPr>
          <w:rFonts w:hint="eastAsia" w:ascii="宋体" w:hAnsi="宋体" w:eastAsia="宋体" w:cs="宋体"/>
          <w:b/>
          <w:color w:val="auto"/>
          <w:spacing w:val="15"/>
          <w:szCs w:val="21"/>
          <w:highlight w:val="none"/>
        </w:rPr>
      </w:r>
      <w:r/>
    </w:p>
    <w:p>
      <w:pPr>
        <w:rPr>
          <w:rFonts w:hint="eastAsia" w:ascii="宋体" w:hAnsi="宋体" w:eastAsia="宋体" w:cs="宋体"/>
          <w:b/>
          <w:color w:val="auto"/>
          <w:spacing w:val="15"/>
          <w:szCs w:val="21"/>
          <w:highlight w:val="none"/>
        </w:rPr>
      </w:pPr>
      <w:r>
        <w:rPr>
          <w:rFonts w:hint="eastAsia" w:ascii="宋体" w:hAnsi="宋体" w:eastAsia="宋体" w:cs="宋体"/>
          <w:b/>
          <w:color w:val="auto"/>
          <w:spacing w:val="15"/>
          <w:szCs w:val="21"/>
          <w:highlight w:val="none"/>
        </w:rPr>
      </w:r>
      <w:r/>
    </w:p>
    <w:p>
      <w:pPr>
        <w:rPr>
          <w:rFonts w:hint="eastAsia" w:ascii="宋体" w:hAnsi="宋体" w:eastAsia="宋体" w:cs="宋体"/>
          <w:b/>
          <w:color w:val="auto"/>
          <w:sz w:val="20"/>
          <w:szCs w:val="20"/>
          <w:highlight w:val="none"/>
        </w:rPr>
      </w:pPr>
      <w:r/>
      <w:bookmarkStart w:id="204" w:name="_Toc16216"/>
      <w:r/>
      <w:bookmarkStart w:id="205" w:name="_Toc27564"/>
      <w:r/>
      <w:bookmarkStart w:id="206" w:name="_Toc10970"/>
      <w:r>
        <w:rPr>
          <w:rFonts w:hint="eastAsia" w:ascii="宋体" w:hAnsi="宋体" w:eastAsia="宋体" w:cs="宋体"/>
          <w:b/>
          <w:color w:val="auto"/>
          <w:sz w:val="20"/>
          <w:szCs w:val="20"/>
          <w:highlight w:val="none"/>
        </w:rPr>
        <w:br w:type="page" w:clear="all"/>
      </w:r>
      <w:r/>
    </w:p>
    <w:p>
      <w:pPr>
        <w:ind w:left="0" w:right="0" w:firstLine="0"/>
        <w:jc w:val="both"/>
        <w:spacing w:before="0" w:after="0"/>
        <w:rPr>
          <w:rFonts w:hint="eastAsia" w:ascii="宋体" w:hAnsi="宋体" w:eastAsia="宋体" w:cs="宋体"/>
          <w:b/>
          <w:color w:val="auto"/>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rPr>
        <w:t xml:space="preserve">目录二十一</w:t>
      </w:r>
      <w:r>
        <w:rPr>
          <w:rFonts w:hint="eastAsia" w:ascii="宋体" w:hAnsi="Times New Roman" w:eastAsia="宋体" w:cs="Times New Roman"/>
          <w:b/>
          <w:bCs/>
          <w:color w:val="auto"/>
          <w:szCs w:val="21"/>
          <w:lang w:val="en-US" w:eastAsia="zh-CN"/>
        </w:rPr>
        <w:t xml:space="preserve">、</w:t>
      </w:r>
      <w:r>
        <w:rPr>
          <w:rFonts w:hint="eastAsia" w:ascii="宋体" w:hAnsi="宋体" w:eastAsia="宋体" w:cs="宋体"/>
          <w:b/>
          <w:color w:val="auto"/>
          <w:sz w:val="22"/>
        </w:rPr>
        <w:t xml:space="preserve">关于符合本国产品标准的声明函</w:t>
      </w:r>
      <w:r/>
    </w:p>
    <w:p>
      <w:pPr>
        <w:ind w:left="0" w:right="0" w:firstLine="0"/>
        <w:jc w:val="center"/>
        <w:keepLines w:val="0"/>
        <w:keepNext w:val="0"/>
        <w:pageBreakBefore w:val="0"/>
        <w:spacing w:before="0" w:after="0" w:line="360" w:lineRule="auto"/>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r>
      <w:r/>
    </w:p>
    <w:p>
      <w:pPr>
        <w:ind w:left="0" w:right="0" w:firstLine="0"/>
        <w:jc w:val="center"/>
        <w:keepLines w:val="0"/>
        <w:keepNext w:val="0"/>
        <w:pageBreakBefore w:val="0"/>
        <w:spacing w:before="0" w:after="0" w:line="360" w:lineRule="auto"/>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t xml:space="preserve">关于符合本国产品标准的声明函</w:t>
      </w:r>
      <w:r/>
    </w:p>
    <w:p>
      <w:pPr>
        <w:ind w:left="0" w:right="0" w:firstLine="0"/>
        <w:jc w:val="center"/>
        <w:keepLines w:val="0"/>
        <w:keepNext w:val="0"/>
        <w:pageBreakBefore w:val="0"/>
        <w:spacing w:before="0" w:after="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Arial" w:hAnsi="Arial" w:eastAsia="宋体" w:cs="Arial"/>
          <w:b/>
          <w:color w:val="auto"/>
          <w:sz w:val="24"/>
          <w:szCs w:val="24"/>
          <w:highlight w:val="none"/>
          <w:lang w:eastAsia="zh-CN"/>
        </w:rPr>
        <w:t xml:space="preserve">（</w:t>
      </w:r>
      <w:r>
        <w:rPr>
          <w:rFonts w:hint="eastAsia" w:ascii="Arial" w:hAnsi="Arial" w:eastAsia="宋体" w:cs="Arial"/>
          <w:b/>
          <w:color w:val="auto"/>
          <w:sz w:val="24"/>
          <w:szCs w:val="24"/>
          <w:highlight w:val="none"/>
          <w:lang w:val="zh-CN" w:eastAsia="zh-CN"/>
        </w:rPr>
        <w:t xml:space="preserve">本国产品标准适用于货物，</w:t>
      </w:r>
      <w:r>
        <w:rPr>
          <w:rFonts w:hint="eastAsia" w:ascii="Arial" w:hAnsi="Arial" w:eastAsia="宋体" w:cs="Arial"/>
          <w:b/>
          <w:color w:val="auto"/>
          <w:sz w:val="24"/>
          <w:szCs w:val="24"/>
          <w:highlight w:val="none"/>
          <w:lang w:val="en-US" w:eastAsia="zh-CN"/>
        </w:rPr>
        <w:t xml:space="preserve">本项目为服务无需提供</w:t>
      </w:r>
      <w:r>
        <w:rPr>
          <w:rFonts w:hint="eastAsia" w:ascii="Arial" w:hAnsi="Arial" w:eastAsia="宋体" w:cs="Arial"/>
          <w:b/>
          <w:color w:val="auto"/>
          <w:sz w:val="24"/>
          <w:szCs w:val="24"/>
          <w:highlight w:val="none"/>
          <w:lang w:eastAsia="zh-CN"/>
        </w:rPr>
        <w:t xml:space="preserve">）</w:t>
      </w:r>
      <w:r>
        <w:rPr>
          <w:rFonts w:ascii="Arial" w:hAnsi="Arial" w:eastAsia="Arial" w:cs="Arial"/>
          <w:b/>
          <w:color w:val="auto"/>
          <w:sz w:val="24"/>
          <w:szCs w:val="24"/>
          <w:highlight w:val="none"/>
        </w:rPr>
        <w:t xml:space="preserve"> </w:t>
      </w:r>
      <w:r/>
    </w:p>
    <w:p>
      <w:pPr>
        <w:ind w:left="0" w:right="0" w:firstLine="420"/>
        <w:keepLines w:val="0"/>
        <w:keepNext w:val="0"/>
        <w:pageBreakBefore w:val="0"/>
        <w:spacing w:before="0" w:after="0" w:line="360" w:lineRule="auto"/>
        <w:widowControl w:val="off"/>
        <w:rPr>
          <w:color w:val="auto"/>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szCs w:val="22"/>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keepLines w:val="0"/>
        <w:keepNext w:val="0"/>
        <w:pageBreakBefore w:val="0"/>
        <w:spacing w:before="30" w:after="30" w:line="360" w:lineRule="auto"/>
        <w:widowControl w:val="off"/>
        <w:rPr>
          <w:color w:val="auto"/>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szCs w:val="22"/>
          <w:highlight w:val="white"/>
        </w:rPr>
        <w:t xml:space="preserve">1.</w:t>
      </w:r>
      <w:r>
        <w:rPr>
          <w:rFonts w:ascii="宋体" w:hAnsi="宋体" w:eastAsia="宋体" w:cs="宋体"/>
          <w:color w:val="auto"/>
          <w:sz w:val="22"/>
          <w:szCs w:val="22"/>
          <w:highlight w:val="white"/>
          <w:u w:val="single"/>
        </w:rPr>
        <w:t xml:space="preserve">（产品名称1）</w:t>
      </w:r>
      <w:r>
        <w:rPr>
          <w:rFonts w:ascii="宋体" w:hAnsi="宋体" w:eastAsia="宋体" w:cs="宋体"/>
          <w:color w:val="auto"/>
          <w:sz w:val="22"/>
          <w:szCs w:val="22"/>
          <w:highlight w:val="white"/>
          <w:vertAlign w:val="superscript"/>
        </w:rPr>
        <w:t xml:space="preserve">1</w:t>
      </w:r>
      <w:r>
        <w:rPr>
          <w:rFonts w:ascii="宋体" w:hAnsi="宋体" w:eastAsia="宋体" w:cs="宋体"/>
          <w:color w:val="auto"/>
          <w:sz w:val="22"/>
          <w:szCs w:val="22"/>
          <w:highlight w:val="white"/>
        </w:rPr>
        <w:t xml:space="preserve">，生产厂为</w:t>
      </w:r>
      <w:r>
        <w:rPr>
          <w:rFonts w:ascii="宋体" w:hAnsi="宋体" w:eastAsia="宋体" w:cs="宋体"/>
          <w:color w:val="auto"/>
          <w:sz w:val="22"/>
          <w:szCs w:val="22"/>
          <w:highlight w:val="white"/>
          <w:u w:val="single"/>
        </w:rPr>
        <w:t xml:space="preserve">（厂名）</w:t>
      </w:r>
      <w:r>
        <w:rPr>
          <w:rFonts w:ascii="宋体" w:hAnsi="宋体" w:eastAsia="宋体" w:cs="宋体"/>
          <w:color w:val="auto"/>
          <w:sz w:val="22"/>
          <w:szCs w:val="22"/>
          <w:highlight w:val="white"/>
          <w:vertAlign w:val="superscript"/>
        </w:rPr>
        <w:t xml:space="preserve">2</w:t>
      </w:r>
      <w:r>
        <w:rPr>
          <w:rFonts w:ascii="宋体" w:hAnsi="宋体" w:eastAsia="宋体" w:cs="宋体"/>
          <w:color w:val="auto"/>
          <w:sz w:val="22"/>
          <w:szCs w:val="22"/>
          <w:highlight w:val="white"/>
        </w:rPr>
        <w:t xml:space="preserve">，厂址为</w:t>
      </w:r>
      <w:r>
        <w:rPr>
          <w:rFonts w:ascii="宋体" w:hAnsi="宋体" w:eastAsia="宋体" w:cs="宋体"/>
          <w:color w:val="auto"/>
          <w:sz w:val="22"/>
          <w:szCs w:val="22"/>
          <w:highlight w:val="white"/>
          <w:u w:val="single"/>
        </w:rPr>
        <w:t xml:space="preserve">（生产厂址）</w:t>
      </w:r>
      <w:r>
        <w:rPr>
          <w:rFonts w:ascii="宋体" w:hAnsi="宋体" w:eastAsia="宋体" w:cs="宋体"/>
          <w:color w:val="auto"/>
          <w:sz w:val="22"/>
          <w:szCs w:val="22"/>
          <w:highlight w:val="white"/>
        </w:rPr>
        <w:t xml:space="preserve">。</w:t>
      </w:r>
      <w:r>
        <w:rPr>
          <w:rFonts w:ascii="宋体" w:hAnsi="宋体" w:eastAsia="宋体" w:cs="宋体"/>
          <w:color w:val="auto"/>
          <w:sz w:val="22"/>
          <w:szCs w:val="22"/>
          <w:highlight w:val="white"/>
          <w:u w:val="single"/>
        </w:rPr>
        <w:t xml:space="preserve"> / </w:t>
      </w:r>
      <w:r>
        <w:rPr>
          <w:rFonts w:ascii="宋体" w:hAnsi="宋体" w:eastAsia="宋体" w:cs="宋体"/>
          <w:color w:val="auto"/>
          <w:sz w:val="22"/>
          <w:szCs w:val="22"/>
          <w:highlight w:val="white"/>
        </w:rPr>
        <w:t xml:space="preserve">的中国境内生产的组件成本占比≥</w:t>
      </w:r>
      <w:r>
        <w:rPr>
          <w:rFonts w:ascii="宋体" w:hAnsi="宋体" w:eastAsia="宋体" w:cs="宋体"/>
          <w:color w:val="auto"/>
          <w:sz w:val="22"/>
          <w:szCs w:val="22"/>
          <w:highlight w:val="white"/>
          <w:u w:val="single"/>
        </w:rPr>
        <w:t xml:space="preserve">  /  </w:t>
      </w:r>
      <w:r>
        <w:rPr>
          <w:rFonts w:ascii="宋体" w:hAnsi="宋体" w:eastAsia="宋体" w:cs="宋体"/>
          <w:color w:val="auto"/>
          <w:sz w:val="22"/>
          <w:szCs w:val="22"/>
          <w:highlight w:val="white"/>
          <w:vertAlign w:val="superscript"/>
        </w:rPr>
        <w:t xml:space="preserve">3</w:t>
      </w:r>
      <w:r>
        <w:rPr>
          <w:rFonts w:ascii="宋体" w:hAnsi="宋体" w:eastAsia="宋体" w:cs="宋体"/>
          <w:color w:val="auto"/>
          <w:sz w:val="22"/>
          <w:szCs w:val="22"/>
          <w:highlight w:val="white"/>
        </w:rPr>
        <w:t xml:space="preserve">。</w:t>
      </w:r>
      <w:r>
        <w:rPr>
          <w:rFonts w:ascii="宋体" w:hAnsi="宋体" w:eastAsia="宋体" w:cs="宋体"/>
          <w:color w:val="auto"/>
          <w:sz w:val="22"/>
          <w:szCs w:val="22"/>
          <w:highlight w:val="white"/>
          <w:u w:val="single"/>
        </w:rPr>
        <w:t xml:space="preserve">  /  </w:t>
      </w:r>
      <w:r>
        <w:rPr>
          <w:rFonts w:ascii="宋体" w:hAnsi="宋体" w:eastAsia="宋体" w:cs="宋体"/>
          <w:color w:val="auto"/>
          <w:sz w:val="22"/>
          <w:szCs w:val="22"/>
          <w:highlight w:val="white"/>
        </w:rPr>
        <w:t xml:space="preserve">的</w:t>
      </w:r>
      <w:r>
        <w:rPr>
          <w:rFonts w:ascii="宋体" w:hAnsi="宋体" w:eastAsia="宋体" w:cs="宋体"/>
          <w:color w:val="auto"/>
          <w:sz w:val="22"/>
          <w:szCs w:val="22"/>
          <w:highlight w:val="white"/>
          <w:u w:val="single"/>
        </w:rPr>
        <w:t xml:space="preserve">  /  </w:t>
      </w:r>
      <w:r>
        <w:rPr>
          <w:rFonts w:ascii="宋体" w:hAnsi="宋体" w:eastAsia="宋体" w:cs="宋体"/>
          <w:color w:val="auto"/>
          <w:sz w:val="22"/>
          <w:szCs w:val="22"/>
          <w:highlight w:val="white"/>
          <w:vertAlign w:val="superscript"/>
        </w:rPr>
        <w:t xml:space="preserve">4</w:t>
      </w:r>
      <w:r>
        <w:rPr>
          <w:rFonts w:ascii="宋体" w:hAnsi="宋体" w:eastAsia="宋体" w:cs="宋体"/>
          <w:color w:val="auto"/>
          <w:sz w:val="22"/>
          <w:szCs w:val="22"/>
          <w:highlight w:val="white"/>
        </w:rPr>
        <w:t xml:space="preserve">在中国境内生产。</w:t>
      </w:r>
      <w:r>
        <w:rPr>
          <w:rFonts w:ascii="宋体" w:hAnsi="宋体" w:eastAsia="宋体" w:cs="宋体"/>
          <w:color w:val="auto"/>
          <w:sz w:val="22"/>
          <w:szCs w:val="22"/>
          <w:highlight w:val="white"/>
          <w:u w:val="single"/>
        </w:rPr>
        <w:t xml:space="preserve">  /  </w:t>
      </w:r>
      <w:r>
        <w:rPr>
          <w:rFonts w:ascii="宋体" w:hAnsi="宋体" w:eastAsia="宋体" w:cs="宋体"/>
          <w:color w:val="auto"/>
          <w:sz w:val="22"/>
          <w:szCs w:val="22"/>
          <w:highlight w:val="white"/>
        </w:rPr>
        <w:t xml:space="preserve">的</w:t>
      </w:r>
      <w:r>
        <w:rPr>
          <w:rFonts w:ascii="宋体" w:hAnsi="宋体" w:eastAsia="宋体" w:cs="宋体"/>
          <w:color w:val="auto"/>
          <w:sz w:val="22"/>
          <w:szCs w:val="22"/>
          <w:highlight w:val="white"/>
          <w:u w:val="single"/>
        </w:rPr>
        <w:t xml:space="preserve">  /  </w:t>
      </w:r>
      <w:r>
        <w:rPr>
          <w:rFonts w:ascii="宋体" w:hAnsi="宋体" w:eastAsia="宋体" w:cs="宋体"/>
          <w:color w:val="auto"/>
          <w:sz w:val="22"/>
          <w:szCs w:val="22"/>
          <w:highlight w:val="white"/>
          <w:vertAlign w:val="superscript"/>
        </w:rPr>
        <w:t xml:space="preserve">5</w:t>
      </w:r>
      <w:r>
        <w:rPr>
          <w:rFonts w:ascii="宋体" w:hAnsi="宋体" w:eastAsia="宋体" w:cs="宋体"/>
          <w:color w:val="auto"/>
          <w:sz w:val="22"/>
          <w:szCs w:val="22"/>
          <w:highlight w:val="white"/>
        </w:rPr>
        <w:t xml:space="preserve">在中国境内完成。</w:t>
      </w:r>
      <w:r/>
    </w:p>
    <w:p>
      <w:pPr>
        <w:ind w:left="0" w:right="0" w:firstLine="420"/>
        <w:keepLines w:val="0"/>
        <w:keepNext w:val="0"/>
        <w:pageBreakBefore w:val="0"/>
        <w:spacing w:before="30" w:after="30" w:line="360" w:lineRule="auto"/>
        <w:widowControl w:val="off"/>
        <w:rPr>
          <w:color w:val="auto"/>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szCs w:val="22"/>
          <w:highlight w:val="white"/>
        </w:rPr>
        <w:t xml:space="preserve">2.</w:t>
      </w:r>
      <w:r>
        <w:rPr>
          <w:rFonts w:ascii="宋体" w:hAnsi="宋体" w:eastAsia="宋体" w:cs="宋体"/>
          <w:color w:val="auto"/>
          <w:sz w:val="22"/>
          <w:szCs w:val="22"/>
          <w:highlight w:val="white"/>
          <w:u w:val="single"/>
        </w:rPr>
        <w:t xml:space="preserve">（产品名称2）</w:t>
      </w:r>
      <w:r>
        <w:rPr>
          <w:rFonts w:ascii="宋体" w:hAnsi="宋体" w:eastAsia="宋体" w:cs="宋体"/>
          <w:color w:val="auto"/>
          <w:sz w:val="22"/>
          <w:szCs w:val="22"/>
          <w:highlight w:val="white"/>
        </w:rPr>
        <w:t xml:space="preserve">，生产厂为</w:t>
      </w:r>
      <w:r>
        <w:rPr>
          <w:rFonts w:ascii="宋体" w:hAnsi="宋体" w:eastAsia="宋体" w:cs="宋体"/>
          <w:color w:val="auto"/>
          <w:sz w:val="22"/>
          <w:szCs w:val="22"/>
          <w:highlight w:val="white"/>
          <w:u w:val="single"/>
        </w:rPr>
        <w:t xml:space="preserve">（厂名）</w:t>
      </w:r>
      <w:r>
        <w:rPr>
          <w:rFonts w:ascii="宋体" w:hAnsi="宋体" w:eastAsia="宋体" w:cs="宋体"/>
          <w:color w:val="auto"/>
          <w:sz w:val="22"/>
          <w:szCs w:val="22"/>
          <w:highlight w:val="white"/>
        </w:rPr>
        <w:t xml:space="preserve">，厂址为</w:t>
      </w:r>
      <w:r>
        <w:rPr>
          <w:rFonts w:ascii="宋体" w:hAnsi="宋体" w:eastAsia="宋体" w:cs="宋体"/>
          <w:color w:val="auto"/>
          <w:sz w:val="22"/>
          <w:szCs w:val="22"/>
          <w:highlight w:val="white"/>
          <w:u w:val="single"/>
        </w:rPr>
        <w:t xml:space="preserve">（生产厂址）</w:t>
      </w:r>
      <w:r>
        <w:rPr>
          <w:rFonts w:ascii="宋体" w:hAnsi="宋体" w:eastAsia="宋体" w:cs="宋体"/>
          <w:color w:val="auto"/>
          <w:sz w:val="22"/>
          <w:szCs w:val="22"/>
          <w:highlight w:val="white"/>
        </w:rPr>
        <w:t xml:space="preserve">。</w:t>
      </w:r>
      <w:r>
        <w:rPr>
          <w:rFonts w:ascii="宋体" w:hAnsi="宋体" w:eastAsia="宋体" w:cs="宋体"/>
          <w:color w:val="auto"/>
          <w:sz w:val="22"/>
          <w:szCs w:val="22"/>
          <w:highlight w:val="white"/>
          <w:u w:val="single"/>
        </w:rPr>
        <w:t xml:space="preserve"> /  </w:t>
      </w:r>
      <w:r>
        <w:rPr>
          <w:rFonts w:ascii="宋体" w:hAnsi="宋体" w:eastAsia="宋体" w:cs="宋体"/>
          <w:color w:val="auto"/>
          <w:sz w:val="22"/>
          <w:szCs w:val="22"/>
          <w:highlight w:val="white"/>
        </w:rPr>
        <w:t xml:space="preserve">的中国境内生产的组件成本占比≥</w:t>
      </w:r>
      <w:r>
        <w:rPr>
          <w:rFonts w:ascii="宋体" w:hAnsi="宋体" w:eastAsia="宋体" w:cs="宋体"/>
          <w:color w:val="auto"/>
          <w:sz w:val="22"/>
          <w:szCs w:val="22"/>
          <w:highlight w:val="white"/>
          <w:u w:val="single"/>
        </w:rPr>
        <w:t xml:space="preserve">  /  </w:t>
      </w:r>
      <w:r>
        <w:rPr>
          <w:rFonts w:ascii="宋体" w:hAnsi="宋体" w:eastAsia="宋体" w:cs="宋体"/>
          <w:color w:val="auto"/>
          <w:sz w:val="22"/>
          <w:szCs w:val="22"/>
          <w:highlight w:val="white"/>
        </w:rPr>
        <w:t xml:space="preserve">。</w:t>
      </w:r>
      <w:r>
        <w:rPr>
          <w:rFonts w:ascii="宋体" w:hAnsi="宋体" w:eastAsia="宋体" w:cs="宋体"/>
          <w:color w:val="auto"/>
          <w:sz w:val="22"/>
          <w:szCs w:val="22"/>
          <w:highlight w:val="white"/>
          <w:u w:val="single"/>
        </w:rPr>
        <w:t xml:space="preserve">  /  </w:t>
      </w:r>
      <w:r>
        <w:rPr>
          <w:rFonts w:ascii="宋体" w:hAnsi="宋体" w:eastAsia="宋体" w:cs="宋体"/>
          <w:color w:val="auto"/>
          <w:sz w:val="22"/>
          <w:szCs w:val="22"/>
          <w:highlight w:val="white"/>
        </w:rPr>
        <w:t xml:space="preserve">的</w:t>
      </w:r>
      <w:r>
        <w:rPr>
          <w:rFonts w:ascii="宋体" w:hAnsi="宋体" w:eastAsia="宋体" w:cs="宋体"/>
          <w:color w:val="auto"/>
          <w:sz w:val="22"/>
          <w:szCs w:val="22"/>
          <w:highlight w:val="white"/>
          <w:u w:val="single"/>
        </w:rPr>
        <w:t xml:space="preserve">  /  </w:t>
      </w:r>
      <w:r>
        <w:rPr>
          <w:rFonts w:ascii="宋体" w:hAnsi="宋体" w:eastAsia="宋体" w:cs="宋体"/>
          <w:color w:val="auto"/>
          <w:sz w:val="22"/>
          <w:szCs w:val="22"/>
          <w:highlight w:val="white"/>
        </w:rPr>
        <w:t xml:space="preserve">在中国境内生产。</w:t>
      </w:r>
      <w:r>
        <w:rPr>
          <w:rFonts w:ascii="宋体" w:hAnsi="宋体" w:eastAsia="宋体" w:cs="宋体"/>
          <w:color w:val="auto"/>
          <w:sz w:val="22"/>
          <w:szCs w:val="22"/>
          <w:highlight w:val="white"/>
          <w:u w:val="single"/>
        </w:rPr>
        <w:t xml:space="preserve">  /  </w:t>
      </w:r>
      <w:r>
        <w:rPr>
          <w:rFonts w:ascii="宋体" w:hAnsi="宋体" w:eastAsia="宋体" w:cs="宋体"/>
          <w:color w:val="auto"/>
          <w:sz w:val="22"/>
          <w:szCs w:val="22"/>
          <w:highlight w:val="white"/>
        </w:rPr>
        <w:t xml:space="preserve">的</w:t>
      </w:r>
      <w:r>
        <w:rPr>
          <w:rFonts w:ascii="宋体" w:hAnsi="宋体" w:eastAsia="宋体" w:cs="宋体"/>
          <w:color w:val="auto"/>
          <w:sz w:val="22"/>
          <w:szCs w:val="22"/>
          <w:highlight w:val="white"/>
          <w:u w:val="single"/>
        </w:rPr>
        <w:t xml:space="preserve">  /  </w:t>
      </w:r>
      <w:r>
        <w:rPr>
          <w:rFonts w:ascii="宋体" w:hAnsi="宋体" w:eastAsia="宋体" w:cs="宋体"/>
          <w:color w:val="auto"/>
          <w:sz w:val="22"/>
          <w:szCs w:val="22"/>
          <w:highlight w:val="white"/>
        </w:rPr>
        <w:t xml:space="preserve">在中国境内完成。</w:t>
      </w:r>
      <w:r/>
    </w:p>
    <w:p>
      <w:pPr>
        <w:ind w:left="0" w:right="0" w:firstLine="420"/>
        <w:keepLines w:val="0"/>
        <w:keepNext w:val="0"/>
        <w:pageBreakBefore w:val="0"/>
        <w:spacing w:before="30" w:after="30" w:line="360" w:lineRule="auto"/>
        <w:widowControl w:val="off"/>
        <w:rPr>
          <w:color w:val="auto"/>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szCs w:val="22"/>
          <w:highlight w:val="white"/>
        </w:rPr>
        <w:t xml:space="preserve">……</w:t>
      </w:r>
      <w:r/>
    </w:p>
    <w:p>
      <w:pPr>
        <w:ind w:left="0" w:right="0" w:firstLine="420"/>
        <w:keepLines w:val="0"/>
        <w:keepNext w:val="0"/>
        <w:pageBreakBefore w:val="0"/>
        <w:spacing w:before="30" w:after="30" w:line="360" w:lineRule="auto"/>
        <w:widowControl w:val="off"/>
        <w:rPr>
          <w:color w:val="auto"/>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szCs w:val="22"/>
          <w:highlight w:val="white"/>
        </w:rPr>
        <w:t xml:space="preserve">本公司（单位）对上述声明内容的真实性负责。如有虚假，愿承担相应法律责任。</w:t>
      </w:r>
      <w:r/>
    </w:p>
    <w:p>
      <w:pPr>
        <w:ind w:left="0" w:right="0" w:firstLine="0"/>
        <w:keepLines w:val="0"/>
        <w:keepNext w:val="0"/>
        <w:pageBreakBefore w:val="0"/>
        <w:spacing w:before="30" w:after="30" w:line="360" w:lineRule="auto"/>
        <w:widowControl w:val="off"/>
        <w:rPr>
          <w:color w:val="auto"/>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szCs w:val="22"/>
        </w:rPr>
        <w:t xml:space="preserve"> </w:t>
      </w:r>
      <w:r/>
    </w:p>
    <w:p>
      <w:pPr>
        <w:ind w:left="0" w:right="0" w:firstLine="0"/>
        <w:jc w:val="right"/>
        <w:keepLines w:val="0"/>
        <w:keepNext w:val="0"/>
        <w:pageBreakBefore w:val="0"/>
        <w:spacing w:before="30" w:after="30" w:line="360" w:lineRule="auto"/>
        <w:widowControl w:val="off"/>
        <w:rPr>
          <w:color w:val="auto"/>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szCs w:val="22"/>
          <w:highlight w:val="white"/>
        </w:rPr>
        <w:t xml:space="preserve">   公司（单位）名称</w:t>
      </w:r>
      <w:r>
        <w:rPr>
          <w:rFonts w:hint="eastAsia" w:ascii="宋体" w:hAnsi="宋体" w:eastAsia="宋体" w:cs="宋体"/>
          <w:color w:val="auto"/>
          <w:sz w:val="22"/>
          <w:szCs w:val="22"/>
          <w:highlight w:val="white"/>
        </w:rPr>
        <w:t xml:space="preserve">（加盖公章扫描上传或电子签章）</w:t>
      </w:r>
      <w:r>
        <w:rPr>
          <w:rFonts w:ascii="宋体" w:hAnsi="宋体" w:eastAsia="宋体" w:cs="宋体"/>
          <w:color w:val="auto"/>
          <w:sz w:val="22"/>
          <w:szCs w:val="22"/>
          <w:highlight w:val="white"/>
        </w:rPr>
        <w:t xml:space="preserve">：　        </w:t>
      </w:r>
      <w:r/>
    </w:p>
    <w:p>
      <w:pPr>
        <w:ind w:left="0" w:right="0" w:firstLine="0"/>
        <w:jc w:val="center"/>
        <w:keepLines w:val="0"/>
        <w:keepNext w:val="0"/>
        <w:pageBreakBefore w:val="0"/>
        <w:spacing w:before="30" w:after="30" w:line="360" w:lineRule="auto"/>
        <w:widowControl w:val="off"/>
        <w:rPr>
          <w:color w:val="auto"/>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szCs w:val="22"/>
          <w:highlight w:val="white"/>
        </w:rPr>
        <w:t xml:space="preserve">     日期：</w:t>
      </w:r>
      <w:r>
        <w:rPr>
          <w:rFonts w:ascii="宋体" w:hAnsi="宋体" w:eastAsia="宋体" w:cs="宋体"/>
          <w:color w:val="auto"/>
          <w:sz w:val="22"/>
          <w:szCs w:val="22"/>
        </w:rPr>
        <w:t xml:space="preserve">___年____月____日</w:t>
      </w:r>
      <w:r/>
    </w:p>
    <w:p>
      <w:pPr>
        <w:ind w:left="0" w:right="0" w:firstLine="0"/>
        <w:keepLines w:val="0"/>
        <w:keepNext w:val="0"/>
        <w:pageBreakBefore w:val="0"/>
        <w:spacing w:before="30" w:after="30" w:line="360" w:lineRule="auto"/>
        <w:widowControl w:val="off"/>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white"/>
        </w:rPr>
        <w:t xml:space="preserve">1.产品如有型号，请在“产品名称”栏一并填写。</w:t>
      </w:r>
      <w:r/>
    </w:p>
    <w:p>
      <w:pPr>
        <w:ind w:left="0" w:right="0" w:firstLine="0"/>
        <w:keepLines w:val="0"/>
        <w:keepNext w:val="0"/>
        <w:pageBreakBefore w:val="0"/>
        <w:spacing w:before="30" w:after="30" w:line="360" w:lineRule="auto"/>
        <w:widowControl w:val="off"/>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white"/>
        </w:rPr>
        <w:t xml:space="preserve">2.生产厂名与厂址应与生产厂营业执照载明的相关信息保持一致。</w:t>
      </w:r>
      <w:r/>
    </w:p>
    <w:p>
      <w:pPr>
        <w:ind w:left="0" w:right="0" w:firstLine="0"/>
        <w:keepLines w:val="0"/>
        <w:keepNext w:val="0"/>
        <w:pageBreakBefore w:val="0"/>
        <w:spacing w:before="30" w:after="30" w:line="360" w:lineRule="auto"/>
        <w:widowControl w:val="off"/>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white"/>
        </w:rPr>
        <w:t xml:space="preserve">3.该产品的中国境内生产的组件成本占比相关要求实施前，“规定比例”栏可不填，下同。</w:t>
      </w:r>
      <w:r/>
    </w:p>
    <w:p>
      <w:pPr>
        <w:ind w:left="0" w:right="0" w:firstLine="0"/>
        <w:keepLines w:val="0"/>
        <w:keepNext w:val="0"/>
        <w:pageBreakBefore w:val="0"/>
        <w:spacing w:before="30" w:after="30" w:line="360" w:lineRule="auto"/>
        <w:widowControl w:val="off"/>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white"/>
        </w:rPr>
        <w:t xml:space="preserve">4.该产品的关键组件要求实施前，“关键组件”栏可不填，下同。</w:t>
      </w:r>
      <w:r/>
    </w:p>
    <w:p>
      <w:pPr>
        <w:ind w:left="0" w:right="0" w:firstLine="0"/>
        <w:keepLines w:val="0"/>
        <w:keepNext w:val="0"/>
        <w:pageBreakBefore w:val="0"/>
        <w:spacing w:before="30" w:after="30" w:line="360" w:lineRule="auto"/>
        <w:widowControl w:val="off"/>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white"/>
        </w:rPr>
        <w:t xml:space="preserve">5.该产品的关键工序要求实施前，“关键工序”栏可不填，下同。</w:t>
      </w:r>
      <w:r/>
    </w:p>
    <w:p>
      <w:pPr>
        <w:ind w:left="0" w:right="0" w:firstLine="0"/>
        <w:keepLines w:val="0"/>
        <w:keepNext w:val="0"/>
        <w:pageBreakBefore w:val="0"/>
        <w:spacing w:before="30" w:after="30" w:line="360" w:lineRule="auto"/>
        <w:widowControl w:val="off"/>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white"/>
        </w:rPr>
        <w:t xml:space="preserve">6.《声明函》中标注“</w:t>
      </w:r>
      <w:r>
        <w:rPr>
          <w:rFonts w:ascii="宋体" w:hAnsi="宋体" w:eastAsia="宋体" w:cs="宋体"/>
          <w:color w:val="auto"/>
          <w:sz w:val="21"/>
          <w:szCs w:val="21"/>
          <w:highlight w:val="white"/>
          <w:u w:val="single"/>
        </w:rPr>
        <w:t xml:space="preserve">  /  </w:t>
      </w:r>
      <w:r>
        <w:rPr>
          <w:rFonts w:ascii="宋体" w:hAnsi="宋体" w:eastAsia="宋体" w:cs="宋体"/>
          <w:color w:val="auto"/>
          <w:sz w:val="21"/>
          <w:szCs w:val="21"/>
          <w:highlight w:val="white"/>
        </w:rPr>
        <w:t xml:space="preserve">”的地方无需填写。</w:t>
      </w:r>
      <w:r/>
    </w:p>
    <w:p>
      <w:pPr>
        <w:spacing w:line="360" w:lineRule="auto"/>
        <w:rPr>
          <w:rFonts w:ascii="宋体" w:hAnsi="Times New Roman" w:eastAsia="宋体" w:cs="Times New Roman"/>
          <w:b/>
          <w:bCs/>
          <w:color w:val="auto"/>
          <w:szCs w:val="21"/>
          <w:lang w:val="en-US" w:eastAsia="zh-CN"/>
        </w:rPr>
        <w:outlineLvl w:val="1"/>
      </w:pPr>
      <w:r>
        <w:rPr>
          <w:rFonts w:ascii="宋体" w:hAnsi="Times New Roman" w:eastAsia="宋体" w:cs="Times New Roman"/>
          <w:b/>
          <w:bCs/>
          <w:color w:val="auto"/>
          <w:szCs w:val="21"/>
          <w:lang w:val="en-US" w:eastAsia="zh-CN"/>
        </w:rPr>
      </w:r>
      <w:r/>
    </w:p>
    <w:p>
      <w:pPr>
        <w:rPr>
          <w:rFonts w:hint="eastAsia" w:ascii="宋体" w:hAnsi="宋体" w:eastAsia="宋体" w:cs="宋体"/>
          <w:b/>
          <w:color w:val="auto"/>
          <w:sz w:val="20"/>
          <w:szCs w:val="20"/>
          <w:highlight w:val="none"/>
        </w:rPr>
        <w:outlineLvl w:val="0"/>
      </w:pPr>
      <w:r>
        <w:rPr>
          <w:rFonts w:hint="eastAsia" w:ascii="宋体" w:hAnsi="宋体" w:eastAsia="宋体" w:cs="宋体"/>
          <w:b/>
          <w:color w:val="auto"/>
          <w:sz w:val="20"/>
          <w:szCs w:val="20"/>
          <w:highlight w:val="none"/>
        </w:rPr>
      </w:r>
      <w:r/>
    </w:p>
    <w:p>
      <w:pPr>
        <w:rPr>
          <w:rFonts w:hint="eastAsia" w:ascii="宋体" w:hAnsi="宋体" w:eastAsia="宋体" w:cs="宋体"/>
          <w:b/>
          <w:color w:val="auto"/>
          <w:spacing w:val="15"/>
          <w:sz w:val="18"/>
          <w:szCs w:val="18"/>
          <w:highlight w:val="none"/>
        </w:rPr>
        <w:outlineLvl w:val="0"/>
      </w:pPr>
      <w:r>
        <w:rPr>
          <w:rFonts w:hint="eastAsia" w:ascii="宋体" w:hAnsi="宋体" w:eastAsia="宋体" w:cs="宋体"/>
          <w:b/>
          <w:color w:val="auto"/>
          <w:sz w:val="20"/>
          <w:szCs w:val="20"/>
          <w:highlight w:val="none"/>
        </w:rPr>
        <w:t xml:space="preserve">目录二十</w:t>
      </w:r>
      <w:r>
        <w:rPr>
          <w:rFonts w:hint="eastAsia" w:ascii="宋体" w:hAnsi="宋体" w:eastAsia="宋体" w:cs="宋体"/>
          <w:b/>
          <w:color w:val="auto"/>
          <w:sz w:val="20"/>
          <w:szCs w:val="20"/>
          <w:highlight w:val="none"/>
          <w:lang w:val="en-US" w:eastAsia="zh-CN"/>
        </w:rPr>
        <w:t xml:space="preserve">二</w:t>
      </w:r>
      <w:r>
        <w:rPr>
          <w:rFonts w:hint="eastAsia" w:ascii="宋体" w:hAnsi="宋体" w:eastAsia="宋体" w:cs="宋体"/>
          <w:b/>
          <w:color w:val="auto"/>
          <w:szCs w:val="21"/>
          <w:highlight w:val="none"/>
        </w:rPr>
        <w:t xml:space="preserve">、</w:t>
      </w:r>
      <w:r>
        <w:rPr>
          <w:rFonts w:hint="eastAsia" w:ascii="宋体" w:hAnsi="宋体" w:eastAsia="宋体" w:cs="宋体"/>
          <w:b/>
          <w:color w:val="auto"/>
          <w:spacing w:val="15"/>
          <w:szCs w:val="21"/>
          <w:highlight w:val="none"/>
        </w:rPr>
        <w:t xml:space="preserve">投标人认为需提供的其他资料</w:t>
      </w:r>
      <w:bookmarkEnd w:id="204"/>
      <w:r>
        <w:rPr>
          <w:rFonts w:hint="eastAsia" w:ascii="宋体" w:hAnsi="宋体" w:eastAsia="宋体" w:cs="宋体"/>
          <w:b/>
          <w:bCs/>
          <w:color w:val="auto"/>
          <w:szCs w:val="21"/>
          <w:highlight w:val="none"/>
        </w:rPr>
        <w:t xml:space="preserve">（若有）</w:t>
      </w:r>
      <w:bookmarkEnd w:id="205"/>
      <w:r/>
      <w:bookmarkEnd w:id="206"/>
      <w:r/>
      <w:r/>
    </w:p>
    <w:p>
      <w:pPr>
        <w:rPr>
          <w:rFonts w:hint="eastAsia" w:ascii="宋体" w:hAnsi="宋体" w:eastAsia="宋体" w:cs="宋体"/>
          <w:b/>
          <w:color w:val="auto"/>
          <w:spacing w:val="15"/>
          <w:szCs w:val="21"/>
          <w:highlight w:val="none"/>
        </w:rPr>
      </w:pPr>
      <w:r>
        <w:rPr>
          <w:rFonts w:hint="eastAsia" w:ascii="宋体" w:hAnsi="宋体" w:eastAsia="宋体" w:cs="宋体"/>
          <w:b/>
          <w:color w:val="auto"/>
          <w:spacing w:val="15"/>
          <w:szCs w:val="21"/>
          <w:highlight w:val="none"/>
        </w:rPr>
      </w:r>
      <w:r/>
    </w:p>
    <w:p>
      <w:pPr>
        <w:pStyle w:val="914"/>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sectPr>
      <w:headerReference w:type="default" r:id="rId14"/>
      <w:footerReference w:type="default" r:id="rId18"/>
      <w:footnotePr/>
      <w:endnotePr/>
      <w:type w:val="nextPage"/>
      <w:pgSz w:w="11906" w:h="16838" w:orient="portrait"/>
      <w:pgMar w:top="1440" w:right="1247" w:bottom="1440" w:left="124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Arial Unicode MS">
    <w:panose1 w:val="020B0604020202020204"/>
  </w:font>
  <w:font w:name="等线">
    <w:panose1 w:val="02010600030101010101"/>
  </w:font>
  <w:font w:name="Symbol">
    <w:panose1 w:val="05050102010706020507"/>
  </w:font>
  <w:font w:name="KNLe">
    <w:panose1 w:val="020B0503020202020204"/>
  </w:font>
  <w:font w:name="Wingdings">
    <w:panose1 w:val="05000000000000000000"/>
  </w:font>
  <w:font w:name="华文楷体">
    <w:panose1 w:val="02010600040101010101"/>
  </w:font>
  <w:font w:name="华文细黑">
    <w:panose1 w:val="02010600040101010101"/>
  </w:font>
  <w:font w:name="汉仪大黑简">
    <w:panose1 w:val="020B0503020202020204"/>
  </w:font>
  <w:font w:name="文鼎CS中宋">
    <w:panose1 w:val="020B0503020202020204"/>
  </w:font>
  <w:font w:name="Tahoma">
    <w:panose1 w:val="020B0604030504040204"/>
  </w:font>
  <w:font w:name="TimesNewRomanPSMT">
    <w:panose1 w:val="02020603050405020304"/>
  </w:font>
  <w:font w:name="FZHTJW--GB1-0">
    <w:panose1 w:val="020B0503020202020204"/>
  </w:font>
  <w:font w:name="ˎ̥">
    <w:panose1 w:val="020B0503020202020204"/>
  </w:font>
  <w:font w:name="楷体_GB2312">
    <w:panose1 w:val="02010609060101010101"/>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FZFSJW--GB1-0">
    <w:panose1 w:val="020B0503020202020204"/>
  </w:font>
  <w:font w:name="Arial">
    <w:panose1 w:val="020B0604020202020204"/>
  </w:font>
  <w:font w:name="微软雅黑">
    <w:panose1 w:val="020B0503020204020204"/>
  </w:font>
  <w:font w:name="Calibri">
    <w:panose1 w:val="020F0502020204030204"/>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sz w:val="18"/>
        <w:szCs w:val="18"/>
      </w:rPr>
    </w:pPr>
    <w:r>
      <w:rPr>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jc w:val="left"/>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49</w:t>
                          </w:r>
                          <w:r>
                            <w:rPr>
                              <w:sz w:val="18"/>
                              <w:szCs w:val="18"/>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49</w:t>
                    </w:r>
                    <w:r>
                      <w:rPr>
                        <w:sz w:val="18"/>
                        <w:szCs w:val="18"/>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sz w:val="18"/>
        <w:szCs w:val="18"/>
      </w:rPr>
    </w:pPr>
    <w:r>
      <w:rPr>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a:effectLst/>
                    </wps:spPr>
                    <wps:txbx>
                      <w:txbxContent>
                        <w:p>
                          <w:pPr>
                            <w:jc w:val="left"/>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81</w:t>
                          </w:r>
                          <w:r>
                            <w:rPr>
                              <w:sz w:val="18"/>
                              <w:szCs w:val="18"/>
                            </w:rPr>
                            <w:fldChar w:fldCharType="end"/>
                          </w:r>
                          <w:r/>
                        </w:p>
                      </w:txbxContent>
                    </wps:txbx>
                    <wps:bodyPr vert="horz" wrap="none" lIns="0" tIns="0" rIns="0" bIns="0" anchor="t">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jc w:val="left"/>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81</w:t>
                    </w:r>
                    <w:r>
                      <w:rPr>
                        <w:sz w:val="18"/>
                        <w:szCs w:val="18"/>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sz w:val="18"/>
        <w:szCs w:val="18"/>
      </w:rPr>
    </w:pPr>
    <w:r>
      <w:rPr>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jc w:val="left"/>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89</w:t>
                          </w:r>
                          <w:r>
                            <w:rPr>
                              <w:sz w:val="18"/>
                              <w:szCs w:val="18"/>
                            </w:rPr>
                            <w:fldChar w:fldCharType="end"/>
                          </w:r>
                          <w:r/>
                        </w:p>
                      </w:txbxContent>
                    </wps:txbx>
                    <wps:bodyPr vert="horz" wrap="none" lIns="0" tIns="0" rIns="0" bIns="0" anchor="t" anchorCtr="0" upright="1">
                      <a:spAutoFit/>
                    </wps:bodyPr>
                  </wps:wsp>
                </a:graphicData>
              </a:graphic>
            </wp:anchor>
          </w:drawing>
        </mc:Choice>
        <mc:Fallback>
          <w:pict>
            <v:shape id="shape 7" o:spid="_x0000_s7"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jc w:val="left"/>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89</w:t>
                    </w:r>
                    <w:r>
                      <w:rPr>
                        <w:sz w:val="18"/>
                        <w:szCs w:val="18"/>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2"/>
                          </w:pPr>
                          <w:r>
                            <w:fldChar w:fldCharType="begin"/>
                          </w:r>
                          <w:r>
                            <w:instrText xml:space="preserve"> PAGE  \* MERGEFORMAT </w:instrText>
                          </w:r>
                          <w:r>
                            <w:fldChar w:fldCharType="separate"/>
                          </w:r>
                          <w:r>
                            <w:t xml:space="preserve">75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8" o:spid="_x0000_s8"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2"/>
                    </w:pPr>
                    <w:r>
                      <w:fldChar w:fldCharType="begin"/>
                    </w:r>
                    <w:r>
                      <w:instrText xml:space="preserve"> PAGE  \* MERGEFORMAT </w:instrText>
                    </w:r>
                    <w:r>
                      <w:fldChar w:fldCharType="separate"/>
                    </w:r>
                    <w:r>
                      <w:t xml:space="preserve">75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pBdr>
        <w:top w:val="none" w:color="000000" w:sz="0" w:space="1"/>
        <w:left w:val="none" w:color="000000" w:sz="0" w:space="4"/>
        <w:right w:val="none" w:color="000000" w:sz="0" w:space="4"/>
      </w:pBdr>
    </w:pPr>
    <w:r>
      <w:rPr>
        <w:rFonts w:hint="eastAsia"/>
      </w:rPr>
      <mc:AlternateContent>
        <mc:Choice Requires="wpg">
          <w:drawing>
            <wp:inline xmlns:wp="http://schemas.openxmlformats.org/drawingml/2006/wordprocessingDrawing" distT="0" distB="0" distL="0" distR="0">
              <wp:extent cx="1050290" cy="254635"/>
              <wp:effectExtent l="0" t="0" r="0" b="3810"/>
              <wp:docPr id="1" name="图片 1373909582"/>
              <wp:cNvGraphicFramePr/>
              <a:graphic xmlns:a="http://schemas.openxmlformats.org/drawingml/2006/main">
                <a:graphicData uri="http://schemas.openxmlformats.org/drawingml/2006/picture">
                  <pic:pic xmlns:pic="http://schemas.openxmlformats.org/drawingml/2006/picture">
                    <pic:nvPicPr>
                      <pic:cNvPr id="1" name="图片 1373909582"/>
                      <pic:cNvPicPr/>
                      <pic:nvPr/>
                    </pic:nvPicPr>
                    <pic:blipFill>
                      <a:blip r:embed="rId1"/>
                      <a:stretch/>
                    </pic:blipFill>
                    <pic:spPr bwMode="auto">
                      <a:xfrm>
                        <a:off x="0" y="0"/>
                        <a:ext cx="1050508" cy="2548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2.7pt;height:20.1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sz w:val="13"/>
        <w:szCs w:val="15"/>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left"/>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180"/>
      <w:jc w:val="left"/>
      <w:tabs>
        <w:tab w:val="left" w:pos="7293" w:leader="none"/>
        <w:tab w:val="right" w:pos="9578" w:leader="none"/>
      </w:tabs>
      <w:rPr>
        <w:i/>
        <w:sz w:val="18"/>
        <w:szCs w:val="18"/>
        <w:u w:val="single"/>
      </w:rPr>
      <w:pBdr>
        <w:bottom w:val="none" w:color="auto" w:sz="0" w:space="1"/>
      </w:pBdr>
    </w:pPr>
    <w:r>
      <w:rPr>
        <w:rFonts w:hint="eastAsia" w:eastAsia="宋体"/>
        <w:u w:val="single"/>
        <w:lang w:eastAsia="zh-CN"/>
      </w:rPr>
      <w:tab/>
    </w:r>
    <w:r>
      <w:rPr>
        <w:rFonts w:hint="eastAsia" w:eastAsia="宋体"/>
        <w:u w:val="single"/>
        <w:lang w:val="en-US" w:eastAsia="zh-CN"/>
      </w:rPr>
      <w:t xml:space="preserve"> </w:t>
    </w:r>
    <w:r>
      <w:rPr>
        <w:rFonts w:hint="eastAsia" w:eastAsia="宋体"/>
        <w:u w:val="single"/>
        <w:lang w:eastAsia="zh-CN"/>
      </w:rPr>
      <w:tab/>
    </w:r>
    <w:r>
      <w:rPr>
        <w:u w:val="single"/>
      </w:rPr>
      <mc:AlternateContent>
        <mc:Choice Requires="wpg">
          <w:drawing>
            <wp:inline xmlns:wp="http://schemas.openxmlformats.org/drawingml/2006/wordprocessingDrawing" distT="0" distB="0" distL="0" distR="0">
              <wp:extent cx="729615" cy="205740"/>
              <wp:effectExtent l="0" t="0" r="6985" b="10160"/>
              <wp:docPr id="2" name="图片 1857635056" descr="24f2a38a0f81217625c6ac78bad6ff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857635056" descr="24f2a38a0f81217625c6ac78bad6ffb"/>
                      <pic:cNvPicPr>
                        <a:picLocks noChangeAspect="1"/>
                      </pic:cNvPicPr>
                      <pic:nvPr/>
                    </pic:nvPicPr>
                    <pic:blipFill>
                      <a:blip r:embed="rId1"/>
                      <a:stretch/>
                    </pic:blipFill>
                    <pic:spPr bwMode="auto">
                      <a:xfrm>
                        <a:off x="0" y="0"/>
                        <a:ext cx="729615" cy="2057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7.4pt;height:16.2pt;mso-wrap-distance-left:0.0pt;mso-wrap-distance-top:0.0pt;mso-wrap-distance-right:0.0pt;mso-wrap-distance-bottom:0.0pt;" stroked="false">
              <v:path textboxrect="0,0,0,0"/>
              <v:imagedata r:id="rId1" o:title=""/>
            </v:shape>
          </w:pict>
        </mc:Fallback>
      </mc:AlternateConten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180"/>
      <w:jc w:val="right"/>
      <w:tabs>
        <w:tab w:val="left" w:pos="7293" w:leader="none"/>
        <w:tab w:val="right" w:pos="9578" w:leader="none"/>
      </w:tabs>
      <w:rPr>
        <w:i/>
        <w:sz w:val="18"/>
        <w:szCs w:val="18"/>
        <w:u w:val="single"/>
      </w:rPr>
      <w:pBdr>
        <w:bottom w:val="none" w:color="auto" w:sz="0" w:space="1"/>
      </w:pBdr>
    </w:pPr>
    <w:r>
      <w:rPr>
        <w:rFonts w:hint="eastAsia" w:eastAsia="宋体"/>
        <w:u w:val="single"/>
        <w:lang w:val="en-US" w:eastAsia="zh-CN"/>
      </w:rPr>
      <w:t xml:space="preserve">                                                                              </w:t>
    </w:r>
    <w:r>
      <w:rPr>
        <w:u w:val="single"/>
      </w:rPr>
      <mc:AlternateContent>
        <mc:Choice Requires="wpg">
          <w:drawing>
            <wp:inline xmlns:wp="http://schemas.openxmlformats.org/drawingml/2006/wordprocessingDrawing" distT="0" distB="0" distL="0" distR="0">
              <wp:extent cx="729615" cy="205740"/>
              <wp:effectExtent l="0" t="0" r="6985" b="10160"/>
              <wp:docPr id="3" name="图片 1857635056" descr="24f2a38a0f81217625c6ac78bad6ff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1857635056" descr="24f2a38a0f81217625c6ac78bad6ffb"/>
                      <pic:cNvPicPr>
                        <a:picLocks noChangeAspect="1"/>
                      </pic:cNvPicPr>
                      <pic:nvPr/>
                    </pic:nvPicPr>
                    <pic:blipFill>
                      <a:blip r:embed="rId1"/>
                      <a:stretch/>
                    </pic:blipFill>
                    <pic:spPr bwMode="auto">
                      <a:xfrm>
                        <a:off x="0" y="0"/>
                        <a:ext cx="729615" cy="2057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7.4pt;height:16.2pt;mso-wrap-distance-left:0.0pt;mso-wrap-distance-top:0.0pt;mso-wrap-distance-right:0.0pt;mso-wrap-distance-bottom:0.0pt;" stroked="false">
              <v:path textboxrect="0,0,0,0"/>
              <v:imagedata r:id="rId1" o:title=""/>
            </v:shape>
          </w:pict>
        </mc:Fallback>
      </mc:AlternateContent>
    </w:r>
    <w:r/>
  </w:p>
  <w:p>
    <w:pPr>
      <w:jc w:val="right"/>
      <w:rPr>
        <w:i/>
        <w:sz w:val="18"/>
        <w:szCs w:val="18"/>
      </w:rPr>
      <w:pBdr>
        <w:bottom w:val="none" w:color="auto" w:sz="0" w:space="1"/>
      </w:pBdr>
    </w:pPr>
    <w:r>
      <w:rPr>
        <w:i/>
        <w:sz w:val="18"/>
        <w:szCs w:val="18"/>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sz w:val="18"/>
        <w:szCs w:val="18"/>
      </w:rPr>
      <w:pBdr>
        <w:bottom w:val="single" w:color="auto" w:sz="6" w:space="1"/>
      </w:pBdr>
    </w:pPr>
    <w:r>
      <w:rPr>
        <w:u w:val="none"/>
      </w:rPr>
      <mc:AlternateContent>
        <mc:Choice Requires="wpg">
          <w:drawing>
            <wp:inline xmlns:wp="http://schemas.openxmlformats.org/drawingml/2006/wordprocessingDrawing" distT="0" distB="0" distL="0" distR="0">
              <wp:extent cx="729615" cy="205740"/>
              <wp:effectExtent l="0" t="0" r="6985" b="10160"/>
              <wp:docPr id="4" name="图片 1857635056" descr="24f2a38a0f81217625c6ac78bad6ff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1857635056" descr="24f2a38a0f81217625c6ac78bad6ffb"/>
                      <pic:cNvPicPr>
                        <a:picLocks noChangeAspect="1"/>
                      </pic:cNvPicPr>
                      <pic:nvPr/>
                    </pic:nvPicPr>
                    <pic:blipFill>
                      <a:blip r:embed="rId1"/>
                      <a:stretch/>
                    </pic:blipFill>
                    <pic:spPr bwMode="auto">
                      <a:xfrm>
                        <a:off x="0" y="0"/>
                        <a:ext cx="729615" cy="2057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4pt;height:16.2pt;mso-wrap-distance-left:0.0pt;mso-wrap-distance-top:0.0pt;mso-wrap-distance-right:0.0pt;mso-wrap-distance-bottom:0.0pt;" stroked="false">
              <v:path textboxrect="0,0,0,0"/>
              <v:imagedata r:id="rId1" o:title=""/>
            </v:shape>
          </w:pict>
        </mc:Fallback>
      </mc:AlternateConten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ind w:right="180"/>
      <w:jc w:val="right"/>
      <w:rPr>
        <w:i/>
      </w:rPr>
    </w:pPr>
    <w:r>
      <mc:AlternateContent>
        <mc:Choice Requires="wpg">
          <w:drawing>
            <wp:inline xmlns:wp="http://schemas.openxmlformats.org/drawingml/2006/wordprocessingDrawing" distT="0" distB="0" distL="0" distR="0">
              <wp:extent cx="729615" cy="205740"/>
              <wp:effectExtent l="0" t="0" r="1905" b="7620"/>
              <wp:docPr id="5" name="图片 1857635056" descr="24f2a38a0f81217625c6ac78bad6ff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857635056" descr="24f2a38a0f81217625c6ac78bad6ffb"/>
                      <pic:cNvPicPr>
                        <a:picLocks noChangeAspect="1"/>
                      </pic:cNvPicPr>
                      <pic:nvPr/>
                    </pic:nvPicPr>
                    <pic:blipFill>
                      <a:blip r:embed="rId1"/>
                      <a:stretch/>
                    </pic:blipFill>
                    <pic:spPr bwMode="auto">
                      <a:xfrm>
                        <a:off x="0" y="0"/>
                        <a:ext cx="729615" cy="2057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4pt;height:16.2pt;mso-wrap-distance-left:0.0pt;mso-wrap-distance-top:0.0pt;mso-wrap-distance-right:0.0pt;mso-wrap-distance-bottom:0.0pt;" stroked="false">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387"/>
      <w:isLgl w:val="false"/>
      <w:suff w:val="tab"/>
      <w:lvlText w:val="%1、"/>
      <w:lvlJc w:val="left"/>
      <w:pPr>
        <w:ind w:left="360" w:hanging="360"/>
      </w:pPr>
      <w:rPr>
        <w:rFonts w:hint="default" w:cs="宋体"/>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pStyle w:val="1412"/>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
    <w:multiLevelType w:val="hybridMultilevel"/>
    <w:lvl w:ilvl="0">
      <w:start w:val="4"/>
      <w:numFmt w:val="japaneseCounting"/>
      <w:pStyle w:val="1385"/>
      <w:isLgl w:val="false"/>
      <w:suff w:val="tab"/>
      <w:lvlText w:val="%1、"/>
      <w:lvlJc w:val="left"/>
      <w:pPr>
        <w:ind w:left="456" w:hanging="456"/>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nothing"/>
      <w:lvlText w:val="%1、"/>
      <w:lvlJc w:val="left"/>
      <w:pPr/>
      <w:rPr>
        <w:rFonts w:hint="eastAsia"/>
      </w:rPr>
    </w:lvl>
    <w:lvl w:ilvl="1">
      <w:start w:val="1"/>
      <w:numFmt w:val="bullet"/>
      <w:pStyle w:val="1307"/>
      <w:isLgl w:val="false"/>
      <w:suff w:val="tab"/>
      <w:lvlText w:val="o"/>
      <w:lvlJc w:val="left"/>
      <w:pPr>
        <w:ind w:left="1440" w:hanging="360"/>
      </w:pPr>
      <w:rPr>
        <w:rFonts w:hint="default" w:ascii="Courier New" w:hAnsi="Courier New" w:eastAsia="Courier New" w:cs="Courier New"/>
      </w:rPr>
    </w:lvl>
    <w:lvl w:ilvl="2">
      <w:start w:val="1"/>
      <w:numFmt w:val="bullet"/>
      <w:pStyle w:val="1366"/>
      <w:isLgl w:val="false"/>
      <w:suff w:val="tab"/>
      <w:lvlText w:val="§"/>
      <w:lvlJc w:val="left"/>
      <w:pPr>
        <w:ind w:left="2160" w:hanging="360"/>
      </w:pPr>
      <w:rPr>
        <w:rFonts w:hint="default" w:ascii="Wingdings" w:hAnsi="Wingdings" w:eastAsia="Wingdings" w:cs="Wingdings"/>
      </w:rPr>
    </w:lvl>
    <w:lvl w:ilvl="3">
      <w:start w:val="1"/>
      <w:numFmt w:val="bullet"/>
      <w:pStyle w:val="916"/>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5">
    <w:multiLevelType w:val="hybridMultilevel"/>
    <w:lvl w:ilvl="0">
      <w:start w:val="1"/>
      <w:numFmt w:val="japaneseCounting"/>
      <w:pStyle w:val="1315"/>
      <w:isLgl w:val="false"/>
      <w:suff w:val="tab"/>
      <w:lvlText w:val="第%1章"/>
      <w:lvlJc w:val="left"/>
      <w:pPr>
        <w:ind w:left="735" w:hanging="735"/>
      </w:pPr>
      <w:rPr>
        <w:rFonts w:hint="default"/>
      </w:rPr>
    </w:lvl>
    <w:lvl w:ilvl="1">
      <w:start w:val="1"/>
      <w:numFmt w:val="lowerLetter"/>
      <w:isLgl w:val="false"/>
      <w:suff w:val="tab"/>
      <w:lvlText w:val="%2)"/>
      <w:lvlJc w:val="left"/>
      <w:pPr>
        <w:ind w:left="840" w:hanging="420"/>
      </w:pPr>
    </w:lvl>
    <w:lvl w:ilvl="2">
      <w:start w:val="1"/>
      <w:numFmt w:val="lowerRoman"/>
      <w:pStyle w:val="915"/>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pStyle w:val="1324"/>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7"/>
  </w:num>
  <w:num w:numId="4">
    <w:abstractNumId w:val="1"/>
  </w:num>
  <w:num w:numId="5">
    <w:abstractNumId w:val="0"/>
  </w:num>
  <w:num w:numId="6">
    <w:abstractNumId w:val="2"/>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12" w:default="1">
    <w:name w:val="Normal"/>
    <w:next w:val="924"/>
    <w:uiPriority w:val="0"/>
    <w:qFormat/>
    <w:pPr>
      <w:jc w:val="both"/>
      <w:widowControl w:val="off"/>
    </w:pPr>
    <w:rPr>
      <w:rFonts w:hint="default" w:asciiTheme="minorHAnsi" w:hAnsiTheme="minorHAnsi" w:eastAsiaTheme="minorEastAsia" w:cstheme="minorBidi"/>
      <w:sz w:val="21"/>
      <w:szCs w:val="22"/>
    </w:rPr>
  </w:style>
  <w:style w:type="paragraph" w:styleId="913">
    <w:name w:val="Heading 1"/>
    <w:basedOn w:val="912"/>
    <w:next w:val="912"/>
    <w:link w:val="1142"/>
    <w:uiPriority w:val="0"/>
    <w:qFormat/>
    <w:pPr>
      <w:keepLines/>
      <w:keepNext/>
      <w:spacing w:before="340" w:after="330" w:line="578" w:lineRule="auto"/>
      <w:outlineLvl w:val="0"/>
    </w:pPr>
    <w:rPr>
      <w:b/>
      <w:bCs/>
      <w:sz w:val="44"/>
      <w:szCs w:val="44"/>
    </w:rPr>
  </w:style>
  <w:style w:type="paragraph" w:styleId="914">
    <w:name w:val="Heading 2"/>
    <w:basedOn w:val="912"/>
    <w:next w:val="912"/>
    <w:link w:val="1141"/>
    <w:uiPriority w:val="0"/>
    <w:qFormat/>
    <w:pPr>
      <w:jc w:val="left"/>
      <w:keepLines/>
      <w:keepNext/>
      <w:spacing w:before="120" w:after="120"/>
      <w:outlineLvl w:val="1"/>
    </w:pPr>
    <w:rPr>
      <w:rFonts w:ascii="宋体" w:hAnsi="宋体" w:eastAsia="宋体" w:cs="Times New Roman"/>
      <w:b/>
      <w:szCs w:val="24"/>
    </w:rPr>
  </w:style>
  <w:style w:type="paragraph" w:styleId="915">
    <w:name w:val="Heading 3"/>
    <w:basedOn w:val="912"/>
    <w:next w:val="926"/>
    <w:link w:val="1166"/>
    <w:uiPriority w:val="0"/>
    <w:qFormat/>
    <w:pPr>
      <w:numPr>
        <w:ilvl w:val="2"/>
        <w:numId w:val="1"/>
      </w:numPr>
      <w:keepLines/>
      <w:keepNext/>
      <w:spacing w:before="260" w:after="260" w:line="415" w:lineRule="auto"/>
      <w:tabs>
        <w:tab w:val="left" w:pos="720" w:leader="none"/>
        <w:tab w:val="left" w:pos="2563" w:leader="none"/>
      </w:tabs>
      <w:outlineLvl w:val="2"/>
    </w:pPr>
    <w:rPr>
      <w:rFonts w:ascii="宋体" w:hAnsi="Times New Roman" w:eastAsia="Calibri" w:cs="宋体"/>
      <w:b/>
      <w:color w:val="000000"/>
      <w:sz w:val="32"/>
      <w:szCs w:val="20"/>
      <w:lang w:val="zh-CN"/>
    </w:rPr>
  </w:style>
  <w:style w:type="paragraph" w:styleId="916">
    <w:name w:val="Heading 4"/>
    <w:basedOn w:val="912"/>
    <w:next w:val="926"/>
    <w:link w:val="1167"/>
    <w:uiPriority w:val="0"/>
    <w:qFormat/>
    <w:pPr>
      <w:numPr>
        <w:ilvl w:val="3"/>
        <w:numId w:val="2"/>
      </w:numPr>
      <w:keepLines/>
      <w:keepNext/>
      <w:spacing w:before="280" w:after="290" w:line="376" w:lineRule="auto"/>
      <w:tabs>
        <w:tab w:val="left" w:pos="4409" w:leader="none"/>
      </w:tabs>
      <w:outlineLvl w:val="3"/>
    </w:pPr>
    <w:rPr>
      <w:rFonts w:ascii="Arial" w:hAnsi="Arial" w:eastAsia="黑体" w:cs="宋体"/>
      <w:b/>
      <w:bCs/>
      <w:sz w:val="28"/>
      <w:szCs w:val="28"/>
      <w:lang w:val="zh-CN"/>
    </w:rPr>
  </w:style>
  <w:style w:type="paragraph" w:styleId="917">
    <w:name w:val="Heading 5"/>
    <w:basedOn w:val="912"/>
    <w:next w:val="912"/>
    <w:link w:val="1168"/>
    <w:uiPriority w:val="0"/>
    <w:qFormat/>
    <w:pPr>
      <w:keepLines/>
      <w:keepNext/>
      <w:spacing w:before="280" w:after="290" w:line="372" w:lineRule="auto"/>
      <w:outlineLvl w:val="4"/>
    </w:pPr>
    <w:rPr>
      <w:rFonts w:ascii="Times New Roman" w:hAnsi="Times New Roman" w:eastAsia="Calibri" w:cs="宋体"/>
      <w:b/>
      <w:bCs/>
      <w:sz w:val="28"/>
      <w:szCs w:val="28"/>
      <w:lang w:val="zh-CN"/>
    </w:rPr>
  </w:style>
  <w:style w:type="paragraph" w:styleId="918">
    <w:name w:val="Heading 6"/>
    <w:basedOn w:val="912"/>
    <w:next w:val="912"/>
    <w:link w:val="1169"/>
    <w:uiPriority w:val="0"/>
    <w:qFormat/>
    <w:pPr>
      <w:keepLines/>
      <w:keepNext/>
      <w:spacing w:before="240" w:after="64" w:line="316" w:lineRule="auto"/>
      <w:outlineLvl w:val="5"/>
    </w:pPr>
    <w:rPr>
      <w:rFonts w:ascii="Cambria" w:hAnsi="Cambria" w:eastAsia="Calibri" w:cs="宋体"/>
      <w:b/>
      <w:bCs/>
      <w:sz w:val="24"/>
      <w:szCs w:val="20"/>
      <w:lang w:val="zh-CN"/>
    </w:rPr>
  </w:style>
  <w:style w:type="paragraph" w:styleId="919">
    <w:name w:val="Heading 7"/>
    <w:basedOn w:val="912"/>
    <w:next w:val="912"/>
    <w:link w:val="1170"/>
    <w:uiPriority w:val="0"/>
    <w:qFormat/>
    <w:pPr>
      <w:keepLines/>
      <w:keepNext/>
      <w:spacing w:before="240" w:after="64" w:line="316" w:lineRule="auto"/>
      <w:outlineLvl w:val="6"/>
    </w:pPr>
    <w:rPr>
      <w:rFonts w:ascii="Times New Roman" w:hAnsi="Times New Roman" w:eastAsia="Calibri" w:cs="宋体"/>
      <w:b/>
      <w:bCs/>
      <w:sz w:val="24"/>
      <w:szCs w:val="20"/>
      <w:lang w:val="zh-CN"/>
    </w:rPr>
  </w:style>
  <w:style w:type="paragraph" w:styleId="920">
    <w:name w:val="Heading 8"/>
    <w:basedOn w:val="912"/>
    <w:next w:val="912"/>
    <w:link w:val="1171"/>
    <w:uiPriority w:val="0"/>
    <w:qFormat/>
    <w:pPr>
      <w:keepLines/>
      <w:keepNext/>
      <w:spacing w:before="240" w:after="64" w:line="316" w:lineRule="auto"/>
      <w:outlineLvl w:val="7"/>
    </w:pPr>
    <w:rPr>
      <w:rFonts w:ascii="Cambria" w:hAnsi="Cambria" w:eastAsia="Calibri" w:cs="宋体"/>
      <w:sz w:val="24"/>
      <w:szCs w:val="20"/>
      <w:lang w:val="zh-CN"/>
    </w:rPr>
  </w:style>
  <w:style w:type="paragraph" w:styleId="921">
    <w:name w:val="Heading 9"/>
    <w:basedOn w:val="912"/>
    <w:next w:val="912"/>
    <w:link w:val="1172"/>
    <w:uiPriority w:val="0"/>
    <w:qFormat/>
    <w:pPr>
      <w:keepLines/>
      <w:keepNext/>
      <w:spacing w:before="240" w:after="64" w:line="316" w:lineRule="auto"/>
      <w:outlineLvl w:val="8"/>
    </w:pPr>
    <w:rPr>
      <w:rFonts w:ascii="Cambria" w:hAnsi="Cambria" w:eastAsia="Calibri" w:cs="宋体"/>
      <w:sz w:val="20"/>
      <w:szCs w:val="21"/>
      <w:lang w:val="zh-CN"/>
    </w:rPr>
  </w:style>
  <w:style w:type="character" w:styleId="922" w:default="1">
    <w:name w:val="Default Paragraph Font"/>
    <w:uiPriority w:val="1"/>
    <w:semiHidden/>
    <w:unhideWhenUsed/>
    <w:qFormat/>
  </w:style>
  <w:style w:type="table" w:styleId="923" w:default="1">
    <w:name w:val="Normal Table"/>
    <w:uiPriority w:val="99"/>
    <w:semiHidden/>
    <w:unhideWhenUsed/>
    <w:qFormat/>
    <w:tblPr>
      <w:tblCellMar>
        <w:left w:w="108" w:type="dxa"/>
        <w:top w:w="0" w:type="dxa"/>
        <w:right w:w="108" w:type="dxa"/>
        <w:bottom w:w="0" w:type="dxa"/>
      </w:tblCellMar>
    </w:tblPr>
  </w:style>
  <w:style w:type="paragraph" w:styleId="924" w:customStyle="1">
    <w:name w:val="正文首行缩进 21"/>
    <w:basedOn w:val="925"/>
    <w:uiPriority w:val="0"/>
    <w:qFormat/>
    <w:pPr>
      <w:ind w:left="420" w:firstLine="420"/>
      <w:jc w:val="left"/>
      <w:spacing w:after="120" w:line="315" w:lineRule="atLeast"/>
    </w:pPr>
    <w:rPr>
      <w:rFonts w:ascii="宋体"/>
      <w:sz w:val="24"/>
      <w:szCs w:val="24"/>
    </w:rPr>
  </w:style>
  <w:style w:type="paragraph" w:styleId="925" w:customStyle="1">
    <w:name w:val="正文文本缩进1"/>
    <w:basedOn w:val="912"/>
    <w:uiPriority w:val="0"/>
    <w:qFormat/>
    <w:pPr>
      <w:ind w:left="200"/>
      <w:spacing w:after="120"/>
    </w:pPr>
    <w:rPr>
      <w:rFonts w:ascii="Times New Roman" w:hAnsi="Times New Roman" w:eastAsia="Calibri" w:cs="宋体"/>
      <w:sz w:val="20"/>
      <w:szCs w:val="20"/>
      <w:lang w:val="zh-CN"/>
    </w:rPr>
  </w:style>
  <w:style w:type="paragraph" w:styleId="926">
    <w:name w:val="Normal Indent"/>
    <w:basedOn w:val="912"/>
    <w:link w:val="1155"/>
    <w:uiPriority w:val="0"/>
    <w:unhideWhenUsed/>
    <w:qFormat/>
    <w:pPr>
      <w:ind w:firstLine="420"/>
    </w:pPr>
  </w:style>
  <w:style w:type="paragraph" w:styleId="927">
    <w:name w:val="List 3"/>
    <w:basedOn w:val="912"/>
    <w:uiPriority w:val="0"/>
    <w:qFormat/>
    <w:pPr>
      <w:ind w:left="1260" w:hanging="420"/>
    </w:pPr>
    <w:rPr>
      <w:rFonts w:ascii="Times New Roman" w:hAnsi="Times New Roman" w:eastAsia="Calibri" w:cs="宋体"/>
      <w:sz w:val="20"/>
      <w:szCs w:val="20"/>
      <w:lang w:val="zh-CN"/>
    </w:rPr>
  </w:style>
  <w:style w:type="paragraph" w:styleId="928">
    <w:name w:val="toc 7"/>
    <w:basedOn w:val="912"/>
    <w:next w:val="912"/>
    <w:uiPriority w:val="0"/>
    <w:qFormat/>
    <w:pPr>
      <w:ind w:left="1260"/>
      <w:jc w:val="left"/>
    </w:pPr>
    <w:rPr>
      <w:rFonts w:ascii="Times New Roman" w:hAnsi="Times New Roman" w:eastAsia="Calibri" w:cs="宋体"/>
      <w:sz w:val="18"/>
      <w:szCs w:val="20"/>
      <w:lang w:val="zh-CN"/>
    </w:rPr>
  </w:style>
  <w:style w:type="paragraph" w:styleId="929">
    <w:name w:val="List Number 2"/>
    <w:basedOn w:val="912"/>
    <w:uiPriority w:val="0"/>
    <w:qFormat/>
    <w:pPr>
      <w:ind w:left="1440" w:hanging="1440"/>
      <w:spacing w:line="360" w:lineRule="auto"/>
      <w:tabs>
        <w:tab w:val="left" w:pos="1440" w:leader="none"/>
      </w:tabs>
    </w:pPr>
    <w:rPr>
      <w:rFonts w:ascii="Times New Roman" w:hAnsi="Times New Roman" w:eastAsia="Calibri" w:cs="宋体"/>
      <w:sz w:val="24"/>
      <w:szCs w:val="20"/>
      <w:lang w:val="zh-CN"/>
    </w:rPr>
  </w:style>
  <w:style w:type="paragraph" w:styleId="930">
    <w:name w:val="index 8"/>
    <w:basedOn w:val="912"/>
    <w:next w:val="912"/>
    <w:uiPriority w:val="0"/>
    <w:qFormat/>
    <w:pPr>
      <w:ind w:left="2940"/>
    </w:pPr>
    <w:rPr>
      <w:rFonts w:ascii="Times New Roman" w:hAnsi="Times New Roman" w:eastAsia="Calibri" w:cs="宋体"/>
      <w:sz w:val="20"/>
      <w:szCs w:val="20"/>
      <w:lang w:val="zh-CN"/>
    </w:rPr>
  </w:style>
  <w:style w:type="paragraph" w:styleId="931">
    <w:name w:val="List Number"/>
    <w:basedOn w:val="912"/>
    <w:uiPriority w:val="0"/>
    <w:qFormat/>
    <w:pPr>
      <w:ind w:left="2952" w:hanging="432"/>
      <w:tabs>
        <w:tab w:val="left" w:pos="2952" w:leader="none"/>
      </w:tabs>
    </w:pPr>
    <w:rPr>
      <w:rFonts w:ascii="Times New Roman" w:hAnsi="Times New Roman" w:eastAsia="Calibri" w:cs="宋体"/>
      <w:sz w:val="20"/>
      <w:szCs w:val="20"/>
      <w:lang w:val="zh-CN"/>
    </w:rPr>
  </w:style>
  <w:style w:type="paragraph" w:styleId="932">
    <w:name w:val="Caption"/>
    <w:basedOn w:val="912"/>
    <w:next w:val="91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33">
    <w:name w:val="index 5"/>
    <w:basedOn w:val="912"/>
    <w:next w:val="912"/>
    <w:uiPriority w:val="0"/>
    <w:qFormat/>
    <w:pPr>
      <w:ind w:left="1680"/>
    </w:pPr>
    <w:rPr>
      <w:rFonts w:ascii="Times New Roman" w:hAnsi="Times New Roman" w:eastAsia="Calibri" w:cs="宋体"/>
      <w:sz w:val="20"/>
      <w:szCs w:val="20"/>
      <w:lang w:val="zh-CN"/>
    </w:rPr>
  </w:style>
  <w:style w:type="paragraph" w:styleId="934">
    <w:name w:val="Document Map"/>
    <w:basedOn w:val="912"/>
    <w:link w:val="1173"/>
    <w:uiPriority w:val="0"/>
    <w:qFormat/>
    <w:pPr>
      <w:shd w:val="clear" w:color="auto" w:fill="000080"/>
    </w:pPr>
    <w:rPr>
      <w:rFonts w:ascii="Times New Roman" w:hAnsi="Times New Roman" w:eastAsia="Calibri" w:cs="宋体"/>
      <w:sz w:val="20"/>
      <w:szCs w:val="20"/>
      <w:lang w:val="zh-CN"/>
    </w:rPr>
  </w:style>
  <w:style w:type="paragraph" w:styleId="935">
    <w:name w:val="annotation text"/>
    <w:basedOn w:val="912"/>
    <w:link w:val="1162"/>
    <w:uiPriority w:val="0"/>
    <w:unhideWhenUsed/>
    <w:qFormat/>
    <w:pPr>
      <w:jc w:val="left"/>
    </w:pPr>
  </w:style>
  <w:style w:type="paragraph" w:styleId="936">
    <w:name w:val="index 6"/>
    <w:basedOn w:val="912"/>
    <w:next w:val="912"/>
    <w:uiPriority w:val="0"/>
    <w:qFormat/>
    <w:pPr>
      <w:ind w:left="2100"/>
    </w:pPr>
    <w:rPr>
      <w:rFonts w:ascii="Times New Roman" w:hAnsi="Times New Roman" w:eastAsia="Calibri" w:cs="宋体"/>
      <w:sz w:val="20"/>
      <w:szCs w:val="20"/>
      <w:lang w:val="zh-CN"/>
    </w:rPr>
  </w:style>
  <w:style w:type="paragraph" w:styleId="937">
    <w:name w:val="Salutation"/>
    <w:basedOn w:val="912"/>
    <w:next w:val="912"/>
    <w:link w:val="1174"/>
    <w:uiPriority w:val="0"/>
    <w:qFormat/>
    <w:rPr>
      <w:rFonts w:ascii="仿宋_GB2312" w:hAnsi="Times New Roman" w:eastAsia="仿宋_GB2312" w:cs="宋体"/>
      <w:sz w:val="28"/>
      <w:szCs w:val="20"/>
      <w:lang w:val="zh-CN"/>
    </w:rPr>
  </w:style>
  <w:style w:type="paragraph" w:styleId="938">
    <w:name w:val="Body Text 3"/>
    <w:basedOn w:val="912"/>
    <w:link w:val="1175"/>
    <w:uiPriority w:val="0"/>
    <w:qFormat/>
    <w:rPr>
      <w:rFonts w:ascii="仿宋_GB2312" w:hAnsi="Times New Roman" w:eastAsia="仿宋_GB2312" w:cs="宋体"/>
      <w:sz w:val="32"/>
      <w:szCs w:val="20"/>
      <w:lang w:val="zh-CN"/>
    </w:rPr>
  </w:style>
  <w:style w:type="paragraph" w:styleId="939">
    <w:name w:val="Body Text"/>
    <w:basedOn w:val="912"/>
    <w:link w:val="1143"/>
    <w:uiPriority w:val="0"/>
    <w:qFormat/>
    <w:pPr>
      <w:ind w:left="118"/>
      <w:jc w:val="left"/>
      <w:spacing w:before="133"/>
    </w:pPr>
    <w:rPr>
      <w:rFonts w:ascii="宋体" w:hAnsi="宋体" w:cs="Times New Roman"/>
      <w:szCs w:val="21"/>
      <w:lang w:eastAsia="en-US"/>
    </w:rPr>
  </w:style>
  <w:style w:type="paragraph" w:styleId="940">
    <w:name w:val="Body Text Indent"/>
    <w:basedOn w:val="912"/>
    <w:next w:val="941"/>
    <w:link w:val="1176"/>
    <w:uiPriority w:val="0"/>
    <w:qFormat/>
    <w:pPr>
      <w:ind w:left="200"/>
      <w:spacing w:after="120"/>
    </w:pPr>
    <w:rPr>
      <w:rFonts w:ascii="Times New Roman" w:hAnsi="Times New Roman" w:eastAsia="Calibri" w:cs="宋体"/>
      <w:sz w:val="20"/>
      <w:szCs w:val="20"/>
      <w:lang w:val="zh-CN"/>
    </w:rPr>
  </w:style>
  <w:style w:type="paragraph" w:styleId="941">
    <w:name w:val="envelope return"/>
    <w:basedOn w:val="912"/>
    <w:uiPriority w:val="99"/>
    <w:unhideWhenUsed/>
    <w:qFormat/>
    <w:rPr>
      <w:rFonts w:ascii="Arial" w:hAnsi="Arial" w:cs="Arial"/>
    </w:rPr>
  </w:style>
  <w:style w:type="paragraph" w:styleId="942">
    <w:name w:val="index 4"/>
    <w:basedOn w:val="912"/>
    <w:next w:val="912"/>
    <w:uiPriority w:val="0"/>
    <w:qFormat/>
    <w:pPr>
      <w:ind w:left="600"/>
    </w:pPr>
    <w:rPr>
      <w:rFonts w:ascii="Times New Roman" w:hAnsi="Times New Roman" w:eastAsia="宋体" w:cs="Times New Roman"/>
      <w:szCs w:val="24"/>
    </w:rPr>
  </w:style>
  <w:style w:type="paragraph" w:styleId="943">
    <w:name w:val="toc 5"/>
    <w:basedOn w:val="912"/>
    <w:next w:val="912"/>
    <w:uiPriority w:val="0"/>
    <w:qFormat/>
    <w:pPr>
      <w:ind w:left="800"/>
    </w:pPr>
    <w:rPr>
      <w:rFonts w:ascii="Times New Roman" w:hAnsi="Times New Roman" w:eastAsia="Calibri" w:cs="宋体"/>
      <w:sz w:val="20"/>
      <w:szCs w:val="20"/>
      <w:lang w:val="zh-CN"/>
    </w:rPr>
  </w:style>
  <w:style w:type="paragraph" w:styleId="944">
    <w:name w:val="toc 3"/>
    <w:basedOn w:val="912"/>
    <w:next w:val="912"/>
    <w:uiPriority w:val="0"/>
    <w:qFormat/>
    <w:pPr>
      <w:ind w:left="400"/>
    </w:pPr>
    <w:rPr>
      <w:rFonts w:ascii="Times New Roman" w:hAnsi="Times New Roman" w:eastAsia="Calibri" w:cs="宋体"/>
      <w:sz w:val="20"/>
      <w:szCs w:val="20"/>
      <w:lang w:val="zh-CN"/>
    </w:rPr>
  </w:style>
  <w:style w:type="paragraph" w:styleId="945">
    <w:name w:val="Plain Text"/>
    <w:basedOn w:val="912"/>
    <w:link w:val="1146"/>
    <w:uiPriority w:val="0"/>
    <w:qFormat/>
    <w:rPr>
      <w:rFonts w:ascii="宋体" w:hAnsi="Courier New" w:eastAsia="宋体" w:cs="Times New Roman"/>
      <w:szCs w:val="21"/>
    </w:rPr>
  </w:style>
  <w:style w:type="paragraph" w:styleId="946">
    <w:name w:val="toc 8"/>
    <w:basedOn w:val="912"/>
    <w:next w:val="912"/>
    <w:uiPriority w:val="0"/>
    <w:qFormat/>
    <w:pPr>
      <w:ind w:left="1470"/>
      <w:jc w:val="left"/>
    </w:pPr>
    <w:rPr>
      <w:rFonts w:ascii="Times New Roman" w:hAnsi="Times New Roman" w:eastAsia="Calibri" w:cs="宋体"/>
      <w:sz w:val="18"/>
      <w:szCs w:val="20"/>
      <w:lang w:val="zh-CN"/>
    </w:rPr>
  </w:style>
  <w:style w:type="paragraph" w:styleId="947">
    <w:name w:val="index 3"/>
    <w:basedOn w:val="912"/>
    <w:next w:val="912"/>
    <w:uiPriority w:val="0"/>
    <w:qFormat/>
    <w:pPr>
      <w:ind w:left="840"/>
    </w:pPr>
    <w:rPr>
      <w:rFonts w:ascii="Times New Roman" w:hAnsi="Times New Roman" w:eastAsia="Calibri" w:cs="宋体"/>
      <w:sz w:val="20"/>
      <w:szCs w:val="20"/>
      <w:lang w:val="zh-CN"/>
    </w:rPr>
  </w:style>
  <w:style w:type="paragraph" w:styleId="948">
    <w:name w:val="Date"/>
    <w:basedOn w:val="912"/>
    <w:next w:val="912"/>
    <w:link w:val="1135"/>
    <w:uiPriority w:val="0"/>
    <w:unhideWhenUsed/>
    <w:qFormat/>
    <w:pPr>
      <w:ind w:left="100"/>
    </w:pPr>
  </w:style>
  <w:style w:type="paragraph" w:styleId="949">
    <w:name w:val="Body Text Indent 2"/>
    <w:basedOn w:val="912"/>
    <w:link w:val="1177"/>
    <w:uiPriority w:val="0"/>
    <w:qFormat/>
    <w:pPr>
      <w:ind w:left="630" w:firstLine="645"/>
    </w:pPr>
    <w:rPr>
      <w:rFonts w:ascii="Arial" w:hAnsi="Arial" w:eastAsia="仿宋_GB2312" w:cs="宋体"/>
      <w:sz w:val="32"/>
      <w:szCs w:val="20"/>
      <w:lang w:val="zh-CN"/>
    </w:rPr>
  </w:style>
  <w:style w:type="paragraph" w:styleId="950">
    <w:name w:val="endnote text"/>
    <w:basedOn w:val="912"/>
    <w:link w:val="1178"/>
    <w:uiPriority w:val="0"/>
    <w:qFormat/>
    <w:pPr>
      <w:jc w:val="left"/>
    </w:pPr>
    <w:rPr>
      <w:rFonts w:ascii="Times New Roman" w:hAnsi="Times New Roman" w:eastAsia="Calibri" w:cs="宋体"/>
      <w:sz w:val="20"/>
      <w:szCs w:val="20"/>
      <w:lang w:val="zh-CN"/>
    </w:rPr>
  </w:style>
  <w:style w:type="paragraph" w:styleId="951">
    <w:name w:val="Balloon Text"/>
    <w:basedOn w:val="912"/>
    <w:link w:val="1164"/>
    <w:uiPriority w:val="0"/>
    <w:qFormat/>
    <w:rPr>
      <w:rFonts w:ascii="Calibri" w:hAnsi="Calibri" w:eastAsia="宋体" w:cs="Times New Roman"/>
      <w:sz w:val="16"/>
      <w:szCs w:val="16"/>
    </w:rPr>
  </w:style>
  <w:style w:type="paragraph" w:styleId="952">
    <w:name w:val="Footer"/>
    <w:basedOn w:val="912"/>
    <w:link w:val="1137"/>
    <w:uiPriority w:val="99"/>
    <w:unhideWhenUsed/>
    <w:qFormat/>
    <w:pPr>
      <w:jc w:val="left"/>
      <w:tabs>
        <w:tab w:val="center" w:pos="4153" w:leader="none"/>
        <w:tab w:val="right" w:pos="8306" w:leader="none"/>
      </w:tabs>
    </w:pPr>
    <w:rPr>
      <w:sz w:val="18"/>
      <w:szCs w:val="18"/>
    </w:rPr>
  </w:style>
  <w:style w:type="paragraph" w:styleId="953">
    <w:name w:val="Header"/>
    <w:basedOn w:val="912"/>
    <w:link w:val="1136"/>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54">
    <w:name w:val="Signature"/>
    <w:basedOn w:val="912"/>
    <w:link w:val="1179"/>
    <w:uiPriority w:val="0"/>
    <w:qFormat/>
    <w:pPr>
      <w:jc w:val="center"/>
      <w:spacing w:after="600" w:line="312" w:lineRule="atLeast"/>
    </w:pPr>
    <w:rPr>
      <w:rFonts w:ascii="Times New Roman" w:hAnsi="Times New Roman" w:eastAsia="仿宋_GB2312" w:cs="宋体"/>
      <w:sz w:val="24"/>
      <w:szCs w:val="20"/>
      <w:lang w:val="zh-CN"/>
    </w:rPr>
  </w:style>
  <w:style w:type="paragraph" w:styleId="955">
    <w:name w:val="toc 1"/>
    <w:basedOn w:val="912"/>
    <w:next w:val="912"/>
    <w:uiPriority w:val="0"/>
    <w:qFormat/>
    <w:pPr>
      <w:jc w:val="left"/>
    </w:pPr>
    <w:rPr>
      <w:rFonts w:ascii="Times New Roman" w:hAnsi="Times New Roman" w:eastAsia="楷体_GB2312" w:cs="Times New Roman"/>
      <w:sz w:val="24"/>
      <w:szCs w:val="20"/>
    </w:rPr>
  </w:style>
  <w:style w:type="paragraph" w:styleId="956">
    <w:name w:val="toc 4"/>
    <w:basedOn w:val="912"/>
    <w:next w:val="912"/>
    <w:uiPriority w:val="0"/>
    <w:qFormat/>
    <w:pPr>
      <w:ind w:left="600"/>
    </w:pPr>
    <w:rPr>
      <w:rFonts w:ascii="Times New Roman" w:hAnsi="Times New Roman" w:eastAsia="Calibri" w:cs="宋体"/>
      <w:sz w:val="20"/>
      <w:szCs w:val="20"/>
      <w:lang w:val="zh-CN"/>
    </w:rPr>
  </w:style>
  <w:style w:type="paragraph" w:styleId="957">
    <w:name w:val="index heading"/>
    <w:basedOn w:val="912"/>
    <w:next w:val="958"/>
    <w:uiPriority w:val="0"/>
    <w:qFormat/>
    <w:rPr>
      <w:rFonts w:ascii="Times New Roman" w:hAnsi="Times New Roman" w:eastAsia="Calibri" w:cs="宋体"/>
      <w:sz w:val="20"/>
      <w:szCs w:val="20"/>
      <w:lang w:val="zh-CN"/>
    </w:rPr>
  </w:style>
  <w:style w:type="paragraph" w:styleId="958">
    <w:name w:val="index 1"/>
    <w:basedOn w:val="912"/>
    <w:next w:val="912"/>
    <w:uiPriority w:val="0"/>
    <w:unhideWhenUsed/>
    <w:qFormat/>
  </w:style>
  <w:style w:type="paragraph" w:styleId="959">
    <w:name w:val="Subtitle"/>
    <w:basedOn w:val="912"/>
    <w:next w:val="912"/>
    <w:link w:val="1180"/>
    <w:uiPriority w:val="0"/>
    <w:qFormat/>
    <w:pPr>
      <w:jc w:val="center"/>
      <w:spacing w:before="240" w:after="60" w:line="312" w:lineRule="auto"/>
      <w:outlineLvl w:val="1"/>
    </w:pPr>
    <w:rPr>
      <w:rFonts w:ascii="Cambria" w:hAnsi="Cambria" w:eastAsia="Calibri" w:cs="宋体"/>
      <w:b/>
      <w:bCs/>
      <w:sz w:val="32"/>
      <w:szCs w:val="32"/>
      <w:lang w:val="zh-CN"/>
    </w:rPr>
  </w:style>
  <w:style w:type="paragraph" w:styleId="960">
    <w:name w:val="footnote text"/>
    <w:basedOn w:val="912"/>
    <w:link w:val="1181"/>
    <w:uiPriority w:val="0"/>
    <w:qFormat/>
    <w:pPr>
      <w:jc w:val="left"/>
    </w:pPr>
    <w:rPr>
      <w:rFonts w:ascii="Times New Roman" w:hAnsi="Times New Roman" w:eastAsia="Calibri" w:cs="宋体"/>
      <w:sz w:val="18"/>
      <w:szCs w:val="18"/>
      <w:lang w:val="zh-CN"/>
    </w:rPr>
  </w:style>
  <w:style w:type="paragraph" w:styleId="961">
    <w:name w:val="toc 6"/>
    <w:basedOn w:val="912"/>
    <w:next w:val="912"/>
    <w:uiPriority w:val="0"/>
    <w:qFormat/>
    <w:pPr>
      <w:ind w:left="1050"/>
      <w:jc w:val="left"/>
    </w:pPr>
    <w:rPr>
      <w:rFonts w:ascii="Times New Roman" w:hAnsi="Times New Roman" w:eastAsia="Calibri" w:cs="宋体"/>
      <w:sz w:val="18"/>
      <w:szCs w:val="20"/>
      <w:lang w:val="zh-CN"/>
    </w:rPr>
  </w:style>
  <w:style w:type="paragraph" w:styleId="962">
    <w:name w:val="Body Text Indent 3"/>
    <w:basedOn w:val="912"/>
    <w:link w:val="1182"/>
    <w:uiPriority w:val="0"/>
    <w:qFormat/>
    <w:pPr>
      <w:ind w:left="645" w:firstLine="645"/>
    </w:pPr>
    <w:rPr>
      <w:rFonts w:ascii="Arial" w:hAnsi="Arial" w:eastAsia="仿宋_GB2312" w:cs="宋体"/>
      <w:color w:val="ffff00"/>
      <w:sz w:val="32"/>
      <w:szCs w:val="20"/>
      <w:lang w:val="zh-CN"/>
    </w:rPr>
  </w:style>
  <w:style w:type="paragraph" w:styleId="963">
    <w:name w:val="index 7"/>
    <w:basedOn w:val="912"/>
    <w:next w:val="912"/>
    <w:uiPriority w:val="0"/>
    <w:qFormat/>
    <w:pPr>
      <w:ind w:left="2520"/>
    </w:pPr>
    <w:rPr>
      <w:rFonts w:ascii="Times New Roman" w:hAnsi="Times New Roman" w:eastAsia="Calibri" w:cs="宋体"/>
      <w:sz w:val="20"/>
      <w:szCs w:val="20"/>
      <w:lang w:val="zh-CN"/>
    </w:rPr>
  </w:style>
  <w:style w:type="paragraph" w:styleId="964">
    <w:name w:val="index 9"/>
    <w:basedOn w:val="912"/>
    <w:next w:val="912"/>
    <w:uiPriority w:val="0"/>
    <w:qFormat/>
    <w:pPr>
      <w:ind w:left="3360"/>
    </w:pPr>
    <w:rPr>
      <w:rFonts w:ascii="Times New Roman" w:hAnsi="Times New Roman" w:eastAsia="Calibri" w:cs="宋体"/>
      <w:sz w:val="20"/>
      <w:szCs w:val="20"/>
      <w:lang w:val="zh-CN"/>
    </w:rPr>
  </w:style>
  <w:style w:type="paragraph" w:styleId="965">
    <w:name w:val="table of figures"/>
    <w:basedOn w:val="912"/>
    <w:next w:val="912"/>
    <w:uiPriority w:val="0"/>
    <w:qFormat/>
    <w:pPr>
      <w:ind w:left="840" w:hanging="420"/>
    </w:pPr>
    <w:rPr>
      <w:rFonts w:ascii="Times New Roman" w:hAnsi="Times New Roman" w:eastAsia="Calibri" w:cs="宋体"/>
      <w:sz w:val="20"/>
      <w:szCs w:val="20"/>
      <w:lang w:val="zh-CN"/>
    </w:rPr>
  </w:style>
  <w:style w:type="paragraph" w:styleId="966">
    <w:name w:val="toc 2"/>
    <w:basedOn w:val="912"/>
    <w:next w:val="912"/>
    <w:uiPriority w:val="0"/>
    <w:qFormat/>
    <w:pPr>
      <w:ind w:left="200"/>
    </w:pPr>
    <w:rPr>
      <w:rFonts w:ascii="Times New Roman" w:hAnsi="Times New Roman" w:eastAsia="Calibri" w:cs="宋体"/>
      <w:sz w:val="20"/>
      <w:szCs w:val="20"/>
      <w:lang w:val="zh-CN"/>
    </w:rPr>
  </w:style>
  <w:style w:type="paragraph" w:styleId="967">
    <w:name w:val="toc 9"/>
    <w:basedOn w:val="912"/>
    <w:next w:val="912"/>
    <w:uiPriority w:val="0"/>
    <w:qFormat/>
    <w:pPr>
      <w:ind w:left="1680"/>
      <w:jc w:val="left"/>
    </w:pPr>
    <w:rPr>
      <w:rFonts w:ascii="Times New Roman" w:hAnsi="Times New Roman" w:eastAsia="Calibri" w:cs="宋体"/>
      <w:sz w:val="18"/>
      <w:szCs w:val="20"/>
      <w:lang w:val="zh-CN"/>
    </w:rPr>
  </w:style>
  <w:style w:type="paragraph" w:styleId="968">
    <w:name w:val="Body Text 2"/>
    <w:basedOn w:val="912"/>
    <w:link w:val="1183"/>
    <w:uiPriority w:val="0"/>
    <w:qFormat/>
    <w:pPr>
      <w:jc w:val="center"/>
      <w:widowControl/>
    </w:pPr>
    <w:rPr>
      <w:rFonts w:ascii="楷体_GB2312" w:hAnsi="Times New Roman" w:eastAsia="楷体_GB2312" w:cs="宋体"/>
      <w:sz w:val="28"/>
      <w:szCs w:val="20"/>
      <w:lang w:val="zh-CN"/>
    </w:rPr>
  </w:style>
  <w:style w:type="paragraph" w:styleId="969">
    <w:name w:val="HTML Preformatted"/>
    <w:basedOn w:val="912"/>
    <w:link w:val="118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Times New Roman" w:eastAsia="黑体" w:cs="Courier New"/>
      <w:sz w:val="20"/>
      <w:szCs w:val="20"/>
      <w:lang w:val="zh-CN"/>
    </w:rPr>
  </w:style>
  <w:style w:type="paragraph" w:styleId="970">
    <w:name w:val="Normal (Web)"/>
    <w:basedOn w:val="912"/>
    <w:uiPriority w:val="99"/>
    <w:qFormat/>
    <w:pPr>
      <w:jc w:val="left"/>
      <w:spacing w:before="100" w:beforeAutospacing="1" w:after="100" w:afterAutospacing="1"/>
      <w:widowControl/>
    </w:pPr>
    <w:rPr>
      <w:rFonts w:ascii="宋体" w:hAnsi="宋体" w:eastAsia="宋体" w:cs="宋体"/>
      <w:sz w:val="24"/>
      <w:szCs w:val="24"/>
    </w:rPr>
  </w:style>
  <w:style w:type="paragraph" w:styleId="971">
    <w:name w:val="index 2"/>
    <w:basedOn w:val="912"/>
    <w:next w:val="912"/>
    <w:uiPriority w:val="0"/>
    <w:qFormat/>
    <w:pPr>
      <w:ind w:left="420"/>
    </w:pPr>
    <w:rPr>
      <w:rFonts w:ascii="Times New Roman" w:hAnsi="Times New Roman" w:eastAsia="Calibri" w:cs="宋体"/>
      <w:sz w:val="20"/>
      <w:szCs w:val="20"/>
      <w:lang w:val="zh-CN"/>
    </w:rPr>
  </w:style>
  <w:style w:type="paragraph" w:styleId="972">
    <w:name w:val="Title"/>
    <w:basedOn w:val="912"/>
    <w:next w:val="912"/>
    <w:link w:val="1185"/>
    <w:uiPriority w:val="0"/>
    <w:qFormat/>
    <w:pPr>
      <w:jc w:val="center"/>
      <w:spacing w:before="240" w:after="60"/>
      <w:outlineLvl w:val="0"/>
    </w:pPr>
    <w:rPr>
      <w:rFonts w:ascii="Cambria" w:hAnsi="Cambria" w:eastAsia="Calibri" w:cs="宋体"/>
      <w:b/>
      <w:bCs/>
      <w:sz w:val="32"/>
      <w:szCs w:val="32"/>
      <w:lang w:val="zh-CN"/>
    </w:rPr>
  </w:style>
  <w:style w:type="paragraph" w:styleId="973">
    <w:name w:val="annotation subject"/>
    <w:basedOn w:val="935"/>
    <w:next w:val="935"/>
    <w:link w:val="1163"/>
    <w:uiPriority w:val="0"/>
    <w:unhideWhenUsed/>
    <w:qFormat/>
    <w:rPr>
      <w:b/>
      <w:bCs/>
    </w:rPr>
  </w:style>
  <w:style w:type="paragraph" w:styleId="974">
    <w:name w:val="Body Text First Indent"/>
    <w:basedOn w:val="939"/>
    <w:link w:val="1518"/>
    <w:uiPriority w:val="0"/>
    <w:qFormat/>
    <w:pPr>
      <w:ind w:firstLine="420"/>
      <w:spacing w:after="120"/>
    </w:pPr>
    <w:rPr>
      <w:rFonts w:ascii="Times New Roman" w:hAnsi="Times New Roman"/>
      <w:szCs w:val="24"/>
    </w:rPr>
  </w:style>
  <w:style w:type="paragraph" w:styleId="975">
    <w:name w:val="Body Text First Indent 2"/>
    <w:basedOn w:val="940"/>
    <w:next w:val="912"/>
    <w:uiPriority w:val="99"/>
    <w:qFormat/>
    <w:pPr>
      <w:ind w:firstLine="420"/>
    </w:pPr>
  </w:style>
  <w:style w:type="table" w:styleId="976">
    <w:name w:val="Table Grid"/>
    <w:basedOn w:val="923"/>
    <w:uiPriority w:val="3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977">
    <w:name w:val="Strong"/>
    <w:uiPriority w:val="0"/>
    <w:qFormat/>
    <w:rPr>
      <w:b/>
      <w:bCs/>
    </w:rPr>
  </w:style>
  <w:style w:type="character" w:styleId="978">
    <w:name w:val="endnote reference"/>
    <w:uiPriority w:val="0"/>
    <w:qFormat/>
    <w:rPr>
      <w:vertAlign w:val="superscript"/>
    </w:rPr>
  </w:style>
  <w:style w:type="character" w:styleId="979">
    <w:name w:val="page number"/>
    <w:basedOn w:val="922"/>
    <w:uiPriority w:val="0"/>
    <w:qFormat/>
  </w:style>
  <w:style w:type="character" w:styleId="980">
    <w:name w:val="FollowedHyperlink"/>
    <w:uiPriority w:val="0"/>
    <w:qFormat/>
    <w:rPr>
      <w:color w:val="800080"/>
      <w:u w:val="single"/>
    </w:rPr>
  </w:style>
  <w:style w:type="character" w:styleId="981">
    <w:name w:val="Emphasis"/>
    <w:uiPriority w:val="0"/>
    <w:qFormat/>
    <w:rPr>
      <w:i/>
      <w:iCs/>
    </w:rPr>
  </w:style>
  <w:style w:type="character" w:styleId="982">
    <w:name w:val="line number"/>
    <w:uiPriority w:val="0"/>
    <w:qFormat/>
  </w:style>
  <w:style w:type="character" w:styleId="983">
    <w:name w:val="HTML Definition"/>
    <w:uiPriority w:val="99"/>
    <w:unhideWhenUsed/>
    <w:qFormat/>
    <w:rPr>
      <w:i/>
      <w:shd w:val="clear" w:color="auto" w:fill="f4f4f4"/>
    </w:rPr>
  </w:style>
  <w:style w:type="character" w:styleId="984">
    <w:name w:val="HTML Typewriter"/>
    <w:uiPriority w:val="0"/>
    <w:qFormat/>
    <w:rPr>
      <w:rFonts w:ascii="宋体" w:eastAsia="宋体" w:cs="宋体"/>
      <w:sz w:val="24"/>
      <w:szCs w:val="24"/>
      <w:lang w:bidi="ar-SA"/>
    </w:rPr>
  </w:style>
  <w:style w:type="character" w:styleId="985">
    <w:name w:val="Hyperlink"/>
    <w:uiPriority w:val="0"/>
    <w:qFormat/>
    <w:rPr>
      <w:color w:val="0000ff"/>
      <w:u w:val="single"/>
    </w:rPr>
  </w:style>
  <w:style w:type="character" w:styleId="986">
    <w:name w:val="annotation reference"/>
    <w:basedOn w:val="922"/>
    <w:uiPriority w:val="0"/>
    <w:unhideWhenUsed/>
    <w:qFormat/>
    <w:rPr>
      <w:sz w:val="21"/>
      <w:szCs w:val="21"/>
    </w:rPr>
  </w:style>
  <w:style w:type="character" w:styleId="987">
    <w:name w:val="footnote reference"/>
    <w:uiPriority w:val="0"/>
    <w:qFormat/>
    <w:rPr>
      <w:vertAlign w:val="superscript"/>
    </w:rPr>
  </w:style>
  <w:style w:type="character" w:styleId="988">
    <w:name w:val="HTML Sample"/>
    <w:uiPriority w:val="0"/>
    <w:qFormat/>
    <w:rPr>
      <w:rFonts w:ascii="Courier New" w:hAnsi="Courier New" w:eastAsia="宋体" w:cs="Courier New"/>
      <w:lang w:bidi="ar-SA"/>
    </w:rPr>
  </w:style>
  <w:style w:type="paragraph" w:styleId="989" w:customStyle="1">
    <w:name w:val="索引 41"/>
    <w:basedOn w:val="912"/>
    <w:next w:val="912"/>
    <w:uiPriority w:val="0"/>
    <w:semiHidden/>
    <w:qFormat/>
    <w:pPr>
      <w:ind w:left="1260"/>
    </w:pPr>
    <w:rPr>
      <w:rFonts w:ascii="Calibri" w:hAnsi="Calibri" w:eastAsia="Calibri" w:cs="宋体"/>
      <w:sz w:val="20"/>
      <w:lang w:val="zh-CN"/>
    </w:rPr>
  </w:style>
  <w:style w:type="paragraph" w:styleId="990">
    <w:name w:val="List Paragraph"/>
    <w:basedOn w:val="912"/>
    <w:link w:val="1140"/>
    <w:uiPriority w:val="0"/>
    <w:qFormat/>
    <w:pPr>
      <w:ind w:firstLine="420"/>
    </w:pPr>
  </w:style>
  <w:style w:type="character" w:styleId="991" w:customStyle="1">
    <w:name w:val="Heading 1 Char"/>
    <w:basedOn w:val="922"/>
    <w:uiPriority w:val="9"/>
    <w:qFormat/>
    <w:rPr>
      <w:rFonts w:ascii="Arial" w:hAnsi="Arial" w:eastAsia="Arial" w:cs="Arial"/>
      <w:sz w:val="40"/>
      <w:szCs w:val="40"/>
    </w:rPr>
  </w:style>
  <w:style w:type="character" w:styleId="992" w:customStyle="1">
    <w:name w:val="Heading 2 Char"/>
    <w:basedOn w:val="922"/>
    <w:uiPriority w:val="9"/>
    <w:qFormat/>
    <w:rPr>
      <w:rFonts w:ascii="Arial" w:hAnsi="Arial" w:eastAsia="Arial" w:cs="Arial"/>
      <w:sz w:val="34"/>
    </w:rPr>
  </w:style>
  <w:style w:type="character" w:styleId="993" w:customStyle="1">
    <w:name w:val="Heading 3 Char"/>
    <w:basedOn w:val="922"/>
    <w:uiPriority w:val="9"/>
    <w:qFormat/>
    <w:rPr>
      <w:rFonts w:ascii="Arial" w:hAnsi="Arial" w:eastAsia="Arial" w:cs="Arial"/>
      <w:sz w:val="30"/>
      <w:szCs w:val="30"/>
    </w:rPr>
  </w:style>
  <w:style w:type="character" w:styleId="994" w:customStyle="1">
    <w:name w:val="Heading 4 Char"/>
    <w:basedOn w:val="922"/>
    <w:uiPriority w:val="9"/>
    <w:qFormat/>
    <w:rPr>
      <w:rFonts w:ascii="Arial" w:hAnsi="Arial" w:eastAsia="Arial" w:cs="Arial"/>
      <w:b/>
      <w:bCs/>
      <w:sz w:val="26"/>
      <w:szCs w:val="26"/>
    </w:rPr>
  </w:style>
  <w:style w:type="character" w:styleId="995" w:customStyle="1">
    <w:name w:val="Heading 5 Char"/>
    <w:basedOn w:val="922"/>
    <w:uiPriority w:val="9"/>
    <w:qFormat/>
    <w:rPr>
      <w:rFonts w:ascii="Arial" w:hAnsi="Arial" w:eastAsia="Arial" w:cs="Arial"/>
      <w:b/>
      <w:bCs/>
      <w:sz w:val="24"/>
      <w:szCs w:val="24"/>
    </w:rPr>
  </w:style>
  <w:style w:type="character" w:styleId="996" w:customStyle="1">
    <w:name w:val="Heading 6 Char"/>
    <w:basedOn w:val="922"/>
    <w:uiPriority w:val="9"/>
    <w:qFormat/>
    <w:rPr>
      <w:rFonts w:ascii="Arial" w:hAnsi="Arial" w:eastAsia="Arial" w:cs="Arial"/>
      <w:b/>
      <w:bCs/>
      <w:sz w:val="22"/>
      <w:szCs w:val="22"/>
    </w:rPr>
  </w:style>
  <w:style w:type="character" w:styleId="997" w:customStyle="1">
    <w:name w:val="Heading 7 Char"/>
    <w:basedOn w:val="922"/>
    <w:uiPriority w:val="9"/>
    <w:qFormat/>
    <w:rPr>
      <w:rFonts w:ascii="Arial" w:hAnsi="Arial" w:eastAsia="Arial" w:cs="Arial"/>
      <w:b/>
      <w:bCs/>
      <w:i/>
      <w:iCs/>
      <w:sz w:val="22"/>
      <w:szCs w:val="22"/>
    </w:rPr>
  </w:style>
  <w:style w:type="character" w:styleId="998" w:customStyle="1">
    <w:name w:val="Heading 8 Char"/>
    <w:basedOn w:val="922"/>
    <w:uiPriority w:val="9"/>
    <w:qFormat/>
    <w:rPr>
      <w:rFonts w:ascii="Arial" w:hAnsi="Arial" w:eastAsia="Arial" w:cs="Arial"/>
      <w:i/>
      <w:iCs/>
      <w:sz w:val="22"/>
      <w:szCs w:val="22"/>
    </w:rPr>
  </w:style>
  <w:style w:type="character" w:styleId="999" w:customStyle="1">
    <w:name w:val="Heading 9 Char"/>
    <w:basedOn w:val="922"/>
    <w:uiPriority w:val="9"/>
    <w:qFormat/>
    <w:rPr>
      <w:rFonts w:ascii="Arial" w:hAnsi="Arial" w:eastAsia="Arial" w:cs="Arial"/>
      <w:i/>
      <w:iCs/>
      <w:sz w:val="21"/>
      <w:szCs w:val="21"/>
    </w:rPr>
  </w:style>
  <w:style w:type="character" w:styleId="1000" w:customStyle="1">
    <w:name w:val="Title Char"/>
    <w:basedOn w:val="922"/>
    <w:uiPriority w:val="10"/>
    <w:qFormat/>
    <w:rPr>
      <w:sz w:val="48"/>
      <w:szCs w:val="48"/>
    </w:rPr>
  </w:style>
  <w:style w:type="character" w:styleId="1001" w:customStyle="1">
    <w:name w:val="Subtitle Char"/>
    <w:basedOn w:val="922"/>
    <w:uiPriority w:val="11"/>
    <w:qFormat/>
    <w:rPr>
      <w:sz w:val="24"/>
      <w:szCs w:val="24"/>
    </w:rPr>
  </w:style>
  <w:style w:type="character" w:styleId="1002" w:customStyle="1">
    <w:name w:val="Quote Char"/>
    <w:uiPriority w:val="29"/>
    <w:qFormat/>
    <w:rPr>
      <w:i/>
    </w:rPr>
  </w:style>
  <w:style w:type="character" w:styleId="1003" w:customStyle="1">
    <w:name w:val="Intense Quote Char"/>
    <w:uiPriority w:val="30"/>
    <w:qFormat/>
    <w:rPr>
      <w:i/>
    </w:rPr>
  </w:style>
  <w:style w:type="character" w:styleId="1004" w:customStyle="1">
    <w:name w:val="Header Char"/>
    <w:basedOn w:val="922"/>
    <w:uiPriority w:val="99"/>
    <w:qFormat/>
  </w:style>
  <w:style w:type="character" w:styleId="1005" w:customStyle="1">
    <w:name w:val="Footer Char"/>
    <w:basedOn w:val="922"/>
    <w:uiPriority w:val="99"/>
    <w:qFormat/>
  </w:style>
  <w:style w:type="character" w:styleId="1006" w:customStyle="1">
    <w:name w:val="Caption Char"/>
    <w:uiPriority w:val="99"/>
    <w:qFormat/>
  </w:style>
  <w:style w:type="table" w:styleId="1007" w:customStyle="1">
    <w:name w:val="Table Grid Light"/>
    <w:basedOn w:val="92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08" w:customStyle="1">
    <w:name w:val="Plain Table 1"/>
    <w:basedOn w:val="92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9" w:customStyle="1">
    <w:name w:val="Plain Table 2"/>
    <w:basedOn w:val="92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0" w:customStyle="1">
    <w:name w:val="Plain Table 3"/>
    <w:basedOn w:val="9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1" w:customStyle="1">
    <w:name w:val="Plain Table 4"/>
    <w:basedOn w:val="9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2" w:customStyle="1">
    <w:name w:val="Plain Table 5"/>
    <w:basedOn w:val="9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3" w:customStyle="1">
    <w:name w:val="Grid Table 1 Light"/>
    <w:basedOn w:val="92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14" w:customStyle="1">
    <w:name w:val="Grid Table 1 Light - Accent 1"/>
    <w:basedOn w:val="92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15" w:customStyle="1">
    <w:name w:val="Grid Table 1 Light - Accent 2"/>
    <w:basedOn w:val="92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16" w:customStyle="1">
    <w:name w:val="Grid Table 1 Light - Accent 3"/>
    <w:basedOn w:val="92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17" w:customStyle="1">
    <w:name w:val="Grid Table 1 Light - Accent 4"/>
    <w:basedOn w:val="92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18" w:customStyle="1">
    <w:name w:val="Grid Table 1 Light - Accent 5"/>
    <w:basedOn w:val="92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19" w:customStyle="1">
    <w:name w:val="Grid Table 1 Light - Accent 6"/>
    <w:basedOn w:val="92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20" w:customStyle="1">
    <w:name w:val="Grid Table 2"/>
    <w:basedOn w:val="9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21" w:customStyle="1">
    <w:name w:val="Grid Table 2 - Accent 1"/>
    <w:basedOn w:val="92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22" w:customStyle="1">
    <w:name w:val="Grid Table 2 - Accent 2"/>
    <w:basedOn w:val="92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23" w:customStyle="1">
    <w:name w:val="Grid Table 2 - Accent 3"/>
    <w:basedOn w:val="92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24" w:customStyle="1">
    <w:name w:val="Grid Table 2 - Accent 4"/>
    <w:basedOn w:val="92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25" w:customStyle="1">
    <w:name w:val="Grid Table 2 - Accent 5"/>
    <w:basedOn w:val="92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26" w:customStyle="1">
    <w:name w:val="Grid Table 2 - Accent 6"/>
    <w:basedOn w:val="92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27" w:customStyle="1">
    <w:name w:val="Grid Table 3"/>
    <w:basedOn w:val="9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8" w:customStyle="1">
    <w:name w:val="Grid Table 3 - Accent 1"/>
    <w:basedOn w:val="92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9" w:customStyle="1">
    <w:name w:val="Grid Table 3 - Accent 2"/>
    <w:basedOn w:val="92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0" w:customStyle="1">
    <w:name w:val="Grid Table 3 - Accent 3"/>
    <w:basedOn w:val="92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1" w:customStyle="1">
    <w:name w:val="Grid Table 3 - Accent 4"/>
    <w:basedOn w:val="92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2" w:customStyle="1">
    <w:name w:val="Grid Table 3 - Accent 5"/>
    <w:basedOn w:val="92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3" w:customStyle="1">
    <w:name w:val="Grid Table 3 - Accent 6"/>
    <w:basedOn w:val="92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4" w:customStyle="1">
    <w:name w:val="Grid Table 4"/>
    <w:basedOn w:val="92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5" w:customStyle="1">
    <w:name w:val="Grid Table 4 - Accent 1"/>
    <w:basedOn w:val="923"/>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36" w:customStyle="1">
    <w:name w:val="Grid Table 4 - Accent 2"/>
    <w:basedOn w:val="92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37" w:customStyle="1">
    <w:name w:val="Grid Table 4 - Accent 3"/>
    <w:basedOn w:val="92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38" w:customStyle="1">
    <w:name w:val="Grid Table 4 - Accent 4"/>
    <w:basedOn w:val="92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39" w:customStyle="1">
    <w:name w:val="Grid Table 4 - Accent 5"/>
    <w:basedOn w:val="92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40" w:customStyle="1">
    <w:name w:val="Grid Table 4 - Accent 6"/>
    <w:basedOn w:val="92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41" w:customStyle="1">
    <w:name w:val="Grid Table 5 Dark"/>
    <w:basedOn w:val="9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42" w:customStyle="1">
    <w:name w:val="Grid Table 5 Dark- Accent 1"/>
    <w:basedOn w:val="9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43" w:customStyle="1">
    <w:name w:val="Grid Table 5 Dark - Accent 2"/>
    <w:basedOn w:val="9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44" w:customStyle="1">
    <w:name w:val="Grid Table 5 Dark - Accent 3"/>
    <w:basedOn w:val="9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45" w:customStyle="1">
    <w:name w:val="Grid Table 5 Dark- Accent 4"/>
    <w:basedOn w:val="9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46" w:customStyle="1">
    <w:name w:val="Grid Table 5 Dark - Accent 5"/>
    <w:basedOn w:val="9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47" w:customStyle="1">
    <w:name w:val="Grid Table 5 Dark - Accent 6"/>
    <w:basedOn w:val="9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48" w:customStyle="1">
    <w:name w:val="Grid Table 6 Colorful"/>
    <w:basedOn w:val="92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49" w:customStyle="1">
    <w:name w:val="Grid Table 6 Colorful - Accent 1"/>
    <w:basedOn w:val="92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50" w:customStyle="1">
    <w:name w:val="Grid Table 6 Colorful - Accent 2"/>
    <w:basedOn w:val="92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51" w:customStyle="1">
    <w:name w:val="Grid Table 6 Colorful - Accent 3"/>
    <w:basedOn w:val="92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52" w:customStyle="1">
    <w:name w:val="Grid Table 6 Colorful - Accent 4"/>
    <w:basedOn w:val="92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53" w:customStyle="1">
    <w:name w:val="Grid Table 6 Colorful - Accent 5"/>
    <w:basedOn w:val="92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54" w:customStyle="1">
    <w:name w:val="Grid Table 6 Colorful - Accent 6"/>
    <w:basedOn w:val="92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55" w:customStyle="1">
    <w:name w:val="Grid Table 7 Colorful"/>
    <w:basedOn w:val="92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6" w:customStyle="1">
    <w:name w:val="Grid Table 7 Colorful - Accent 1"/>
    <w:basedOn w:val="92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57" w:customStyle="1">
    <w:name w:val="Grid Table 7 Colorful - Accent 2"/>
    <w:basedOn w:val="923"/>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8" w:customStyle="1">
    <w:name w:val="Grid Table 7 Colorful - Accent 3"/>
    <w:basedOn w:val="92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59" w:customStyle="1">
    <w:name w:val="Grid Table 7 Colorful - Accent 4"/>
    <w:basedOn w:val="92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0" w:customStyle="1">
    <w:name w:val="Grid Table 7 Colorful - Accent 5"/>
    <w:basedOn w:val="92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61" w:customStyle="1">
    <w:name w:val="Grid Table 7 Colorful - Accent 6"/>
    <w:basedOn w:val="923"/>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62" w:customStyle="1">
    <w:name w:val="List Table 1 Light"/>
    <w:basedOn w:val="92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3" w:customStyle="1">
    <w:name w:val="List Table 1 Light - Accent 1"/>
    <w:basedOn w:val="923"/>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64" w:customStyle="1">
    <w:name w:val="List Table 1 Light - Accent 2"/>
    <w:basedOn w:val="923"/>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65" w:customStyle="1">
    <w:name w:val="List Table 1 Light - Accent 3"/>
    <w:basedOn w:val="92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66" w:customStyle="1">
    <w:name w:val="List Table 1 Light - Accent 4"/>
    <w:basedOn w:val="923"/>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67" w:customStyle="1">
    <w:name w:val="List Table 1 Light - Accent 5"/>
    <w:basedOn w:val="923"/>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68" w:customStyle="1">
    <w:name w:val="List Table 1 Light - Accent 6"/>
    <w:basedOn w:val="923"/>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69" w:customStyle="1">
    <w:name w:val="List Table 2"/>
    <w:basedOn w:val="92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70" w:customStyle="1">
    <w:name w:val="List Table 2 - Accent 1"/>
    <w:basedOn w:val="92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71" w:customStyle="1">
    <w:name w:val="List Table 2 - Accent 2"/>
    <w:basedOn w:val="923"/>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72" w:customStyle="1">
    <w:name w:val="List Table 2 - Accent 3"/>
    <w:basedOn w:val="92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73" w:customStyle="1">
    <w:name w:val="List Table 2 - Accent 4"/>
    <w:basedOn w:val="92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74" w:customStyle="1">
    <w:name w:val="List Table 2 - Accent 5"/>
    <w:basedOn w:val="92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75" w:customStyle="1">
    <w:name w:val="List Table 2 - Accent 6"/>
    <w:basedOn w:val="92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76" w:customStyle="1">
    <w:name w:val="List Table 3"/>
    <w:basedOn w:val="9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7" w:customStyle="1">
    <w:name w:val="List Table 3 - Accent 1"/>
    <w:basedOn w:val="923"/>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78" w:customStyle="1">
    <w:name w:val="List Table 3 - Accent 2"/>
    <w:basedOn w:val="92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79" w:customStyle="1">
    <w:name w:val="List Table 3 - Accent 3"/>
    <w:basedOn w:val="92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80" w:customStyle="1">
    <w:name w:val="List Table 3 - Accent 4"/>
    <w:basedOn w:val="92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81" w:customStyle="1">
    <w:name w:val="List Table 3 - Accent 5"/>
    <w:basedOn w:val="923"/>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82" w:customStyle="1">
    <w:name w:val="List Table 3 - Accent 6"/>
    <w:basedOn w:val="92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83" w:customStyle="1">
    <w:name w:val="List Table 4"/>
    <w:basedOn w:val="9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4" w:customStyle="1">
    <w:name w:val="List Table 4 - Accent 1"/>
    <w:basedOn w:val="923"/>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5" w:customStyle="1">
    <w:name w:val="List Table 4 - Accent 2"/>
    <w:basedOn w:val="923"/>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86" w:customStyle="1">
    <w:name w:val="List Table 4 - Accent 3"/>
    <w:basedOn w:val="92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87" w:customStyle="1">
    <w:name w:val="List Table 4 - Accent 4"/>
    <w:basedOn w:val="923"/>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88" w:customStyle="1">
    <w:name w:val="List Table 4 - Accent 5"/>
    <w:basedOn w:val="923"/>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89" w:customStyle="1">
    <w:name w:val="List Table 4 - Accent 6"/>
    <w:basedOn w:val="923"/>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90" w:customStyle="1">
    <w:name w:val="List Table 5 Dark"/>
    <w:basedOn w:val="92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1" w:customStyle="1">
    <w:name w:val="List Table 5 Dark - Accent 1"/>
    <w:basedOn w:val="923"/>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2" w:customStyle="1">
    <w:name w:val="List Table 5 Dark - Accent 2"/>
    <w:basedOn w:val="923"/>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3" w:customStyle="1">
    <w:name w:val="List Table 5 Dark - Accent 3"/>
    <w:basedOn w:val="92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4" w:customStyle="1">
    <w:name w:val="List Table 5 Dark - Accent 4"/>
    <w:basedOn w:val="923"/>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5" w:customStyle="1">
    <w:name w:val="List Table 5 Dark - Accent 5"/>
    <w:basedOn w:val="92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6" w:customStyle="1">
    <w:name w:val="List Table 5 Dark - Accent 6"/>
    <w:basedOn w:val="92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7" w:customStyle="1">
    <w:name w:val="List Table 6 Colorful"/>
    <w:basedOn w:val="92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98" w:customStyle="1">
    <w:name w:val="List Table 6 Colorful - Accent 1"/>
    <w:basedOn w:val="923"/>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99" w:customStyle="1">
    <w:name w:val="List Table 6 Colorful - Accent 2"/>
    <w:basedOn w:val="923"/>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00" w:customStyle="1">
    <w:name w:val="List Table 6 Colorful - Accent 3"/>
    <w:basedOn w:val="92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01" w:customStyle="1">
    <w:name w:val="List Table 6 Colorful - Accent 4"/>
    <w:basedOn w:val="923"/>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02" w:customStyle="1">
    <w:name w:val="List Table 6 Colorful - Accent 5"/>
    <w:basedOn w:val="923"/>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03" w:customStyle="1">
    <w:name w:val="List Table 6 Colorful - Accent 6"/>
    <w:basedOn w:val="923"/>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04" w:customStyle="1">
    <w:name w:val="List Table 7 Colorful"/>
    <w:basedOn w:val="92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5" w:customStyle="1">
    <w:name w:val="List Table 7 Colorful - Accent 1"/>
    <w:basedOn w:val="923"/>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06" w:customStyle="1">
    <w:name w:val="List Table 7 Colorful - Accent 2"/>
    <w:basedOn w:val="923"/>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07" w:customStyle="1">
    <w:name w:val="List Table 7 Colorful - Accent 3"/>
    <w:basedOn w:val="92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08" w:customStyle="1">
    <w:name w:val="List Table 7 Colorful - Accent 4"/>
    <w:basedOn w:val="923"/>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09" w:customStyle="1">
    <w:name w:val="List Table 7 Colorful - Accent 5"/>
    <w:basedOn w:val="923"/>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10" w:customStyle="1">
    <w:name w:val="List Table 7 Colorful - Accent 6"/>
    <w:basedOn w:val="923"/>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11" w:customStyle="1">
    <w:name w:val="Lined - Accent"/>
    <w:basedOn w:val="9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2" w:customStyle="1">
    <w:name w:val="Lined - Accent 1"/>
    <w:basedOn w:val="9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3" w:customStyle="1">
    <w:name w:val="Lined - Accent 2"/>
    <w:basedOn w:val="9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14" w:customStyle="1">
    <w:name w:val="Lined - Accent 3"/>
    <w:basedOn w:val="9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15" w:customStyle="1">
    <w:name w:val="Lined - Accent 4"/>
    <w:basedOn w:val="9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16" w:customStyle="1">
    <w:name w:val="Lined - Accent 5"/>
    <w:basedOn w:val="9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17" w:customStyle="1">
    <w:name w:val="Lined - Accent 6"/>
    <w:basedOn w:val="9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18" w:customStyle="1">
    <w:name w:val="Bordered &amp; Lined - Accent"/>
    <w:basedOn w:val="92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9" w:customStyle="1">
    <w:name w:val="Bordered &amp; Lined - Accent 1"/>
    <w:basedOn w:val="923"/>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20" w:customStyle="1">
    <w:name w:val="Bordered &amp; Lined - Accent 2"/>
    <w:basedOn w:val="92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21" w:customStyle="1">
    <w:name w:val="Bordered &amp; Lined - Accent 3"/>
    <w:basedOn w:val="92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22" w:customStyle="1">
    <w:name w:val="Bordered &amp; Lined - Accent 4"/>
    <w:basedOn w:val="923"/>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3" w:customStyle="1">
    <w:name w:val="Bordered &amp; Lined - Accent 5"/>
    <w:basedOn w:val="923"/>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24" w:customStyle="1">
    <w:name w:val="Bordered &amp; Lined - Accent 6"/>
    <w:basedOn w:val="923"/>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25" w:customStyle="1">
    <w:name w:val="Bordered"/>
    <w:basedOn w:val="92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26" w:customStyle="1">
    <w:name w:val="Bordered - Accent 1"/>
    <w:basedOn w:val="92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27" w:customStyle="1">
    <w:name w:val="Bordered - Accent 2"/>
    <w:basedOn w:val="92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28" w:customStyle="1">
    <w:name w:val="Bordered - Accent 3"/>
    <w:basedOn w:val="92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29" w:customStyle="1">
    <w:name w:val="Bordered - Accent 4"/>
    <w:basedOn w:val="92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30" w:customStyle="1">
    <w:name w:val="Bordered - Accent 5"/>
    <w:basedOn w:val="92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31" w:customStyle="1">
    <w:name w:val="Bordered - Accent 6"/>
    <w:basedOn w:val="92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32" w:customStyle="1">
    <w:name w:val="Footnote Text Char"/>
    <w:uiPriority w:val="99"/>
    <w:qFormat/>
    <w:rPr>
      <w:sz w:val="18"/>
    </w:rPr>
  </w:style>
  <w:style w:type="character" w:styleId="1133" w:customStyle="1">
    <w:name w:val="Endnote Text Char"/>
    <w:uiPriority w:val="99"/>
    <w:qFormat/>
    <w:rPr>
      <w:sz w:val="20"/>
    </w:rPr>
  </w:style>
  <w:style w:type="paragraph" w:styleId="1134" w:customStyle="1">
    <w:name w:val="TOC Heading"/>
    <w:uiPriority w:val="39"/>
    <w:unhideWhenUsed/>
    <w:qFormat/>
    <w:rPr>
      <w:rFonts w:hint="default" w:ascii="Times New Roman" w:hAnsi="Times New Roman" w:eastAsia="宋体" w:cs="Times New Roman"/>
    </w:rPr>
  </w:style>
  <w:style w:type="character" w:styleId="1135" w:customStyle="1">
    <w:name w:val="日期 字符"/>
    <w:basedOn w:val="922"/>
    <w:link w:val="948"/>
    <w:uiPriority w:val="99"/>
    <w:semiHidden/>
    <w:qFormat/>
  </w:style>
  <w:style w:type="character" w:styleId="1136" w:customStyle="1">
    <w:name w:val="页眉 字符"/>
    <w:basedOn w:val="922"/>
    <w:link w:val="953"/>
    <w:uiPriority w:val="99"/>
    <w:qFormat/>
    <w:rPr>
      <w:sz w:val="18"/>
      <w:szCs w:val="18"/>
    </w:rPr>
  </w:style>
  <w:style w:type="character" w:styleId="1137" w:customStyle="1">
    <w:name w:val="页脚 字符"/>
    <w:basedOn w:val="922"/>
    <w:link w:val="952"/>
    <w:uiPriority w:val="99"/>
    <w:qFormat/>
    <w:rPr>
      <w:sz w:val="18"/>
      <w:szCs w:val="18"/>
    </w:rPr>
  </w:style>
  <w:style w:type="paragraph" w:styleId="1138" w:customStyle="1">
    <w:name w:val="_Style 14"/>
    <w:basedOn w:val="912"/>
    <w:next w:val="912"/>
    <w:uiPriority w:val="39"/>
    <w:qFormat/>
    <w:pPr>
      <w:spacing w:line="360" w:lineRule="auto"/>
      <w:tabs>
        <w:tab w:val="right" w:pos="8720" w:leader="dot"/>
      </w:tabs>
    </w:pPr>
    <w:rPr>
      <w:rFonts w:ascii="Times New Roman" w:hAnsi="Times New Roman" w:eastAsia="宋体" w:cs="Times New Roman"/>
      <w:szCs w:val="24"/>
    </w:rPr>
  </w:style>
  <w:style w:type="paragraph" w:styleId="1139" w:customStyle="1">
    <w:name w:val="格式4"/>
    <w:basedOn w:val="912"/>
    <w:uiPriority w:val="0"/>
    <w:qFormat/>
    <w:pPr>
      <w:ind w:left="990" w:hanging="360"/>
      <w:spacing w:line="420" w:lineRule="exact"/>
    </w:pPr>
    <w:rPr>
      <w:rFonts w:ascii="宋体" w:hAnsi="宋体" w:eastAsia="宋体" w:cs="Times New Roman"/>
      <w:color w:val="000000"/>
      <w:sz w:val="24"/>
      <w:szCs w:val="20"/>
    </w:rPr>
  </w:style>
  <w:style w:type="character" w:styleId="1140" w:customStyle="1">
    <w:name w:val="列出段落 字符"/>
    <w:link w:val="990"/>
    <w:uiPriority w:val="34"/>
    <w:qFormat/>
  </w:style>
  <w:style w:type="character" w:styleId="1141" w:customStyle="1">
    <w:name w:val="标题 2 字符"/>
    <w:basedOn w:val="922"/>
    <w:link w:val="914"/>
    <w:uiPriority w:val="0"/>
    <w:qFormat/>
    <w:rPr>
      <w:rFonts w:ascii="宋体" w:hAnsi="宋体" w:eastAsia="宋体" w:cs="Times New Roman"/>
      <w:b/>
      <w:szCs w:val="24"/>
    </w:rPr>
  </w:style>
  <w:style w:type="character" w:styleId="1142" w:customStyle="1">
    <w:name w:val="标题 1 字符"/>
    <w:basedOn w:val="922"/>
    <w:link w:val="913"/>
    <w:uiPriority w:val="9"/>
    <w:qFormat/>
    <w:rPr>
      <w:b/>
      <w:bCs/>
      <w:sz w:val="44"/>
      <w:szCs w:val="44"/>
    </w:rPr>
  </w:style>
  <w:style w:type="character" w:styleId="1143" w:customStyle="1">
    <w:name w:val="正文文本 字符"/>
    <w:link w:val="939"/>
    <w:uiPriority w:val="0"/>
    <w:qFormat/>
    <w:rPr>
      <w:rFonts w:ascii="宋体" w:hAnsi="宋体" w:cs="Times New Roman"/>
      <w:szCs w:val="21"/>
      <w:lang w:eastAsia="en-US"/>
    </w:rPr>
  </w:style>
  <w:style w:type="character" w:styleId="1144" w:customStyle="1">
    <w:name w:val="正文文本 字符1"/>
    <w:basedOn w:val="922"/>
    <w:uiPriority w:val="99"/>
    <w:semiHidden/>
    <w:qFormat/>
  </w:style>
  <w:style w:type="paragraph" w:styleId="1145" w:customStyle="1">
    <w:name w:val="首行缩进"/>
    <w:basedOn w:val="912"/>
    <w:uiPriority w:val="0"/>
    <w:qFormat/>
    <w:pPr>
      <w:ind w:firstLine="720"/>
      <w:jc w:val="left"/>
    </w:pPr>
    <w:rPr>
      <w:rFonts w:ascii="宋体" w:hAnsi="宋体" w:eastAsia="宋体" w:cs="Times New Roman"/>
      <w:sz w:val="24"/>
      <w:szCs w:val="20"/>
    </w:rPr>
  </w:style>
  <w:style w:type="character" w:styleId="1146" w:customStyle="1">
    <w:name w:val="纯文本 字符"/>
    <w:basedOn w:val="922"/>
    <w:link w:val="945"/>
    <w:uiPriority w:val="0"/>
    <w:qFormat/>
    <w:rPr>
      <w:rFonts w:ascii="宋体" w:hAnsi="Courier New" w:eastAsia="宋体" w:cs="Times New Roman"/>
      <w:sz w:val="21"/>
      <w:szCs w:val="21"/>
    </w:rPr>
  </w:style>
  <w:style w:type="paragraph" w:styleId="1147" w:customStyle="1">
    <w:name w:val="Default"/>
    <w:uiPriority w:val="0"/>
    <w:qFormat/>
    <w:pPr>
      <w:widowControl w:val="off"/>
    </w:pPr>
    <w:rPr>
      <w:rFonts w:hint="default" w:ascii="宋体" w:hAnsi="Calibri" w:eastAsia="宋体" w:cs="宋体"/>
      <w:color w:val="000000"/>
      <w:sz w:val="24"/>
      <w:szCs w:val="24"/>
    </w:rPr>
  </w:style>
  <w:style w:type="paragraph" w:styleId="1148" w:customStyle="1">
    <w:name w:val="列出段落11"/>
    <w:basedOn w:val="912"/>
    <w:uiPriority w:val="0"/>
    <w:qFormat/>
    <w:pPr>
      <w:ind w:firstLine="420"/>
      <w:jc w:val="left"/>
    </w:pPr>
    <w:rPr>
      <w:rFonts w:ascii="Calibri" w:hAnsi="Calibri" w:eastAsia="宋体" w:cs="宋体"/>
      <w:sz w:val="22"/>
      <w:lang w:val="zh-CN" w:bidi="zh-CN"/>
    </w:rPr>
  </w:style>
  <w:style w:type="paragraph" w:styleId="1149" w:customStyle="1">
    <w:name w:val="Table Paragraph"/>
    <w:basedOn w:val="912"/>
    <w:uiPriority w:val="0"/>
    <w:qFormat/>
    <w:pPr>
      <w:jc w:val="left"/>
    </w:pPr>
    <w:rPr>
      <w:rFonts w:ascii="宋体" w:hAnsi="宋体" w:eastAsia="宋体" w:cs="宋体"/>
      <w:sz w:val="22"/>
      <w:lang w:val="zh-CN" w:bidi="zh-CN"/>
    </w:rPr>
  </w:style>
  <w:style w:type="character" w:styleId="1150" w:customStyle="1">
    <w:name w:val="fontstyle01"/>
    <w:basedOn w:val="922"/>
    <w:uiPriority w:val="0"/>
    <w:qFormat/>
    <w:rPr>
      <w:rFonts w:hint="default" w:ascii="FZFSJW--GB1-0" w:hAnsi="FZFSJW--GB1-0"/>
      <w:color w:val="000000"/>
      <w:sz w:val="32"/>
      <w:szCs w:val="32"/>
    </w:rPr>
  </w:style>
  <w:style w:type="character" w:styleId="1151" w:customStyle="1">
    <w:name w:val="fontstyle21"/>
    <w:basedOn w:val="922"/>
    <w:uiPriority w:val="0"/>
    <w:qFormat/>
    <w:rPr>
      <w:rFonts w:hint="default" w:ascii="FZHTJW--GB1-0" w:hAnsi="FZHTJW--GB1-0"/>
      <w:color w:val="000000"/>
      <w:sz w:val="32"/>
      <w:szCs w:val="32"/>
    </w:rPr>
  </w:style>
  <w:style w:type="character" w:styleId="1152" w:customStyle="1">
    <w:name w:val="fontstyle31"/>
    <w:basedOn w:val="922"/>
    <w:uiPriority w:val="0"/>
    <w:qFormat/>
    <w:rPr>
      <w:rFonts w:hint="default" w:ascii="Calibri" w:hAnsi="Calibri" w:cs="Calibri"/>
      <w:color w:val="000000"/>
      <w:sz w:val="32"/>
      <w:szCs w:val="32"/>
    </w:rPr>
  </w:style>
  <w:style w:type="character" w:styleId="1153" w:customStyle="1">
    <w:name w:val="fontstyle41"/>
    <w:basedOn w:val="922"/>
    <w:uiPriority w:val="0"/>
    <w:qFormat/>
    <w:rPr>
      <w:rFonts w:hint="default" w:ascii="TimesNewRomanPSMT" w:hAnsi="TimesNewRomanPSMT"/>
      <w:color w:val="000000"/>
      <w:sz w:val="32"/>
      <w:szCs w:val="32"/>
    </w:rPr>
  </w:style>
  <w:style w:type="paragraph" w:styleId="1154">
    <w:name w:val="No Spacing"/>
    <w:uiPriority w:val="0"/>
    <w:qFormat/>
    <w:pPr>
      <w:jc w:val="both"/>
      <w:widowControl w:val="off"/>
    </w:pPr>
    <w:rPr>
      <w:rFonts w:hint="default" w:ascii="Calibri" w:hAnsi="Calibri" w:eastAsia="宋体" w:cs="Times New Roman"/>
      <w:sz w:val="21"/>
      <w:szCs w:val="22"/>
    </w:rPr>
  </w:style>
  <w:style w:type="character" w:styleId="1155" w:customStyle="1">
    <w:name w:val="正文缩进 字符"/>
    <w:link w:val="926"/>
    <w:uiPriority w:val="0"/>
    <w:qFormat/>
    <w:rPr>
      <w:sz w:val="21"/>
      <w:szCs w:val="22"/>
    </w:rPr>
  </w:style>
  <w:style w:type="paragraph" w:styleId="1156" w:customStyle="1">
    <w:name w:val="_Style 39"/>
    <w:basedOn w:val="912"/>
    <w:next w:val="912"/>
    <w:uiPriority w:val="0"/>
    <w:qFormat/>
    <w:pPr>
      <w:jc w:val="left"/>
    </w:pPr>
    <w:rPr>
      <w:rFonts w:ascii="Times New Roman" w:hAnsi="Times New Roman" w:eastAsia="楷体_GB2312" w:cs="Times New Roman"/>
      <w:sz w:val="24"/>
      <w:szCs w:val="20"/>
    </w:rPr>
  </w:style>
  <w:style w:type="paragraph" w:styleId="1157" w:customStyle="1">
    <w:name w:val="列出段落2"/>
    <w:basedOn w:val="912"/>
    <w:uiPriority w:val="0"/>
    <w:qFormat/>
    <w:pPr>
      <w:contextualSpacing/>
      <w:ind w:left="720"/>
      <w:jc w:val="left"/>
      <w:widowControl/>
    </w:pPr>
    <w:rPr>
      <w:rFonts w:ascii="Arial" w:hAnsi="Arial" w:eastAsia="黑体" w:cs="Times New Roman"/>
      <w:sz w:val="24"/>
      <w:szCs w:val="24"/>
      <w:lang w:eastAsia="en-US"/>
    </w:rPr>
  </w:style>
  <w:style w:type="paragraph" w:styleId="1158" w:customStyle="1">
    <w:name w:val="_Style 391"/>
    <w:basedOn w:val="912"/>
    <w:next w:val="912"/>
    <w:uiPriority w:val="0"/>
    <w:qFormat/>
    <w:pPr>
      <w:jc w:val="left"/>
    </w:pPr>
    <w:rPr>
      <w:rFonts w:ascii="Times New Roman" w:hAnsi="Times New Roman" w:eastAsia="楷体_GB2312" w:cs="Times New Roman"/>
      <w:sz w:val="24"/>
      <w:szCs w:val="20"/>
    </w:rPr>
  </w:style>
  <w:style w:type="paragraph" w:styleId="1159" w:customStyle="1">
    <w:name w:val="列出段落1"/>
    <w:basedOn w:val="912"/>
    <w:uiPriority w:val="34"/>
    <w:qFormat/>
    <w:pPr>
      <w:ind w:firstLine="420"/>
    </w:pPr>
    <w:rPr>
      <w:rFonts w:ascii="Times New Roman" w:hAnsi="Times New Roman" w:eastAsia="宋体" w:cs="Times New Roman"/>
      <w:szCs w:val="20"/>
    </w:rPr>
  </w:style>
  <w:style w:type="paragraph" w:styleId="1160" w:customStyle="1">
    <w:name w:val="正文（绿盟科技）"/>
    <w:uiPriority w:val="0"/>
    <w:qFormat/>
    <w:pPr>
      <w:spacing w:line="300" w:lineRule="auto"/>
    </w:pPr>
    <w:rPr>
      <w:rFonts w:hint="default" w:ascii="Arial" w:hAnsi="Arial" w:eastAsia="宋体" w:cs="黑体"/>
      <w:sz w:val="21"/>
      <w:szCs w:val="21"/>
    </w:rPr>
  </w:style>
  <w:style w:type="paragraph" w:styleId="1161" w:customStyle="1">
    <w:name w:val="修订1"/>
    <w:hidden/>
    <w:uiPriority w:val="0"/>
    <w:qFormat/>
    <w:rPr>
      <w:rFonts w:hint="default" w:asciiTheme="minorHAnsi" w:hAnsiTheme="minorHAnsi" w:eastAsiaTheme="minorEastAsia" w:cstheme="minorBidi"/>
      <w:sz w:val="21"/>
      <w:szCs w:val="22"/>
    </w:rPr>
  </w:style>
  <w:style w:type="character" w:styleId="1162" w:customStyle="1">
    <w:name w:val="批注文字 字符"/>
    <w:basedOn w:val="922"/>
    <w:link w:val="935"/>
    <w:uiPriority w:val="0"/>
    <w:qFormat/>
    <w:rPr>
      <w:sz w:val="21"/>
      <w:szCs w:val="22"/>
    </w:rPr>
  </w:style>
  <w:style w:type="character" w:styleId="1163" w:customStyle="1">
    <w:name w:val="批注主题 字符"/>
    <w:basedOn w:val="1162"/>
    <w:link w:val="973"/>
    <w:uiPriority w:val="99"/>
    <w:semiHidden/>
    <w:qFormat/>
    <w:rPr>
      <w:b/>
      <w:bCs/>
      <w:sz w:val="21"/>
      <w:szCs w:val="22"/>
    </w:rPr>
  </w:style>
  <w:style w:type="character" w:styleId="1164" w:customStyle="1">
    <w:name w:val="批注框文本 字符"/>
    <w:basedOn w:val="922"/>
    <w:link w:val="951"/>
    <w:uiPriority w:val="0"/>
    <w:qFormat/>
    <w:rPr>
      <w:rFonts w:ascii="Calibri" w:hAnsi="Calibri" w:eastAsia="宋体" w:cs="Times New Roman"/>
      <w:sz w:val="16"/>
      <w:szCs w:val="16"/>
    </w:rPr>
  </w:style>
  <w:style w:type="paragraph" w:styleId="1165" w:customStyle="1">
    <w:name w:val="表格内"/>
    <w:basedOn w:val="912"/>
    <w:uiPriority w:val="0"/>
    <w:qFormat/>
    <w:pPr>
      <w:jc w:val="center"/>
      <w:spacing w:line="360" w:lineRule="exact"/>
    </w:pPr>
    <w:rPr>
      <w:rFonts w:ascii="宋体" w:hAnsi="宋体" w:eastAsia="宋体" w:cs="宋体"/>
      <w:szCs w:val="24"/>
      <w:lang w:val="zh-TW" w:eastAsia="zh-TW" w:bidi="zh-TW"/>
    </w:rPr>
  </w:style>
  <w:style w:type="character" w:styleId="1166" w:customStyle="1">
    <w:name w:val="标题 3 字符"/>
    <w:basedOn w:val="922"/>
    <w:link w:val="915"/>
    <w:uiPriority w:val="0"/>
    <w:qFormat/>
    <w:rPr>
      <w:rFonts w:ascii="宋体" w:hAnsi="Times New Roman" w:eastAsia="Calibri" w:cs="宋体"/>
      <w:b/>
      <w:color w:val="000000"/>
      <w:sz w:val="32"/>
      <w:lang w:val="zh-CN"/>
    </w:rPr>
  </w:style>
  <w:style w:type="character" w:styleId="1167" w:customStyle="1">
    <w:name w:val="标题 4 字符"/>
    <w:basedOn w:val="922"/>
    <w:link w:val="916"/>
    <w:uiPriority w:val="0"/>
    <w:qFormat/>
    <w:rPr>
      <w:rFonts w:ascii="Arial" w:hAnsi="Arial" w:eastAsia="黑体" w:cs="宋体"/>
      <w:b/>
      <w:bCs/>
      <w:sz w:val="28"/>
      <w:szCs w:val="28"/>
      <w:lang w:val="zh-CN"/>
    </w:rPr>
  </w:style>
  <w:style w:type="character" w:styleId="1168" w:customStyle="1">
    <w:name w:val="标题 5 字符"/>
    <w:basedOn w:val="922"/>
    <w:link w:val="917"/>
    <w:uiPriority w:val="0"/>
    <w:qFormat/>
    <w:rPr>
      <w:rFonts w:ascii="Times New Roman" w:hAnsi="Times New Roman" w:eastAsia="Calibri" w:cs="宋体"/>
      <w:b/>
      <w:bCs/>
      <w:sz w:val="28"/>
      <w:szCs w:val="28"/>
      <w:lang w:val="zh-CN"/>
    </w:rPr>
  </w:style>
  <w:style w:type="character" w:styleId="1169" w:customStyle="1">
    <w:name w:val="标题 6 字符"/>
    <w:basedOn w:val="922"/>
    <w:link w:val="918"/>
    <w:uiPriority w:val="0"/>
    <w:qFormat/>
    <w:rPr>
      <w:rFonts w:ascii="Cambria" w:hAnsi="Cambria" w:eastAsia="Calibri" w:cs="宋体"/>
      <w:b/>
      <w:bCs/>
      <w:sz w:val="24"/>
      <w:lang w:val="zh-CN"/>
    </w:rPr>
  </w:style>
  <w:style w:type="character" w:styleId="1170" w:customStyle="1">
    <w:name w:val="标题 7 字符"/>
    <w:basedOn w:val="922"/>
    <w:link w:val="919"/>
    <w:uiPriority w:val="0"/>
    <w:qFormat/>
    <w:rPr>
      <w:rFonts w:ascii="Times New Roman" w:hAnsi="Times New Roman" w:eastAsia="Calibri" w:cs="宋体"/>
      <w:b/>
      <w:bCs/>
      <w:sz w:val="24"/>
      <w:lang w:val="zh-CN"/>
    </w:rPr>
  </w:style>
  <w:style w:type="character" w:styleId="1171" w:customStyle="1">
    <w:name w:val="标题 8 字符"/>
    <w:basedOn w:val="922"/>
    <w:link w:val="920"/>
    <w:uiPriority w:val="0"/>
    <w:qFormat/>
    <w:rPr>
      <w:rFonts w:ascii="Cambria" w:hAnsi="Cambria" w:eastAsia="Calibri" w:cs="宋体"/>
      <w:sz w:val="24"/>
      <w:lang w:val="zh-CN"/>
    </w:rPr>
  </w:style>
  <w:style w:type="character" w:styleId="1172" w:customStyle="1">
    <w:name w:val="标题 9 字符"/>
    <w:basedOn w:val="922"/>
    <w:link w:val="921"/>
    <w:uiPriority w:val="0"/>
    <w:qFormat/>
    <w:rPr>
      <w:rFonts w:ascii="Cambria" w:hAnsi="Cambria" w:eastAsia="Calibri" w:cs="宋体"/>
      <w:szCs w:val="21"/>
      <w:lang w:val="zh-CN"/>
    </w:rPr>
  </w:style>
  <w:style w:type="character" w:styleId="1173" w:customStyle="1">
    <w:name w:val="文档结构图 字符"/>
    <w:basedOn w:val="922"/>
    <w:link w:val="934"/>
    <w:uiPriority w:val="0"/>
    <w:qFormat/>
    <w:rPr>
      <w:rFonts w:ascii="Times New Roman" w:hAnsi="Times New Roman" w:eastAsia="Calibri" w:cs="宋体"/>
      <w:shd w:val="clear" w:color="auto" w:fill="000080"/>
      <w:lang w:val="zh-CN"/>
    </w:rPr>
  </w:style>
  <w:style w:type="character" w:styleId="1174" w:customStyle="1">
    <w:name w:val="称呼 字符"/>
    <w:basedOn w:val="922"/>
    <w:link w:val="937"/>
    <w:uiPriority w:val="0"/>
    <w:qFormat/>
    <w:rPr>
      <w:rFonts w:ascii="仿宋_GB2312" w:hAnsi="Times New Roman" w:eastAsia="仿宋_GB2312" w:cs="宋体"/>
      <w:sz w:val="28"/>
      <w:lang w:val="zh-CN"/>
    </w:rPr>
  </w:style>
  <w:style w:type="character" w:styleId="1175" w:customStyle="1">
    <w:name w:val="正文文本 3 字符"/>
    <w:basedOn w:val="922"/>
    <w:link w:val="938"/>
    <w:uiPriority w:val="0"/>
    <w:qFormat/>
    <w:rPr>
      <w:rFonts w:ascii="仿宋_GB2312" w:hAnsi="Times New Roman" w:eastAsia="仿宋_GB2312" w:cs="宋体"/>
      <w:sz w:val="32"/>
      <w:lang w:val="zh-CN"/>
    </w:rPr>
  </w:style>
  <w:style w:type="character" w:styleId="1176" w:customStyle="1">
    <w:name w:val="正文文本缩进 字符"/>
    <w:basedOn w:val="922"/>
    <w:link w:val="940"/>
    <w:uiPriority w:val="0"/>
    <w:qFormat/>
    <w:rPr>
      <w:rFonts w:ascii="Times New Roman" w:hAnsi="Times New Roman" w:eastAsia="Calibri" w:cs="宋体"/>
      <w:lang w:val="zh-CN"/>
    </w:rPr>
  </w:style>
  <w:style w:type="character" w:styleId="1177" w:customStyle="1">
    <w:name w:val="正文文本缩进 2 字符"/>
    <w:basedOn w:val="922"/>
    <w:link w:val="949"/>
    <w:uiPriority w:val="0"/>
    <w:qFormat/>
    <w:rPr>
      <w:rFonts w:ascii="Arial" w:hAnsi="Arial" w:eastAsia="仿宋_GB2312" w:cs="宋体"/>
      <w:sz w:val="32"/>
      <w:lang w:val="zh-CN"/>
    </w:rPr>
  </w:style>
  <w:style w:type="character" w:styleId="1178" w:customStyle="1">
    <w:name w:val="尾注文本 字符"/>
    <w:basedOn w:val="922"/>
    <w:link w:val="950"/>
    <w:uiPriority w:val="0"/>
    <w:qFormat/>
    <w:rPr>
      <w:rFonts w:ascii="Times New Roman" w:hAnsi="Times New Roman" w:eastAsia="Calibri" w:cs="宋体"/>
      <w:lang w:val="zh-CN"/>
    </w:rPr>
  </w:style>
  <w:style w:type="character" w:styleId="1179" w:customStyle="1">
    <w:name w:val="签名 字符"/>
    <w:basedOn w:val="922"/>
    <w:link w:val="954"/>
    <w:uiPriority w:val="0"/>
    <w:qFormat/>
    <w:rPr>
      <w:rFonts w:ascii="Times New Roman" w:hAnsi="Times New Roman" w:eastAsia="仿宋_GB2312" w:cs="宋体"/>
      <w:sz w:val="24"/>
      <w:lang w:val="zh-CN"/>
    </w:rPr>
  </w:style>
  <w:style w:type="character" w:styleId="1180" w:customStyle="1">
    <w:name w:val="副标题 字符"/>
    <w:basedOn w:val="922"/>
    <w:link w:val="959"/>
    <w:uiPriority w:val="0"/>
    <w:qFormat/>
    <w:rPr>
      <w:rFonts w:ascii="Cambria" w:hAnsi="Cambria" w:eastAsia="Calibri" w:cs="宋体"/>
      <w:b/>
      <w:bCs/>
      <w:sz w:val="32"/>
      <w:szCs w:val="32"/>
      <w:lang w:val="zh-CN"/>
    </w:rPr>
  </w:style>
  <w:style w:type="character" w:styleId="1181" w:customStyle="1">
    <w:name w:val="脚注文本 字符"/>
    <w:basedOn w:val="922"/>
    <w:link w:val="960"/>
    <w:uiPriority w:val="0"/>
    <w:qFormat/>
    <w:rPr>
      <w:rFonts w:ascii="Times New Roman" w:hAnsi="Times New Roman" w:eastAsia="Calibri" w:cs="宋体"/>
      <w:sz w:val="18"/>
      <w:szCs w:val="18"/>
      <w:lang w:val="zh-CN"/>
    </w:rPr>
  </w:style>
  <w:style w:type="character" w:styleId="1182" w:customStyle="1">
    <w:name w:val="正文文本缩进 3 字符"/>
    <w:basedOn w:val="922"/>
    <w:link w:val="962"/>
    <w:uiPriority w:val="0"/>
    <w:qFormat/>
    <w:rPr>
      <w:rFonts w:ascii="Arial" w:hAnsi="Arial" w:eastAsia="仿宋_GB2312" w:cs="宋体"/>
      <w:color w:val="ffff00"/>
      <w:sz w:val="32"/>
      <w:lang w:val="zh-CN"/>
    </w:rPr>
  </w:style>
  <w:style w:type="character" w:styleId="1183" w:customStyle="1">
    <w:name w:val="正文文本 2 字符"/>
    <w:basedOn w:val="922"/>
    <w:link w:val="968"/>
    <w:uiPriority w:val="0"/>
    <w:qFormat/>
    <w:rPr>
      <w:rFonts w:ascii="楷体_GB2312" w:hAnsi="Times New Roman" w:eastAsia="楷体_GB2312" w:cs="宋体"/>
      <w:sz w:val="28"/>
      <w:lang w:val="zh-CN"/>
    </w:rPr>
  </w:style>
  <w:style w:type="character" w:styleId="1184" w:customStyle="1">
    <w:name w:val="HTML 预设格式 字符"/>
    <w:basedOn w:val="922"/>
    <w:link w:val="969"/>
    <w:uiPriority w:val="0"/>
    <w:qFormat/>
    <w:rPr>
      <w:rFonts w:ascii="黑体" w:hAnsi="Times New Roman" w:eastAsia="黑体" w:cs="Courier New"/>
      <w:lang w:val="zh-CN"/>
    </w:rPr>
  </w:style>
  <w:style w:type="character" w:styleId="1185" w:customStyle="1">
    <w:name w:val="标题 字符"/>
    <w:basedOn w:val="922"/>
    <w:link w:val="972"/>
    <w:uiPriority w:val="0"/>
    <w:qFormat/>
    <w:rPr>
      <w:rFonts w:ascii="Cambria" w:hAnsi="Cambria" w:eastAsia="Calibri" w:cs="宋体"/>
      <w:b/>
      <w:bCs/>
      <w:sz w:val="32"/>
      <w:szCs w:val="32"/>
      <w:lang w:val="zh-CN"/>
    </w:rPr>
  </w:style>
  <w:style w:type="character" w:styleId="1186" w:customStyle="1">
    <w:name w:val="不明显强调1"/>
    <w:uiPriority w:val="0"/>
    <w:qFormat/>
    <w:rPr>
      <w:i/>
      <w:iCs/>
      <w:color w:val="808080"/>
    </w:rPr>
  </w:style>
  <w:style w:type="character" w:styleId="1187" w:customStyle="1">
    <w:name w:val="正文文本 Char1"/>
    <w:uiPriority w:val="0"/>
    <w:qFormat/>
    <w:rPr>
      <w:sz w:val="21"/>
      <w:szCs w:val="22"/>
    </w:rPr>
  </w:style>
  <w:style w:type="character" w:styleId="1188" w:customStyle="1">
    <w:name w:val="明显参考1"/>
    <w:uiPriority w:val="0"/>
    <w:qFormat/>
    <w:rPr>
      <w:b/>
      <w:bCs/>
      <w:smallCaps/>
      <w:color w:val="c0504d"/>
      <w:spacing w:val="5"/>
      <w:u w:val="single"/>
    </w:rPr>
  </w:style>
  <w:style w:type="character" w:styleId="1189" w:customStyle="1">
    <w:name w:val="批注主题 Char1"/>
    <w:uiPriority w:val="0"/>
    <w:qFormat/>
    <w:rPr>
      <w:b/>
      <w:bCs/>
      <w:sz w:val="21"/>
      <w:szCs w:val="22"/>
    </w:rPr>
  </w:style>
  <w:style w:type="character" w:styleId="1190" w:customStyle="1">
    <w:name w:val="文档结构图 Char1"/>
    <w:uiPriority w:val="0"/>
    <w:qFormat/>
    <w:rPr>
      <w:rFonts w:ascii="宋体"/>
      <w:sz w:val="18"/>
      <w:szCs w:val="18"/>
    </w:rPr>
  </w:style>
  <w:style w:type="character" w:styleId="1191" w:customStyle="1">
    <w:name w:val="不明显参考1"/>
    <w:uiPriority w:val="0"/>
    <w:qFormat/>
    <w:rPr>
      <w:smallCaps/>
      <w:color w:val="c0504d"/>
      <w:u w:val="single"/>
    </w:rPr>
  </w:style>
  <w:style w:type="character" w:styleId="1192" w:customStyle="1">
    <w:name w:val="textcontents"/>
    <w:uiPriority w:val="0"/>
    <w:qFormat/>
    <w:rPr>
      <w:rFonts w:cs="Times New Roman"/>
      <w:lang w:bidi="ar-SA"/>
    </w:rPr>
  </w:style>
  <w:style w:type="character" w:styleId="1193" w:customStyle="1">
    <w:name w:val="引用 Char1"/>
    <w:uiPriority w:val="0"/>
    <w:qFormat/>
    <w:rPr>
      <w:i/>
      <w:iCs/>
      <w:color w:val="000000"/>
      <w:sz w:val="21"/>
      <w:szCs w:val="24"/>
    </w:rPr>
  </w:style>
  <w:style w:type="character" w:styleId="1194" w:customStyle="1">
    <w:name w:val="标题 4 Char1"/>
    <w:uiPriority w:val="0"/>
    <w:qFormat/>
    <w:rPr>
      <w:rFonts w:ascii="Cambria" w:hAnsi="Cambria" w:eastAsia="宋体" w:cs="Times New Roman"/>
      <w:b/>
      <w:bCs/>
      <w:sz w:val="28"/>
      <w:szCs w:val="28"/>
      <w:lang w:bidi="ar-SA"/>
    </w:rPr>
  </w:style>
  <w:style w:type="character" w:styleId="1195" w:customStyle="1">
    <w:name w:val="标题 3 Char1"/>
    <w:uiPriority w:val="0"/>
    <w:qFormat/>
    <w:rPr>
      <w:b/>
      <w:bCs/>
      <w:sz w:val="32"/>
      <w:szCs w:val="32"/>
    </w:rPr>
  </w:style>
  <w:style w:type="character" w:styleId="1196" w:customStyle="1">
    <w:name w:val="标题 1 Char1"/>
    <w:uiPriority w:val="0"/>
    <w:qFormat/>
    <w:rPr>
      <w:b/>
      <w:bCs/>
      <w:sz w:val="44"/>
      <w:szCs w:val="44"/>
    </w:rPr>
  </w:style>
  <w:style w:type="character" w:styleId="1197" w:customStyle="1">
    <w:name w:val="纯文本 Char"/>
    <w:uiPriority w:val="0"/>
    <w:qFormat/>
    <w:rPr>
      <w:rFonts w:ascii="宋体" w:cs="Courier New"/>
      <w:sz w:val="21"/>
      <w:szCs w:val="21"/>
      <w:lang w:bidi="ar-SA"/>
    </w:rPr>
  </w:style>
  <w:style w:type="character" w:styleId="1198" w:customStyle="1">
    <w:name w:val="书籍标题1"/>
    <w:uiPriority w:val="0"/>
    <w:qFormat/>
    <w:rPr>
      <w:b/>
      <w:bCs/>
      <w:smallCaps/>
      <w:spacing w:val="5"/>
    </w:rPr>
  </w:style>
  <w:style w:type="character" w:styleId="1199" w:customStyle="1">
    <w:name w:val="明显强调1"/>
    <w:uiPriority w:val="0"/>
    <w:qFormat/>
    <w:rPr>
      <w:b/>
      <w:bCs/>
      <w:i/>
      <w:iCs/>
      <w:color w:val="4f81bd"/>
    </w:rPr>
  </w:style>
  <w:style w:type="character" w:styleId="1200" w:customStyle="1">
    <w:name w:val="日期 Char1"/>
    <w:uiPriority w:val="0"/>
    <w:qFormat/>
    <w:rPr>
      <w:sz w:val="21"/>
      <w:szCs w:val="22"/>
    </w:rPr>
  </w:style>
  <w:style w:type="character" w:styleId="1201" w:customStyle="1">
    <w:name w:val="批注文字 Char Char"/>
    <w:uiPriority w:val="0"/>
    <w:qFormat/>
    <w:rPr>
      <w:rFonts w:ascii="宋体" w:eastAsia="宋体" w:cs="Times New Roman"/>
      <w:sz w:val="28"/>
      <w:szCs w:val="20"/>
      <w:lang w:bidi="ar-SA"/>
    </w:rPr>
  </w:style>
  <w:style w:type="character" w:styleId="1202" w:customStyle="1">
    <w:name w:val="批注框文本 Char1"/>
    <w:uiPriority w:val="0"/>
    <w:qFormat/>
    <w:rPr>
      <w:sz w:val="18"/>
      <w:szCs w:val="18"/>
    </w:rPr>
  </w:style>
  <w:style w:type="character" w:styleId="1203" w:customStyle="1">
    <w:name w:val="副标题 Char1"/>
    <w:uiPriority w:val="0"/>
    <w:qFormat/>
    <w:rPr>
      <w:rFonts w:ascii="Cambria" w:hAnsi="Cambria" w:cs="Times New Roman"/>
      <w:b/>
      <w:bCs/>
      <w:sz w:val="32"/>
      <w:szCs w:val="32"/>
      <w:lang w:bidi="ar-SA"/>
    </w:rPr>
  </w:style>
  <w:style w:type="character" w:styleId="1204" w:customStyle="1">
    <w:name w:val="批注主题 Char2"/>
    <w:uiPriority w:val="0"/>
    <w:qFormat/>
    <w:rPr>
      <w:b/>
      <w:bCs/>
      <w:sz w:val="21"/>
      <w:szCs w:val="24"/>
    </w:rPr>
  </w:style>
  <w:style w:type="character" w:styleId="1205" w:customStyle="1">
    <w:name w:val="明显引用 Char1"/>
    <w:uiPriority w:val="0"/>
    <w:qFormat/>
    <w:rPr>
      <w:b/>
      <w:bCs/>
      <w:i/>
      <w:iCs/>
      <w:color w:val="4f81bd"/>
      <w:sz w:val="21"/>
      <w:szCs w:val="24"/>
    </w:rPr>
  </w:style>
  <w:style w:type="paragraph" w:styleId="1206" w:customStyle="1">
    <w:name w:val="Char Char Char Char Char Char Char1 Char"/>
    <w:basedOn w:val="912"/>
    <w:uiPriority w:val="0"/>
    <w:qFormat/>
    <w:rPr>
      <w:rFonts w:ascii="Tahoma" w:hAnsi="Tahoma" w:eastAsia="Calibri" w:cs="Tahoma"/>
      <w:sz w:val="24"/>
      <w:szCs w:val="24"/>
      <w:lang w:val="zh-CN"/>
    </w:rPr>
  </w:style>
  <w:style w:type="paragraph" w:styleId="1207" w:customStyle="1">
    <w:name w:val="Char7"/>
    <w:basedOn w:val="934"/>
    <w:uiPriority w:val="0"/>
    <w:qFormat/>
    <w:pPr>
      <w:spacing w:line="360" w:lineRule="auto"/>
    </w:pPr>
    <w:rPr>
      <w:rFonts w:ascii="Tahoma" w:hAnsi="Tahoma"/>
      <w:sz w:val="24"/>
    </w:rPr>
  </w:style>
  <w:style w:type="paragraph" w:styleId="1208" w:customStyle="1">
    <w:name w:val="纯文本1"/>
    <w:basedOn w:val="912"/>
    <w:uiPriority w:val="0"/>
    <w:qFormat/>
    <w:rPr>
      <w:rFonts w:ascii="宋体" w:hAnsi="宋体" w:eastAsia="楷体_GB2312" w:cs="Times New Roman"/>
      <w:sz w:val="26"/>
      <w:szCs w:val="20"/>
      <w:lang w:val="zh-CN"/>
    </w:rPr>
  </w:style>
  <w:style w:type="paragraph" w:styleId="1209" w:customStyle="1">
    <w:name w:val="样式 小四 段前: 5 磅 段后: 5 磅 首行缩进:  2 字符"/>
    <w:basedOn w:val="912"/>
    <w:uiPriority w:val="0"/>
    <w:qFormat/>
    <w:pPr>
      <w:spacing w:line="360" w:lineRule="auto"/>
    </w:pPr>
    <w:rPr>
      <w:rFonts w:ascii="宋体" w:hAnsi="Times New Roman" w:eastAsia="Calibri" w:cs="宋体"/>
      <w:sz w:val="20"/>
      <w:szCs w:val="21"/>
      <w:lang w:val="zh-CN"/>
    </w:rPr>
  </w:style>
  <w:style w:type="paragraph" w:styleId="1210">
    <w:name w:val="Quote"/>
    <w:basedOn w:val="912"/>
    <w:next w:val="912"/>
    <w:link w:val="1211"/>
    <w:uiPriority w:val="0"/>
    <w:qFormat/>
    <w:rPr>
      <w:rFonts w:ascii="Times New Roman" w:hAnsi="Times New Roman" w:eastAsia="Calibri" w:cs="宋体"/>
      <w:i/>
      <w:iCs/>
      <w:color w:val="000000"/>
      <w:sz w:val="20"/>
      <w:lang w:val="zh-CN"/>
    </w:rPr>
  </w:style>
  <w:style w:type="character" w:styleId="1211" w:customStyle="1">
    <w:name w:val="引用 字符"/>
    <w:basedOn w:val="922"/>
    <w:link w:val="1210"/>
    <w:uiPriority w:val="0"/>
    <w:qFormat/>
    <w:rPr>
      <w:rFonts w:ascii="Times New Roman" w:hAnsi="Times New Roman" w:eastAsia="Calibri" w:cs="宋体"/>
      <w:i/>
      <w:iCs/>
      <w:color w:val="000000"/>
      <w:szCs w:val="22"/>
      <w:lang w:val="zh-CN"/>
    </w:rPr>
  </w:style>
  <w:style w:type="paragraph" w:styleId="1212" w:customStyle="1">
    <w:name w:val="Char71"/>
    <w:basedOn w:val="934"/>
    <w:uiPriority w:val="0"/>
    <w:qFormat/>
    <w:pPr>
      <w:spacing w:line="360" w:lineRule="auto"/>
    </w:pPr>
    <w:rPr>
      <w:rFonts w:ascii="Tahoma" w:hAnsi="Tahoma"/>
      <w:sz w:val="24"/>
    </w:rPr>
  </w:style>
  <w:style w:type="paragraph" w:styleId="1213" w:customStyle="1">
    <w:name w:val="Char"/>
    <w:basedOn w:val="912"/>
    <w:uiPriority w:val="0"/>
    <w:qFormat/>
    <w:pPr>
      <w:jc w:val="left"/>
      <w:spacing w:after="160" w:line="240" w:lineRule="exact"/>
      <w:widowControl/>
    </w:pPr>
    <w:rPr>
      <w:rFonts w:ascii="Verdana" w:hAnsi="Verdana" w:eastAsia="仿宋_GB2312" w:cs="宋体"/>
      <w:sz w:val="24"/>
      <w:szCs w:val="20"/>
      <w:lang w:val="zh-CN"/>
    </w:rPr>
  </w:style>
  <w:style w:type="paragraph" w:styleId="1214" w:customStyle="1">
    <w:name w:val="列出段落12"/>
    <w:basedOn w:val="912"/>
    <w:uiPriority w:val="0"/>
    <w:qFormat/>
    <w:pPr>
      <w:ind w:firstLine="200"/>
    </w:pPr>
    <w:rPr>
      <w:rFonts w:ascii="Calibri" w:hAnsi="Calibri" w:eastAsia="Calibri" w:cs="宋体"/>
      <w:sz w:val="20"/>
      <w:lang w:val="zh-CN"/>
    </w:rPr>
  </w:style>
  <w:style w:type="paragraph" w:styleId="1215" w:customStyle="1">
    <w:name w:val="Char Char Char Char Char Char Char Char Char Char Char Char Char Char Char Char"/>
    <w:basedOn w:val="912"/>
    <w:uiPriority w:val="0"/>
    <w:qFormat/>
    <w:pPr>
      <w:ind w:left="482" w:firstLine="200"/>
      <w:spacing w:line="360" w:lineRule="auto"/>
      <w:tabs>
        <w:tab w:val="left" w:pos="360" w:leader="none"/>
      </w:tabs>
    </w:pPr>
    <w:rPr>
      <w:rFonts w:ascii="宋体" w:hAnsi="Times New Roman" w:eastAsia="Calibri" w:cs="宋体"/>
      <w:sz w:val="24"/>
      <w:szCs w:val="20"/>
      <w:lang w:val="zh-CN"/>
    </w:rPr>
  </w:style>
  <w:style w:type="paragraph" w:styleId="1216" w:customStyle="1">
    <w:name w:val="标题5"/>
    <w:basedOn w:val="915"/>
    <w:uiPriority w:val="0"/>
    <w:qFormat/>
    <w:pPr>
      <w:numPr>
        <w:ilvl w:val="0"/>
        <w:numId w:val="0"/>
      </w:numPr>
      <w:spacing w:line="412" w:lineRule="auto"/>
      <w:tabs>
        <w:tab w:val="clear" w:pos="720" w:leader="none"/>
        <w:tab w:val="clear" w:pos="2563" w:leader="none"/>
      </w:tabs>
    </w:pPr>
    <w:rPr>
      <w:rFonts w:ascii="Arial" w:hAnsi="Arial"/>
      <w:bCs/>
      <w:color w:val="auto"/>
      <w:sz w:val="24"/>
      <w:szCs w:val="32"/>
    </w:rPr>
  </w:style>
  <w:style w:type="paragraph" w:styleId="1217" w:customStyle="1">
    <w:name w:val="TOC 标题1"/>
    <w:basedOn w:val="913"/>
    <w:next w:val="912"/>
    <w:uiPriority w:val="0"/>
    <w:qFormat/>
    <w:pPr>
      <w:tabs>
        <w:tab w:val="left" w:pos="432" w:leader="none"/>
      </w:tabs>
      <w:outlineLvl w:val="9"/>
    </w:pPr>
    <w:rPr>
      <w:rFonts w:ascii="Calibri" w:hAnsi="Calibri" w:eastAsia="Calibri" w:cs="宋体"/>
      <w:lang w:val="zh-CN"/>
    </w:rPr>
  </w:style>
  <w:style w:type="paragraph" w:styleId="1218">
    <w:name w:val="Intense Quote"/>
    <w:basedOn w:val="912"/>
    <w:next w:val="912"/>
    <w:link w:val="1219"/>
    <w:uiPriority w:val="0"/>
    <w:qFormat/>
    <w:pPr>
      <w:ind w:left="936" w:right="936"/>
      <w:spacing w:before="200" w:after="280"/>
      <w:pBdr>
        <w:bottom w:val="single" w:color="4F81BD" w:sz="4" w:space="4"/>
      </w:pBdr>
    </w:pPr>
    <w:rPr>
      <w:rFonts w:ascii="Times New Roman" w:hAnsi="Times New Roman" w:eastAsia="Calibri" w:cs="宋体"/>
      <w:b/>
      <w:bCs/>
      <w:i/>
      <w:iCs/>
      <w:color w:val="4f81bd"/>
      <w:sz w:val="20"/>
      <w:lang w:val="zh-CN"/>
    </w:rPr>
  </w:style>
  <w:style w:type="character" w:styleId="1219" w:customStyle="1">
    <w:name w:val="明显引用 字符"/>
    <w:basedOn w:val="922"/>
    <w:link w:val="1218"/>
    <w:uiPriority w:val="0"/>
    <w:qFormat/>
    <w:rPr>
      <w:rFonts w:ascii="Times New Roman" w:hAnsi="Times New Roman" w:eastAsia="Calibri" w:cs="宋体"/>
      <w:b/>
      <w:bCs/>
      <w:i/>
      <w:iCs/>
      <w:color w:val="4f81bd"/>
      <w:szCs w:val="22"/>
      <w:lang w:val="zh-CN"/>
    </w:rPr>
  </w:style>
  <w:style w:type="paragraph" w:styleId="1220" w:customStyle="1">
    <w:name w:val="Char11"/>
    <w:basedOn w:val="912"/>
    <w:uiPriority w:val="0"/>
    <w:qFormat/>
    <w:pPr>
      <w:jc w:val="left"/>
      <w:spacing w:after="160" w:line="240" w:lineRule="exact"/>
      <w:widowControl/>
    </w:pPr>
    <w:rPr>
      <w:rFonts w:ascii="Verdana" w:hAnsi="Verdana" w:eastAsia="仿宋_GB2312" w:cs="宋体"/>
      <w:sz w:val="24"/>
      <w:szCs w:val="20"/>
      <w:lang w:val="zh-CN"/>
    </w:rPr>
  </w:style>
  <w:style w:type="paragraph" w:styleId="1221" w:customStyle="1">
    <w:name w:val="标题4"/>
    <w:basedOn w:val="914"/>
    <w:next w:val="942"/>
    <w:uiPriority w:val="0"/>
    <w:qFormat/>
    <w:pPr>
      <w:jc w:val="both"/>
      <w:spacing w:before="260" w:after="260" w:line="412" w:lineRule="auto"/>
    </w:pPr>
    <w:rPr>
      <w:rFonts w:ascii="Arial" w:hAnsi="Arial" w:cs="宋体"/>
      <w:bCs/>
      <w:sz w:val="24"/>
      <w:szCs w:val="32"/>
      <w:lang w:val="zh-CN"/>
    </w:rPr>
  </w:style>
  <w:style w:type="paragraph" w:styleId="1222" w:customStyle="1">
    <w:name w:val="pa-2"/>
    <w:basedOn w:val="912"/>
    <w:uiPriority w:val="0"/>
    <w:qFormat/>
    <w:pPr>
      <w:ind w:firstLine="700"/>
      <w:spacing w:line="320" w:lineRule="atLeast"/>
      <w:widowControl/>
    </w:pPr>
    <w:rPr>
      <w:rFonts w:ascii="宋体" w:hAnsi="Times New Roman" w:eastAsia="Calibri" w:cs="宋体"/>
      <w:sz w:val="24"/>
      <w:szCs w:val="20"/>
      <w:lang w:val="zh-CN"/>
    </w:rPr>
  </w:style>
  <w:style w:type="paragraph" w:styleId="1223" w:customStyle="1">
    <w:name w:val="列表段落1"/>
    <w:basedOn w:val="912"/>
    <w:uiPriority w:val="0"/>
    <w:qFormat/>
    <w:pPr>
      <w:ind w:firstLine="200"/>
    </w:pPr>
    <w:rPr>
      <w:rFonts w:ascii="Times New Roman" w:hAnsi="Times New Roman" w:eastAsia="Calibri" w:cs="宋体"/>
      <w:sz w:val="20"/>
      <w:szCs w:val="20"/>
      <w:lang w:val="zh-CN"/>
    </w:rPr>
  </w:style>
  <w:style w:type="paragraph" w:styleId="1224" w:customStyle="1">
    <w:name w:val="普通 (Web)"/>
    <w:basedOn w:val="912"/>
    <w:uiPriority w:val="0"/>
    <w:qFormat/>
    <w:pPr>
      <w:jc w:val="left"/>
      <w:spacing w:before="100" w:beforeAutospacing="1" w:after="100" w:afterAutospacing="1"/>
      <w:widowControl/>
    </w:pPr>
    <w:rPr>
      <w:rFonts w:ascii="宋体" w:hAnsi="Times New Roman" w:eastAsia="宋体" w:cs="Times New Roman"/>
      <w:sz w:val="24"/>
      <w:szCs w:val="24"/>
      <w:lang w:val="zh-CN"/>
    </w:rPr>
  </w:style>
  <w:style w:type="paragraph" w:styleId="1225" w:customStyle="1">
    <w:name w:val="默认段落字体 Para Char Char Char Char Char Char Char"/>
    <w:basedOn w:val="912"/>
    <w:uiPriority w:val="0"/>
    <w:qFormat/>
    <w:rPr>
      <w:rFonts w:ascii="Tahoma" w:hAnsi="Tahoma" w:eastAsia="Calibri" w:cs="宋体"/>
      <w:sz w:val="24"/>
      <w:szCs w:val="20"/>
      <w:lang w:val="zh-CN"/>
    </w:rPr>
  </w:style>
  <w:style w:type="paragraph" w:styleId="1226" w:customStyle="1">
    <w:name w:val="TOC 标题11"/>
    <w:basedOn w:val="913"/>
    <w:next w:val="912"/>
    <w:uiPriority w:val="0"/>
    <w:qFormat/>
    <w:pPr>
      <w:ind w:left="8"/>
      <w:jc w:val="center"/>
      <w:keepLines w:val="0"/>
      <w:keepNext w:val="0"/>
      <w:spacing w:before="0" w:after="0" w:line="240" w:lineRule="auto"/>
      <w:outlineLvl w:val="9"/>
    </w:pPr>
    <w:rPr>
      <w:rFonts w:ascii="黑体" w:hAnsi="Times New Roman" w:eastAsia="黑体" w:cs="黑体"/>
      <w:b w:val="0"/>
      <w:bCs w:val="0"/>
      <w:sz w:val="30"/>
      <w:szCs w:val="30"/>
      <w:lang w:val="zh-CN" w:bidi="zh-CN"/>
    </w:rPr>
  </w:style>
  <w:style w:type="character" w:styleId="1227" w:customStyle="1">
    <w:name w:val="Char Char18"/>
    <w:uiPriority w:val="0"/>
    <w:qFormat/>
    <w:rPr>
      <w:rFonts w:eastAsia="宋体"/>
      <w:b/>
      <w:sz w:val="24"/>
      <w:lang w:val="en-US" w:eastAsia="zh-CN"/>
    </w:rPr>
  </w:style>
  <w:style w:type="character" w:styleId="1228" w:customStyle="1">
    <w:name w:val="Char Char21"/>
    <w:uiPriority w:val="0"/>
    <w:qFormat/>
    <w:rPr>
      <w:rFonts w:ascii="Arial" w:hAnsi="Arial" w:eastAsia="黑体"/>
      <w:sz w:val="24"/>
      <w:szCs w:val="24"/>
    </w:rPr>
  </w:style>
  <w:style w:type="character" w:styleId="1229" w:customStyle="1">
    <w:name w:val="style13"/>
    <w:uiPriority w:val="0"/>
    <w:qFormat/>
    <w:rPr>
      <w:sz w:val="18"/>
      <w:szCs w:val="18"/>
    </w:rPr>
  </w:style>
  <w:style w:type="character" w:styleId="1230" w:customStyle="1">
    <w:name w:val="style131"/>
    <w:uiPriority w:val="0"/>
    <w:qFormat/>
    <w:rPr>
      <w:rFonts w:cs="Times New Roman"/>
      <w:sz w:val="18"/>
      <w:szCs w:val="18"/>
      <w:lang w:bidi="ar-SA"/>
    </w:rPr>
  </w:style>
  <w:style w:type="character" w:styleId="1231" w:customStyle="1">
    <w:name w:val="t1"/>
    <w:uiPriority w:val="0"/>
    <w:qFormat/>
  </w:style>
  <w:style w:type="character" w:styleId="1232" w:customStyle="1">
    <w:name w:val="纯文本 Char Char Char"/>
    <w:uiPriority w:val="0"/>
    <w:qFormat/>
    <w:rPr>
      <w:rFonts w:ascii="宋体" w:eastAsia="宋体"/>
      <w:sz w:val="21"/>
      <w:szCs w:val="21"/>
      <w:lang w:val="en-US" w:eastAsia="zh-CN" w:bidi="ar-SA"/>
    </w:rPr>
  </w:style>
  <w:style w:type="character" w:styleId="1233" w:customStyle="1">
    <w:name w:val="2nd level Char"/>
    <w:uiPriority w:val="0"/>
    <w:qFormat/>
    <w:rPr>
      <w:rFonts w:ascii="Arial" w:hAnsi="Arial" w:eastAsia="黑体"/>
      <w:b/>
      <w:bCs/>
      <w:sz w:val="32"/>
      <w:szCs w:val="32"/>
      <w:lang w:val="en-US" w:eastAsia="zh-CN" w:bidi="ar-SA"/>
    </w:rPr>
  </w:style>
  <w:style w:type="character" w:styleId="1234" w:customStyle="1">
    <w:name w:val="标题 3 Char Char"/>
    <w:uiPriority w:val="0"/>
    <w:qFormat/>
    <w:rPr>
      <w:rFonts w:eastAsia="仿宋_GB2312"/>
      <w:b/>
      <w:bCs/>
      <w:sz w:val="28"/>
      <w:szCs w:val="32"/>
      <w:lang w:val="en-US" w:eastAsia="zh-CN" w:bidi="ar-SA"/>
    </w:rPr>
  </w:style>
  <w:style w:type="character" w:styleId="1235" w:customStyle="1">
    <w:name w:val="华宇段落1 Char Char"/>
    <w:uiPriority w:val="0"/>
    <w:qFormat/>
    <w:rPr>
      <w:rFonts w:eastAsia="宋体"/>
      <w:bCs/>
      <w:sz w:val="24"/>
      <w:szCs w:val="24"/>
      <w:lang w:val="en-US" w:eastAsia="zh-CN" w:bidi="ar-SA"/>
    </w:rPr>
  </w:style>
  <w:style w:type="character" w:styleId="1236" w:customStyle="1">
    <w:name w:val="标准文本 Char"/>
    <w:uiPriority w:val="0"/>
    <w:qFormat/>
    <w:rPr>
      <w:rFonts w:eastAsia="宋体" w:cs="宋体"/>
      <w:sz w:val="24"/>
      <w:szCs w:val="24"/>
      <w:lang w:val="en-US" w:eastAsia="zh-CN" w:bidi="ar-SA"/>
    </w:rPr>
  </w:style>
  <w:style w:type="character" w:styleId="1237" w:customStyle="1">
    <w:name w:val="Char Char23"/>
    <w:uiPriority w:val="0"/>
    <w:qFormat/>
    <w:rPr>
      <w:rFonts w:ascii="Arial" w:hAnsi="Arial" w:eastAsia="黑体"/>
      <w:b/>
      <w:bCs/>
      <w:sz w:val="24"/>
      <w:szCs w:val="24"/>
    </w:rPr>
  </w:style>
  <w:style w:type="character" w:styleId="1238" w:customStyle="1">
    <w:name w:val="listbenefit"/>
    <w:uiPriority w:val="0"/>
    <w:qFormat/>
  </w:style>
  <w:style w:type="character" w:styleId="1239" w:customStyle="1">
    <w:name w:val="content"/>
    <w:uiPriority w:val="0"/>
    <w:qFormat/>
  </w:style>
  <w:style w:type="character" w:styleId="1240" w:customStyle="1">
    <w:name w:val="para_small"/>
    <w:uiPriority w:val="0"/>
    <w:qFormat/>
  </w:style>
  <w:style w:type="character" w:styleId="1241"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242" w:customStyle="1">
    <w:name w:val="h Char Char"/>
    <w:uiPriority w:val="0"/>
    <w:qFormat/>
    <w:rPr>
      <w:rFonts w:eastAsia="宋体"/>
      <w:sz w:val="18"/>
      <w:szCs w:val="18"/>
      <w:lang w:val="en-US" w:eastAsia="zh-CN" w:bidi="ar-SA"/>
    </w:rPr>
  </w:style>
  <w:style w:type="character" w:styleId="1243" w:customStyle="1">
    <w:name w:val="正文 + 宋体 Char"/>
    <w:uiPriority w:val="0"/>
    <w:qFormat/>
    <w:rPr>
      <w:rFonts w:eastAsia="宋体"/>
      <w:sz w:val="21"/>
      <w:szCs w:val="24"/>
      <w:lang w:val="en-US" w:eastAsia="zh-CN" w:bidi="ar-SA"/>
    </w:rPr>
  </w:style>
  <w:style w:type="character" w:styleId="1244" w:customStyle="1">
    <w:name w:val="Char Char25"/>
    <w:uiPriority w:val="0"/>
    <w:qFormat/>
    <w:rPr>
      <w:rFonts w:ascii="Arial" w:hAnsi="Arial" w:eastAsia="黑体"/>
      <w:b/>
      <w:sz w:val="28"/>
    </w:rPr>
  </w:style>
  <w:style w:type="character" w:styleId="1245" w:customStyle="1">
    <w:name w:val="param-value"/>
    <w:uiPriority w:val="0"/>
    <w:qFormat/>
  </w:style>
  <w:style w:type="character" w:styleId="1246" w:customStyle="1">
    <w:name w:val="样式 宋体 小四"/>
    <w:uiPriority w:val="0"/>
    <w:qFormat/>
    <w:rPr>
      <w:rFonts w:ascii="宋体"/>
      <w:sz w:val="24"/>
    </w:rPr>
  </w:style>
  <w:style w:type="character" w:styleId="1247" w:customStyle="1">
    <w:name w:val="小四 段落 宋体 Char Char Char1"/>
    <w:uiPriority w:val="0"/>
    <w:qFormat/>
    <w:rPr>
      <w:rFonts w:ascii="宋体" w:eastAsia="宋体"/>
      <w:sz w:val="24"/>
      <w:szCs w:val="24"/>
      <w:lang w:val="en-US" w:eastAsia="zh-CN" w:bidi="ar-SA"/>
    </w:rPr>
  </w:style>
  <w:style w:type="character" w:styleId="1248" w:customStyle="1">
    <w:name w:val="小四 段落 宋体 Char1"/>
    <w:uiPriority w:val="0"/>
    <w:qFormat/>
    <w:rPr>
      <w:rFonts w:eastAsia="宋体"/>
      <w:sz w:val="24"/>
      <w:szCs w:val="24"/>
      <w:lang w:val="en-US" w:eastAsia="zh-CN" w:bidi="ar-SA"/>
    </w:rPr>
  </w:style>
  <w:style w:type="character" w:styleId="1249" w:customStyle="1">
    <w:name w:val="普通文字1 Char"/>
    <w:uiPriority w:val="0"/>
    <w:qFormat/>
    <w:rPr>
      <w:rFonts w:ascii="宋体" w:eastAsia="宋体"/>
      <w:sz w:val="21"/>
      <w:szCs w:val="21"/>
      <w:lang w:val="en-US" w:eastAsia="zh-CN" w:bidi="ar-SA"/>
    </w:rPr>
  </w:style>
  <w:style w:type="character" w:styleId="1250" w:customStyle="1">
    <w:name w:val="subtitle1"/>
    <w:uiPriority w:val="0"/>
    <w:qFormat/>
    <w:rPr>
      <w:rFonts w:ascii="Georgia" w:hAnsi="Georgia"/>
      <w:b/>
      <w:bCs/>
      <w:color w:val="666666"/>
      <w:sz w:val="18"/>
      <w:szCs w:val="18"/>
    </w:rPr>
  </w:style>
  <w:style w:type="character" w:styleId="1251" w:customStyle="1">
    <w:name w:val="Char Char24"/>
    <w:uiPriority w:val="0"/>
    <w:qFormat/>
    <w:rPr>
      <w:b/>
      <w:bCs/>
      <w:sz w:val="28"/>
      <w:szCs w:val="28"/>
    </w:rPr>
  </w:style>
  <w:style w:type="character" w:styleId="1252" w:customStyle="1">
    <w:name w:val="point_normal1"/>
    <w:uiPriority w:val="0"/>
    <w:qFormat/>
    <w:rPr>
      <w:rFonts w:ascii="Arial" w:hAnsi="Arial" w:cs="Arial"/>
      <w:sz w:val="18"/>
      <w:szCs w:val="18"/>
      <w:lang w:bidi="ar-SA"/>
    </w:rPr>
  </w:style>
  <w:style w:type="character" w:styleId="1253" w:customStyle="1">
    <w:name w:val="title_emph1"/>
    <w:uiPriority w:val="0"/>
    <w:qFormat/>
    <w:rPr>
      <w:rFonts w:ascii="Arial" w:hAnsi="Arial" w:cs="Arial"/>
      <w:b/>
      <w:bCs/>
      <w:sz w:val="18"/>
      <w:szCs w:val="18"/>
      <w:lang w:bidi="ar-SA"/>
    </w:rPr>
  </w:style>
  <w:style w:type="character" w:styleId="1254" w:customStyle="1">
    <w:name w:val="纯文本 Char Char"/>
    <w:uiPriority w:val="0"/>
    <w:qFormat/>
    <w:rPr>
      <w:rFonts w:ascii="宋体" w:eastAsia="宋体"/>
      <w:sz w:val="21"/>
      <w:szCs w:val="21"/>
      <w:lang w:val="en-US" w:eastAsia="zh-CN" w:bidi="ar-SA"/>
    </w:rPr>
  </w:style>
  <w:style w:type="character" w:styleId="1255" w:customStyle="1">
    <w:name w:val="标准小四 Char Char"/>
    <w:uiPriority w:val="0"/>
    <w:qFormat/>
    <w:rPr>
      <w:rFonts w:ascii="Arial" w:hAnsi="Arial" w:eastAsia="宋体"/>
      <w:sz w:val="24"/>
      <w:szCs w:val="21"/>
      <w:lang w:val="en-US" w:eastAsia="zh-CN" w:bidi="ar-SA"/>
    </w:rPr>
  </w:style>
  <w:style w:type="character" w:styleId="1256" w:customStyle="1">
    <w:name w:val="标准小四 Char"/>
    <w:uiPriority w:val="0"/>
    <w:qFormat/>
    <w:rPr>
      <w:rFonts w:ascii="Arial" w:hAnsi="Arial" w:eastAsia="宋体"/>
      <w:sz w:val="24"/>
      <w:szCs w:val="21"/>
      <w:lang w:val="en-US" w:eastAsia="zh-CN" w:bidi="ar-SA"/>
    </w:rPr>
  </w:style>
  <w:style w:type="character" w:styleId="1257" w:customStyle="1">
    <w:name w:val="标题 3 Char2"/>
    <w:uiPriority w:val="0"/>
    <w:qFormat/>
    <w:rPr>
      <w:rFonts w:ascii="宋体" w:eastAsia="宋体"/>
      <w:b/>
      <w:sz w:val="21"/>
      <w:szCs w:val="21"/>
      <w:shd w:val="clear" w:color="auto" w:fill="ffffff"/>
    </w:rPr>
  </w:style>
  <w:style w:type="character" w:styleId="1258" w:customStyle="1">
    <w:name w:val="小四 段落 宋体 Char Char Char Char Char Char"/>
    <w:uiPriority w:val="0"/>
    <w:qFormat/>
    <w:rPr>
      <w:rFonts w:eastAsia="宋体"/>
      <w:sz w:val="24"/>
      <w:szCs w:val="24"/>
      <w:lang w:val="en-US" w:eastAsia="zh-CN" w:bidi="ar-SA"/>
    </w:rPr>
  </w:style>
  <w:style w:type="character" w:styleId="1259" w:customStyle="1">
    <w:name w:val="样式 首行缩进:  2 字符 Char"/>
    <w:uiPriority w:val="0"/>
    <w:qFormat/>
    <w:rPr>
      <w:rFonts w:eastAsia="宋体" w:cs="宋体"/>
      <w:sz w:val="24"/>
      <w:lang w:val="en-US" w:eastAsia="zh-CN" w:bidi="ar-SA"/>
    </w:rPr>
  </w:style>
  <w:style w:type="character" w:styleId="1260" w:customStyle="1">
    <w:name w:val="Char Char29"/>
    <w:uiPriority w:val="0"/>
    <w:qFormat/>
    <w:rPr>
      <w:rFonts w:ascii="Times New Roman" w:hAnsi="Times New Roman" w:eastAsia="宋体" w:cs="Times New Roman"/>
      <w:b/>
      <w:bCs/>
      <w:sz w:val="44"/>
      <w:szCs w:val="44"/>
      <w:lang w:bidi="ar-SA"/>
    </w:rPr>
  </w:style>
  <w:style w:type="character" w:styleId="1261" w:customStyle="1">
    <w:name w:val="Char Char2"/>
    <w:uiPriority w:val="0"/>
    <w:qFormat/>
    <w:rPr>
      <w:rFonts w:ascii="宋体" w:eastAsia="宋体"/>
      <w:sz w:val="21"/>
      <w:szCs w:val="21"/>
      <w:lang w:val="en-US" w:eastAsia="zh-CN" w:bidi="ar-SA"/>
    </w:rPr>
  </w:style>
  <w:style w:type="character" w:styleId="1262" w:customStyle="1">
    <w:name w:val="Char Char28"/>
    <w:uiPriority w:val="0"/>
    <w:qFormat/>
    <w:rPr>
      <w:rFonts w:ascii="Arial" w:hAnsi="Arial" w:eastAsia="黑体" w:cs="Arial"/>
      <w:b/>
      <w:bCs/>
      <w:sz w:val="32"/>
      <w:szCs w:val="32"/>
      <w:lang w:bidi="ar-SA"/>
    </w:rPr>
  </w:style>
  <w:style w:type="character" w:styleId="1263" w:customStyle="1">
    <w:name w:val="样式 非加粗"/>
    <w:uiPriority w:val="0"/>
    <w:qFormat/>
    <w:rPr>
      <w:rFonts w:eastAsia="宋体"/>
      <w:sz w:val="28"/>
    </w:rPr>
  </w:style>
  <w:style w:type="character" w:styleId="1264" w:customStyle="1">
    <w:name w:val="小四 段落 宋体 Char Char Char Char1"/>
    <w:uiPriority w:val="0"/>
    <w:qFormat/>
    <w:rPr>
      <w:rFonts w:eastAsia="宋体"/>
      <w:sz w:val="24"/>
      <w:szCs w:val="24"/>
      <w:lang w:val="en-US" w:eastAsia="zh-CN" w:bidi="ar-SA"/>
    </w:rPr>
  </w:style>
  <w:style w:type="character" w:styleId="1265" w:customStyle="1">
    <w:name w:val="华宇段落1 Char Char Char"/>
    <w:uiPriority w:val="0"/>
    <w:qFormat/>
    <w:rPr>
      <w:rFonts w:eastAsia="宋体"/>
      <w:bCs/>
      <w:sz w:val="24"/>
      <w:szCs w:val="24"/>
      <w:lang w:val="en-US" w:eastAsia="zh-CN" w:bidi="ar-SA"/>
    </w:rPr>
  </w:style>
  <w:style w:type="character" w:styleId="1266" w:customStyle="1">
    <w:name w:val="纯文本 Char Char Char1"/>
    <w:uiPriority w:val="0"/>
    <w:qFormat/>
    <w:rPr>
      <w:rFonts w:ascii="宋体" w:eastAsia="宋体"/>
      <w:sz w:val="21"/>
      <w:szCs w:val="21"/>
      <w:lang w:val="en-US" w:eastAsia="zh-CN" w:bidi="ar-SA"/>
    </w:rPr>
  </w:style>
  <w:style w:type="character" w:styleId="1267" w:customStyle="1">
    <w:name w:val="ih151"/>
    <w:uiPriority w:val="0"/>
    <w:qFormat/>
    <w:rPr>
      <w:color w:val="666666"/>
      <w:sz w:val="18"/>
      <w:szCs w:val="18"/>
      <w:u w:val="none"/>
    </w:rPr>
  </w:style>
  <w:style w:type="character" w:styleId="1268" w:customStyle="1">
    <w:name w:val="case31"/>
    <w:uiPriority w:val="0"/>
    <w:qFormat/>
    <w:rPr>
      <w:sz w:val="21"/>
      <w:szCs w:val="21"/>
    </w:rPr>
  </w:style>
  <w:style w:type="character" w:styleId="1269" w:customStyle="1">
    <w:name w:val="Char Char20"/>
    <w:uiPriority w:val="0"/>
    <w:qFormat/>
    <w:rPr>
      <w:rFonts w:ascii="Arial" w:hAnsi="Arial" w:eastAsia="黑体"/>
      <w:sz w:val="21"/>
      <w:szCs w:val="21"/>
    </w:rPr>
  </w:style>
  <w:style w:type="character" w:styleId="1270" w:customStyle="1">
    <w:name w:val="特点 Char1"/>
    <w:uiPriority w:val="0"/>
    <w:qFormat/>
    <w:rPr>
      <w:rFonts w:eastAsia="宋体"/>
      <w:sz w:val="21"/>
      <w:lang w:val="en-US" w:eastAsia="zh-CN" w:bidi="ar-SA"/>
    </w:rPr>
  </w:style>
  <w:style w:type="character" w:styleId="1271" w:customStyle="1">
    <w:name w:val="Char Char26"/>
    <w:uiPriority w:val="0"/>
    <w:qFormat/>
    <w:rPr>
      <w:b/>
      <w:bCs/>
      <w:sz w:val="32"/>
      <w:szCs w:val="32"/>
    </w:rPr>
  </w:style>
  <w:style w:type="character" w:styleId="1272" w:customStyle="1">
    <w:name w:val="小四 段落 宋体 Char Char Char Char Char"/>
    <w:uiPriority w:val="0"/>
    <w:qFormat/>
    <w:rPr>
      <w:rFonts w:eastAsia="宋体"/>
      <w:sz w:val="24"/>
      <w:szCs w:val="24"/>
      <w:lang w:val="en-US" w:eastAsia="zh-CN" w:bidi="ar-SA"/>
    </w:rPr>
  </w:style>
  <w:style w:type="character" w:styleId="1273" w:customStyle="1">
    <w:name w:val="A2"/>
    <w:uiPriority w:val="0"/>
    <w:qFormat/>
    <w:rPr>
      <w:rFonts w:cs="Helvetica"/>
      <w:color w:val="000000"/>
      <w:sz w:val="18"/>
      <w:szCs w:val="18"/>
      <w:lang w:bidi="ar-SA"/>
    </w:rPr>
  </w:style>
  <w:style w:type="character" w:styleId="1274" w:customStyle="1">
    <w:name w:val="Char Char27"/>
    <w:uiPriority w:val="0"/>
    <w:qFormat/>
    <w:rPr>
      <w:b/>
      <w:bCs/>
      <w:sz w:val="44"/>
      <w:szCs w:val="44"/>
    </w:rPr>
  </w:style>
  <w:style w:type="character" w:styleId="1275" w:customStyle="1">
    <w:name w:val="小四 段落 宋体 Char Char Char Char Char Char Char Char"/>
    <w:uiPriority w:val="0"/>
    <w:qFormat/>
    <w:rPr>
      <w:rFonts w:eastAsia="宋体"/>
      <w:sz w:val="24"/>
      <w:szCs w:val="24"/>
      <w:lang w:val="en-US" w:eastAsia="zh-CN" w:bidi="ar-SA"/>
    </w:rPr>
  </w:style>
  <w:style w:type="character" w:styleId="1276" w:customStyle="1">
    <w:name w:val="apple-converted-space"/>
    <w:uiPriority w:val="0"/>
    <w:qFormat/>
  </w:style>
  <w:style w:type="character" w:styleId="1277" w:customStyle="1">
    <w:name w:val="content_lineheight1"/>
    <w:uiPriority w:val="0"/>
    <w:qFormat/>
  </w:style>
  <w:style w:type="character" w:styleId="1278" w:customStyle="1">
    <w:name w:val="concon"/>
    <w:uiPriority w:val="0"/>
    <w:qFormat/>
  </w:style>
  <w:style w:type="character" w:styleId="1279" w:customStyle="1">
    <w:name w:val="Char Char22"/>
    <w:uiPriority w:val="0"/>
    <w:qFormat/>
    <w:rPr>
      <w:b/>
      <w:bCs/>
      <w:sz w:val="24"/>
      <w:szCs w:val="24"/>
    </w:rPr>
  </w:style>
  <w:style w:type="character" w:styleId="1280" w:customStyle="1">
    <w:name w:val="已访问的超链接1"/>
    <w:uiPriority w:val="0"/>
    <w:qFormat/>
    <w:rPr>
      <w:color w:val="auto"/>
      <w:u w:val="none"/>
    </w:rPr>
  </w:style>
  <w:style w:type="character" w:styleId="1281" w:customStyle="1">
    <w:name w:val="标准文本 Char Char"/>
    <w:uiPriority w:val="0"/>
    <w:qFormat/>
    <w:rPr>
      <w:rFonts w:eastAsia="宋体" w:cs="宋体"/>
      <w:sz w:val="24"/>
      <w:szCs w:val="24"/>
      <w:lang w:val="en-US" w:eastAsia="zh-CN" w:bidi="ar-SA"/>
    </w:rPr>
  </w:style>
  <w:style w:type="character" w:styleId="1282" w:customStyle="1">
    <w:name w:val="Char Char17"/>
    <w:uiPriority w:val="0"/>
    <w:qFormat/>
    <w:rPr>
      <w:rFonts w:ascii="宋体"/>
      <w:sz w:val="21"/>
      <w:szCs w:val="21"/>
    </w:rPr>
  </w:style>
  <w:style w:type="character" w:styleId="1283" w:customStyle="1">
    <w:name w:val="3zw"/>
    <w:uiPriority w:val="0"/>
    <w:qFormat/>
  </w:style>
  <w:style w:type="character" w:styleId="1284" w:customStyle="1">
    <w:name w:val="normalfont1"/>
    <w:uiPriority w:val="0"/>
    <w:qFormat/>
    <w:rPr>
      <w:rFonts w:ascii="ˎ̥" w:hAnsi="ˎ̥"/>
      <w:sz w:val="18"/>
      <w:szCs w:val="18"/>
      <w:u w:val="none"/>
    </w:rPr>
  </w:style>
  <w:style w:type="character" w:styleId="1285" w:customStyle="1">
    <w:name w:val="标题 Char1"/>
    <w:uiPriority w:val="0"/>
    <w:qFormat/>
    <w:rPr>
      <w:rFonts w:ascii="Cambria" w:hAnsi="Cambria" w:eastAsia="宋体" w:cs="Times New Roman"/>
      <w:b/>
      <w:bCs/>
      <w:sz w:val="32"/>
      <w:szCs w:val="32"/>
      <w:lang w:bidi="ar-SA"/>
    </w:rPr>
  </w:style>
  <w:style w:type="paragraph" w:styleId="1286" w:customStyle="1">
    <w:name w:val="font13"/>
    <w:basedOn w:val="912"/>
    <w:uiPriority w:val="0"/>
    <w:qFormat/>
    <w:pPr>
      <w:jc w:val="left"/>
      <w:spacing w:before="100" w:beforeAutospacing="1" w:after="100" w:afterAutospacing="1"/>
      <w:widowControl/>
    </w:pPr>
    <w:rPr>
      <w:rFonts w:ascii="Times New Roman" w:hAnsi="Times New Roman" w:eastAsia="Calibri" w:cs="宋体"/>
      <w:i/>
      <w:iCs/>
      <w:sz w:val="36"/>
      <w:szCs w:val="36"/>
      <w:lang w:val="zh-CN"/>
    </w:rPr>
  </w:style>
  <w:style w:type="paragraph" w:styleId="1287" w:customStyle="1">
    <w:name w:val="表格抬头"/>
    <w:basedOn w:val="912"/>
    <w:uiPriority w:val="0"/>
    <w:qFormat/>
    <w:pPr>
      <w:jc w:val="center"/>
    </w:pPr>
    <w:rPr>
      <w:rFonts w:ascii="黑体" w:hAnsi="Times New Roman" w:eastAsia="黑体" w:cs="宋体"/>
      <w:b/>
      <w:sz w:val="20"/>
      <w:szCs w:val="20"/>
      <w:lang w:val="zh-CN"/>
    </w:rPr>
  </w:style>
  <w:style w:type="paragraph" w:styleId="1288" w:customStyle="1">
    <w:name w:val="xl30"/>
    <w:basedOn w:val="9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Calibri" w:cs="宋体"/>
      <w:b/>
      <w:bCs/>
      <w:sz w:val="20"/>
      <w:szCs w:val="20"/>
      <w:lang w:val="zh-CN"/>
    </w:rPr>
  </w:style>
  <w:style w:type="character" w:styleId="1289" w:customStyle="1">
    <w:name w:val="正文文本缩进 3 Char1"/>
    <w:uiPriority w:val="0"/>
    <w:qFormat/>
    <w:rPr>
      <w:sz w:val="16"/>
      <w:szCs w:val="16"/>
    </w:rPr>
  </w:style>
  <w:style w:type="character" w:styleId="1290" w:customStyle="1">
    <w:name w:val="HTML 预设格式 Char1"/>
    <w:uiPriority w:val="0"/>
    <w:qFormat/>
    <w:rPr>
      <w:rFonts w:ascii="Courier New" w:hAnsi="Courier New" w:cs="Courier New"/>
      <w:lang w:bidi="ar-SA"/>
    </w:rPr>
  </w:style>
  <w:style w:type="paragraph" w:styleId="1291" w:customStyle="1">
    <w:name w:val="Char Char Char Char Char Char Char Char"/>
    <w:basedOn w:val="912"/>
    <w:uiPriority w:val="0"/>
    <w:qFormat/>
    <w:rPr>
      <w:rFonts w:ascii="Tahoma" w:hAnsi="Tahoma" w:eastAsia="Calibri" w:cs="Tahoma"/>
      <w:sz w:val="24"/>
      <w:szCs w:val="20"/>
      <w:lang w:val="zh-CN"/>
    </w:rPr>
  </w:style>
  <w:style w:type="paragraph" w:styleId="1292" w:customStyle="1">
    <w:name w:val="Char Char"/>
    <w:basedOn w:val="912"/>
    <w:uiPriority w:val="0"/>
    <w:qFormat/>
    <w:rPr>
      <w:rFonts w:ascii="Tahoma" w:hAnsi="Tahoma" w:eastAsia="Calibri" w:cs="Tahoma"/>
      <w:sz w:val="24"/>
      <w:szCs w:val="20"/>
      <w:lang w:val="zh-CN"/>
    </w:rPr>
  </w:style>
  <w:style w:type="paragraph" w:styleId="1293" w:customStyle="1">
    <w:name w:val="Char Char Char Char Char Char Char Char Char Char Char Char Char Char Char Char Char Char Char Char Char"/>
    <w:basedOn w:val="912"/>
    <w:uiPriority w:val="0"/>
    <w:qFormat/>
    <w:rPr>
      <w:rFonts w:ascii="Tahoma" w:hAnsi="Tahoma" w:eastAsia="Calibri" w:cs="Tahoma"/>
      <w:sz w:val="24"/>
      <w:szCs w:val="20"/>
      <w:lang w:val="zh-CN"/>
    </w:rPr>
  </w:style>
  <w:style w:type="paragraph" w:styleId="1294" w:customStyle="1">
    <w:name w:val="马刚标题3"/>
    <w:basedOn w:val="912"/>
    <w:next w:val="912"/>
    <w:uiPriority w:val="0"/>
    <w:qFormat/>
    <w:pPr>
      <w:ind w:left="567" w:hanging="567"/>
      <w:jc w:val="left"/>
      <w:keepLines/>
      <w:keepNext/>
      <w:spacing w:before="120" w:after="60" w:line="412" w:lineRule="auto"/>
      <w:tabs>
        <w:tab w:val="left" w:pos="567" w:leader="none"/>
        <w:tab w:val="left" w:pos="735" w:leader="none"/>
      </w:tabs>
      <w:outlineLvl w:val="2"/>
    </w:pPr>
    <w:rPr>
      <w:rFonts w:ascii="黑体" w:hAnsi="Times New Roman" w:eastAsia="黑体" w:cs="宋体"/>
      <w:b/>
      <w:bCs/>
      <w:sz w:val="24"/>
      <w:szCs w:val="20"/>
      <w:lang w:val="zh-CN"/>
    </w:rPr>
  </w:style>
  <w:style w:type="paragraph" w:styleId="1295" w:customStyle="1">
    <w:name w:val="标准小四"/>
    <w:basedOn w:val="912"/>
    <w:uiPriority w:val="0"/>
    <w:qFormat/>
    <w:pPr>
      <w:ind w:firstLine="200"/>
      <w:spacing w:line="360" w:lineRule="auto"/>
    </w:pPr>
    <w:rPr>
      <w:rFonts w:ascii="Arial" w:hAnsi="Arial" w:eastAsia="Calibri" w:cs="宋体"/>
      <w:sz w:val="24"/>
      <w:szCs w:val="21"/>
      <w:lang w:val="zh-CN"/>
    </w:rPr>
  </w:style>
  <w:style w:type="paragraph" w:styleId="1296" w:customStyle="1">
    <w:name w:val="马刚标题4"/>
    <w:basedOn w:val="1294"/>
    <w:next w:val="912"/>
    <w:uiPriority w:val="0"/>
    <w:qFormat/>
    <w:pPr>
      <w:spacing w:before="100" w:after="40"/>
      <w:tabs>
        <w:tab w:val="clear" w:pos="567" w:leader="none"/>
        <w:tab w:val="clear" w:pos="735" w:leader="none"/>
        <w:tab w:val="left" w:pos="1050" w:leader="none"/>
      </w:tabs>
      <w:outlineLvl w:val="3"/>
    </w:pPr>
    <w:rPr>
      <w:b w:val="0"/>
    </w:rPr>
  </w:style>
  <w:style w:type="paragraph" w:styleId="1297" w:customStyle="1">
    <w:name w:val="Char Char Char Char Char Char"/>
    <w:basedOn w:val="912"/>
    <w:uiPriority w:val="0"/>
    <w:qFormat/>
    <w:rPr>
      <w:rFonts w:ascii="Tahoma" w:hAnsi="Tahoma" w:eastAsia="Calibri" w:cs="Tahoma"/>
      <w:sz w:val="24"/>
      <w:szCs w:val="20"/>
      <w:lang w:val="zh-CN"/>
    </w:rPr>
  </w:style>
  <w:style w:type="paragraph" w:styleId="1298" w:customStyle="1">
    <w:name w:val="content_lineheight"/>
    <w:basedOn w:val="912"/>
    <w:uiPriority w:val="0"/>
    <w:qFormat/>
    <w:pPr>
      <w:jc w:val="left"/>
      <w:spacing w:before="100" w:beforeAutospacing="1" w:after="100" w:afterAutospacing="1"/>
      <w:widowControl/>
    </w:pPr>
    <w:rPr>
      <w:rFonts w:ascii="宋体" w:hAnsi="Times New Roman" w:eastAsia="Calibri" w:cs="宋体"/>
      <w:sz w:val="24"/>
      <w:szCs w:val="20"/>
      <w:lang w:val="zh-CN"/>
    </w:rPr>
  </w:style>
  <w:style w:type="paragraph" w:styleId="1299" w:customStyle="1">
    <w:name w:val="xl32"/>
    <w:basedOn w:val="9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Calibri" w:cs="宋体"/>
      <w:b/>
      <w:bCs/>
      <w:i/>
      <w:iCs/>
      <w:sz w:val="20"/>
      <w:szCs w:val="20"/>
      <w:lang w:val="zh-CN"/>
    </w:rPr>
  </w:style>
  <w:style w:type="paragraph" w:styleId="1300" w:customStyle="1">
    <w:name w:val="flNote"/>
    <w:basedOn w:val="912"/>
    <w:uiPriority w:val="0"/>
    <w:qFormat/>
    <w:pPr>
      <w:jc w:val="center"/>
      <w:spacing w:before="567" w:line="360" w:lineRule="atLeast"/>
    </w:pPr>
    <w:rPr>
      <w:rFonts w:ascii="Times New Roman" w:hAnsi="Times New Roman" w:eastAsia="黑体" w:cs="宋体"/>
      <w:b/>
      <w:sz w:val="24"/>
      <w:szCs w:val="20"/>
      <w:lang w:val="zh-CN"/>
    </w:rPr>
  </w:style>
  <w:style w:type="paragraph" w:styleId="1301" w:customStyle="1">
    <w:name w:val="样式 段后: 0.25 行"/>
    <w:basedOn w:val="912"/>
    <w:uiPriority w:val="0"/>
    <w:qFormat/>
    <w:pPr>
      <w:ind w:firstLine="200"/>
      <w:jc w:val="left"/>
      <w:spacing w:after="25" w:line="300" w:lineRule="auto"/>
      <w:widowControl/>
    </w:pPr>
    <w:rPr>
      <w:rFonts w:ascii="Arial" w:hAnsi="Arial" w:eastAsia="Calibri" w:cs="宋体"/>
      <w:sz w:val="22"/>
      <w:szCs w:val="20"/>
      <w:lang w:val="zh-CN" w:bidi="en-US"/>
    </w:rPr>
  </w:style>
  <w:style w:type="paragraph" w:styleId="1302" w:customStyle="1">
    <w:name w:val="xl31"/>
    <w:basedOn w:val="9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Times New Roman" w:eastAsia="楷体_GB2312" w:cs="宋体"/>
      <w:b/>
      <w:bCs/>
      <w:sz w:val="24"/>
      <w:szCs w:val="20"/>
      <w:lang w:val="zh-CN"/>
    </w:rPr>
  </w:style>
  <w:style w:type="paragraph" w:styleId="1303" w:customStyle="1">
    <w:name w:val="丁华标题1"/>
    <w:basedOn w:val="913"/>
    <w:next w:val="1304"/>
    <w:uiPriority w:val="0"/>
    <w:qFormat/>
    <w:pPr>
      <w:jc w:val="left"/>
      <w:spacing w:before="600" w:after="120"/>
      <w:tabs>
        <w:tab w:val="left" w:pos="567" w:leader="none"/>
        <w:tab w:val="left" w:pos="1440" w:leader="none"/>
      </w:tabs>
    </w:pPr>
    <w:rPr>
      <w:rFonts w:ascii="Times New Roman" w:hAnsi="Times New Roman" w:eastAsia="黑体" w:cs="宋体"/>
      <w:b w:val="0"/>
      <w:bCs w:val="0"/>
      <w:sz w:val="32"/>
      <w:szCs w:val="20"/>
      <w:lang w:val="zh-CN"/>
    </w:rPr>
  </w:style>
  <w:style w:type="paragraph" w:styleId="1304" w:customStyle="1">
    <w:name w:val="丁华正文"/>
    <w:basedOn w:val="962"/>
    <w:uiPriority w:val="0"/>
    <w:qFormat/>
    <w:pPr>
      <w:ind w:left="0" w:firstLine="510"/>
      <w:spacing w:line="360" w:lineRule="auto"/>
    </w:pPr>
    <w:rPr>
      <w:rFonts w:ascii="Times New Roman" w:hAnsi="Times New Roman" w:eastAsia="宋体"/>
      <w:color w:val="auto"/>
      <w:sz w:val="24"/>
      <w:szCs w:val="16"/>
    </w:rPr>
  </w:style>
  <w:style w:type="paragraph" w:styleId="1305" w:customStyle="1">
    <w:name w:val="Char Char1 Char Char Char Char"/>
    <w:basedOn w:val="934"/>
    <w:uiPriority w:val="0"/>
    <w:qFormat/>
    <w:pPr>
      <w:ind w:left="357"/>
      <w:jc w:val="left"/>
      <w:spacing w:line="436" w:lineRule="exact"/>
      <w:outlineLvl w:val="3"/>
    </w:pPr>
    <w:rPr>
      <w:rFonts w:ascii="Tahoma" w:hAnsi="Tahoma" w:cs="Tahoma"/>
      <w:b/>
      <w:sz w:val="24"/>
      <w:lang w:val="en-US"/>
    </w:rPr>
  </w:style>
  <w:style w:type="paragraph" w:styleId="1306" w:customStyle="1">
    <w:name w:val="部分1"/>
    <w:basedOn w:val="912"/>
    <w:uiPriority w:val="0"/>
    <w:qFormat/>
    <w:pPr>
      <w:jc w:val="center"/>
      <w:keepNext/>
      <w:pageBreakBefore/>
      <w:spacing w:line="360" w:lineRule="auto"/>
      <w:tabs>
        <w:tab w:val="left" w:pos="360" w:leader="none"/>
      </w:tabs>
      <w:outlineLvl w:val="0"/>
    </w:pPr>
    <w:rPr>
      <w:rFonts w:ascii="Times New Roman" w:hAnsi="Times New Roman" w:eastAsia="黑体" w:cs="宋体"/>
      <w:b/>
      <w:sz w:val="36"/>
      <w:szCs w:val="20"/>
      <w:lang w:val="zh-CN"/>
    </w:rPr>
  </w:style>
  <w:style w:type="paragraph" w:styleId="1307" w:customStyle="1">
    <w:name w:val="丁华标题2"/>
    <w:basedOn w:val="914"/>
    <w:next w:val="1304"/>
    <w:uiPriority w:val="0"/>
    <w:qFormat/>
    <w:pPr>
      <w:numPr>
        <w:ilvl w:val="1"/>
        <w:numId w:val="2"/>
      </w:numPr>
      <w:spacing w:line="415" w:lineRule="auto"/>
      <w:tabs>
        <w:tab w:val="left" w:pos="576" w:leader="none"/>
        <w:tab w:val="left" w:pos="1004" w:leader="none"/>
      </w:tabs>
    </w:pPr>
    <w:rPr>
      <w:rFonts w:ascii="Arial" w:hAnsi="Arial" w:eastAsia="黑体" w:cs="宋体"/>
      <w:sz w:val="28"/>
      <w:szCs w:val="20"/>
      <w:lang w:val="zh-CN"/>
    </w:rPr>
  </w:style>
  <w:style w:type="paragraph" w:styleId="1308" w:customStyle="1">
    <w:name w:val="Test2"/>
    <w:basedOn w:val="914"/>
    <w:uiPriority w:val="0"/>
    <w:qFormat/>
    <w:pPr>
      <w:jc w:val="center"/>
      <w:spacing w:before="50" w:after="50" w:line="480" w:lineRule="exact"/>
      <w:widowControl/>
    </w:pPr>
    <w:rPr>
      <w:rFonts w:ascii="黑体" w:hAnsi="Times New Roman" w:eastAsia="黑体" w:cs="宋体"/>
      <w:b w:val="0"/>
      <w:bCs/>
      <w:sz w:val="24"/>
      <w:szCs w:val="21"/>
      <w:lang w:val="zh-CN"/>
    </w:rPr>
  </w:style>
  <w:style w:type="paragraph" w:styleId="1309" w:customStyle="1">
    <w:name w:val="样式 样式 首行缩进:  2 字符 + 行距: 1.5 倍行距"/>
    <w:basedOn w:val="912"/>
    <w:uiPriority w:val="0"/>
    <w:qFormat/>
    <w:pPr>
      <w:ind w:firstLine="196"/>
      <w:spacing w:line="360" w:lineRule="auto"/>
    </w:pPr>
    <w:rPr>
      <w:rFonts w:ascii="Times New Roman" w:hAnsi="Times New Roman" w:eastAsia="Calibri" w:cs="宋体"/>
      <w:sz w:val="24"/>
      <w:szCs w:val="20"/>
      <w:lang w:val="zh-CN"/>
    </w:rPr>
  </w:style>
  <w:style w:type="paragraph" w:styleId="1310" w:customStyle="1">
    <w:name w:val="标题 4宋体"/>
    <w:basedOn w:val="916"/>
    <w:uiPriority w:val="0"/>
    <w:qFormat/>
    <w:pPr>
      <w:numPr>
        <w:ilvl w:val="0"/>
        <w:numId w:val="0"/>
      </w:numPr>
      <w:jc w:val="left"/>
      <w:keepLines w:val="0"/>
      <w:spacing w:before="0" w:after="0" w:line="360" w:lineRule="auto"/>
      <w:tabs>
        <w:tab w:val="clear" w:pos="4409" w:leader="none"/>
      </w:tabs>
    </w:pPr>
    <w:rPr>
      <w:rFonts w:ascii="宋体" w:eastAsia="宋体"/>
      <w:color w:val="000000"/>
      <w:sz w:val="24"/>
      <w:szCs w:val="20"/>
    </w:rPr>
  </w:style>
  <w:style w:type="paragraph" w:styleId="1311" w:customStyle="1">
    <w:name w:val="_Style 42"/>
    <w:basedOn w:val="912"/>
    <w:next w:val="939"/>
    <w:uiPriority w:val="0"/>
    <w:qFormat/>
    <w:rPr>
      <w:rFonts w:ascii="楷体_GB2312" w:hAnsi="Times New Roman" w:eastAsia="楷体_GB2312" w:cs="宋体"/>
      <w:sz w:val="28"/>
      <w:szCs w:val="20"/>
      <w:lang w:val="zh-CN"/>
    </w:rPr>
  </w:style>
  <w:style w:type="paragraph" w:styleId="1312" w:customStyle="1">
    <w:name w:val="正文 New New New New New New New New New New New New New New"/>
    <w:uiPriority w:val="0"/>
    <w:qFormat/>
    <w:pPr>
      <w:jc w:val="both"/>
      <w:widowControl w:val="off"/>
    </w:pPr>
    <w:rPr>
      <w:rFonts w:hint="default" w:ascii="Calibri" w:hAnsi="Calibri" w:eastAsia="宋体" w:cs="Times New Roman"/>
      <w:sz w:val="21"/>
    </w:rPr>
  </w:style>
  <w:style w:type="paragraph" w:styleId="1313" w:customStyle="1">
    <w:name w:val="标题1，章节第一层"/>
    <w:basedOn w:val="1314"/>
    <w:next w:val="1314"/>
    <w:uiPriority w:val="0"/>
    <w:qFormat/>
    <w:pPr>
      <w:ind w:left="0"/>
      <w:spacing w:before="0"/>
      <w:tabs>
        <w:tab w:val="left" w:pos="693" w:leader="none"/>
      </w:tabs>
      <w:outlineLvl w:val="0"/>
    </w:pPr>
    <w:rPr>
      <w:color w:val="000000"/>
      <w:sz w:val="24"/>
      <w:szCs w:val="24"/>
    </w:rPr>
  </w:style>
  <w:style w:type="paragraph" w:styleId="1314" w:customStyle="1">
    <w:name w:val="正文格式"/>
    <w:basedOn w:val="912"/>
    <w:uiPriority w:val="0"/>
    <w:qFormat/>
    <w:pPr>
      <w:ind w:left="85" w:right="21" w:hanging="85"/>
      <w:jc w:val="left"/>
      <w:spacing w:before="25" w:line="360" w:lineRule="auto"/>
      <w:widowControl/>
    </w:pPr>
    <w:rPr>
      <w:rFonts w:ascii="宋体" w:hAnsi="Times New Roman" w:eastAsia="Calibri" w:cs="宋体"/>
      <w:bCs/>
      <w:sz w:val="20"/>
      <w:szCs w:val="21"/>
      <w:lang w:val="zh-CN"/>
    </w:rPr>
  </w:style>
  <w:style w:type="paragraph" w:styleId="1315" w:customStyle="1">
    <w:name w:val="二级目录"/>
    <w:next w:val="912"/>
    <w:uiPriority w:val="0"/>
    <w:qFormat/>
    <w:pPr>
      <w:numPr>
        <w:ilvl w:val="0"/>
        <w:numId w:val="1"/>
      </w:numPr>
      <w:ind w:left="0" w:firstLine="0"/>
      <w:tabs>
        <w:tab w:val="left" w:pos="360" w:leader="none"/>
        <w:tab w:val="left" w:pos="720" w:leader="none"/>
        <w:tab w:val="left" w:pos="2275" w:leader="none"/>
      </w:tabs>
      <w:outlineLvl w:val="1"/>
    </w:pPr>
    <w:rPr>
      <w:rFonts w:hint="default" w:ascii="Calibri" w:hAnsi="Calibri" w:eastAsia="宋体" w:cs="Times New Roman"/>
      <w:b/>
      <w:sz w:val="30"/>
      <w:szCs w:val="28"/>
    </w:rPr>
  </w:style>
  <w:style w:type="paragraph" w:styleId="1316" w:customStyle="1">
    <w:name w:val="Char Char Char Char Char Char Char"/>
    <w:basedOn w:val="912"/>
    <w:uiPriority w:val="0"/>
    <w:qFormat/>
    <w:pPr>
      <w:jc w:val="left"/>
    </w:pPr>
    <w:rPr>
      <w:rFonts w:ascii="Tahoma" w:hAnsi="Tahoma" w:eastAsia="Calibri" w:cs="宋体"/>
      <w:sz w:val="24"/>
      <w:szCs w:val="20"/>
      <w:lang w:val="zh-CN"/>
    </w:rPr>
  </w:style>
  <w:style w:type="paragraph" w:styleId="1317" w:customStyle="1">
    <w:name w:val="样式 段后: 0.5 行 左  0.75 字符"/>
    <w:basedOn w:val="912"/>
    <w:uiPriority w:val="0"/>
    <w:qFormat/>
    <w:pPr>
      <w:ind w:firstLine="200"/>
      <w:spacing w:line="360" w:lineRule="auto"/>
      <w:widowControl/>
    </w:pPr>
    <w:rPr>
      <w:rFonts w:ascii="Times New Roman" w:hAnsi="Times New Roman" w:eastAsia="Calibri" w:cs="Arial"/>
      <w:sz w:val="20"/>
      <w:szCs w:val="21"/>
      <w:lang w:val="zh-CN"/>
    </w:rPr>
  </w:style>
  <w:style w:type="paragraph" w:styleId="1318" w:customStyle="1">
    <w:name w:val="Char Char1 Char"/>
    <w:basedOn w:val="912"/>
    <w:uiPriority w:val="0"/>
    <w:qFormat/>
    <w:pPr>
      <w:jc w:val="left"/>
      <w:spacing w:after="160" w:line="240" w:lineRule="exact"/>
      <w:widowControl/>
    </w:pPr>
    <w:rPr>
      <w:rFonts w:ascii="Verdana" w:hAnsi="Verdana" w:eastAsia="Calibri" w:cs="宋体"/>
      <w:sz w:val="20"/>
      <w:szCs w:val="20"/>
      <w:lang w:val="zh-CN"/>
    </w:rPr>
  </w:style>
  <w:style w:type="paragraph" w:styleId="1319" w:customStyle="1">
    <w:name w:val="正文文本 21"/>
    <w:basedOn w:val="912"/>
    <w:uiPriority w:val="0"/>
    <w:qFormat/>
    <w:pPr>
      <w:ind w:left="720" w:hanging="720"/>
      <w:widowControl/>
    </w:pPr>
    <w:rPr>
      <w:rFonts w:ascii="Times New Roman" w:hAnsi="Times New Roman" w:eastAsia="Calibri" w:cs="宋体"/>
      <w:sz w:val="24"/>
      <w:szCs w:val="20"/>
      <w:lang w:val="en-GB" w:eastAsia="en-GB"/>
    </w:rPr>
  </w:style>
  <w:style w:type="paragraph" w:styleId="1320" w:customStyle="1">
    <w:name w:val="无间隔1"/>
    <w:uiPriority w:val="0"/>
    <w:qFormat/>
    <w:pPr>
      <w:jc w:val="both"/>
      <w:widowControl w:val="off"/>
    </w:pPr>
    <w:rPr>
      <w:rFonts w:hint="default" w:ascii="Calibri" w:hAnsi="Calibri" w:eastAsia="微软雅黑" w:cs="Times New Roman"/>
      <w:sz w:val="24"/>
      <w:szCs w:val="22"/>
    </w:rPr>
  </w:style>
  <w:style w:type="paragraph" w:styleId="1321" w:customStyle="1">
    <w:name w:val="默认段落字体 Para Char"/>
    <w:basedOn w:val="912"/>
    <w:uiPriority w:val="0"/>
    <w:qFormat/>
    <w:rPr>
      <w:rFonts w:ascii="Times New Roman" w:hAnsi="Times New Roman" w:eastAsia="Calibri" w:cs="宋体"/>
      <w:sz w:val="24"/>
      <w:szCs w:val="20"/>
      <w:lang w:val="zh-CN"/>
    </w:rPr>
  </w:style>
  <w:style w:type="paragraph" w:styleId="1322" w:customStyle="1">
    <w:name w:val="正文1"/>
    <w:basedOn w:val="912"/>
    <w:uiPriority w:val="0"/>
    <w:qFormat/>
    <w:rPr>
      <w:rFonts w:ascii="Times New Roman" w:hAnsi="Times New Roman" w:eastAsia="Calibri" w:cs="宋体"/>
      <w:sz w:val="20"/>
      <w:szCs w:val="20"/>
      <w:lang w:val="zh-CN"/>
    </w:rPr>
  </w:style>
  <w:style w:type="paragraph" w:styleId="1323" w:customStyle="1">
    <w:name w:val="xl48"/>
    <w:basedOn w:val="91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Calibri" w:cs="宋体"/>
      <w:b/>
      <w:bCs/>
      <w:sz w:val="20"/>
      <w:szCs w:val="20"/>
      <w:lang w:val="zh-CN"/>
    </w:rPr>
  </w:style>
  <w:style w:type="paragraph" w:styleId="1324" w:customStyle="1">
    <w:name w:val="标题6"/>
    <w:basedOn w:val="917"/>
    <w:uiPriority w:val="0"/>
    <w:qFormat/>
    <w:pPr>
      <w:numPr>
        <w:ilvl w:val="0"/>
        <w:numId w:val="3"/>
      </w:numPr>
      <w:spacing w:before="50" w:after="50" w:line="240" w:lineRule="auto"/>
      <w:tabs>
        <w:tab w:val="left" w:pos="0" w:leader="none"/>
        <w:tab w:val="left" w:pos="420" w:leader="none"/>
      </w:tabs>
    </w:pPr>
    <w:rPr>
      <w:rFonts w:eastAsia="黑体"/>
      <w:b w:val="0"/>
      <w:sz w:val="24"/>
      <w:lang w:val="en-US"/>
    </w:rPr>
  </w:style>
  <w:style w:type="paragraph" w:styleId="1325" w:customStyle="1">
    <w:name w:val="font8"/>
    <w:basedOn w:val="912"/>
    <w:uiPriority w:val="0"/>
    <w:qFormat/>
    <w:pPr>
      <w:jc w:val="left"/>
      <w:spacing w:before="100" w:beforeAutospacing="1" w:after="100" w:afterAutospacing="1"/>
      <w:widowControl/>
    </w:pPr>
    <w:rPr>
      <w:rFonts w:ascii="宋体" w:hAnsi="Times New Roman" w:eastAsia="Calibri" w:cs="宋体"/>
      <w:b/>
      <w:bCs/>
      <w:i/>
      <w:iCs/>
      <w:sz w:val="20"/>
      <w:szCs w:val="20"/>
      <w:lang w:val="zh-CN"/>
    </w:rPr>
  </w:style>
  <w:style w:type="paragraph" w:styleId="1326" w:customStyle="1">
    <w:name w:val="font6"/>
    <w:basedOn w:val="912"/>
    <w:uiPriority w:val="0"/>
    <w:qFormat/>
    <w:pPr>
      <w:jc w:val="left"/>
      <w:spacing w:before="100" w:beforeAutospacing="1" w:after="100" w:afterAutospacing="1"/>
      <w:widowControl/>
    </w:pPr>
    <w:rPr>
      <w:rFonts w:ascii="宋体" w:hAnsi="Times New Roman" w:eastAsia="Calibri" w:cs="宋体"/>
      <w:b/>
      <w:bCs/>
      <w:sz w:val="20"/>
      <w:szCs w:val="20"/>
      <w:lang w:val="zh-CN"/>
    </w:rPr>
  </w:style>
  <w:style w:type="paragraph" w:styleId="1327" w:customStyle="1">
    <w:name w:val="表头_5"/>
    <w:basedOn w:val="912"/>
    <w:uiPriority w:val="0"/>
    <w:qFormat/>
    <w:pPr>
      <w:spacing w:line="360" w:lineRule="auto"/>
    </w:pPr>
    <w:rPr>
      <w:rFonts w:ascii="Times New Roman" w:hAnsi="Times New Roman" w:eastAsia="Calibri" w:cs="宋体"/>
      <w:b/>
      <w:bCs/>
      <w:sz w:val="28"/>
      <w:szCs w:val="21"/>
      <w:lang w:val="zh-CN"/>
    </w:rPr>
  </w:style>
  <w:style w:type="paragraph" w:styleId="1328" w:customStyle="1">
    <w:name w:val="xl42"/>
    <w:basedOn w:val="9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Times New Roman" w:eastAsia="Calibri" w:cs="宋体"/>
      <w:b/>
      <w:bCs/>
      <w:sz w:val="20"/>
      <w:szCs w:val="20"/>
      <w:lang w:val="zh-CN"/>
    </w:rPr>
  </w:style>
  <w:style w:type="paragraph" w:styleId="1329" w:customStyle="1">
    <w:name w:val="符号与编号"/>
    <w:basedOn w:val="912"/>
    <w:uiPriority w:val="0"/>
    <w:qFormat/>
    <w:pPr>
      <w:ind w:left="900" w:hanging="420"/>
      <w:spacing w:after="50" w:line="400" w:lineRule="atLeast"/>
      <w:tabs>
        <w:tab w:val="left" w:pos="900" w:leader="none"/>
      </w:tabs>
    </w:pPr>
    <w:rPr>
      <w:rFonts w:ascii="Times New Roman" w:hAnsi="Times New Roman" w:eastAsia="Calibri" w:cs="宋体"/>
      <w:sz w:val="24"/>
      <w:szCs w:val="20"/>
      <w:lang w:val="zh-CN"/>
    </w:rPr>
  </w:style>
  <w:style w:type="paragraph" w:styleId="1330" w:customStyle="1">
    <w:name w:val="Char Char Char Char Char Char Char Char Char Char Char Char Char Char"/>
    <w:basedOn w:val="912"/>
    <w:uiPriority w:val="0"/>
    <w:qFormat/>
    <w:rPr>
      <w:rFonts w:ascii="Tahoma" w:hAnsi="Tahoma" w:eastAsia="Calibri" w:cs="Tahoma"/>
      <w:sz w:val="24"/>
      <w:szCs w:val="20"/>
      <w:lang w:val="zh-CN"/>
    </w:rPr>
  </w:style>
  <w:style w:type="paragraph" w:styleId="1331" w:customStyle="1">
    <w:name w:val="样式2"/>
    <w:basedOn w:val="912"/>
    <w:uiPriority w:val="0"/>
    <w:qFormat/>
    <w:pPr>
      <w:ind w:left="200"/>
      <w:spacing w:line="360" w:lineRule="auto"/>
    </w:pPr>
    <w:rPr>
      <w:rFonts w:ascii="宋体" w:hAnsi="Times New Roman" w:eastAsia="Calibri" w:cs="宋体"/>
      <w:b/>
      <w:sz w:val="24"/>
      <w:szCs w:val="20"/>
      <w:lang w:val="zh-CN"/>
    </w:rPr>
  </w:style>
  <w:style w:type="paragraph" w:styleId="1332" w:customStyle="1">
    <w:name w:val="Char Char Char Char Char"/>
    <w:basedOn w:val="912"/>
    <w:uiPriority w:val="0"/>
    <w:qFormat/>
    <w:rPr>
      <w:rFonts w:ascii="Tahoma" w:hAnsi="Tahoma" w:eastAsia="Calibri" w:cs="宋体"/>
      <w:sz w:val="24"/>
      <w:szCs w:val="20"/>
      <w:lang w:val="zh-CN"/>
    </w:rPr>
  </w:style>
  <w:style w:type="paragraph" w:styleId="1333" w:customStyle="1">
    <w:name w:val="段 Char"/>
    <w:uiPriority w:val="0"/>
    <w:qFormat/>
    <w:pPr>
      <w:ind w:firstLine="200"/>
      <w:jc w:val="both"/>
    </w:pPr>
    <w:rPr>
      <w:rFonts w:hint="default" w:ascii="宋体" w:hAnsi="Times New Roman" w:eastAsia="宋体" w:cs="Times New Roman"/>
      <w:sz w:val="21"/>
    </w:rPr>
  </w:style>
  <w:style w:type="paragraph" w:styleId="1334" w:customStyle="1">
    <w:name w:val="正文lzq"/>
    <w:basedOn w:val="912"/>
    <w:uiPriority w:val="0"/>
    <w:qFormat/>
    <w:pPr>
      <w:ind w:firstLine="480"/>
      <w:spacing w:line="360" w:lineRule="auto"/>
    </w:pPr>
    <w:rPr>
      <w:rFonts w:ascii="Times New Roman" w:hAnsi="Times New Roman" w:eastAsia="Calibri" w:cs="宋体"/>
      <w:sz w:val="24"/>
      <w:szCs w:val="20"/>
      <w:lang w:val="zh-CN"/>
    </w:rPr>
  </w:style>
  <w:style w:type="paragraph" w:styleId="1335" w:customStyle="1">
    <w:name w:val="Char Char Char Char Char Char Char Char Char Char Char Char Char Char Char Char Char Char Char Char Char Char Char"/>
    <w:basedOn w:val="912"/>
    <w:uiPriority w:val="0"/>
    <w:qFormat/>
    <w:rPr>
      <w:rFonts w:ascii="Tahoma" w:hAnsi="Tahoma" w:eastAsia="Calibri" w:cs="Tahoma"/>
      <w:sz w:val="24"/>
      <w:szCs w:val="20"/>
      <w:lang w:val="zh-CN"/>
    </w:rPr>
  </w:style>
  <w:style w:type="paragraph" w:styleId="1336" w:customStyle="1">
    <w:name w:val="表格内容"/>
    <w:basedOn w:val="912"/>
    <w:uiPriority w:val="0"/>
    <w:qFormat/>
    <w:pPr>
      <w:jc w:val="center"/>
      <w:spacing w:before="60" w:line="300" w:lineRule="auto"/>
      <w:widowControl/>
    </w:pPr>
    <w:rPr>
      <w:rFonts w:ascii="Times New Roman" w:hAnsi="Times New Roman" w:eastAsia="Calibri" w:cs="宋体"/>
      <w:sz w:val="20"/>
      <w:szCs w:val="20"/>
      <w:lang w:val="zh-CN"/>
    </w:rPr>
  </w:style>
  <w:style w:type="paragraph" w:styleId="1337" w:customStyle="1">
    <w:name w:val="Char Char Char Char Char Char Char Char Char Char Char Char Char"/>
    <w:basedOn w:val="912"/>
    <w:uiPriority w:val="0"/>
    <w:qFormat/>
    <w:pPr>
      <w:jc w:val="left"/>
      <w:spacing w:after="160" w:line="240" w:lineRule="exact"/>
      <w:widowControl/>
    </w:pPr>
    <w:rPr>
      <w:rFonts w:ascii="Times New Roman" w:hAnsi="Times New Roman" w:eastAsia="Calibri" w:cs="宋体"/>
      <w:sz w:val="20"/>
      <w:szCs w:val="20"/>
      <w:lang w:val="zh-CN"/>
    </w:rPr>
  </w:style>
  <w:style w:type="paragraph" w:styleId="1338" w:customStyle="1">
    <w:name w:val="Char1 Char Char Char"/>
    <w:basedOn w:val="912"/>
    <w:uiPriority w:val="0"/>
    <w:qFormat/>
    <w:rPr>
      <w:rFonts w:ascii="Tahoma" w:hAnsi="Tahoma" w:eastAsia="Calibri" w:cs="宋体"/>
      <w:sz w:val="24"/>
      <w:szCs w:val="20"/>
      <w:lang w:val="zh-CN"/>
    </w:rPr>
  </w:style>
  <w:style w:type="paragraph" w:styleId="1339" w:customStyle="1">
    <w:name w:val="列表内容"/>
    <w:basedOn w:val="912"/>
    <w:next w:val="912"/>
    <w:uiPriority w:val="0"/>
    <w:qFormat/>
    <w:pPr>
      <w:ind w:left="840" w:hanging="420"/>
      <w:jc w:val="left"/>
      <w:widowControl/>
      <w:tabs>
        <w:tab w:val="left" w:pos="840" w:leader="none"/>
      </w:tabs>
    </w:pPr>
    <w:rPr>
      <w:rFonts w:ascii="Times New Roman" w:hAnsi="Times New Roman" w:eastAsia="Calibri" w:cs="宋体"/>
      <w:sz w:val="18"/>
      <w:szCs w:val="20"/>
      <w:lang w:val="zh-CN"/>
    </w:rPr>
  </w:style>
  <w:style w:type="paragraph" w:styleId="1340" w:customStyle="1">
    <w:name w:val="Pa6"/>
    <w:basedOn w:val="912"/>
    <w:next w:val="912"/>
    <w:uiPriority w:val="0"/>
    <w:qFormat/>
    <w:pPr>
      <w:jc w:val="left"/>
      <w:spacing w:line="241" w:lineRule="atLeast"/>
    </w:pPr>
    <w:rPr>
      <w:rFonts w:ascii="汉仪大黑简" w:hAnsi="汉仪大黑简" w:eastAsia="汉仪大黑简" w:cs="宋体"/>
      <w:sz w:val="24"/>
      <w:szCs w:val="20"/>
      <w:lang w:val="zh-CN"/>
    </w:rPr>
  </w:style>
  <w:style w:type="paragraph" w:styleId="1341" w:customStyle="1">
    <w:name w:val="xl62"/>
    <w:basedOn w:val="91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Calibri" w:cs="宋体"/>
      <w:b/>
      <w:bCs/>
      <w:i/>
      <w:iCs/>
      <w:sz w:val="20"/>
      <w:szCs w:val="20"/>
      <w:lang w:val="zh-CN"/>
    </w:rPr>
  </w:style>
  <w:style w:type="paragraph" w:styleId="1342" w:customStyle="1">
    <w:name w:val="xl26"/>
    <w:basedOn w:val="9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Calibri" w:cs="宋体"/>
      <w:b/>
      <w:bCs/>
      <w:sz w:val="20"/>
      <w:szCs w:val="20"/>
      <w:lang w:val="zh-CN"/>
    </w:rPr>
  </w:style>
  <w:style w:type="paragraph" w:styleId="1343" w:customStyle="1">
    <w:name w:val="马刚标题1"/>
    <w:basedOn w:val="913"/>
    <w:next w:val="912"/>
    <w:uiPriority w:val="0"/>
    <w:qFormat/>
    <w:pPr>
      <w:ind w:left="567" w:hanging="567"/>
      <w:jc w:val="left"/>
      <w:spacing w:before="400" w:after="120" w:line="576" w:lineRule="auto"/>
      <w:tabs>
        <w:tab w:val="left" w:pos="315" w:leader="none"/>
        <w:tab w:val="left" w:pos="567" w:leader="none"/>
      </w:tabs>
    </w:pPr>
    <w:rPr>
      <w:rFonts w:ascii="Times New Roman" w:hAnsi="Times New Roman" w:eastAsia="黑体" w:cs="宋体"/>
      <w:b w:val="0"/>
      <w:bCs w:val="0"/>
      <w:sz w:val="32"/>
      <w:szCs w:val="20"/>
      <w:lang w:val="zh-CN"/>
    </w:rPr>
  </w:style>
  <w:style w:type="paragraph" w:styleId="1344" w:customStyle="1">
    <w:name w:val="Char Char Char Char"/>
    <w:basedOn w:val="934"/>
    <w:uiPriority w:val="0"/>
    <w:qFormat/>
    <w:pPr>
      <w:spacing w:line="360" w:lineRule="auto"/>
    </w:pPr>
    <w:rPr>
      <w:rFonts w:ascii="Tahoma" w:hAnsi="Tahoma"/>
      <w:sz w:val="24"/>
      <w:lang w:val="en-US"/>
    </w:rPr>
  </w:style>
  <w:style w:type="paragraph" w:styleId="1345" w:customStyle="1">
    <w:name w:val="xl52"/>
    <w:basedOn w:val="912"/>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Calibri" w:cs="宋体"/>
      <w:b/>
      <w:bCs/>
      <w:i/>
      <w:iCs/>
      <w:sz w:val="20"/>
      <w:szCs w:val="20"/>
      <w:lang w:val="zh-CN"/>
    </w:rPr>
  </w:style>
  <w:style w:type="paragraph" w:styleId="1346" w:customStyle="1">
    <w:name w:val="样式 样式 首行缩进:  0.74 厘米 行距: 1.5 倍行距 + 段后: 0.5 行"/>
    <w:basedOn w:val="912"/>
    <w:uiPriority w:val="0"/>
    <w:qFormat/>
    <w:pPr>
      <w:ind w:firstLine="420"/>
      <w:spacing w:line="360" w:lineRule="auto"/>
    </w:pPr>
    <w:rPr>
      <w:rFonts w:ascii="楷体_GB2312" w:hAnsi="Times New Roman" w:eastAsia="楷体_GB2312" w:cs="宋体"/>
      <w:bCs/>
      <w:sz w:val="24"/>
      <w:szCs w:val="20"/>
      <w:lang w:val="zh-CN"/>
    </w:rPr>
  </w:style>
  <w:style w:type="paragraph" w:styleId="1347" w:customStyle="1">
    <w:name w:val="Char Char Char Char Char Char Char Char Char Char Char Char Char Char1"/>
    <w:basedOn w:val="912"/>
    <w:uiPriority w:val="0"/>
    <w:qFormat/>
    <w:rPr>
      <w:rFonts w:ascii="Tahoma" w:hAnsi="Tahoma" w:eastAsia="Calibri" w:cs="宋体"/>
      <w:sz w:val="24"/>
      <w:szCs w:val="20"/>
      <w:lang w:val="zh-CN"/>
    </w:rPr>
  </w:style>
  <w:style w:type="paragraph" w:styleId="1348" w:customStyle="1">
    <w:name w:val="表蕊"/>
    <w:basedOn w:val="912"/>
    <w:uiPriority w:val="0"/>
    <w:qFormat/>
    <w:pPr>
      <w:jc w:val="left"/>
      <w:spacing w:line="320" w:lineRule="atLeast"/>
    </w:pPr>
    <w:rPr>
      <w:rFonts w:ascii="Times New Roman" w:hAnsi="Times New Roman" w:eastAsia="楷体_GB2312" w:cs="宋体"/>
      <w:spacing w:val="-10"/>
      <w:sz w:val="20"/>
      <w:szCs w:val="20"/>
      <w:lang w:val="zh-CN"/>
    </w:rPr>
  </w:style>
  <w:style w:type="paragraph" w:styleId="1349" w:customStyle="1">
    <w:name w:val="默认段落字体 Para Char Char Char Char Char Char Char Char Char1 Char Char Char Char Char Char Char"/>
    <w:basedOn w:val="934"/>
    <w:uiPriority w:val="0"/>
    <w:qFormat/>
    <w:rPr>
      <w:lang w:val="en-US"/>
    </w:rPr>
  </w:style>
  <w:style w:type="paragraph" w:styleId="1350" w:customStyle="1">
    <w:name w:val="样式1"/>
    <w:basedOn w:val="912"/>
    <w:uiPriority w:val="0"/>
    <w:qFormat/>
    <w:pPr>
      <w:ind w:firstLine="200"/>
      <w:spacing w:line="300" w:lineRule="auto"/>
    </w:pPr>
    <w:rPr>
      <w:rFonts w:ascii="Times New Roman" w:hAnsi="Times New Roman" w:eastAsia="Calibri" w:cs="宋体"/>
      <w:sz w:val="24"/>
      <w:szCs w:val="20"/>
      <w:lang w:val="zh-CN"/>
    </w:rPr>
  </w:style>
  <w:style w:type="paragraph" w:styleId="1351" w:customStyle="1">
    <w:name w:val="Normal1"/>
    <w:basedOn w:val="912"/>
    <w:uiPriority w:val="0"/>
    <w:qFormat/>
    <w:rPr>
      <w:rFonts w:ascii="Times New Roman" w:hAnsi="Times New Roman" w:eastAsia="Calibri" w:cs="宋体"/>
      <w:sz w:val="20"/>
      <w:szCs w:val="20"/>
      <w:lang w:val="zh-CN"/>
    </w:rPr>
  </w:style>
  <w:style w:type="paragraph" w:styleId="1352" w:customStyle="1">
    <w:name w:val="普通文字"/>
    <w:basedOn w:val="912"/>
    <w:next w:val="912"/>
    <w:uiPriority w:val="0"/>
    <w:qFormat/>
    <w:rPr>
      <w:rFonts w:ascii="宋体" w:hAnsi="Times New Roman" w:eastAsia="Calibri" w:cs="宋体"/>
      <w:sz w:val="24"/>
      <w:szCs w:val="20"/>
      <w:lang w:val="zh-CN"/>
    </w:rPr>
  </w:style>
  <w:style w:type="paragraph" w:styleId="1353" w:customStyle="1">
    <w:name w:val="xl28"/>
    <w:basedOn w:val="9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Calibri" w:cs="宋体"/>
      <w:b/>
      <w:bCs/>
      <w:i/>
      <w:iCs/>
      <w:sz w:val="20"/>
      <w:szCs w:val="20"/>
      <w:lang w:val="zh-CN"/>
    </w:rPr>
  </w:style>
  <w:style w:type="paragraph" w:styleId="1354" w:customStyle="1">
    <w:name w:val="retrait3"/>
    <w:basedOn w:val="912"/>
    <w:uiPriority w:val="0"/>
    <w:qFormat/>
    <w:pPr>
      <w:ind w:left="851"/>
      <w:jc w:val="left"/>
      <w:spacing w:before="20" w:after="20"/>
      <w:widowControl/>
    </w:pPr>
    <w:rPr>
      <w:rFonts w:ascii="Arial" w:hAnsi="Arial" w:eastAsia="Calibri" w:cs="宋体"/>
      <w:sz w:val="24"/>
      <w:szCs w:val="20"/>
      <w:lang w:val="en-GB" w:eastAsia="en-GB"/>
    </w:rPr>
  </w:style>
  <w:style w:type="paragraph" w:styleId="1355" w:customStyle="1">
    <w:name w:val="Pa5"/>
    <w:basedOn w:val="912"/>
    <w:next w:val="912"/>
    <w:uiPriority w:val="0"/>
    <w:qFormat/>
    <w:pPr>
      <w:jc w:val="left"/>
      <w:spacing w:line="241" w:lineRule="atLeast"/>
    </w:pPr>
    <w:rPr>
      <w:rFonts w:ascii="汉仪大黑简" w:hAnsi="汉仪大黑简" w:eastAsia="汉仪大黑简" w:cs="宋体"/>
      <w:sz w:val="24"/>
      <w:szCs w:val="20"/>
      <w:lang w:val="zh-CN"/>
    </w:rPr>
  </w:style>
  <w:style w:type="paragraph" w:styleId="1356" w:customStyle="1">
    <w:name w:val="Char Char Char Char Char Char Char Char Char"/>
    <w:basedOn w:val="912"/>
    <w:uiPriority w:val="0"/>
    <w:qFormat/>
    <w:pPr>
      <w:ind w:left="200" w:hanging="200"/>
      <w:tabs>
        <w:tab w:val="left" w:pos="360" w:leader="none"/>
      </w:tabs>
    </w:pPr>
    <w:rPr>
      <w:rFonts w:ascii="Times New Roman" w:hAnsi="Times New Roman" w:eastAsia="Calibri" w:cs="宋体"/>
      <w:sz w:val="24"/>
      <w:szCs w:val="20"/>
      <w:lang w:val="zh-CN"/>
    </w:rPr>
  </w:style>
  <w:style w:type="paragraph" w:styleId="1357" w:customStyle="1">
    <w:name w:val="Char Char Char Char Char Char Char Char Char Char Char Char Char1"/>
    <w:basedOn w:val="934"/>
    <w:uiPriority w:val="0"/>
    <w:qFormat/>
    <w:rPr>
      <w:rFonts w:ascii="Tahoma" w:hAnsi="Tahoma"/>
      <w:sz w:val="24"/>
      <w:lang w:val="en-US"/>
    </w:rPr>
  </w:style>
  <w:style w:type="paragraph" w:styleId="1358" w:customStyle="1">
    <w:name w:val="Item List Char Char"/>
    <w:uiPriority w:val="0"/>
    <w:qFormat/>
    <w:pPr>
      <w:jc w:val="both"/>
      <w:spacing w:line="288" w:lineRule="auto"/>
    </w:pPr>
    <w:rPr>
      <w:rFonts w:hint="default" w:ascii="Arial" w:hAnsi="Arial" w:eastAsia="宋体" w:cs="Arial"/>
      <w:b/>
      <w:bCs/>
      <w:sz w:val="21"/>
      <w:szCs w:val="28"/>
    </w:rPr>
  </w:style>
  <w:style w:type="paragraph" w:styleId="1359" w:customStyle="1">
    <w:name w:val="xl36"/>
    <w:basedOn w:val="9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Times New Roman" w:eastAsia="Calibri" w:cs="宋体"/>
      <w:b/>
      <w:bCs/>
      <w:sz w:val="20"/>
      <w:szCs w:val="20"/>
      <w:lang w:val="zh-CN"/>
    </w:rPr>
  </w:style>
  <w:style w:type="paragraph" w:styleId="1360" w:customStyle="1">
    <w:name w:val="a"/>
    <w:basedOn w:val="912"/>
    <w:uiPriority w:val="0"/>
    <w:qFormat/>
    <w:pPr>
      <w:spacing w:before="100" w:beforeAutospacing="1" w:after="100" w:afterAutospacing="1"/>
      <w:widowControl/>
    </w:pPr>
    <w:rPr>
      <w:rFonts w:ascii="宋体" w:hAnsi="Times New Roman" w:eastAsia="Calibri" w:cs="宋体"/>
      <w:sz w:val="24"/>
      <w:szCs w:val="20"/>
      <w:lang w:val="zh-CN"/>
    </w:rPr>
  </w:style>
  <w:style w:type="paragraph" w:styleId="1361" w:customStyle="1">
    <w:name w:val="xl50"/>
    <w:basedOn w:val="91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Calibri" w:cs="宋体"/>
      <w:b/>
      <w:bCs/>
      <w:sz w:val="20"/>
      <w:szCs w:val="20"/>
      <w:lang w:val="zh-CN"/>
    </w:rPr>
  </w:style>
  <w:style w:type="paragraph" w:styleId="1362" w:customStyle="1">
    <w:name w:val="样式 加点正文 + 段前: 0.5 行 段后: 0.5 行1"/>
    <w:basedOn w:val="912"/>
    <w:uiPriority w:val="0"/>
    <w:qFormat/>
    <w:pPr>
      <w:ind w:left="1268"/>
      <w:spacing w:before="50" w:after="50" w:line="300" w:lineRule="auto"/>
      <w:tabs>
        <w:tab w:val="left" w:pos="0" w:leader="none"/>
        <w:tab w:val="left" w:pos="420" w:leader="none"/>
        <w:tab w:val="left" w:pos="1268" w:leader="none"/>
      </w:tabs>
    </w:pPr>
    <w:rPr>
      <w:rFonts w:ascii="Times New Roman" w:hAnsi="Times New Roman" w:eastAsia="Calibri" w:cs="宋体"/>
      <w:sz w:val="24"/>
      <w:szCs w:val="20"/>
      <w:lang w:val="zh-CN"/>
    </w:rPr>
  </w:style>
  <w:style w:type="paragraph" w:styleId="1363" w:customStyle="1">
    <w:name w:val="正文 + Arial Char"/>
    <w:basedOn w:val="912"/>
    <w:uiPriority w:val="0"/>
    <w:qFormat/>
    <w:pPr>
      <w:ind w:left="315" w:hanging="315"/>
      <w:spacing w:line="300" w:lineRule="auto"/>
      <w:widowControl/>
      <w:tabs>
        <w:tab w:val="left" w:pos="315" w:leader="none"/>
      </w:tabs>
    </w:pPr>
    <w:rPr>
      <w:rFonts w:ascii="Arial" w:hAnsi="Arial" w:eastAsia="Calibri" w:cs="Arial"/>
      <w:b/>
      <w:color w:val="000000"/>
      <w:sz w:val="20"/>
      <w:szCs w:val="20"/>
      <w:lang w:val="zh-CN"/>
    </w:rPr>
  </w:style>
  <w:style w:type="paragraph" w:styleId="1364" w:customStyle="1">
    <w:name w:val="xl29"/>
    <w:basedOn w:val="9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Calibri" w:cs="宋体"/>
      <w:b/>
      <w:bCs/>
      <w:sz w:val="20"/>
      <w:szCs w:val="20"/>
      <w:lang w:val="zh-CN"/>
    </w:rPr>
  </w:style>
  <w:style w:type="paragraph" w:styleId="1365" w:customStyle="1">
    <w:name w:val="文档正文"/>
    <w:basedOn w:val="912"/>
    <w:uiPriority w:val="0"/>
    <w:qFormat/>
    <w:pPr>
      <w:spacing w:line="360" w:lineRule="auto"/>
    </w:pPr>
    <w:rPr>
      <w:rFonts w:ascii="宋体" w:hAnsi="Times New Roman" w:eastAsia="Calibri" w:cs="宋体"/>
      <w:b/>
      <w:bCs/>
      <w:sz w:val="20"/>
      <w:szCs w:val="20"/>
      <w:lang w:val="zh-CN"/>
    </w:rPr>
  </w:style>
  <w:style w:type="paragraph" w:styleId="1366" w:customStyle="1">
    <w:name w:val="丁华标题3"/>
    <w:basedOn w:val="1307"/>
    <w:next w:val="1304"/>
    <w:uiPriority w:val="0"/>
    <w:qFormat/>
    <w:pPr>
      <w:numPr>
        <w:ilvl w:val="2"/>
      </w:numPr>
      <w:ind w:left="1980" w:hanging="420"/>
      <w:spacing w:after="0"/>
      <w:tabs>
        <w:tab w:val="left" w:pos="720" w:leader="none"/>
        <w:tab w:val="left" w:pos="1470" w:leader="none"/>
        <w:tab w:val="left" w:pos="1980" w:leader="none"/>
      </w:tabs>
      <w:outlineLvl w:val="2"/>
    </w:pPr>
    <w:rPr>
      <w:sz w:val="24"/>
    </w:rPr>
  </w:style>
  <w:style w:type="paragraph" w:styleId="1367" w:customStyle="1">
    <w:name w:val="Char Char1 Char Char Char Char Char Char Char"/>
    <w:basedOn w:val="912"/>
    <w:uiPriority w:val="0"/>
    <w:qFormat/>
    <w:rPr>
      <w:rFonts w:ascii="Tahoma" w:hAnsi="Tahoma" w:eastAsia="Calibri" w:cs="Tahoma"/>
      <w:sz w:val="24"/>
      <w:szCs w:val="20"/>
      <w:lang w:val="zh-CN"/>
    </w:rPr>
  </w:style>
  <w:style w:type="paragraph" w:styleId="1368" w:customStyle="1">
    <w:name w:val="华宇段落1 Char"/>
    <w:basedOn w:val="912"/>
    <w:uiPriority w:val="0"/>
    <w:qFormat/>
    <w:pPr>
      <w:ind w:firstLine="200"/>
      <w:spacing w:line="360" w:lineRule="auto"/>
    </w:pPr>
    <w:rPr>
      <w:rFonts w:ascii="Times New Roman" w:hAnsi="Times New Roman" w:eastAsia="Calibri" w:cs="宋体"/>
      <w:bCs/>
      <w:sz w:val="24"/>
      <w:szCs w:val="20"/>
      <w:lang w:val="zh-CN"/>
    </w:rPr>
  </w:style>
  <w:style w:type="paragraph" w:styleId="1369" w:customStyle="1">
    <w:name w:val="xl41"/>
    <w:basedOn w:val="9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Times New Roman" w:eastAsia="Calibri" w:cs="宋体"/>
      <w:b/>
      <w:bCs/>
      <w:sz w:val="20"/>
      <w:szCs w:val="20"/>
      <w:lang w:val="zh-CN"/>
    </w:rPr>
  </w:style>
  <w:style w:type="paragraph" w:styleId="1370" w:customStyle="1">
    <w:name w:val="1"/>
    <w:basedOn w:val="912"/>
    <w:next w:val="968"/>
    <w:uiPriority w:val="0"/>
    <w:qFormat/>
    <w:pPr>
      <w:spacing w:line="360" w:lineRule="auto"/>
    </w:pPr>
    <w:rPr>
      <w:rFonts w:ascii="Times New Roman" w:hAnsi="Times New Roman" w:eastAsia="仿宋_GB2312" w:cs="宋体"/>
      <w:sz w:val="24"/>
      <w:szCs w:val="20"/>
      <w:lang w:val="zh-CN"/>
    </w:rPr>
  </w:style>
  <w:style w:type="paragraph" w:styleId="1371" w:customStyle="1">
    <w:name w:val="p0"/>
    <w:basedOn w:val="912"/>
    <w:uiPriority w:val="0"/>
    <w:qFormat/>
    <w:pPr>
      <w:jc w:val="left"/>
      <w:spacing w:before="100" w:beforeAutospacing="1" w:after="100" w:afterAutospacing="1"/>
      <w:widowControl/>
    </w:pPr>
    <w:rPr>
      <w:rFonts w:ascii="宋体" w:hAnsi="Times New Roman" w:eastAsia="Calibri" w:cs="宋体"/>
      <w:sz w:val="24"/>
      <w:szCs w:val="20"/>
      <w:lang w:val="zh-CN"/>
    </w:rPr>
  </w:style>
  <w:style w:type="paragraph" w:styleId="1372" w:customStyle="1">
    <w:name w:val="正文 居中"/>
    <w:basedOn w:val="912"/>
    <w:uiPriority w:val="0"/>
    <w:qFormat/>
    <w:pPr>
      <w:jc w:val="center"/>
      <w:spacing w:line="360" w:lineRule="auto"/>
    </w:pPr>
    <w:rPr>
      <w:rFonts w:ascii="Times New Roman" w:hAnsi="Times New Roman" w:eastAsia="Calibri" w:cs="宋体"/>
      <w:sz w:val="24"/>
      <w:szCs w:val="20"/>
      <w:lang w:val="zh-CN"/>
    </w:rPr>
  </w:style>
  <w:style w:type="paragraph" w:styleId="1373" w:customStyle="1">
    <w:name w:val="Table Text Char"/>
    <w:uiPriority w:val="0"/>
    <w:qFormat/>
    <w:pPr>
      <w:spacing w:before="80" w:after="80"/>
    </w:pPr>
    <w:rPr>
      <w:rFonts w:hint="default" w:ascii="Arial" w:hAnsi="Arial" w:eastAsia="宋体" w:cs="Arial"/>
      <w:sz w:val="18"/>
      <w:szCs w:val="28"/>
    </w:rPr>
  </w:style>
  <w:style w:type="paragraph" w:styleId="1374" w:customStyle="1">
    <w:name w:val="xl27"/>
    <w:basedOn w:val="9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Calibri" w:cs="宋体"/>
      <w:b/>
      <w:bCs/>
      <w:i/>
      <w:iCs/>
      <w:sz w:val="20"/>
      <w:szCs w:val="20"/>
      <w:lang w:val="zh-CN"/>
    </w:rPr>
  </w:style>
  <w:style w:type="paragraph" w:styleId="1375" w:customStyle="1">
    <w:name w:val="标题3"/>
    <w:basedOn w:val="915"/>
    <w:uiPriority w:val="0"/>
    <w:qFormat/>
    <w:pPr>
      <w:numPr>
        <w:ilvl w:val="0"/>
        <w:numId w:val="0"/>
      </w:numPr>
      <w:keepLines w:val="0"/>
      <w:keepNext w:val="0"/>
      <w:spacing w:before="0" w:after="0" w:line="360" w:lineRule="auto"/>
      <w:shd w:val="clear" w:color="auto" w:fill="ffffff"/>
      <w:tabs>
        <w:tab w:val="clear" w:pos="720" w:leader="none"/>
        <w:tab w:val="clear" w:pos="2563" w:leader="none"/>
      </w:tabs>
    </w:pPr>
    <w:rPr>
      <w:rFonts w:eastAsia="仿宋_GB2312"/>
      <w:b w:val="0"/>
      <w:bCs/>
      <w:color w:val="auto"/>
      <w:sz w:val="30"/>
      <w:szCs w:val="32"/>
    </w:rPr>
  </w:style>
  <w:style w:type="paragraph" w:styleId="1376" w:customStyle="1">
    <w:name w:val="段落"/>
    <w:basedOn w:val="912"/>
    <w:uiPriority w:val="0"/>
    <w:qFormat/>
    <w:pPr>
      <w:ind w:firstLine="480"/>
      <w:spacing w:line="460" w:lineRule="exact"/>
    </w:pPr>
    <w:rPr>
      <w:rFonts w:ascii="Times New Roman" w:hAnsi="Times New Roman" w:eastAsia="Calibri" w:cs="宋体"/>
      <w:sz w:val="24"/>
      <w:szCs w:val="20"/>
      <w:lang w:val="zh-CN"/>
    </w:rPr>
  </w:style>
  <w:style w:type="paragraph" w:styleId="1377" w:customStyle="1">
    <w:name w:val="xl53"/>
    <w:basedOn w:val="91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Calibri" w:cs="宋体"/>
      <w:b/>
      <w:bCs/>
      <w:i/>
      <w:iCs/>
      <w:sz w:val="20"/>
      <w:szCs w:val="20"/>
      <w:lang w:val="zh-CN"/>
    </w:rPr>
  </w:style>
  <w:style w:type="paragraph" w:styleId="1378" w:customStyle="1">
    <w:name w:val="符号与编号 Char"/>
    <w:basedOn w:val="912"/>
    <w:uiPriority w:val="0"/>
    <w:qFormat/>
    <w:pPr>
      <w:ind w:left="720"/>
      <w:spacing w:after="50" w:line="400" w:lineRule="atLeast"/>
      <w:tabs>
        <w:tab w:val="left" w:pos="720" w:leader="none"/>
      </w:tabs>
    </w:pPr>
    <w:rPr>
      <w:rFonts w:ascii="Times New Roman" w:hAnsi="Times New Roman" w:eastAsia="Calibri" w:cs="宋体"/>
      <w:sz w:val="24"/>
      <w:szCs w:val="20"/>
      <w:lang w:val="zh-CN"/>
    </w:rPr>
  </w:style>
  <w:style w:type="paragraph" w:styleId="1379" w:customStyle="1">
    <w:name w:val="正文表标题"/>
    <w:next w:val="1380"/>
    <w:uiPriority w:val="0"/>
    <w:qFormat/>
    <w:pPr>
      <w:ind w:left="900" w:hanging="420"/>
      <w:jc w:val="center"/>
      <w:tabs>
        <w:tab w:val="left" w:pos="900" w:leader="none"/>
      </w:tabs>
    </w:pPr>
    <w:rPr>
      <w:rFonts w:hint="default" w:ascii="黑体" w:hAnsi="Times New Roman" w:eastAsia="黑体" w:cs="Times New Roman"/>
      <w:sz w:val="21"/>
    </w:rPr>
  </w:style>
  <w:style w:type="paragraph" w:styleId="1380" w:customStyle="1">
    <w:name w:val="段"/>
    <w:uiPriority w:val="0"/>
    <w:qFormat/>
    <w:pPr>
      <w:ind w:firstLine="200"/>
      <w:jc w:val="both"/>
    </w:pPr>
    <w:rPr>
      <w:rFonts w:hint="default" w:ascii="宋体" w:hAnsi="Times New Roman" w:eastAsia="宋体" w:cs="Times New Roman"/>
      <w:sz w:val="21"/>
    </w:rPr>
  </w:style>
  <w:style w:type="paragraph" w:styleId="1381" w:customStyle="1">
    <w:name w:val="a0"/>
    <w:basedOn w:val="912"/>
    <w:uiPriority w:val="0"/>
    <w:qFormat/>
    <w:pPr>
      <w:spacing w:before="100" w:beforeAutospacing="1" w:after="100" w:afterAutospacing="1"/>
      <w:widowControl/>
    </w:pPr>
    <w:rPr>
      <w:rFonts w:ascii="宋体" w:hAnsi="Times New Roman" w:eastAsia="Calibri" w:cs="宋体"/>
      <w:sz w:val="24"/>
      <w:szCs w:val="20"/>
      <w:lang w:val="zh-CN"/>
    </w:rPr>
  </w:style>
  <w:style w:type="paragraph" w:styleId="1382" w:customStyle="1">
    <w:name w:val="新图表正文"/>
    <w:uiPriority w:val="0"/>
    <w:qFormat/>
    <w:pPr>
      <w:jc w:val="both"/>
    </w:pPr>
    <w:rPr>
      <w:rFonts w:hint="default" w:ascii="宋体" w:hAnsi="Times New Roman" w:eastAsia="宋体" w:cs="Times New Roman"/>
      <w:sz w:val="18"/>
      <w:szCs w:val="21"/>
    </w:rPr>
  </w:style>
  <w:style w:type="paragraph" w:styleId="1383" w:customStyle="1">
    <w:name w:val="font11"/>
    <w:basedOn w:val="912"/>
    <w:uiPriority w:val="0"/>
    <w:qFormat/>
    <w:pPr>
      <w:jc w:val="left"/>
      <w:spacing w:before="100" w:beforeAutospacing="1" w:after="100" w:afterAutospacing="1"/>
      <w:widowControl/>
    </w:pPr>
    <w:rPr>
      <w:rFonts w:ascii="Times New Roman" w:hAnsi="Times New Roman" w:eastAsia="Calibri" w:cs="宋体"/>
      <w:b/>
      <w:bCs/>
      <w:sz w:val="18"/>
      <w:szCs w:val="18"/>
      <w:lang w:val="zh-CN"/>
    </w:rPr>
  </w:style>
  <w:style w:type="paragraph" w:styleId="1384" w:customStyle="1">
    <w:name w:val="符号与编号 Char Char"/>
    <w:basedOn w:val="912"/>
    <w:uiPriority w:val="0"/>
    <w:qFormat/>
    <w:pPr>
      <w:ind w:left="839" w:hanging="419"/>
      <w:spacing w:after="50" w:line="400" w:lineRule="atLeast"/>
      <w:tabs>
        <w:tab w:val="left" w:pos="840" w:leader="none"/>
      </w:tabs>
    </w:pPr>
    <w:rPr>
      <w:rFonts w:ascii="Times New Roman" w:hAnsi="Times New Roman" w:eastAsia="Calibri" w:cs="宋体"/>
      <w:sz w:val="24"/>
      <w:szCs w:val="20"/>
      <w:lang w:val="zh-CN"/>
    </w:rPr>
  </w:style>
  <w:style w:type="paragraph" w:styleId="1385" w:customStyle="1">
    <w:name w:val="Bullets L1"/>
    <w:basedOn w:val="912"/>
    <w:uiPriority w:val="0"/>
    <w:qFormat/>
    <w:pPr>
      <w:numPr>
        <w:ilvl w:val="0"/>
        <w:numId w:val="4"/>
      </w:numPr>
      <w:jc w:val="left"/>
      <w:spacing w:before="60" w:after="60"/>
      <w:widowControl/>
      <w:tabs>
        <w:tab w:val="left" w:pos="0" w:leader="none"/>
        <w:tab w:val="left" w:pos="360" w:leader="none"/>
      </w:tabs>
    </w:pPr>
    <w:rPr>
      <w:rFonts w:ascii="Arial" w:hAnsi="Arial" w:eastAsia="Calibri" w:cs="宋体"/>
      <w:sz w:val="20"/>
      <w:szCs w:val="20"/>
      <w:lang w:val="zh-CN"/>
    </w:rPr>
  </w:style>
  <w:style w:type="paragraph" w:styleId="1386" w:customStyle="1">
    <w:name w:val="font12"/>
    <w:basedOn w:val="912"/>
    <w:uiPriority w:val="0"/>
    <w:qFormat/>
    <w:pPr>
      <w:jc w:val="left"/>
      <w:spacing w:before="100" w:beforeAutospacing="1" w:after="100" w:afterAutospacing="1"/>
      <w:widowControl/>
    </w:pPr>
    <w:rPr>
      <w:rFonts w:ascii="宋体" w:hAnsi="Times New Roman" w:eastAsia="Calibri" w:cs="宋体"/>
      <w:sz w:val="36"/>
      <w:szCs w:val="36"/>
      <w:lang w:val="zh-CN"/>
    </w:rPr>
  </w:style>
  <w:style w:type="paragraph" w:styleId="1387" w:customStyle="1">
    <w:name w:val="Item Step in Table"/>
    <w:uiPriority w:val="0"/>
    <w:qFormat/>
    <w:pPr>
      <w:numPr>
        <w:ilvl w:val="0"/>
        <w:numId w:val="5"/>
      </w:numPr>
      <w:jc w:val="both"/>
      <w:spacing w:before="40" w:after="40"/>
      <w:tabs>
        <w:tab w:val="left" w:pos="0" w:leader="none"/>
        <w:tab w:val="left" w:pos="397" w:leader="none"/>
      </w:tabs>
    </w:pPr>
    <w:rPr>
      <w:rFonts w:hint="default" w:ascii="Arial" w:hAnsi="Arial" w:eastAsia="宋体" w:cs="Arial"/>
      <w:sz w:val="18"/>
      <w:szCs w:val="18"/>
    </w:rPr>
  </w:style>
  <w:style w:type="paragraph" w:styleId="1388" w:customStyle="1">
    <w:name w:val="Char1 Char Char Char1"/>
    <w:basedOn w:val="912"/>
    <w:uiPriority w:val="0"/>
    <w:qFormat/>
    <w:rPr>
      <w:rFonts w:ascii="Tahoma" w:hAnsi="Tahoma" w:eastAsia="Calibri" w:cs="Tahoma"/>
      <w:sz w:val="24"/>
      <w:szCs w:val="20"/>
      <w:lang w:val="zh-CN"/>
    </w:rPr>
  </w:style>
  <w:style w:type="paragraph" w:styleId="1389" w:customStyle="1">
    <w:name w:val="Char1"/>
    <w:basedOn w:val="912"/>
    <w:uiPriority w:val="0"/>
    <w:qFormat/>
    <w:rPr>
      <w:rFonts w:ascii="仿宋_GB2312" w:hAnsi="Times New Roman" w:eastAsia="仿宋_GB2312" w:cs="宋体"/>
      <w:b/>
      <w:sz w:val="32"/>
      <w:szCs w:val="32"/>
      <w:lang w:val="zh-CN"/>
    </w:rPr>
  </w:style>
  <w:style w:type="paragraph" w:styleId="1390" w:customStyle="1">
    <w:name w:val="xl49"/>
    <w:basedOn w:val="912"/>
    <w:uiPriority w:val="0"/>
    <w:qFormat/>
    <w:pPr>
      <w:jc w:val="center"/>
      <w:spacing w:before="100" w:beforeAutospacing="1" w:after="100" w:afterAutospacing="1"/>
      <w:widowControl/>
      <w:pBdr>
        <w:left w:val="single" w:color="auto" w:sz="4" w:space="0"/>
        <w:right w:val="single" w:color="auto" w:sz="4" w:space="0"/>
      </w:pBdr>
    </w:pPr>
    <w:rPr>
      <w:rFonts w:ascii="Times New Roman" w:hAnsi="Times New Roman" w:eastAsia="Calibri" w:cs="宋体"/>
      <w:b/>
      <w:bCs/>
      <w:sz w:val="20"/>
      <w:szCs w:val="20"/>
      <w:lang w:val="zh-CN"/>
    </w:rPr>
  </w:style>
  <w:style w:type="paragraph" w:styleId="1391" w:customStyle="1">
    <w:name w:val="Char Char1 Char Char Char Char1 Char Char Char Char Char Char"/>
    <w:basedOn w:val="912"/>
    <w:uiPriority w:val="0"/>
    <w:qFormat/>
    <w:rPr>
      <w:rFonts w:ascii="Tahoma" w:hAnsi="Tahoma" w:eastAsia="Calibri" w:cs="宋体"/>
      <w:sz w:val="24"/>
      <w:szCs w:val="20"/>
      <w:lang w:val="zh-CN"/>
    </w:rPr>
  </w:style>
  <w:style w:type="paragraph" w:styleId="1392" w:customStyle="1">
    <w:name w:val="Char Char1"/>
    <w:basedOn w:val="912"/>
    <w:uiPriority w:val="0"/>
    <w:qFormat/>
    <w:rPr>
      <w:rFonts w:ascii="Tahoma" w:hAnsi="Tahoma" w:eastAsia="Calibri" w:cs="Tahoma"/>
      <w:sz w:val="24"/>
      <w:szCs w:val="20"/>
      <w:lang w:val="zh-CN"/>
    </w:rPr>
  </w:style>
  <w:style w:type="paragraph" w:styleId="1393" w:customStyle="1">
    <w:name w:val="二级条标题"/>
    <w:basedOn w:val="912"/>
    <w:next w:val="1380"/>
    <w:uiPriority w:val="0"/>
    <w:qFormat/>
    <w:pPr>
      <w:ind w:hanging="420"/>
      <w:widowControl/>
      <w:tabs>
        <w:tab w:val="left" w:pos="2240" w:leader="none"/>
      </w:tabs>
      <w:outlineLvl w:val="3"/>
    </w:pPr>
    <w:rPr>
      <w:rFonts w:ascii="Times New Roman" w:hAnsi="Times New Roman" w:eastAsia="黑体" w:cs="宋体"/>
      <w:sz w:val="20"/>
      <w:szCs w:val="20"/>
      <w:lang w:val="zh-CN"/>
    </w:rPr>
  </w:style>
  <w:style w:type="paragraph" w:styleId="1394" w:customStyle="1">
    <w:name w:val="标题3，章节第三层"/>
    <w:basedOn w:val="912"/>
    <w:next w:val="1314"/>
    <w:uiPriority w:val="0"/>
    <w:qFormat/>
    <w:pPr>
      <w:spacing w:before="78" w:line="300" w:lineRule="auto"/>
      <w:outlineLvl w:val="2"/>
    </w:pPr>
    <w:rPr>
      <w:rFonts w:ascii="Arial" w:hAnsi="Arial" w:eastAsia="华文细黑" w:cs="宋体"/>
      <w:sz w:val="30"/>
      <w:szCs w:val="20"/>
      <w:lang w:val="zh-CN"/>
    </w:rPr>
  </w:style>
  <w:style w:type="paragraph" w:styleId="1395" w:customStyle="1">
    <w:name w:val="公文正文"/>
    <w:basedOn w:val="940"/>
    <w:uiPriority w:val="0"/>
    <w:qFormat/>
    <w:pPr>
      <w:ind w:left="0" w:firstLine="200"/>
      <w:spacing w:after="0"/>
    </w:pPr>
    <w:rPr>
      <w:rFonts w:ascii="仿宋_GB2312" w:eastAsia="仿宋_GB2312"/>
      <w:sz w:val="28"/>
    </w:rPr>
  </w:style>
  <w:style w:type="paragraph" w:styleId="1396" w:customStyle="1">
    <w:name w:val="Char Char11"/>
    <w:basedOn w:val="912"/>
    <w:uiPriority w:val="0"/>
    <w:qFormat/>
    <w:rPr>
      <w:rFonts w:ascii="Tahoma" w:hAnsi="Tahoma" w:eastAsia="Calibri" w:cs="宋体"/>
      <w:sz w:val="24"/>
      <w:szCs w:val="20"/>
      <w:lang w:val="zh-CN"/>
    </w:rPr>
  </w:style>
  <w:style w:type="paragraph" w:styleId="1397" w:customStyle="1">
    <w:name w:val="小四 段落 宋体 Char Char Char"/>
    <w:basedOn w:val="931"/>
    <w:uiPriority w:val="0"/>
    <w:qFormat/>
    <w:pPr>
      <w:ind w:left="0" w:right="-33" w:firstLine="227"/>
      <w:jc w:val="left"/>
      <w:spacing w:line="360" w:lineRule="auto"/>
      <w:tabs>
        <w:tab w:val="clear" w:pos="2952" w:leader="none"/>
      </w:tabs>
    </w:pPr>
    <w:rPr>
      <w:sz w:val="24"/>
    </w:rPr>
  </w:style>
  <w:style w:type="paragraph" w:styleId="1398" w:customStyle="1">
    <w:name w:val="Char12"/>
    <w:basedOn w:val="912"/>
    <w:uiPriority w:val="0"/>
    <w:qFormat/>
    <w:pPr>
      <w:jc w:val="left"/>
      <w:spacing w:after="160" w:line="240" w:lineRule="exact"/>
      <w:widowControl/>
    </w:pPr>
    <w:rPr>
      <w:rFonts w:ascii="Verdana" w:hAnsi="Verdana" w:eastAsia="仿宋_GB2312" w:cs="宋体"/>
      <w:sz w:val="24"/>
      <w:szCs w:val="20"/>
      <w:lang w:val="zh-CN"/>
    </w:rPr>
  </w:style>
  <w:style w:type="paragraph" w:styleId="1399" w:customStyle="1">
    <w:name w:val="标准文本"/>
    <w:basedOn w:val="912"/>
    <w:uiPriority w:val="0"/>
    <w:qFormat/>
    <w:pPr>
      <w:ind w:firstLine="200"/>
      <w:spacing w:line="360" w:lineRule="auto"/>
    </w:pPr>
    <w:rPr>
      <w:rFonts w:ascii="Times New Roman" w:hAnsi="Times New Roman" w:eastAsia="Calibri" w:cs="宋体"/>
      <w:sz w:val="24"/>
      <w:szCs w:val="20"/>
      <w:lang w:val="zh-CN"/>
    </w:rPr>
  </w:style>
  <w:style w:type="paragraph" w:styleId="1400" w:customStyle="1">
    <w:name w:val="xl24"/>
    <w:basedOn w:val="9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Times New Roman" w:eastAsia="Calibri" w:cs="宋体"/>
      <w:b/>
      <w:bCs/>
      <w:sz w:val="20"/>
      <w:szCs w:val="20"/>
      <w:lang w:val="zh-CN"/>
    </w:rPr>
  </w:style>
  <w:style w:type="paragraph" w:styleId="1401" w:customStyle="1">
    <w:name w:val="我的正文"/>
    <w:basedOn w:val="912"/>
    <w:uiPriority w:val="0"/>
    <w:qFormat/>
    <w:pPr>
      <w:ind w:firstLine="420"/>
      <w:jc w:val="left"/>
      <w:spacing w:line="360" w:lineRule="auto"/>
      <w:widowControl/>
    </w:pPr>
    <w:rPr>
      <w:rFonts w:ascii="宋体" w:hAnsi="Times New Roman" w:eastAsia="Calibri" w:cs="宋体"/>
      <w:sz w:val="20"/>
      <w:szCs w:val="21"/>
      <w:lang w:val="zh-CN"/>
    </w:rPr>
  </w:style>
  <w:style w:type="paragraph" w:styleId="1402" w:customStyle="1">
    <w:name w:val="xl54"/>
    <w:basedOn w:val="91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Times New Roman" w:eastAsia="Calibri" w:cs="宋体"/>
      <w:b/>
      <w:bCs/>
      <w:sz w:val="20"/>
      <w:szCs w:val="20"/>
      <w:lang w:val="zh-CN"/>
    </w:rPr>
  </w:style>
  <w:style w:type="paragraph" w:styleId="1403" w:customStyle="1">
    <w:name w:val="xl57"/>
    <w:basedOn w:val="91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Calibri" w:cs="宋体"/>
      <w:b/>
      <w:bCs/>
      <w:i/>
      <w:iCs/>
      <w:sz w:val="20"/>
      <w:szCs w:val="20"/>
      <w:lang w:val="zh-CN"/>
    </w:rPr>
  </w:style>
  <w:style w:type="paragraph" w:styleId="1404" w:customStyle="1">
    <w:name w:val="表格"/>
    <w:basedOn w:val="912"/>
    <w:uiPriority w:val="0"/>
    <w:qFormat/>
    <w:pPr>
      <w:ind w:firstLine="21"/>
    </w:pPr>
    <w:rPr>
      <w:rFonts w:ascii="宋体" w:hAnsi="Times New Roman" w:eastAsia="Calibri" w:cs="宋体"/>
      <w:sz w:val="20"/>
      <w:szCs w:val="20"/>
      <w:lang w:val="zh-CN"/>
    </w:rPr>
  </w:style>
  <w:style w:type="paragraph" w:styleId="1405" w:customStyle="1">
    <w:name w:val="样式 样式 标题 3H3sect1.2.3BOD 0Heading 3 - oldh3l3CTLevel 3 Head... +..."/>
    <w:basedOn w:val="912"/>
    <w:uiPriority w:val="0"/>
    <w:qFormat/>
    <w:pPr>
      <w:jc w:val="left"/>
      <w:keepLines/>
      <w:keepNext/>
      <w:spacing w:before="50" w:after="50"/>
      <w:outlineLvl w:val="2"/>
    </w:pPr>
    <w:rPr>
      <w:rFonts w:ascii="Times New Roman" w:hAnsi="Times New Roman" w:eastAsia="Calibri" w:cs="宋体"/>
      <w:b/>
      <w:bCs/>
      <w:sz w:val="24"/>
      <w:szCs w:val="20"/>
      <w:lang w:val="zh-CN"/>
    </w:rPr>
  </w:style>
  <w:style w:type="paragraph" w:styleId="1406" w:customStyle="1">
    <w:name w:val="Char Char Char Char Char Char Char Char Char Char Char Char Char Char Char Char Char Char Char Char Char1"/>
    <w:basedOn w:val="912"/>
    <w:uiPriority w:val="0"/>
    <w:qFormat/>
    <w:rPr>
      <w:rFonts w:ascii="Tahoma" w:hAnsi="Tahoma" w:eastAsia="Calibri" w:cs="宋体"/>
      <w:sz w:val="24"/>
      <w:szCs w:val="20"/>
      <w:lang w:val="zh-CN"/>
    </w:rPr>
  </w:style>
  <w:style w:type="paragraph" w:styleId="1407" w:customStyle="1">
    <w:name w:val="Char Char Char Char Char Char Char Char Char Char Char Char Char Char Char Char Char Char Char Char Char Char Char1"/>
    <w:basedOn w:val="912"/>
    <w:uiPriority w:val="0"/>
    <w:qFormat/>
    <w:rPr>
      <w:rFonts w:ascii="Tahoma" w:hAnsi="Tahoma" w:eastAsia="Calibri" w:cs="宋体"/>
      <w:sz w:val="24"/>
      <w:szCs w:val="20"/>
      <w:lang w:val="zh-CN"/>
    </w:rPr>
  </w:style>
  <w:style w:type="paragraph" w:styleId="1408" w:customStyle="1">
    <w:name w:val="样式 标题 3H3sect1.2.3BOD 0Heading 3 - oldh3l3CTLevel 3 Head..."/>
    <w:basedOn w:val="915"/>
    <w:uiPriority w:val="0"/>
    <w:qFormat/>
    <w:pPr>
      <w:numPr>
        <w:ilvl w:val="0"/>
        <w:numId w:val="0"/>
      </w:numPr>
      <w:jc w:val="left"/>
      <w:spacing w:before="50" w:after="50" w:line="390" w:lineRule="atLeast"/>
      <w:shd w:val="clear" w:color="auto" w:fill="ffffff"/>
      <w:tabs>
        <w:tab w:val="clear" w:pos="720" w:leader="none"/>
        <w:tab w:val="clear" w:pos="2563" w:leader="none"/>
      </w:tabs>
    </w:pPr>
    <w:rPr>
      <w:bCs/>
      <w:color w:val="auto"/>
      <w:sz w:val="30"/>
      <w:szCs w:val="21"/>
    </w:rPr>
  </w:style>
  <w:style w:type="paragraph" w:styleId="1409" w:customStyle="1">
    <w:name w:val="font10"/>
    <w:basedOn w:val="912"/>
    <w:uiPriority w:val="0"/>
    <w:qFormat/>
    <w:pPr>
      <w:jc w:val="left"/>
      <w:spacing w:before="100" w:beforeAutospacing="1" w:after="100" w:afterAutospacing="1"/>
      <w:widowControl/>
    </w:pPr>
    <w:rPr>
      <w:rFonts w:ascii="楷体_GB2312" w:hAnsi="Times New Roman" w:eastAsia="楷体_GB2312" w:cs="宋体"/>
      <w:b/>
      <w:bCs/>
      <w:sz w:val="18"/>
      <w:szCs w:val="18"/>
      <w:lang w:val="zh-CN"/>
    </w:rPr>
  </w:style>
  <w:style w:type="paragraph" w:styleId="1410" w:customStyle="1">
    <w:name w:val="flType"/>
    <w:basedOn w:val="1411"/>
    <w:uiPriority w:val="0"/>
    <w:qFormat/>
    <w:pPr>
      <w:spacing w:after="284"/>
    </w:pPr>
    <w:rPr>
      <w:rFonts w:eastAsia="宋体"/>
      <w:b w:val="0"/>
    </w:rPr>
  </w:style>
  <w:style w:type="paragraph" w:styleId="1411" w:customStyle="1">
    <w:name w:val="flName"/>
    <w:basedOn w:val="1300"/>
    <w:uiPriority w:val="0"/>
    <w:qFormat/>
    <w:pPr>
      <w:spacing w:before="0" w:line="113" w:lineRule="atLeast"/>
    </w:pPr>
  </w:style>
  <w:style w:type="paragraph" w:styleId="1412" w:customStyle="1">
    <w:name w:val="标题2，章节第二层"/>
    <w:basedOn w:val="912"/>
    <w:next w:val="1314"/>
    <w:uiPriority w:val="0"/>
    <w:qFormat/>
    <w:pPr>
      <w:numPr>
        <w:ilvl w:val="4"/>
        <w:numId w:val="5"/>
      </w:numPr>
      <w:ind w:left="991" w:hanging="567"/>
      <w:spacing w:before="100" w:after="100" w:line="300" w:lineRule="auto"/>
      <w:tabs>
        <w:tab w:val="left" w:pos="0" w:leader="none"/>
        <w:tab w:val="left" w:pos="630" w:leader="none"/>
        <w:tab w:val="left" w:pos="992" w:leader="none"/>
        <w:tab w:val="left" w:pos="2100" w:leader="none"/>
      </w:tabs>
      <w:outlineLvl w:val="1"/>
    </w:pPr>
    <w:rPr>
      <w:rFonts w:ascii="Arial" w:hAnsi="Arial" w:eastAsia="黑体" w:cs="宋体"/>
      <w:sz w:val="32"/>
      <w:szCs w:val="20"/>
      <w:lang w:val="zh-CN"/>
    </w:rPr>
  </w:style>
  <w:style w:type="paragraph" w:styleId="1413" w:customStyle="1">
    <w:name w:val="xl55"/>
    <w:basedOn w:val="912"/>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Calibri" w:cs="宋体"/>
      <w:b/>
      <w:bCs/>
      <w:sz w:val="20"/>
      <w:szCs w:val="20"/>
      <w:lang w:val="zh-CN"/>
    </w:rPr>
  </w:style>
  <w:style w:type="paragraph" w:styleId="1414" w:customStyle="1">
    <w:name w:val="zw"/>
    <w:basedOn w:val="912"/>
    <w:uiPriority w:val="0"/>
    <w:qFormat/>
    <w:pPr>
      <w:ind w:firstLine="200"/>
      <w:jc w:val="left"/>
      <w:spacing w:line="360" w:lineRule="auto"/>
      <w:widowControl/>
    </w:pPr>
    <w:rPr>
      <w:rFonts w:ascii="宋体" w:hAnsi="Times New Roman" w:eastAsia="Calibri" w:cs="宋体"/>
      <w:bCs/>
      <w:sz w:val="24"/>
      <w:szCs w:val="20"/>
      <w:lang w:val="zh-CN"/>
    </w:rPr>
  </w:style>
  <w:style w:type="paragraph" w:styleId="1415" w:customStyle="1">
    <w:name w:val="公文标题 2"/>
    <w:basedOn w:val="912"/>
    <w:next w:val="1395"/>
    <w:uiPriority w:val="0"/>
    <w:qFormat/>
    <w:pPr>
      <w:outlineLvl w:val="1"/>
    </w:pPr>
    <w:rPr>
      <w:rFonts w:ascii="仿宋_GB2312" w:hAnsi="Times New Roman" w:eastAsia="仿宋_GB2312" w:cs="宋体"/>
      <w:sz w:val="28"/>
      <w:szCs w:val="20"/>
      <w:lang w:val="zh-CN"/>
    </w:rPr>
  </w:style>
  <w:style w:type="paragraph" w:styleId="1416" w:customStyle="1">
    <w:name w:val="Char Char1 Char1"/>
    <w:basedOn w:val="912"/>
    <w:uiPriority w:val="0"/>
    <w:qFormat/>
    <w:pPr>
      <w:jc w:val="left"/>
      <w:spacing w:after="160" w:line="240" w:lineRule="exact"/>
      <w:widowControl/>
    </w:pPr>
    <w:rPr>
      <w:rFonts w:ascii="Verdana" w:hAnsi="Verdana" w:eastAsia="Calibri" w:cs="宋体"/>
      <w:sz w:val="20"/>
      <w:szCs w:val="20"/>
      <w:lang w:val="zh-CN"/>
    </w:rPr>
  </w:style>
  <w:style w:type="paragraph" w:styleId="1417" w:customStyle="1">
    <w:name w:val="Char Char Char Char1"/>
    <w:basedOn w:val="912"/>
    <w:uiPriority w:val="0"/>
    <w:qFormat/>
    <w:pPr>
      <w:jc w:val="center"/>
      <w:spacing w:after="160" w:line="240" w:lineRule="exact"/>
      <w:widowControl/>
    </w:pPr>
    <w:rPr>
      <w:rFonts w:ascii="黑体" w:hAnsi="Times New Roman" w:eastAsia="黑体" w:cs="宋体"/>
      <w:sz w:val="32"/>
      <w:szCs w:val="32"/>
      <w:lang w:val="zh-CN"/>
    </w:rPr>
  </w:style>
  <w:style w:type="paragraph" w:styleId="1418" w:customStyle="1">
    <w:name w:val="Default Text"/>
    <w:basedOn w:val="912"/>
    <w:uiPriority w:val="0"/>
    <w:qFormat/>
    <w:pPr>
      <w:jc w:val="left"/>
      <w:widowControl/>
    </w:pPr>
    <w:rPr>
      <w:rFonts w:ascii="Times New Roman" w:hAnsi="Times New Roman" w:eastAsia="Calibri" w:cs="宋体"/>
      <w:sz w:val="24"/>
      <w:szCs w:val="20"/>
      <w:lang w:val="zh-CN"/>
    </w:rPr>
  </w:style>
  <w:style w:type="paragraph" w:styleId="1419" w:customStyle="1">
    <w:name w:val="表格内文字"/>
    <w:basedOn w:val="912"/>
    <w:uiPriority w:val="0"/>
    <w:qFormat/>
    <w:pPr>
      <w:spacing w:line="300" w:lineRule="atLeast"/>
    </w:pPr>
    <w:rPr>
      <w:rFonts w:ascii="Times New Roman" w:hAnsi="Times New Roman" w:eastAsia="Calibri" w:cs="宋体"/>
      <w:sz w:val="18"/>
      <w:szCs w:val="20"/>
      <w:lang w:val="zh-CN"/>
    </w:rPr>
  </w:style>
  <w:style w:type="paragraph" w:styleId="1420" w:customStyle="1">
    <w:name w:val="表头"/>
    <w:basedOn w:val="912"/>
    <w:uiPriority w:val="0"/>
    <w:qFormat/>
    <w:pPr>
      <w:jc w:val="center"/>
      <w:spacing w:line="320" w:lineRule="atLeast"/>
    </w:pPr>
    <w:rPr>
      <w:rFonts w:ascii="Times New Roman" w:hAnsi="Times New Roman" w:eastAsia="黑体" w:cs="宋体"/>
      <w:spacing w:val="-10"/>
      <w:sz w:val="20"/>
      <w:szCs w:val="20"/>
      <w:lang w:val="zh-CN"/>
    </w:rPr>
  </w:style>
  <w:style w:type="paragraph" w:styleId="1421" w:customStyle="1">
    <w:name w:val="小四 段落 宋体"/>
    <w:basedOn w:val="931"/>
    <w:uiPriority w:val="0"/>
    <w:qFormat/>
    <w:pPr>
      <w:ind w:left="113" w:right="113" w:firstLine="425"/>
      <w:jc w:val="left"/>
      <w:spacing w:line="360" w:lineRule="auto"/>
      <w:tabs>
        <w:tab w:val="clear" w:pos="2952" w:leader="none"/>
      </w:tabs>
    </w:pPr>
    <w:rPr>
      <w:sz w:val="24"/>
    </w:rPr>
  </w:style>
  <w:style w:type="paragraph" w:styleId="1422" w:customStyle="1">
    <w:name w:val="111111"/>
    <w:basedOn w:val="912"/>
    <w:uiPriority w:val="0"/>
    <w:qFormat/>
    <w:pPr>
      <w:jc w:val="center"/>
      <w:spacing w:before="120" w:after="120"/>
    </w:pPr>
    <w:rPr>
      <w:rFonts w:ascii="宋体" w:hAnsi="宋体" w:eastAsia="黑体" w:cs="宋体"/>
      <w:b/>
      <w:bCs/>
      <w:sz w:val="20"/>
      <w:szCs w:val="21"/>
      <w:lang w:val="zh-CN"/>
    </w:rPr>
  </w:style>
  <w:style w:type="paragraph" w:styleId="1423" w:customStyle="1">
    <w:name w:val="xl61"/>
    <w:basedOn w:val="912"/>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Calibri" w:cs="宋体"/>
      <w:b/>
      <w:bCs/>
      <w:i/>
      <w:iCs/>
      <w:sz w:val="20"/>
      <w:szCs w:val="20"/>
      <w:lang w:val="zh-CN"/>
    </w:rPr>
  </w:style>
  <w:style w:type="paragraph" w:styleId="1424" w:customStyle="1">
    <w:name w:val="论文正文"/>
    <w:basedOn w:val="949"/>
    <w:uiPriority w:val="0"/>
    <w:qFormat/>
    <w:pPr>
      <w:ind w:left="0" w:firstLine="200"/>
      <w:jc w:val="left"/>
      <w:spacing w:line="360" w:lineRule="auto"/>
    </w:pPr>
    <w:rPr>
      <w:rFonts w:ascii="Times New Roman" w:hAnsi="Times New Roman"/>
      <w:sz w:val="28"/>
      <w:szCs w:val="24"/>
      <w:lang w:val="en-US"/>
    </w:rPr>
  </w:style>
  <w:style w:type="paragraph" w:styleId="1425" w:customStyle="1">
    <w:name w:val="样式"/>
    <w:basedOn w:val="912"/>
    <w:uiPriority w:val="0"/>
    <w:qFormat/>
    <w:pPr>
      <w:spacing w:before="120" w:after="120" w:line="360" w:lineRule="auto"/>
    </w:pPr>
    <w:rPr>
      <w:rFonts w:ascii="宋体" w:hAnsi="Times New Roman" w:eastAsia="Calibri" w:cs="宋体"/>
      <w:sz w:val="24"/>
      <w:szCs w:val="20"/>
      <w:lang w:val="zh-CN"/>
    </w:rPr>
  </w:style>
  <w:style w:type="paragraph" w:styleId="1426" w:customStyle="1">
    <w:name w:val="样式 首行缩进:  2 字符"/>
    <w:basedOn w:val="912"/>
    <w:uiPriority w:val="0"/>
    <w:qFormat/>
    <w:pPr>
      <w:ind w:firstLine="200"/>
      <w:spacing w:line="360" w:lineRule="auto"/>
    </w:pPr>
    <w:rPr>
      <w:rFonts w:ascii="Times New Roman" w:hAnsi="Times New Roman" w:eastAsia="Calibri" w:cs="宋体"/>
      <w:sz w:val="24"/>
      <w:szCs w:val="20"/>
      <w:lang w:val="zh-CN"/>
    </w:rPr>
  </w:style>
  <w:style w:type="paragraph" w:styleId="1427" w:customStyle="1">
    <w:name w:val="Char Char Char"/>
    <w:basedOn w:val="934"/>
    <w:uiPriority w:val="0"/>
    <w:qFormat/>
    <w:pPr>
      <w:spacing w:line="436" w:lineRule="exact"/>
    </w:pPr>
    <w:rPr>
      <w:lang w:val="en-US"/>
    </w:rPr>
  </w:style>
  <w:style w:type="paragraph" w:styleId="1428" w:customStyle="1">
    <w:name w:val="font5"/>
    <w:basedOn w:val="912"/>
    <w:uiPriority w:val="0"/>
    <w:qFormat/>
    <w:pPr>
      <w:jc w:val="left"/>
      <w:spacing w:before="100" w:beforeAutospacing="1" w:after="100" w:afterAutospacing="1"/>
      <w:widowControl/>
    </w:pPr>
    <w:rPr>
      <w:rFonts w:ascii="宋体" w:hAnsi="Times New Roman" w:eastAsia="Calibri" w:cs="宋体"/>
      <w:sz w:val="18"/>
      <w:szCs w:val="18"/>
      <w:lang w:val="zh-CN"/>
    </w:rPr>
  </w:style>
  <w:style w:type="paragraph" w:styleId="1429" w:customStyle="1">
    <w:name w:val="xl63"/>
    <w:basedOn w:val="91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Times New Roman" w:hAnsi="Times New Roman" w:eastAsia="Calibri" w:cs="宋体"/>
      <w:b/>
      <w:bCs/>
      <w:sz w:val="20"/>
      <w:szCs w:val="20"/>
      <w:lang w:val="zh-CN"/>
    </w:rPr>
  </w:style>
  <w:style w:type="paragraph" w:styleId="1430" w:customStyle="1">
    <w:name w:val="样式3"/>
    <w:basedOn w:val="912"/>
    <w:next w:val="912"/>
    <w:uiPriority w:val="0"/>
    <w:qFormat/>
    <w:pPr>
      <w:spacing w:line="360" w:lineRule="auto"/>
    </w:pPr>
    <w:rPr>
      <w:rFonts w:ascii="Times New Roman" w:hAnsi="Times New Roman" w:eastAsia="Calibri" w:cs="宋体"/>
      <w:sz w:val="20"/>
      <w:szCs w:val="20"/>
      <w:lang w:val="zh-CN"/>
    </w:rPr>
  </w:style>
  <w:style w:type="paragraph" w:styleId="1431" w:customStyle="1">
    <w:name w:val="xl33"/>
    <w:basedOn w:val="9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Times New Roman" w:eastAsia="Calibri" w:cs="宋体"/>
      <w:b/>
      <w:bCs/>
      <w:sz w:val="20"/>
      <w:szCs w:val="20"/>
      <w:lang w:val="zh-CN"/>
    </w:rPr>
  </w:style>
  <w:style w:type="paragraph" w:styleId="1432" w:customStyle="1">
    <w:name w:val="Char2 Char Char Char Char Char Char1"/>
    <w:basedOn w:val="912"/>
    <w:uiPriority w:val="0"/>
    <w:qFormat/>
    <w:pPr>
      <w:ind w:hanging="425"/>
      <w:keepNext/>
      <w:spacing w:before="80" w:after="80"/>
      <w:widowControl/>
      <w:tabs>
        <w:tab w:val="left" w:pos="425" w:leader="none"/>
      </w:tabs>
    </w:pPr>
    <w:rPr>
      <w:rFonts w:ascii="Arial" w:hAnsi="Arial" w:eastAsia="Calibri" w:cs="Arial"/>
      <w:sz w:val="20"/>
      <w:szCs w:val="20"/>
      <w:lang w:val="zh-CN"/>
    </w:rPr>
  </w:style>
  <w:style w:type="paragraph" w:styleId="1433" w:customStyle="1">
    <w:name w:val="xl25"/>
    <w:basedOn w:val="912"/>
    <w:uiPriority w:val="0"/>
    <w:qFormat/>
    <w:pPr>
      <w:jc w:val="center"/>
      <w:spacing w:before="100" w:beforeAutospacing="1" w:after="100" w:afterAutospacing="1"/>
      <w:widowControl/>
      <w:pBdr>
        <w:right w:val="single" w:color="auto" w:sz="4" w:space="0"/>
      </w:pBdr>
    </w:pPr>
    <w:rPr>
      <w:rFonts w:ascii="Times New Roman" w:hAnsi="Times New Roman" w:eastAsia="Calibri" w:cs="宋体"/>
      <w:sz w:val="20"/>
      <w:szCs w:val="21"/>
      <w:lang w:val="zh-CN"/>
    </w:rPr>
  </w:style>
  <w:style w:type="paragraph" w:styleId="1434" w:customStyle="1">
    <w:name w:val="Char Char Char Char Char Char Char1"/>
    <w:basedOn w:val="912"/>
    <w:uiPriority w:val="0"/>
    <w:qFormat/>
    <w:rPr>
      <w:rFonts w:ascii="Tahoma" w:hAnsi="Tahoma" w:eastAsia="Calibri" w:cs="宋体"/>
      <w:sz w:val="24"/>
      <w:szCs w:val="20"/>
      <w:lang w:val="zh-CN"/>
    </w:rPr>
  </w:style>
  <w:style w:type="paragraph" w:styleId="1435" w:customStyle="1">
    <w:name w:val="中等深浅网格 1 - 强调文字颜色 21"/>
    <w:basedOn w:val="912"/>
    <w:uiPriority w:val="0"/>
    <w:qFormat/>
    <w:pPr>
      <w:ind w:firstLine="200"/>
    </w:pPr>
    <w:rPr>
      <w:rFonts w:ascii="Times New Roman" w:hAnsi="Times New Roman" w:eastAsia="Calibri" w:cs="宋体"/>
      <w:sz w:val="20"/>
      <w:lang w:val="zh-CN"/>
    </w:rPr>
  </w:style>
  <w:style w:type="paragraph" w:styleId="1436" w:customStyle="1">
    <w:name w:val="大标题"/>
    <w:basedOn w:val="912"/>
    <w:next w:val="912"/>
    <w:uiPriority w:val="0"/>
    <w:qFormat/>
    <w:pPr>
      <w:ind w:firstLine="200"/>
      <w:pageBreakBefore/>
      <w:spacing w:line="360" w:lineRule="auto"/>
      <w:tabs>
        <w:tab w:val="left" w:pos="420" w:leader="none"/>
      </w:tabs>
      <w:outlineLvl w:val="0"/>
    </w:pPr>
    <w:rPr>
      <w:rFonts w:ascii="Times New Roman" w:hAnsi="Times New Roman" w:eastAsia="Calibri" w:cs="宋体"/>
      <w:b/>
      <w:iCs/>
      <w:sz w:val="44"/>
      <w:szCs w:val="20"/>
      <w:lang w:val="zh-CN"/>
    </w:rPr>
  </w:style>
  <w:style w:type="paragraph" w:styleId="1437" w:customStyle="1">
    <w:name w:val="tableau"/>
    <w:basedOn w:val="912"/>
    <w:uiPriority w:val="0"/>
    <w:qFormat/>
    <w:pPr>
      <w:jc w:val="center"/>
      <w:spacing w:before="20" w:after="20"/>
      <w:widowControl/>
    </w:pPr>
    <w:rPr>
      <w:rFonts w:ascii="Arial" w:hAnsi="Arial" w:eastAsia="Calibri" w:cs="宋体"/>
      <w:sz w:val="16"/>
      <w:szCs w:val="20"/>
      <w:lang w:val="en-GB" w:eastAsia="en-GB"/>
    </w:rPr>
  </w:style>
  <w:style w:type="paragraph" w:styleId="1438" w:customStyle="1">
    <w:name w:val="表格标题"/>
    <w:basedOn w:val="912"/>
    <w:uiPriority w:val="0"/>
    <w:qFormat/>
    <w:pPr>
      <w:jc w:val="center"/>
      <w:spacing w:before="120" w:line="400" w:lineRule="exact"/>
    </w:pPr>
    <w:rPr>
      <w:rFonts w:ascii="Times New Roman" w:hAnsi="Times New Roman" w:eastAsia="文鼎CS中宋" w:cs="宋体"/>
      <w:spacing w:val="8"/>
      <w:sz w:val="24"/>
      <w:szCs w:val="20"/>
      <w:lang w:val="zh-CN"/>
    </w:rPr>
  </w:style>
  <w:style w:type="paragraph" w:styleId="1439" w:customStyle="1">
    <w:name w:val="小四 段落 宋体 Char"/>
    <w:basedOn w:val="931"/>
    <w:uiPriority w:val="0"/>
    <w:qFormat/>
    <w:pPr>
      <w:ind w:left="0" w:right="-33" w:firstLine="200"/>
      <w:jc w:val="left"/>
      <w:tabs>
        <w:tab w:val="clear" w:pos="2952" w:leader="none"/>
      </w:tabs>
    </w:pPr>
    <w:rPr>
      <w:rFonts w:ascii="仿宋_GB2312" w:eastAsia="仿宋_GB2312"/>
      <w:sz w:val="30"/>
      <w:szCs w:val="30"/>
    </w:rPr>
  </w:style>
  <w:style w:type="paragraph" w:styleId="1440" w:customStyle="1">
    <w:name w:val="Char Char Char Char Char Char Char Char Char Char Char"/>
    <w:basedOn w:val="912"/>
    <w:uiPriority w:val="0"/>
    <w:qFormat/>
    <w:rPr>
      <w:rFonts w:ascii="Tahoma" w:hAnsi="Tahoma" w:eastAsia="Calibri" w:cs="Tahoma"/>
      <w:sz w:val="24"/>
      <w:szCs w:val="20"/>
      <w:lang w:val="zh-CN"/>
    </w:rPr>
  </w:style>
  <w:style w:type="paragraph" w:styleId="1441" w:customStyle="1">
    <w:name w:val="项目符号：一级"/>
    <w:basedOn w:val="1314"/>
    <w:next w:val="1314"/>
    <w:uiPriority w:val="0"/>
    <w:qFormat/>
    <w:pPr>
      <w:ind w:right="-64"/>
    </w:pPr>
    <w:rPr>
      <w:bCs w:val="0"/>
      <w:lang w:val="en-US"/>
    </w:rPr>
  </w:style>
  <w:style w:type="paragraph" w:styleId="1442" w:customStyle="1">
    <w:name w:val="表格文字"/>
    <w:basedOn w:val="912"/>
    <w:uiPriority w:val="0"/>
    <w:qFormat/>
    <w:pPr>
      <w:ind w:firstLine="200"/>
      <w:jc w:val="left"/>
      <w:spacing w:line="360" w:lineRule="auto"/>
    </w:pPr>
    <w:rPr>
      <w:rFonts w:ascii="Arial" w:hAnsi="Arial" w:eastAsia="Calibri" w:cs="宋体"/>
      <w:sz w:val="24"/>
      <w:szCs w:val="20"/>
      <w:lang w:val="zh-CN"/>
    </w:rPr>
  </w:style>
  <w:style w:type="paragraph" w:styleId="1443" w:customStyle="1">
    <w:name w:val="Body Text 21"/>
    <w:basedOn w:val="912"/>
    <w:uiPriority w:val="0"/>
    <w:qFormat/>
    <w:pPr>
      <w:ind w:left="720" w:hanging="720"/>
      <w:widowControl/>
    </w:pPr>
    <w:rPr>
      <w:rFonts w:ascii="Times New Roman" w:hAnsi="Times New Roman" w:eastAsia="Calibri" w:cs="宋体"/>
      <w:sz w:val="24"/>
      <w:szCs w:val="20"/>
      <w:lang w:val="en-GB" w:eastAsia="en-GB"/>
    </w:rPr>
  </w:style>
  <w:style w:type="paragraph" w:styleId="1444" w:customStyle="1">
    <w:name w:val="xl60"/>
    <w:basedOn w:val="91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eastAsia="Calibri" w:cs="宋体"/>
      <w:b/>
      <w:bCs/>
      <w:i/>
      <w:iCs/>
      <w:sz w:val="20"/>
      <w:szCs w:val="20"/>
      <w:lang w:val="zh-CN"/>
    </w:rPr>
  </w:style>
  <w:style w:type="paragraph" w:styleId="1445" w:customStyle="1">
    <w:name w:val="xl43"/>
    <w:basedOn w:val="91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Times New Roman" w:eastAsia="Calibri" w:cs="宋体"/>
      <w:b/>
      <w:bCs/>
      <w:sz w:val="20"/>
      <w:szCs w:val="20"/>
      <w:lang w:val="zh-CN"/>
    </w:rPr>
  </w:style>
  <w:style w:type="paragraph" w:styleId="1446" w:customStyle="1">
    <w:name w:val="qw"/>
    <w:uiPriority w:val="0"/>
    <w:qFormat/>
    <w:pPr>
      <w:jc w:val="both"/>
      <w:spacing w:line="312" w:lineRule="atLeast"/>
      <w:widowControl w:val="off"/>
    </w:pPr>
    <w:rPr>
      <w:rFonts w:hint="default" w:ascii="宋体" w:hAnsi="Times New Roman" w:eastAsia="宋体" w:cs="Times New Roman"/>
      <w:sz w:val="24"/>
    </w:rPr>
  </w:style>
  <w:style w:type="paragraph" w:styleId="1447" w:customStyle="1">
    <w:name w:val="样式 标题 2第一章 标题 2Heading 2 HiddenHeading 2 CCBSheading 2H2h2..."/>
    <w:basedOn w:val="914"/>
    <w:uiPriority w:val="0"/>
    <w:qFormat/>
    <w:pPr>
      <w:ind w:left="360" w:hanging="360"/>
      <w:jc w:val="center"/>
      <w:keepLines w:val="0"/>
      <w:spacing w:before="50" w:after="50"/>
      <w:tabs>
        <w:tab w:val="left" w:pos="360" w:leader="none"/>
      </w:tabs>
    </w:pPr>
    <w:rPr>
      <w:rFonts w:ascii="黑体" w:hAnsi="Times New Roman" w:eastAsia="黑体" w:cs="宋体"/>
      <w:sz w:val="32"/>
      <w:szCs w:val="20"/>
      <w:lang w:val="zh-CN"/>
    </w:rPr>
  </w:style>
  <w:style w:type="paragraph" w:styleId="1448" w:customStyle="1">
    <w:name w:val="font14"/>
    <w:basedOn w:val="912"/>
    <w:uiPriority w:val="0"/>
    <w:qFormat/>
    <w:pPr>
      <w:jc w:val="left"/>
      <w:spacing w:before="100" w:beforeAutospacing="1" w:after="100" w:afterAutospacing="1"/>
      <w:widowControl/>
    </w:pPr>
    <w:rPr>
      <w:rFonts w:ascii="Times New Roman" w:hAnsi="Times New Roman" w:eastAsia="Calibri" w:cs="宋体"/>
      <w:sz w:val="36"/>
      <w:szCs w:val="36"/>
      <w:lang w:val="zh-CN"/>
    </w:rPr>
  </w:style>
  <w:style w:type="paragraph" w:styleId="1449" w:customStyle="1">
    <w:name w:val="xl59"/>
    <w:basedOn w:val="91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Calibri" w:cs="宋体"/>
      <w:b/>
      <w:bCs/>
      <w:i/>
      <w:iCs/>
      <w:sz w:val="20"/>
      <w:szCs w:val="20"/>
      <w:lang w:val="zh-CN"/>
    </w:rPr>
  </w:style>
  <w:style w:type="paragraph" w:styleId="1450" w:customStyle="1">
    <w:name w:val="正文 首行缩进:  2 字符 Char Char"/>
    <w:basedOn w:val="912"/>
    <w:uiPriority w:val="0"/>
    <w:qFormat/>
    <w:pPr>
      <w:ind w:firstLine="480"/>
      <w:spacing w:line="360" w:lineRule="auto"/>
    </w:pPr>
    <w:rPr>
      <w:rFonts w:ascii="楷体_GB2312" w:hAnsi="Times New Roman" w:eastAsia="楷体_GB2312" w:cs="宋体"/>
      <w:bCs/>
      <w:sz w:val="24"/>
      <w:szCs w:val="20"/>
      <w:lang w:val="zh-CN"/>
    </w:rPr>
  </w:style>
  <w:style w:type="paragraph" w:styleId="1451" w:customStyle="1">
    <w:name w:val="章标题"/>
    <w:next w:val="1380"/>
    <w:uiPriority w:val="0"/>
    <w:qFormat/>
    <w:pPr>
      <w:jc w:val="both"/>
      <w:spacing w:before="50" w:after="50"/>
      <w:outlineLvl w:val="1"/>
    </w:pPr>
    <w:rPr>
      <w:rFonts w:hint="default" w:ascii="Calibri" w:hAnsi="Calibri" w:eastAsia="黑体" w:cs="Times New Roman"/>
      <w:sz w:val="21"/>
    </w:rPr>
  </w:style>
  <w:style w:type="paragraph" w:styleId="1452" w:customStyle="1">
    <w:name w:val="项目符号，二级"/>
    <w:basedOn w:val="1314"/>
    <w:next w:val="1314"/>
    <w:uiPriority w:val="0"/>
    <w:qFormat/>
    <w:pPr>
      <w:ind w:left="1337"/>
      <w:tabs>
        <w:tab w:val="left" w:pos="432" w:leader="none"/>
        <w:tab w:val="left" w:pos="567" w:leader="none"/>
        <w:tab w:val="left" w:pos="1211" w:leader="none"/>
        <w:tab w:val="left" w:pos="1337" w:leader="none"/>
      </w:tabs>
    </w:pPr>
    <w:rPr>
      <w:bCs w:val="0"/>
      <w:color w:val="000000"/>
      <w:sz w:val="24"/>
      <w:szCs w:val="24"/>
    </w:rPr>
  </w:style>
  <w:style w:type="paragraph" w:styleId="1453" w:customStyle="1">
    <w:name w:val="greytypebeni"/>
    <w:basedOn w:val="912"/>
    <w:uiPriority w:val="0"/>
    <w:qFormat/>
    <w:pPr>
      <w:jc w:val="left"/>
      <w:widowControl/>
    </w:pPr>
    <w:rPr>
      <w:rFonts w:ascii="宋体" w:hAnsi="Times New Roman" w:eastAsia="Calibri" w:cs="宋体"/>
      <w:sz w:val="24"/>
      <w:szCs w:val="20"/>
      <w:lang w:val="zh-CN"/>
    </w:rPr>
  </w:style>
  <w:style w:type="paragraph" w:styleId="1454" w:customStyle="1">
    <w:name w:val="Char Char Char1"/>
    <w:basedOn w:val="912"/>
    <w:uiPriority w:val="0"/>
    <w:qFormat/>
    <w:rPr>
      <w:rFonts w:ascii="Tahoma" w:hAnsi="Tahoma" w:eastAsia="Calibri" w:cs="宋体"/>
      <w:sz w:val="24"/>
      <w:szCs w:val="20"/>
      <w:lang w:val="zh-CN"/>
    </w:rPr>
  </w:style>
  <w:style w:type="paragraph" w:styleId="1455" w:customStyle="1">
    <w:name w:val="方案正文"/>
    <w:basedOn w:val="912"/>
    <w:uiPriority w:val="0"/>
    <w:qFormat/>
    <w:pPr>
      <w:ind w:firstLine="171"/>
      <w:jc w:val="left"/>
      <w:spacing w:before="156" w:line="360" w:lineRule="auto"/>
    </w:pPr>
    <w:rPr>
      <w:rFonts w:ascii="Arial" w:hAnsi="Arial" w:eastAsia="Calibri" w:cs="宋体"/>
      <w:sz w:val="24"/>
      <w:szCs w:val="21"/>
      <w:lang w:val="zh-CN"/>
    </w:rPr>
  </w:style>
  <w:style w:type="paragraph" w:styleId="1456" w:customStyle="1">
    <w:name w:val="xl40"/>
    <w:basedOn w:val="9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Calibri" w:cs="宋体"/>
      <w:b/>
      <w:bCs/>
      <w:sz w:val="20"/>
      <w:szCs w:val="20"/>
      <w:lang w:val="zh-CN"/>
    </w:rPr>
  </w:style>
  <w:style w:type="paragraph" w:styleId="1457" w:customStyle="1">
    <w:name w:val="xl46"/>
    <w:basedOn w:val="912"/>
    <w:uiPriority w:val="0"/>
    <w:qFormat/>
    <w:pPr>
      <w:jc w:val="center"/>
      <w:spacing w:before="100" w:beforeAutospacing="1" w:after="100" w:afterAutospacing="1"/>
      <w:widowControl/>
      <w:pBdr>
        <w:left w:val="single" w:color="auto" w:sz="4" w:space="0"/>
        <w:right w:val="single" w:color="auto" w:sz="4" w:space="0"/>
      </w:pBdr>
    </w:pPr>
    <w:rPr>
      <w:rFonts w:ascii="宋体" w:hAnsi="Times New Roman" w:eastAsia="Calibri" w:cs="宋体"/>
      <w:sz w:val="24"/>
      <w:szCs w:val="20"/>
      <w:lang w:val="zh-CN"/>
    </w:rPr>
  </w:style>
  <w:style w:type="paragraph" w:styleId="1458" w:customStyle="1">
    <w:name w:val="xl44"/>
    <w:basedOn w:val="91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Times New Roman" w:eastAsia="Calibri" w:cs="宋体"/>
      <w:b/>
      <w:bCs/>
      <w:sz w:val="20"/>
      <w:szCs w:val="20"/>
      <w:lang w:val="zh-CN"/>
    </w:rPr>
  </w:style>
  <w:style w:type="paragraph" w:styleId="1459" w:customStyle="1">
    <w:name w:val="xl34"/>
    <w:basedOn w:val="9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Calibri" w:cs="宋体"/>
      <w:b/>
      <w:bCs/>
      <w:i/>
      <w:iCs/>
      <w:sz w:val="20"/>
      <w:szCs w:val="20"/>
      <w:lang w:val="zh-CN"/>
    </w:rPr>
  </w:style>
  <w:style w:type="paragraph" w:styleId="1460" w:customStyle="1">
    <w:name w:val="正文--表格内正文"/>
    <w:basedOn w:val="912"/>
    <w:uiPriority w:val="0"/>
    <w:qFormat/>
    <w:pPr>
      <w:jc w:val="center"/>
      <w:spacing w:before="50" w:line="0" w:lineRule="atLeast"/>
    </w:pPr>
    <w:rPr>
      <w:rFonts w:ascii="宋体" w:hAnsi="Times New Roman" w:eastAsia="Calibri" w:cs="宋体"/>
      <w:color w:val="000000"/>
      <w:sz w:val="24"/>
      <w:szCs w:val="20"/>
      <w:lang w:val="zh-CN"/>
    </w:rPr>
  </w:style>
  <w:style w:type="paragraph" w:styleId="1461" w:customStyle="1">
    <w:name w:val="样式4 Char"/>
    <w:basedOn w:val="912"/>
    <w:uiPriority w:val="0"/>
    <w:qFormat/>
    <w:pPr>
      <w:ind w:firstLine="480"/>
      <w:jc w:val="left"/>
      <w:spacing w:line="360" w:lineRule="auto"/>
      <w:widowControl/>
    </w:pPr>
    <w:rPr>
      <w:rFonts w:ascii="Times New Roman" w:hAnsi="Times New Roman" w:eastAsia="Calibri" w:cs="宋体"/>
      <w:color w:val="000000"/>
      <w:sz w:val="24"/>
      <w:szCs w:val="20"/>
      <w:lang w:val="zh-CN"/>
    </w:rPr>
  </w:style>
  <w:style w:type="paragraph" w:styleId="1462" w:customStyle="1">
    <w:name w:val="正文文本 New New"/>
    <w:basedOn w:val="912"/>
    <w:uiPriority w:val="0"/>
    <w:qFormat/>
    <w:pPr>
      <w:ind w:firstLine="200"/>
      <w:spacing w:before="60" w:after="60" w:line="360" w:lineRule="auto"/>
      <w:widowControl/>
    </w:pPr>
    <w:rPr>
      <w:rFonts w:ascii="Times New Roman" w:hAnsi="Times New Roman" w:eastAsia="华文楷体" w:cs="宋体"/>
      <w:sz w:val="24"/>
      <w:szCs w:val="20"/>
      <w:lang w:val="zh-CN"/>
    </w:rPr>
  </w:style>
  <w:style w:type="paragraph" w:styleId="1463" w:customStyle="1">
    <w:name w:val="小四 段落 宋体 Char Char Char Char"/>
    <w:basedOn w:val="912"/>
    <w:uiPriority w:val="0"/>
    <w:qFormat/>
    <w:pPr>
      <w:ind w:right="-33" w:firstLine="200"/>
      <w:jc w:val="left"/>
      <w:spacing w:line="360" w:lineRule="auto"/>
    </w:pPr>
    <w:rPr>
      <w:rFonts w:ascii="Times New Roman" w:hAnsi="Times New Roman" w:eastAsia="Calibri" w:cs="宋体"/>
      <w:sz w:val="24"/>
      <w:szCs w:val="20"/>
      <w:lang w:val="zh-CN"/>
    </w:rPr>
  </w:style>
  <w:style w:type="paragraph" w:styleId="1464" w:customStyle="1">
    <w:name w:val="正文2"/>
    <w:basedOn w:val="912"/>
    <w:uiPriority w:val="0"/>
    <w:qFormat/>
    <w:pPr>
      <w:ind w:firstLine="200"/>
      <w:spacing w:before="156" w:line="360" w:lineRule="auto"/>
    </w:pPr>
    <w:rPr>
      <w:rFonts w:ascii="Times New Roman" w:hAnsi="Times New Roman" w:eastAsia="Calibri" w:cs="宋体"/>
      <w:sz w:val="24"/>
      <w:szCs w:val="20"/>
      <w:lang w:val="zh-CN"/>
    </w:rPr>
  </w:style>
  <w:style w:type="paragraph" w:styleId="1465" w:customStyle="1">
    <w:name w:val="Char Char Char Char Char1"/>
    <w:basedOn w:val="912"/>
    <w:uiPriority w:val="0"/>
    <w:qFormat/>
    <w:rPr>
      <w:rFonts w:ascii="Tahoma" w:hAnsi="Tahoma" w:eastAsia="Calibri" w:cs="Tahoma"/>
      <w:sz w:val="24"/>
      <w:szCs w:val="20"/>
      <w:lang w:val="zh-CN"/>
    </w:rPr>
  </w:style>
  <w:style w:type="paragraph" w:styleId="1466" w:customStyle="1">
    <w:name w:val="小四 段落 宋体 Char Char"/>
    <w:basedOn w:val="912"/>
    <w:uiPriority w:val="0"/>
    <w:qFormat/>
    <w:pPr>
      <w:ind w:firstLine="200"/>
      <w:spacing w:line="360" w:lineRule="auto"/>
    </w:pPr>
    <w:rPr>
      <w:rFonts w:ascii="宋体" w:hAnsi="Times New Roman" w:eastAsia="Calibri" w:cs="宋体"/>
      <w:sz w:val="24"/>
      <w:szCs w:val="20"/>
      <w:lang w:val="zh-CN"/>
    </w:rPr>
  </w:style>
  <w:style w:type="paragraph" w:styleId="1467" w:customStyle="1">
    <w:name w:val="正文 首行缩进:  2 字符 Char"/>
    <w:basedOn w:val="912"/>
    <w:uiPriority w:val="0"/>
    <w:qFormat/>
    <w:pPr>
      <w:ind w:firstLine="480"/>
      <w:spacing w:line="360" w:lineRule="auto"/>
    </w:pPr>
    <w:rPr>
      <w:rFonts w:ascii="Times New Roman" w:hAnsi="Times New Roman" w:eastAsia="Calibri" w:cs="宋体"/>
      <w:sz w:val="24"/>
      <w:szCs w:val="20"/>
      <w:lang w:val="zh-CN"/>
    </w:rPr>
  </w:style>
  <w:style w:type="paragraph" w:styleId="1468" w:customStyle="1">
    <w:name w:val="xl37"/>
    <w:basedOn w:val="9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Times New Roman" w:eastAsia="Calibri" w:cs="宋体"/>
      <w:b/>
      <w:bCs/>
      <w:i/>
      <w:iCs/>
      <w:sz w:val="20"/>
      <w:szCs w:val="20"/>
      <w:lang w:val="zh-CN"/>
    </w:rPr>
  </w:style>
  <w:style w:type="paragraph" w:styleId="1469" w:customStyle="1">
    <w:name w:val="xl58"/>
    <w:basedOn w:val="912"/>
    <w:uiPriority w:val="0"/>
    <w:qFormat/>
    <w:pPr>
      <w:jc w:val="center"/>
      <w:spacing w:before="100" w:beforeAutospacing="1" w:after="100" w:afterAutospacing="1"/>
      <w:widowControl/>
      <w:pBdr>
        <w:left w:val="single" w:color="auto" w:sz="4" w:space="0"/>
        <w:right w:val="single" w:color="auto" w:sz="4" w:space="0"/>
      </w:pBdr>
    </w:pPr>
    <w:rPr>
      <w:rFonts w:ascii="Times New Roman" w:hAnsi="Times New Roman" w:eastAsia="Calibri" w:cs="宋体"/>
      <w:b/>
      <w:bCs/>
      <w:i/>
      <w:iCs/>
      <w:sz w:val="20"/>
      <w:szCs w:val="20"/>
      <w:lang w:val="zh-CN"/>
    </w:rPr>
  </w:style>
  <w:style w:type="paragraph" w:styleId="1470" w:customStyle="1">
    <w:name w:val="正文 + 宋体"/>
    <w:basedOn w:val="912"/>
    <w:uiPriority w:val="0"/>
    <w:qFormat/>
    <w:pPr>
      <w:ind w:firstLine="200"/>
      <w:spacing w:line="360" w:lineRule="auto"/>
    </w:pPr>
    <w:rPr>
      <w:rFonts w:ascii="Times New Roman" w:hAnsi="Times New Roman" w:eastAsia="Calibri" w:cs="宋体"/>
      <w:sz w:val="20"/>
      <w:szCs w:val="20"/>
      <w:lang w:val="zh-CN"/>
    </w:rPr>
  </w:style>
  <w:style w:type="paragraph" w:styleId="1471" w:customStyle="1">
    <w:name w:val="条1"/>
    <w:basedOn w:val="912"/>
    <w:uiPriority w:val="0"/>
    <w:qFormat/>
    <w:pPr>
      <w:ind w:left="780" w:hanging="360"/>
      <w:spacing w:before="156" w:line="360" w:lineRule="auto"/>
      <w:tabs>
        <w:tab w:val="left" w:pos="780" w:leader="none"/>
      </w:tabs>
    </w:pPr>
    <w:rPr>
      <w:rFonts w:ascii="Times New Roman" w:hAnsi="Times New Roman" w:eastAsia="黑体" w:cs="宋体"/>
      <w:sz w:val="24"/>
      <w:szCs w:val="20"/>
      <w:lang w:val="zh-CN"/>
    </w:rPr>
  </w:style>
  <w:style w:type="paragraph" w:styleId="1472" w:customStyle="1">
    <w:name w:val="标题5，章节第五层"/>
    <w:basedOn w:val="912"/>
    <w:next w:val="912"/>
    <w:uiPriority w:val="0"/>
    <w:qFormat/>
    <w:pPr>
      <w:ind w:left="2100" w:hanging="420"/>
      <w:spacing w:before="78"/>
      <w:tabs>
        <w:tab w:val="left" w:pos="1050" w:leader="none"/>
        <w:tab w:val="left" w:pos="2100" w:leader="none"/>
      </w:tabs>
      <w:outlineLvl w:val="4"/>
    </w:pPr>
    <w:rPr>
      <w:rFonts w:ascii="Arial" w:hAnsi="Arial" w:eastAsia="华文细黑" w:cs="宋体"/>
      <w:sz w:val="30"/>
      <w:szCs w:val="20"/>
      <w:lang w:val="zh-CN"/>
    </w:rPr>
  </w:style>
  <w:style w:type="paragraph" w:styleId="1473" w:customStyle="1">
    <w:name w:val="表格1"/>
    <w:basedOn w:val="912"/>
    <w:uiPriority w:val="0"/>
    <w:qFormat/>
    <w:rPr>
      <w:rFonts w:ascii="宋体" w:hAnsi="Times New Roman" w:eastAsia="Calibri" w:cs="宋体"/>
      <w:sz w:val="20"/>
      <w:szCs w:val="21"/>
      <w:lang w:val="zh-CN"/>
    </w:rPr>
  </w:style>
  <w:style w:type="paragraph" w:styleId="1474" w:customStyle="1">
    <w:name w:val="项目符号，一级"/>
    <w:basedOn w:val="1314"/>
    <w:next w:val="1314"/>
    <w:uiPriority w:val="0"/>
    <w:qFormat/>
    <w:pPr>
      <w:ind w:left="179"/>
      <w:spacing w:line="240" w:lineRule="atLeast"/>
      <w:tabs>
        <w:tab w:val="left" w:pos="1320" w:leader="none"/>
      </w:tabs>
    </w:pPr>
    <w:rPr>
      <w:bCs w:val="0"/>
      <w:color w:val="000000"/>
      <w:szCs w:val="24"/>
    </w:rPr>
  </w:style>
  <w:style w:type="paragraph" w:styleId="1475" w:customStyle="1">
    <w:name w:val="xl38"/>
    <w:basedOn w:val="9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Times New Roman" w:eastAsia="Calibri" w:cs="宋体"/>
      <w:b/>
      <w:bCs/>
      <w:sz w:val="20"/>
      <w:szCs w:val="20"/>
      <w:lang w:val="zh-CN"/>
    </w:rPr>
  </w:style>
  <w:style w:type="paragraph" w:styleId="1476" w:customStyle="1">
    <w:name w:val="Char Char Char Char Char Char Char Char Char1"/>
    <w:basedOn w:val="912"/>
    <w:uiPriority w:val="0"/>
    <w:qFormat/>
    <w:pPr>
      <w:ind w:left="200" w:hanging="200"/>
      <w:tabs>
        <w:tab w:val="left" w:pos="360" w:leader="none"/>
      </w:tabs>
    </w:pPr>
    <w:rPr>
      <w:rFonts w:ascii="Times New Roman" w:hAnsi="Times New Roman" w:eastAsia="Calibri" w:cs="宋体"/>
      <w:sz w:val="24"/>
      <w:szCs w:val="20"/>
      <w:lang w:val="zh-CN"/>
    </w:rPr>
  </w:style>
  <w:style w:type="paragraph" w:styleId="1477" w:customStyle="1">
    <w:name w:val="Char Char Char Char Char Char Char Char1"/>
    <w:basedOn w:val="912"/>
    <w:uiPriority w:val="0"/>
    <w:qFormat/>
    <w:rPr>
      <w:rFonts w:ascii="Tahoma" w:hAnsi="Tahoma" w:eastAsia="Calibri" w:cs="宋体"/>
      <w:sz w:val="24"/>
      <w:szCs w:val="20"/>
      <w:lang w:val="zh-CN"/>
    </w:rPr>
  </w:style>
  <w:style w:type="paragraph" w:styleId="1478" w:customStyle="1">
    <w:name w:val="af17cgridlangnp1033langf"/>
    <w:uiPriority w:val="0"/>
    <w:qFormat/>
    <w:pPr>
      <w:ind w:left="567" w:firstLine="510"/>
      <w:jc w:val="both"/>
      <w:spacing w:before="156" w:line="360" w:lineRule="atLeast"/>
      <w:widowControl w:val="off"/>
    </w:pPr>
    <w:rPr>
      <w:rFonts w:hint="default" w:ascii="Calibri" w:hAnsi="Calibri" w:eastAsia="宋体" w:cs="Times New Roman"/>
    </w:rPr>
  </w:style>
  <w:style w:type="paragraph" w:styleId="1479" w:customStyle="1">
    <w:name w:val="正文11"/>
    <w:basedOn w:val="912"/>
    <w:next w:val="912"/>
    <w:uiPriority w:val="0"/>
    <w:qFormat/>
    <w:pPr>
      <w:ind w:firstLine="200"/>
      <w:spacing w:before="156" w:line="360" w:lineRule="auto"/>
    </w:pPr>
    <w:rPr>
      <w:rFonts w:ascii="Times New Roman" w:hAnsi="Times New Roman" w:eastAsia="Calibri" w:cs="宋体"/>
      <w:sz w:val="24"/>
      <w:szCs w:val="20"/>
      <w:lang w:val="zh-CN"/>
    </w:rPr>
  </w:style>
  <w:style w:type="paragraph" w:styleId="1480" w:customStyle="1">
    <w:name w:val="正文文本 22"/>
    <w:basedOn w:val="912"/>
    <w:uiPriority w:val="0"/>
    <w:qFormat/>
    <w:pPr>
      <w:ind w:left="720" w:hanging="720"/>
      <w:widowControl/>
    </w:pPr>
    <w:rPr>
      <w:rFonts w:ascii="Times New Roman" w:hAnsi="Times New Roman" w:eastAsia="Calibri" w:cs="宋体"/>
      <w:sz w:val="24"/>
      <w:szCs w:val="20"/>
      <w:lang w:val="en-GB" w:eastAsia="en-GB"/>
    </w:rPr>
  </w:style>
  <w:style w:type="paragraph" w:styleId="1481" w:customStyle="1">
    <w:name w:val="font9"/>
    <w:basedOn w:val="912"/>
    <w:uiPriority w:val="0"/>
    <w:qFormat/>
    <w:pPr>
      <w:jc w:val="left"/>
      <w:spacing w:before="100" w:beforeAutospacing="1" w:after="100" w:afterAutospacing="1"/>
      <w:widowControl/>
    </w:pPr>
    <w:rPr>
      <w:rFonts w:ascii="Times New Roman" w:hAnsi="Times New Roman" w:eastAsia="Calibri" w:cs="宋体"/>
      <w:b/>
      <w:bCs/>
      <w:sz w:val="20"/>
      <w:szCs w:val="20"/>
      <w:lang w:val="zh-CN"/>
    </w:rPr>
  </w:style>
  <w:style w:type="paragraph" w:styleId="1482" w:customStyle="1">
    <w:name w:val="xl45"/>
    <w:basedOn w:val="912"/>
    <w:uiPriority w:val="0"/>
    <w:qFormat/>
    <w:pPr>
      <w:jc w:val="center"/>
      <w:spacing w:before="100" w:beforeAutospacing="1" w:after="100" w:afterAutospacing="1"/>
      <w:widowControl/>
      <w:pBdr>
        <w:left w:val="single" w:color="auto" w:sz="4" w:space="0"/>
        <w:right w:val="single" w:color="auto" w:sz="4" w:space="0"/>
      </w:pBdr>
    </w:pPr>
    <w:rPr>
      <w:rFonts w:ascii="宋体" w:hAnsi="Times New Roman" w:eastAsia="Calibri" w:cs="宋体"/>
      <w:b/>
      <w:bCs/>
      <w:sz w:val="20"/>
      <w:szCs w:val="20"/>
      <w:lang w:val="zh-CN"/>
    </w:rPr>
  </w:style>
  <w:style w:type="paragraph" w:styleId="1483" w:customStyle="1">
    <w:name w:val="xl56"/>
    <w:basedOn w:val="91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Calibri" w:cs="宋体"/>
      <w:b/>
      <w:bCs/>
      <w:sz w:val="20"/>
      <w:szCs w:val="20"/>
      <w:lang w:val="zh-CN"/>
    </w:rPr>
  </w:style>
  <w:style w:type="paragraph" w:styleId="1484" w:customStyle="1">
    <w:name w:val="Char Char3"/>
    <w:basedOn w:val="912"/>
    <w:uiPriority w:val="0"/>
    <w:qFormat/>
    <w:rPr>
      <w:rFonts w:ascii="Tahoma" w:hAnsi="Tahoma" w:eastAsia="Calibri" w:cs="宋体"/>
      <w:sz w:val="24"/>
      <w:szCs w:val="20"/>
      <w:lang w:val="zh-CN"/>
    </w:rPr>
  </w:style>
  <w:style w:type="paragraph" w:styleId="1485" w:customStyle="1">
    <w:name w:val="插图"/>
    <w:basedOn w:val="912"/>
    <w:uiPriority w:val="0"/>
    <w:qFormat/>
    <w:pPr>
      <w:jc w:val="center"/>
      <w:tabs>
        <w:tab w:val="left" w:pos="1620" w:leader="none"/>
      </w:tabs>
    </w:pPr>
    <w:rPr>
      <w:rFonts w:ascii="Times New Roman" w:hAnsi="Times New Roman" w:eastAsia="Calibri" w:cs="宋体"/>
      <w:bCs/>
      <w:color w:val="000000"/>
      <w:sz w:val="20"/>
      <w:lang w:val="zh-CN"/>
    </w:rPr>
  </w:style>
  <w:style w:type="paragraph" w:styleId="1486" w:customStyle="1">
    <w:name w:val="正文缩进1"/>
    <w:basedOn w:val="912"/>
    <w:uiPriority w:val="0"/>
    <w:qFormat/>
    <w:pPr>
      <w:ind w:firstLine="420"/>
    </w:pPr>
    <w:rPr>
      <w:rFonts w:ascii="Times New Roman" w:hAnsi="Times New Roman" w:eastAsia="Calibri" w:cs="宋体"/>
      <w:sz w:val="20"/>
      <w:szCs w:val="20"/>
      <w:lang w:val="zh-CN"/>
    </w:rPr>
  </w:style>
  <w:style w:type="paragraph" w:styleId="1487" w:customStyle="1">
    <w:name w:val="7"/>
    <w:basedOn w:val="912"/>
    <w:next w:val="970"/>
    <w:uiPriority w:val="0"/>
    <w:qFormat/>
    <w:pPr>
      <w:jc w:val="left"/>
      <w:spacing w:before="100" w:beforeAutospacing="1" w:after="100" w:afterAutospacing="1"/>
      <w:widowControl/>
    </w:pPr>
    <w:rPr>
      <w:rFonts w:ascii="宋体" w:hAnsi="Times New Roman" w:eastAsia="Calibri" w:cs="宋体"/>
      <w:sz w:val="24"/>
      <w:szCs w:val="20"/>
      <w:lang w:val="zh-CN"/>
    </w:rPr>
  </w:style>
  <w:style w:type="paragraph" w:styleId="1488" w:customStyle="1">
    <w:name w:val="样式 标题 2 + Times New Roman 四号 非加粗 段前: 5 磅 段后: 0 磅 行距: 固定值 20..."/>
    <w:basedOn w:val="914"/>
    <w:uiPriority w:val="0"/>
    <w:qFormat/>
    <w:pPr>
      <w:jc w:val="both"/>
      <w:spacing w:before="100" w:after="0" w:line="400" w:lineRule="exact"/>
    </w:pPr>
    <w:rPr>
      <w:rFonts w:ascii="Times New Roman" w:hAnsi="Times New Roman" w:eastAsia="黑体" w:cs="宋体"/>
      <w:b w:val="0"/>
      <w:sz w:val="28"/>
      <w:szCs w:val="20"/>
      <w:lang w:val="zh-CN"/>
    </w:rPr>
  </w:style>
  <w:style w:type="paragraph" w:styleId="1489" w:customStyle="1">
    <w:name w:val="正文缩进2字符"/>
    <w:basedOn w:val="912"/>
    <w:uiPriority w:val="0"/>
    <w:qFormat/>
    <w:pPr>
      <w:ind w:firstLine="200"/>
      <w:spacing w:line="300" w:lineRule="auto"/>
    </w:pPr>
    <w:rPr>
      <w:rFonts w:ascii="仿宋_GB2312" w:hAnsi="Times New Roman" w:eastAsia="仿宋_GB2312" w:cs="宋体"/>
      <w:sz w:val="32"/>
      <w:szCs w:val="32"/>
      <w:lang w:val="zh-CN"/>
    </w:rPr>
  </w:style>
  <w:style w:type="paragraph" w:styleId="1490" w:customStyle="1">
    <w:name w:val="xl51"/>
    <w:basedOn w:val="91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eastAsia="Calibri" w:cs="宋体"/>
      <w:b/>
      <w:bCs/>
      <w:i/>
      <w:iCs/>
      <w:sz w:val="20"/>
      <w:szCs w:val="20"/>
      <w:lang w:val="zh-CN"/>
    </w:rPr>
  </w:style>
  <w:style w:type="paragraph" w:styleId="1491" w:customStyle="1">
    <w:name w:val="标题4，章节第四层"/>
    <w:basedOn w:val="912"/>
    <w:next w:val="912"/>
    <w:uiPriority w:val="0"/>
    <w:qFormat/>
    <w:pPr>
      <w:spacing w:line="360" w:lineRule="auto"/>
      <w:tabs>
        <w:tab w:val="left" w:pos="0" w:leader="none"/>
      </w:tabs>
      <w:outlineLvl w:val="3"/>
    </w:pPr>
    <w:rPr>
      <w:rFonts w:ascii="宋体" w:hAnsi="Times New Roman" w:eastAsia="Calibri" w:cs="宋体"/>
      <w:b/>
      <w:sz w:val="24"/>
      <w:szCs w:val="20"/>
      <w:lang w:val="zh-CN"/>
    </w:rPr>
  </w:style>
  <w:style w:type="paragraph" w:styleId="1492" w:customStyle="1">
    <w:name w:val="一级标题"/>
    <w:basedOn w:val="912"/>
    <w:uiPriority w:val="0"/>
    <w:qFormat/>
    <w:pPr>
      <w:ind w:left="900" w:hanging="420"/>
      <w:spacing w:line="360" w:lineRule="auto"/>
      <w:tabs>
        <w:tab w:val="left" w:pos="903" w:leader="none"/>
      </w:tabs>
    </w:pPr>
    <w:rPr>
      <w:rFonts w:ascii="Arial" w:hAnsi="Arial" w:eastAsia="Calibri" w:cs="Arial"/>
      <w:sz w:val="24"/>
      <w:szCs w:val="20"/>
      <w:lang w:val="zh-CN"/>
    </w:rPr>
  </w:style>
  <w:style w:type="paragraph" w:styleId="1493" w:customStyle="1">
    <w:name w:val="xl35"/>
    <w:basedOn w:val="9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Times New Roman" w:eastAsia="Calibri" w:cs="宋体"/>
      <w:b/>
      <w:bCs/>
      <w:i/>
      <w:iCs/>
      <w:sz w:val="20"/>
      <w:szCs w:val="20"/>
      <w:lang w:val="zh-CN"/>
    </w:rPr>
  </w:style>
  <w:style w:type="paragraph" w:styleId="1494" w:customStyle="1">
    <w:name w:val="xl39"/>
    <w:basedOn w:val="9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Times New Roman" w:eastAsia="Calibri" w:cs="宋体"/>
      <w:sz w:val="24"/>
      <w:szCs w:val="20"/>
      <w:lang w:val="zh-CN"/>
    </w:rPr>
  </w:style>
  <w:style w:type="paragraph" w:styleId="1495" w:customStyle="1">
    <w:name w:val="Char Char Char Char Char Char Char Char Char Char Char1"/>
    <w:basedOn w:val="912"/>
    <w:uiPriority w:val="0"/>
    <w:qFormat/>
    <w:rPr>
      <w:rFonts w:ascii="Tahoma" w:hAnsi="Tahoma" w:eastAsia="Calibri" w:cs="宋体"/>
      <w:sz w:val="24"/>
      <w:szCs w:val="20"/>
      <w:lang w:val="zh-CN"/>
    </w:rPr>
  </w:style>
  <w:style w:type="paragraph" w:styleId="1496" w:customStyle="1">
    <w:name w:val="Char Char Char Char Char Char Char Char Char Char Char1 Char Char Char1"/>
    <w:basedOn w:val="912"/>
    <w:uiPriority w:val="0"/>
    <w:qFormat/>
    <w:pPr>
      <w:ind w:firstLine="200"/>
      <w:jc w:val="left"/>
    </w:pPr>
    <w:rPr>
      <w:rFonts w:ascii="Tahoma" w:hAnsi="Tahoma" w:eastAsia="Calibri" w:cs="宋体"/>
      <w:sz w:val="24"/>
      <w:szCs w:val="20"/>
      <w:lang w:val="zh-CN"/>
    </w:rPr>
  </w:style>
  <w:style w:type="paragraph" w:styleId="1497" w:customStyle="1">
    <w:name w:val="font7"/>
    <w:basedOn w:val="912"/>
    <w:uiPriority w:val="0"/>
    <w:qFormat/>
    <w:pPr>
      <w:jc w:val="left"/>
      <w:spacing w:before="100" w:beforeAutospacing="1" w:after="100" w:afterAutospacing="1"/>
      <w:widowControl/>
    </w:pPr>
    <w:rPr>
      <w:rFonts w:ascii="宋体" w:hAnsi="Times New Roman" w:eastAsia="Calibri" w:cs="宋体"/>
      <w:b/>
      <w:bCs/>
      <w:sz w:val="24"/>
      <w:szCs w:val="20"/>
      <w:lang w:val="zh-CN"/>
    </w:rPr>
  </w:style>
  <w:style w:type="paragraph" w:styleId="1498" w:customStyle="1">
    <w:name w:val="xl47"/>
    <w:basedOn w:val="91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Times New Roman" w:eastAsia="Calibri" w:cs="宋体"/>
      <w:sz w:val="24"/>
      <w:szCs w:val="20"/>
      <w:lang w:val="zh-CN"/>
    </w:rPr>
  </w:style>
  <w:style w:type="character" w:styleId="1499" w:customStyle="1">
    <w:name w:val="font161"/>
    <w:uiPriority w:val="0"/>
    <w:qFormat/>
    <w:rPr>
      <w:b/>
      <w:sz w:val="32"/>
    </w:rPr>
  </w:style>
  <w:style w:type="character" w:styleId="1500" w:customStyle="1">
    <w:name w:val="正文文本 3 Char1"/>
    <w:uiPriority w:val="0"/>
    <w:qFormat/>
    <w:rPr>
      <w:sz w:val="16"/>
      <w:szCs w:val="16"/>
    </w:rPr>
  </w:style>
  <w:style w:type="character" w:styleId="1501" w:customStyle="1">
    <w:name w:val="批注文字 Char1"/>
    <w:uiPriority w:val="0"/>
    <w:qFormat/>
    <w:rPr>
      <w:sz w:val="21"/>
    </w:rPr>
  </w:style>
  <w:style w:type="paragraph" w:styleId="1502" w:customStyle="1">
    <w:name w:val="6'"/>
    <w:basedOn w:val="912"/>
    <w:uiPriority w:val="0"/>
    <w:qFormat/>
    <w:pPr>
      <w:jc w:val="center"/>
      <w:spacing w:line="320" w:lineRule="exact"/>
    </w:pPr>
    <w:rPr>
      <w:rFonts w:ascii="Times New Roman" w:hAnsi="Times New Roman" w:eastAsia="Calibri" w:cs="宋体"/>
      <w:spacing w:val="20"/>
      <w:sz w:val="20"/>
      <w:szCs w:val="20"/>
      <w:lang w:val="zh-CN"/>
    </w:rPr>
  </w:style>
  <w:style w:type="paragraph" w:styleId="1503" w:customStyle="1">
    <w:name w:val="样式 标题 3 + (中文) 黑体 小四 非加粗 段前: 7.8 磅 段后: 0 磅 行距: 固定值 20 磅"/>
    <w:basedOn w:val="915"/>
    <w:uiPriority w:val="0"/>
    <w:qFormat/>
    <w:pPr>
      <w:numPr>
        <w:ilvl w:val="0"/>
        <w:numId w:val="0"/>
      </w:numPr>
      <w:spacing w:before="0" w:after="0" w:line="400" w:lineRule="exact"/>
      <w:tabs>
        <w:tab w:val="clear" w:pos="720" w:leader="none"/>
        <w:tab w:val="clear" w:pos="2563" w:leader="none"/>
      </w:tabs>
    </w:pPr>
    <w:rPr>
      <w:rFonts w:ascii="Times New Roman" w:eastAsia="黑体"/>
      <w:b w:val="0"/>
      <w:color w:val="auto"/>
      <w:sz w:val="24"/>
    </w:rPr>
  </w:style>
  <w:style w:type="paragraph" w:styleId="1504" w:customStyle="1">
    <w:name w:val="样式 标题 1 + 黑体 三号 非加粗 居中 段前: 6 磅 段后: 6 磅 行距: 固定值 20 磅"/>
    <w:basedOn w:val="913"/>
    <w:uiPriority w:val="0"/>
    <w:qFormat/>
    <w:pPr>
      <w:jc w:val="center"/>
      <w:spacing w:before="120" w:after="120" w:line="400" w:lineRule="exact"/>
    </w:pPr>
    <w:rPr>
      <w:rFonts w:ascii="黑体" w:hAnsi="Times New Roman" w:eastAsia="黑体" w:cs="宋体"/>
      <w:b w:val="0"/>
      <w:bCs w:val="0"/>
      <w:sz w:val="32"/>
      <w:szCs w:val="20"/>
      <w:lang w:val="zh-CN"/>
    </w:rPr>
  </w:style>
  <w:style w:type="paragraph" w:styleId="1505" w:customStyle="1">
    <w:name w:val="Blockquote"/>
    <w:basedOn w:val="912"/>
    <w:uiPriority w:val="0"/>
    <w:qFormat/>
    <w:pPr>
      <w:ind w:left="360" w:right="360"/>
      <w:jc w:val="left"/>
      <w:spacing w:before="100" w:after="100"/>
    </w:pPr>
    <w:rPr>
      <w:rFonts w:ascii="Times New Roman" w:hAnsi="Times New Roman" w:eastAsia="Calibri" w:cs="宋体"/>
      <w:sz w:val="24"/>
      <w:szCs w:val="20"/>
      <w:lang w:val="zh-CN"/>
    </w:rPr>
  </w:style>
  <w:style w:type="character" w:styleId="1506" w:customStyle="1">
    <w:name w:val="rvts9"/>
    <w:uiPriority w:val="0"/>
    <w:qFormat/>
    <w:rPr>
      <w:rFonts w:ascii="KNLe" w:hAnsi="KNLe"/>
    </w:rPr>
  </w:style>
  <w:style w:type="paragraph" w:styleId="1507" w:customStyle="1">
    <w:name w:val="rvps1"/>
    <w:basedOn w:val="912"/>
    <w:uiPriority w:val="0"/>
    <w:qFormat/>
    <w:pPr>
      <w:jc w:val="center"/>
      <w:widowControl/>
    </w:pPr>
    <w:rPr>
      <w:rFonts w:ascii="Times New Roman" w:hAnsi="Times New Roman" w:eastAsia="Calibri" w:cs="宋体"/>
      <w:sz w:val="24"/>
      <w:szCs w:val="20"/>
      <w:lang w:val="zh-CN"/>
    </w:rPr>
  </w:style>
  <w:style w:type="character" w:styleId="1508" w:customStyle="1">
    <w:name w:val="rvts11"/>
    <w:uiPriority w:val="0"/>
    <w:qFormat/>
    <w:rPr>
      <w:rFonts w:ascii="KNLe" w:hAnsi="KNLe"/>
      <w:u w:val="single"/>
    </w:rPr>
  </w:style>
  <w:style w:type="character" w:styleId="1509" w:customStyle="1">
    <w:name w:val="rvts13"/>
    <w:uiPriority w:val="0"/>
    <w:qFormat/>
    <w:rPr>
      <w:rFonts w:ascii="KNLe" w:hAnsi="KNLe"/>
      <w:color w:val="000000"/>
    </w:rPr>
  </w:style>
  <w:style w:type="character" w:styleId="1510" w:customStyle="1">
    <w:name w:val="rvts79"/>
    <w:uiPriority w:val="0"/>
    <w:qFormat/>
    <w:rPr>
      <w:rFonts w:ascii="KNLe" w:hAnsi="KNLe"/>
      <w:color w:val="0000ff"/>
      <w:u w:val="single"/>
    </w:rPr>
  </w:style>
  <w:style w:type="character" w:styleId="1511" w:customStyle="1">
    <w:name w:val="rvts129"/>
    <w:uiPriority w:val="0"/>
    <w:qFormat/>
    <w:rPr>
      <w:rFonts w:ascii="Calibri" w:hAnsi="Calibri"/>
      <w:color w:val="0000ff"/>
      <w:u w:val="single"/>
    </w:rPr>
  </w:style>
  <w:style w:type="paragraph" w:styleId="1512" w:customStyle="1">
    <w:name w:val="index heading1"/>
    <w:basedOn w:val="912"/>
    <w:next w:val="1513"/>
    <w:uiPriority w:val="0"/>
    <w:qFormat/>
    <w:rPr>
      <w:rFonts w:ascii="Arial" w:hAnsi="Arial" w:cs="Arial"/>
      <w:b/>
      <w:bCs/>
    </w:rPr>
  </w:style>
  <w:style w:type="paragraph" w:styleId="1513" w:customStyle="1">
    <w:name w:val="index 11"/>
    <w:basedOn w:val="912"/>
    <w:next w:val="912"/>
    <w:uiPriority w:val="0"/>
    <w:qFormat/>
  </w:style>
  <w:style w:type="paragraph" w:styleId="1514" w:customStyle="1">
    <w:name w:val="Table Text"/>
    <w:basedOn w:val="912"/>
    <w:uiPriority w:val="0"/>
    <w:semiHidden/>
    <w:qFormat/>
    <w:pPr>
      <w:jc w:val="left"/>
      <w:widowControl/>
    </w:pPr>
    <w:rPr>
      <w:rFonts w:ascii="宋体" w:hAnsi="宋体" w:cs="宋体"/>
      <w:color w:val="000000"/>
      <w:szCs w:val="21"/>
      <w:lang w:eastAsia="en-US"/>
    </w:rPr>
  </w:style>
  <w:style w:type="table" w:styleId="1515" w:customStyle="1">
    <w:name w:val="Table Normal"/>
    <w:uiPriority w:val="0"/>
    <w:semiHidden/>
    <w:unhideWhenUsed/>
    <w:qFormat/>
    <w:rPr>
      <w:rFonts w:ascii="Arial" w:hAnsi="Arial" w:cs="Arial" w:eastAsiaTheme="minorEastAsia"/>
    </w:rPr>
    <w:tblPr>
      <w:tblCellMar>
        <w:left w:w="0" w:type="dxa"/>
        <w:top w:w="0" w:type="dxa"/>
        <w:right w:w="0" w:type="dxa"/>
        <w:bottom w:w="0" w:type="dxa"/>
      </w:tblCellMar>
    </w:tblPr>
  </w:style>
  <w:style w:type="paragraph" w:styleId="1516" w:customStyle="1">
    <w:name w:val="WPSOffice手动目录 1"/>
    <w:uiPriority w:val="0"/>
    <w:qFormat/>
    <w:rPr>
      <w:rFonts w:hint="default" w:ascii="Times New Roman" w:hAnsi="Times New Roman" w:eastAsia="宋体" w:cs="Times New Roman"/>
    </w:rPr>
  </w:style>
  <w:style w:type="paragraph" w:styleId="1517" w:customStyle="1">
    <w:name w:val="WPSOffice手动目录 2"/>
    <w:uiPriority w:val="0"/>
    <w:qFormat/>
    <w:pPr>
      <w:ind w:left="200"/>
    </w:pPr>
    <w:rPr>
      <w:rFonts w:hint="default" w:ascii="Times New Roman" w:hAnsi="Times New Roman" w:eastAsia="宋体" w:cs="Times New Roman"/>
    </w:rPr>
  </w:style>
  <w:style w:type="character" w:styleId="1518" w:customStyle="1">
    <w:name w:val="正文首行缩进 字符"/>
    <w:basedOn w:val="1143"/>
    <w:link w:val="974"/>
    <w:uiPriority w:val="0"/>
    <w:qFormat/>
    <w:rPr>
      <w:rFonts w:ascii="宋体" w:hAnsi="宋体" w:cs="Times New Roman" w:eastAsiaTheme="minorEastAsia"/>
      <w:sz w:val="21"/>
      <w:szCs w:val="24"/>
      <w:lang w:eastAsia="en-US"/>
    </w:rPr>
  </w:style>
  <w:style w:type="character" w:styleId="1519" w:customStyle="1">
    <w:name w:val="font21"/>
    <w:basedOn w:val="922"/>
    <w:uiPriority w:val="0"/>
    <w:qFormat/>
    <w:rPr>
      <w:rFonts w:hint="eastAsia" w:ascii="宋体" w:hAnsi="宋体" w:eastAsia="宋体" w:cs="宋体"/>
      <w:color w:val="000000"/>
      <w:sz w:val="28"/>
      <w:szCs w:val="28"/>
      <w:u w:val="none"/>
    </w:rPr>
  </w:style>
  <w:style w:type="character" w:styleId="1520" w:customStyle="1">
    <w:name w:val="font51"/>
    <w:basedOn w:val="922"/>
    <w:uiPriority w:val="0"/>
    <w:qFormat/>
    <w:rPr>
      <w:rFonts w:ascii="Arial" w:hAnsi="Arial" w:cs="Arial"/>
      <w:color w:val="000000"/>
      <w:sz w:val="28"/>
      <w:szCs w:val="28"/>
      <w:u w:val="none"/>
    </w:rPr>
  </w:style>
  <w:style w:type="paragraph" w:styleId="1521" w:customStyle="1">
    <w:name w:val="标题 11"/>
    <w:basedOn w:val="912"/>
    <w:next w:val="912"/>
    <w:uiPriority w:val="0"/>
    <w:qFormat/>
    <w:pPr>
      <w:jc w:val="center"/>
      <w:keepNext/>
      <w:outlineLvl w:val="0"/>
    </w:pPr>
    <w:rPr>
      <w:rFonts w:ascii="楷体_GB2312" w:eastAsia="楷体_GB2312"/>
      <w:sz w:val="28"/>
      <w:szCs w:val="28"/>
    </w:rPr>
  </w:style>
  <w:style w:type="numbering" w:styleId="15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customXml" Target="../customXml/item1.xml" /><Relationship Id="rId20"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2.png"/></Relationships>
</file>

<file path=word/_rels/header4.xml.rels><?xml version="1.0" encoding="UTF-8" standalone="yes"?><Relationships xmlns="http://schemas.openxmlformats.org/package/2006/relationships"><Relationship Id="rId1" Type="http://schemas.openxmlformats.org/officeDocument/2006/relationships/image" Target="media/image2.png"/></Relationships>
</file>

<file path=word/_rels/header5.xml.rels><?xml version="1.0" encoding="UTF-8" standalone="yes"?><Relationships xmlns="http://schemas.openxmlformats.org/package/2006/relationships"><Relationship Id="rId1" Type="http://schemas.openxmlformats.org/officeDocument/2006/relationships/image" Target="media/image2.png"/></Relationships>
</file>

<file path=word/_rels/header6.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枫</dc:creator>
  <cp:lastModifiedBy>刘阳</cp:lastModifiedBy>
  <cp:revision>15</cp:revision>
  <dcterms:created xsi:type="dcterms:W3CDTF">2025-03-21T03:27:00Z</dcterms:created>
  <dcterms:modified xsi:type="dcterms:W3CDTF">2026-09-17T02:36:29Z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38EA26910F174E1693FF81CC8C10B5C2_13</vt:lpwstr>
  </property>
  <property fmtid="{D5CDD505-2E9C-101B-9397-08002B2CF9AE}" pid="4" name="KSOTemplateDocerSaveRecord">
    <vt:lpwstr>eyJoZGlkIjoiMzVlNjM2MTk0ZWE5OWE5MTI0MjgzNGM2Y2Q2MTNhMzQiLCJ1c2VySWQiOiI1Mzk0NTE0NzIifQ==</vt:lpwstr>
  </property>
</Properties>
</file>